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641BF" w14:textId="77777777" w:rsidR="002124A0" w:rsidRDefault="002124A0" w:rsidP="000849A7">
      <w:r>
        <w:t>Arbeids- og sosialdepartementet</w:t>
      </w:r>
      <w:r>
        <w:tab/>
      </w:r>
    </w:p>
    <w:p w14:paraId="4D1508F7" w14:textId="77777777" w:rsidR="002124A0" w:rsidRDefault="002124A0" w:rsidP="002124A0"/>
    <w:p w14:paraId="3B05B7A2" w14:textId="77777777" w:rsidR="002124A0" w:rsidRDefault="002124A0" w:rsidP="002124A0"/>
    <w:p w14:paraId="65629BC3" w14:textId="77777777" w:rsidR="002124A0" w:rsidRDefault="002124A0" w:rsidP="002124A0"/>
    <w:p w14:paraId="12FE86D9" w14:textId="77777777" w:rsidR="002124A0" w:rsidRDefault="002124A0" w:rsidP="002124A0"/>
    <w:p w14:paraId="4987E1BD" w14:textId="77777777" w:rsidR="002124A0" w:rsidRDefault="002124A0" w:rsidP="002124A0"/>
    <w:p w14:paraId="7CEBDE42" w14:textId="77777777" w:rsidR="002124A0" w:rsidRDefault="002124A0" w:rsidP="002124A0"/>
    <w:p w14:paraId="7FBA7891" w14:textId="77777777" w:rsidR="002124A0" w:rsidRDefault="002124A0" w:rsidP="002124A0"/>
    <w:p w14:paraId="2FB056C7" w14:textId="77777777" w:rsidR="002124A0" w:rsidRDefault="002124A0" w:rsidP="002124A0">
      <w:pPr>
        <w:jc w:val="center"/>
        <w:rPr>
          <w:b/>
          <w:sz w:val="32"/>
        </w:rPr>
      </w:pPr>
    </w:p>
    <w:p w14:paraId="1AFDCCC3" w14:textId="77777777" w:rsidR="002124A0" w:rsidRDefault="002124A0" w:rsidP="002124A0">
      <w:pPr>
        <w:jc w:val="center"/>
        <w:rPr>
          <w:b/>
          <w:sz w:val="32"/>
        </w:rPr>
      </w:pPr>
      <w:r>
        <w:rPr>
          <w:b/>
          <w:sz w:val="32"/>
        </w:rPr>
        <w:t>GRUNNLAGET FOR INNTEKTSOPPGJØRENE 2016</w:t>
      </w:r>
    </w:p>
    <w:p w14:paraId="15A51EB9" w14:textId="77777777" w:rsidR="002124A0" w:rsidRDefault="002124A0" w:rsidP="002124A0">
      <w:pPr>
        <w:spacing w:after="0"/>
        <w:rPr>
          <w:b/>
          <w:sz w:val="32"/>
        </w:rPr>
      </w:pPr>
    </w:p>
    <w:p w14:paraId="7A98566D" w14:textId="77777777" w:rsidR="002124A0" w:rsidRDefault="002124A0" w:rsidP="002124A0">
      <w:pPr>
        <w:spacing w:after="0"/>
        <w:rPr>
          <w:b/>
        </w:rPr>
      </w:pPr>
    </w:p>
    <w:p w14:paraId="41388EC8" w14:textId="77777777" w:rsidR="002124A0" w:rsidRDefault="002124A0" w:rsidP="002124A0">
      <w:pPr>
        <w:spacing w:after="0"/>
        <w:rPr>
          <w:b/>
          <w:sz w:val="28"/>
          <w:szCs w:val="28"/>
        </w:rPr>
      </w:pPr>
    </w:p>
    <w:p w14:paraId="31CA59CF" w14:textId="77777777" w:rsidR="002124A0" w:rsidRPr="005C050A" w:rsidRDefault="002124A0" w:rsidP="002124A0">
      <w:pPr>
        <w:spacing w:after="0"/>
        <w:rPr>
          <w:b/>
          <w:sz w:val="28"/>
          <w:szCs w:val="28"/>
        </w:rPr>
      </w:pPr>
    </w:p>
    <w:p w14:paraId="3AE43B28" w14:textId="77777777" w:rsidR="002124A0" w:rsidRPr="009F3595" w:rsidRDefault="002124A0" w:rsidP="002124A0">
      <w:pPr>
        <w:spacing w:after="0"/>
        <w:jc w:val="center"/>
        <w:rPr>
          <w:b/>
          <w:sz w:val="32"/>
        </w:rPr>
      </w:pPr>
      <w:r>
        <w:rPr>
          <w:b/>
          <w:sz w:val="28"/>
          <w:szCs w:val="28"/>
        </w:rPr>
        <w:t>Foreløpig</w:t>
      </w:r>
      <w:r w:rsidRPr="009F3595">
        <w:rPr>
          <w:b/>
          <w:sz w:val="28"/>
          <w:szCs w:val="28"/>
        </w:rPr>
        <w:t xml:space="preserve"> hovedrapport</w:t>
      </w:r>
    </w:p>
    <w:p w14:paraId="60BE4904" w14:textId="77777777" w:rsidR="002124A0" w:rsidRDefault="002124A0" w:rsidP="002124A0">
      <w:pPr>
        <w:spacing w:after="0"/>
        <w:jc w:val="center"/>
        <w:rPr>
          <w:sz w:val="32"/>
        </w:rPr>
      </w:pPr>
    </w:p>
    <w:p w14:paraId="7F041656" w14:textId="77777777" w:rsidR="002124A0" w:rsidRDefault="002124A0" w:rsidP="002124A0">
      <w:pPr>
        <w:spacing w:after="0"/>
        <w:jc w:val="center"/>
        <w:rPr>
          <w:i/>
          <w:sz w:val="26"/>
        </w:rPr>
      </w:pPr>
    </w:p>
    <w:p w14:paraId="5AD9D30F" w14:textId="77777777" w:rsidR="002124A0" w:rsidRPr="00786D32" w:rsidRDefault="002124A0" w:rsidP="002124A0">
      <w:pPr>
        <w:spacing w:after="0"/>
        <w:jc w:val="center"/>
        <w:rPr>
          <w:i/>
          <w:sz w:val="28"/>
          <w:szCs w:val="28"/>
        </w:rPr>
      </w:pPr>
      <w:r w:rsidRPr="00786D32">
        <w:rPr>
          <w:i/>
          <w:sz w:val="28"/>
          <w:szCs w:val="28"/>
        </w:rPr>
        <w:t>fra</w:t>
      </w:r>
    </w:p>
    <w:p w14:paraId="7182BCFD" w14:textId="77777777" w:rsidR="002124A0" w:rsidRPr="00786D32" w:rsidRDefault="002124A0" w:rsidP="002124A0">
      <w:pPr>
        <w:spacing w:after="0"/>
        <w:jc w:val="center"/>
        <w:rPr>
          <w:i/>
          <w:sz w:val="28"/>
          <w:szCs w:val="28"/>
        </w:rPr>
      </w:pPr>
    </w:p>
    <w:p w14:paraId="3F992E3F" w14:textId="77777777" w:rsidR="002124A0" w:rsidRPr="00221E39" w:rsidRDefault="002124A0" w:rsidP="002124A0">
      <w:pPr>
        <w:jc w:val="center"/>
        <w:rPr>
          <w:sz w:val="26"/>
        </w:rPr>
      </w:pPr>
      <w:r w:rsidRPr="00786D32">
        <w:rPr>
          <w:i/>
          <w:sz w:val="28"/>
          <w:szCs w:val="28"/>
        </w:rPr>
        <w:t>Det tekniske beregningsutvalget for inntektsoppgjørene</w:t>
      </w:r>
    </w:p>
    <w:p w14:paraId="728FF5EF" w14:textId="77777777" w:rsidR="002124A0" w:rsidRPr="00221E39" w:rsidRDefault="002124A0" w:rsidP="002124A0">
      <w:pPr>
        <w:jc w:val="center"/>
        <w:rPr>
          <w:sz w:val="26"/>
        </w:rPr>
      </w:pPr>
    </w:p>
    <w:p w14:paraId="17DAC3DE" w14:textId="77777777" w:rsidR="002124A0" w:rsidRPr="00221E39" w:rsidRDefault="002124A0" w:rsidP="002124A0">
      <w:pPr>
        <w:spacing w:after="0"/>
        <w:jc w:val="center"/>
        <w:rPr>
          <w:sz w:val="26"/>
        </w:rPr>
      </w:pPr>
    </w:p>
    <w:p w14:paraId="3E98E0CF" w14:textId="77777777" w:rsidR="002124A0" w:rsidRPr="00221E39" w:rsidRDefault="002124A0" w:rsidP="002124A0">
      <w:pPr>
        <w:jc w:val="center"/>
        <w:rPr>
          <w:sz w:val="26"/>
        </w:rPr>
      </w:pPr>
    </w:p>
    <w:p w14:paraId="09F531C8" w14:textId="77777777" w:rsidR="002124A0" w:rsidRDefault="002124A0" w:rsidP="002124A0">
      <w:pPr>
        <w:jc w:val="center"/>
        <w:rPr>
          <w:sz w:val="26"/>
        </w:rPr>
      </w:pPr>
    </w:p>
    <w:p w14:paraId="1E836B33" w14:textId="77777777" w:rsidR="002124A0" w:rsidRPr="00221E39" w:rsidRDefault="002124A0" w:rsidP="002124A0">
      <w:pPr>
        <w:jc w:val="center"/>
        <w:rPr>
          <w:sz w:val="26"/>
        </w:rPr>
      </w:pPr>
    </w:p>
    <w:p w14:paraId="32B43714" w14:textId="77777777" w:rsidR="002124A0" w:rsidRPr="00221E39" w:rsidRDefault="002124A0" w:rsidP="002124A0">
      <w:pPr>
        <w:jc w:val="center"/>
        <w:rPr>
          <w:sz w:val="26"/>
        </w:rPr>
      </w:pPr>
    </w:p>
    <w:p w14:paraId="46B1D2E8" w14:textId="77777777" w:rsidR="002124A0" w:rsidRPr="00221E39" w:rsidRDefault="002124A0" w:rsidP="002124A0">
      <w:pPr>
        <w:jc w:val="center"/>
        <w:rPr>
          <w:sz w:val="26"/>
        </w:rPr>
      </w:pPr>
    </w:p>
    <w:p w14:paraId="2EF4E38D" w14:textId="77777777" w:rsidR="002124A0" w:rsidRPr="00221E39" w:rsidRDefault="002124A0" w:rsidP="002124A0">
      <w:pPr>
        <w:jc w:val="center"/>
        <w:rPr>
          <w:i/>
          <w:color w:val="FF0000"/>
          <w:sz w:val="26"/>
        </w:rPr>
      </w:pPr>
    </w:p>
    <w:p w14:paraId="03CA66D4" w14:textId="77777777" w:rsidR="002124A0" w:rsidRDefault="002124A0" w:rsidP="002124A0">
      <w:pPr>
        <w:jc w:val="center"/>
        <w:rPr>
          <w:color w:val="FF0000"/>
          <w:sz w:val="26"/>
        </w:rPr>
      </w:pPr>
    </w:p>
    <w:p w14:paraId="06D774E3" w14:textId="77777777" w:rsidR="002124A0" w:rsidRDefault="002124A0" w:rsidP="002124A0">
      <w:pPr>
        <w:jc w:val="center"/>
        <w:rPr>
          <w:color w:val="FF0000"/>
          <w:sz w:val="26"/>
        </w:rPr>
      </w:pPr>
    </w:p>
    <w:p w14:paraId="12ABDFD7" w14:textId="77777777" w:rsidR="002124A0" w:rsidRPr="00221E39" w:rsidRDefault="002124A0" w:rsidP="002124A0">
      <w:pPr>
        <w:jc w:val="center"/>
        <w:rPr>
          <w:color w:val="FF0000"/>
          <w:sz w:val="26"/>
        </w:rPr>
      </w:pPr>
    </w:p>
    <w:p w14:paraId="66B6F77F" w14:textId="77777777" w:rsidR="002124A0" w:rsidRPr="00221E39" w:rsidRDefault="002124A0" w:rsidP="002124A0">
      <w:pPr>
        <w:jc w:val="center"/>
        <w:rPr>
          <w:sz w:val="26"/>
        </w:rPr>
      </w:pPr>
    </w:p>
    <w:p w14:paraId="1441AC6A" w14:textId="77777777" w:rsidR="002124A0" w:rsidRDefault="002124A0" w:rsidP="002124A0">
      <w:pPr>
        <w:jc w:val="center"/>
        <w:rPr>
          <w:sz w:val="26"/>
        </w:rPr>
      </w:pPr>
      <w:r w:rsidRPr="00221E39">
        <w:rPr>
          <w:sz w:val="26"/>
        </w:rPr>
        <w:t xml:space="preserve">Oslo, </w:t>
      </w:r>
      <w:r w:rsidR="000A3D12">
        <w:rPr>
          <w:sz w:val="26"/>
        </w:rPr>
        <w:t>22</w:t>
      </w:r>
      <w:r w:rsidRPr="00221E39">
        <w:rPr>
          <w:sz w:val="26"/>
        </w:rPr>
        <w:t xml:space="preserve">. </w:t>
      </w:r>
      <w:r>
        <w:rPr>
          <w:sz w:val="26"/>
        </w:rPr>
        <w:t>februar 201</w:t>
      </w:r>
      <w:r w:rsidR="000A3D12">
        <w:rPr>
          <w:sz w:val="26"/>
        </w:rPr>
        <w:t>6</w:t>
      </w:r>
    </w:p>
    <w:p w14:paraId="368019DA" w14:textId="77777777" w:rsidR="002124A0" w:rsidRDefault="002124A0" w:rsidP="002124A0">
      <w:pPr>
        <w:jc w:val="center"/>
        <w:rPr>
          <w:sz w:val="26"/>
        </w:rPr>
      </w:pPr>
    </w:p>
    <w:p w14:paraId="6B6C94A3" w14:textId="77777777" w:rsidR="002124A0" w:rsidRDefault="002124A0" w:rsidP="002124A0">
      <w:pPr>
        <w:spacing w:after="0"/>
        <w:rPr>
          <w:sz w:val="26"/>
        </w:rPr>
      </w:pPr>
      <w:r>
        <w:rPr>
          <w:sz w:val="26"/>
        </w:rPr>
        <w:br w:type="page"/>
      </w:r>
    </w:p>
    <w:p w14:paraId="3F8F2641" w14:textId="77777777" w:rsidR="002124A0" w:rsidRDefault="002124A0" w:rsidP="002124A0">
      <w:pPr>
        <w:jc w:val="center"/>
        <w:rPr>
          <w:sz w:val="26"/>
        </w:rPr>
      </w:pPr>
    </w:p>
    <w:p w14:paraId="71BB5AF6" w14:textId="77777777" w:rsidR="002124A0" w:rsidRDefault="002124A0" w:rsidP="002124A0">
      <w:pPr>
        <w:pStyle w:val="Overskrift1"/>
        <w:numPr>
          <w:ilvl w:val="0"/>
          <w:numId w:val="0"/>
        </w:numPr>
        <w:ind w:left="432" w:hanging="432"/>
        <w:jc w:val="center"/>
      </w:pPr>
      <w:bookmarkStart w:id="0" w:name="_Toc96594166"/>
      <w:bookmarkStart w:id="1" w:name="_Toc286073346"/>
      <w:bookmarkStart w:id="2" w:name="_Toc286074000"/>
      <w:bookmarkStart w:id="3" w:name="_Toc286074990"/>
      <w:bookmarkStart w:id="4" w:name="_Toc286075239"/>
      <w:bookmarkStart w:id="5" w:name="_Toc286076958"/>
      <w:bookmarkStart w:id="6" w:name="_Toc442351723"/>
      <w:bookmarkStart w:id="7" w:name="_Toc443998947"/>
      <w:r>
        <w:t>Forord</w:t>
      </w:r>
      <w:bookmarkEnd w:id="0"/>
      <w:bookmarkEnd w:id="1"/>
      <w:bookmarkEnd w:id="2"/>
      <w:bookmarkEnd w:id="3"/>
      <w:bookmarkEnd w:id="4"/>
      <w:bookmarkEnd w:id="5"/>
      <w:bookmarkEnd w:id="6"/>
      <w:bookmarkEnd w:id="7"/>
    </w:p>
    <w:p w14:paraId="3B9D76EB" w14:textId="77777777" w:rsidR="002124A0" w:rsidRPr="00D96ADB" w:rsidRDefault="002124A0" w:rsidP="002124A0">
      <w:pPr>
        <w:spacing w:after="0"/>
        <w:rPr>
          <w:szCs w:val="24"/>
        </w:rPr>
      </w:pPr>
      <w:r w:rsidRPr="00D96ADB">
        <w:rPr>
          <w:szCs w:val="24"/>
        </w:rPr>
        <w:t xml:space="preserve">Det tekniske beregningsutvalget for inntektsoppgjørene legger her fram en foreløpig </w:t>
      </w:r>
      <w:r>
        <w:rPr>
          <w:szCs w:val="24"/>
        </w:rPr>
        <w:t>rapport</w:t>
      </w:r>
      <w:r w:rsidRPr="00D96ADB">
        <w:rPr>
          <w:szCs w:val="24"/>
        </w:rPr>
        <w:t xml:space="preserve"> foran inntektsoppgjørene i 20</w:t>
      </w:r>
      <w:r>
        <w:rPr>
          <w:szCs w:val="24"/>
        </w:rPr>
        <w:t>1</w:t>
      </w:r>
      <w:r w:rsidR="000A3D12">
        <w:rPr>
          <w:szCs w:val="24"/>
        </w:rPr>
        <w:t>6</w:t>
      </w:r>
      <w:r w:rsidRPr="00D96ADB">
        <w:rPr>
          <w:szCs w:val="24"/>
        </w:rPr>
        <w:t>. Rapport</w:t>
      </w:r>
      <w:r>
        <w:rPr>
          <w:szCs w:val="24"/>
        </w:rPr>
        <w:t>en i</w:t>
      </w:r>
      <w:r w:rsidRPr="00D96ADB">
        <w:rPr>
          <w:szCs w:val="24"/>
        </w:rPr>
        <w:t xml:space="preserve"> endelig utgave vil foreligge </w:t>
      </w:r>
      <w:r>
        <w:rPr>
          <w:szCs w:val="24"/>
        </w:rPr>
        <w:t>i slutten av mars.</w:t>
      </w:r>
    </w:p>
    <w:p w14:paraId="22E7F069" w14:textId="77777777" w:rsidR="002124A0" w:rsidRPr="00D96ADB" w:rsidRDefault="002124A0" w:rsidP="002124A0">
      <w:pPr>
        <w:spacing w:after="0"/>
        <w:rPr>
          <w:szCs w:val="24"/>
        </w:rPr>
      </w:pPr>
    </w:p>
    <w:p w14:paraId="36FEBA38" w14:textId="77777777" w:rsidR="002124A0" w:rsidRPr="00945388" w:rsidRDefault="002124A0" w:rsidP="002124A0">
      <w:pPr>
        <w:spacing w:after="0"/>
        <w:rPr>
          <w:szCs w:val="24"/>
        </w:rPr>
      </w:pPr>
      <w:r w:rsidRPr="00945388">
        <w:rPr>
          <w:szCs w:val="24"/>
        </w:rPr>
        <w:t>Rapporten gir oversikt over utviklingen i de senere år</w:t>
      </w:r>
      <w:r>
        <w:rPr>
          <w:szCs w:val="24"/>
        </w:rPr>
        <w:t>ene</w:t>
      </w:r>
      <w:r w:rsidRPr="00945388">
        <w:rPr>
          <w:szCs w:val="24"/>
        </w:rPr>
        <w:t xml:space="preserve"> i lønninger, inntekter, priser</w:t>
      </w:r>
      <w:r>
        <w:rPr>
          <w:szCs w:val="24"/>
        </w:rPr>
        <w:t>,</w:t>
      </w:r>
      <w:r w:rsidRPr="00945388">
        <w:rPr>
          <w:szCs w:val="24"/>
        </w:rPr>
        <w:t xml:space="preserve"> </w:t>
      </w:r>
      <w:r>
        <w:rPr>
          <w:szCs w:val="24"/>
        </w:rPr>
        <w:t xml:space="preserve">makroøkonomi </w:t>
      </w:r>
      <w:r w:rsidRPr="00945388">
        <w:rPr>
          <w:szCs w:val="24"/>
        </w:rPr>
        <w:t>og konkurranseevne. Utvalget presenterer dessuten en prognose for konsumprisveksten fra 20</w:t>
      </w:r>
      <w:r>
        <w:rPr>
          <w:szCs w:val="24"/>
        </w:rPr>
        <w:t>1</w:t>
      </w:r>
      <w:r w:rsidR="000A3D12">
        <w:rPr>
          <w:szCs w:val="24"/>
        </w:rPr>
        <w:t>5</w:t>
      </w:r>
      <w:r w:rsidRPr="00945388">
        <w:rPr>
          <w:szCs w:val="24"/>
        </w:rPr>
        <w:t xml:space="preserve"> til 20</w:t>
      </w:r>
      <w:r>
        <w:rPr>
          <w:szCs w:val="24"/>
        </w:rPr>
        <w:t>1</w:t>
      </w:r>
      <w:r w:rsidR="000A3D12">
        <w:rPr>
          <w:szCs w:val="24"/>
        </w:rPr>
        <w:t>6</w:t>
      </w:r>
      <w:r w:rsidRPr="00945388">
        <w:rPr>
          <w:szCs w:val="24"/>
        </w:rPr>
        <w:t xml:space="preserve">. Rapporten inneholder også korte beskrivelser av utsiktene for internasjonal og norsk økonomi.  </w:t>
      </w:r>
    </w:p>
    <w:p w14:paraId="653ADA85" w14:textId="77777777" w:rsidR="002124A0" w:rsidRPr="00D96ADB" w:rsidRDefault="002124A0" w:rsidP="002124A0">
      <w:pPr>
        <w:spacing w:after="0"/>
        <w:rPr>
          <w:szCs w:val="24"/>
        </w:rPr>
      </w:pPr>
    </w:p>
    <w:p w14:paraId="1DDE1AE7" w14:textId="77777777" w:rsidR="002124A0" w:rsidRDefault="002124A0" w:rsidP="002124A0">
      <w:pPr>
        <w:spacing w:after="0"/>
        <w:rPr>
          <w:szCs w:val="24"/>
        </w:rPr>
      </w:pPr>
      <w:r w:rsidRPr="00945388">
        <w:rPr>
          <w:szCs w:val="24"/>
        </w:rPr>
        <w:t>Rapporten bygger delvis på foreløpig statistikk og anslag for 20</w:t>
      </w:r>
      <w:r w:rsidR="00C25594">
        <w:rPr>
          <w:szCs w:val="24"/>
        </w:rPr>
        <w:t>15</w:t>
      </w:r>
      <w:r w:rsidRPr="00945388">
        <w:rPr>
          <w:szCs w:val="24"/>
        </w:rPr>
        <w:t xml:space="preserve">. Deler av rapporten vil derfor bli oppdatert </w:t>
      </w:r>
      <w:r>
        <w:rPr>
          <w:szCs w:val="24"/>
        </w:rPr>
        <w:t>mot slutten av mars</w:t>
      </w:r>
      <w:r w:rsidRPr="00945388">
        <w:rPr>
          <w:szCs w:val="24"/>
        </w:rPr>
        <w:t>. Dette gjelder bl.a. tall for lønnsutviklingen, for forholdet mellom kvinners og menns lønn, lønn etter utdanning</w:t>
      </w:r>
      <w:r>
        <w:rPr>
          <w:szCs w:val="24"/>
        </w:rPr>
        <w:t xml:space="preserve"> og oppdaterte tall for utviklingen i lønns- og inntektsfordelingen. </w:t>
      </w:r>
      <w:r w:rsidRPr="00D96ADB">
        <w:rPr>
          <w:szCs w:val="24"/>
        </w:rPr>
        <w:t>Etter oppdateringen vil rapporten bli trykket i NOU-serien.</w:t>
      </w:r>
      <w:r>
        <w:rPr>
          <w:szCs w:val="24"/>
        </w:rPr>
        <w:t xml:space="preserve"> </w:t>
      </w:r>
    </w:p>
    <w:p w14:paraId="6CBAC9AF" w14:textId="77777777" w:rsidR="002124A0" w:rsidRDefault="002124A0" w:rsidP="002124A0">
      <w:pPr>
        <w:spacing w:after="0"/>
        <w:rPr>
          <w:szCs w:val="24"/>
        </w:rPr>
      </w:pPr>
    </w:p>
    <w:p w14:paraId="54D84080" w14:textId="77777777" w:rsidR="002124A0" w:rsidRDefault="002124A0" w:rsidP="002124A0">
      <w:pPr>
        <w:spacing w:after="0"/>
        <w:rPr>
          <w:szCs w:val="24"/>
        </w:rPr>
      </w:pPr>
      <w:r>
        <w:rPr>
          <w:szCs w:val="24"/>
        </w:rPr>
        <w:t>Utvalget vil som vanlig også komme med en rapport etter inntektsoppgjørene i juni som vil redegjøre for resultater av lønnsoppgjør i 201</w:t>
      </w:r>
      <w:r w:rsidR="00C25594">
        <w:rPr>
          <w:szCs w:val="24"/>
        </w:rPr>
        <w:t>6</w:t>
      </w:r>
      <w:r>
        <w:rPr>
          <w:szCs w:val="24"/>
        </w:rPr>
        <w:t>. Dette materialet offentliggjøres som en nettversjon i juni, og blir trykket i NOU-serien i mars/april til neste år.</w:t>
      </w:r>
    </w:p>
    <w:p w14:paraId="072F4725" w14:textId="77777777" w:rsidR="002124A0" w:rsidRDefault="002124A0" w:rsidP="002124A0">
      <w:pPr>
        <w:spacing w:after="0"/>
        <w:rPr>
          <w:szCs w:val="24"/>
        </w:rPr>
      </w:pPr>
    </w:p>
    <w:p w14:paraId="3BC90559" w14:textId="77777777" w:rsidR="002124A0" w:rsidRPr="00D96ADB" w:rsidRDefault="002124A0" w:rsidP="002124A0">
      <w:pPr>
        <w:spacing w:after="0"/>
        <w:rPr>
          <w:szCs w:val="24"/>
        </w:rPr>
      </w:pPr>
      <w:r w:rsidRPr="00D96ADB">
        <w:rPr>
          <w:iCs/>
          <w:szCs w:val="24"/>
        </w:rPr>
        <w:t>Beregningsutvalget ble ved k</w:t>
      </w:r>
      <w:r>
        <w:rPr>
          <w:iCs/>
          <w:szCs w:val="24"/>
        </w:rPr>
        <w:t>ongelig</w:t>
      </w:r>
      <w:r w:rsidRPr="00D96ADB">
        <w:rPr>
          <w:iCs/>
          <w:szCs w:val="24"/>
        </w:rPr>
        <w:t xml:space="preserve"> resolusjon av </w:t>
      </w:r>
      <w:r w:rsidR="00C25594">
        <w:rPr>
          <w:iCs/>
          <w:szCs w:val="24"/>
        </w:rPr>
        <w:t>25</w:t>
      </w:r>
      <w:r w:rsidRPr="00D96ADB">
        <w:rPr>
          <w:iCs/>
          <w:szCs w:val="24"/>
        </w:rPr>
        <w:t xml:space="preserve">. </w:t>
      </w:r>
      <w:r w:rsidR="00C25594">
        <w:rPr>
          <w:iCs/>
          <w:szCs w:val="24"/>
        </w:rPr>
        <w:t>september</w:t>
      </w:r>
      <w:r w:rsidRPr="00D96ADB">
        <w:rPr>
          <w:iCs/>
          <w:szCs w:val="24"/>
        </w:rPr>
        <w:t xml:space="preserve"> 20</w:t>
      </w:r>
      <w:r>
        <w:rPr>
          <w:iCs/>
          <w:szCs w:val="24"/>
        </w:rPr>
        <w:t>1</w:t>
      </w:r>
      <w:r w:rsidR="00C25594">
        <w:rPr>
          <w:iCs/>
          <w:szCs w:val="24"/>
        </w:rPr>
        <w:t>5</w:t>
      </w:r>
      <w:r w:rsidRPr="00D96ADB">
        <w:rPr>
          <w:iCs/>
          <w:szCs w:val="24"/>
        </w:rPr>
        <w:t xml:space="preserve"> </w:t>
      </w:r>
      <w:r w:rsidRPr="00D96ADB">
        <w:rPr>
          <w:szCs w:val="24"/>
        </w:rPr>
        <w:t xml:space="preserve">gjenoppnevnt for </w:t>
      </w:r>
      <w:r w:rsidRPr="00D96ADB">
        <w:rPr>
          <w:iCs/>
          <w:szCs w:val="24"/>
        </w:rPr>
        <w:t>en ny periode</w:t>
      </w:r>
      <w:r w:rsidRPr="00D96ADB">
        <w:rPr>
          <w:szCs w:val="24"/>
        </w:rPr>
        <w:t xml:space="preserve"> inntil 30. september 20</w:t>
      </w:r>
      <w:r>
        <w:rPr>
          <w:szCs w:val="24"/>
        </w:rPr>
        <w:t>1</w:t>
      </w:r>
      <w:r w:rsidR="00C25594">
        <w:rPr>
          <w:szCs w:val="24"/>
        </w:rPr>
        <w:t>9</w:t>
      </w:r>
      <w:r w:rsidRPr="00D96ADB">
        <w:rPr>
          <w:szCs w:val="24"/>
        </w:rPr>
        <w:t xml:space="preserve"> med følgende mandat:</w:t>
      </w:r>
    </w:p>
    <w:p w14:paraId="29DEF5EF" w14:textId="77777777" w:rsidR="002124A0" w:rsidRPr="00D96ADB" w:rsidRDefault="002124A0" w:rsidP="002124A0">
      <w:pPr>
        <w:rPr>
          <w:szCs w:val="24"/>
        </w:rPr>
      </w:pPr>
    </w:p>
    <w:p w14:paraId="698D9A0E" w14:textId="77777777" w:rsidR="002124A0" w:rsidRPr="00D96ADB" w:rsidRDefault="004A3324" w:rsidP="002124A0">
      <w:pPr>
        <w:spacing w:after="0"/>
        <w:ind w:left="284"/>
        <w:rPr>
          <w:i/>
          <w:szCs w:val="24"/>
        </w:rPr>
      </w:pPr>
      <w:r w:rsidRPr="00D96ADB">
        <w:rPr>
          <w:i/>
          <w:szCs w:val="24"/>
        </w:rPr>
        <w:t>” Utvalget</w:t>
      </w:r>
      <w:r w:rsidR="002124A0" w:rsidRPr="00D96ADB">
        <w:rPr>
          <w:i/>
          <w:szCs w:val="24"/>
        </w:rPr>
        <w:t xml:space="preserve"> skal i tilknytning til inntektsoppgjørene legge fram det best mulige tallmessige bakgrunnsmateriale og presentere det i en slik form at uenighet partene i mellom om økonomiske forhold så vidt mulig kan unngås. </w:t>
      </w:r>
    </w:p>
    <w:p w14:paraId="785BE8D1" w14:textId="77777777" w:rsidR="002124A0" w:rsidRPr="00D96ADB" w:rsidRDefault="002124A0" w:rsidP="002124A0">
      <w:pPr>
        <w:spacing w:after="0"/>
        <w:ind w:left="284"/>
        <w:rPr>
          <w:i/>
          <w:szCs w:val="24"/>
        </w:rPr>
      </w:pPr>
    </w:p>
    <w:p w14:paraId="78FFA30B" w14:textId="77777777" w:rsidR="002124A0" w:rsidRDefault="002124A0" w:rsidP="002124A0">
      <w:pPr>
        <w:spacing w:after="0"/>
        <w:ind w:left="284"/>
        <w:rPr>
          <w:i/>
          <w:szCs w:val="24"/>
        </w:rPr>
      </w:pPr>
      <w:r w:rsidRPr="00D96ADB">
        <w:rPr>
          <w:i/>
          <w:szCs w:val="24"/>
        </w:rPr>
        <w:t>Utvalget skal legge fram oppsummeringsrapporter etter inntektsoppgjør.</w:t>
      </w:r>
    </w:p>
    <w:p w14:paraId="021EC66D" w14:textId="77777777" w:rsidR="002124A0" w:rsidRDefault="002124A0" w:rsidP="002124A0">
      <w:pPr>
        <w:spacing w:after="0"/>
        <w:ind w:left="284"/>
        <w:rPr>
          <w:i/>
          <w:szCs w:val="24"/>
        </w:rPr>
      </w:pPr>
    </w:p>
    <w:p w14:paraId="71AEE696" w14:textId="77777777" w:rsidR="002124A0" w:rsidRPr="00D96ADB" w:rsidRDefault="002124A0" w:rsidP="002124A0">
      <w:pPr>
        <w:spacing w:after="0"/>
        <w:ind w:left="284"/>
        <w:rPr>
          <w:i/>
          <w:szCs w:val="24"/>
        </w:rPr>
      </w:pPr>
      <w:r w:rsidRPr="00D96ADB">
        <w:rPr>
          <w:i/>
          <w:szCs w:val="24"/>
        </w:rPr>
        <w:t>Utvalget skal, når departementet ber om det, kunne klargjøre det tallmessige grunnlagsmateriale for spesielle inntektspolitiske spørsmål.</w:t>
      </w:r>
    </w:p>
    <w:p w14:paraId="5DD10207" w14:textId="77777777" w:rsidR="002124A0" w:rsidRPr="00D96ADB" w:rsidRDefault="002124A0" w:rsidP="002124A0">
      <w:pPr>
        <w:spacing w:after="0"/>
        <w:ind w:left="284"/>
        <w:rPr>
          <w:i/>
          <w:szCs w:val="24"/>
        </w:rPr>
      </w:pPr>
    </w:p>
    <w:p w14:paraId="3647A8ED" w14:textId="77777777" w:rsidR="002124A0" w:rsidRPr="00D96ADB" w:rsidRDefault="002124A0" w:rsidP="002124A0">
      <w:pPr>
        <w:spacing w:after="0"/>
        <w:ind w:left="284"/>
        <w:rPr>
          <w:b/>
          <w:i/>
          <w:szCs w:val="24"/>
        </w:rPr>
      </w:pPr>
      <w:r w:rsidRPr="00D96ADB">
        <w:rPr>
          <w:i/>
          <w:szCs w:val="24"/>
        </w:rPr>
        <w:t>Utvalgets utredninger avgis til Arbeid</w:t>
      </w:r>
      <w:r>
        <w:rPr>
          <w:i/>
          <w:szCs w:val="24"/>
        </w:rPr>
        <w:t>s</w:t>
      </w:r>
      <w:r w:rsidR="005E6D23">
        <w:rPr>
          <w:i/>
          <w:szCs w:val="24"/>
        </w:rPr>
        <w:t>- og sosial</w:t>
      </w:r>
      <w:r w:rsidRPr="00D96ADB">
        <w:rPr>
          <w:i/>
          <w:szCs w:val="24"/>
        </w:rPr>
        <w:t>departementet”</w:t>
      </w:r>
      <w:r>
        <w:rPr>
          <w:i/>
          <w:szCs w:val="24"/>
        </w:rPr>
        <w:t>.</w:t>
      </w:r>
    </w:p>
    <w:p w14:paraId="76285287" w14:textId="77777777" w:rsidR="002124A0" w:rsidRPr="00D96ADB" w:rsidRDefault="002124A0" w:rsidP="002124A0">
      <w:pPr>
        <w:rPr>
          <w:szCs w:val="24"/>
        </w:rPr>
      </w:pPr>
    </w:p>
    <w:p w14:paraId="03F2FB5C" w14:textId="74FA3043" w:rsidR="002124A0" w:rsidRPr="00D96ADB" w:rsidRDefault="002124A0" w:rsidP="002124A0">
      <w:pPr>
        <w:rPr>
          <w:szCs w:val="24"/>
        </w:rPr>
      </w:pPr>
      <w:r>
        <w:br w:type="page"/>
      </w:r>
      <w:r w:rsidRPr="00D96ADB">
        <w:rPr>
          <w:szCs w:val="24"/>
        </w:rPr>
        <w:lastRenderedPageBreak/>
        <w:t xml:space="preserve">I tillegg til utvalgets medlemmer og sekretariatet har følgende deltatt i arbeidet med rapporten: </w:t>
      </w:r>
      <w:r w:rsidR="00C25594">
        <w:rPr>
          <w:szCs w:val="24"/>
        </w:rPr>
        <w:t>Ranjit Kaur</w:t>
      </w:r>
      <w:r w:rsidRPr="00D96ADB">
        <w:rPr>
          <w:szCs w:val="24"/>
        </w:rPr>
        <w:t xml:space="preserve">, Arbeidsgiverforeningen </w:t>
      </w:r>
      <w:r>
        <w:rPr>
          <w:szCs w:val="24"/>
        </w:rPr>
        <w:t>Spekter</w:t>
      </w:r>
      <w:r w:rsidRPr="00D96ADB">
        <w:rPr>
          <w:szCs w:val="24"/>
        </w:rPr>
        <w:t xml:space="preserve">, Oddbjørn Eidem, Næringslivets Hovedorganisasjon, </w:t>
      </w:r>
      <w:r w:rsidR="00C25594">
        <w:rPr>
          <w:szCs w:val="24"/>
        </w:rPr>
        <w:t>Pål Skarsbak</w:t>
      </w:r>
      <w:r>
        <w:rPr>
          <w:szCs w:val="24"/>
        </w:rPr>
        <w:t xml:space="preserve">, Landsorganisasjonen i Norge, Rolf Stangeland, Unio, </w:t>
      </w:r>
      <w:r w:rsidRPr="00D96ADB">
        <w:rPr>
          <w:szCs w:val="24"/>
        </w:rPr>
        <w:t xml:space="preserve">Eirik Solberg, </w:t>
      </w:r>
      <w:r>
        <w:rPr>
          <w:szCs w:val="24"/>
        </w:rPr>
        <w:t>KS</w:t>
      </w:r>
      <w:r w:rsidRPr="00D96ADB">
        <w:rPr>
          <w:szCs w:val="24"/>
        </w:rPr>
        <w:t xml:space="preserve">, </w:t>
      </w:r>
      <w:r>
        <w:rPr>
          <w:szCs w:val="24"/>
        </w:rPr>
        <w:t xml:space="preserve">Ørnulf Kastet, </w:t>
      </w:r>
      <w:r w:rsidRPr="00392AE9">
        <w:rPr>
          <w:szCs w:val="24"/>
        </w:rPr>
        <w:t>Yrkesorganisasjonenes Sentralforbund</w:t>
      </w:r>
      <w:r>
        <w:rPr>
          <w:szCs w:val="24"/>
        </w:rPr>
        <w:t xml:space="preserve">, </w:t>
      </w:r>
      <w:r w:rsidR="00C25594">
        <w:rPr>
          <w:szCs w:val="24"/>
        </w:rPr>
        <w:t>Svein Sjølie</w:t>
      </w:r>
      <w:r>
        <w:rPr>
          <w:szCs w:val="24"/>
        </w:rPr>
        <w:t>, Akademikerne, Bård Westbye, Virke</w:t>
      </w:r>
      <w:r w:rsidR="00FF5727">
        <w:rPr>
          <w:szCs w:val="24"/>
        </w:rPr>
        <w:t xml:space="preserve"> og</w:t>
      </w:r>
      <w:r>
        <w:rPr>
          <w:szCs w:val="24"/>
        </w:rPr>
        <w:t xml:space="preserve"> Ragnar Ihle Bøhn</w:t>
      </w:r>
      <w:r w:rsidRPr="00D96ADB">
        <w:rPr>
          <w:szCs w:val="24"/>
        </w:rPr>
        <w:t xml:space="preserve">, </w:t>
      </w:r>
      <w:r>
        <w:rPr>
          <w:szCs w:val="24"/>
        </w:rPr>
        <w:t>Kommunal- og moderniserings</w:t>
      </w:r>
      <w:r w:rsidRPr="00D96ADB">
        <w:rPr>
          <w:szCs w:val="24"/>
        </w:rPr>
        <w:t>departementet</w:t>
      </w:r>
      <w:r w:rsidR="008D32BA">
        <w:rPr>
          <w:szCs w:val="24"/>
        </w:rPr>
        <w:t>.</w:t>
      </w:r>
    </w:p>
    <w:p w14:paraId="1BA1A4B5" w14:textId="77777777" w:rsidR="002124A0" w:rsidRDefault="002124A0" w:rsidP="002124A0"/>
    <w:p w14:paraId="233874A5" w14:textId="77777777" w:rsidR="002124A0" w:rsidRDefault="002124A0" w:rsidP="002124A0">
      <w:pPr>
        <w:ind w:right="-341"/>
        <w:jc w:val="center"/>
      </w:pPr>
      <w:r>
        <w:t xml:space="preserve">Oslo, </w:t>
      </w:r>
      <w:r w:rsidR="00C25594">
        <w:t>22</w:t>
      </w:r>
      <w:r>
        <w:t>. februar 201</w:t>
      </w:r>
      <w:r w:rsidR="00C25594">
        <w:t>6</w:t>
      </w:r>
    </w:p>
    <w:p w14:paraId="47DF9CF5" w14:textId="77777777" w:rsidR="002124A0" w:rsidRDefault="002124A0" w:rsidP="002124A0">
      <w:pPr>
        <w:ind w:right="-341"/>
        <w:jc w:val="center"/>
      </w:pPr>
    </w:p>
    <w:p w14:paraId="689533A0" w14:textId="77777777" w:rsidR="002124A0" w:rsidRDefault="002124A0" w:rsidP="002124A0">
      <w:pPr>
        <w:spacing w:after="0"/>
        <w:jc w:val="center"/>
        <w:rPr>
          <w:szCs w:val="24"/>
        </w:rPr>
      </w:pPr>
      <w:r>
        <w:rPr>
          <w:szCs w:val="24"/>
        </w:rPr>
        <w:t>Ådne Cappelen</w:t>
      </w:r>
      <w:r w:rsidRPr="00392AE9">
        <w:rPr>
          <w:szCs w:val="24"/>
        </w:rPr>
        <w:br/>
        <w:t>leder</w:t>
      </w:r>
    </w:p>
    <w:p w14:paraId="3EEA6C0C" w14:textId="77777777" w:rsidR="002124A0" w:rsidRDefault="002124A0" w:rsidP="002124A0">
      <w:pPr>
        <w:spacing w:after="0"/>
        <w:jc w:val="center"/>
        <w:rPr>
          <w:szCs w:val="24"/>
        </w:rPr>
      </w:pPr>
      <w:r w:rsidRPr="00392AE9">
        <w:rPr>
          <w:szCs w:val="24"/>
        </w:rPr>
        <w:t>Statistisk sentralbyrå</w:t>
      </w:r>
    </w:p>
    <w:p w14:paraId="423FE9EB" w14:textId="77777777" w:rsidR="002124A0" w:rsidRPr="00392AE9" w:rsidRDefault="002124A0" w:rsidP="002124A0">
      <w:pPr>
        <w:spacing w:after="0"/>
        <w:jc w:val="center"/>
        <w:rPr>
          <w:szCs w:val="24"/>
        </w:rPr>
      </w:pPr>
    </w:p>
    <w:p w14:paraId="28FDA2E1" w14:textId="77777777" w:rsidR="002124A0" w:rsidRDefault="002124A0" w:rsidP="002124A0">
      <w:pPr>
        <w:pStyle w:val="Brdtekst3"/>
        <w:spacing w:after="0"/>
        <w:jc w:val="center"/>
      </w:pPr>
    </w:p>
    <w:tbl>
      <w:tblPr>
        <w:tblW w:w="10135" w:type="dxa"/>
        <w:tblCellMar>
          <w:left w:w="70" w:type="dxa"/>
          <w:right w:w="70" w:type="dxa"/>
        </w:tblCellMar>
        <w:tblLook w:val="0000" w:firstRow="0" w:lastRow="0" w:firstColumn="0" w:lastColumn="0" w:noHBand="0" w:noVBand="0"/>
      </w:tblPr>
      <w:tblGrid>
        <w:gridCol w:w="3472"/>
        <w:gridCol w:w="3261"/>
        <w:gridCol w:w="3402"/>
      </w:tblGrid>
      <w:tr w:rsidR="002124A0" w:rsidRPr="00392AE9" w14:paraId="6F6CBD95" w14:textId="77777777" w:rsidTr="00BD518F">
        <w:tc>
          <w:tcPr>
            <w:tcW w:w="3472" w:type="dxa"/>
          </w:tcPr>
          <w:p w14:paraId="255E68A8" w14:textId="77777777" w:rsidR="002124A0" w:rsidRPr="00392AE9" w:rsidRDefault="002124A0" w:rsidP="00BD518F">
            <w:pPr>
              <w:tabs>
                <w:tab w:val="left" w:pos="3119"/>
                <w:tab w:val="left" w:pos="6804"/>
              </w:tabs>
              <w:spacing w:after="0"/>
              <w:ind w:right="-340"/>
              <w:rPr>
                <w:szCs w:val="24"/>
              </w:rPr>
            </w:pPr>
            <w:smartTag w:uri="urn:schemas-microsoft-com:office:smarttags" w:element="PersonName">
              <w:r w:rsidRPr="00392AE9">
                <w:rPr>
                  <w:szCs w:val="24"/>
                </w:rPr>
                <w:t xml:space="preserve">Ann Lisbet Brathaug </w:t>
              </w:r>
            </w:smartTag>
          </w:p>
        </w:tc>
        <w:tc>
          <w:tcPr>
            <w:tcW w:w="3261" w:type="dxa"/>
          </w:tcPr>
          <w:p w14:paraId="31E1C37B" w14:textId="77777777" w:rsidR="002124A0" w:rsidRPr="00392AE9" w:rsidRDefault="002124A0" w:rsidP="00BD518F">
            <w:pPr>
              <w:tabs>
                <w:tab w:val="left" w:pos="3119"/>
                <w:tab w:val="left" w:pos="6804"/>
              </w:tabs>
              <w:spacing w:after="0"/>
              <w:ind w:right="-340"/>
              <w:rPr>
                <w:szCs w:val="24"/>
              </w:rPr>
            </w:pPr>
            <w:smartTag w:uri="urn:schemas-microsoft-com:office:smarttags" w:element="PersonName">
              <w:r>
                <w:rPr>
                  <w:szCs w:val="24"/>
                </w:rPr>
                <w:t>Stein Gjerding</w:t>
              </w:r>
            </w:smartTag>
          </w:p>
        </w:tc>
        <w:tc>
          <w:tcPr>
            <w:tcW w:w="3402" w:type="dxa"/>
          </w:tcPr>
          <w:p w14:paraId="3D152657" w14:textId="77777777" w:rsidR="002124A0" w:rsidRPr="00392AE9" w:rsidRDefault="002124A0" w:rsidP="00BD518F">
            <w:pPr>
              <w:tabs>
                <w:tab w:val="left" w:pos="3119"/>
                <w:tab w:val="left" w:pos="6804"/>
              </w:tabs>
              <w:spacing w:after="0"/>
              <w:ind w:right="-340"/>
              <w:rPr>
                <w:szCs w:val="24"/>
              </w:rPr>
            </w:pPr>
            <w:r w:rsidRPr="00392AE9">
              <w:rPr>
                <w:szCs w:val="24"/>
              </w:rPr>
              <w:t>Ellen Horneland</w:t>
            </w:r>
            <w:r>
              <w:rPr>
                <w:szCs w:val="24"/>
              </w:rPr>
              <w:t xml:space="preserve"> </w:t>
            </w:r>
          </w:p>
        </w:tc>
      </w:tr>
      <w:tr w:rsidR="002124A0" w:rsidRPr="00392AE9" w14:paraId="1C7E54B3" w14:textId="77777777" w:rsidTr="00BD518F">
        <w:tc>
          <w:tcPr>
            <w:tcW w:w="3472" w:type="dxa"/>
          </w:tcPr>
          <w:p w14:paraId="39B1DF23" w14:textId="77777777" w:rsidR="002124A0" w:rsidRPr="00392AE9" w:rsidRDefault="002124A0" w:rsidP="00BD518F">
            <w:pPr>
              <w:tabs>
                <w:tab w:val="left" w:pos="3119"/>
                <w:tab w:val="left" w:pos="6804"/>
              </w:tabs>
              <w:spacing w:after="0"/>
              <w:ind w:right="-340"/>
              <w:rPr>
                <w:szCs w:val="24"/>
              </w:rPr>
            </w:pPr>
            <w:r w:rsidRPr="00392AE9">
              <w:rPr>
                <w:szCs w:val="24"/>
              </w:rPr>
              <w:t>Statistisk sentralbyrå</w:t>
            </w:r>
          </w:p>
        </w:tc>
        <w:tc>
          <w:tcPr>
            <w:tcW w:w="3261" w:type="dxa"/>
          </w:tcPr>
          <w:p w14:paraId="77CA0BAA" w14:textId="77777777" w:rsidR="002124A0" w:rsidRPr="00392AE9" w:rsidRDefault="002124A0" w:rsidP="00BD518F">
            <w:pPr>
              <w:tabs>
                <w:tab w:val="left" w:pos="3119"/>
                <w:tab w:val="left" w:pos="6804"/>
              </w:tabs>
              <w:spacing w:after="0"/>
              <w:ind w:right="-340"/>
              <w:rPr>
                <w:szCs w:val="24"/>
              </w:rPr>
            </w:pPr>
            <w:r w:rsidRPr="00392AE9">
              <w:rPr>
                <w:szCs w:val="24"/>
              </w:rPr>
              <w:t xml:space="preserve">Arbeidsgiverforeningen </w:t>
            </w:r>
            <w:r>
              <w:rPr>
                <w:szCs w:val="24"/>
              </w:rPr>
              <w:t>Spekter</w:t>
            </w:r>
          </w:p>
        </w:tc>
        <w:tc>
          <w:tcPr>
            <w:tcW w:w="3402" w:type="dxa"/>
          </w:tcPr>
          <w:p w14:paraId="1D2E83AD" w14:textId="77777777" w:rsidR="002124A0" w:rsidRPr="00392AE9" w:rsidRDefault="002124A0" w:rsidP="00BD518F">
            <w:pPr>
              <w:tabs>
                <w:tab w:val="left" w:pos="3119"/>
                <w:tab w:val="left" w:pos="6804"/>
              </w:tabs>
              <w:spacing w:after="0"/>
              <w:ind w:right="-340"/>
              <w:rPr>
                <w:szCs w:val="24"/>
              </w:rPr>
            </w:pPr>
            <w:r w:rsidRPr="00392AE9">
              <w:rPr>
                <w:szCs w:val="24"/>
              </w:rPr>
              <w:t>Landsorganisasjonen i Norge</w:t>
            </w:r>
          </w:p>
        </w:tc>
      </w:tr>
      <w:tr w:rsidR="002124A0" w:rsidRPr="00392AE9" w14:paraId="2DCBA71B" w14:textId="77777777" w:rsidTr="00BD518F">
        <w:tc>
          <w:tcPr>
            <w:tcW w:w="3472" w:type="dxa"/>
          </w:tcPr>
          <w:p w14:paraId="35840A21" w14:textId="77777777" w:rsidR="002124A0" w:rsidRPr="00392AE9" w:rsidRDefault="002124A0" w:rsidP="00BD518F">
            <w:pPr>
              <w:tabs>
                <w:tab w:val="left" w:pos="3119"/>
                <w:tab w:val="left" w:pos="6804"/>
              </w:tabs>
              <w:spacing w:after="0"/>
              <w:ind w:right="-340"/>
              <w:rPr>
                <w:szCs w:val="24"/>
              </w:rPr>
            </w:pPr>
          </w:p>
        </w:tc>
        <w:tc>
          <w:tcPr>
            <w:tcW w:w="3261" w:type="dxa"/>
          </w:tcPr>
          <w:p w14:paraId="2585692F" w14:textId="77777777" w:rsidR="002124A0" w:rsidRPr="00392AE9" w:rsidRDefault="002124A0" w:rsidP="00BD518F">
            <w:pPr>
              <w:tabs>
                <w:tab w:val="left" w:pos="3119"/>
                <w:tab w:val="left" w:pos="6804"/>
              </w:tabs>
              <w:spacing w:after="0"/>
              <w:ind w:right="-340"/>
              <w:rPr>
                <w:szCs w:val="24"/>
              </w:rPr>
            </w:pPr>
          </w:p>
        </w:tc>
        <w:tc>
          <w:tcPr>
            <w:tcW w:w="3402" w:type="dxa"/>
          </w:tcPr>
          <w:p w14:paraId="0A20F7B6" w14:textId="77777777" w:rsidR="002124A0" w:rsidRPr="00392AE9" w:rsidRDefault="002124A0" w:rsidP="00BD518F">
            <w:pPr>
              <w:tabs>
                <w:tab w:val="left" w:pos="3119"/>
                <w:tab w:val="left" w:pos="6804"/>
              </w:tabs>
              <w:spacing w:after="0"/>
              <w:ind w:right="-340"/>
              <w:rPr>
                <w:szCs w:val="24"/>
              </w:rPr>
            </w:pPr>
          </w:p>
        </w:tc>
      </w:tr>
      <w:tr w:rsidR="005E6D23" w:rsidRPr="00392AE9" w14:paraId="6F37583E" w14:textId="77777777" w:rsidTr="00BD518F">
        <w:tc>
          <w:tcPr>
            <w:tcW w:w="3472" w:type="dxa"/>
          </w:tcPr>
          <w:p w14:paraId="78D6942B" w14:textId="77777777" w:rsidR="005E6D23" w:rsidRPr="00392AE9" w:rsidRDefault="005E6D23" w:rsidP="005E6D23">
            <w:pPr>
              <w:tabs>
                <w:tab w:val="left" w:pos="3119"/>
                <w:tab w:val="left" w:pos="6804"/>
              </w:tabs>
              <w:spacing w:after="0"/>
              <w:ind w:right="-340"/>
              <w:rPr>
                <w:szCs w:val="24"/>
              </w:rPr>
            </w:pPr>
            <w:smartTag w:uri="urn:schemas-microsoft-com:office:smarttags" w:element="PersonName">
              <w:r w:rsidRPr="00392AE9">
                <w:rPr>
                  <w:szCs w:val="24"/>
                </w:rPr>
                <w:t>Lars Haartveit</w:t>
              </w:r>
            </w:smartTag>
          </w:p>
        </w:tc>
        <w:tc>
          <w:tcPr>
            <w:tcW w:w="3261" w:type="dxa"/>
          </w:tcPr>
          <w:p w14:paraId="5AFF1BE6" w14:textId="3343BC3B" w:rsidR="005E6D23" w:rsidRPr="00392AE9" w:rsidRDefault="005E6D23" w:rsidP="005E6D23">
            <w:pPr>
              <w:tabs>
                <w:tab w:val="left" w:pos="3119"/>
                <w:tab w:val="left" w:pos="6804"/>
              </w:tabs>
              <w:spacing w:after="0"/>
              <w:ind w:right="-340"/>
              <w:rPr>
                <w:szCs w:val="24"/>
              </w:rPr>
            </w:pPr>
            <w:r>
              <w:rPr>
                <w:szCs w:val="24"/>
              </w:rPr>
              <w:t xml:space="preserve">Grete </w:t>
            </w:r>
            <w:r w:rsidR="0013321E">
              <w:rPr>
                <w:szCs w:val="24"/>
              </w:rPr>
              <w:t xml:space="preserve">A. </w:t>
            </w:r>
            <w:r>
              <w:rPr>
                <w:szCs w:val="24"/>
              </w:rPr>
              <w:t>Jarnæs</w:t>
            </w:r>
            <w:r w:rsidRPr="00392AE9">
              <w:rPr>
                <w:szCs w:val="24"/>
              </w:rPr>
              <w:t xml:space="preserve"> </w:t>
            </w:r>
          </w:p>
        </w:tc>
        <w:tc>
          <w:tcPr>
            <w:tcW w:w="3402" w:type="dxa"/>
          </w:tcPr>
          <w:p w14:paraId="07DE1E26" w14:textId="77777777" w:rsidR="005E6D23" w:rsidRPr="00392AE9" w:rsidRDefault="005E6D23" w:rsidP="005E6D23">
            <w:pPr>
              <w:tabs>
                <w:tab w:val="left" w:pos="3119"/>
                <w:tab w:val="left" w:pos="6804"/>
              </w:tabs>
              <w:spacing w:after="0"/>
              <w:ind w:right="-340"/>
              <w:rPr>
                <w:szCs w:val="24"/>
              </w:rPr>
            </w:pPr>
            <w:r>
              <w:rPr>
                <w:szCs w:val="24"/>
              </w:rPr>
              <w:t>Frank Emil Jøssund</w:t>
            </w:r>
          </w:p>
        </w:tc>
      </w:tr>
      <w:tr w:rsidR="005E6D23" w:rsidRPr="00392AE9" w14:paraId="61BAB134" w14:textId="77777777" w:rsidTr="00BD518F">
        <w:tc>
          <w:tcPr>
            <w:tcW w:w="3472" w:type="dxa"/>
          </w:tcPr>
          <w:p w14:paraId="39412475" w14:textId="77777777" w:rsidR="005E6D23" w:rsidRPr="00392AE9" w:rsidRDefault="005E6D23" w:rsidP="005E6D23">
            <w:pPr>
              <w:tabs>
                <w:tab w:val="left" w:pos="3119"/>
                <w:tab w:val="left" w:pos="6804"/>
              </w:tabs>
              <w:spacing w:after="0"/>
              <w:ind w:right="-340"/>
              <w:rPr>
                <w:szCs w:val="24"/>
              </w:rPr>
            </w:pPr>
            <w:r>
              <w:rPr>
                <w:szCs w:val="24"/>
              </w:rPr>
              <w:t>Hovedorganisasjonen Virke</w:t>
            </w:r>
          </w:p>
        </w:tc>
        <w:tc>
          <w:tcPr>
            <w:tcW w:w="3261" w:type="dxa"/>
          </w:tcPr>
          <w:p w14:paraId="13205F91" w14:textId="77777777" w:rsidR="005E6D23" w:rsidRPr="00392AE9" w:rsidRDefault="005E6D23" w:rsidP="005E6D23">
            <w:pPr>
              <w:tabs>
                <w:tab w:val="left" w:pos="3119"/>
                <w:tab w:val="left" w:pos="6804"/>
              </w:tabs>
              <w:spacing w:after="0"/>
              <w:ind w:right="-340"/>
              <w:rPr>
                <w:szCs w:val="24"/>
              </w:rPr>
            </w:pPr>
            <w:r>
              <w:rPr>
                <w:szCs w:val="24"/>
              </w:rPr>
              <w:t>Kommunal- og moderniserings</w:t>
            </w:r>
            <w:r w:rsidRPr="00392AE9">
              <w:rPr>
                <w:szCs w:val="24"/>
              </w:rPr>
              <w:t>departementet</w:t>
            </w:r>
          </w:p>
        </w:tc>
        <w:tc>
          <w:tcPr>
            <w:tcW w:w="3402" w:type="dxa"/>
          </w:tcPr>
          <w:p w14:paraId="5BFF06F4" w14:textId="77777777" w:rsidR="005E6D23" w:rsidRPr="00392AE9" w:rsidRDefault="005E6D23" w:rsidP="005E6D23">
            <w:pPr>
              <w:tabs>
                <w:tab w:val="left" w:pos="3119"/>
                <w:tab w:val="left" w:pos="6804"/>
              </w:tabs>
              <w:spacing w:after="0"/>
              <w:ind w:right="-340"/>
              <w:rPr>
                <w:szCs w:val="24"/>
              </w:rPr>
            </w:pPr>
            <w:r w:rsidRPr="00392AE9">
              <w:rPr>
                <w:szCs w:val="24"/>
              </w:rPr>
              <w:t>Finansdepartementet</w:t>
            </w:r>
          </w:p>
        </w:tc>
      </w:tr>
      <w:tr w:rsidR="002124A0" w:rsidRPr="00392AE9" w14:paraId="5D39E7E2" w14:textId="77777777" w:rsidTr="00BD518F">
        <w:tc>
          <w:tcPr>
            <w:tcW w:w="3472" w:type="dxa"/>
          </w:tcPr>
          <w:p w14:paraId="522D0DAD" w14:textId="77777777" w:rsidR="002124A0" w:rsidRPr="00392AE9" w:rsidRDefault="002124A0" w:rsidP="00BD518F">
            <w:pPr>
              <w:tabs>
                <w:tab w:val="left" w:pos="3119"/>
                <w:tab w:val="left" w:pos="6804"/>
              </w:tabs>
              <w:spacing w:after="0"/>
              <w:ind w:right="-340"/>
              <w:rPr>
                <w:szCs w:val="24"/>
              </w:rPr>
            </w:pPr>
          </w:p>
        </w:tc>
        <w:tc>
          <w:tcPr>
            <w:tcW w:w="3261" w:type="dxa"/>
          </w:tcPr>
          <w:p w14:paraId="2572945E" w14:textId="77777777" w:rsidR="002124A0" w:rsidRPr="00392AE9" w:rsidRDefault="002124A0" w:rsidP="00BD518F">
            <w:pPr>
              <w:tabs>
                <w:tab w:val="left" w:pos="3119"/>
                <w:tab w:val="left" w:pos="6804"/>
              </w:tabs>
              <w:spacing w:after="0"/>
              <w:ind w:right="-340"/>
              <w:rPr>
                <w:szCs w:val="24"/>
              </w:rPr>
            </w:pPr>
          </w:p>
        </w:tc>
        <w:tc>
          <w:tcPr>
            <w:tcW w:w="3402" w:type="dxa"/>
          </w:tcPr>
          <w:p w14:paraId="37B2B0EB" w14:textId="77777777" w:rsidR="002124A0" w:rsidRPr="00392AE9" w:rsidRDefault="002124A0" w:rsidP="00BD518F">
            <w:pPr>
              <w:tabs>
                <w:tab w:val="left" w:pos="3119"/>
                <w:tab w:val="left" w:pos="6804"/>
              </w:tabs>
              <w:spacing w:after="0"/>
              <w:ind w:right="-340"/>
              <w:rPr>
                <w:szCs w:val="24"/>
              </w:rPr>
            </w:pPr>
          </w:p>
        </w:tc>
      </w:tr>
      <w:tr w:rsidR="00651C1E" w:rsidRPr="00392AE9" w14:paraId="248FAB11" w14:textId="77777777" w:rsidTr="00BD518F">
        <w:tc>
          <w:tcPr>
            <w:tcW w:w="3472" w:type="dxa"/>
          </w:tcPr>
          <w:p w14:paraId="1181B201" w14:textId="77777777" w:rsidR="00651C1E" w:rsidRPr="00392AE9" w:rsidRDefault="00651C1E" w:rsidP="00651C1E">
            <w:pPr>
              <w:tabs>
                <w:tab w:val="left" w:pos="3119"/>
                <w:tab w:val="left" w:pos="6804"/>
              </w:tabs>
              <w:spacing w:after="0"/>
              <w:ind w:right="-340"/>
              <w:rPr>
                <w:szCs w:val="24"/>
              </w:rPr>
            </w:pPr>
            <w:r>
              <w:rPr>
                <w:szCs w:val="24"/>
              </w:rPr>
              <w:t>Torill Lødemel</w:t>
            </w:r>
          </w:p>
        </w:tc>
        <w:tc>
          <w:tcPr>
            <w:tcW w:w="3261" w:type="dxa"/>
          </w:tcPr>
          <w:p w14:paraId="37968F3B" w14:textId="77777777" w:rsidR="00651C1E" w:rsidRPr="00392AE9" w:rsidRDefault="00651C1E" w:rsidP="00651C1E">
            <w:pPr>
              <w:tabs>
                <w:tab w:val="left" w:pos="3119"/>
                <w:tab w:val="left" w:pos="6804"/>
              </w:tabs>
              <w:spacing w:after="0"/>
              <w:ind w:right="-340"/>
              <w:rPr>
                <w:szCs w:val="24"/>
              </w:rPr>
            </w:pPr>
            <w:r>
              <w:rPr>
                <w:szCs w:val="24"/>
              </w:rPr>
              <w:t>Synnøve Nymo</w:t>
            </w:r>
          </w:p>
        </w:tc>
        <w:tc>
          <w:tcPr>
            <w:tcW w:w="3402" w:type="dxa"/>
          </w:tcPr>
          <w:p w14:paraId="26018D1F" w14:textId="77777777" w:rsidR="00651C1E" w:rsidRPr="00392AE9" w:rsidRDefault="00651C1E" w:rsidP="00651C1E">
            <w:pPr>
              <w:tabs>
                <w:tab w:val="left" w:pos="3119"/>
                <w:tab w:val="left" w:pos="6804"/>
              </w:tabs>
              <w:spacing w:after="0"/>
              <w:ind w:right="-340"/>
              <w:rPr>
                <w:szCs w:val="24"/>
              </w:rPr>
            </w:pPr>
            <w:smartTag w:uri="urn:schemas-microsoft-com:office:smarttags" w:element="PersonName">
              <w:r w:rsidRPr="00392AE9">
                <w:rPr>
                  <w:szCs w:val="24"/>
                </w:rPr>
                <w:t>Erik Orskaug</w:t>
              </w:r>
            </w:smartTag>
          </w:p>
        </w:tc>
      </w:tr>
      <w:tr w:rsidR="00651C1E" w:rsidRPr="00392AE9" w14:paraId="4BA9AFB8" w14:textId="77777777" w:rsidTr="00BD518F">
        <w:tc>
          <w:tcPr>
            <w:tcW w:w="3472" w:type="dxa"/>
          </w:tcPr>
          <w:p w14:paraId="36A2659F" w14:textId="77777777" w:rsidR="00651C1E" w:rsidRPr="00392AE9" w:rsidRDefault="00651C1E" w:rsidP="00651C1E">
            <w:pPr>
              <w:tabs>
                <w:tab w:val="left" w:pos="3119"/>
                <w:tab w:val="left" w:pos="6804"/>
              </w:tabs>
              <w:spacing w:after="0"/>
              <w:ind w:right="-340"/>
              <w:rPr>
                <w:szCs w:val="24"/>
              </w:rPr>
            </w:pPr>
            <w:r w:rsidRPr="00392AE9">
              <w:rPr>
                <w:szCs w:val="24"/>
              </w:rPr>
              <w:t>Næringslivets Hovedorganisasjon</w:t>
            </w:r>
          </w:p>
        </w:tc>
        <w:tc>
          <w:tcPr>
            <w:tcW w:w="3261" w:type="dxa"/>
          </w:tcPr>
          <w:p w14:paraId="0F215251" w14:textId="77777777" w:rsidR="00651C1E" w:rsidRPr="00392AE9" w:rsidRDefault="00651C1E" w:rsidP="00651C1E">
            <w:pPr>
              <w:tabs>
                <w:tab w:val="left" w:pos="3119"/>
                <w:tab w:val="left" w:pos="6804"/>
              </w:tabs>
              <w:spacing w:after="0"/>
              <w:ind w:right="-340"/>
              <w:rPr>
                <w:szCs w:val="24"/>
              </w:rPr>
            </w:pPr>
            <w:r w:rsidRPr="00392AE9">
              <w:rPr>
                <w:szCs w:val="24"/>
              </w:rPr>
              <w:t>Arbeids</w:t>
            </w:r>
            <w:r>
              <w:rPr>
                <w:szCs w:val="24"/>
              </w:rPr>
              <w:t>- og sosial</w:t>
            </w:r>
            <w:r w:rsidRPr="00392AE9">
              <w:rPr>
                <w:szCs w:val="24"/>
              </w:rPr>
              <w:t>departementet</w:t>
            </w:r>
          </w:p>
        </w:tc>
        <w:tc>
          <w:tcPr>
            <w:tcW w:w="3402" w:type="dxa"/>
          </w:tcPr>
          <w:p w14:paraId="0C5FA0D4" w14:textId="77777777" w:rsidR="00651C1E" w:rsidRPr="00392AE9" w:rsidRDefault="00651C1E" w:rsidP="00651C1E">
            <w:pPr>
              <w:tabs>
                <w:tab w:val="left" w:pos="3119"/>
                <w:tab w:val="left" w:pos="6804"/>
              </w:tabs>
              <w:spacing w:after="0"/>
              <w:ind w:right="-340"/>
              <w:rPr>
                <w:szCs w:val="24"/>
              </w:rPr>
            </w:pPr>
            <w:r w:rsidRPr="00392AE9">
              <w:rPr>
                <w:szCs w:val="24"/>
              </w:rPr>
              <w:t>Unio</w:t>
            </w:r>
          </w:p>
        </w:tc>
      </w:tr>
      <w:tr w:rsidR="00651C1E" w:rsidRPr="00392AE9" w14:paraId="47A94BF4" w14:textId="77777777" w:rsidTr="00BD518F">
        <w:tc>
          <w:tcPr>
            <w:tcW w:w="3472" w:type="dxa"/>
          </w:tcPr>
          <w:p w14:paraId="47C7035B" w14:textId="77777777" w:rsidR="00651C1E" w:rsidRPr="00392AE9" w:rsidRDefault="00651C1E" w:rsidP="00651C1E">
            <w:pPr>
              <w:tabs>
                <w:tab w:val="left" w:pos="3119"/>
                <w:tab w:val="left" w:pos="6804"/>
              </w:tabs>
              <w:spacing w:after="0"/>
              <w:ind w:right="-340"/>
              <w:rPr>
                <w:szCs w:val="24"/>
              </w:rPr>
            </w:pPr>
          </w:p>
        </w:tc>
        <w:tc>
          <w:tcPr>
            <w:tcW w:w="3261" w:type="dxa"/>
          </w:tcPr>
          <w:p w14:paraId="38D887E9" w14:textId="77777777" w:rsidR="00651C1E" w:rsidRPr="00392AE9" w:rsidRDefault="00651C1E" w:rsidP="00651C1E">
            <w:pPr>
              <w:tabs>
                <w:tab w:val="left" w:pos="3119"/>
                <w:tab w:val="left" w:pos="6804"/>
              </w:tabs>
              <w:spacing w:after="0"/>
              <w:ind w:right="-340"/>
              <w:rPr>
                <w:szCs w:val="24"/>
              </w:rPr>
            </w:pPr>
          </w:p>
        </w:tc>
        <w:tc>
          <w:tcPr>
            <w:tcW w:w="3402" w:type="dxa"/>
          </w:tcPr>
          <w:p w14:paraId="65E2C4EB" w14:textId="77777777" w:rsidR="00651C1E" w:rsidRPr="00392AE9" w:rsidRDefault="00651C1E" w:rsidP="00651C1E">
            <w:pPr>
              <w:tabs>
                <w:tab w:val="left" w:pos="3119"/>
                <w:tab w:val="left" w:pos="6804"/>
              </w:tabs>
              <w:spacing w:after="0"/>
              <w:ind w:right="-340"/>
              <w:rPr>
                <w:szCs w:val="24"/>
              </w:rPr>
            </w:pPr>
          </w:p>
        </w:tc>
      </w:tr>
      <w:tr w:rsidR="00651C1E" w:rsidRPr="00392AE9" w14:paraId="62AA40FE" w14:textId="77777777" w:rsidTr="00BD518F">
        <w:tc>
          <w:tcPr>
            <w:tcW w:w="3472" w:type="dxa"/>
          </w:tcPr>
          <w:p w14:paraId="44D3AEA6" w14:textId="77777777" w:rsidR="00651C1E" w:rsidRPr="00392AE9" w:rsidRDefault="00651C1E" w:rsidP="00651C1E">
            <w:pPr>
              <w:tabs>
                <w:tab w:val="left" w:pos="3119"/>
                <w:tab w:val="left" w:pos="6804"/>
              </w:tabs>
              <w:spacing w:after="0"/>
              <w:ind w:right="-340"/>
              <w:rPr>
                <w:szCs w:val="24"/>
              </w:rPr>
            </w:pPr>
            <w:smartTag w:uri="urn:schemas-microsoft-com:office:smarttags" w:element="PersonName">
              <w:r w:rsidRPr="00392AE9">
                <w:rPr>
                  <w:szCs w:val="24"/>
                </w:rPr>
                <w:t>Stein Reegård</w:t>
              </w:r>
            </w:smartTag>
            <w:r w:rsidRPr="00392AE9">
              <w:rPr>
                <w:szCs w:val="24"/>
              </w:rPr>
              <w:tab/>
            </w:r>
          </w:p>
        </w:tc>
        <w:tc>
          <w:tcPr>
            <w:tcW w:w="3261" w:type="dxa"/>
          </w:tcPr>
          <w:p w14:paraId="07DFFC70" w14:textId="77777777" w:rsidR="00651C1E" w:rsidRPr="00392AE9" w:rsidRDefault="00651C1E" w:rsidP="00651C1E">
            <w:pPr>
              <w:tabs>
                <w:tab w:val="left" w:pos="3119"/>
                <w:tab w:val="left" w:pos="6804"/>
              </w:tabs>
              <w:spacing w:after="0"/>
              <w:ind w:right="-340"/>
              <w:rPr>
                <w:szCs w:val="24"/>
              </w:rPr>
            </w:pPr>
            <w:r>
              <w:rPr>
                <w:szCs w:val="24"/>
              </w:rPr>
              <w:t>Helle Stensbak</w:t>
            </w:r>
            <w:r w:rsidRPr="00392AE9">
              <w:rPr>
                <w:szCs w:val="24"/>
              </w:rPr>
              <w:t xml:space="preserve"> </w:t>
            </w:r>
          </w:p>
        </w:tc>
        <w:tc>
          <w:tcPr>
            <w:tcW w:w="3402" w:type="dxa"/>
          </w:tcPr>
          <w:p w14:paraId="36E3F7E8" w14:textId="77777777" w:rsidR="00651C1E" w:rsidRPr="00392AE9" w:rsidRDefault="00651C1E" w:rsidP="00651C1E">
            <w:pPr>
              <w:tabs>
                <w:tab w:val="left" w:pos="3119"/>
                <w:tab w:val="left" w:pos="6804"/>
              </w:tabs>
              <w:spacing w:after="0"/>
              <w:ind w:right="-340"/>
              <w:rPr>
                <w:szCs w:val="24"/>
                <w:lang w:val="en-GB"/>
              </w:rPr>
            </w:pPr>
            <w:r w:rsidRPr="00392AE9">
              <w:rPr>
                <w:szCs w:val="24"/>
              </w:rPr>
              <w:t xml:space="preserve">Per Kristian </w:t>
            </w:r>
            <w:r w:rsidRPr="00392AE9">
              <w:rPr>
                <w:szCs w:val="24"/>
                <w:lang w:val="en-GB"/>
              </w:rPr>
              <w:t>Sundnes</w:t>
            </w:r>
          </w:p>
        </w:tc>
      </w:tr>
      <w:tr w:rsidR="00651C1E" w:rsidRPr="00392AE9" w14:paraId="7C53A556" w14:textId="77777777" w:rsidTr="00BD518F">
        <w:tc>
          <w:tcPr>
            <w:tcW w:w="3472" w:type="dxa"/>
          </w:tcPr>
          <w:p w14:paraId="388C3594" w14:textId="77777777" w:rsidR="00651C1E" w:rsidRPr="00392AE9" w:rsidRDefault="00651C1E" w:rsidP="00651C1E">
            <w:pPr>
              <w:tabs>
                <w:tab w:val="left" w:pos="3119"/>
                <w:tab w:val="left" w:pos="6804"/>
              </w:tabs>
              <w:spacing w:after="0"/>
              <w:ind w:right="-70"/>
              <w:rPr>
                <w:szCs w:val="24"/>
              </w:rPr>
            </w:pPr>
            <w:r w:rsidRPr="00392AE9">
              <w:rPr>
                <w:szCs w:val="24"/>
              </w:rPr>
              <w:t>Landsorganisasjonen i Norge</w:t>
            </w:r>
          </w:p>
        </w:tc>
        <w:tc>
          <w:tcPr>
            <w:tcW w:w="3261" w:type="dxa"/>
          </w:tcPr>
          <w:p w14:paraId="75F0386B" w14:textId="77777777" w:rsidR="00651C1E" w:rsidRPr="00392AE9" w:rsidRDefault="00651C1E" w:rsidP="00651C1E">
            <w:pPr>
              <w:tabs>
                <w:tab w:val="left" w:pos="3119"/>
                <w:tab w:val="left" w:pos="6804"/>
              </w:tabs>
              <w:spacing w:after="0"/>
              <w:ind w:right="-340"/>
              <w:rPr>
                <w:szCs w:val="24"/>
              </w:rPr>
            </w:pPr>
            <w:r w:rsidRPr="00392AE9">
              <w:rPr>
                <w:szCs w:val="24"/>
              </w:rPr>
              <w:t>Yrkesorganisasjonenes Sentralforbund</w:t>
            </w:r>
          </w:p>
        </w:tc>
        <w:tc>
          <w:tcPr>
            <w:tcW w:w="3402" w:type="dxa"/>
          </w:tcPr>
          <w:p w14:paraId="1BB14FEB" w14:textId="77777777" w:rsidR="00651C1E" w:rsidRPr="00392AE9" w:rsidRDefault="00651C1E" w:rsidP="00651C1E">
            <w:pPr>
              <w:tabs>
                <w:tab w:val="left" w:pos="3119"/>
                <w:tab w:val="left" w:pos="6804"/>
              </w:tabs>
              <w:spacing w:after="0"/>
              <w:ind w:right="-340"/>
              <w:rPr>
                <w:szCs w:val="24"/>
              </w:rPr>
            </w:pPr>
            <w:r w:rsidRPr="00392AE9">
              <w:rPr>
                <w:szCs w:val="24"/>
              </w:rPr>
              <w:t>KS</w:t>
            </w:r>
          </w:p>
        </w:tc>
      </w:tr>
      <w:tr w:rsidR="00651C1E" w:rsidRPr="00392AE9" w14:paraId="381B708A" w14:textId="77777777" w:rsidTr="00BD518F">
        <w:tc>
          <w:tcPr>
            <w:tcW w:w="3472" w:type="dxa"/>
          </w:tcPr>
          <w:p w14:paraId="2FFAD293" w14:textId="77777777" w:rsidR="00651C1E" w:rsidRPr="00392AE9" w:rsidRDefault="00651C1E" w:rsidP="00651C1E">
            <w:pPr>
              <w:tabs>
                <w:tab w:val="left" w:pos="3119"/>
                <w:tab w:val="left" w:pos="6804"/>
              </w:tabs>
              <w:spacing w:after="0"/>
              <w:ind w:right="-70"/>
              <w:rPr>
                <w:szCs w:val="24"/>
              </w:rPr>
            </w:pPr>
          </w:p>
        </w:tc>
        <w:tc>
          <w:tcPr>
            <w:tcW w:w="3261" w:type="dxa"/>
          </w:tcPr>
          <w:p w14:paraId="446D0E78" w14:textId="77777777" w:rsidR="00651C1E" w:rsidRPr="00392AE9" w:rsidRDefault="00651C1E" w:rsidP="00651C1E">
            <w:pPr>
              <w:tabs>
                <w:tab w:val="left" w:pos="3119"/>
                <w:tab w:val="left" w:pos="6804"/>
              </w:tabs>
              <w:spacing w:after="0"/>
              <w:ind w:right="-340"/>
              <w:rPr>
                <w:szCs w:val="24"/>
              </w:rPr>
            </w:pPr>
          </w:p>
        </w:tc>
        <w:tc>
          <w:tcPr>
            <w:tcW w:w="3402" w:type="dxa"/>
          </w:tcPr>
          <w:p w14:paraId="26D0ECDC" w14:textId="77777777" w:rsidR="00651C1E" w:rsidRPr="00392AE9" w:rsidRDefault="00651C1E" w:rsidP="00651C1E">
            <w:pPr>
              <w:tabs>
                <w:tab w:val="left" w:pos="3119"/>
                <w:tab w:val="left" w:pos="6804"/>
              </w:tabs>
              <w:spacing w:after="0"/>
              <w:ind w:right="-340"/>
              <w:rPr>
                <w:szCs w:val="24"/>
              </w:rPr>
            </w:pPr>
          </w:p>
        </w:tc>
      </w:tr>
      <w:tr w:rsidR="00651C1E" w:rsidRPr="00392AE9" w14:paraId="4DB465FD" w14:textId="77777777" w:rsidTr="00BD518F">
        <w:tc>
          <w:tcPr>
            <w:tcW w:w="3472" w:type="dxa"/>
          </w:tcPr>
          <w:p w14:paraId="0FB935F4" w14:textId="77777777" w:rsidR="00651C1E" w:rsidRPr="00392AE9" w:rsidRDefault="00651C1E" w:rsidP="00651C1E">
            <w:pPr>
              <w:tabs>
                <w:tab w:val="left" w:pos="3119"/>
                <w:tab w:val="left" w:pos="6804"/>
              </w:tabs>
              <w:spacing w:after="0"/>
              <w:ind w:right="-340"/>
              <w:rPr>
                <w:szCs w:val="24"/>
              </w:rPr>
            </w:pPr>
            <w:r>
              <w:rPr>
                <w:szCs w:val="24"/>
              </w:rPr>
              <w:t>Trond Teisberg</w:t>
            </w:r>
            <w:r w:rsidRPr="00392AE9">
              <w:rPr>
                <w:szCs w:val="24"/>
              </w:rPr>
              <w:t xml:space="preserve"> </w:t>
            </w:r>
          </w:p>
        </w:tc>
        <w:tc>
          <w:tcPr>
            <w:tcW w:w="3261" w:type="dxa"/>
          </w:tcPr>
          <w:p w14:paraId="4F57809F" w14:textId="77777777" w:rsidR="00651C1E" w:rsidRPr="00392AE9" w:rsidRDefault="00651C1E" w:rsidP="00651C1E">
            <w:pPr>
              <w:tabs>
                <w:tab w:val="left" w:pos="3119"/>
                <w:tab w:val="left" w:pos="6804"/>
              </w:tabs>
              <w:spacing w:after="0"/>
              <w:ind w:right="-340"/>
              <w:rPr>
                <w:szCs w:val="24"/>
              </w:rPr>
            </w:pPr>
          </w:p>
        </w:tc>
        <w:tc>
          <w:tcPr>
            <w:tcW w:w="3402" w:type="dxa"/>
          </w:tcPr>
          <w:p w14:paraId="6AEE2954" w14:textId="77777777" w:rsidR="00651C1E" w:rsidRPr="00392AE9" w:rsidRDefault="00651C1E" w:rsidP="00651C1E">
            <w:pPr>
              <w:tabs>
                <w:tab w:val="left" w:pos="3119"/>
                <w:tab w:val="left" w:pos="6804"/>
              </w:tabs>
              <w:spacing w:after="0"/>
              <w:ind w:right="-340"/>
              <w:rPr>
                <w:szCs w:val="24"/>
              </w:rPr>
            </w:pPr>
          </w:p>
        </w:tc>
      </w:tr>
      <w:tr w:rsidR="00651C1E" w:rsidRPr="00392AE9" w14:paraId="428CAF1C" w14:textId="77777777" w:rsidTr="00BD518F">
        <w:tc>
          <w:tcPr>
            <w:tcW w:w="3472" w:type="dxa"/>
          </w:tcPr>
          <w:p w14:paraId="1CB97919" w14:textId="77777777" w:rsidR="00651C1E" w:rsidRPr="00392AE9" w:rsidRDefault="00651C1E" w:rsidP="00651C1E">
            <w:pPr>
              <w:tabs>
                <w:tab w:val="left" w:pos="3119"/>
                <w:tab w:val="left" w:pos="6804"/>
              </w:tabs>
              <w:spacing w:after="0"/>
              <w:ind w:right="-340"/>
              <w:rPr>
                <w:szCs w:val="24"/>
              </w:rPr>
            </w:pPr>
            <w:r w:rsidRPr="00392AE9">
              <w:rPr>
                <w:szCs w:val="24"/>
              </w:rPr>
              <w:t>Akademikerne</w:t>
            </w:r>
          </w:p>
        </w:tc>
        <w:tc>
          <w:tcPr>
            <w:tcW w:w="3261" w:type="dxa"/>
          </w:tcPr>
          <w:p w14:paraId="126773ED" w14:textId="77777777" w:rsidR="00651C1E" w:rsidRPr="00392AE9" w:rsidRDefault="00651C1E" w:rsidP="00651C1E">
            <w:pPr>
              <w:tabs>
                <w:tab w:val="left" w:pos="3119"/>
                <w:tab w:val="left" w:pos="6804"/>
              </w:tabs>
              <w:spacing w:after="0"/>
              <w:ind w:right="-340"/>
              <w:rPr>
                <w:szCs w:val="24"/>
              </w:rPr>
            </w:pPr>
          </w:p>
        </w:tc>
        <w:tc>
          <w:tcPr>
            <w:tcW w:w="3402" w:type="dxa"/>
          </w:tcPr>
          <w:p w14:paraId="25D6F549" w14:textId="77777777" w:rsidR="00651C1E" w:rsidRPr="00392AE9" w:rsidRDefault="00651C1E" w:rsidP="00651C1E">
            <w:pPr>
              <w:tabs>
                <w:tab w:val="left" w:pos="3119"/>
                <w:tab w:val="left" w:pos="6804"/>
              </w:tabs>
              <w:spacing w:after="0"/>
              <w:ind w:right="-70"/>
              <w:rPr>
                <w:szCs w:val="24"/>
              </w:rPr>
            </w:pPr>
          </w:p>
        </w:tc>
      </w:tr>
      <w:tr w:rsidR="00651C1E" w:rsidRPr="00392AE9" w14:paraId="11BB2EB3" w14:textId="77777777" w:rsidTr="00BD518F">
        <w:tc>
          <w:tcPr>
            <w:tcW w:w="3472" w:type="dxa"/>
          </w:tcPr>
          <w:p w14:paraId="2A26AADA" w14:textId="77777777" w:rsidR="00651C1E" w:rsidRPr="00392AE9" w:rsidRDefault="00651C1E" w:rsidP="00651C1E">
            <w:pPr>
              <w:tabs>
                <w:tab w:val="left" w:pos="3119"/>
                <w:tab w:val="left" w:pos="6804"/>
              </w:tabs>
              <w:spacing w:after="0"/>
              <w:ind w:right="-340"/>
              <w:rPr>
                <w:szCs w:val="24"/>
              </w:rPr>
            </w:pPr>
          </w:p>
        </w:tc>
        <w:tc>
          <w:tcPr>
            <w:tcW w:w="3261" w:type="dxa"/>
          </w:tcPr>
          <w:p w14:paraId="28753354" w14:textId="77777777" w:rsidR="00651C1E" w:rsidRPr="00392AE9" w:rsidRDefault="00651C1E" w:rsidP="00651C1E">
            <w:pPr>
              <w:tabs>
                <w:tab w:val="left" w:pos="3119"/>
                <w:tab w:val="left" w:pos="6804"/>
              </w:tabs>
              <w:spacing w:after="0"/>
              <w:ind w:right="-340"/>
              <w:rPr>
                <w:szCs w:val="24"/>
              </w:rPr>
            </w:pPr>
          </w:p>
        </w:tc>
        <w:tc>
          <w:tcPr>
            <w:tcW w:w="3402" w:type="dxa"/>
          </w:tcPr>
          <w:p w14:paraId="333EF7F5" w14:textId="77777777" w:rsidR="00651C1E" w:rsidRPr="00392AE9" w:rsidRDefault="00651C1E" w:rsidP="00651C1E">
            <w:pPr>
              <w:tabs>
                <w:tab w:val="left" w:pos="3119"/>
                <w:tab w:val="left" w:pos="6804"/>
              </w:tabs>
              <w:spacing w:after="0"/>
              <w:ind w:right="-340"/>
              <w:rPr>
                <w:szCs w:val="24"/>
              </w:rPr>
            </w:pPr>
          </w:p>
        </w:tc>
      </w:tr>
    </w:tbl>
    <w:p w14:paraId="54FB4173" w14:textId="77777777" w:rsidR="002124A0" w:rsidRDefault="002124A0" w:rsidP="002124A0">
      <w:pPr>
        <w:tabs>
          <w:tab w:val="left" w:pos="3119"/>
          <w:tab w:val="left" w:pos="6804"/>
        </w:tabs>
        <w:ind w:right="-341"/>
        <w:rPr>
          <w:lang w:val="en-GB"/>
        </w:rPr>
      </w:pPr>
      <w:r>
        <w:rPr>
          <w:u w:val="single"/>
          <w:lang w:val="en-GB"/>
        </w:rPr>
        <w:tab/>
      </w:r>
      <w:r>
        <w:rPr>
          <w:lang w:val="en-GB"/>
        </w:rPr>
        <w:tab/>
      </w:r>
    </w:p>
    <w:p w14:paraId="460AAA00" w14:textId="77777777" w:rsidR="002124A0" w:rsidRDefault="002124A0" w:rsidP="002124A0">
      <w:pPr>
        <w:spacing w:after="0"/>
        <w:ind w:right="-341"/>
      </w:pPr>
      <w:r>
        <w:t>Tormod Belgum, Arbeids- og sosialdepartementet, sekretariatsleder</w:t>
      </w:r>
    </w:p>
    <w:p w14:paraId="222897F2" w14:textId="77777777" w:rsidR="00651C1E" w:rsidRDefault="00651C1E" w:rsidP="00651C1E">
      <w:pPr>
        <w:pStyle w:val="Brdtekst"/>
        <w:spacing w:after="0"/>
      </w:pPr>
      <w:r>
        <w:t xml:space="preserve">Morten </w:t>
      </w:r>
      <w:r w:rsidR="0005188B">
        <w:t xml:space="preserve">S. </w:t>
      </w:r>
      <w:r>
        <w:t>Henningsen, Arbeids- og sosialdepartementet</w:t>
      </w:r>
    </w:p>
    <w:p w14:paraId="0A59DF81" w14:textId="77777777" w:rsidR="002124A0" w:rsidRDefault="002124A0" w:rsidP="002124A0">
      <w:pPr>
        <w:pStyle w:val="Brdtekst"/>
        <w:spacing w:after="0"/>
      </w:pPr>
      <w:r>
        <w:t>Ragnhild Nersten, Arbeids- og sosialdepartementet</w:t>
      </w:r>
    </w:p>
    <w:p w14:paraId="34E0215E" w14:textId="77777777" w:rsidR="002124A0" w:rsidRDefault="002124A0" w:rsidP="002124A0">
      <w:pPr>
        <w:spacing w:after="0"/>
        <w:ind w:right="-341"/>
      </w:pPr>
      <w:r>
        <w:t>Runar Aksnes, Finansdepartementet</w:t>
      </w:r>
    </w:p>
    <w:p w14:paraId="156CF442" w14:textId="77777777" w:rsidR="002124A0" w:rsidRDefault="002124A0" w:rsidP="002124A0">
      <w:pPr>
        <w:spacing w:after="0"/>
      </w:pPr>
      <w:r>
        <w:t>Brynjar Indahl, Finansdepartementet</w:t>
      </w:r>
    </w:p>
    <w:p w14:paraId="0FE34B0A" w14:textId="77777777" w:rsidR="002124A0" w:rsidRDefault="002124A0" w:rsidP="002124A0">
      <w:pPr>
        <w:pStyle w:val="Brdtekst"/>
        <w:spacing w:after="0"/>
      </w:pPr>
      <w:r>
        <w:t>Alma Kajtaz, Finansdepartementet</w:t>
      </w:r>
    </w:p>
    <w:p w14:paraId="1DC287EA" w14:textId="77777777" w:rsidR="002124A0" w:rsidRDefault="002124A0" w:rsidP="002124A0">
      <w:pPr>
        <w:pStyle w:val="NormalWeb"/>
        <w:spacing w:after="0"/>
      </w:pPr>
      <w:r>
        <w:t>Torbjørn Eika, Statistisk sentralbyrå</w:t>
      </w:r>
    </w:p>
    <w:p w14:paraId="4AE4E836" w14:textId="77777777" w:rsidR="002124A0" w:rsidRDefault="002124A0" w:rsidP="002124A0">
      <w:pPr>
        <w:pStyle w:val="NormalWeb"/>
        <w:spacing w:after="0"/>
      </w:pPr>
      <w:r>
        <w:t>Harald Lunde, Statistisk sentralbyrå</w:t>
      </w:r>
    </w:p>
    <w:p w14:paraId="4AAD2F0A" w14:textId="77777777" w:rsidR="002124A0" w:rsidRDefault="002124A0" w:rsidP="002124A0">
      <w:pPr>
        <w:pStyle w:val="Brdtekst"/>
        <w:spacing w:after="0"/>
      </w:pPr>
      <w:r>
        <w:t>Victoria Sparrman, Statistisk sentralbyrå</w:t>
      </w:r>
    </w:p>
    <w:p w14:paraId="70F28126" w14:textId="77777777" w:rsidR="002124A0" w:rsidRDefault="002124A0" w:rsidP="002124A0">
      <w:pPr>
        <w:pStyle w:val="Brdtekst"/>
      </w:pPr>
      <w:r>
        <w:br/>
      </w:r>
    </w:p>
    <w:sdt>
      <w:sdtPr>
        <w:rPr>
          <w:rFonts w:ascii="Times" w:eastAsia="Batang" w:hAnsi="Times" w:cs="Times New Roman"/>
          <w:b w:val="0"/>
          <w:bCs w:val="0"/>
          <w:color w:val="auto"/>
          <w:kern w:val="0"/>
          <w:sz w:val="24"/>
          <w:szCs w:val="20"/>
        </w:rPr>
        <w:id w:val="-2124600575"/>
        <w:docPartObj>
          <w:docPartGallery w:val="Table of Contents"/>
          <w:docPartUnique/>
        </w:docPartObj>
      </w:sdtPr>
      <w:sdtEndPr/>
      <w:sdtContent>
        <w:p w14:paraId="0F3DA1F1" w14:textId="08EB29CB" w:rsidR="007E6986" w:rsidRDefault="007E6986">
          <w:pPr>
            <w:pStyle w:val="Overskriftforinnholdsfortegnelse"/>
          </w:pPr>
          <w:r>
            <w:t>Innhold</w:t>
          </w:r>
        </w:p>
        <w:p w14:paraId="4234FC38" w14:textId="77777777" w:rsidR="00513D86" w:rsidRDefault="007E6986">
          <w:pPr>
            <w:pStyle w:val="INNH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43998947" w:history="1">
            <w:r w:rsidR="00513D86" w:rsidRPr="00CD2BB9">
              <w:rPr>
                <w:rStyle w:val="Hyperkobling"/>
                <w:noProof/>
              </w:rPr>
              <w:t>Forord</w:t>
            </w:r>
            <w:r w:rsidR="00513D86">
              <w:rPr>
                <w:noProof/>
                <w:webHidden/>
              </w:rPr>
              <w:tab/>
            </w:r>
            <w:r w:rsidR="00513D86">
              <w:rPr>
                <w:noProof/>
                <w:webHidden/>
              </w:rPr>
              <w:fldChar w:fldCharType="begin"/>
            </w:r>
            <w:r w:rsidR="00513D86">
              <w:rPr>
                <w:noProof/>
                <w:webHidden/>
              </w:rPr>
              <w:instrText xml:space="preserve"> PAGEREF _Toc443998947 \h </w:instrText>
            </w:r>
            <w:r w:rsidR="00513D86">
              <w:rPr>
                <w:noProof/>
                <w:webHidden/>
              </w:rPr>
            </w:r>
            <w:r w:rsidR="00513D86">
              <w:rPr>
                <w:noProof/>
                <w:webHidden/>
              </w:rPr>
              <w:fldChar w:fldCharType="separate"/>
            </w:r>
            <w:r w:rsidR="00FE5660">
              <w:rPr>
                <w:noProof/>
                <w:webHidden/>
              </w:rPr>
              <w:t>2</w:t>
            </w:r>
            <w:r w:rsidR="00513D86">
              <w:rPr>
                <w:noProof/>
                <w:webHidden/>
              </w:rPr>
              <w:fldChar w:fldCharType="end"/>
            </w:r>
          </w:hyperlink>
        </w:p>
        <w:p w14:paraId="05BCCDEF"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8948" w:history="1">
            <w:r w:rsidR="00513D86" w:rsidRPr="00CD2BB9">
              <w:rPr>
                <w:rStyle w:val="Hyperkobling"/>
                <w:noProof/>
              </w:rPr>
              <w:t>1</w:t>
            </w:r>
            <w:r w:rsidR="00513D86">
              <w:rPr>
                <w:rFonts w:asciiTheme="minorHAnsi" w:eastAsiaTheme="minorEastAsia" w:hAnsiTheme="minorHAnsi" w:cstheme="minorBidi"/>
                <w:b w:val="0"/>
                <w:caps w:val="0"/>
                <w:noProof/>
                <w:sz w:val="22"/>
                <w:szCs w:val="22"/>
              </w:rPr>
              <w:tab/>
            </w:r>
            <w:r w:rsidR="00513D86" w:rsidRPr="00CD2BB9">
              <w:rPr>
                <w:rStyle w:val="Hyperkobling"/>
                <w:noProof/>
              </w:rPr>
              <w:t>Lønnsutviklingen i senere år</w:t>
            </w:r>
            <w:r w:rsidR="00513D86">
              <w:rPr>
                <w:noProof/>
                <w:webHidden/>
              </w:rPr>
              <w:tab/>
            </w:r>
            <w:r w:rsidR="00513D86">
              <w:rPr>
                <w:noProof/>
                <w:webHidden/>
              </w:rPr>
              <w:fldChar w:fldCharType="begin"/>
            </w:r>
            <w:r w:rsidR="00513D86">
              <w:rPr>
                <w:noProof/>
                <w:webHidden/>
              </w:rPr>
              <w:instrText xml:space="preserve"> PAGEREF _Toc443998948 \h </w:instrText>
            </w:r>
            <w:r w:rsidR="00513D86">
              <w:rPr>
                <w:noProof/>
                <w:webHidden/>
              </w:rPr>
            </w:r>
            <w:r w:rsidR="00513D86">
              <w:rPr>
                <w:noProof/>
                <w:webHidden/>
              </w:rPr>
              <w:fldChar w:fldCharType="separate"/>
            </w:r>
            <w:r w:rsidR="00FE5660">
              <w:rPr>
                <w:noProof/>
                <w:webHidden/>
              </w:rPr>
              <w:t>7</w:t>
            </w:r>
            <w:r w:rsidR="00513D86">
              <w:rPr>
                <w:noProof/>
                <w:webHidden/>
              </w:rPr>
              <w:fldChar w:fldCharType="end"/>
            </w:r>
          </w:hyperlink>
        </w:p>
        <w:p w14:paraId="3734F848"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49" w:history="1">
            <w:r w:rsidR="00513D86" w:rsidRPr="00CD2BB9">
              <w:rPr>
                <w:rStyle w:val="Hyperkobling"/>
                <w:noProof/>
              </w:rPr>
              <w:t>1.1</w:t>
            </w:r>
            <w:r w:rsidR="00513D86">
              <w:rPr>
                <w:rFonts w:asciiTheme="minorHAnsi" w:eastAsiaTheme="minorEastAsia" w:hAnsiTheme="minorHAnsi" w:cstheme="minorBidi"/>
                <w:b w:val="0"/>
                <w:noProof/>
                <w:sz w:val="22"/>
                <w:szCs w:val="22"/>
              </w:rPr>
              <w:tab/>
            </w:r>
            <w:r w:rsidR="00513D86" w:rsidRPr="00CD2BB9">
              <w:rPr>
                <w:rStyle w:val="Hyperkobling"/>
                <w:noProof/>
              </w:rPr>
              <w:t>Innledning</w:t>
            </w:r>
            <w:r w:rsidR="00513D86">
              <w:rPr>
                <w:noProof/>
                <w:webHidden/>
              </w:rPr>
              <w:tab/>
            </w:r>
            <w:r w:rsidR="00513D86">
              <w:rPr>
                <w:noProof/>
                <w:webHidden/>
              </w:rPr>
              <w:fldChar w:fldCharType="begin"/>
            </w:r>
            <w:r w:rsidR="00513D86">
              <w:rPr>
                <w:noProof/>
                <w:webHidden/>
              </w:rPr>
              <w:instrText xml:space="preserve"> PAGEREF _Toc443998949 \h </w:instrText>
            </w:r>
            <w:r w:rsidR="00513D86">
              <w:rPr>
                <w:noProof/>
                <w:webHidden/>
              </w:rPr>
            </w:r>
            <w:r w:rsidR="00513D86">
              <w:rPr>
                <w:noProof/>
                <w:webHidden/>
              </w:rPr>
              <w:fldChar w:fldCharType="separate"/>
            </w:r>
            <w:r w:rsidR="00FE5660">
              <w:rPr>
                <w:noProof/>
                <w:webHidden/>
              </w:rPr>
              <w:t>7</w:t>
            </w:r>
            <w:r w:rsidR="00513D86">
              <w:rPr>
                <w:noProof/>
                <w:webHidden/>
              </w:rPr>
              <w:fldChar w:fldCharType="end"/>
            </w:r>
          </w:hyperlink>
        </w:p>
        <w:p w14:paraId="0625AD50"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0" w:history="1">
            <w:r w:rsidR="00513D86" w:rsidRPr="00CD2BB9">
              <w:rPr>
                <w:rStyle w:val="Hyperkobling"/>
                <w:noProof/>
              </w:rPr>
              <w:t>1.1.1</w:t>
            </w:r>
            <w:r w:rsidR="00513D86">
              <w:rPr>
                <w:rFonts w:asciiTheme="minorHAnsi" w:eastAsiaTheme="minorEastAsia" w:hAnsiTheme="minorHAnsi" w:cstheme="minorBidi"/>
                <w:noProof/>
                <w:sz w:val="22"/>
                <w:szCs w:val="22"/>
              </w:rPr>
              <w:tab/>
            </w:r>
            <w:r w:rsidR="00513D86" w:rsidRPr="00CD2BB9">
              <w:rPr>
                <w:rStyle w:val="Hyperkobling"/>
                <w:noProof/>
              </w:rPr>
              <w:t>Lønnsutviklingen for hovedgrupper i forhandlingsområdene</w:t>
            </w:r>
            <w:r w:rsidR="00513D86">
              <w:rPr>
                <w:noProof/>
                <w:webHidden/>
              </w:rPr>
              <w:tab/>
            </w:r>
            <w:r w:rsidR="00513D86">
              <w:rPr>
                <w:noProof/>
                <w:webHidden/>
              </w:rPr>
              <w:fldChar w:fldCharType="begin"/>
            </w:r>
            <w:r w:rsidR="00513D86">
              <w:rPr>
                <w:noProof/>
                <w:webHidden/>
              </w:rPr>
              <w:instrText xml:space="preserve"> PAGEREF _Toc443998950 \h </w:instrText>
            </w:r>
            <w:r w:rsidR="00513D86">
              <w:rPr>
                <w:noProof/>
                <w:webHidden/>
              </w:rPr>
            </w:r>
            <w:r w:rsidR="00513D86">
              <w:rPr>
                <w:noProof/>
                <w:webHidden/>
              </w:rPr>
              <w:fldChar w:fldCharType="separate"/>
            </w:r>
            <w:r w:rsidR="00FE5660">
              <w:rPr>
                <w:noProof/>
                <w:webHidden/>
              </w:rPr>
              <w:t>8</w:t>
            </w:r>
            <w:r w:rsidR="00513D86">
              <w:rPr>
                <w:noProof/>
                <w:webHidden/>
              </w:rPr>
              <w:fldChar w:fldCharType="end"/>
            </w:r>
          </w:hyperlink>
        </w:p>
        <w:p w14:paraId="6E7690A7"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1" w:history="1">
            <w:r w:rsidR="00513D86" w:rsidRPr="00CD2BB9">
              <w:rPr>
                <w:rStyle w:val="Hyperkobling"/>
                <w:noProof/>
              </w:rPr>
              <w:t>1.1.2</w:t>
            </w:r>
            <w:r w:rsidR="00513D86">
              <w:rPr>
                <w:rFonts w:asciiTheme="minorHAnsi" w:eastAsiaTheme="minorEastAsia" w:hAnsiTheme="minorHAnsi" w:cstheme="minorBidi"/>
                <w:noProof/>
                <w:sz w:val="22"/>
                <w:szCs w:val="22"/>
              </w:rPr>
              <w:tab/>
            </w:r>
            <w:r w:rsidR="00513D86" w:rsidRPr="00CD2BB9">
              <w:rPr>
                <w:rStyle w:val="Hyperkobling"/>
                <w:noProof/>
              </w:rPr>
              <w:t>Lønnsutviklingen samlet og i enkelte næringer</w:t>
            </w:r>
            <w:r w:rsidR="00513D86">
              <w:rPr>
                <w:noProof/>
                <w:webHidden/>
              </w:rPr>
              <w:tab/>
            </w:r>
            <w:r w:rsidR="00513D86">
              <w:rPr>
                <w:noProof/>
                <w:webHidden/>
              </w:rPr>
              <w:fldChar w:fldCharType="begin"/>
            </w:r>
            <w:r w:rsidR="00513D86">
              <w:rPr>
                <w:noProof/>
                <w:webHidden/>
              </w:rPr>
              <w:instrText xml:space="preserve"> PAGEREF _Toc443998951 \h </w:instrText>
            </w:r>
            <w:r w:rsidR="00513D86">
              <w:rPr>
                <w:noProof/>
                <w:webHidden/>
              </w:rPr>
            </w:r>
            <w:r w:rsidR="00513D86">
              <w:rPr>
                <w:noProof/>
                <w:webHidden/>
              </w:rPr>
              <w:fldChar w:fldCharType="separate"/>
            </w:r>
            <w:r w:rsidR="00FE5660">
              <w:rPr>
                <w:noProof/>
                <w:webHidden/>
              </w:rPr>
              <w:t>11</w:t>
            </w:r>
            <w:r w:rsidR="00513D86">
              <w:rPr>
                <w:noProof/>
                <w:webHidden/>
              </w:rPr>
              <w:fldChar w:fldCharType="end"/>
            </w:r>
          </w:hyperlink>
        </w:p>
        <w:p w14:paraId="55985885" w14:textId="5CEA6984" w:rsidR="00513D86" w:rsidRDefault="005B3209">
          <w:pPr>
            <w:pStyle w:val="INNH3"/>
            <w:tabs>
              <w:tab w:val="left" w:pos="1200"/>
            </w:tabs>
            <w:rPr>
              <w:rFonts w:asciiTheme="minorHAnsi" w:eastAsiaTheme="minorEastAsia" w:hAnsiTheme="minorHAnsi" w:cstheme="minorBidi"/>
              <w:noProof/>
              <w:sz w:val="22"/>
              <w:szCs w:val="22"/>
            </w:rPr>
          </w:pPr>
          <w:hyperlink w:anchor="_Toc443998952" w:history="1">
            <w:r w:rsidR="00513D86" w:rsidRPr="00CD2BB9">
              <w:rPr>
                <w:rStyle w:val="Hyperkobling"/>
                <w:noProof/>
              </w:rPr>
              <w:t>1.1.3</w:t>
            </w:r>
            <w:r w:rsidR="00513D86">
              <w:rPr>
                <w:rFonts w:asciiTheme="minorHAnsi" w:eastAsiaTheme="minorEastAsia" w:hAnsiTheme="minorHAnsi" w:cstheme="minorBidi"/>
                <w:noProof/>
                <w:sz w:val="22"/>
                <w:szCs w:val="22"/>
              </w:rPr>
              <w:tab/>
            </w:r>
            <w:r w:rsidR="00513D86" w:rsidRPr="00CD2BB9">
              <w:rPr>
                <w:rStyle w:val="Hyperkobling"/>
                <w:noProof/>
              </w:rPr>
              <w:t xml:space="preserve">Nærmere om sammensetningen av årslønnsveksten i </w:t>
            </w:r>
            <w:r w:rsidR="003D053D">
              <w:rPr>
                <w:rStyle w:val="Hyperkobling"/>
                <w:noProof/>
              </w:rPr>
              <w:br/>
              <w:t xml:space="preserve">             </w:t>
            </w:r>
            <w:r w:rsidR="00513D86" w:rsidRPr="00CD2BB9">
              <w:rPr>
                <w:rStyle w:val="Hyperkobling"/>
                <w:noProof/>
              </w:rPr>
              <w:t>forhandlingsområdene</w:t>
            </w:r>
            <w:r w:rsidR="00513D86">
              <w:rPr>
                <w:noProof/>
                <w:webHidden/>
              </w:rPr>
              <w:tab/>
            </w:r>
            <w:r w:rsidR="00513D86">
              <w:rPr>
                <w:noProof/>
                <w:webHidden/>
              </w:rPr>
              <w:fldChar w:fldCharType="begin"/>
            </w:r>
            <w:r w:rsidR="00513D86">
              <w:rPr>
                <w:noProof/>
                <w:webHidden/>
              </w:rPr>
              <w:instrText xml:space="preserve"> PAGEREF _Toc443998952 \h </w:instrText>
            </w:r>
            <w:r w:rsidR="00513D86">
              <w:rPr>
                <w:noProof/>
                <w:webHidden/>
              </w:rPr>
            </w:r>
            <w:r w:rsidR="00513D86">
              <w:rPr>
                <w:noProof/>
                <w:webHidden/>
              </w:rPr>
              <w:fldChar w:fldCharType="separate"/>
            </w:r>
            <w:r w:rsidR="00FE5660">
              <w:rPr>
                <w:noProof/>
                <w:webHidden/>
              </w:rPr>
              <w:t>14</w:t>
            </w:r>
            <w:r w:rsidR="00513D86">
              <w:rPr>
                <w:noProof/>
                <w:webHidden/>
              </w:rPr>
              <w:fldChar w:fldCharType="end"/>
            </w:r>
          </w:hyperlink>
        </w:p>
        <w:p w14:paraId="5088B7EA"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53" w:history="1">
            <w:r w:rsidR="00513D86" w:rsidRPr="00CD2BB9">
              <w:rPr>
                <w:rStyle w:val="Hyperkobling"/>
                <w:noProof/>
              </w:rPr>
              <w:t>1.2</w:t>
            </w:r>
            <w:r w:rsidR="00513D86">
              <w:rPr>
                <w:rFonts w:asciiTheme="minorHAnsi" w:eastAsiaTheme="minorEastAsia" w:hAnsiTheme="minorHAnsi" w:cstheme="minorBidi"/>
                <w:b w:val="0"/>
                <w:noProof/>
                <w:sz w:val="22"/>
                <w:szCs w:val="22"/>
              </w:rPr>
              <w:tab/>
            </w:r>
            <w:r w:rsidR="00513D86" w:rsidRPr="00CD2BB9">
              <w:rPr>
                <w:rStyle w:val="Hyperkobling"/>
                <w:noProof/>
              </w:rPr>
              <w:t>Lønnsutviklingen i enkelte tariffområder</w:t>
            </w:r>
            <w:r w:rsidR="00513D86">
              <w:rPr>
                <w:noProof/>
                <w:webHidden/>
              </w:rPr>
              <w:tab/>
            </w:r>
            <w:r w:rsidR="00513D86">
              <w:rPr>
                <w:noProof/>
                <w:webHidden/>
              </w:rPr>
              <w:fldChar w:fldCharType="begin"/>
            </w:r>
            <w:r w:rsidR="00513D86">
              <w:rPr>
                <w:noProof/>
                <w:webHidden/>
              </w:rPr>
              <w:instrText xml:space="preserve"> PAGEREF _Toc443998953 \h </w:instrText>
            </w:r>
            <w:r w:rsidR="00513D86">
              <w:rPr>
                <w:noProof/>
                <w:webHidden/>
              </w:rPr>
            </w:r>
            <w:r w:rsidR="00513D86">
              <w:rPr>
                <w:noProof/>
                <w:webHidden/>
              </w:rPr>
              <w:fldChar w:fldCharType="separate"/>
            </w:r>
            <w:r w:rsidR="00FE5660">
              <w:rPr>
                <w:noProof/>
                <w:webHidden/>
              </w:rPr>
              <w:t>16</w:t>
            </w:r>
            <w:r w:rsidR="00513D86">
              <w:rPr>
                <w:noProof/>
                <w:webHidden/>
              </w:rPr>
              <w:fldChar w:fldCharType="end"/>
            </w:r>
          </w:hyperlink>
        </w:p>
        <w:p w14:paraId="28045E6E"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4" w:history="1">
            <w:r w:rsidR="00513D86" w:rsidRPr="00CD2BB9">
              <w:rPr>
                <w:rStyle w:val="Hyperkobling"/>
                <w:noProof/>
              </w:rPr>
              <w:t>1.2.1</w:t>
            </w:r>
            <w:r w:rsidR="00513D86">
              <w:rPr>
                <w:rFonts w:asciiTheme="minorHAnsi" w:eastAsiaTheme="minorEastAsia" w:hAnsiTheme="minorHAnsi" w:cstheme="minorBidi"/>
                <w:noProof/>
                <w:sz w:val="22"/>
                <w:szCs w:val="22"/>
              </w:rPr>
              <w:tab/>
            </w:r>
            <w:r w:rsidR="00513D86" w:rsidRPr="00CD2BB9">
              <w:rPr>
                <w:rStyle w:val="Hyperkobling"/>
                <w:noProof/>
              </w:rPr>
              <w:t>Lønnsutviklingen for industriarbeidere i LO-NHO-området</w:t>
            </w:r>
            <w:r w:rsidR="00513D86">
              <w:rPr>
                <w:noProof/>
                <w:webHidden/>
              </w:rPr>
              <w:tab/>
            </w:r>
            <w:r w:rsidR="00513D86">
              <w:rPr>
                <w:noProof/>
                <w:webHidden/>
              </w:rPr>
              <w:fldChar w:fldCharType="begin"/>
            </w:r>
            <w:r w:rsidR="00513D86">
              <w:rPr>
                <w:noProof/>
                <w:webHidden/>
              </w:rPr>
              <w:instrText xml:space="preserve"> PAGEREF _Toc443998954 \h </w:instrText>
            </w:r>
            <w:r w:rsidR="00513D86">
              <w:rPr>
                <w:noProof/>
                <w:webHidden/>
              </w:rPr>
            </w:r>
            <w:r w:rsidR="00513D86">
              <w:rPr>
                <w:noProof/>
                <w:webHidden/>
              </w:rPr>
              <w:fldChar w:fldCharType="separate"/>
            </w:r>
            <w:r w:rsidR="00FE5660">
              <w:rPr>
                <w:noProof/>
                <w:webHidden/>
              </w:rPr>
              <w:t>16</w:t>
            </w:r>
            <w:r w:rsidR="00513D86">
              <w:rPr>
                <w:noProof/>
                <w:webHidden/>
              </w:rPr>
              <w:fldChar w:fldCharType="end"/>
            </w:r>
          </w:hyperlink>
        </w:p>
        <w:p w14:paraId="4AA7744F"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5" w:history="1">
            <w:r w:rsidR="00513D86" w:rsidRPr="00CD2BB9">
              <w:rPr>
                <w:rStyle w:val="Hyperkobling"/>
                <w:noProof/>
              </w:rPr>
              <w:t>1.2.2</w:t>
            </w:r>
            <w:r w:rsidR="00513D86">
              <w:rPr>
                <w:rFonts w:asciiTheme="minorHAnsi" w:eastAsiaTheme="minorEastAsia" w:hAnsiTheme="minorHAnsi" w:cstheme="minorBidi"/>
                <w:noProof/>
                <w:sz w:val="22"/>
                <w:szCs w:val="22"/>
              </w:rPr>
              <w:tab/>
            </w:r>
            <w:r w:rsidR="00513D86" w:rsidRPr="00CD2BB9">
              <w:rPr>
                <w:rStyle w:val="Hyperkobling"/>
                <w:noProof/>
              </w:rPr>
              <w:t>Lønnsutviklingen for andre arbeidergrupper i NHO-området</w:t>
            </w:r>
            <w:r w:rsidR="00513D86">
              <w:rPr>
                <w:noProof/>
                <w:webHidden/>
              </w:rPr>
              <w:tab/>
            </w:r>
            <w:r w:rsidR="00513D86">
              <w:rPr>
                <w:noProof/>
                <w:webHidden/>
              </w:rPr>
              <w:fldChar w:fldCharType="begin"/>
            </w:r>
            <w:r w:rsidR="00513D86">
              <w:rPr>
                <w:noProof/>
                <w:webHidden/>
              </w:rPr>
              <w:instrText xml:space="preserve"> PAGEREF _Toc443998955 \h </w:instrText>
            </w:r>
            <w:r w:rsidR="00513D86">
              <w:rPr>
                <w:noProof/>
                <w:webHidden/>
              </w:rPr>
            </w:r>
            <w:r w:rsidR="00513D86">
              <w:rPr>
                <w:noProof/>
                <w:webHidden/>
              </w:rPr>
              <w:fldChar w:fldCharType="separate"/>
            </w:r>
            <w:r w:rsidR="00FE5660">
              <w:rPr>
                <w:noProof/>
                <w:webHidden/>
              </w:rPr>
              <w:t>18</w:t>
            </w:r>
            <w:r w:rsidR="00513D86">
              <w:rPr>
                <w:noProof/>
                <w:webHidden/>
              </w:rPr>
              <w:fldChar w:fldCharType="end"/>
            </w:r>
          </w:hyperlink>
        </w:p>
        <w:p w14:paraId="1525C614"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6" w:history="1">
            <w:r w:rsidR="00513D86" w:rsidRPr="00CD2BB9">
              <w:rPr>
                <w:rStyle w:val="Hyperkobling"/>
                <w:noProof/>
              </w:rPr>
              <w:t>1.2.3</w:t>
            </w:r>
            <w:r w:rsidR="00513D86">
              <w:rPr>
                <w:rFonts w:asciiTheme="minorHAnsi" w:eastAsiaTheme="minorEastAsia" w:hAnsiTheme="minorHAnsi" w:cstheme="minorBidi"/>
                <w:noProof/>
                <w:sz w:val="22"/>
                <w:szCs w:val="22"/>
              </w:rPr>
              <w:tab/>
            </w:r>
            <w:r w:rsidR="00513D86" w:rsidRPr="00CD2BB9">
              <w:rPr>
                <w:rStyle w:val="Hyperkobling"/>
                <w:noProof/>
              </w:rPr>
              <w:t>Lønnsutviklingen for funksjonærer i NHO-bedrifter</w:t>
            </w:r>
            <w:r w:rsidR="00513D86">
              <w:rPr>
                <w:noProof/>
                <w:webHidden/>
              </w:rPr>
              <w:tab/>
            </w:r>
            <w:r w:rsidR="00513D86">
              <w:rPr>
                <w:noProof/>
                <w:webHidden/>
              </w:rPr>
              <w:fldChar w:fldCharType="begin"/>
            </w:r>
            <w:r w:rsidR="00513D86">
              <w:rPr>
                <w:noProof/>
                <w:webHidden/>
              </w:rPr>
              <w:instrText xml:space="preserve"> PAGEREF _Toc443998956 \h </w:instrText>
            </w:r>
            <w:r w:rsidR="00513D86">
              <w:rPr>
                <w:noProof/>
                <w:webHidden/>
              </w:rPr>
            </w:r>
            <w:r w:rsidR="00513D86">
              <w:rPr>
                <w:noProof/>
                <w:webHidden/>
              </w:rPr>
              <w:fldChar w:fldCharType="separate"/>
            </w:r>
            <w:r w:rsidR="00FE5660">
              <w:rPr>
                <w:noProof/>
                <w:webHidden/>
              </w:rPr>
              <w:t>19</w:t>
            </w:r>
            <w:r w:rsidR="00513D86">
              <w:rPr>
                <w:noProof/>
                <w:webHidden/>
              </w:rPr>
              <w:fldChar w:fldCharType="end"/>
            </w:r>
          </w:hyperlink>
        </w:p>
        <w:p w14:paraId="652CBCC3" w14:textId="27DEE298" w:rsidR="00513D86" w:rsidRDefault="005B3209">
          <w:pPr>
            <w:pStyle w:val="INNH3"/>
            <w:tabs>
              <w:tab w:val="left" w:pos="1200"/>
            </w:tabs>
            <w:rPr>
              <w:rFonts w:asciiTheme="minorHAnsi" w:eastAsiaTheme="minorEastAsia" w:hAnsiTheme="minorHAnsi" w:cstheme="minorBidi"/>
              <w:noProof/>
              <w:sz w:val="22"/>
              <w:szCs w:val="22"/>
            </w:rPr>
          </w:pPr>
          <w:hyperlink w:anchor="_Toc443998957" w:history="1">
            <w:r w:rsidR="00513D86" w:rsidRPr="00CD2BB9">
              <w:rPr>
                <w:rStyle w:val="Hyperkobling"/>
                <w:noProof/>
              </w:rPr>
              <w:t>1.2.4</w:t>
            </w:r>
            <w:r w:rsidR="00513D86">
              <w:rPr>
                <w:rFonts w:asciiTheme="minorHAnsi" w:eastAsiaTheme="minorEastAsia" w:hAnsiTheme="minorHAnsi" w:cstheme="minorBidi"/>
                <w:noProof/>
                <w:sz w:val="22"/>
                <w:szCs w:val="22"/>
              </w:rPr>
              <w:tab/>
            </w:r>
            <w:r w:rsidR="00513D86" w:rsidRPr="00CD2BB9">
              <w:rPr>
                <w:rStyle w:val="Hyperkobling"/>
                <w:noProof/>
              </w:rPr>
              <w:t xml:space="preserve">Lønnsutviklingen for industriarbeidere og industrifunksjonærer i </w:t>
            </w:r>
            <w:r w:rsidR="003D053D">
              <w:rPr>
                <w:rStyle w:val="Hyperkobling"/>
                <w:noProof/>
              </w:rPr>
              <w:br/>
              <w:t xml:space="preserve">             </w:t>
            </w:r>
            <w:r w:rsidR="00513D86" w:rsidRPr="00CD2BB9">
              <w:rPr>
                <w:rStyle w:val="Hyperkobling"/>
                <w:noProof/>
              </w:rPr>
              <w:t>NHO-bedrifter under ett (både heltid og deltid)</w:t>
            </w:r>
            <w:r w:rsidR="00513D86">
              <w:rPr>
                <w:noProof/>
                <w:webHidden/>
              </w:rPr>
              <w:tab/>
            </w:r>
            <w:r w:rsidR="00513D86">
              <w:rPr>
                <w:noProof/>
                <w:webHidden/>
              </w:rPr>
              <w:fldChar w:fldCharType="begin"/>
            </w:r>
            <w:r w:rsidR="00513D86">
              <w:rPr>
                <w:noProof/>
                <w:webHidden/>
              </w:rPr>
              <w:instrText xml:space="preserve"> PAGEREF _Toc443998957 \h </w:instrText>
            </w:r>
            <w:r w:rsidR="00513D86">
              <w:rPr>
                <w:noProof/>
                <w:webHidden/>
              </w:rPr>
            </w:r>
            <w:r w:rsidR="00513D86">
              <w:rPr>
                <w:noProof/>
                <w:webHidden/>
              </w:rPr>
              <w:fldChar w:fldCharType="separate"/>
            </w:r>
            <w:r w:rsidR="00FE5660">
              <w:rPr>
                <w:noProof/>
                <w:webHidden/>
              </w:rPr>
              <w:t>20</w:t>
            </w:r>
            <w:r w:rsidR="00513D86">
              <w:rPr>
                <w:noProof/>
                <w:webHidden/>
              </w:rPr>
              <w:fldChar w:fldCharType="end"/>
            </w:r>
          </w:hyperlink>
        </w:p>
        <w:p w14:paraId="00527A55"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8" w:history="1">
            <w:r w:rsidR="00513D86" w:rsidRPr="00CD2BB9">
              <w:rPr>
                <w:rStyle w:val="Hyperkobling"/>
                <w:noProof/>
              </w:rPr>
              <w:t>1.2.5</w:t>
            </w:r>
            <w:r w:rsidR="00513D86">
              <w:rPr>
                <w:rFonts w:asciiTheme="minorHAnsi" w:eastAsiaTheme="minorEastAsia" w:hAnsiTheme="minorHAnsi" w:cstheme="minorBidi"/>
                <w:noProof/>
                <w:sz w:val="22"/>
                <w:szCs w:val="22"/>
              </w:rPr>
              <w:tab/>
            </w:r>
            <w:r w:rsidR="00513D86" w:rsidRPr="00CD2BB9">
              <w:rPr>
                <w:rStyle w:val="Hyperkobling"/>
                <w:noProof/>
              </w:rPr>
              <w:t>Lønnsutviklingen i andre områder i privat næringsvirksomhet</w:t>
            </w:r>
            <w:r w:rsidR="00513D86">
              <w:rPr>
                <w:noProof/>
                <w:webHidden/>
              </w:rPr>
              <w:tab/>
            </w:r>
            <w:r w:rsidR="00513D86">
              <w:rPr>
                <w:noProof/>
                <w:webHidden/>
              </w:rPr>
              <w:fldChar w:fldCharType="begin"/>
            </w:r>
            <w:r w:rsidR="00513D86">
              <w:rPr>
                <w:noProof/>
                <w:webHidden/>
              </w:rPr>
              <w:instrText xml:space="preserve"> PAGEREF _Toc443998958 \h </w:instrText>
            </w:r>
            <w:r w:rsidR="00513D86">
              <w:rPr>
                <w:noProof/>
                <w:webHidden/>
              </w:rPr>
            </w:r>
            <w:r w:rsidR="00513D86">
              <w:rPr>
                <w:noProof/>
                <w:webHidden/>
              </w:rPr>
              <w:fldChar w:fldCharType="separate"/>
            </w:r>
            <w:r w:rsidR="00FE5660">
              <w:rPr>
                <w:noProof/>
                <w:webHidden/>
              </w:rPr>
              <w:t>20</w:t>
            </w:r>
            <w:r w:rsidR="00513D86">
              <w:rPr>
                <w:noProof/>
                <w:webHidden/>
              </w:rPr>
              <w:fldChar w:fldCharType="end"/>
            </w:r>
          </w:hyperlink>
        </w:p>
        <w:p w14:paraId="772BBB29"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59" w:history="1">
            <w:r w:rsidR="00513D86" w:rsidRPr="00CD2BB9">
              <w:rPr>
                <w:rStyle w:val="Hyperkobling"/>
                <w:noProof/>
              </w:rPr>
              <w:t>1.2.6</w:t>
            </w:r>
            <w:r w:rsidR="00513D86">
              <w:rPr>
                <w:rFonts w:asciiTheme="minorHAnsi" w:eastAsiaTheme="minorEastAsia" w:hAnsiTheme="minorHAnsi" w:cstheme="minorBidi"/>
                <w:noProof/>
                <w:sz w:val="22"/>
                <w:szCs w:val="22"/>
              </w:rPr>
              <w:tab/>
            </w:r>
            <w:r w:rsidR="00513D86" w:rsidRPr="00CD2BB9">
              <w:rPr>
                <w:rStyle w:val="Hyperkobling"/>
                <w:noProof/>
              </w:rPr>
              <w:t>Lønnsutviklingen i offentlig sektor</w:t>
            </w:r>
            <w:r w:rsidR="00513D86">
              <w:rPr>
                <w:noProof/>
                <w:webHidden/>
              </w:rPr>
              <w:tab/>
            </w:r>
            <w:r w:rsidR="00513D86">
              <w:rPr>
                <w:noProof/>
                <w:webHidden/>
              </w:rPr>
              <w:fldChar w:fldCharType="begin"/>
            </w:r>
            <w:r w:rsidR="00513D86">
              <w:rPr>
                <w:noProof/>
                <w:webHidden/>
              </w:rPr>
              <w:instrText xml:space="preserve"> PAGEREF _Toc443998959 \h </w:instrText>
            </w:r>
            <w:r w:rsidR="00513D86">
              <w:rPr>
                <w:noProof/>
                <w:webHidden/>
              </w:rPr>
            </w:r>
            <w:r w:rsidR="00513D86">
              <w:rPr>
                <w:noProof/>
                <w:webHidden/>
              </w:rPr>
              <w:fldChar w:fldCharType="separate"/>
            </w:r>
            <w:r w:rsidR="00FE5660">
              <w:rPr>
                <w:noProof/>
                <w:webHidden/>
              </w:rPr>
              <w:t>21</w:t>
            </w:r>
            <w:r w:rsidR="00513D86">
              <w:rPr>
                <w:noProof/>
                <w:webHidden/>
              </w:rPr>
              <w:fldChar w:fldCharType="end"/>
            </w:r>
          </w:hyperlink>
        </w:p>
        <w:p w14:paraId="63B7FB25"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60" w:history="1">
            <w:r w:rsidR="00513D86" w:rsidRPr="00CD2BB9">
              <w:rPr>
                <w:rStyle w:val="Hyperkobling"/>
                <w:noProof/>
              </w:rPr>
              <w:t>1.2.7</w:t>
            </w:r>
            <w:r w:rsidR="00513D86">
              <w:rPr>
                <w:rFonts w:asciiTheme="minorHAnsi" w:eastAsiaTheme="minorEastAsia" w:hAnsiTheme="minorHAnsi" w:cstheme="minorBidi"/>
                <w:noProof/>
                <w:sz w:val="22"/>
                <w:szCs w:val="22"/>
              </w:rPr>
              <w:tab/>
            </w:r>
            <w:r w:rsidR="00513D86" w:rsidRPr="00CD2BB9">
              <w:rPr>
                <w:rStyle w:val="Hyperkobling"/>
                <w:noProof/>
              </w:rPr>
              <w:t>Lønnsutviklingen i Spekter-området</w:t>
            </w:r>
            <w:r w:rsidR="00513D86">
              <w:rPr>
                <w:noProof/>
                <w:webHidden/>
              </w:rPr>
              <w:tab/>
            </w:r>
            <w:r w:rsidR="00513D86">
              <w:rPr>
                <w:noProof/>
                <w:webHidden/>
              </w:rPr>
              <w:fldChar w:fldCharType="begin"/>
            </w:r>
            <w:r w:rsidR="00513D86">
              <w:rPr>
                <w:noProof/>
                <w:webHidden/>
              </w:rPr>
              <w:instrText xml:space="preserve"> PAGEREF _Toc443998960 \h </w:instrText>
            </w:r>
            <w:r w:rsidR="00513D86">
              <w:rPr>
                <w:noProof/>
                <w:webHidden/>
              </w:rPr>
            </w:r>
            <w:r w:rsidR="00513D86">
              <w:rPr>
                <w:noProof/>
                <w:webHidden/>
              </w:rPr>
              <w:fldChar w:fldCharType="separate"/>
            </w:r>
            <w:r w:rsidR="00FE5660">
              <w:rPr>
                <w:noProof/>
                <w:webHidden/>
              </w:rPr>
              <w:t>22</w:t>
            </w:r>
            <w:r w:rsidR="00513D86">
              <w:rPr>
                <w:noProof/>
                <w:webHidden/>
              </w:rPr>
              <w:fldChar w:fldCharType="end"/>
            </w:r>
          </w:hyperlink>
        </w:p>
        <w:p w14:paraId="242AAE35"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1" w:history="1">
            <w:r w:rsidR="00513D86" w:rsidRPr="00CD2BB9">
              <w:rPr>
                <w:rStyle w:val="Hyperkobling"/>
                <w:noProof/>
              </w:rPr>
              <w:t>1.3</w:t>
            </w:r>
            <w:r w:rsidR="00513D86">
              <w:rPr>
                <w:rFonts w:asciiTheme="minorHAnsi" w:eastAsiaTheme="minorEastAsia" w:hAnsiTheme="minorHAnsi" w:cstheme="minorBidi"/>
                <w:b w:val="0"/>
                <w:noProof/>
                <w:sz w:val="22"/>
                <w:szCs w:val="22"/>
              </w:rPr>
              <w:tab/>
            </w:r>
            <w:r w:rsidR="00513D86" w:rsidRPr="00CD2BB9">
              <w:rPr>
                <w:rStyle w:val="Hyperkobling"/>
                <w:noProof/>
              </w:rPr>
              <w:t>Lønnsoverhenget</w:t>
            </w:r>
            <w:r w:rsidR="00513D86">
              <w:rPr>
                <w:noProof/>
                <w:webHidden/>
              </w:rPr>
              <w:tab/>
            </w:r>
            <w:r w:rsidR="00513D86">
              <w:rPr>
                <w:noProof/>
                <w:webHidden/>
              </w:rPr>
              <w:fldChar w:fldCharType="begin"/>
            </w:r>
            <w:r w:rsidR="00513D86">
              <w:rPr>
                <w:noProof/>
                <w:webHidden/>
              </w:rPr>
              <w:instrText xml:space="preserve"> PAGEREF _Toc443998961 \h </w:instrText>
            </w:r>
            <w:r w:rsidR="00513D86">
              <w:rPr>
                <w:noProof/>
                <w:webHidden/>
              </w:rPr>
            </w:r>
            <w:r w:rsidR="00513D86">
              <w:rPr>
                <w:noProof/>
                <w:webHidden/>
              </w:rPr>
              <w:fldChar w:fldCharType="separate"/>
            </w:r>
            <w:r w:rsidR="00FE5660">
              <w:rPr>
                <w:noProof/>
                <w:webHidden/>
              </w:rPr>
              <w:t>23</w:t>
            </w:r>
            <w:r w:rsidR="00513D86">
              <w:rPr>
                <w:noProof/>
                <w:webHidden/>
              </w:rPr>
              <w:fldChar w:fldCharType="end"/>
            </w:r>
          </w:hyperlink>
        </w:p>
        <w:p w14:paraId="1469F316"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2" w:history="1">
            <w:r w:rsidR="00513D86" w:rsidRPr="00CD2BB9">
              <w:rPr>
                <w:rStyle w:val="Hyperkobling"/>
                <w:noProof/>
              </w:rPr>
              <w:t>1.4</w:t>
            </w:r>
            <w:r w:rsidR="00513D86">
              <w:rPr>
                <w:rFonts w:asciiTheme="minorHAnsi" w:eastAsiaTheme="minorEastAsia" w:hAnsiTheme="minorHAnsi" w:cstheme="minorBidi"/>
                <w:b w:val="0"/>
                <w:noProof/>
                <w:sz w:val="22"/>
                <w:szCs w:val="22"/>
              </w:rPr>
              <w:tab/>
            </w:r>
            <w:r w:rsidR="00513D86" w:rsidRPr="00CD2BB9">
              <w:rPr>
                <w:rStyle w:val="Hyperkobling"/>
                <w:noProof/>
              </w:rPr>
              <w:t>Lønnsutviklingen for ledere</w:t>
            </w:r>
            <w:r w:rsidR="00513D86">
              <w:rPr>
                <w:noProof/>
                <w:webHidden/>
              </w:rPr>
              <w:tab/>
            </w:r>
            <w:r w:rsidR="00513D86">
              <w:rPr>
                <w:noProof/>
                <w:webHidden/>
              </w:rPr>
              <w:fldChar w:fldCharType="begin"/>
            </w:r>
            <w:r w:rsidR="00513D86">
              <w:rPr>
                <w:noProof/>
                <w:webHidden/>
              </w:rPr>
              <w:instrText xml:space="preserve"> PAGEREF _Toc443998962 \h </w:instrText>
            </w:r>
            <w:r w:rsidR="00513D86">
              <w:rPr>
                <w:noProof/>
                <w:webHidden/>
              </w:rPr>
            </w:r>
            <w:r w:rsidR="00513D86">
              <w:rPr>
                <w:noProof/>
                <w:webHidden/>
              </w:rPr>
              <w:fldChar w:fldCharType="separate"/>
            </w:r>
            <w:r w:rsidR="00FE5660">
              <w:rPr>
                <w:noProof/>
                <w:webHidden/>
              </w:rPr>
              <w:t>25</w:t>
            </w:r>
            <w:r w:rsidR="00513D86">
              <w:rPr>
                <w:noProof/>
                <w:webHidden/>
              </w:rPr>
              <w:fldChar w:fldCharType="end"/>
            </w:r>
          </w:hyperlink>
        </w:p>
        <w:p w14:paraId="3F9F3F93"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3" w:history="1">
            <w:r w:rsidR="00513D86" w:rsidRPr="00CD2BB9">
              <w:rPr>
                <w:rStyle w:val="Hyperkobling"/>
                <w:noProof/>
              </w:rPr>
              <w:t>1.5</w:t>
            </w:r>
            <w:r w:rsidR="00513D86">
              <w:rPr>
                <w:rFonts w:asciiTheme="minorHAnsi" w:eastAsiaTheme="minorEastAsia" w:hAnsiTheme="minorHAnsi" w:cstheme="minorBidi"/>
                <w:b w:val="0"/>
                <w:noProof/>
                <w:sz w:val="22"/>
                <w:szCs w:val="22"/>
              </w:rPr>
              <w:tab/>
            </w:r>
            <w:r w:rsidR="00513D86" w:rsidRPr="00CD2BB9">
              <w:rPr>
                <w:rStyle w:val="Hyperkobling"/>
                <w:noProof/>
              </w:rPr>
              <w:t>Lønnsutviklingen for kvinner og menn</w:t>
            </w:r>
            <w:r w:rsidR="00513D86">
              <w:rPr>
                <w:noProof/>
                <w:webHidden/>
              </w:rPr>
              <w:tab/>
            </w:r>
            <w:r w:rsidR="00513D86">
              <w:rPr>
                <w:noProof/>
                <w:webHidden/>
              </w:rPr>
              <w:fldChar w:fldCharType="begin"/>
            </w:r>
            <w:r w:rsidR="00513D86">
              <w:rPr>
                <w:noProof/>
                <w:webHidden/>
              </w:rPr>
              <w:instrText xml:space="preserve"> PAGEREF _Toc443998963 \h </w:instrText>
            </w:r>
            <w:r w:rsidR="00513D86">
              <w:rPr>
                <w:noProof/>
                <w:webHidden/>
              </w:rPr>
            </w:r>
            <w:r w:rsidR="00513D86">
              <w:rPr>
                <w:noProof/>
                <w:webHidden/>
              </w:rPr>
              <w:fldChar w:fldCharType="separate"/>
            </w:r>
            <w:r w:rsidR="00FE5660">
              <w:rPr>
                <w:noProof/>
                <w:webHidden/>
              </w:rPr>
              <w:t>25</w:t>
            </w:r>
            <w:r w:rsidR="00513D86">
              <w:rPr>
                <w:noProof/>
                <w:webHidden/>
              </w:rPr>
              <w:fldChar w:fldCharType="end"/>
            </w:r>
          </w:hyperlink>
        </w:p>
        <w:p w14:paraId="5B56C72A"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4" w:history="1">
            <w:r w:rsidR="00513D86" w:rsidRPr="00CD2BB9">
              <w:rPr>
                <w:rStyle w:val="Hyperkobling"/>
                <w:noProof/>
              </w:rPr>
              <w:t>1.6</w:t>
            </w:r>
            <w:r w:rsidR="00513D86">
              <w:rPr>
                <w:rFonts w:asciiTheme="minorHAnsi" w:eastAsiaTheme="minorEastAsia" w:hAnsiTheme="minorHAnsi" w:cstheme="minorBidi"/>
                <w:b w:val="0"/>
                <w:noProof/>
                <w:sz w:val="22"/>
                <w:szCs w:val="22"/>
              </w:rPr>
              <w:tab/>
            </w:r>
            <w:r w:rsidR="00513D86" w:rsidRPr="00CD2BB9">
              <w:rPr>
                <w:rStyle w:val="Hyperkobling"/>
                <w:noProof/>
              </w:rPr>
              <w:t>Lønnsutviklingen etter utdanning</w:t>
            </w:r>
            <w:r w:rsidR="00513D86">
              <w:rPr>
                <w:noProof/>
                <w:webHidden/>
              </w:rPr>
              <w:tab/>
            </w:r>
            <w:r w:rsidR="00513D86">
              <w:rPr>
                <w:noProof/>
                <w:webHidden/>
              </w:rPr>
              <w:fldChar w:fldCharType="begin"/>
            </w:r>
            <w:r w:rsidR="00513D86">
              <w:rPr>
                <w:noProof/>
                <w:webHidden/>
              </w:rPr>
              <w:instrText xml:space="preserve"> PAGEREF _Toc443998964 \h </w:instrText>
            </w:r>
            <w:r w:rsidR="00513D86">
              <w:rPr>
                <w:noProof/>
                <w:webHidden/>
              </w:rPr>
            </w:r>
            <w:r w:rsidR="00513D86">
              <w:rPr>
                <w:noProof/>
                <w:webHidden/>
              </w:rPr>
              <w:fldChar w:fldCharType="separate"/>
            </w:r>
            <w:r w:rsidR="00FE5660">
              <w:rPr>
                <w:noProof/>
                <w:webHidden/>
              </w:rPr>
              <w:t>25</w:t>
            </w:r>
            <w:r w:rsidR="00513D86">
              <w:rPr>
                <w:noProof/>
                <w:webHidden/>
              </w:rPr>
              <w:fldChar w:fldCharType="end"/>
            </w:r>
          </w:hyperlink>
        </w:p>
        <w:p w14:paraId="2B236B27"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5" w:history="1">
            <w:r w:rsidR="00513D86" w:rsidRPr="00CD2BB9">
              <w:rPr>
                <w:rStyle w:val="Hyperkobling"/>
                <w:noProof/>
              </w:rPr>
              <w:t>1.7</w:t>
            </w:r>
            <w:r w:rsidR="00513D86">
              <w:rPr>
                <w:rFonts w:asciiTheme="minorHAnsi" w:eastAsiaTheme="minorEastAsia" w:hAnsiTheme="minorHAnsi" w:cstheme="minorBidi"/>
                <w:b w:val="0"/>
                <w:noProof/>
                <w:sz w:val="22"/>
                <w:szCs w:val="22"/>
              </w:rPr>
              <w:tab/>
            </w:r>
            <w:r w:rsidR="00513D86" w:rsidRPr="00CD2BB9">
              <w:rPr>
                <w:rStyle w:val="Hyperkobling"/>
                <w:noProof/>
              </w:rPr>
              <w:t>Lønnsutviklingen for deltidsansatte</w:t>
            </w:r>
            <w:r w:rsidR="00513D86">
              <w:rPr>
                <w:noProof/>
                <w:webHidden/>
              </w:rPr>
              <w:tab/>
            </w:r>
            <w:r w:rsidR="00513D86">
              <w:rPr>
                <w:noProof/>
                <w:webHidden/>
              </w:rPr>
              <w:fldChar w:fldCharType="begin"/>
            </w:r>
            <w:r w:rsidR="00513D86">
              <w:rPr>
                <w:noProof/>
                <w:webHidden/>
              </w:rPr>
              <w:instrText xml:space="preserve"> PAGEREF _Toc443998965 \h </w:instrText>
            </w:r>
            <w:r w:rsidR="00513D86">
              <w:rPr>
                <w:noProof/>
                <w:webHidden/>
              </w:rPr>
            </w:r>
            <w:r w:rsidR="00513D86">
              <w:rPr>
                <w:noProof/>
                <w:webHidden/>
              </w:rPr>
              <w:fldChar w:fldCharType="separate"/>
            </w:r>
            <w:r w:rsidR="00FE5660">
              <w:rPr>
                <w:noProof/>
                <w:webHidden/>
              </w:rPr>
              <w:t>25</w:t>
            </w:r>
            <w:r w:rsidR="00513D86">
              <w:rPr>
                <w:noProof/>
                <w:webHidden/>
              </w:rPr>
              <w:fldChar w:fldCharType="end"/>
            </w:r>
          </w:hyperlink>
        </w:p>
        <w:p w14:paraId="08D2894B"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6" w:history="1">
            <w:r w:rsidR="00513D86" w:rsidRPr="00CD2BB9">
              <w:rPr>
                <w:rStyle w:val="Hyperkobling"/>
                <w:bCs/>
                <w:noProof/>
              </w:rPr>
              <w:t>1.8</w:t>
            </w:r>
            <w:r w:rsidR="00513D86">
              <w:rPr>
                <w:rFonts w:asciiTheme="minorHAnsi" w:eastAsiaTheme="minorEastAsia" w:hAnsiTheme="minorHAnsi" w:cstheme="minorBidi"/>
                <w:b w:val="0"/>
                <w:noProof/>
                <w:sz w:val="22"/>
                <w:szCs w:val="22"/>
              </w:rPr>
              <w:tab/>
            </w:r>
            <w:r w:rsidR="00513D86" w:rsidRPr="00CD2BB9">
              <w:rPr>
                <w:rStyle w:val="Hyperkobling"/>
                <w:bCs/>
                <w:noProof/>
              </w:rPr>
              <w:t>Lønnsfordelingen før skatt for lønnstakere 2006-2015</w:t>
            </w:r>
            <w:r w:rsidR="00513D86">
              <w:rPr>
                <w:noProof/>
                <w:webHidden/>
              </w:rPr>
              <w:tab/>
            </w:r>
            <w:r w:rsidR="00513D86">
              <w:rPr>
                <w:noProof/>
                <w:webHidden/>
              </w:rPr>
              <w:fldChar w:fldCharType="begin"/>
            </w:r>
            <w:r w:rsidR="00513D86">
              <w:rPr>
                <w:noProof/>
                <w:webHidden/>
              </w:rPr>
              <w:instrText xml:space="preserve"> PAGEREF _Toc443998966 \h </w:instrText>
            </w:r>
            <w:r w:rsidR="00513D86">
              <w:rPr>
                <w:noProof/>
                <w:webHidden/>
              </w:rPr>
            </w:r>
            <w:r w:rsidR="00513D86">
              <w:rPr>
                <w:noProof/>
                <w:webHidden/>
              </w:rPr>
              <w:fldChar w:fldCharType="separate"/>
            </w:r>
            <w:r w:rsidR="00FE5660">
              <w:rPr>
                <w:noProof/>
                <w:webHidden/>
              </w:rPr>
              <w:t>25</w:t>
            </w:r>
            <w:r w:rsidR="00513D86">
              <w:rPr>
                <w:noProof/>
                <w:webHidden/>
              </w:rPr>
              <w:fldChar w:fldCharType="end"/>
            </w:r>
          </w:hyperlink>
        </w:p>
        <w:p w14:paraId="0FE9B8B9"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8967" w:history="1">
            <w:r w:rsidR="00513D86" w:rsidRPr="00CD2BB9">
              <w:rPr>
                <w:rStyle w:val="Hyperkobling"/>
                <w:noProof/>
              </w:rPr>
              <w:t>2</w:t>
            </w:r>
            <w:r w:rsidR="00513D86">
              <w:rPr>
                <w:rFonts w:asciiTheme="minorHAnsi" w:eastAsiaTheme="minorEastAsia" w:hAnsiTheme="minorHAnsi" w:cstheme="minorBidi"/>
                <w:b w:val="0"/>
                <w:caps w:val="0"/>
                <w:noProof/>
                <w:sz w:val="22"/>
                <w:szCs w:val="22"/>
              </w:rPr>
              <w:tab/>
            </w:r>
            <w:r w:rsidR="00513D86" w:rsidRPr="00CD2BB9">
              <w:rPr>
                <w:rStyle w:val="Hyperkobling"/>
                <w:noProof/>
              </w:rPr>
              <w:t>Konsumprisutviklingen i Norge</w:t>
            </w:r>
            <w:r w:rsidR="00513D86">
              <w:rPr>
                <w:noProof/>
                <w:webHidden/>
              </w:rPr>
              <w:tab/>
            </w:r>
            <w:r w:rsidR="00513D86">
              <w:rPr>
                <w:noProof/>
                <w:webHidden/>
              </w:rPr>
              <w:fldChar w:fldCharType="begin"/>
            </w:r>
            <w:r w:rsidR="00513D86">
              <w:rPr>
                <w:noProof/>
                <w:webHidden/>
              </w:rPr>
              <w:instrText xml:space="preserve"> PAGEREF _Toc443998967 \h </w:instrText>
            </w:r>
            <w:r w:rsidR="00513D86">
              <w:rPr>
                <w:noProof/>
                <w:webHidden/>
              </w:rPr>
            </w:r>
            <w:r w:rsidR="00513D86">
              <w:rPr>
                <w:noProof/>
                <w:webHidden/>
              </w:rPr>
              <w:fldChar w:fldCharType="separate"/>
            </w:r>
            <w:r w:rsidR="00FE5660">
              <w:rPr>
                <w:noProof/>
                <w:webHidden/>
              </w:rPr>
              <w:t>26</w:t>
            </w:r>
            <w:r w:rsidR="00513D86">
              <w:rPr>
                <w:noProof/>
                <w:webHidden/>
              </w:rPr>
              <w:fldChar w:fldCharType="end"/>
            </w:r>
          </w:hyperlink>
        </w:p>
        <w:p w14:paraId="146046B5"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68" w:history="1">
            <w:r w:rsidR="00513D86" w:rsidRPr="00CD2BB9">
              <w:rPr>
                <w:rStyle w:val="Hyperkobling"/>
                <w:noProof/>
              </w:rPr>
              <w:t>2.1</w:t>
            </w:r>
            <w:r w:rsidR="00513D86">
              <w:rPr>
                <w:rFonts w:asciiTheme="minorHAnsi" w:eastAsiaTheme="minorEastAsia" w:hAnsiTheme="minorHAnsi" w:cstheme="minorBidi"/>
                <w:b w:val="0"/>
                <w:noProof/>
                <w:sz w:val="22"/>
                <w:szCs w:val="22"/>
              </w:rPr>
              <w:tab/>
            </w:r>
            <w:r w:rsidR="00513D86" w:rsidRPr="00CD2BB9">
              <w:rPr>
                <w:rStyle w:val="Hyperkobling"/>
                <w:noProof/>
              </w:rPr>
              <w:t>Prisutviklingen i senere år</w:t>
            </w:r>
            <w:r w:rsidR="00513D86">
              <w:rPr>
                <w:noProof/>
                <w:webHidden/>
              </w:rPr>
              <w:tab/>
            </w:r>
            <w:r w:rsidR="00513D86">
              <w:rPr>
                <w:noProof/>
                <w:webHidden/>
              </w:rPr>
              <w:fldChar w:fldCharType="begin"/>
            </w:r>
            <w:r w:rsidR="00513D86">
              <w:rPr>
                <w:noProof/>
                <w:webHidden/>
              </w:rPr>
              <w:instrText xml:space="preserve"> PAGEREF _Toc443998968 \h </w:instrText>
            </w:r>
            <w:r w:rsidR="00513D86">
              <w:rPr>
                <w:noProof/>
                <w:webHidden/>
              </w:rPr>
            </w:r>
            <w:r w:rsidR="00513D86">
              <w:rPr>
                <w:noProof/>
                <w:webHidden/>
              </w:rPr>
              <w:fldChar w:fldCharType="separate"/>
            </w:r>
            <w:r w:rsidR="00FE5660">
              <w:rPr>
                <w:noProof/>
                <w:webHidden/>
              </w:rPr>
              <w:t>26</w:t>
            </w:r>
            <w:r w:rsidR="00513D86">
              <w:rPr>
                <w:noProof/>
                <w:webHidden/>
              </w:rPr>
              <w:fldChar w:fldCharType="end"/>
            </w:r>
          </w:hyperlink>
        </w:p>
        <w:p w14:paraId="4C855BC1"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69" w:history="1">
            <w:r w:rsidR="00513D86" w:rsidRPr="00CD2BB9">
              <w:rPr>
                <w:rStyle w:val="Hyperkobling"/>
                <w:noProof/>
              </w:rPr>
              <w:t>2.1.1</w:t>
            </w:r>
            <w:r w:rsidR="00513D86">
              <w:rPr>
                <w:rFonts w:asciiTheme="minorHAnsi" w:eastAsiaTheme="minorEastAsia" w:hAnsiTheme="minorHAnsi" w:cstheme="minorBidi"/>
                <w:noProof/>
                <w:sz w:val="22"/>
                <w:szCs w:val="22"/>
              </w:rPr>
              <w:tab/>
            </w:r>
            <w:r w:rsidR="00513D86" w:rsidRPr="00CD2BB9">
              <w:rPr>
                <w:rStyle w:val="Hyperkobling"/>
                <w:noProof/>
              </w:rPr>
              <w:t>Hovedlinjer i prisutviklingen</w:t>
            </w:r>
            <w:r w:rsidR="00513D86">
              <w:rPr>
                <w:noProof/>
                <w:webHidden/>
              </w:rPr>
              <w:tab/>
            </w:r>
            <w:r w:rsidR="00513D86">
              <w:rPr>
                <w:noProof/>
                <w:webHidden/>
              </w:rPr>
              <w:fldChar w:fldCharType="begin"/>
            </w:r>
            <w:r w:rsidR="00513D86">
              <w:rPr>
                <w:noProof/>
                <w:webHidden/>
              </w:rPr>
              <w:instrText xml:space="preserve"> PAGEREF _Toc443998969 \h </w:instrText>
            </w:r>
            <w:r w:rsidR="00513D86">
              <w:rPr>
                <w:noProof/>
                <w:webHidden/>
              </w:rPr>
            </w:r>
            <w:r w:rsidR="00513D86">
              <w:rPr>
                <w:noProof/>
                <w:webHidden/>
              </w:rPr>
              <w:fldChar w:fldCharType="separate"/>
            </w:r>
            <w:r w:rsidR="00FE5660">
              <w:rPr>
                <w:noProof/>
                <w:webHidden/>
              </w:rPr>
              <w:t>26</w:t>
            </w:r>
            <w:r w:rsidR="00513D86">
              <w:rPr>
                <w:noProof/>
                <w:webHidden/>
              </w:rPr>
              <w:fldChar w:fldCharType="end"/>
            </w:r>
          </w:hyperlink>
        </w:p>
        <w:p w14:paraId="331DD853"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0" w:history="1">
            <w:r w:rsidR="00513D86" w:rsidRPr="00CD2BB9">
              <w:rPr>
                <w:rStyle w:val="Hyperkobling"/>
                <w:noProof/>
              </w:rPr>
              <w:t>2.1.2</w:t>
            </w:r>
            <w:r w:rsidR="00513D86">
              <w:rPr>
                <w:rFonts w:asciiTheme="minorHAnsi" w:eastAsiaTheme="minorEastAsia" w:hAnsiTheme="minorHAnsi" w:cstheme="minorBidi"/>
                <w:noProof/>
                <w:sz w:val="22"/>
                <w:szCs w:val="22"/>
              </w:rPr>
              <w:tab/>
            </w:r>
            <w:r w:rsidR="00513D86" w:rsidRPr="00CD2BB9">
              <w:rPr>
                <w:rStyle w:val="Hyperkobling"/>
                <w:noProof/>
              </w:rPr>
              <w:t>Prisutviklingen for ulike konsumgrupper</w:t>
            </w:r>
            <w:r w:rsidR="00513D86">
              <w:rPr>
                <w:noProof/>
                <w:webHidden/>
              </w:rPr>
              <w:tab/>
            </w:r>
            <w:r w:rsidR="00513D86">
              <w:rPr>
                <w:noProof/>
                <w:webHidden/>
              </w:rPr>
              <w:fldChar w:fldCharType="begin"/>
            </w:r>
            <w:r w:rsidR="00513D86">
              <w:rPr>
                <w:noProof/>
                <w:webHidden/>
              </w:rPr>
              <w:instrText xml:space="preserve"> PAGEREF _Toc443998970 \h </w:instrText>
            </w:r>
            <w:r w:rsidR="00513D86">
              <w:rPr>
                <w:noProof/>
                <w:webHidden/>
              </w:rPr>
            </w:r>
            <w:r w:rsidR="00513D86">
              <w:rPr>
                <w:noProof/>
                <w:webHidden/>
              </w:rPr>
              <w:fldChar w:fldCharType="separate"/>
            </w:r>
            <w:r w:rsidR="00FE5660">
              <w:rPr>
                <w:noProof/>
                <w:webHidden/>
              </w:rPr>
              <w:t>30</w:t>
            </w:r>
            <w:r w:rsidR="00513D86">
              <w:rPr>
                <w:noProof/>
                <w:webHidden/>
              </w:rPr>
              <w:fldChar w:fldCharType="end"/>
            </w:r>
          </w:hyperlink>
        </w:p>
        <w:p w14:paraId="1B00C07F"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71" w:history="1">
            <w:r w:rsidR="00513D86" w:rsidRPr="00CD2BB9">
              <w:rPr>
                <w:rStyle w:val="Hyperkobling"/>
                <w:noProof/>
              </w:rPr>
              <w:t>2.2</w:t>
            </w:r>
            <w:r w:rsidR="00513D86">
              <w:rPr>
                <w:rFonts w:asciiTheme="minorHAnsi" w:eastAsiaTheme="minorEastAsia" w:hAnsiTheme="minorHAnsi" w:cstheme="minorBidi"/>
                <w:b w:val="0"/>
                <w:noProof/>
                <w:sz w:val="22"/>
                <w:szCs w:val="22"/>
              </w:rPr>
              <w:tab/>
            </w:r>
            <w:r w:rsidR="00513D86" w:rsidRPr="00CD2BB9">
              <w:rPr>
                <w:rStyle w:val="Hyperkobling"/>
                <w:noProof/>
              </w:rPr>
              <w:t>Anslag på konsumprisutviklingen i 2016</w:t>
            </w:r>
            <w:r w:rsidR="00513D86">
              <w:rPr>
                <w:noProof/>
                <w:webHidden/>
              </w:rPr>
              <w:tab/>
            </w:r>
            <w:r w:rsidR="00513D86">
              <w:rPr>
                <w:noProof/>
                <w:webHidden/>
              </w:rPr>
              <w:fldChar w:fldCharType="begin"/>
            </w:r>
            <w:r w:rsidR="00513D86">
              <w:rPr>
                <w:noProof/>
                <w:webHidden/>
              </w:rPr>
              <w:instrText xml:space="preserve"> PAGEREF _Toc443998971 \h </w:instrText>
            </w:r>
            <w:r w:rsidR="00513D86">
              <w:rPr>
                <w:noProof/>
                <w:webHidden/>
              </w:rPr>
            </w:r>
            <w:r w:rsidR="00513D86">
              <w:rPr>
                <w:noProof/>
                <w:webHidden/>
              </w:rPr>
              <w:fldChar w:fldCharType="separate"/>
            </w:r>
            <w:r w:rsidR="00FE5660">
              <w:rPr>
                <w:noProof/>
                <w:webHidden/>
              </w:rPr>
              <w:t>32</w:t>
            </w:r>
            <w:r w:rsidR="00513D86">
              <w:rPr>
                <w:noProof/>
                <w:webHidden/>
              </w:rPr>
              <w:fldChar w:fldCharType="end"/>
            </w:r>
          </w:hyperlink>
        </w:p>
        <w:p w14:paraId="06E58189"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2" w:history="1">
            <w:r w:rsidR="00513D86" w:rsidRPr="00CD2BB9">
              <w:rPr>
                <w:rStyle w:val="Hyperkobling"/>
                <w:noProof/>
              </w:rPr>
              <w:t>2.2.1</w:t>
            </w:r>
            <w:r w:rsidR="00513D86">
              <w:rPr>
                <w:rFonts w:asciiTheme="minorHAnsi" w:eastAsiaTheme="minorEastAsia" w:hAnsiTheme="minorHAnsi" w:cstheme="minorBidi"/>
                <w:noProof/>
                <w:sz w:val="22"/>
                <w:szCs w:val="22"/>
              </w:rPr>
              <w:tab/>
            </w:r>
            <w:r w:rsidR="00513D86" w:rsidRPr="00CD2BB9">
              <w:rPr>
                <w:rStyle w:val="Hyperkobling"/>
                <w:noProof/>
              </w:rPr>
              <w:t>Forutsetninger for modellberegningene</w:t>
            </w:r>
            <w:r w:rsidR="00513D86">
              <w:rPr>
                <w:noProof/>
                <w:webHidden/>
              </w:rPr>
              <w:tab/>
            </w:r>
            <w:r w:rsidR="00513D86">
              <w:rPr>
                <w:noProof/>
                <w:webHidden/>
              </w:rPr>
              <w:fldChar w:fldCharType="begin"/>
            </w:r>
            <w:r w:rsidR="00513D86">
              <w:rPr>
                <w:noProof/>
                <w:webHidden/>
              </w:rPr>
              <w:instrText xml:space="preserve"> PAGEREF _Toc443998972 \h </w:instrText>
            </w:r>
            <w:r w:rsidR="00513D86">
              <w:rPr>
                <w:noProof/>
                <w:webHidden/>
              </w:rPr>
            </w:r>
            <w:r w:rsidR="00513D86">
              <w:rPr>
                <w:noProof/>
                <w:webHidden/>
              </w:rPr>
              <w:fldChar w:fldCharType="separate"/>
            </w:r>
            <w:r w:rsidR="00FE5660">
              <w:rPr>
                <w:noProof/>
                <w:webHidden/>
              </w:rPr>
              <w:t>32</w:t>
            </w:r>
            <w:r w:rsidR="00513D86">
              <w:rPr>
                <w:noProof/>
                <w:webHidden/>
              </w:rPr>
              <w:fldChar w:fldCharType="end"/>
            </w:r>
          </w:hyperlink>
        </w:p>
        <w:p w14:paraId="2DA71D7E"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3" w:history="1">
            <w:r w:rsidR="00513D86" w:rsidRPr="00CD2BB9">
              <w:rPr>
                <w:rStyle w:val="Hyperkobling"/>
                <w:noProof/>
              </w:rPr>
              <w:t>2.2.2</w:t>
            </w:r>
            <w:r w:rsidR="00513D86">
              <w:rPr>
                <w:rFonts w:asciiTheme="minorHAnsi" w:eastAsiaTheme="minorEastAsia" w:hAnsiTheme="minorHAnsi" w:cstheme="minorBidi"/>
                <w:noProof/>
                <w:sz w:val="22"/>
                <w:szCs w:val="22"/>
              </w:rPr>
              <w:tab/>
            </w:r>
            <w:r w:rsidR="00513D86" w:rsidRPr="00CD2BB9">
              <w:rPr>
                <w:rStyle w:val="Hyperkobling"/>
                <w:noProof/>
              </w:rPr>
              <w:t>Modellresultater</w:t>
            </w:r>
            <w:r w:rsidR="00513D86">
              <w:rPr>
                <w:noProof/>
                <w:webHidden/>
              </w:rPr>
              <w:tab/>
            </w:r>
            <w:r w:rsidR="00513D86">
              <w:rPr>
                <w:noProof/>
                <w:webHidden/>
              </w:rPr>
              <w:fldChar w:fldCharType="begin"/>
            </w:r>
            <w:r w:rsidR="00513D86">
              <w:rPr>
                <w:noProof/>
                <w:webHidden/>
              </w:rPr>
              <w:instrText xml:space="preserve"> PAGEREF _Toc443998973 \h </w:instrText>
            </w:r>
            <w:r w:rsidR="00513D86">
              <w:rPr>
                <w:noProof/>
                <w:webHidden/>
              </w:rPr>
            </w:r>
            <w:r w:rsidR="00513D86">
              <w:rPr>
                <w:noProof/>
                <w:webHidden/>
              </w:rPr>
              <w:fldChar w:fldCharType="separate"/>
            </w:r>
            <w:r w:rsidR="00FE5660">
              <w:rPr>
                <w:noProof/>
                <w:webHidden/>
              </w:rPr>
              <w:t>34</w:t>
            </w:r>
            <w:r w:rsidR="00513D86">
              <w:rPr>
                <w:noProof/>
                <w:webHidden/>
              </w:rPr>
              <w:fldChar w:fldCharType="end"/>
            </w:r>
          </w:hyperlink>
        </w:p>
        <w:p w14:paraId="7F233181"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4" w:history="1">
            <w:r w:rsidR="00513D86" w:rsidRPr="00CD2BB9">
              <w:rPr>
                <w:rStyle w:val="Hyperkobling"/>
                <w:noProof/>
              </w:rPr>
              <w:t>2.2.3</w:t>
            </w:r>
            <w:r w:rsidR="00513D86">
              <w:rPr>
                <w:rFonts w:asciiTheme="minorHAnsi" w:eastAsiaTheme="minorEastAsia" w:hAnsiTheme="minorHAnsi" w:cstheme="minorBidi"/>
                <w:noProof/>
                <w:sz w:val="22"/>
                <w:szCs w:val="22"/>
              </w:rPr>
              <w:tab/>
            </w:r>
            <w:r w:rsidR="00513D86" w:rsidRPr="00CD2BB9">
              <w:rPr>
                <w:rStyle w:val="Hyperkobling"/>
                <w:noProof/>
              </w:rPr>
              <w:t>Utvalgets anslag på konsumprisveksten i 2016</w:t>
            </w:r>
            <w:r w:rsidR="00513D86">
              <w:rPr>
                <w:noProof/>
                <w:webHidden/>
              </w:rPr>
              <w:tab/>
            </w:r>
            <w:r w:rsidR="00513D86">
              <w:rPr>
                <w:noProof/>
                <w:webHidden/>
              </w:rPr>
              <w:fldChar w:fldCharType="begin"/>
            </w:r>
            <w:r w:rsidR="00513D86">
              <w:rPr>
                <w:noProof/>
                <w:webHidden/>
              </w:rPr>
              <w:instrText xml:space="preserve"> PAGEREF _Toc443998974 \h </w:instrText>
            </w:r>
            <w:r w:rsidR="00513D86">
              <w:rPr>
                <w:noProof/>
                <w:webHidden/>
              </w:rPr>
            </w:r>
            <w:r w:rsidR="00513D86">
              <w:rPr>
                <w:noProof/>
                <w:webHidden/>
              </w:rPr>
              <w:fldChar w:fldCharType="separate"/>
            </w:r>
            <w:r w:rsidR="00FE5660">
              <w:rPr>
                <w:noProof/>
                <w:webHidden/>
              </w:rPr>
              <w:t>35</w:t>
            </w:r>
            <w:r w:rsidR="00513D86">
              <w:rPr>
                <w:noProof/>
                <w:webHidden/>
              </w:rPr>
              <w:fldChar w:fldCharType="end"/>
            </w:r>
          </w:hyperlink>
        </w:p>
        <w:p w14:paraId="042F0DB0"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8975" w:history="1">
            <w:r w:rsidR="00513D86" w:rsidRPr="00CD2BB9">
              <w:rPr>
                <w:rStyle w:val="Hyperkobling"/>
                <w:noProof/>
              </w:rPr>
              <w:t>3</w:t>
            </w:r>
            <w:r w:rsidR="00513D86">
              <w:rPr>
                <w:rFonts w:asciiTheme="minorHAnsi" w:eastAsiaTheme="minorEastAsia" w:hAnsiTheme="minorHAnsi" w:cstheme="minorBidi"/>
                <w:b w:val="0"/>
                <w:caps w:val="0"/>
                <w:noProof/>
                <w:sz w:val="22"/>
                <w:szCs w:val="22"/>
              </w:rPr>
              <w:tab/>
            </w:r>
            <w:r w:rsidR="00513D86" w:rsidRPr="00CD2BB9">
              <w:rPr>
                <w:rStyle w:val="Hyperkobling"/>
                <w:noProof/>
              </w:rPr>
              <w:t>Makroøkonomisk utvikling</w:t>
            </w:r>
            <w:r w:rsidR="00513D86">
              <w:rPr>
                <w:noProof/>
                <w:webHidden/>
              </w:rPr>
              <w:tab/>
            </w:r>
            <w:r w:rsidR="00513D86">
              <w:rPr>
                <w:noProof/>
                <w:webHidden/>
              </w:rPr>
              <w:fldChar w:fldCharType="begin"/>
            </w:r>
            <w:r w:rsidR="00513D86">
              <w:rPr>
                <w:noProof/>
                <w:webHidden/>
              </w:rPr>
              <w:instrText xml:space="preserve"> PAGEREF _Toc443998975 \h </w:instrText>
            </w:r>
            <w:r w:rsidR="00513D86">
              <w:rPr>
                <w:noProof/>
                <w:webHidden/>
              </w:rPr>
            </w:r>
            <w:r w:rsidR="00513D86">
              <w:rPr>
                <w:noProof/>
                <w:webHidden/>
              </w:rPr>
              <w:fldChar w:fldCharType="separate"/>
            </w:r>
            <w:r w:rsidR="00FE5660">
              <w:rPr>
                <w:noProof/>
                <w:webHidden/>
              </w:rPr>
              <w:t>38</w:t>
            </w:r>
            <w:r w:rsidR="00513D86">
              <w:rPr>
                <w:noProof/>
                <w:webHidden/>
              </w:rPr>
              <w:fldChar w:fldCharType="end"/>
            </w:r>
          </w:hyperlink>
        </w:p>
        <w:p w14:paraId="1C2CDB1A"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77" w:history="1">
            <w:r w:rsidR="00513D86" w:rsidRPr="00CD2BB9">
              <w:rPr>
                <w:rStyle w:val="Hyperkobling"/>
                <w:rFonts w:cs="Arial"/>
                <w:noProof/>
              </w:rPr>
              <w:t>3.2</w:t>
            </w:r>
            <w:r w:rsidR="00513D86">
              <w:rPr>
                <w:rFonts w:asciiTheme="minorHAnsi" w:eastAsiaTheme="minorEastAsia" w:hAnsiTheme="minorHAnsi" w:cstheme="minorBidi"/>
                <w:b w:val="0"/>
                <w:noProof/>
                <w:sz w:val="22"/>
                <w:szCs w:val="22"/>
              </w:rPr>
              <w:tab/>
            </w:r>
            <w:r w:rsidR="00513D86" w:rsidRPr="00CD2BB9">
              <w:rPr>
                <w:rStyle w:val="Hyperkobling"/>
                <w:noProof/>
              </w:rPr>
              <w:t>Norsk økonomi</w:t>
            </w:r>
            <w:r w:rsidR="00513D86">
              <w:rPr>
                <w:noProof/>
                <w:webHidden/>
              </w:rPr>
              <w:tab/>
            </w:r>
            <w:r w:rsidR="00513D86">
              <w:rPr>
                <w:noProof/>
                <w:webHidden/>
              </w:rPr>
              <w:fldChar w:fldCharType="begin"/>
            </w:r>
            <w:r w:rsidR="00513D86">
              <w:rPr>
                <w:noProof/>
                <w:webHidden/>
              </w:rPr>
              <w:instrText xml:space="preserve"> PAGEREF _Toc443998977 \h </w:instrText>
            </w:r>
            <w:r w:rsidR="00513D86">
              <w:rPr>
                <w:noProof/>
                <w:webHidden/>
              </w:rPr>
            </w:r>
            <w:r w:rsidR="00513D86">
              <w:rPr>
                <w:noProof/>
                <w:webHidden/>
              </w:rPr>
              <w:fldChar w:fldCharType="separate"/>
            </w:r>
            <w:r w:rsidR="00FE5660">
              <w:rPr>
                <w:noProof/>
                <w:webHidden/>
              </w:rPr>
              <w:t>46</w:t>
            </w:r>
            <w:r w:rsidR="00513D86">
              <w:rPr>
                <w:noProof/>
                <w:webHidden/>
              </w:rPr>
              <w:fldChar w:fldCharType="end"/>
            </w:r>
          </w:hyperlink>
        </w:p>
        <w:p w14:paraId="7FDE36D4"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8" w:history="1">
            <w:r w:rsidR="00513D86" w:rsidRPr="00CD2BB9">
              <w:rPr>
                <w:rStyle w:val="Hyperkobling"/>
                <w:noProof/>
              </w:rPr>
              <w:t>3.2.1</w:t>
            </w:r>
            <w:r w:rsidR="00513D86">
              <w:rPr>
                <w:rFonts w:asciiTheme="minorHAnsi" w:eastAsiaTheme="minorEastAsia" w:hAnsiTheme="minorHAnsi" w:cstheme="minorBidi"/>
                <w:noProof/>
                <w:sz w:val="22"/>
                <w:szCs w:val="22"/>
              </w:rPr>
              <w:tab/>
            </w:r>
            <w:r w:rsidR="00513D86" w:rsidRPr="00CD2BB9">
              <w:rPr>
                <w:rStyle w:val="Hyperkobling"/>
                <w:noProof/>
              </w:rPr>
              <w:t>Den senere tids makroøkonomiske utvikling</w:t>
            </w:r>
            <w:r w:rsidR="00513D86">
              <w:rPr>
                <w:noProof/>
                <w:webHidden/>
              </w:rPr>
              <w:tab/>
            </w:r>
            <w:r w:rsidR="00513D86">
              <w:rPr>
                <w:noProof/>
                <w:webHidden/>
              </w:rPr>
              <w:fldChar w:fldCharType="begin"/>
            </w:r>
            <w:r w:rsidR="00513D86">
              <w:rPr>
                <w:noProof/>
                <w:webHidden/>
              </w:rPr>
              <w:instrText xml:space="preserve"> PAGEREF _Toc443998978 \h </w:instrText>
            </w:r>
            <w:r w:rsidR="00513D86">
              <w:rPr>
                <w:noProof/>
                <w:webHidden/>
              </w:rPr>
            </w:r>
            <w:r w:rsidR="00513D86">
              <w:rPr>
                <w:noProof/>
                <w:webHidden/>
              </w:rPr>
              <w:fldChar w:fldCharType="separate"/>
            </w:r>
            <w:r w:rsidR="00FE5660">
              <w:rPr>
                <w:noProof/>
                <w:webHidden/>
              </w:rPr>
              <w:t>46</w:t>
            </w:r>
            <w:r w:rsidR="00513D86">
              <w:rPr>
                <w:noProof/>
                <w:webHidden/>
              </w:rPr>
              <w:fldChar w:fldCharType="end"/>
            </w:r>
          </w:hyperlink>
        </w:p>
        <w:p w14:paraId="0AEA60AD"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79" w:history="1">
            <w:r w:rsidR="00513D86" w:rsidRPr="00CD2BB9">
              <w:rPr>
                <w:rStyle w:val="Hyperkobling"/>
                <w:noProof/>
              </w:rPr>
              <w:t>3.2.2</w:t>
            </w:r>
            <w:r w:rsidR="00513D86">
              <w:rPr>
                <w:rFonts w:asciiTheme="minorHAnsi" w:eastAsiaTheme="minorEastAsia" w:hAnsiTheme="minorHAnsi" w:cstheme="minorBidi"/>
                <w:noProof/>
                <w:sz w:val="22"/>
                <w:szCs w:val="22"/>
              </w:rPr>
              <w:tab/>
            </w:r>
            <w:r w:rsidR="00513D86" w:rsidRPr="00CD2BB9">
              <w:rPr>
                <w:rStyle w:val="Hyperkobling"/>
                <w:noProof/>
              </w:rPr>
              <w:t>Arbeidsmarkedet</w:t>
            </w:r>
            <w:r w:rsidR="00513D86">
              <w:rPr>
                <w:noProof/>
                <w:webHidden/>
              </w:rPr>
              <w:tab/>
            </w:r>
            <w:r w:rsidR="00513D86">
              <w:rPr>
                <w:noProof/>
                <w:webHidden/>
              </w:rPr>
              <w:fldChar w:fldCharType="begin"/>
            </w:r>
            <w:r w:rsidR="00513D86">
              <w:rPr>
                <w:noProof/>
                <w:webHidden/>
              </w:rPr>
              <w:instrText xml:space="preserve"> PAGEREF _Toc443998979 \h </w:instrText>
            </w:r>
            <w:r w:rsidR="00513D86">
              <w:rPr>
                <w:noProof/>
                <w:webHidden/>
              </w:rPr>
            </w:r>
            <w:r w:rsidR="00513D86">
              <w:rPr>
                <w:noProof/>
                <w:webHidden/>
              </w:rPr>
              <w:fldChar w:fldCharType="separate"/>
            </w:r>
            <w:r w:rsidR="00FE5660">
              <w:rPr>
                <w:noProof/>
                <w:webHidden/>
              </w:rPr>
              <w:t>49</w:t>
            </w:r>
            <w:r w:rsidR="00513D86">
              <w:rPr>
                <w:noProof/>
                <w:webHidden/>
              </w:rPr>
              <w:fldChar w:fldCharType="end"/>
            </w:r>
          </w:hyperlink>
        </w:p>
        <w:p w14:paraId="5C8B717C"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0" w:history="1">
            <w:r w:rsidR="00513D86" w:rsidRPr="00CD2BB9">
              <w:rPr>
                <w:rStyle w:val="Hyperkobling"/>
                <w:noProof/>
              </w:rPr>
              <w:t>3.2.3</w:t>
            </w:r>
            <w:r w:rsidR="00513D86">
              <w:rPr>
                <w:rFonts w:asciiTheme="minorHAnsi" w:eastAsiaTheme="minorEastAsia" w:hAnsiTheme="minorHAnsi" w:cstheme="minorBidi"/>
                <w:noProof/>
                <w:sz w:val="22"/>
                <w:szCs w:val="22"/>
              </w:rPr>
              <w:tab/>
            </w:r>
            <w:r w:rsidR="00513D86" w:rsidRPr="00CD2BB9">
              <w:rPr>
                <w:rStyle w:val="Hyperkobling"/>
                <w:noProof/>
              </w:rPr>
              <w:t>Utsiktene for 2016</w:t>
            </w:r>
            <w:r w:rsidR="00513D86">
              <w:rPr>
                <w:noProof/>
                <w:webHidden/>
              </w:rPr>
              <w:tab/>
            </w:r>
            <w:r w:rsidR="00513D86">
              <w:rPr>
                <w:noProof/>
                <w:webHidden/>
              </w:rPr>
              <w:fldChar w:fldCharType="begin"/>
            </w:r>
            <w:r w:rsidR="00513D86">
              <w:rPr>
                <w:noProof/>
                <w:webHidden/>
              </w:rPr>
              <w:instrText xml:space="preserve"> PAGEREF _Toc443998980 \h </w:instrText>
            </w:r>
            <w:r w:rsidR="00513D86">
              <w:rPr>
                <w:noProof/>
                <w:webHidden/>
              </w:rPr>
            </w:r>
            <w:r w:rsidR="00513D86">
              <w:rPr>
                <w:noProof/>
                <w:webHidden/>
              </w:rPr>
              <w:fldChar w:fldCharType="separate"/>
            </w:r>
            <w:r w:rsidR="00FE5660">
              <w:rPr>
                <w:noProof/>
                <w:webHidden/>
              </w:rPr>
              <w:t>57</w:t>
            </w:r>
            <w:r w:rsidR="00513D86">
              <w:rPr>
                <w:noProof/>
                <w:webHidden/>
              </w:rPr>
              <w:fldChar w:fldCharType="end"/>
            </w:r>
          </w:hyperlink>
        </w:p>
        <w:p w14:paraId="6C8D9B6E"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8981" w:history="1">
            <w:r w:rsidR="00513D86" w:rsidRPr="00CD2BB9">
              <w:rPr>
                <w:rStyle w:val="Hyperkobling"/>
                <w:noProof/>
              </w:rPr>
              <w:t>4</w:t>
            </w:r>
            <w:r w:rsidR="00513D86">
              <w:rPr>
                <w:rFonts w:asciiTheme="minorHAnsi" w:eastAsiaTheme="minorEastAsia" w:hAnsiTheme="minorHAnsi" w:cstheme="minorBidi"/>
                <w:b w:val="0"/>
                <w:caps w:val="0"/>
                <w:noProof/>
                <w:sz w:val="22"/>
                <w:szCs w:val="22"/>
              </w:rPr>
              <w:tab/>
            </w:r>
            <w:r w:rsidR="00513D86" w:rsidRPr="00CD2BB9">
              <w:rPr>
                <w:rStyle w:val="Hyperkobling"/>
                <w:noProof/>
              </w:rPr>
              <w:t>Utviklingen i konkurranseevnen</w:t>
            </w:r>
            <w:r w:rsidR="00513D86">
              <w:rPr>
                <w:noProof/>
                <w:webHidden/>
              </w:rPr>
              <w:tab/>
            </w:r>
            <w:r w:rsidR="00513D86">
              <w:rPr>
                <w:noProof/>
                <w:webHidden/>
              </w:rPr>
              <w:fldChar w:fldCharType="begin"/>
            </w:r>
            <w:r w:rsidR="00513D86">
              <w:rPr>
                <w:noProof/>
                <w:webHidden/>
              </w:rPr>
              <w:instrText xml:space="preserve"> PAGEREF _Toc443998981 \h </w:instrText>
            </w:r>
            <w:r w:rsidR="00513D86">
              <w:rPr>
                <w:noProof/>
                <w:webHidden/>
              </w:rPr>
            </w:r>
            <w:r w:rsidR="00513D86">
              <w:rPr>
                <w:noProof/>
                <w:webHidden/>
              </w:rPr>
              <w:fldChar w:fldCharType="separate"/>
            </w:r>
            <w:r w:rsidR="00FE5660">
              <w:rPr>
                <w:noProof/>
                <w:webHidden/>
              </w:rPr>
              <w:t>61</w:t>
            </w:r>
            <w:r w:rsidR="00513D86">
              <w:rPr>
                <w:noProof/>
                <w:webHidden/>
              </w:rPr>
              <w:fldChar w:fldCharType="end"/>
            </w:r>
          </w:hyperlink>
        </w:p>
        <w:p w14:paraId="0F90AEB2"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82" w:history="1">
            <w:r w:rsidR="00513D86" w:rsidRPr="00CD2BB9">
              <w:rPr>
                <w:rStyle w:val="Hyperkobling"/>
                <w:noProof/>
              </w:rPr>
              <w:t>4.1</w:t>
            </w:r>
            <w:r w:rsidR="00513D86">
              <w:rPr>
                <w:rFonts w:asciiTheme="minorHAnsi" w:eastAsiaTheme="minorEastAsia" w:hAnsiTheme="minorHAnsi" w:cstheme="minorBidi"/>
                <w:b w:val="0"/>
                <w:noProof/>
                <w:sz w:val="22"/>
                <w:szCs w:val="22"/>
              </w:rPr>
              <w:tab/>
            </w:r>
            <w:r w:rsidR="00513D86" w:rsidRPr="00CD2BB9">
              <w:rPr>
                <w:rStyle w:val="Hyperkobling"/>
                <w:noProof/>
              </w:rPr>
              <w:t>Innledning</w:t>
            </w:r>
            <w:r w:rsidR="00513D86">
              <w:rPr>
                <w:noProof/>
                <w:webHidden/>
              </w:rPr>
              <w:tab/>
            </w:r>
            <w:r w:rsidR="00513D86">
              <w:rPr>
                <w:noProof/>
                <w:webHidden/>
              </w:rPr>
              <w:fldChar w:fldCharType="begin"/>
            </w:r>
            <w:r w:rsidR="00513D86">
              <w:rPr>
                <w:noProof/>
                <w:webHidden/>
              </w:rPr>
              <w:instrText xml:space="preserve"> PAGEREF _Toc443998982 \h </w:instrText>
            </w:r>
            <w:r w:rsidR="00513D86">
              <w:rPr>
                <w:noProof/>
                <w:webHidden/>
              </w:rPr>
            </w:r>
            <w:r w:rsidR="00513D86">
              <w:rPr>
                <w:noProof/>
                <w:webHidden/>
              </w:rPr>
              <w:fldChar w:fldCharType="separate"/>
            </w:r>
            <w:r w:rsidR="00FE5660">
              <w:rPr>
                <w:noProof/>
                <w:webHidden/>
              </w:rPr>
              <w:t>62</w:t>
            </w:r>
            <w:r w:rsidR="00513D86">
              <w:rPr>
                <w:noProof/>
                <w:webHidden/>
              </w:rPr>
              <w:fldChar w:fldCharType="end"/>
            </w:r>
          </w:hyperlink>
        </w:p>
        <w:p w14:paraId="3C8A8D26"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83" w:history="1">
            <w:r w:rsidR="00513D86" w:rsidRPr="00CD2BB9">
              <w:rPr>
                <w:rStyle w:val="Hyperkobling"/>
                <w:rFonts w:cs="Arial"/>
                <w:noProof/>
              </w:rPr>
              <w:t>4.2</w:t>
            </w:r>
            <w:r w:rsidR="00513D86">
              <w:rPr>
                <w:rFonts w:asciiTheme="minorHAnsi" w:eastAsiaTheme="minorEastAsia" w:hAnsiTheme="minorHAnsi" w:cstheme="minorBidi"/>
                <w:b w:val="0"/>
                <w:noProof/>
                <w:sz w:val="22"/>
                <w:szCs w:val="22"/>
              </w:rPr>
              <w:tab/>
            </w:r>
            <w:r w:rsidR="00513D86" w:rsidRPr="00CD2BB9">
              <w:rPr>
                <w:rStyle w:val="Hyperkobling"/>
                <w:rFonts w:cs="Arial"/>
                <w:noProof/>
              </w:rPr>
              <w:t>Faktorinntektsfordeling i konkurranseutsatte og skjermede næringer</w:t>
            </w:r>
            <w:r w:rsidR="00513D86">
              <w:rPr>
                <w:noProof/>
                <w:webHidden/>
              </w:rPr>
              <w:tab/>
            </w:r>
            <w:r w:rsidR="00513D86">
              <w:rPr>
                <w:noProof/>
                <w:webHidden/>
              </w:rPr>
              <w:fldChar w:fldCharType="begin"/>
            </w:r>
            <w:r w:rsidR="00513D86">
              <w:rPr>
                <w:noProof/>
                <w:webHidden/>
              </w:rPr>
              <w:instrText xml:space="preserve"> PAGEREF _Toc443998983 \h </w:instrText>
            </w:r>
            <w:r w:rsidR="00513D86">
              <w:rPr>
                <w:noProof/>
                <w:webHidden/>
              </w:rPr>
            </w:r>
            <w:r w:rsidR="00513D86">
              <w:rPr>
                <w:noProof/>
                <w:webHidden/>
              </w:rPr>
              <w:fldChar w:fldCharType="separate"/>
            </w:r>
            <w:r w:rsidR="00FE5660">
              <w:rPr>
                <w:noProof/>
                <w:webHidden/>
              </w:rPr>
              <w:t>65</w:t>
            </w:r>
            <w:r w:rsidR="00513D86">
              <w:rPr>
                <w:noProof/>
                <w:webHidden/>
              </w:rPr>
              <w:fldChar w:fldCharType="end"/>
            </w:r>
          </w:hyperlink>
        </w:p>
        <w:p w14:paraId="2A55C445"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4" w:history="1">
            <w:r w:rsidR="00513D86" w:rsidRPr="00CD2BB9">
              <w:rPr>
                <w:rStyle w:val="Hyperkobling"/>
                <w:noProof/>
              </w:rPr>
              <w:t>4.2.1</w:t>
            </w:r>
            <w:r w:rsidR="00513D86">
              <w:rPr>
                <w:rFonts w:asciiTheme="minorHAnsi" w:eastAsiaTheme="minorEastAsia" w:hAnsiTheme="minorHAnsi" w:cstheme="minorBidi"/>
                <w:noProof/>
                <w:sz w:val="22"/>
                <w:szCs w:val="22"/>
              </w:rPr>
              <w:tab/>
            </w:r>
            <w:r w:rsidR="00513D86" w:rsidRPr="00CD2BB9">
              <w:rPr>
                <w:rStyle w:val="Hyperkobling"/>
                <w:noProof/>
              </w:rPr>
              <w:t>Frontfagsmodellen</w:t>
            </w:r>
            <w:r w:rsidR="00513D86">
              <w:rPr>
                <w:noProof/>
                <w:webHidden/>
              </w:rPr>
              <w:tab/>
            </w:r>
            <w:r w:rsidR="00513D86">
              <w:rPr>
                <w:noProof/>
                <w:webHidden/>
              </w:rPr>
              <w:fldChar w:fldCharType="begin"/>
            </w:r>
            <w:r w:rsidR="00513D86">
              <w:rPr>
                <w:noProof/>
                <w:webHidden/>
              </w:rPr>
              <w:instrText xml:space="preserve"> PAGEREF _Toc443998984 \h </w:instrText>
            </w:r>
            <w:r w:rsidR="00513D86">
              <w:rPr>
                <w:noProof/>
                <w:webHidden/>
              </w:rPr>
            </w:r>
            <w:r w:rsidR="00513D86">
              <w:rPr>
                <w:noProof/>
                <w:webHidden/>
              </w:rPr>
              <w:fldChar w:fldCharType="separate"/>
            </w:r>
            <w:r w:rsidR="00FE5660">
              <w:rPr>
                <w:noProof/>
                <w:webHidden/>
              </w:rPr>
              <w:t>66</w:t>
            </w:r>
            <w:r w:rsidR="00513D86">
              <w:rPr>
                <w:noProof/>
                <w:webHidden/>
              </w:rPr>
              <w:fldChar w:fldCharType="end"/>
            </w:r>
          </w:hyperlink>
        </w:p>
        <w:p w14:paraId="37576043"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5" w:history="1">
            <w:r w:rsidR="00513D86" w:rsidRPr="00CD2BB9">
              <w:rPr>
                <w:rStyle w:val="Hyperkobling"/>
                <w:noProof/>
              </w:rPr>
              <w:t>4.2.2</w:t>
            </w:r>
            <w:r w:rsidR="00513D86">
              <w:rPr>
                <w:rFonts w:asciiTheme="minorHAnsi" w:eastAsiaTheme="minorEastAsia" w:hAnsiTheme="minorHAnsi" w:cstheme="minorBidi"/>
                <w:noProof/>
                <w:sz w:val="22"/>
                <w:szCs w:val="22"/>
              </w:rPr>
              <w:tab/>
            </w:r>
            <w:r w:rsidR="00513D86" w:rsidRPr="00CD2BB9">
              <w:rPr>
                <w:rStyle w:val="Hyperkobling"/>
                <w:noProof/>
              </w:rPr>
              <w:t>Lønnsomheten i norsk industri</w:t>
            </w:r>
            <w:r w:rsidR="00513D86">
              <w:rPr>
                <w:noProof/>
                <w:webHidden/>
              </w:rPr>
              <w:tab/>
            </w:r>
            <w:r w:rsidR="00513D86">
              <w:rPr>
                <w:noProof/>
                <w:webHidden/>
              </w:rPr>
              <w:fldChar w:fldCharType="begin"/>
            </w:r>
            <w:r w:rsidR="00513D86">
              <w:rPr>
                <w:noProof/>
                <w:webHidden/>
              </w:rPr>
              <w:instrText xml:space="preserve"> PAGEREF _Toc443998985 \h </w:instrText>
            </w:r>
            <w:r w:rsidR="00513D86">
              <w:rPr>
                <w:noProof/>
                <w:webHidden/>
              </w:rPr>
            </w:r>
            <w:r w:rsidR="00513D86">
              <w:rPr>
                <w:noProof/>
                <w:webHidden/>
              </w:rPr>
              <w:fldChar w:fldCharType="separate"/>
            </w:r>
            <w:r w:rsidR="00FE5660">
              <w:rPr>
                <w:noProof/>
                <w:webHidden/>
              </w:rPr>
              <w:t>69</w:t>
            </w:r>
            <w:r w:rsidR="00513D86">
              <w:rPr>
                <w:noProof/>
                <w:webHidden/>
              </w:rPr>
              <w:fldChar w:fldCharType="end"/>
            </w:r>
          </w:hyperlink>
        </w:p>
        <w:p w14:paraId="2E14B1F9"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86" w:history="1">
            <w:r w:rsidR="00513D86" w:rsidRPr="00CD2BB9">
              <w:rPr>
                <w:rStyle w:val="Hyperkobling"/>
                <w:rFonts w:cs="Arial"/>
                <w:noProof/>
              </w:rPr>
              <w:t>4.3</w:t>
            </w:r>
            <w:r w:rsidR="00513D86">
              <w:rPr>
                <w:rFonts w:asciiTheme="minorHAnsi" w:eastAsiaTheme="minorEastAsia" w:hAnsiTheme="minorHAnsi" w:cstheme="minorBidi"/>
                <w:b w:val="0"/>
                <w:noProof/>
                <w:sz w:val="22"/>
                <w:szCs w:val="22"/>
              </w:rPr>
              <w:tab/>
            </w:r>
            <w:r w:rsidR="00513D86" w:rsidRPr="00CD2BB9">
              <w:rPr>
                <w:rStyle w:val="Hyperkobling"/>
                <w:rFonts w:cs="Arial"/>
                <w:noProof/>
              </w:rPr>
              <w:t>Indikatorer for industriens kostnadsutvikling</w:t>
            </w:r>
            <w:r w:rsidR="00513D86">
              <w:rPr>
                <w:noProof/>
                <w:webHidden/>
              </w:rPr>
              <w:tab/>
            </w:r>
            <w:r w:rsidR="00513D86">
              <w:rPr>
                <w:noProof/>
                <w:webHidden/>
              </w:rPr>
              <w:fldChar w:fldCharType="begin"/>
            </w:r>
            <w:r w:rsidR="00513D86">
              <w:rPr>
                <w:noProof/>
                <w:webHidden/>
              </w:rPr>
              <w:instrText xml:space="preserve"> PAGEREF _Toc443998986 \h </w:instrText>
            </w:r>
            <w:r w:rsidR="00513D86">
              <w:rPr>
                <w:noProof/>
                <w:webHidden/>
              </w:rPr>
            </w:r>
            <w:r w:rsidR="00513D86">
              <w:rPr>
                <w:noProof/>
                <w:webHidden/>
              </w:rPr>
              <w:fldChar w:fldCharType="separate"/>
            </w:r>
            <w:r w:rsidR="00FE5660">
              <w:rPr>
                <w:noProof/>
                <w:webHidden/>
              </w:rPr>
              <w:t>71</w:t>
            </w:r>
            <w:r w:rsidR="00513D86">
              <w:rPr>
                <w:noProof/>
                <w:webHidden/>
              </w:rPr>
              <w:fldChar w:fldCharType="end"/>
            </w:r>
          </w:hyperlink>
        </w:p>
        <w:p w14:paraId="6AFC69CF"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7" w:history="1">
            <w:r w:rsidR="00513D86" w:rsidRPr="00CD2BB9">
              <w:rPr>
                <w:rStyle w:val="Hyperkobling"/>
                <w:noProof/>
              </w:rPr>
              <w:t>4.3.1</w:t>
            </w:r>
            <w:r w:rsidR="00513D86">
              <w:rPr>
                <w:rFonts w:asciiTheme="minorHAnsi" w:eastAsiaTheme="minorEastAsia" w:hAnsiTheme="minorHAnsi" w:cstheme="minorBidi"/>
                <w:noProof/>
                <w:sz w:val="22"/>
                <w:szCs w:val="22"/>
              </w:rPr>
              <w:tab/>
            </w:r>
            <w:r w:rsidR="00513D86" w:rsidRPr="00CD2BB9">
              <w:rPr>
                <w:rStyle w:val="Hyperkobling"/>
                <w:noProof/>
              </w:rPr>
              <w:t>Vekst i timelønnskostnader</w:t>
            </w:r>
            <w:r w:rsidR="00513D86">
              <w:rPr>
                <w:noProof/>
                <w:webHidden/>
              </w:rPr>
              <w:tab/>
            </w:r>
            <w:r w:rsidR="00513D86">
              <w:rPr>
                <w:noProof/>
                <w:webHidden/>
              </w:rPr>
              <w:fldChar w:fldCharType="begin"/>
            </w:r>
            <w:r w:rsidR="00513D86">
              <w:rPr>
                <w:noProof/>
                <w:webHidden/>
              </w:rPr>
              <w:instrText xml:space="preserve"> PAGEREF _Toc443998987 \h </w:instrText>
            </w:r>
            <w:r w:rsidR="00513D86">
              <w:rPr>
                <w:noProof/>
                <w:webHidden/>
              </w:rPr>
            </w:r>
            <w:r w:rsidR="00513D86">
              <w:rPr>
                <w:noProof/>
                <w:webHidden/>
              </w:rPr>
              <w:fldChar w:fldCharType="separate"/>
            </w:r>
            <w:r w:rsidR="00FE5660">
              <w:rPr>
                <w:noProof/>
                <w:webHidden/>
              </w:rPr>
              <w:t>71</w:t>
            </w:r>
            <w:r w:rsidR="00513D86">
              <w:rPr>
                <w:noProof/>
                <w:webHidden/>
              </w:rPr>
              <w:fldChar w:fldCharType="end"/>
            </w:r>
          </w:hyperlink>
        </w:p>
        <w:p w14:paraId="7074078F"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8" w:history="1">
            <w:r w:rsidR="00513D86" w:rsidRPr="00CD2BB9">
              <w:rPr>
                <w:rStyle w:val="Hyperkobling"/>
                <w:noProof/>
              </w:rPr>
              <w:t>4.3.2</w:t>
            </w:r>
            <w:r w:rsidR="00513D86">
              <w:rPr>
                <w:rFonts w:asciiTheme="minorHAnsi" w:eastAsiaTheme="minorEastAsia" w:hAnsiTheme="minorHAnsi" w:cstheme="minorBidi"/>
                <w:noProof/>
                <w:sz w:val="22"/>
                <w:szCs w:val="22"/>
              </w:rPr>
              <w:tab/>
            </w:r>
            <w:r w:rsidR="00513D86" w:rsidRPr="00CD2BB9">
              <w:rPr>
                <w:rStyle w:val="Hyperkobling"/>
                <w:noProof/>
              </w:rPr>
              <w:t>Vekst i lønnskostnader per produsert enhet</w:t>
            </w:r>
            <w:r w:rsidR="00513D86">
              <w:rPr>
                <w:noProof/>
                <w:webHidden/>
              </w:rPr>
              <w:tab/>
            </w:r>
            <w:r w:rsidR="00513D86">
              <w:rPr>
                <w:noProof/>
                <w:webHidden/>
              </w:rPr>
              <w:fldChar w:fldCharType="begin"/>
            </w:r>
            <w:r w:rsidR="00513D86">
              <w:rPr>
                <w:noProof/>
                <w:webHidden/>
              </w:rPr>
              <w:instrText xml:space="preserve"> PAGEREF _Toc443998988 \h </w:instrText>
            </w:r>
            <w:r w:rsidR="00513D86">
              <w:rPr>
                <w:noProof/>
                <w:webHidden/>
              </w:rPr>
            </w:r>
            <w:r w:rsidR="00513D86">
              <w:rPr>
                <w:noProof/>
                <w:webHidden/>
              </w:rPr>
              <w:fldChar w:fldCharType="separate"/>
            </w:r>
            <w:r w:rsidR="00FE5660">
              <w:rPr>
                <w:noProof/>
                <w:webHidden/>
              </w:rPr>
              <w:t>73</w:t>
            </w:r>
            <w:r w:rsidR="00513D86">
              <w:rPr>
                <w:noProof/>
                <w:webHidden/>
              </w:rPr>
              <w:fldChar w:fldCharType="end"/>
            </w:r>
          </w:hyperlink>
        </w:p>
        <w:p w14:paraId="2E52DF61"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89" w:history="1">
            <w:r w:rsidR="00513D86" w:rsidRPr="00CD2BB9">
              <w:rPr>
                <w:rStyle w:val="Hyperkobling"/>
                <w:noProof/>
              </w:rPr>
              <w:t>4.3.3</w:t>
            </w:r>
            <w:r w:rsidR="00513D86">
              <w:rPr>
                <w:rFonts w:asciiTheme="minorHAnsi" w:eastAsiaTheme="minorEastAsia" w:hAnsiTheme="minorHAnsi" w:cstheme="minorBidi"/>
                <w:noProof/>
                <w:sz w:val="22"/>
                <w:szCs w:val="22"/>
              </w:rPr>
              <w:tab/>
            </w:r>
            <w:r w:rsidR="00513D86" w:rsidRPr="00CD2BB9">
              <w:rPr>
                <w:rStyle w:val="Hyperkobling"/>
                <w:noProof/>
              </w:rPr>
              <w:t>Vekst i lønnskostnader per ansatt i hele økonomien</w:t>
            </w:r>
            <w:r w:rsidR="00513D86">
              <w:rPr>
                <w:noProof/>
                <w:webHidden/>
              </w:rPr>
              <w:tab/>
            </w:r>
            <w:r w:rsidR="00513D86">
              <w:rPr>
                <w:noProof/>
                <w:webHidden/>
              </w:rPr>
              <w:fldChar w:fldCharType="begin"/>
            </w:r>
            <w:r w:rsidR="00513D86">
              <w:rPr>
                <w:noProof/>
                <w:webHidden/>
              </w:rPr>
              <w:instrText xml:space="preserve"> PAGEREF _Toc443998989 \h </w:instrText>
            </w:r>
            <w:r w:rsidR="00513D86">
              <w:rPr>
                <w:noProof/>
                <w:webHidden/>
              </w:rPr>
            </w:r>
            <w:r w:rsidR="00513D86">
              <w:rPr>
                <w:noProof/>
                <w:webHidden/>
              </w:rPr>
              <w:fldChar w:fldCharType="separate"/>
            </w:r>
            <w:r w:rsidR="00FE5660">
              <w:rPr>
                <w:noProof/>
                <w:webHidden/>
              </w:rPr>
              <w:t>74</w:t>
            </w:r>
            <w:r w:rsidR="00513D86">
              <w:rPr>
                <w:noProof/>
                <w:webHidden/>
              </w:rPr>
              <w:fldChar w:fldCharType="end"/>
            </w:r>
          </w:hyperlink>
        </w:p>
        <w:p w14:paraId="3C504B67"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90" w:history="1">
            <w:r w:rsidR="00513D86" w:rsidRPr="00CD2BB9">
              <w:rPr>
                <w:rStyle w:val="Hyperkobling"/>
                <w:noProof/>
              </w:rPr>
              <w:t>4.3.4</w:t>
            </w:r>
            <w:r w:rsidR="00513D86">
              <w:rPr>
                <w:rFonts w:asciiTheme="minorHAnsi" w:eastAsiaTheme="minorEastAsia" w:hAnsiTheme="minorHAnsi" w:cstheme="minorBidi"/>
                <w:noProof/>
                <w:sz w:val="22"/>
                <w:szCs w:val="22"/>
              </w:rPr>
              <w:tab/>
            </w:r>
            <w:r w:rsidR="00513D86" w:rsidRPr="00CD2BB9">
              <w:rPr>
                <w:rStyle w:val="Hyperkobling"/>
                <w:noProof/>
              </w:rPr>
              <w:t>Lønnskostnadsnivåer i industrien</w:t>
            </w:r>
            <w:r w:rsidR="00513D86">
              <w:rPr>
                <w:noProof/>
                <w:webHidden/>
              </w:rPr>
              <w:tab/>
            </w:r>
            <w:r w:rsidR="00513D86">
              <w:rPr>
                <w:noProof/>
                <w:webHidden/>
              </w:rPr>
              <w:fldChar w:fldCharType="begin"/>
            </w:r>
            <w:r w:rsidR="00513D86">
              <w:rPr>
                <w:noProof/>
                <w:webHidden/>
              </w:rPr>
              <w:instrText xml:space="preserve"> PAGEREF _Toc443998990 \h </w:instrText>
            </w:r>
            <w:r w:rsidR="00513D86">
              <w:rPr>
                <w:noProof/>
                <w:webHidden/>
              </w:rPr>
            </w:r>
            <w:r w:rsidR="00513D86">
              <w:rPr>
                <w:noProof/>
                <w:webHidden/>
              </w:rPr>
              <w:fldChar w:fldCharType="separate"/>
            </w:r>
            <w:r w:rsidR="00FE5660">
              <w:rPr>
                <w:noProof/>
                <w:webHidden/>
              </w:rPr>
              <w:t>74</w:t>
            </w:r>
            <w:r w:rsidR="00513D86">
              <w:rPr>
                <w:noProof/>
                <w:webHidden/>
              </w:rPr>
              <w:fldChar w:fldCharType="end"/>
            </w:r>
          </w:hyperlink>
        </w:p>
        <w:p w14:paraId="6F698CFA"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91" w:history="1">
            <w:r w:rsidR="00513D86" w:rsidRPr="00CD2BB9">
              <w:rPr>
                <w:rStyle w:val="Hyperkobling"/>
                <w:noProof/>
              </w:rPr>
              <w:t>4.3.5</w:t>
            </w:r>
            <w:r w:rsidR="00513D86">
              <w:rPr>
                <w:rFonts w:asciiTheme="minorHAnsi" w:eastAsiaTheme="minorEastAsia" w:hAnsiTheme="minorHAnsi" w:cstheme="minorBidi"/>
                <w:noProof/>
                <w:sz w:val="22"/>
                <w:szCs w:val="22"/>
              </w:rPr>
              <w:tab/>
            </w:r>
            <w:r w:rsidR="00513D86" w:rsidRPr="00CD2BB9">
              <w:rPr>
                <w:rStyle w:val="Hyperkobling"/>
                <w:noProof/>
              </w:rPr>
              <w:t>Sammensetningen av lønnskostnadene i industrien</w:t>
            </w:r>
            <w:r w:rsidR="00513D86">
              <w:rPr>
                <w:noProof/>
                <w:webHidden/>
              </w:rPr>
              <w:tab/>
            </w:r>
            <w:r w:rsidR="00513D86">
              <w:rPr>
                <w:noProof/>
                <w:webHidden/>
              </w:rPr>
              <w:fldChar w:fldCharType="begin"/>
            </w:r>
            <w:r w:rsidR="00513D86">
              <w:rPr>
                <w:noProof/>
                <w:webHidden/>
              </w:rPr>
              <w:instrText xml:space="preserve"> PAGEREF _Toc443998991 \h </w:instrText>
            </w:r>
            <w:r w:rsidR="00513D86">
              <w:rPr>
                <w:noProof/>
                <w:webHidden/>
              </w:rPr>
            </w:r>
            <w:r w:rsidR="00513D86">
              <w:rPr>
                <w:noProof/>
                <w:webHidden/>
              </w:rPr>
              <w:fldChar w:fldCharType="separate"/>
            </w:r>
            <w:r w:rsidR="00FE5660">
              <w:rPr>
                <w:noProof/>
                <w:webHidden/>
              </w:rPr>
              <w:t>76</w:t>
            </w:r>
            <w:r w:rsidR="00513D86">
              <w:rPr>
                <w:noProof/>
                <w:webHidden/>
              </w:rPr>
              <w:fldChar w:fldCharType="end"/>
            </w:r>
          </w:hyperlink>
        </w:p>
        <w:p w14:paraId="3F523580"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92" w:history="1">
            <w:r w:rsidR="00513D86" w:rsidRPr="00CD2BB9">
              <w:rPr>
                <w:rStyle w:val="Hyperkobling"/>
                <w:noProof/>
              </w:rPr>
              <w:t>4.3.6</w:t>
            </w:r>
            <w:r w:rsidR="00513D86">
              <w:rPr>
                <w:rFonts w:asciiTheme="minorHAnsi" w:eastAsiaTheme="minorEastAsia" w:hAnsiTheme="minorHAnsi" w:cstheme="minorBidi"/>
                <w:noProof/>
                <w:sz w:val="22"/>
                <w:szCs w:val="22"/>
              </w:rPr>
              <w:tab/>
            </w:r>
            <w:r w:rsidR="00513D86" w:rsidRPr="00CD2BB9">
              <w:rPr>
                <w:rStyle w:val="Hyperkobling"/>
                <w:noProof/>
              </w:rPr>
              <w:t>Elektrisitetspriser</w:t>
            </w:r>
            <w:r w:rsidR="00513D86">
              <w:rPr>
                <w:noProof/>
                <w:webHidden/>
              </w:rPr>
              <w:tab/>
            </w:r>
            <w:r w:rsidR="00513D86">
              <w:rPr>
                <w:noProof/>
                <w:webHidden/>
              </w:rPr>
              <w:fldChar w:fldCharType="begin"/>
            </w:r>
            <w:r w:rsidR="00513D86">
              <w:rPr>
                <w:noProof/>
                <w:webHidden/>
              </w:rPr>
              <w:instrText xml:space="preserve"> PAGEREF _Toc443998992 \h </w:instrText>
            </w:r>
            <w:r w:rsidR="00513D86">
              <w:rPr>
                <w:noProof/>
                <w:webHidden/>
              </w:rPr>
            </w:r>
            <w:r w:rsidR="00513D86">
              <w:rPr>
                <w:noProof/>
                <w:webHidden/>
              </w:rPr>
              <w:fldChar w:fldCharType="separate"/>
            </w:r>
            <w:r w:rsidR="00FE5660">
              <w:rPr>
                <w:noProof/>
                <w:webHidden/>
              </w:rPr>
              <w:t>78</w:t>
            </w:r>
            <w:r w:rsidR="00513D86">
              <w:rPr>
                <w:noProof/>
                <w:webHidden/>
              </w:rPr>
              <w:fldChar w:fldCharType="end"/>
            </w:r>
          </w:hyperlink>
        </w:p>
        <w:p w14:paraId="4FDB51E1"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93" w:history="1">
            <w:r w:rsidR="00513D86" w:rsidRPr="00CD2BB9">
              <w:rPr>
                <w:rStyle w:val="Hyperkobling"/>
                <w:noProof/>
              </w:rPr>
              <w:t>4.4</w:t>
            </w:r>
            <w:r w:rsidR="00513D86">
              <w:rPr>
                <w:rFonts w:asciiTheme="minorHAnsi" w:eastAsiaTheme="minorEastAsia" w:hAnsiTheme="minorHAnsi" w:cstheme="minorBidi"/>
                <w:b w:val="0"/>
                <w:noProof/>
                <w:sz w:val="22"/>
                <w:szCs w:val="22"/>
              </w:rPr>
              <w:tab/>
            </w:r>
            <w:r w:rsidR="00513D86" w:rsidRPr="00CD2BB9">
              <w:rPr>
                <w:rStyle w:val="Hyperkobling"/>
                <w:noProof/>
              </w:rPr>
              <w:t>Produktivitetsutviklingen</w:t>
            </w:r>
            <w:r w:rsidR="00513D86">
              <w:rPr>
                <w:noProof/>
                <w:webHidden/>
              </w:rPr>
              <w:tab/>
            </w:r>
            <w:r w:rsidR="00513D86">
              <w:rPr>
                <w:noProof/>
                <w:webHidden/>
              </w:rPr>
              <w:fldChar w:fldCharType="begin"/>
            </w:r>
            <w:r w:rsidR="00513D86">
              <w:rPr>
                <w:noProof/>
                <w:webHidden/>
              </w:rPr>
              <w:instrText xml:space="preserve"> PAGEREF _Toc443998993 \h </w:instrText>
            </w:r>
            <w:r w:rsidR="00513D86">
              <w:rPr>
                <w:noProof/>
                <w:webHidden/>
              </w:rPr>
            </w:r>
            <w:r w:rsidR="00513D86">
              <w:rPr>
                <w:noProof/>
                <w:webHidden/>
              </w:rPr>
              <w:fldChar w:fldCharType="separate"/>
            </w:r>
            <w:r w:rsidR="00FE5660">
              <w:rPr>
                <w:noProof/>
                <w:webHidden/>
              </w:rPr>
              <w:t>79</w:t>
            </w:r>
            <w:r w:rsidR="00513D86">
              <w:rPr>
                <w:noProof/>
                <w:webHidden/>
              </w:rPr>
              <w:fldChar w:fldCharType="end"/>
            </w:r>
          </w:hyperlink>
        </w:p>
        <w:p w14:paraId="2BE11189"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94" w:history="1">
            <w:r w:rsidR="00513D86" w:rsidRPr="00CD2BB9">
              <w:rPr>
                <w:rStyle w:val="Hyperkobling"/>
                <w:noProof/>
              </w:rPr>
              <w:t>4.4.1</w:t>
            </w:r>
            <w:r w:rsidR="00513D86">
              <w:rPr>
                <w:rFonts w:asciiTheme="minorHAnsi" w:eastAsiaTheme="minorEastAsia" w:hAnsiTheme="minorHAnsi" w:cstheme="minorBidi"/>
                <w:noProof/>
                <w:sz w:val="22"/>
                <w:szCs w:val="22"/>
              </w:rPr>
              <w:tab/>
            </w:r>
            <w:r w:rsidR="00513D86" w:rsidRPr="00CD2BB9">
              <w:rPr>
                <w:rStyle w:val="Hyperkobling"/>
                <w:noProof/>
              </w:rPr>
              <w:t>Utviklingen i produktiviteten målt ved bruttoprodukt per timeverk</w:t>
            </w:r>
            <w:r w:rsidR="00513D86">
              <w:rPr>
                <w:noProof/>
                <w:webHidden/>
              </w:rPr>
              <w:tab/>
            </w:r>
            <w:r w:rsidR="00513D86">
              <w:rPr>
                <w:noProof/>
                <w:webHidden/>
              </w:rPr>
              <w:fldChar w:fldCharType="begin"/>
            </w:r>
            <w:r w:rsidR="00513D86">
              <w:rPr>
                <w:noProof/>
                <w:webHidden/>
              </w:rPr>
              <w:instrText xml:space="preserve"> PAGEREF _Toc443998994 \h </w:instrText>
            </w:r>
            <w:r w:rsidR="00513D86">
              <w:rPr>
                <w:noProof/>
                <w:webHidden/>
              </w:rPr>
            </w:r>
            <w:r w:rsidR="00513D86">
              <w:rPr>
                <w:noProof/>
                <w:webHidden/>
              </w:rPr>
              <w:fldChar w:fldCharType="separate"/>
            </w:r>
            <w:r w:rsidR="00FE5660">
              <w:rPr>
                <w:noProof/>
                <w:webHidden/>
              </w:rPr>
              <w:t>79</w:t>
            </w:r>
            <w:r w:rsidR="00513D86">
              <w:rPr>
                <w:noProof/>
                <w:webHidden/>
              </w:rPr>
              <w:fldChar w:fldCharType="end"/>
            </w:r>
          </w:hyperlink>
        </w:p>
        <w:p w14:paraId="746A84B7"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8995" w:history="1">
            <w:r w:rsidR="00513D86" w:rsidRPr="00CD2BB9">
              <w:rPr>
                <w:rStyle w:val="Hyperkobling"/>
                <w:noProof/>
              </w:rPr>
              <w:t>4.4.2</w:t>
            </w:r>
            <w:r w:rsidR="00513D86">
              <w:rPr>
                <w:rFonts w:asciiTheme="minorHAnsi" w:eastAsiaTheme="minorEastAsia" w:hAnsiTheme="minorHAnsi" w:cstheme="minorBidi"/>
                <w:noProof/>
                <w:sz w:val="22"/>
                <w:szCs w:val="22"/>
              </w:rPr>
              <w:tab/>
            </w:r>
            <w:r w:rsidR="00513D86" w:rsidRPr="00CD2BB9">
              <w:rPr>
                <w:rStyle w:val="Hyperkobling"/>
                <w:noProof/>
              </w:rPr>
              <w:t>Kjøpkraftsjustert BNP justert for petroleumsinntekter</w:t>
            </w:r>
            <w:r w:rsidR="00513D86">
              <w:rPr>
                <w:noProof/>
                <w:webHidden/>
              </w:rPr>
              <w:tab/>
            </w:r>
            <w:r w:rsidR="00513D86">
              <w:rPr>
                <w:noProof/>
                <w:webHidden/>
              </w:rPr>
              <w:fldChar w:fldCharType="begin"/>
            </w:r>
            <w:r w:rsidR="00513D86">
              <w:rPr>
                <w:noProof/>
                <w:webHidden/>
              </w:rPr>
              <w:instrText xml:space="preserve"> PAGEREF _Toc443998995 \h </w:instrText>
            </w:r>
            <w:r w:rsidR="00513D86">
              <w:rPr>
                <w:noProof/>
                <w:webHidden/>
              </w:rPr>
            </w:r>
            <w:r w:rsidR="00513D86">
              <w:rPr>
                <w:noProof/>
                <w:webHidden/>
              </w:rPr>
              <w:fldChar w:fldCharType="separate"/>
            </w:r>
            <w:r w:rsidR="00FE5660">
              <w:rPr>
                <w:noProof/>
                <w:webHidden/>
              </w:rPr>
              <w:t>81</w:t>
            </w:r>
            <w:r w:rsidR="00513D86">
              <w:rPr>
                <w:noProof/>
                <w:webHidden/>
              </w:rPr>
              <w:fldChar w:fldCharType="end"/>
            </w:r>
          </w:hyperlink>
        </w:p>
        <w:p w14:paraId="3572596A"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8996" w:history="1">
            <w:r w:rsidR="00513D86" w:rsidRPr="00CD2BB9">
              <w:rPr>
                <w:rStyle w:val="Hyperkobling"/>
                <w:noProof/>
              </w:rPr>
              <w:t>5</w:t>
            </w:r>
            <w:r w:rsidR="00513D86">
              <w:rPr>
                <w:rFonts w:asciiTheme="minorHAnsi" w:eastAsiaTheme="minorEastAsia" w:hAnsiTheme="minorHAnsi" w:cstheme="minorBidi"/>
                <w:b w:val="0"/>
                <w:caps w:val="0"/>
                <w:noProof/>
                <w:sz w:val="22"/>
                <w:szCs w:val="22"/>
              </w:rPr>
              <w:tab/>
            </w:r>
            <w:r w:rsidR="00513D86" w:rsidRPr="00CD2BB9">
              <w:rPr>
                <w:rStyle w:val="Hyperkobling"/>
                <w:noProof/>
              </w:rPr>
              <w:t>Den samlede inntektsutviklingen for landet og husholdningene</w:t>
            </w:r>
            <w:r w:rsidR="00513D86">
              <w:rPr>
                <w:noProof/>
                <w:webHidden/>
              </w:rPr>
              <w:tab/>
            </w:r>
            <w:r w:rsidR="00513D86">
              <w:rPr>
                <w:noProof/>
                <w:webHidden/>
              </w:rPr>
              <w:fldChar w:fldCharType="begin"/>
            </w:r>
            <w:r w:rsidR="00513D86">
              <w:rPr>
                <w:noProof/>
                <w:webHidden/>
              </w:rPr>
              <w:instrText xml:space="preserve"> PAGEREF _Toc443998996 \h </w:instrText>
            </w:r>
            <w:r w:rsidR="00513D86">
              <w:rPr>
                <w:noProof/>
                <w:webHidden/>
              </w:rPr>
            </w:r>
            <w:r w:rsidR="00513D86">
              <w:rPr>
                <w:noProof/>
                <w:webHidden/>
              </w:rPr>
              <w:fldChar w:fldCharType="separate"/>
            </w:r>
            <w:r w:rsidR="00FE5660">
              <w:rPr>
                <w:noProof/>
                <w:webHidden/>
              </w:rPr>
              <w:t>84</w:t>
            </w:r>
            <w:r w:rsidR="00513D86">
              <w:rPr>
                <w:noProof/>
                <w:webHidden/>
              </w:rPr>
              <w:fldChar w:fldCharType="end"/>
            </w:r>
          </w:hyperlink>
        </w:p>
        <w:p w14:paraId="7EDD17F0"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97" w:history="1">
            <w:r w:rsidR="00513D86" w:rsidRPr="00CD2BB9">
              <w:rPr>
                <w:rStyle w:val="Hyperkobling"/>
                <w:noProof/>
              </w:rPr>
              <w:t>5.1</w:t>
            </w:r>
            <w:r w:rsidR="00513D86">
              <w:rPr>
                <w:rFonts w:asciiTheme="minorHAnsi" w:eastAsiaTheme="minorEastAsia" w:hAnsiTheme="minorHAnsi" w:cstheme="minorBidi"/>
                <w:b w:val="0"/>
                <w:noProof/>
                <w:sz w:val="22"/>
                <w:szCs w:val="22"/>
              </w:rPr>
              <w:tab/>
            </w:r>
            <w:r w:rsidR="00513D86" w:rsidRPr="00CD2BB9">
              <w:rPr>
                <w:rStyle w:val="Hyperkobling"/>
                <w:noProof/>
              </w:rPr>
              <w:t>Disponibel inntekt for Norge</w:t>
            </w:r>
            <w:r w:rsidR="00513D86">
              <w:rPr>
                <w:noProof/>
                <w:webHidden/>
              </w:rPr>
              <w:tab/>
            </w:r>
            <w:r w:rsidR="00513D86">
              <w:rPr>
                <w:noProof/>
                <w:webHidden/>
              </w:rPr>
              <w:fldChar w:fldCharType="begin"/>
            </w:r>
            <w:r w:rsidR="00513D86">
              <w:rPr>
                <w:noProof/>
                <w:webHidden/>
              </w:rPr>
              <w:instrText xml:space="preserve"> PAGEREF _Toc443998997 \h </w:instrText>
            </w:r>
            <w:r w:rsidR="00513D86">
              <w:rPr>
                <w:noProof/>
                <w:webHidden/>
              </w:rPr>
            </w:r>
            <w:r w:rsidR="00513D86">
              <w:rPr>
                <w:noProof/>
                <w:webHidden/>
              </w:rPr>
              <w:fldChar w:fldCharType="separate"/>
            </w:r>
            <w:r w:rsidR="00FE5660">
              <w:rPr>
                <w:noProof/>
                <w:webHidden/>
              </w:rPr>
              <w:t>84</w:t>
            </w:r>
            <w:r w:rsidR="00513D86">
              <w:rPr>
                <w:noProof/>
                <w:webHidden/>
              </w:rPr>
              <w:fldChar w:fldCharType="end"/>
            </w:r>
          </w:hyperlink>
        </w:p>
        <w:p w14:paraId="02EC49A1"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98" w:history="1">
            <w:r w:rsidR="00513D86" w:rsidRPr="00CD2BB9">
              <w:rPr>
                <w:rStyle w:val="Hyperkobling"/>
                <w:noProof/>
              </w:rPr>
              <w:t>5.2</w:t>
            </w:r>
            <w:r w:rsidR="00513D86">
              <w:rPr>
                <w:rFonts w:asciiTheme="minorHAnsi" w:eastAsiaTheme="minorEastAsia" w:hAnsiTheme="minorHAnsi" w:cstheme="minorBidi"/>
                <w:b w:val="0"/>
                <w:noProof/>
                <w:sz w:val="22"/>
                <w:szCs w:val="22"/>
              </w:rPr>
              <w:tab/>
            </w:r>
            <w:r w:rsidR="00513D86" w:rsidRPr="00CD2BB9">
              <w:rPr>
                <w:rStyle w:val="Hyperkobling"/>
                <w:noProof/>
              </w:rPr>
              <w:t>Faktorinntekt og funksjonell inntektsfordeling</w:t>
            </w:r>
            <w:r w:rsidR="00513D86">
              <w:rPr>
                <w:noProof/>
                <w:webHidden/>
              </w:rPr>
              <w:tab/>
            </w:r>
            <w:r w:rsidR="00513D86">
              <w:rPr>
                <w:noProof/>
                <w:webHidden/>
              </w:rPr>
              <w:fldChar w:fldCharType="begin"/>
            </w:r>
            <w:r w:rsidR="00513D86">
              <w:rPr>
                <w:noProof/>
                <w:webHidden/>
              </w:rPr>
              <w:instrText xml:space="preserve"> PAGEREF _Toc443998998 \h </w:instrText>
            </w:r>
            <w:r w:rsidR="00513D86">
              <w:rPr>
                <w:noProof/>
                <w:webHidden/>
              </w:rPr>
            </w:r>
            <w:r w:rsidR="00513D86">
              <w:rPr>
                <w:noProof/>
                <w:webHidden/>
              </w:rPr>
              <w:fldChar w:fldCharType="separate"/>
            </w:r>
            <w:r w:rsidR="00FE5660">
              <w:rPr>
                <w:noProof/>
                <w:webHidden/>
              </w:rPr>
              <w:t>86</w:t>
            </w:r>
            <w:r w:rsidR="00513D86">
              <w:rPr>
                <w:noProof/>
                <w:webHidden/>
              </w:rPr>
              <w:fldChar w:fldCharType="end"/>
            </w:r>
          </w:hyperlink>
        </w:p>
        <w:p w14:paraId="3DD14748"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8999" w:history="1">
            <w:r w:rsidR="00513D86" w:rsidRPr="00CD2BB9">
              <w:rPr>
                <w:rStyle w:val="Hyperkobling"/>
                <w:noProof/>
              </w:rPr>
              <w:t>5.3</w:t>
            </w:r>
            <w:r w:rsidR="00513D86">
              <w:rPr>
                <w:rFonts w:asciiTheme="minorHAnsi" w:eastAsiaTheme="minorEastAsia" w:hAnsiTheme="minorHAnsi" w:cstheme="minorBidi"/>
                <w:b w:val="0"/>
                <w:noProof/>
                <w:sz w:val="22"/>
                <w:szCs w:val="22"/>
              </w:rPr>
              <w:tab/>
            </w:r>
            <w:r w:rsidR="00513D86" w:rsidRPr="00CD2BB9">
              <w:rPr>
                <w:rStyle w:val="Hyperkobling"/>
                <w:noProof/>
              </w:rPr>
              <w:t>Disponibel realinntekt i husholdningssektoren</w:t>
            </w:r>
            <w:r w:rsidR="00513D86">
              <w:rPr>
                <w:noProof/>
                <w:webHidden/>
              </w:rPr>
              <w:tab/>
            </w:r>
            <w:r w:rsidR="00513D86">
              <w:rPr>
                <w:noProof/>
                <w:webHidden/>
              </w:rPr>
              <w:fldChar w:fldCharType="begin"/>
            </w:r>
            <w:r w:rsidR="00513D86">
              <w:rPr>
                <w:noProof/>
                <w:webHidden/>
              </w:rPr>
              <w:instrText xml:space="preserve"> PAGEREF _Toc443998999 \h </w:instrText>
            </w:r>
            <w:r w:rsidR="00513D86">
              <w:rPr>
                <w:noProof/>
                <w:webHidden/>
              </w:rPr>
            </w:r>
            <w:r w:rsidR="00513D86">
              <w:rPr>
                <w:noProof/>
                <w:webHidden/>
              </w:rPr>
              <w:fldChar w:fldCharType="separate"/>
            </w:r>
            <w:r w:rsidR="00FE5660">
              <w:rPr>
                <w:noProof/>
                <w:webHidden/>
              </w:rPr>
              <w:t>90</w:t>
            </w:r>
            <w:r w:rsidR="00513D86">
              <w:rPr>
                <w:noProof/>
                <w:webHidden/>
              </w:rPr>
              <w:fldChar w:fldCharType="end"/>
            </w:r>
          </w:hyperlink>
        </w:p>
        <w:p w14:paraId="20A86BEE" w14:textId="1630FCBA"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9000" w:history="1">
            <w:r w:rsidR="00513D86" w:rsidRPr="00CD2BB9">
              <w:rPr>
                <w:rStyle w:val="Hyperkobling"/>
                <w:noProof/>
              </w:rPr>
              <w:t>6</w:t>
            </w:r>
            <w:r w:rsidR="00513D86">
              <w:rPr>
                <w:rFonts w:asciiTheme="minorHAnsi" w:eastAsiaTheme="minorEastAsia" w:hAnsiTheme="minorHAnsi" w:cstheme="minorBidi"/>
                <w:b w:val="0"/>
                <w:caps w:val="0"/>
                <w:noProof/>
                <w:sz w:val="22"/>
                <w:szCs w:val="22"/>
              </w:rPr>
              <w:tab/>
            </w:r>
            <w:r w:rsidR="00513D86" w:rsidRPr="00CD2BB9">
              <w:rPr>
                <w:rStyle w:val="Hyperkobling"/>
                <w:noProof/>
              </w:rPr>
              <w:t xml:space="preserve">Inntektsutviklingen for utvalgte </w:t>
            </w:r>
            <w:r w:rsidR="003D053D">
              <w:rPr>
                <w:rStyle w:val="Hyperkobling"/>
                <w:noProof/>
              </w:rPr>
              <w:br/>
            </w:r>
            <w:r w:rsidR="00513D86" w:rsidRPr="00CD2BB9">
              <w:rPr>
                <w:rStyle w:val="Hyperkobling"/>
                <w:noProof/>
              </w:rPr>
              <w:t>inntektstakergrupper</w:t>
            </w:r>
            <w:r w:rsidR="00513D86">
              <w:rPr>
                <w:noProof/>
                <w:webHidden/>
              </w:rPr>
              <w:tab/>
            </w:r>
            <w:r w:rsidR="00513D86">
              <w:rPr>
                <w:noProof/>
                <w:webHidden/>
              </w:rPr>
              <w:fldChar w:fldCharType="begin"/>
            </w:r>
            <w:r w:rsidR="00513D86">
              <w:rPr>
                <w:noProof/>
                <w:webHidden/>
              </w:rPr>
              <w:instrText xml:space="preserve"> PAGEREF _Toc443999000 \h </w:instrText>
            </w:r>
            <w:r w:rsidR="00513D86">
              <w:rPr>
                <w:noProof/>
                <w:webHidden/>
              </w:rPr>
            </w:r>
            <w:r w:rsidR="00513D86">
              <w:rPr>
                <w:noProof/>
                <w:webHidden/>
              </w:rPr>
              <w:fldChar w:fldCharType="separate"/>
            </w:r>
            <w:r w:rsidR="00FE5660">
              <w:rPr>
                <w:noProof/>
                <w:webHidden/>
              </w:rPr>
              <w:t>94</w:t>
            </w:r>
            <w:r w:rsidR="00513D86">
              <w:rPr>
                <w:noProof/>
                <w:webHidden/>
              </w:rPr>
              <w:fldChar w:fldCharType="end"/>
            </w:r>
          </w:hyperlink>
        </w:p>
        <w:p w14:paraId="78413A9C"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9001" w:history="1">
            <w:r w:rsidR="00513D86" w:rsidRPr="00CD2BB9">
              <w:rPr>
                <w:rStyle w:val="Hyperkobling"/>
                <w:noProof/>
              </w:rPr>
              <w:t>6.1</w:t>
            </w:r>
            <w:r w:rsidR="00513D86">
              <w:rPr>
                <w:rFonts w:asciiTheme="minorHAnsi" w:eastAsiaTheme="minorEastAsia" w:hAnsiTheme="minorHAnsi" w:cstheme="minorBidi"/>
                <w:b w:val="0"/>
                <w:noProof/>
                <w:sz w:val="22"/>
                <w:szCs w:val="22"/>
              </w:rPr>
              <w:tab/>
            </w:r>
            <w:r w:rsidR="00513D86" w:rsidRPr="00CD2BB9">
              <w:rPr>
                <w:rStyle w:val="Hyperkobling"/>
                <w:noProof/>
              </w:rPr>
              <w:t>Vekst i reallønn etter skatt for utvalgte lønnstakerhusholdninger</w:t>
            </w:r>
            <w:r w:rsidR="00513D86">
              <w:rPr>
                <w:noProof/>
                <w:webHidden/>
              </w:rPr>
              <w:tab/>
            </w:r>
            <w:r w:rsidR="00513D86">
              <w:rPr>
                <w:noProof/>
                <w:webHidden/>
              </w:rPr>
              <w:fldChar w:fldCharType="begin"/>
            </w:r>
            <w:r w:rsidR="00513D86">
              <w:rPr>
                <w:noProof/>
                <w:webHidden/>
              </w:rPr>
              <w:instrText xml:space="preserve"> PAGEREF _Toc443999001 \h </w:instrText>
            </w:r>
            <w:r w:rsidR="00513D86">
              <w:rPr>
                <w:noProof/>
                <w:webHidden/>
              </w:rPr>
            </w:r>
            <w:r w:rsidR="00513D86">
              <w:rPr>
                <w:noProof/>
                <w:webHidden/>
              </w:rPr>
              <w:fldChar w:fldCharType="separate"/>
            </w:r>
            <w:r w:rsidR="00FE5660">
              <w:rPr>
                <w:noProof/>
                <w:webHidden/>
              </w:rPr>
              <w:t>94</w:t>
            </w:r>
            <w:r w:rsidR="00513D86">
              <w:rPr>
                <w:noProof/>
                <w:webHidden/>
              </w:rPr>
              <w:fldChar w:fldCharType="end"/>
            </w:r>
          </w:hyperlink>
        </w:p>
        <w:p w14:paraId="797278DE"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9002" w:history="1">
            <w:r w:rsidR="00513D86" w:rsidRPr="00CD2BB9">
              <w:rPr>
                <w:rStyle w:val="Hyperkobling"/>
                <w:noProof/>
              </w:rPr>
              <w:t>6.1.1</w:t>
            </w:r>
            <w:r w:rsidR="00513D86">
              <w:rPr>
                <w:rFonts w:asciiTheme="minorHAnsi" w:eastAsiaTheme="minorEastAsia" w:hAnsiTheme="minorHAnsi" w:cstheme="minorBidi"/>
                <w:noProof/>
                <w:sz w:val="22"/>
                <w:szCs w:val="22"/>
              </w:rPr>
              <w:tab/>
            </w:r>
            <w:r w:rsidR="00513D86" w:rsidRPr="00CD2BB9">
              <w:rPr>
                <w:rStyle w:val="Hyperkobling"/>
                <w:noProof/>
              </w:rPr>
              <w:t>Reallønn etter skatt fra 2013 til 2015</w:t>
            </w:r>
            <w:r w:rsidR="00513D86">
              <w:rPr>
                <w:noProof/>
                <w:webHidden/>
              </w:rPr>
              <w:tab/>
            </w:r>
            <w:r w:rsidR="00513D86">
              <w:rPr>
                <w:noProof/>
                <w:webHidden/>
              </w:rPr>
              <w:fldChar w:fldCharType="begin"/>
            </w:r>
            <w:r w:rsidR="00513D86">
              <w:rPr>
                <w:noProof/>
                <w:webHidden/>
              </w:rPr>
              <w:instrText xml:space="preserve"> PAGEREF _Toc443999002 \h </w:instrText>
            </w:r>
            <w:r w:rsidR="00513D86">
              <w:rPr>
                <w:noProof/>
                <w:webHidden/>
              </w:rPr>
            </w:r>
            <w:r w:rsidR="00513D86">
              <w:rPr>
                <w:noProof/>
                <w:webHidden/>
              </w:rPr>
              <w:fldChar w:fldCharType="separate"/>
            </w:r>
            <w:r w:rsidR="00FE5660">
              <w:rPr>
                <w:noProof/>
                <w:webHidden/>
              </w:rPr>
              <w:t>94</w:t>
            </w:r>
            <w:r w:rsidR="00513D86">
              <w:rPr>
                <w:noProof/>
                <w:webHidden/>
              </w:rPr>
              <w:fldChar w:fldCharType="end"/>
            </w:r>
          </w:hyperlink>
        </w:p>
        <w:p w14:paraId="3793C2C7"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9003" w:history="1">
            <w:r w:rsidR="00513D86" w:rsidRPr="00CD2BB9">
              <w:rPr>
                <w:rStyle w:val="Hyperkobling"/>
                <w:noProof/>
              </w:rPr>
              <w:t>6.1.2</w:t>
            </w:r>
            <w:r w:rsidR="00513D86">
              <w:rPr>
                <w:rFonts w:asciiTheme="minorHAnsi" w:eastAsiaTheme="minorEastAsia" w:hAnsiTheme="minorHAnsi" w:cstheme="minorBidi"/>
                <w:noProof/>
                <w:sz w:val="22"/>
                <w:szCs w:val="22"/>
              </w:rPr>
              <w:tab/>
            </w:r>
            <w:r w:rsidR="00513D86" w:rsidRPr="00CD2BB9">
              <w:rPr>
                <w:rStyle w:val="Hyperkobling"/>
                <w:noProof/>
              </w:rPr>
              <w:t>Endringer i skatteregler for lønnstakere fra 2015 til 2016</w:t>
            </w:r>
            <w:r w:rsidR="00513D86">
              <w:rPr>
                <w:noProof/>
                <w:webHidden/>
              </w:rPr>
              <w:tab/>
            </w:r>
            <w:r w:rsidR="00513D86">
              <w:rPr>
                <w:noProof/>
                <w:webHidden/>
              </w:rPr>
              <w:fldChar w:fldCharType="begin"/>
            </w:r>
            <w:r w:rsidR="00513D86">
              <w:rPr>
                <w:noProof/>
                <w:webHidden/>
              </w:rPr>
              <w:instrText xml:space="preserve"> PAGEREF _Toc443999003 \h </w:instrText>
            </w:r>
            <w:r w:rsidR="00513D86">
              <w:rPr>
                <w:noProof/>
                <w:webHidden/>
              </w:rPr>
            </w:r>
            <w:r w:rsidR="00513D86">
              <w:rPr>
                <w:noProof/>
                <w:webHidden/>
              </w:rPr>
              <w:fldChar w:fldCharType="separate"/>
            </w:r>
            <w:r w:rsidR="00FE5660">
              <w:rPr>
                <w:noProof/>
                <w:webHidden/>
              </w:rPr>
              <w:t>97</w:t>
            </w:r>
            <w:r w:rsidR="00513D86">
              <w:rPr>
                <w:noProof/>
                <w:webHidden/>
              </w:rPr>
              <w:fldChar w:fldCharType="end"/>
            </w:r>
          </w:hyperlink>
        </w:p>
        <w:p w14:paraId="3AA415F3" w14:textId="77777777" w:rsidR="00513D86" w:rsidRDefault="005B3209">
          <w:pPr>
            <w:pStyle w:val="INNH2"/>
            <w:tabs>
              <w:tab w:val="left" w:pos="800"/>
            </w:tabs>
            <w:rPr>
              <w:rFonts w:asciiTheme="minorHAnsi" w:eastAsiaTheme="minorEastAsia" w:hAnsiTheme="minorHAnsi" w:cstheme="minorBidi"/>
              <w:b w:val="0"/>
              <w:noProof/>
              <w:sz w:val="22"/>
              <w:szCs w:val="22"/>
            </w:rPr>
          </w:pPr>
          <w:hyperlink w:anchor="_Toc443999004" w:history="1">
            <w:r w:rsidR="00513D86" w:rsidRPr="00CD2BB9">
              <w:rPr>
                <w:rStyle w:val="Hyperkobling"/>
                <w:noProof/>
              </w:rPr>
              <w:t>6.2</w:t>
            </w:r>
            <w:r w:rsidR="00513D86">
              <w:rPr>
                <w:rFonts w:asciiTheme="minorHAnsi" w:eastAsiaTheme="minorEastAsia" w:hAnsiTheme="minorHAnsi" w:cstheme="minorBidi"/>
                <w:b w:val="0"/>
                <w:noProof/>
                <w:sz w:val="22"/>
                <w:szCs w:val="22"/>
              </w:rPr>
              <w:tab/>
            </w:r>
            <w:r w:rsidR="00513D86" w:rsidRPr="00CD2BB9">
              <w:rPr>
                <w:rStyle w:val="Hyperkobling"/>
                <w:noProof/>
              </w:rPr>
              <w:t>Inntektsutviklingen for pensjonister og trygdede</w:t>
            </w:r>
            <w:r w:rsidR="00513D86">
              <w:rPr>
                <w:noProof/>
                <w:webHidden/>
              </w:rPr>
              <w:tab/>
            </w:r>
            <w:r w:rsidR="00513D86">
              <w:rPr>
                <w:noProof/>
                <w:webHidden/>
              </w:rPr>
              <w:fldChar w:fldCharType="begin"/>
            </w:r>
            <w:r w:rsidR="00513D86">
              <w:rPr>
                <w:noProof/>
                <w:webHidden/>
              </w:rPr>
              <w:instrText xml:space="preserve"> PAGEREF _Toc443999004 \h </w:instrText>
            </w:r>
            <w:r w:rsidR="00513D86">
              <w:rPr>
                <w:noProof/>
                <w:webHidden/>
              </w:rPr>
            </w:r>
            <w:r w:rsidR="00513D86">
              <w:rPr>
                <w:noProof/>
                <w:webHidden/>
              </w:rPr>
              <w:fldChar w:fldCharType="separate"/>
            </w:r>
            <w:r w:rsidR="00FE5660">
              <w:rPr>
                <w:noProof/>
                <w:webHidden/>
              </w:rPr>
              <w:t>98</w:t>
            </w:r>
            <w:r w:rsidR="00513D86">
              <w:rPr>
                <w:noProof/>
                <w:webHidden/>
              </w:rPr>
              <w:fldChar w:fldCharType="end"/>
            </w:r>
          </w:hyperlink>
        </w:p>
        <w:p w14:paraId="43EAD3F5" w14:textId="77777777" w:rsidR="00513D86" w:rsidRDefault="005B3209">
          <w:pPr>
            <w:pStyle w:val="INNH3"/>
            <w:tabs>
              <w:tab w:val="left" w:pos="1200"/>
            </w:tabs>
            <w:rPr>
              <w:rFonts w:asciiTheme="minorHAnsi" w:eastAsiaTheme="minorEastAsia" w:hAnsiTheme="minorHAnsi" w:cstheme="minorBidi"/>
              <w:noProof/>
              <w:sz w:val="22"/>
              <w:szCs w:val="22"/>
            </w:rPr>
          </w:pPr>
          <w:hyperlink w:anchor="_Toc443999005" w:history="1">
            <w:r w:rsidR="00513D86" w:rsidRPr="00CD2BB9">
              <w:rPr>
                <w:rStyle w:val="Hyperkobling"/>
                <w:noProof/>
              </w:rPr>
              <w:t>6.2.1</w:t>
            </w:r>
            <w:r w:rsidR="00513D86">
              <w:rPr>
                <w:rFonts w:asciiTheme="minorHAnsi" w:eastAsiaTheme="minorEastAsia" w:hAnsiTheme="minorHAnsi" w:cstheme="minorBidi"/>
                <w:noProof/>
                <w:sz w:val="22"/>
                <w:szCs w:val="22"/>
              </w:rPr>
              <w:tab/>
            </w:r>
            <w:r w:rsidR="00513D86" w:rsidRPr="00CD2BB9">
              <w:rPr>
                <w:rStyle w:val="Hyperkobling"/>
                <w:noProof/>
              </w:rPr>
              <w:t>Utviklingen i ytelser fra folketrygden fra 2012</w:t>
            </w:r>
            <w:r w:rsidR="00513D86">
              <w:rPr>
                <w:noProof/>
                <w:webHidden/>
              </w:rPr>
              <w:tab/>
            </w:r>
            <w:r w:rsidR="00513D86">
              <w:rPr>
                <w:noProof/>
                <w:webHidden/>
              </w:rPr>
              <w:fldChar w:fldCharType="begin"/>
            </w:r>
            <w:r w:rsidR="00513D86">
              <w:rPr>
                <w:noProof/>
                <w:webHidden/>
              </w:rPr>
              <w:instrText xml:space="preserve"> PAGEREF _Toc443999005 \h </w:instrText>
            </w:r>
            <w:r w:rsidR="00513D86">
              <w:rPr>
                <w:noProof/>
                <w:webHidden/>
              </w:rPr>
            </w:r>
            <w:r w:rsidR="00513D86">
              <w:rPr>
                <w:noProof/>
                <w:webHidden/>
              </w:rPr>
              <w:fldChar w:fldCharType="separate"/>
            </w:r>
            <w:r w:rsidR="00FE5660">
              <w:rPr>
                <w:noProof/>
                <w:webHidden/>
              </w:rPr>
              <w:t>98</w:t>
            </w:r>
            <w:r w:rsidR="00513D86">
              <w:rPr>
                <w:noProof/>
                <w:webHidden/>
              </w:rPr>
              <w:fldChar w:fldCharType="end"/>
            </w:r>
          </w:hyperlink>
        </w:p>
        <w:p w14:paraId="22D23F30" w14:textId="1AC399A7" w:rsidR="00513D86" w:rsidRDefault="005B3209">
          <w:pPr>
            <w:pStyle w:val="INNH3"/>
            <w:tabs>
              <w:tab w:val="left" w:pos="1200"/>
            </w:tabs>
            <w:rPr>
              <w:rFonts w:asciiTheme="minorHAnsi" w:eastAsiaTheme="minorEastAsia" w:hAnsiTheme="minorHAnsi" w:cstheme="minorBidi"/>
              <w:noProof/>
              <w:sz w:val="22"/>
              <w:szCs w:val="22"/>
            </w:rPr>
          </w:pPr>
          <w:hyperlink w:anchor="_Toc443999006" w:history="1">
            <w:r w:rsidR="00513D86" w:rsidRPr="00CD2BB9">
              <w:rPr>
                <w:rStyle w:val="Hyperkobling"/>
                <w:noProof/>
              </w:rPr>
              <w:t>6.2.2</w:t>
            </w:r>
            <w:r w:rsidR="00513D86">
              <w:rPr>
                <w:rFonts w:asciiTheme="minorHAnsi" w:eastAsiaTheme="minorEastAsia" w:hAnsiTheme="minorHAnsi" w:cstheme="minorBidi"/>
                <w:noProof/>
                <w:sz w:val="22"/>
                <w:szCs w:val="22"/>
              </w:rPr>
              <w:tab/>
            </w:r>
            <w:r w:rsidR="00513D86" w:rsidRPr="00CD2BB9">
              <w:rPr>
                <w:rStyle w:val="Hyperkobling"/>
                <w:noProof/>
              </w:rPr>
              <w:t xml:space="preserve">Endringer i de særskilte skattereglene for pensjonister </w:t>
            </w:r>
            <w:r w:rsidR="003D053D">
              <w:rPr>
                <w:rStyle w:val="Hyperkobling"/>
                <w:noProof/>
              </w:rPr>
              <w:br/>
              <w:t xml:space="preserve">             </w:t>
            </w:r>
            <w:r w:rsidR="00513D86" w:rsidRPr="00CD2BB9">
              <w:rPr>
                <w:rStyle w:val="Hyperkobling"/>
                <w:noProof/>
              </w:rPr>
              <w:t>fra 2013 til 2016</w:t>
            </w:r>
            <w:r w:rsidR="00513D86">
              <w:rPr>
                <w:noProof/>
                <w:webHidden/>
              </w:rPr>
              <w:tab/>
            </w:r>
            <w:r w:rsidR="00513D86">
              <w:rPr>
                <w:noProof/>
                <w:webHidden/>
              </w:rPr>
              <w:fldChar w:fldCharType="begin"/>
            </w:r>
            <w:r w:rsidR="00513D86">
              <w:rPr>
                <w:noProof/>
                <w:webHidden/>
              </w:rPr>
              <w:instrText xml:space="preserve"> PAGEREF _Toc443999006 \h </w:instrText>
            </w:r>
            <w:r w:rsidR="00513D86">
              <w:rPr>
                <w:noProof/>
                <w:webHidden/>
              </w:rPr>
            </w:r>
            <w:r w:rsidR="00513D86">
              <w:rPr>
                <w:noProof/>
                <w:webHidden/>
              </w:rPr>
              <w:fldChar w:fldCharType="separate"/>
            </w:r>
            <w:r w:rsidR="00FE5660">
              <w:rPr>
                <w:noProof/>
                <w:webHidden/>
              </w:rPr>
              <w:t>102</w:t>
            </w:r>
            <w:r w:rsidR="00513D86">
              <w:rPr>
                <w:noProof/>
                <w:webHidden/>
              </w:rPr>
              <w:fldChar w:fldCharType="end"/>
            </w:r>
          </w:hyperlink>
        </w:p>
        <w:p w14:paraId="2CA79B71" w14:textId="3502F6B3" w:rsidR="003D053D" w:rsidRDefault="003D053D">
          <w:pPr>
            <w:pStyle w:val="INNH1"/>
            <w:rPr>
              <w:noProof/>
            </w:rPr>
          </w:pPr>
          <w:r>
            <w:rPr>
              <w:noProof/>
            </w:rPr>
            <w:t>Vedlegg</w:t>
          </w:r>
        </w:p>
        <w:p w14:paraId="68101599" w14:textId="57A55799" w:rsidR="00513D86" w:rsidRPr="003D053D" w:rsidRDefault="005B3209" w:rsidP="003D053D">
          <w:pPr>
            <w:pStyle w:val="INNH1"/>
            <w:rPr>
              <w:rFonts w:asciiTheme="minorHAnsi" w:eastAsiaTheme="minorEastAsia" w:hAnsiTheme="minorHAnsi" w:cstheme="minorBidi"/>
              <w:b w:val="0"/>
              <w:caps w:val="0"/>
              <w:noProof/>
              <w:sz w:val="22"/>
              <w:szCs w:val="22"/>
            </w:rPr>
          </w:pPr>
          <w:hyperlink w:anchor="_Toc443999007" w:history="1">
            <w:r w:rsidR="00513D86" w:rsidRPr="00CD2BB9">
              <w:rPr>
                <w:rStyle w:val="Hyperkobling"/>
                <w:noProof/>
              </w:rPr>
              <w:t>1 Lønnsoppgjør i 2015</w:t>
            </w:r>
            <w:r w:rsidR="00513D86">
              <w:rPr>
                <w:noProof/>
                <w:webHidden/>
              </w:rPr>
              <w:tab/>
            </w:r>
            <w:r w:rsidR="00513D86">
              <w:rPr>
                <w:noProof/>
                <w:webHidden/>
              </w:rPr>
              <w:fldChar w:fldCharType="begin"/>
            </w:r>
            <w:r w:rsidR="00513D86">
              <w:rPr>
                <w:noProof/>
                <w:webHidden/>
              </w:rPr>
              <w:instrText xml:space="preserve"> PAGEREF _Toc443999007 \h </w:instrText>
            </w:r>
            <w:r w:rsidR="00513D86">
              <w:rPr>
                <w:noProof/>
                <w:webHidden/>
              </w:rPr>
            </w:r>
            <w:r w:rsidR="00513D86">
              <w:rPr>
                <w:noProof/>
                <w:webHidden/>
              </w:rPr>
              <w:fldChar w:fldCharType="separate"/>
            </w:r>
            <w:r w:rsidR="00FE5660">
              <w:rPr>
                <w:noProof/>
                <w:webHidden/>
              </w:rPr>
              <w:t>105</w:t>
            </w:r>
            <w:r w:rsidR="00513D86">
              <w:rPr>
                <w:noProof/>
                <w:webHidden/>
              </w:rPr>
              <w:fldChar w:fldCharType="end"/>
            </w:r>
          </w:hyperlink>
        </w:p>
        <w:p w14:paraId="098C47DA" w14:textId="616CEA3D" w:rsidR="00513D86" w:rsidRPr="003D053D" w:rsidRDefault="005B3209" w:rsidP="003D053D">
          <w:pPr>
            <w:pStyle w:val="INNH1"/>
            <w:tabs>
              <w:tab w:val="left" w:pos="400"/>
            </w:tabs>
            <w:rPr>
              <w:rFonts w:asciiTheme="minorHAnsi" w:eastAsiaTheme="minorEastAsia" w:hAnsiTheme="minorHAnsi" w:cstheme="minorBidi"/>
              <w:b w:val="0"/>
              <w:caps w:val="0"/>
              <w:noProof/>
              <w:sz w:val="22"/>
              <w:szCs w:val="22"/>
            </w:rPr>
          </w:pPr>
          <w:hyperlink w:anchor="_Toc443999015" w:history="1">
            <w:r w:rsidR="00513D86" w:rsidRPr="00CD2BB9">
              <w:rPr>
                <w:rStyle w:val="Hyperkobling"/>
                <w:noProof/>
              </w:rPr>
              <w:t>2</w:t>
            </w:r>
            <w:r w:rsidR="00513D86">
              <w:rPr>
                <w:rFonts w:asciiTheme="minorHAnsi" w:eastAsiaTheme="minorEastAsia" w:hAnsiTheme="minorHAnsi" w:cstheme="minorBidi"/>
                <w:b w:val="0"/>
                <w:caps w:val="0"/>
                <w:noProof/>
                <w:sz w:val="22"/>
                <w:szCs w:val="22"/>
              </w:rPr>
              <w:tab/>
            </w:r>
            <w:r w:rsidR="00513D86" w:rsidRPr="00CD2BB9">
              <w:rPr>
                <w:rStyle w:val="Hyperkobling"/>
                <w:noProof/>
              </w:rPr>
              <w:t>Definisjoner av en del lønnsbegreper m.m.</w:t>
            </w:r>
            <w:r w:rsidR="00513D86">
              <w:rPr>
                <w:noProof/>
                <w:webHidden/>
              </w:rPr>
              <w:tab/>
            </w:r>
            <w:r w:rsidR="00513D86">
              <w:rPr>
                <w:noProof/>
                <w:webHidden/>
              </w:rPr>
              <w:fldChar w:fldCharType="begin"/>
            </w:r>
            <w:r w:rsidR="00513D86">
              <w:rPr>
                <w:noProof/>
                <w:webHidden/>
              </w:rPr>
              <w:instrText xml:space="preserve"> PAGEREF _Toc443999015 \h </w:instrText>
            </w:r>
            <w:r w:rsidR="00513D86">
              <w:rPr>
                <w:noProof/>
                <w:webHidden/>
              </w:rPr>
            </w:r>
            <w:r w:rsidR="00513D86">
              <w:rPr>
                <w:noProof/>
                <w:webHidden/>
              </w:rPr>
              <w:fldChar w:fldCharType="separate"/>
            </w:r>
            <w:r w:rsidR="00FE5660">
              <w:rPr>
                <w:noProof/>
                <w:webHidden/>
              </w:rPr>
              <w:t>119</w:t>
            </w:r>
            <w:r w:rsidR="00513D86">
              <w:rPr>
                <w:noProof/>
                <w:webHidden/>
              </w:rPr>
              <w:fldChar w:fldCharType="end"/>
            </w:r>
          </w:hyperlink>
        </w:p>
        <w:p w14:paraId="65AD3176"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9019" w:history="1">
            <w:r w:rsidR="00513D86" w:rsidRPr="00CD2BB9">
              <w:rPr>
                <w:rStyle w:val="Hyperkobling"/>
                <w:noProof/>
              </w:rPr>
              <w:t>3</w:t>
            </w:r>
            <w:r w:rsidR="00513D86">
              <w:rPr>
                <w:rFonts w:asciiTheme="minorHAnsi" w:eastAsiaTheme="minorEastAsia" w:hAnsiTheme="minorHAnsi" w:cstheme="minorBidi"/>
                <w:b w:val="0"/>
                <w:caps w:val="0"/>
                <w:noProof/>
                <w:sz w:val="22"/>
                <w:szCs w:val="22"/>
              </w:rPr>
              <w:tab/>
            </w:r>
            <w:r w:rsidR="00513D86" w:rsidRPr="00CD2BB9">
              <w:rPr>
                <w:rStyle w:val="Hyperkobling"/>
                <w:noProof/>
              </w:rPr>
              <w:t>Kursutviklingen for norske kroner</w:t>
            </w:r>
            <w:r w:rsidR="00513D86">
              <w:rPr>
                <w:noProof/>
                <w:webHidden/>
              </w:rPr>
              <w:tab/>
            </w:r>
            <w:r w:rsidR="00513D86">
              <w:rPr>
                <w:noProof/>
                <w:webHidden/>
              </w:rPr>
              <w:fldChar w:fldCharType="begin"/>
            </w:r>
            <w:r w:rsidR="00513D86">
              <w:rPr>
                <w:noProof/>
                <w:webHidden/>
              </w:rPr>
              <w:instrText xml:space="preserve"> PAGEREF _Toc443999019 \h </w:instrText>
            </w:r>
            <w:r w:rsidR="00513D86">
              <w:rPr>
                <w:noProof/>
                <w:webHidden/>
              </w:rPr>
            </w:r>
            <w:r w:rsidR="00513D86">
              <w:rPr>
                <w:noProof/>
                <w:webHidden/>
              </w:rPr>
              <w:fldChar w:fldCharType="separate"/>
            </w:r>
            <w:r w:rsidR="00FE5660">
              <w:rPr>
                <w:noProof/>
                <w:webHidden/>
              </w:rPr>
              <w:t>133</w:t>
            </w:r>
            <w:r w:rsidR="00513D86">
              <w:rPr>
                <w:noProof/>
                <w:webHidden/>
              </w:rPr>
              <w:fldChar w:fldCharType="end"/>
            </w:r>
          </w:hyperlink>
        </w:p>
        <w:p w14:paraId="404F6FB5"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9020" w:history="1">
            <w:r w:rsidR="00513D86" w:rsidRPr="00CD2BB9">
              <w:rPr>
                <w:rStyle w:val="Hyperkobling"/>
                <w:noProof/>
              </w:rPr>
              <w:t>4</w:t>
            </w:r>
            <w:r w:rsidR="00513D86">
              <w:rPr>
                <w:rFonts w:asciiTheme="minorHAnsi" w:eastAsiaTheme="minorEastAsia" w:hAnsiTheme="minorHAnsi" w:cstheme="minorBidi"/>
                <w:b w:val="0"/>
                <w:caps w:val="0"/>
                <w:noProof/>
                <w:sz w:val="22"/>
                <w:szCs w:val="22"/>
              </w:rPr>
              <w:tab/>
            </w:r>
            <w:r w:rsidR="00513D86" w:rsidRPr="00CD2BB9">
              <w:rPr>
                <w:rStyle w:val="Hyperkobling"/>
                <w:noProof/>
              </w:rPr>
              <w:t>Tabellvedlegg</w:t>
            </w:r>
            <w:r w:rsidR="00513D86">
              <w:rPr>
                <w:noProof/>
                <w:webHidden/>
              </w:rPr>
              <w:tab/>
            </w:r>
            <w:r w:rsidR="00513D86">
              <w:rPr>
                <w:noProof/>
                <w:webHidden/>
              </w:rPr>
              <w:fldChar w:fldCharType="begin"/>
            </w:r>
            <w:r w:rsidR="00513D86">
              <w:rPr>
                <w:noProof/>
                <w:webHidden/>
              </w:rPr>
              <w:instrText xml:space="preserve"> PAGEREF _Toc443999020 \h </w:instrText>
            </w:r>
            <w:r w:rsidR="00513D86">
              <w:rPr>
                <w:noProof/>
                <w:webHidden/>
              </w:rPr>
            </w:r>
            <w:r w:rsidR="00513D86">
              <w:rPr>
                <w:noProof/>
                <w:webHidden/>
              </w:rPr>
              <w:fldChar w:fldCharType="separate"/>
            </w:r>
            <w:r w:rsidR="00FE5660">
              <w:rPr>
                <w:noProof/>
                <w:webHidden/>
              </w:rPr>
              <w:t>137</w:t>
            </w:r>
            <w:r w:rsidR="00513D86">
              <w:rPr>
                <w:noProof/>
                <w:webHidden/>
              </w:rPr>
              <w:fldChar w:fldCharType="end"/>
            </w:r>
          </w:hyperlink>
        </w:p>
        <w:p w14:paraId="11A60DD1" w14:textId="41BF66CA" w:rsidR="00513D86" w:rsidRPr="003D053D" w:rsidRDefault="005B3209" w:rsidP="003D053D">
          <w:pPr>
            <w:pStyle w:val="INNH1"/>
            <w:tabs>
              <w:tab w:val="left" w:pos="400"/>
            </w:tabs>
            <w:rPr>
              <w:rFonts w:asciiTheme="minorHAnsi" w:eastAsiaTheme="minorEastAsia" w:hAnsiTheme="minorHAnsi" w:cstheme="minorBidi"/>
              <w:b w:val="0"/>
              <w:caps w:val="0"/>
              <w:noProof/>
              <w:sz w:val="22"/>
              <w:szCs w:val="22"/>
            </w:rPr>
          </w:pPr>
          <w:hyperlink w:anchor="_Toc443999021" w:history="1">
            <w:r w:rsidR="00513D86" w:rsidRPr="00CD2BB9">
              <w:rPr>
                <w:rStyle w:val="Hyperkobling"/>
                <w:noProof/>
              </w:rPr>
              <w:t>5</w:t>
            </w:r>
            <w:r w:rsidR="00513D86">
              <w:rPr>
                <w:rFonts w:asciiTheme="minorHAnsi" w:eastAsiaTheme="minorEastAsia" w:hAnsiTheme="minorHAnsi" w:cstheme="minorBidi"/>
                <w:b w:val="0"/>
                <w:caps w:val="0"/>
                <w:noProof/>
                <w:sz w:val="22"/>
                <w:szCs w:val="22"/>
              </w:rPr>
              <w:tab/>
            </w:r>
            <w:r w:rsidR="00513D86" w:rsidRPr="00CD2BB9">
              <w:rPr>
                <w:rStyle w:val="Hyperkobling"/>
                <w:noProof/>
              </w:rPr>
              <w:t>Institusjonelle trekk ved lønnsdannelsen i Norge</w:t>
            </w:r>
            <w:r w:rsidR="00513D86">
              <w:rPr>
                <w:noProof/>
                <w:webHidden/>
              </w:rPr>
              <w:tab/>
            </w:r>
            <w:r w:rsidR="00513D86">
              <w:rPr>
                <w:noProof/>
                <w:webHidden/>
              </w:rPr>
              <w:fldChar w:fldCharType="begin"/>
            </w:r>
            <w:r w:rsidR="00513D86">
              <w:rPr>
                <w:noProof/>
                <w:webHidden/>
              </w:rPr>
              <w:instrText xml:space="preserve"> PAGEREF _Toc443999021 \h </w:instrText>
            </w:r>
            <w:r w:rsidR="00513D86">
              <w:rPr>
                <w:noProof/>
                <w:webHidden/>
              </w:rPr>
            </w:r>
            <w:r w:rsidR="00513D86">
              <w:rPr>
                <w:noProof/>
                <w:webHidden/>
              </w:rPr>
              <w:fldChar w:fldCharType="separate"/>
            </w:r>
            <w:r w:rsidR="00FE5660">
              <w:rPr>
                <w:noProof/>
                <w:webHidden/>
              </w:rPr>
              <w:t>148</w:t>
            </w:r>
            <w:r w:rsidR="00513D86">
              <w:rPr>
                <w:noProof/>
                <w:webHidden/>
              </w:rPr>
              <w:fldChar w:fldCharType="end"/>
            </w:r>
          </w:hyperlink>
        </w:p>
        <w:p w14:paraId="2A6CB5E6" w14:textId="77777777" w:rsidR="00513D86" w:rsidRDefault="005B3209">
          <w:pPr>
            <w:pStyle w:val="INNH1"/>
            <w:tabs>
              <w:tab w:val="left" w:pos="400"/>
            </w:tabs>
            <w:rPr>
              <w:rFonts w:asciiTheme="minorHAnsi" w:eastAsiaTheme="minorEastAsia" w:hAnsiTheme="minorHAnsi" w:cstheme="minorBidi"/>
              <w:b w:val="0"/>
              <w:caps w:val="0"/>
              <w:noProof/>
              <w:sz w:val="22"/>
              <w:szCs w:val="22"/>
            </w:rPr>
          </w:pPr>
          <w:hyperlink w:anchor="_Toc443999030" w:history="1">
            <w:r w:rsidR="00513D86" w:rsidRPr="00CD2BB9">
              <w:rPr>
                <w:rStyle w:val="Hyperkobling"/>
                <w:noProof/>
              </w:rPr>
              <w:t>6</w:t>
            </w:r>
            <w:r w:rsidR="00513D86">
              <w:rPr>
                <w:rFonts w:asciiTheme="minorHAnsi" w:eastAsiaTheme="minorEastAsia" w:hAnsiTheme="minorHAnsi" w:cstheme="minorBidi"/>
                <w:b w:val="0"/>
                <w:caps w:val="0"/>
                <w:noProof/>
                <w:sz w:val="22"/>
                <w:szCs w:val="22"/>
              </w:rPr>
              <w:tab/>
            </w:r>
            <w:r w:rsidR="00513D86" w:rsidRPr="00CD2BB9">
              <w:rPr>
                <w:rStyle w:val="Hyperkobling"/>
                <w:noProof/>
              </w:rPr>
              <w:t>Fastlandsbaserte konkurranseutsatte næringer</w:t>
            </w:r>
            <w:r w:rsidR="00513D86">
              <w:rPr>
                <w:noProof/>
                <w:webHidden/>
              </w:rPr>
              <w:tab/>
            </w:r>
            <w:r w:rsidR="00513D86">
              <w:rPr>
                <w:noProof/>
                <w:webHidden/>
              </w:rPr>
              <w:fldChar w:fldCharType="begin"/>
            </w:r>
            <w:r w:rsidR="00513D86">
              <w:rPr>
                <w:noProof/>
                <w:webHidden/>
              </w:rPr>
              <w:instrText xml:space="preserve"> PAGEREF _Toc443999030 \h </w:instrText>
            </w:r>
            <w:r w:rsidR="00513D86">
              <w:rPr>
                <w:noProof/>
                <w:webHidden/>
              </w:rPr>
            </w:r>
            <w:r w:rsidR="00513D86">
              <w:rPr>
                <w:noProof/>
                <w:webHidden/>
              </w:rPr>
              <w:fldChar w:fldCharType="separate"/>
            </w:r>
            <w:r w:rsidR="00FE5660">
              <w:rPr>
                <w:noProof/>
                <w:webHidden/>
              </w:rPr>
              <w:t>162</w:t>
            </w:r>
            <w:r w:rsidR="00513D86">
              <w:rPr>
                <w:noProof/>
                <w:webHidden/>
              </w:rPr>
              <w:fldChar w:fldCharType="end"/>
            </w:r>
          </w:hyperlink>
        </w:p>
        <w:p w14:paraId="4A7A4E2D" w14:textId="1CD094DA" w:rsidR="007E6986" w:rsidRDefault="007E6986">
          <w:r>
            <w:rPr>
              <w:b/>
              <w:bCs/>
            </w:rPr>
            <w:fldChar w:fldCharType="end"/>
          </w:r>
        </w:p>
      </w:sdtContent>
    </w:sdt>
    <w:p w14:paraId="22518BF0" w14:textId="77777777" w:rsidR="002124A0" w:rsidRPr="00221E39" w:rsidRDefault="002124A0" w:rsidP="002124A0">
      <w:pPr>
        <w:pStyle w:val="Brdtekst"/>
      </w:pPr>
      <w:r>
        <w:br w:type="page"/>
      </w:r>
    </w:p>
    <w:p w14:paraId="11AF19AC" w14:textId="77777777" w:rsidR="002124A0" w:rsidRDefault="002124A0" w:rsidP="002124A0">
      <w:pPr>
        <w:jc w:val="center"/>
        <w:rPr>
          <w:rFonts w:asciiTheme="majorHAnsi" w:hAnsiTheme="majorHAnsi"/>
          <w:sz w:val="52"/>
          <w:szCs w:val="52"/>
        </w:rPr>
      </w:pPr>
      <w:r w:rsidRPr="00B12041">
        <w:rPr>
          <w:rFonts w:asciiTheme="majorHAnsi" w:hAnsiTheme="majorHAnsi"/>
          <w:sz w:val="52"/>
          <w:szCs w:val="52"/>
        </w:rPr>
        <w:lastRenderedPageBreak/>
        <w:t>Kapittel 1</w:t>
      </w:r>
    </w:p>
    <w:p w14:paraId="0578921C" w14:textId="77777777" w:rsidR="002124A0" w:rsidRPr="00FE1400" w:rsidRDefault="002124A0" w:rsidP="002124A0">
      <w:pPr>
        <w:jc w:val="center"/>
        <w:rPr>
          <w:rFonts w:asciiTheme="majorHAnsi" w:hAnsiTheme="majorHAnsi"/>
          <w:sz w:val="32"/>
          <w:szCs w:val="32"/>
        </w:rPr>
      </w:pPr>
    </w:p>
    <w:p w14:paraId="7D89FF9B" w14:textId="77777777" w:rsidR="002124A0" w:rsidRPr="00C558CD" w:rsidRDefault="002124A0" w:rsidP="002124A0">
      <w:pPr>
        <w:pStyle w:val="Overskrift1"/>
        <w:jc w:val="center"/>
      </w:pPr>
      <w:bookmarkStart w:id="8" w:name="_Toc442351724"/>
      <w:bookmarkStart w:id="9" w:name="_Toc443998948"/>
      <w:r w:rsidRPr="00C558CD">
        <w:t>Lønnsutviklingen i senere år</w:t>
      </w:r>
      <w:bookmarkEnd w:id="8"/>
      <w:bookmarkEnd w:id="9"/>
    </w:p>
    <w:p w14:paraId="321FC96E" w14:textId="116981A8" w:rsidR="00224E09" w:rsidRDefault="006654E0" w:rsidP="006D0741">
      <w:pPr>
        <w:pStyle w:val="Liste"/>
        <w:numPr>
          <w:ilvl w:val="0"/>
          <w:numId w:val="23"/>
        </w:numPr>
      </w:pPr>
      <w:r>
        <w:t>I</w:t>
      </w:r>
      <w:r w:rsidR="00224E09">
        <w:t xml:space="preserve"> de største forhandlingsområdene anslår Beregningsutvalget </w:t>
      </w:r>
      <w:r w:rsidR="00BF1327">
        <w:t>års</w:t>
      </w:r>
      <w:r w:rsidR="00224E09">
        <w:t>lønnsveksten fra 201</w:t>
      </w:r>
      <w:r w:rsidR="003C44B2">
        <w:t>4</w:t>
      </w:r>
      <w:r w:rsidR="00224E09">
        <w:t xml:space="preserve"> til 201</w:t>
      </w:r>
      <w:r w:rsidR="003C44B2">
        <w:t>5</w:t>
      </w:r>
      <w:r w:rsidR="00224E09">
        <w:t xml:space="preserve"> til om lag </w:t>
      </w:r>
      <w:r w:rsidR="0014330A">
        <w:t>3</w:t>
      </w:r>
      <w:r w:rsidR="00224E09">
        <w:t xml:space="preserve"> prosent i gjennomsnitt. For lønnstakere under ett legger utvalget</w:t>
      </w:r>
      <w:r w:rsidR="00224E09" w:rsidRPr="00A25A63">
        <w:t xml:space="preserve"> </w:t>
      </w:r>
      <w:r w:rsidR="00224E09">
        <w:t xml:space="preserve">til grunn at </w:t>
      </w:r>
      <w:r w:rsidR="00BF1327">
        <w:t>veksten i gjennomsnittlig årslønn</w:t>
      </w:r>
      <w:r w:rsidR="00224E09">
        <w:t xml:space="preserve"> fra 201</w:t>
      </w:r>
      <w:r w:rsidR="003C44B2">
        <w:t>4</w:t>
      </w:r>
      <w:r w:rsidR="00224E09">
        <w:t xml:space="preserve"> til 201</w:t>
      </w:r>
      <w:r w:rsidR="003C44B2">
        <w:t>5</w:t>
      </w:r>
      <w:r w:rsidR="00224E09">
        <w:t xml:space="preserve"> var </w:t>
      </w:r>
      <w:r w:rsidR="007451F5">
        <w:t>2,8</w:t>
      </w:r>
      <w:r w:rsidR="00224E09">
        <w:t xml:space="preserve"> prosent.</w:t>
      </w:r>
      <w:r w:rsidR="00224E09" w:rsidRPr="00A25A63">
        <w:t xml:space="preserve"> </w:t>
      </w:r>
    </w:p>
    <w:p w14:paraId="196C34E8" w14:textId="179FC8D3" w:rsidR="00224E09" w:rsidRDefault="00224E09" w:rsidP="006D0741">
      <w:pPr>
        <w:pStyle w:val="Listeavsnitt"/>
        <w:numPr>
          <w:ilvl w:val="0"/>
          <w:numId w:val="23"/>
        </w:numPr>
        <w:spacing w:after="120" w:line="240" w:lineRule="auto"/>
        <w:ind w:left="714" w:hanging="357"/>
      </w:pPr>
      <w:r w:rsidRPr="00555BDC">
        <w:rPr>
          <w:i/>
          <w:szCs w:val="24"/>
        </w:rPr>
        <w:t>Årslønnsveksten</w:t>
      </w:r>
      <w:r w:rsidRPr="00555BDC">
        <w:rPr>
          <w:szCs w:val="24"/>
        </w:rPr>
        <w:t xml:space="preserve"> </w:t>
      </w:r>
      <w:r w:rsidRPr="00FE1400">
        <w:t>fra 201</w:t>
      </w:r>
      <w:r w:rsidR="003C44B2">
        <w:t>4</w:t>
      </w:r>
      <w:r w:rsidRPr="00FE1400">
        <w:t xml:space="preserve"> til 201</w:t>
      </w:r>
      <w:r w:rsidR="003C44B2">
        <w:t>5</w:t>
      </w:r>
      <w:r w:rsidRPr="00FE1400">
        <w:t xml:space="preserve"> er anslått til </w:t>
      </w:r>
      <w:r w:rsidR="00FF5727">
        <w:t xml:space="preserve">om lag </w:t>
      </w:r>
      <w:r w:rsidR="003C44B2">
        <w:t>2 ½</w:t>
      </w:r>
      <w:r w:rsidRPr="00FE1400">
        <w:t xml:space="preserve"> prosent </w:t>
      </w:r>
      <w:r w:rsidR="003C44B2">
        <w:t xml:space="preserve">både </w:t>
      </w:r>
      <w:r w:rsidR="00D8463F" w:rsidRPr="00FE1400">
        <w:t xml:space="preserve">for </w:t>
      </w:r>
      <w:r w:rsidRPr="00FE1400">
        <w:t xml:space="preserve">industriarbeidere og for industrifunksjonærer i NHO-bedrifter. Lønnsveksten </w:t>
      </w:r>
      <w:r w:rsidR="00BF6B30">
        <w:t>samlet</w:t>
      </w:r>
      <w:r w:rsidRPr="00FE1400">
        <w:t xml:space="preserve"> i industrien i NHO-bedrifter er foreløpig </w:t>
      </w:r>
      <w:r w:rsidR="007451F5">
        <w:t xml:space="preserve">også </w:t>
      </w:r>
      <w:r w:rsidRPr="00FE1400">
        <w:t xml:space="preserve">anslått til om lag </w:t>
      </w:r>
      <w:r w:rsidR="003C44B2">
        <w:t>2 ½</w:t>
      </w:r>
      <w:r w:rsidRPr="00FE1400">
        <w:t xml:space="preserve"> prosent.</w:t>
      </w:r>
      <w:r w:rsidR="00555BDC">
        <w:t xml:space="preserve"> </w:t>
      </w:r>
      <w:r w:rsidR="00291411">
        <w:t xml:space="preserve">På bakgrunn av vurderinger gjort av </w:t>
      </w:r>
      <w:r>
        <w:t xml:space="preserve">NHO, i forståelse med LO, </w:t>
      </w:r>
      <w:r w:rsidR="00291411">
        <w:t xml:space="preserve">ble </w:t>
      </w:r>
      <w:r>
        <w:t>l</w:t>
      </w:r>
      <w:r w:rsidRPr="00E91C8E">
        <w:t xml:space="preserve">ønnsveksten samlet for arbeidere og funksjonærer i industrien i NHO-området </w:t>
      </w:r>
      <w:r w:rsidR="00291411">
        <w:t xml:space="preserve">anslått </w:t>
      </w:r>
      <w:r w:rsidRPr="00E91C8E">
        <w:t xml:space="preserve">til </w:t>
      </w:r>
      <w:r w:rsidR="003C44B2">
        <w:t>2,7</w:t>
      </w:r>
      <w:r w:rsidRPr="00E91C8E">
        <w:t xml:space="preserve"> prosent</w:t>
      </w:r>
      <w:r w:rsidR="00A16240">
        <w:t xml:space="preserve"> ved mellomoppgjøret i 2015</w:t>
      </w:r>
      <w:r w:rsidRPr="00E91C8E">
        <w:t>.</w:t>
      </w:r>
      <w:r>
        <w:t xml:space="preserve"> </w:t>
      </w:r>
    </w:p>
    <w:p w14:paraId="67365AB5" w14:textId="14B0A9AE" w:rsidR="00224E09" w:rsidRPr="00FE1400" w:rsidRDefault="00224E09" w:rsidP="006D0741">
      <w:pPr>
        <w:pStyle w:val="Listeavsnitt"/>
        <w:numPr>
          <w:ilvl w:val="0"/>
          <w:numId w:val="23"/>
        </w:numPr>
        <w:spacing w:after="120" w:line="240" w:lineRule="auto"/>
        <w:ind w:left="714" w:hanging="357"/>
        <w:rPr>
          <w:szCs w:val="24"/>
        </w:rPr>
      </w:pPr>
      <w:r w:rsidRPr="00FE1400">
        <w:t xml:space="preserve">Årslønnsveksten i Virke-bedrifter i varehandelen er </w:t>
      </w:r>
      <w:r w:rsidR="007451F5">
        <w:t xml:space="preserve">foreløpig </w:t>
      </w:r>
      <w:r w:rsidRPr="00FE1400">
        <w:t>beregnet til 3,</w:t>
      </w:r>
      <w:r w:rsidR="003C44B2">
        <w:t>3</w:t>
      </w:r>
      <w:r w:rsidRPr="00FE1400">
        <w:t xml:space="preserve"> prosent. Endret sammensetning av lønnstakere trakk lønnsveksten </w:t>
      </w:r>
      <w:r w:rsidR="003C44B2">
        <w:t xml:space="preserve">betydelig </w:t>
      </w:r>
      <w:r w:rsidRPr="00FE1400">
        <w:t xml:space="preserve">opp. I finanstjenester, som omfatter noen flere grupper enn forhandlingsområdet bank og forsikring, er lønnsveksten </w:t>
      </w:r>
      <w:r w:rsidR="007451F5">
        <w:t xml:space="preserve">foreløpig </w:t>
      </w:r>
      <w:r w:rsidRPr="00FE1400">
        <w:t xml:space="preserve">beregnet til </w:t>
      </w:r>
      <w:r w:rsidR="003C44B2">
        <w:t>4,2</w:t>
      </w:r>
      <w:r w:rsidRPr="00FE1400">
        <w:t xml:space="preserve"> prosent. </w:t>
      </w:r>
      <w:r w:rsidR="003C44B2">
        <w:t>Høyere</w:t>
      </w:r>
      <w:r w:rsidRPr="00FE1400">
        <w:t xml:space="preserve"> bonusutbetalinger i 201</w:t>
      </w:r>
      <w:r w:rsidR="003C44B2">
        <w:t>5</w:t>
      </w:r>
      <w:r w:rsidRPr="00FE1400">
        <w:t xml:space="preserve"> enn i 201</w:t>
      </w:r>
      <w:r w:rsidR="003C44B2">
        <w:t>4</w:t>
      </w:r>
      <w:r w:rsidRPr="00FE1400">
        <w:t xml:space="preserve"> trakk lønnsveksten </w:t>
      </w:r>
      <w:r w:rsidR="003C44B2">
        <w:t>opp</w:t>
      </w:r>
      <w:r w:rsidRPr="00FE1400">
        <w:t xml:space="preserve">. For ansatte i kommunene er lønnsveksten anslått til </w:t>
      </w:r>
      <w:r w:rsidR="0014330A">
        <w:t xml:space="preserve">3 ¼ </w:t>
      </w:r>
      <w:r w:rsidRPr="00FE1400">
        <w:t>prosent.</w:t>
      </w:r>
      <w:r w:rsidR="00B16BED">
        <w:t xml:space="preserve"> Streiken blant </w:t>
      </w:r>
      <w:r w:rsidR="007F0706">
        <w:t xml:space="preserve">undervisningsansatte </w:t>
      </w:r>
      <w:r w:rsidR="00B16BED">
        <w:t>i 2014 trakk lønnsveksten i 2015 opp for hele kommunesektoren.</w:t>
      </w:r>
      <w:r w:rsidRPr="00FE1400">
        <w:t xml:space="preserve"> </w:t>
      </w:r>
      <w:r w:rsidR="00B16BED" w:rsidRPr="00A25A63">
        <w:t xml:space="preserve">Årslønnsveksten </w:t>
      </w:r>
      <w:r w:rsidR="00B16BED">
        <w:t xml:space="preserve">både </w:t>
      </w:r>
      <w:r w:rsidR="00B16BED" w:rsidRPr="00A25A63">
        <w:t xml:space="preserve">i </w:t>
      </w:r>
      <w:r w:rsidR="00B16BED">
        <w:t xml:space="preserve">helseforetakene og i øvrige </w:t>
      </w:r>
      <w:r w:rsidR="00B16BED" w:rsidRPr="00A25A63">
        <w:t>Spekter-bedrifte</w:t>
      </w:r>
      <w:r w:rsidR="00B16BED">
        <w:t>r</w:t>
      </w:r>
      <w:r w:rsidR="00B16BED" w:rsidRPr="00A25A63">
        <w:t xml:space="preserve"> </w:t>
      </w:r>
      <w:r w:rsidR="00B16BED">
        <w:t>er anslått</w:t>
      </w:r>
      <w:r w:rsidR="00B16BED" w:rsidRPr="00A25A63">
        <w:t xml:space="preserve"> til </w:t>
      </w:r>
      <w:r w:rsidR="00B16BED">
        <w:t xml:space="preserve">2 ¾ </w:t>
      </w:r>
      <w:r w:rsidR="00B16BED" w:rsidRPr="00A25A63">
        <w:t>prosent</w:t>
      </w:r>
      <w:r w:rsidR="00DA1F90">
        <w:t>.</w:t>
      </w:r>
      <w:r w:rsidRPr="00FE1400">
        <w:rPr>
          <w:szCs w:val="24"/>
        </w:rPr>
        <w:t xml:space="preserve"> For ansatte i staten anslås lønnsveksten fra 201</w:t>
      </w:r>
      <w:r w:rsidR="00DA1F90">
        <w:rPr>
          <w:szCs w:val="24"/>
        </w:rPr>
        <w:t>4</w:t>
      </w:r>
      <w:r w:rsidRPr="00FE1400">
        <w:rPr>
          <w:szCs w:val="24"/>
        </w:rPr>
        <w:t xml:space="preserve"> til 201</w:t>
      </w:r>
      <w:r w:rsidR="00DA1F90">
        <w:rPr>
          <w:szCs w:val="24"/>
        </w:rPr>
        <w:t>5</w:t>
      </w:r>
      <w:r w:rsidRPr="00FE1400">
        <w:rPr>
          <w:szCs w:val="24"/>
        </w:rPr>
        <w:t xml:space="preserve"> </w:t>
      </w:r>
      <w:r w:rsidR="004D11CA">
        <w:rPr>
          <w:szCs w:val="24"/>
        </w:rPr>
        <w:t xml:space="preserve">også </w:t>
      </w:r>
      <w:r w:rsidRPr="00FE1400">
        <w:rPr>
          <w:szCs w:val="24"/>
        </w:rPr>
        <w:t xml:space="preserve">til </w:t>
      </w:r>
      <w:r w:rsidR="00B90920">
        <w:rPr>
          <w:szCs w:val="24"/>
        </w:rPr>
        <w:t xml:space="preserve">2 ¾ </w:t>
      </w:r>
      <w:r w:rsidRPr="00FE1400">
        <w:t>prosent.</w:t>
      </w:r>
      <w:r w:rsidRPr="00FE1400">
        <w:rPr>
          <w:szCs w:val="24"/>
        </w:rPr>
        <w:t xml:space="preserve">   </w:t>
      </w:r>
    </w:p>
    <w:p w14:paraId="2B42B4F6" w14:textId="5647DCF6" w:rsidR="00224E09" w:rsidRDefault="00224E09" w:rsidP="006D0741">
      <w:pPr>
        <w:pStyle w:val="Listeavsnitt"/>
        <w:numPr>
          <w:ilvl w:val="0"/>
          <w:numId w:val="23"/>
        </w:numPr>
        <w:spacing w:after="120" w:line="240" w:lineRule="auto"/>
        <w:ind w:left="714" w:hanging="357"/>
      </w:pPr>
      <w:r>
        <w:t>I NHO-området er lønnsveksten for arbeidere fra 201</w:t>
      </w:r>
      <w:r w:rsidR="00DA1F90">
        <w:t>4</w:t>
      </w:r>
      <w:r>
        <w:t xml:space="preserve"> til 201</w:t>
      </w:r>
      <w:r w:rsidR="00DA1F90">
        <w:t>5</w:t>
      </w:r>
      <w:r>
        <w:t xml:space="preserve"> foreløpig anslått til </w:t>
      </w:r>
      <w:r w:rsidR="00DA1F90">
        <w:t>rundt 3 prosent for ansatte i byggevirksomhet</w:t>
      </w:r>
      <w:r w:rsidR="00B90920">
        <w:t xml:space="preserve"> og</w:t>
      </w:r>
      <w:r w:rsidR="00DA1F90">
        <w:t xml:space="preserve"> </w:t>
      </w:r>
      <w:r w:rsidR="00DA1F90" w:rsidRPr="00DA1F90">
        <w:rPr>
          <w:szCs w:val="24"/>
        </w:rPr>
        <w:t xml:space="preserve">om lag 2 </w:t>
      </w:r>
      <w:r w:rsidR="00B90920">
        <w:rPr>
          <w:szCs w:val="24"/>
        </w:rPr>
        <w:t xml:space="preserve">½ </w:t>
      </w:r>
      <w:r w:rsidR="00DA1F90" w:rsidRPr="00DA1F90">
        <w:rPr>
          <w:szCs w:val="24"/>
        </w:rPr>
        <w:t>prosent i</w:t>
      </w:r>
      <w:r>
        <w:t xml:space="preserve"> hotell- og restaurantvirksomhet. </w:t>
      </w:r>
    </w:p>
    <w:p w14:paraId="392507BA" w14:textId="586A3A85" w:rsidR="00224E09" w:rsidRDefault="00224E09" w:rsidP="006D0741">
      <w:pPr>
        <w:pStyle w:val="Listeavsnitt"/>
        <w:numPr>
          <w:ilvl w:val="0"/>
          <w:numId w:val="23"/>
        </w:numPr>
        <w:spacing w:after="120" w:line="240" w:lineRule="auto"/>
        <w:ind w:left="714" w:hanging="357"/>
      </w:pPr>
      <w:r w:rsidRPr="00727AA4">
        <w:rPr>
          <w:szCs w:val="24"/>
        </w:rPr>
        <w:t xml:space="preserve">Utvalget anslår </w:t>
      </w:r>
      <w:r w:rsidRPr="00727AA4">
        <w:rPr>
          <w:i/>
          <w:szCs w:val="24"/>
        </w:rPr>
        <w:t>lønnsoverhenget</w:t>
      </w:r>
      <w:r w:rsidRPr="00727AA4">
        <w:rPr>
          <w:szCs w:val="24"/>
        </w:rPr>
        <w:t xml:space="preserve"> til 201</w:t>
      </w:r>
      <w:r w:rsidR="00A50226">
        <w:rPr>
          <w:szCs w:val="24"/>
        </w:rPr>
        <w:t>6</w:t>
      </w:r>
      <w:r w:rsidRPr="00FE1400">
        <w:t xml:space="preserve"> til om lag </w:t>
      </w:r>
      <w:r w:rsidR="0014330A">
        <w:t xml:space="preserve">0,7 </w:t>
      </w:r>
      <w:r w:rsidRPr="00FE1400">
        <w:t xml:space="preserve">prosent i gjennomsnitt i de største forhandlingsområdene. For industriarbeidere er overhenget anslått til </w:t>
      </w:r>
      <w:r w:rsidR="00A50226">
        <w:t xml:space="preserve">1 </w:t>
      </w:r>
      <w:r w:rsidRPr="00FE1400">
        <w:t>prosent</w:t>
      </w:r>
      <w:r w:rsidR="0014107E">
        <w:t>,</w:t>
      </w:r>
      <w:r w:rsidRPr="00FE1400">
        <w:t xml:space="preserve"> og </w:t>
      </w:r>
      <w:r w:rsidR="007451F5">
        <w:t xml:space="preserve">det samme for </w:t>
      </w:r>
      <w:r w:rsidRPr="00FE1400">
        <w:t xml:space="preserve">industrifunksjonærer. For ansatte i Virke-bedrifter i varehandelen er overhenget beregnet til </w:t>
      </w:r>
      <w:r w:rsidR="00A50226">
        <w:t>0,7</w:t>
      </w:r>
      <w:r w:rsidRPr="00FE1400">
        <w:t xml:space="preserve"> prosent, og for ansatte i finanstjenester, som omfatter noen flere grupper enn forhandlingsområdet bank og forsikring, til 1,2 prosent. For ansatte i kommunene er overhenget anslått til </w:t>
      </w:r>
      <w:r w:rsidR="0013321E">
        <w:rPr>
          <w:rFonts w:cs="Times New Roman"/>
        </w:rPr>
        <w:t>⅔</w:t>
      </w:r>
      <w:r w:rsidR="005F6B6D">
        <w:t xml:space="preserve"> </w:t>
      </w:r>
      <w:r w:rsidRPr="00FE1400">
        <w:t xml:space="preserve">prosent. </w:t>
      </w:r>
      <w:r>
        <w:t xml:space="preserve">For ansatte i staten er overhenget anslått til </w:t>
      </w:r>
      <w:r w:rsidR="005F6B6D">
        <w:t xml:space="preserve">½ </w:t>
      </w:r>
      <w:r>
        <w:t xml:space="preserve">prosent. </w:t>
      </w:r>
      <w:r w:rsidRPr="00A25A63">
        <w:t>I Spekter-</w:t>
      </w:r>
      <w:r>
        <w:t>området</w:t>
      </w:r>
      <w:r w:rsidRPr="00A25A63">
        <w:t xml:space="preserve"> er overhenget </w:t>
      </w:r>
      <w:r>
        <w:t>til 201</w:t>
      </w:r>
      <w:r w:rsidR="00A50226">
        <w:t>6</w:t>
      </w:r>
      <w:r>
        <w:t xml:space="preserve"> </w:t>
      </w:r>
      <w:r w:rsidR="0014330A">
        <w:t xml:space="preserve">også </w:t>
      </w:r>
      <w:r w:rsidRPr="00A25A63">
        <w:t xml:space="preserve">anslått til </w:t>
      </w:r>
      <w:r w:rsidR="00A50226">
        <w:t>½</w:t>
      </w:r>
      <w:r>
        <w:t xml:space="preserve"> </w:t>
      </w:r>
      <w:r w:rsidRPr="00A25A63">
        <w:t>prosent</w:t>
      </w:r>
      <w:r>
        <w:t xml:space="preserve"> </w:t>
      </w:r>
      <w:r w:rsidR="00A50226">
        <w:t xml:space="preserve">både </w:t>
      </w:r>
      <w:r>
        <w:t>i helseforetakene og i øvrige virksomheter.</w:t>
      </w:r>
    </w:p>
    <w:p w14:paraId="5CA6338D" w14:textId="77777777" w:rsidR="002124A0" w:rsidRPr="0054791E" w:rsidRDefault="002124A0" w:rsidP="002124A0">
      <w:pPr>
        <w:pStyle w:val="Overskrift2"/>
      </w:pPr>
      <w:bookmarkStart w:id="10" w:name="_Toc442351725"/>
      <w:bookmarkStart w:id="11" w:name="_Toc443998949"/>
      <w:r>
        <w:t>Innledning</w:t>
      </w:r>
      <w:bookmarkEnd w:id="10"/>
      <w:bookmarkEnd w:id="11"/>
    </w:p>
    <w:p w14:paraId="6F147EEA" w14:textId="77777777" w:rsidR="002124A0" w:rsidRDefault="002124A0" w:rsidP="002124A0">
      <w:r w:rsidRPr="008200B8">
        <w:t xml:space="preserve">Beregningsutvalget legger i dette kapitlet fram statistikk og beregninger </w:t>
      </w:r>
      <w:r>
        <w:t>over</w:t>
      </w:r>
      <w:r w:rsidRPr="008200B8">
        <w:t xml:space="preserve"> lønnsutviklingen fra 20</w:t>
      </w:r>
      <w:r>
        <w:t>1</w:t>
      </w:r>
      <w:r w:rsidR="00C030E9">
        <w:t>4</w:t>
      </w:r>
      <w:r w:rsidRPr="008200B8">
        <w:t xml:space="preserve"> til 20</w:t>
      </w:r>
      <w:r>
        <w:t>1</w:t>
      </w:r>
      <w:r w:rsidR="00C030E9">
        <w:t>5</w:t>
      </w:r>
      <w:r w:rsidRPr="008200B8">
        <w:t xml:space="preserve"> for hovedgrupper av lønnstakere. Det gis dessuten anslag på lønnsoverhenget til 20</w:t>
      </w:r>
      <w:r>
        <w:t>1</w:t>
      </w:r>
      <w:r w:rsidR="00C030E9">
        <w:t>6</w:t>
      </w:r>
      <w:r>
        <w:t xml:space="preserve"> </w:t>
      </w:r>
      <w:r w:rsidRPr="008200B8">
        <w:t>for ulike grupper. I kapitlet gis det også en oversikt over lønnstilleggene i 20</w:t>
      </w:r>
      <w:r>
        <w:t>1</w:t>
      </w:r>
      <w:r w:rsidR="00C030E9">
        <w:t>5</w:t>
      </w:r>
      <w:r w:rsidRPr="008200B8">
        <w:t xml:space="preserve"> </w:t>
      </w:r>
      <w:r>
        <w:t>i en del tariffområder</w:t>
      </w:r>
      <w:r w:rsidRPr="008200B8">
        <w:t>.</w:t>
      </w:r>
      <w:r>
        <w:t xml:space="preserve"> </w:t>
      </w:r>
      <w:r w:rsidRPr="008200B8">
        <w:t>En mer detaljert oversikt over resultatene av lønnsoppgjør i 20</w:t>
      </w:r>
      <w:r>
        <w:t>1</w:t>
      </w:r>
      <w:r w:rsidR="00C030E9">
        <w:t>5</w:t>
      </w:r>
      <w:r w:rsidRPr="008200B8">
        <w:t xml:space="preserve"> gis i vedlegg 1.</w:t>
      </w:r>
    </w:p>
    <w:p w14:paraId="0055B6EC" w14:textId="105340AF" w:rsidR="002124A0" w:rsidRDefault="002124A0" w:rsidP="00EB0D8B">
      <w:pPr>
        <w:pStyle w:val="Def"/>
      </w:pPr>
      <w:r>
        <w:t>Kapitlet</w:t>
      </w:r>
      <w:r w:rsidRPr="008200B8">
        <w:t xml:space="preserve"> bygger delvis på foreløpig</w:t>
      </w:r>
      <w:r>
        <w:t xml:space="preserve"> statistikk og </w:t>
      </w:r>
      <w:r w:rsidRPr="008200B8">
        <w:t>anslag for 20</w:t>
      </w:r>
      <w:r>
        <w:t>1</w:t>
      </w:r>
      <w:r w:rsidR="00C030E9">
        <w:t>5</w:t>
      </w:r>
      <w:r>
        <w:t>. Kapitlet vil derfor bli oppdatert i utvalgets endelig</w:t>
      </w:r>
      <w:r w:rsidR="007454C4">
        <w:t>e</w:t>
      </w:r>
      <w:r>
        <w:t xml:space="preserve"> rapport i slutten av mars.</w:t>
      </w:r>
      <w:r w:rsidR="00FA637F">
        <w:t xml:space="preserve"> </w:t>
      </w:r>
      <w:r w:rsidR="00FA637F" w:rsidRPr="00FA637F">
        <w:rPr>
          <w:rFonts w:ascii="Times New Roman" w:hAnsi="Times New Roman"/>
        </w:rPr>
        <w:t xml:space="preserve">Det er </w:t>
      </w:r>
      <w:r w:rsidR="00FA637F">
        <w:rPr>
          <w:rFonts w:ascii="Times New Roman" w:hAnsi="Times New Roman"/>
        </w:rPr>
        <w:t xml:space="preserve">knyttet </w:t>
      </w:r>
      <w:r w:rsidR="00B14DD7">
        <w:rPr>
          <w:rFonts w:ascii="Times New Roman" w:hAnsi="Times New Roman"/>
        </w:rPr>
        <w:t xml:space="preserve">særlige utfordringer </w:t>
      </w:r>
      <w:r w:rsidR="00FA637F">
        <w:rPr>
          <w:rFonts w:ascii="Times New Roman" w:hAnsi="Times New Roman"/>
        </w:rPr>
        <w:t xml:space="preserve">til </w:t>
      </w:r>
      <w:r w:rsidR="00FA637F">
        <w:rPr>
          <w:rFonts w:ascii="Times New Roman" w:hAnsi="Times New Roman"/>
        </w:rPr>
        <w:lastRenderedPageBreak/>
        <w:t>beregning av</w:t>
      </w:r>
      <w:r w:rsidR="00FA637F" w:rsidRPr="00FA637F">
        <w:rPr>
          <w:rFonts w:ascii="Times New Roman" w:hAnsi="Times New Roman"/>
        </w:rPr>
        <w:t xml:space="preserve"> lønnsveksten fra 2014 til 2015</w:t>
      </w:r>
      <w:r w:rsidR="00B14DD7">
        <w:rPr>
          <w:rFonts w:ascii="Times New Roman" w:hAnsi="Times New Roman"/>
        </w:rPr>
        <w:t>.</w:t>
      </w:r>
      <w:r w:rsidR="00001629">
        <w:rPr>
          <w:rFonts w:ascii="Times New Roman" w:hAnsi="Times New Roman"/>
        </w:rPr>
        <w:t xml:space="preserve"> Dette skyldes </w:t>
      </w:r>
      <w:r w:rsidR="00FA637F">
        <w:rPr>
          <w:rFonts w:ascii="Times New Roman" w:hAnsi="Times New Roman"/>
        </w:rPr>
        <w:t xml:space="preserve">at det i 2015 var </w:t>
      </w:r>
      <w:r w:rsidR="00FA637F" w:rsidRPr="00FA637F">
        <w:rPr>
          <w:rFonts w:ascii="Times New Roman" w:hAnsi="Times New Roman"/>
        </w:rPr>
        <w:t xml:space="preserve">overgang til </w:t>
      </w:r>
      <w:r w:rsidR="00001629">
        <w:rPr>
          <w:rFonts w:ascii="Times New Roman" w:hAnsi="Times New Roman"/>
        </w:rPr>
        <w:t xml:space="preserve">et </w:t>
      </w:r>
      <w:r w:rsidR="00FA637F" w:rsidRPr="00FA637F">
        <w:rPr>
          <w:rFonts w:ascii="Times New Roman" w:hAnsi="Times New Roman"/>
        </w:rPr>
        <w:t>nytt elektronisk system for bedrifters rapportering av lønn (A-ordningen)</w:t>
      </w:r>
      <w:r w:rsidR="00001629">
        <w:rPr>
          <w:rFonts w:ascii="Times New Roman" w:hAnsi="Times New Roman"/>
        </w:rPr>
        <w:t xml:space="preserve">. Datagrunnlaget </w:t>
      </w:r>
      <w:r w:rsidR="003D053D">
        <w:rPr>
          <w:rFonts w:ascii="Times New Roman" w:hAnsi="Times New Roman"/>
        </w:rPr>
        <w:t xml:space="preserve">fra denne innrapporteringen </w:t>
      </w:r>
      <w:r w:rsidR="00FA637F" w:rsidRPr="00FA637F">
        <w:rPr>
          <w:rFonts w:ascii="Times New Roman" w:hAnsi="Times New Roman"/>
        </w:rPr>
        <w:t>sammenlignes med utvalgsbasert tradis</w:t>
      </w:r>
      <w:r w:rsidR="00001629">
        <w:rPr>
          <w:rFonts w:ascii="Times New Roman" w:hAnsi="Times New Roman"/>
        </w:rPr>
        <w:t xml:space="preserve">jonell lønnsstatistikk for 2014 </w:t>
      </w:r>
      <w:r w:rsidR="00FA637F" w:rsidRPr="00FA637F">
        <w:rPr>
          <w:rFonts w:ascii="Times New Roman" w:hAnsi="Times New Roman"/>
        </w:rPr>
        <w:t>(jf. boks 1.1)</w:t>
      </w:r>
      <w:r w:rsidR="00001629">
        <w:rPr>
          <w:rFonts w:ascii="Times New Roman" w:hAnsi="Times New Roman"/>
        </w:rPr>
        <w:t>.</w:t>
      </w:r>
    </w:p>
    <w:p w14:paraId="73571C07" w14:textId="77777777" w:rsidR="002124A0" w:rsidRPr="00BA1C84" w:rsidRDefault="002124A0" w:rsidP="002124A0">
      <w:pPr>
        <w:pStyle w:val="Overskrift3"/>
      </w:pPr>
      <w:bookmarkStart w:id="12" w:name="_Toc320820654"/>
      <w:bookmarkStart w:id="13" w:name="_Toc351913425"/>
      <w:bookmarkStart w:id="14" w:name="_Toc380506119"/>
      <w:bookmarkStart w:id="15" w:name="_Toc442351726"/>
      <w:bookmarkStart w:id="16" w:name="_Toc443998950"/>
      <w:r w:rsidRPr="00BA1C84">
        <w:t>Lønnsutviklingen for hovedgrupper i forhandlingsområdene</w:t>
      </w:r>
      <w:bookmarkEnd w:id="12"/>
      <w:bookmarkEnd w:id="13"/>
      <w:bookmarkEnd w:id="14"/>
      <w:bookmarkEnd w:id="15"/>
      <w:bookmarkEnd w:id="16"/>
    </w:p>
    <w:p w14:paraId="6FDB1D65" w14:textId="51779E42" w:rsidR="002124A0" w:rsidRPr="007454C4" w:rsidRDefault="002124A0" w:rsidP="002124A0">
      <w:pPr>
        <w:pStyle w:val="Brdtekst"/>
        <w:rPr>
          <w:szCs w:val="24"/>
        </w:rPr>
      </w:pPr>
      <w:r w:rsidRPr="00342025">
        <w:t xml:space="preserve">Tabell 1.1 viser at </w:t>
      </w:r>
      <w:r>
        <w:t>veksten i gjennomsnittlig årslønn</w:t>
      </w:r>
      <w:r w:rsidRPr="00342025">
        <w:t xml:space="preserve"> </w:t>
      </w:r>
      <w:r w:rsidRPr="00A25A63">
        <w:t>fra 20</w:t>
      </w:r>
      <w:r>
        <w:t>1</w:t>
      </w:r>
      <w:r w:rsidR="006543D6">
        <w:t>4</w:t>
      </w:r>
      <w:r w:rsidRPr="00A25A63">
        <w:t xml:space="preserve"> til 20</w:t>
      </w:r>
      <w:r>
        <w:t>1</w:t>
      </w:r>
      <w:r w:rsidR="006543D6">
        <w:t>5</w:t>
      </w:r>
      <w:r w:rsidRPr="00A25A63">
        <w:t xml:space="preserve"> </w:t>
      </w:r>
      <w:r>
        <w:t xml:space="preserve">nå er anslått til </w:t>
      </w:r>
      <w:r w:rsidR="00830A70">
        <w:t>om lag 2</w:t>
      </w:r>
      <w:r w:rsidR="00EE49AD">
        <w:t> </w:t>
      </w:r>
      <w:r w:rsidR="00830A70">
        <w:t xml:space="preserve">½ </w:t>
      </w:r>
      <w:r w:rsidRPr="00A25A63">
        <w:t xml:space="preserve">prosent </w:t>
      </w:r>
      <w:r w:rsidR="00830A70">
        <w:t xml:space="preserve">både </w:t>
      </w:r>
      <w:r w:rsidRPr="00A25A63">
        <w:t>for</w:t>
      </w:r>
      <w:r>
        <w:t xml:space="preserve"> </w:t>
      </w:r>
      <w:r w:rsidRPr="00A25A63">
        <w:t>industriarbeidere og for industrifunksjonærer</w:t>
      </w:r>
      <w:r>
        <w:t xml:space="preserve"> </w:t>
      </w:r>
      <w:r w:rsidRPr="00A25A63">
        <w:t>i NHO-bedrifter</w:t>
      </w:r>
      <w:r>
        <w:t xml:space="preserve">. Lønnsveksten </w:t>
      </w:r>
      <w:r w:rsidR="004721BB">
        <w:t>samlet</w:t>
      </w:r>
      <w:r>
        <w:t xml:space="preserve"> i industrien i NHO-bedrifter er </w:t>
      </w:r>
      <w:r w:rsidR="00830A70">
        <w:t xml:space="preserve">også </w:t>
      </w:r>
      <w:r>
        <w:t xml:space="preserve">foreløpig anslått til </w:t>
      </w:r>
      <w:r w:rsidR="00830A70">
        <w:t xml:space="preserve">2 ½ </w:t>
      </w:r>
      <w:r>
        <w:t>prosent</w:t>
      </w:r>
      <w:r w:rsidRPr="007454C4">
        <w:rPr>
          <w:szCs w:val="24"/>
        </w:rPr>
        <w:t xml:space="preserve">. </w:t>
      </w:r>
      <w:r w:rsidR="00983373" w:rsidRPr="007454C4">
        <w:rPr>
          <w:szCs w:val="24"/>
        </w:rPr>
        <w:t xml:space="preserve">På bakgrunn av vurderinger gjort av NHO, i forståelse med LO, ble årslønnsveksten i industrien samlet i NHO-området anslått til 2,7 prosent </w:t>
      </w:r>
      <w:r w:rsidR="00475C6B">
        <w:rPr>
          <w:szCs w:val="24"/>
        </w:rPr>
        <w:t>ved</w:t>
      </w:r>
      <w:r w:rsidR="00475C6B" w:rsidRPr="007454C4">
        <w:rPr>
          <w:szCs w:val="24"/>
        </w:rPr>
        <w:t xml:space="preserve"> mellomoppgjøret i 2015</w:t>
      </w:r>
      <w:r w:rsidR="00983373" w:rsidRPr="007454C4">
        <w:rPr>
          <w:szCs w:val="24"/>
        </w:rPr>
        <w:t>.</w:t>
      </w:r>
    </w:p>
    <w:p w14:paraId="4403A6A6" w14:textId="27BFA543" w:rsidR="002124A0" w:rsidRDefault="002124A0" w:rsidP="002124A0">
      <w:pPr>
        <w:rPr>
          <w:szCs w:val="24"/>
        </w:rPr>
      </w:pPr>
      <w:r>
        <w:t>Å</w:t>
      </w:r>
      <w:r w:rsidRPr="00A25A63">
        <w:t xml:space="preserve">rslønnsveksten i </w:t>
      </w:r>
      <w:r>
        <w:t>Virke</w:t>
      </w:r>
      <w:r w:rsidRPr="00A25A63">
        <w:t xml:space="preserve">-bedrifter i varehandelen er </w:t>
      </w:r>
      <w:r>
        <w:t>beregnet</w:t>
      </w:r>
      <w:r w:rsidRPr="00A25A63">
        <w:t xml:space="preserve"> til </w:t>
      </w:r>
      <w:r w:rsidR="003453CD">
        <w:t xml:space="preserve">3,3 </w:t>
      </w:r>
      <w:r w:rsidRPr="00A25A63">
        <w:t>prosent.</w:t>
      </w:r>
      <w:r>
        <w:t xml:space="preserve"> </w:t>
      </w:r>
      <w:r>
        <w:rPr>
          <w:rFonts w:ascii="Times New Roman" w:hAnsi="Times New Roman"/>
        </w:rPr>
        <w:t xml:space="preserve">Endret sammensetning av lønnstakere trakk lønnsveksten </w:t>
      </w:r>
      <w:r w:rsidR="002A448D">
        <w:rPr>
          <w:rFonts w:ascii="Times New Roman" w:hAnsi="Times New Roman"/>
        </w:rPr>
        <w:t xml:space="preserve">betydelig </w:t>
      </w:r>
      <w:r>
        <w:rPr>
          <w:rFonts w:ascii="Times New Roman" w:hAnsi="Times New Roman"/>
        </w:rPr>
        <w:t>opp</w:t>
      </w:r>
      <w:r w:rsidR="002A448D">
        <w:rPr>
          <w:rFonts w:ascii="Times New Roman" w:hAnsi="Times New Roman"/>
        </w:rPr>
        <w:t xml:space="preserve"> i 2015</w:t>
      </w:r>
      <w:r>
        <w:rPr>
          <w:rFonts w:ascii="Times New Roman" w:hAnsi="Times New Roman"/>
        </w:rPr>
        <w:t xml:space="preserve">. </w:t>
      </w:r>
      <w:r w:rsidRPr="00A25A63">
        <w:t xml:space="preserve">I finanstjenester, som omfatter noen flere grupper enn forhandlingsområdet bank og forsikring, er lønnsveksten </w:t>
      </w:r>
      <w:r>
        <w:t>beregnet</w:t>
      </w:r>
      <w:r w:rsidRPr="00A25A63">
        <w:t xml:space="preserve"> til </w:t>
      </w:r>
      <w:r w:rsidR="003453CD">
        <w:t xml:space="preserve">4,2 </w:t>
      </w:r>
      <w:r w:rsidRPr="00A25A63">
        <w:t xml:space="preserve">prosent. </w:t>
      </w:r>
      <w:r w:rsidR="002A448D">
        <w:t xml:space="preserve">Høyere </w:t>
      </w:r>
      <w:r>
        <w:t xml:space="preserve">bonusutbetalinger i </w:t>
      </w:r>
      <w:r w:rsidR="002A448D">
        <w:t xml:space="preserve">2015 </w:t>
      </w:r>
      <w:r>
        <w:t xml:space="preserve">enn i </w:t>
      </w:r>
      <w:r w:rsidR="002A448D">
        <w:t xml:space="preserve">2014 </w:t>
      </w:r>
      <w:r>
        <w:t xml:space="preserve">trakk lønnsveksten </w:t>
      </w:r>
      <w:r w:rsidR="002A448D">
        <w:t>opp</w:t>
      </w:r>
      <w:r>
        <w:t xml:space="preserve">. For </w:t>
      </w:r>
      <w:r w:rsidRPr="00A25A63">
        <w:t>ansatte i kommunene</w:t>
      </w:r>
      <w:r>
        <w:t xml:space="preserve"> er lønnsveksten anslått til </w:t>
      </w:r>
      <w:r w:rsidR="0013321E">
        <w:t xml:space="preserve">3 ¼ </w:t>
      </w:r>
      <w:r>
        <w:t>prosent</w:t>
      </w:r>
      <w:r w:rsidRPr="00A25A63">
        <w:t xml:space="preserve">. </w:t>
      </w:r>
      <w:r>
        <w:rPr>
          <w:rFonts w:ascii="Times New Roman" w:hAnsi="Times New Roman"/>
        </w:rPr>
        <w:t xml:space="preserve">Streiken blant </w:t>
      </w:r>
      <w:r w:rsidR="009058E5">
        <w:rPr>
          <w:rFonts w:ascii="Times New Roman" w:hAnsi="Times New Roman"/>
        </w:rPr>
        <w:t xml:space="preserve">undervisningsansattte </w:t>
      </w:r>
      <w:r w:rsidR="00BD518F">
        <w:rPr>
          <w:rFonts w:ascii="Times New Roman" w:hAnsi="Times New Roman"/>
        </w:rPr>
        <w:t xml:space="preserve">i 2014 </w:t>
      </w:r>
      <w:r>
        <w:rPr>
          <w:rFonts w:ascii="Times New Roman" w:hAnsi="Times New Roman"/>
        </w:rPr>
        <w:t xml:space="preserve">trakk lønnsveksten </w:t>
      </w:r>
      <w:r w:rsidR="00FA080D">
        <w:rPr>
          <w:rFonts w:ascii="Times New Roman" w:hAnsi="Times New Roman"/>
        </w:rPr>
        <w:t xml:space="preserve">i 2015 </w:t>
      </w:r>
      <w:r w:rsidR="00983373">
        <w:rPr>
          <w:rFonts w:ascii="Times New Roman" w:hAnsi="Times New Roman"/>
        </w:rPr>
        <w:t>opp</w:t>
      </w:r>
      <w:r>
        <w:rPr>
          <w:rFonts w:ascii="Times New Roman" w:hAnsi="Times New Roman"/>
        </w:rPr>
        <w:t xml:space="preserve"> for hele kommunesektoren.  </w:t>
      </w:r>
      <w:r w:rsidRPr="00A25A63">
        <w:t xml:space="preserve">Årslønnsveksten </w:t>
      </w:r>
      <w:r w:rsidR="00FA637F">
        <w:t xml:space="preserve">både </w:t>
      </w:r>
      <w:r w:rsidRPr="00A25A63">
        <w:t xml:space="preserve">i </w:t>
      </w:r>
      <w:r w:rsidR="00FA637F">
        <w:t xml:space="preserve">helseforetakene og i øvrige </w:t>
      </w:r>
      <w:r w:rsidRPr="00A25A63">
        <w:t>Spekter-bedrifte</w:t>
      </w:r>
      <w:r w:rsidR="00FA637F">
        <w:t>r</w:t>
      </w:r>
      <w:r w:rsidRPr="00A25A63">
        <w:t xml:space="preserve"> </w:t>
      </w:r>
      <w:r>
        <w:t>er anslått</w:t>
      </w:r>
      <w:r w:rsidRPr="00A25A63">
        <w:t xml:space="preserve"> til </w:t>
      </w:r>
      <w:r w:rsidR="00FA637F">
        <w:t xml:space="preserve">2 ¾ </w:t>
      </w:r>
      <w:r w:rsidRPr="00A25A63">
        <w:t>prosent</w:t>
      </w:r>
      <w:r>
        <w:rPr>
          <w:szCs w:val="24"/>
        </w:rPr>
        <w:t>. For ansatte i staten er anslaget for årslønnsveksten fra 201</w:t>
      </w:r>
      <w:r w:rsidR="00983373">
        <w:rPr>
          <w:szCs w:val="24"/>
        </w:rPr>
        <w:t>4</w:t>
      </w:r>
      <w:r>
        <w:rPr>
          <w:szCs w:val="24"/>
        </w:rPr>
        <w:t xml:space="preserve"> til 201</w:t>
      </w:r>
      <w:r w:rsidR="00983373">
        <w:rPr>
          <w:szCs w:val="24"/>
        </w:rPr>
        <w:t>5</w:t>
      </w:r>
      <w:r>
        <w:rPr>
          <w:szCs w:val="24"/>
        </w:rPr>
        <w:t xml:space="preserve"> </w:t>
      </w:r>
      <w:r w:rsidR="00475C6B">
        <w:rPr>
          <w:szCs w:val="24"/>
        </w:rPr>
        <w:t xml:space="preserve">også 2 ¾ </w:t>
      </w:r>
      <w:r>
        <w:rPr>
          <w:szCs w:val="24"/>
        </w:rPr>
        <w:t>prosent.</w:t>
      </w:r>
    </w:p>
    <w:p w14:paraId="5B1D0AFD" w14:textId="7E33B901" w:rsidR="002124A0" w:rsidRDefault="00087073" w:rsidP="002124A0">
      <w:pPr>
        <w:rPr>
          <w:szCs w:val="24"/>
        </w:rPr>
      </w:pPr>
      <w:r>
        <w:rPr>
          <w:szCs w:val="24"/>
        </w:rPr>
        <w:t>I</w:t>
      </w:r>
      <w:r w:rsidR="002124A0" w:rsidRPr="00013CB5">
        <w:rPr>
          <w:szCs w:val="24"/>
        </w:rPr>
        <w:t xml:space="preserve"> </w:t>
      </w:r>
      <w:r w:rsidR="002124A0">
        <w:rPr>
          <w:szCs w:val="24"/>
        </w:rPr>
        <w:t xml:space="preserve">de største forhandlingsområdene </w:t>
      </w:r>
      <w:r>
        <w:rPr>
          <w:szCs w:val="24"/>
        </w:rPr>
        <w:t xml:space="preserve">under ett </w:t>
      </w:r>
      <w:r w:rsidR="002124A0">
        <w:rPr>
          <w:szCs w:val="24"/>
        </w:rPr>
        <w:t xml:space="preserve">anslår </w:t>
      </w:r>
      <w:r w:rsidR="00BD518F">
        <w:rPr>
          <w:szCs w:val="24"/>
        </w:rPr>
        <w:t xml:space="preserve">utvalget </w:t>
      </w:r>
      <w:r w:rsidR="002124A0">
        <w:rPr>
          <w:szCs w:val="24"/>
        </w:rPr>
        <w:t xml:space="preserve">veksten i gjennomsnittlig årslønn til om lag </w:t>
      </w:r>
      <w:r w:rsidR="0013321E">
        <w:rPr>
          <w:szCs w:val="24"/>
        </w:rPr>
        <w:t>3</w:t>
      </w:r>
      <w:r w:rsidR="00C427C5">
        <w:rPr>
          <w:szCs w:val="24"/>
        </w:rPr>
        <w:t xml:space="preserve"> </w:t>
      </w:r>
      <w:r w:rsidR="002124A0">
        <w:rPr>
          <w:szCs w:val="24"/>
        </w:rPr>
        <w:t>prosent fra 201</w:t>
      </w:r>
      <w:r w:rsidR="00BD518F">
        <w:rPr>
          <w:szCs w:val="24"/>
        </w:rPr>
        <w:t>4</w:t>
      </w:r>
      <w:r w:rsidR="002124A0">
        <w:rPr>
          <w:szCs w:val="24"/>
        </w:rPr>
        <w:t xml:space="preserve"> til 201</w:t>
      </w:r>
      <w:r w:rsidR="00BD518F">
        <w:rPr>
          <w:szCs w:val="24"/>
        </w:rPr>
        <w:t>5</w:t>
      </w:r>
      <w:r w:rsidR="002124A0">
        <w:rPr>
          <w:szCs w:val="24"/>
        </w:rPr>
        <w:t>. B</w:t>
      </w:r>
      <w:r w:rsidR="002124A0" w:rsidRPr="00013CB5">
        <w:rPr>
          <w:szCs w:val="24"/>
        </w:rPr>
        <w:t xml:space="preserve">eregningen omfatter gruppene i tabell 1.1, enkelte grupper i vedleggstabell </w:t>
      </w:r>
      <w:r w:rsidR="002124A0">
        <w:rPr>
          <w:szCs w:val="24"/>
        </w:rPr>
        <w:t xml:space="preserve">4.10 </w:t>
      </w:r>
      <w:r w:rsidR="002124A0" w:rsidRPr="00013CB5">
        <w:rPr>
          <w:szCs w:val="24"/>
        </w:rPr>
        <w:t xml:space="preserve">og fra avsnitt 1.2.2. Til sammen utgjør </w:t>
      </w:r>
      <w:r w:rsidR="002124A0">
        <w:rPr>
          <w:szCs w:val="24"/>
        </w:rPr>
        <w:t xml:space="preserve">ansatte i </w:t>
      </w:r>
      <w:r w:rsidR="002124A0" w:rsidRPr="00013CB5">
        <w:rPr>
          <w:szCs w:val="24"/>
        </w:rPr>
        <w:t xml:space="preserve">disse gruppene om lag </w:t>
      </w:r>
      <w:r w:rsidR="002124A0">
        <w:rPr>
          <w:szCs w:val="24"/>
        </w:rPr>
        <w:t>60</w:t>
      </w:r>
      <w:r w:rsidR="002124A0" w:rsidRPr="00013CB5">
        <w:rPr>
          <w:szCs w:val="24"/>
        </w:rPr>
        <w:t xml:space="preserve"> prosent av alle lønnstakerårsverk i 201</w:t>
      </w:r>
      <w:r w:rsidR="00BD518F">
        <w:rPr>
          <w:szCs w:val="24"/>
        </w:rPr>
        <w:t>5</w:t>
      </w:r>
      <w:r w:rsidR="002124A0" w:rsidRPr="00013CB5">
        <w:rPr>
          <w:szCs w:val="24"/>
        </w:rPr>
        <w:t>.</w:t>
      </w:r>
    </w:p>
    <w:p w14:paraId="31FBC706" w14:textId="230F076D" w:rsidR="00A654B0" w:rsidRDefault="00A654B0" w:rsidP="002124A0">
      <w:r>
        <w:t>Beregningene av årslønn og lønnsvekst i tabell 1.1 bygger på lønnsstatistikk for de enkelte gruppene, og på opplysninger om lønnstillegg og reguleringstidspunkter i de enkelte år, se vedlegg 2 for nærmere beskrivelse av lønnsbegreper og grunnlaget for beregningene. Fra og med 2015 er datagrunnlaget for lønnsstatistikken basert på a-meldingen, se boks 1.1.</w:t>
      </w:r>
    </w:p>
    <w:p w14:paraId="46BE3F71" w14:textId="79C066E7" w:rsidR="00AA328B" w:rsidRDefault="00AA328B" w:rsidP="00AA328B">
      <w:r>
        <w:t xml:space="preserve">Tabell 1.1 viser at i årene 2006 til 2008 var det jevnt over stigende lønnsvekst. I 2009 og 2010 falt samlet lønnsvekst, mens den tok seg noe opp igjen i 2011. I årene 2012 til 2015 falt den igjen. Vi må </w:t>
      </w:r>
      <w:r w:rsidR="0013321E">
        <w:t xml:space="preserve">langt </w:t>
      </w:r>
      <w:r>
        <w:t>tilbake for å finne en like lav lønnsvekst som i 2015. Nominell lønnsvekst og reallønnsvekst siden 1970 vises i vedlegg 5.</w:t>
      </w:r>
    </w:p>
    <w:p w14:paraId="0B949A49" w14:textId="77777777" w:rsidR="00AA328B" w:rsidRDefault="00AA328B" w:rsidP="00AA328B">
      <w:r>
        <w:t>Lønnsutviklingen for en gruppe kan være påvirket av flere forhold som f. eks. endring i kvalifikasjoner/utdanning blant arbeidstakerne, endringer i stillingsstruktur, forskyvninger i timeverkene mellom bransjer/bedrifter med ulikt lønnsnivå, endret omfang av skiftarbeid eller endringer i sammensetningen av arbeidsstyrken (f. eks. endringer i sysselsettingen etter aldersgrupper, endret omfang av arbeidsinnvandring og endringer i andelen menn/kvinner). Utvalget vil peke på at forskjeller i lønnsutviklingen mellom ulike grupper/næringer kan skyldes ulik grad av slike strukturendringer. Særlig gjelder dette over en så lang tidsperiode som i tabell 1.1.</w:t>
      </w:r>
    </w:p>
    <w:p w14:paraId="043B8034" w14:textId="49B7F9ED" w:rsidR="002124A0" w:rsidRDefault="00B544AA" w:rsidP="002124A0">
      <w:r>
        <w:rPr>
          <w:noProof/>
        </w:rPr>
        <mc:AlternateContent>
          <mc:Choice Requires="wps">
            <w:drawing>
              <wp:anchor distT="45720" distB="45720" distL="114300" distR="114300" simplePos="0" relativeHeight="251659264" behindDoc="0" locked="0" layoutInCell="1" allowOverlap="1" wp14:anchorId="5FBCDA93" wp14:editId="5167903F">
                <wp:simplePos x="0" y="0"/>
                <wp:positionH relativeFrom="margin">
                  <wp:posOffset>33020</wp:posOffset>
                </wp:positionH>
                <wp:positionV relativeFrom="paragraph">
                  <wp:posOffset>142875</wp:posOffset>
                </wp:positionV>
                <wp:extent cx="5669280" cy="6286500"/>
                <wp:effectExtent l="0" t="0" r="2667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6286500"/>
                        </a:xfrm>
                        <a:prstGeom prst="rect">
                          <a:avLst/>
                        </a:prstGeom>
                        <a:solidFill>
                          <a:srgbClr val="FFFFFF"/>
                        </a:solidFill>
                        <a:ln w="9525">
                          <a:solidFill>
                            <a:srgbClr val="000000"/>
                          </a:solidFill>
                          <a:miter lim="800000"/>
                          <a:headEnd/>
                          <a:tailEnd/>
                        </a:ln>
                      </wps:spPr>
                      <wps:txbx>
                        <w:txbxContent>
                          <w:p w14:paraId="6F5C6B2A" w14:textId="77777777" w:rsidR="003D053D" w:rsidRPr="00147B70" w:rsidRDefault="003D053D" w:rsidP="00A457D2">
                            <w:pPr>
                              <w:jc w:val="center"/>
                              <w:rPr>
                                <w:rFonts w:ascii="Arial" w:hAnsi="Arial" w:cs="Arial"/>
                                <w:b/>
                              </w:rPr>
                            </w:pPr>
                            <w:r w:rsidRPr="00147B70">
                              <w:rPr>
                                <w:rFonts w:ascii="Arial" w:hAnsi="Arial" w:cs="Arial"/>
                                <w:b/>
                              </w:rPr>
                              <w:t>Boks 1.1 A-meldingen – nytt datagrunnlag for lønnsstatistikk</w:t>
                            </w:r>
                          </w:p>
                          <w:p w14:paraId="47881F25" w14:textId="183AB4A5" w:rsidR="003D053D" w:rsidRDefault="003D053D" w:rsidP="009479F6">
                            <w:r>
                              <w:t xml:space="preserve">Fra og med 2015 er datagrunnlaget til lønnsstatistikken basert på opplysninger fra A-ordningen som omfatter alle arbeidsgivere både for privat og offentlig sektor. A-ordningen er en samordnet rapportering av lønns- og ansettelsesopplysninger til Skatteetaten, NAV og Statistisk sentralbyrå regulert av a-opplysningsloven. Data blir innhentet elektronisk fra Skatteetaten ved Etatenes fellesforvaltning (EFF). </w:t>
                            </w:r>
                          </w:p>
                          <w:p w14:paraId="4C1FB611" w14:textId="3054897C" w:rsidR="003D053D" w:rsidRDefault="003D053D" w:rsidP="009479F6">
                            <w:r>
                              <w:t>Alle arbeidsgivere som har betalt ut lønn, kontantytelser eller naturalytelser må levere a-melding. Datamaterialet omfatter dermed alle ansatte i alle foretak med rapporteringsplikt til de nevnte forvaltningsorganene. A-meldingen rapporteres månedlig og omfatter alle kontant- og naturalytelser samt utgiftsgodtgjørelser.</w:t>
                            </w:r>
                          </w:p>
                          <w:p w14:paraId="77988C07" w14:textId="77777777" w:rsidR="003D053D" w:rsidRDefault="003D053D" w:rsidP="009479F6">
                            <w:r>
                              <w:t>For å sikre god sammenheng til tidligere statistikk, er innholdet i avtalt månedslønn og månedslønn det samme som tidligere.</w:t>
                            </w:r>
                          </w:p>
                          <w:p w14:paraId="3240F14A" w14:textId="77777777" w:rsidR="003D053D" w:rsidRDefault="003D053D" w:rsidP="009479F6">
                            <w:r w:rsidRPr="002F3B49">
                              <w:t>Det</w:t>
                            </w:r>
                            <w:r>
                              <w:t xml:space="preserve"> tilstrebes å utarbeide en sammenlignbar lønnsstatistikk fra 2014 til 2015. Dette gjelder blant annet med tanke på tellingstidspunkt, lønnsbegrep, arbeidstid og yrkeskoder. I tillegg tilpasses statistikken utvalgsstørrelser i 2014 innen hver næring. </w:t>
                            </w:r>
                          </w:p>
                          <w:p w14:paraId="7F86CBB6" w14:textId="17746146" w:rsidR="003D053D" w:rsidRDefault="003D053D" w:rsidP="00BC2D77">
                            <w:r w:rsidRPr="00475C6B">
                              <w:t xml:space="preserve">For NHO-bedrifter </w:t>
                            </w:r>
                            <w:r>
                              <w:t xml:space="preserve">og for Virke-bedrifter </w:t>
                            </w:r>
                            <w:r w:rsidRPr="00475C6B">
                              <w:t xml:space="preserve">er sammenligning </w:t>
                            </w:r>
                            <w:r>
                              <w:t>mellom</w:t>
                            </w:r>
                            <w:r w:rsidRPr="00475C6B">
                              <w:t xml:space="preserve"> 2014 </w:t>
                            </w:r>
                            <w:r>
                              <w:t>og</w:t>
                            </w:r>
                            <w:r w:rsidRPr="00475C6B">
                              <w:t xml:space="preserve"> 2015 basert på at metoden brukt i 2014 i hovedsak er kopiert i 2015, med basis i lønnsnivå for "avtalt lønn" fra a-meldingen pr. 1.</w:t>
                            </w:r>
                            <w:r>
                              <w:t xml:space="preserve"> </w:t>
                            </w:r>
                            <w:r w:rsidRPr="00475C6B">
                              <w:t xml:space="preserve">oktober (septemberlønn med justeringer av ev. etterbetalinger) og reguleringstidspunkter innenfor de enkelte tariffområder, samt bonuser og uregelmessige tillegg over en 9 måneders periode. Som i tidligere år holdes lønnsnivå pr. 1.oktober ut året både i 2014 og 2015 i beregningene. I helseforetakene i Spekter-området er årslønnsvekstberegningen basert på lønnsnivået i oktober 2014 justert med utviklingen i den kvartalsvise lønnsindeksen fra 3. kvartal 2014 til 3. kvartal 2015. For øvrige bedrifter har Spekter gjennomført en egen datainnhenting per 1. oktober 2015. </w:t>
                            </w:r>
                          </w:p>
                          <w:p w14:paraId="00756A65" w14:textId="6D9AB1C0" w:rsidR="003D053D" w:rsidRPr="00475C6B" w:rsidRDefault="003D053D" w:rsidP="00BC2D77">
                            <w:r>
                              <w:t xml:space="preserve">KS samler fortsatt inn data for ansatte i kommuner, fylkeskommuner og ansatte som arbeider i virksomheter som følger tariffavtaler hvor KS/Oslo kommune er part. KS har derfor ingen nye utfordringer i datainnsamlingen. KS har også egen undersøkelse av virkningstidspunkter brukt for lønnstillegg ved lokale forhandlinger. </w:t>
                            </w:r>
                          </w:p>
                          <w:p w14:paraId="1B436F67" w14:textId="77777777" w:rsidR="003D053D" w:rsidRDefault="003D053D" w:rsidP="009479F6">
                            <w:r>
                              <w:t>Statistisk sentralbyrå ser for seg en full gjennomgang av lønnsstatistikken når det er kommet inn et datagrunnlag for både 2015 og 2016. Dette for å kunne utnytte materialet fra A-ordningen fullt ut, og ikke være bundet opp av den utvalgsbaserte lønnsstatistikken.</w:t>
                            </w:r>
                          </w:p>
                          <w:p w14:paraId="051590A6" w14:textId="77777777" w:rsidR="003D053D" w:rsidRDefault="003D053D" w:rsidP="00A45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CDA93" id="_x0000_t202" coordsize="21600,21600" o:spt="202" path="m,l,21600r21600,l21600,xe">
                <v:stroke joinstyle="miter"/>
                <v:path gradientshapeok="t" o:connecttype="rect"/>
              </v:shapetype>
              <v:shape id="Tekstboks 2" o:spid="_x0000_s1026" type="#_x0000_t202" style="position:absolute;margin-left:2.6pt;margin-top:11.25pt;width:446.4pt;height:4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">
                <v:textbox>
                  <w:txbxContent>
                    <w:p w14:paraId="6F5C6B2A" w14:textId="77777777" w:rsidR="003D053D" w:rsidRPr="00147B70" w:rsidRDefault="003D053D" w:rsidP="00A457D2">
                      <w:pPr>
                        <w:jc w:val="center"/>
                        <w:rPr>
                          <w:rFonts w:ascii="Arial" w:hAnsi="Arial" w:cs="Arial"/>
                          <w:b/>
                        </w:rPr>
                      </w:pPr>
                      <w:r w:rsidRPr="00147B70">
                        <w:rPr>
                          <w:rFonts w:ascii="Arial" w:hAnsi="Arial" w:cs="Arial"/>
                          <w:b/>
                        </w:rPr>
                        <w:t>Boks 1.1 A-meldingen – nytt datagrunnlag for lønnsstatistikk</w:t>
                      </w:r>
                    </w:p>
                    <w:p w14:paraId="47881F25" w14:textId="183AB4A5" w:rsidR="003D053D" w:rsidRDefault="003D053D" w:rsidP="009479F6">
                      <w:r>
                        <w:t xml:space="preserve">Fra og med 2015 er datagrunnlaget til lønnsstatistikken basert på opplysninger fra A-ordningen som omfatter alle arbeidsgivere både for privat og offentlig sektor. A-ordningen er en samordnet rapportering av lønns- og ansettelsesopplysninger til Skatteetaten, NAV og Statistisk sentralbyrå regulert av a-opplysningsloven. Data blir innhentet elektronisk fra Skatteetaten ved Etatenes fellesforvaltning (EFF). </w:t>
                      </w:r>
                    </w:p>
                    <w:p w14:paraId="4C1FB611" w14:textId="3054897C" w:rsidR="003D053D" w:rsidRDefault="003D053D" w:rsidP="009479F6">
                      <w:r>
                        <w:t>Alle arbeidsgivere som har betalt ut lønn, kontantytelser eller naturalytelser må levere a-melding. Datamaterialet omfatter dermed alle ansatte i alle foretak med rapporteringsplikt til de nevnte forvaltningsorganene. A-meldingen rapporteres månedlig og omfatter alle kontant- og naturalytelser samt utgiftsgodtgjørelser.</w:t>
                      </w:r>
                    </w:p>
                    <w:p w14:paraId="77988C07" w14:textId="77777777" w:rsidR="003D053D" w:rsidRDefault="003D053D" w:rsidP="009479F6">
                      <w:r>
                        <w:t>For å sikre god sammenheng til tidligere statistikk, er innholdet i avtalt månedslønn og månedslønn det samme som tidligere.</w:t>
                      </w:r>
                    </w:p>
                    <w:p w14:paraId="3240F14A" w14:textId="77777777" w:rsidR="003D053D" w:rsidRDefault="003D053D" w:rsidP="009479F6">
                      <w:r w:rsidRPr="002F3B49">
                        <w:t>Det</w:t>
                      </w:r>
                      <w:r>
                        <w:t xml:space="preserve"> tilstrebes å utarbeide en sammenlignbar lønnsstatistikk fra 2014 til 2015. Dette gjelder blant annet med tanke på tellingstidspunkt, lønnsbegrep, arbeidstid og yrkeskoder. I tillegg tilpasses statistikken utvalgsstørrelser i 2014 innen hver næring. </w:t>
                      </w:r>
                    </w:p>
                    <w:p w14:paraId="7F86CBB6" w14:textId="17746146" w:rsidR="003D053D" w:rsidRDefault="003D053D" w:rsidP="00BC2D77">
                      <w:r w:rsidRPr="00475C6B">
                        <w:t xml:space="preserve">For NHO-bedrifter </w:t>
                      </w:r>
                      <w:r>
                        <w:t xml:space="preserve">og for Virke-bedrifter </w:t>
                      </w:r>
                      <w:r w:rsidRPr="00475C6B">
                        <w:t xml:space="preserve">er sammenligning </w:t>
                      </w:r>
                      <w:r>
                        <w:t>mellom</w:t>
                      </w:r>
                      <w:r w:rsidRPr="00475C6B">
                        <w:t xml:space="preserve"> 2014 </w:t>
                      </w:r>
                      <w:r>
                        <w:t>og</w:t>
                      </w:r>
                      <w:r w:rsidRPr="00475C6B">
                        <w:t xml:space="preserve"> 2015 basert på at metoden brukt i 2014 i hovedsak er kopiert i 2015, med basis i lønnsnivå for "avtalt lønn" fra a-meldingen pr. 1.</w:t>
                      </w:r>
                      <w:r>
                        <w:t xml:space="preserve"> </w:t>
                      </w:r>
                      <w:r w:rsidRPr="00475C6B">
                        <w:t xml:space="preserve">oktober (septemberlønn med justeringer av ev. etterbetalinger) og reguleringstidspunkter innenfor de enkelte tariffområder, samt bonuser og uregelmessige tillegg over en 9 måneders periode. Som i tidligere år holdes lønnsnivå pr. 1.oktober ut året både i 2014 og 2015 i beregningene. I helseforetakene i Spekter-området er årslønnsvekstberegningen basert på lønnsnivået i oktober 2014 justert med utviklingen i den kvartalsvise lønnsindeksen fra 3. kvartal 2014 til 3. kvartal 2015. For øvrige bedrifter har Spekter gjennomført en egen datainnhenting per 1. oktober 2015. </w:t>
                      </w:r>
                    </w:p>
                    <w:p w14:paraId="00756A65" w14:textId="6D9AB1C0" w:rsidR="003D053D" w:rsidRPr="00475C6B" w:rsidRDefault="003D053D" w:rsidP="00BC2D77">
                      <w:r>
                        <w:t xml:space="preserve">KS samler fortsatt inn data for ansatte i kommuner, fylkeskommuner og ansatte som arbeider i virksomheter som følger tariffavtaler hvor KS/Oslo kommune er part. KS har derfor ingen nye utfordringer i datainnsamlingen. KS har også egen undersøkelse av virkningstidspunkter brukt for lønnstillegg ved lokale forhandlinger. </w:t>
                      </w:r>
                    </w:p>
                    <w:p w14:paraId="1B436F67" w14:textId="77777777" w:rsidR="003D053D" w:rsidRDefault="003D053D" w:rsidP="009479F6">
                      <w:r>
                        <w:t>Statistisk sentralbyrå ser for seg en full gjennomgang av lønnsstatistikken når det er kommet inn et datagrunnlag for både 2015 og 2016. Dette for å kunne utnytte materialet fra A-ordningen fullt ut, og ikke være bundet opp av den utvalgsbaserte lønnsstatistikken.</w:t>
                      </w:r>
                    </w:p>
                    <w:p w14:paraId="051590A6" w14:textId="77777777" w:rsidR="003D053D" w:rsidRDefault="003D053D" w:rsidP="00A457D2"/>
                  </w:txbxContent>
                </v:textbox>
                <w10:wrap type="square" anchorx="margin"/>
              </v:shape>
            </w:pict>
          </mc:Fallback>
        </mc:AlternateContent>
      </w:r>
      <w:r w:rsidR="00BD518F">
        <w:t xml:space="preserve"> </w:t>
      </w:r>
    </w:p>
    <w:p w14:paraId="36915972" w14:textId="77777777" w:rsidR="00B544AA" w:rsidRDefault="00B544AA" w:rsidP="002124A0"/>
    <w:p w14:paraId="01213D84" w14:textId="77777777" w:rsidR="00BD518F" w:rsidRDefault="00BD518F" w:rsidP="002124A0"/>
    <w:p w14:paraId="73418EEC" w14:textId="77777777" w:rsidR="00BD518F" w:rsidRDefault="00BD518F" w:rsidP="002124A0"/>
    <w:p w14:paraId="3514E6C0" w14:textId="77777777" w:rsidR="00BD518F" w:rsidRPr="00673974" w:rsidRDefault="00BD518F" w:rsidP="002124A0">
      <w:pPr>
        <w:rPr>
          <w:b/>
        </w:rPr>
        <w:sectPr w:rsidR="00BD518F" w:rsidRPr="00673974" w:rsidSect="00795948">
          <w:headerReference w:type="default" r:id="rId8"/>
          <w:footerReference w:type="even" r:id="rId9"/>
          <w:footerReference w:type="default" r:id="rId10"/>
          <w:pgSz w:w="11906" w:h="16838" w:code="9"/>
          <w:pgMar w:top="1440" w:right="1418" w:bottom="1440" w:left="1418" w:header="709" w:footer="1440" w:gutter="0"/>
          <w:cols w:space="708"/>
          <w:titlePg/>
        </w:sectPr>
      </w:pPr>
    </w:p>
    <w:p w14:paraId="7DE5323B" w14:textId="085DE062" w:rsidR="00BB3C61" w:rsidRDefault="002124A0" w:rsidP="002124A0">
      <w:pPr>
        <w:pStyle w:val="tabell-tittel"/>
        <w:spacing w:after="0"/>
      </w:pPr>
      <w:r w:rsidRPr="000B2523">
        <w:t>Årslønnsvekst fra året før i prosent for noen store forhandlingsområder. Per årsverk</w:t>
      </w:r>
    </w:p>
    <w:tbl>
      <w:tblPr>
        <w:tblW w:w="5145" w:type="pct"/>
        <w:jc w:val="right"/>
        <w:tblCellMar>
          <w:left w:w="30" w:type="dxa"/>
          <w:right w:w="30" w:type="dxa"/>
        </w:tblCellMar>
        <w:tblLook w:val="0080" w:firstRow="0" w:lastRow="0" w:firstColumn="1" w:lastColumn="0" w:noHBand="0" w:noVBand="0"/>
      </w:tblPr>
      <w:tblGrid>
        <w:gridCol w:w="1188"/>
        <w:gridCol w:w="945"/>
        <w:gridCol w:w="836"/>
        <w:gridCol w:w="1179"/>
        <w:gridCol w:w="1380"/>
        <w:gridCol w:w="994"/>
        <w:gridCol w:w="1135"/>
        <w:gridCol w:w="853"/>
        <w:gridCol w:w="1461"/>
        <w:gridCol w:w="1302"/>
        <w:gridCol w:w="954"/>
        <w:gridCol w:w="262"/>
        <w:gridCol w:w="1089"/>
        <w:gridCol w:w="6"/>
        <w:gridCol w:w="824"/>
      </w:tblGrid>
      <w:tr w:rsidR="00BB3C61" w:rsidRPr="00777AF3" w14:paraId="2F1584A0" w14:textId="77777777" w:rsidTr="00ED3B72">
        <w:trPr>
          <w:cantSplit/>
          <w:trHeight w:val="308"/>
          <w:jc w:val="right"/>
        </w:trPr>
        <w:tc>
          <w:tcPr>
            <w:tcW w:w="412" w:type="pct"/>
            <w:tcBorders>
              <w:top w:val="single" w:sz="4" w:space="0" w:color="auto"/>
            </w:tcBorders>
            <w:vAlign w:val="bottom"/>
          </w:tcPr>
          <w:p w14:paraId="5CC50382" w14:textId="77777777" w:rsidR="00BB3C61" w:rsidRPr="00777AF3" w:rsidRDefault="00BB3C61" w:rsidP="000A1EA9">
            <w:pPr>
              <w:pStyle w:val="Tabelltekst"/>
              <w:ind w:left="397" w:hanging="397"/>
              <w:jc w:val="center"/>
              <w:rPr>
                <w:sz w:val="20"/>
              </w:rPr>
            </w:pPr>
          </w:p>
        </w:tc>
        <w:tc>
          <w:tcPr>
            <w:tcW w:w="1027" w:type="pct"/>
            <w:gridSpan w:val="3"/>
            <w:tcBorders>
              <w:top w:val="single" w:sz="4" w:space="0" w:color="auto"/>
              <w:bottom w:val="single" w:sz="4" w:space="0" w:color="auto"/>
            </w:tcBorders>
            <w:vAlign w:val="bottom"/>
          </w:tcPr>
          <w:p w14:paraId="0D2478A8" w14:textId="77777777" w:rsidR="00BB3C61" w:rsidRPr="00777AF3" w:rsidRDefault="00BB3C61" w:rsidP="000A1EA9">
            <w:pPr>
              <w:pStyle w:val="Tabelltekst"/>
              <w:jc w:val="center"/>
              <w:rPr>
                <w:sz w:val="20"/>
              </w:rPr>
            </w:pPr>
            <w:r w:rsidRPr="00777AF3">
              <w:rPr>
                <w:sz w:val="20"/>
              </w:rPr>
              <w:t>NHO-bedrifter i industrien</w:t>
            </w:r>
          </w:p>
        </w:tc>
        <w:tc>
          <w:tcPr>
            <w:tcW w:w="479" w:type="pct"/>
            <w:tcBorders>
              <w:top w:val="single" w:sz="4" w:space="0" w:color="auto"/>
            </w:tcBorders>
            <w:vAlign w:val="bottom"/>
          </w:tcPr>
          <w:p w14:paraId="4B35841F" w14:textId="77777777" w:rsidR="00BB3C61" w:rsidRPr="00777AF3" w:rsidRDefault="00BB3C61" w:rsidP="000A1EA9">
            <w:pPr>
              <w:pStyle w:val="Tabelltekst"/>
              <w:jc w:val="center"/>
              <w:rPr>
                <w:sz w:val="20"/>
              </w:rPr>
            </w:pPr>
          </w:p>
        </w:tc>
        <w:tc>
          <w:tcPr>
            <w:tcW w:w="345" w:type="pct"/>
            <w:tcBorders>
              <w:top w:val="single" w:sz="4" w:space="0" w:color="auto"/>
            </w:tcBorders>
          </w:tcPr>
          <w:p w14:paraId="5F1A70DA" w14:textId="77777777" w:rsidR="00BB3C61" w:rsidRPr="00777AF3" w:rsidRDefault="00BB3C61" w:rsidP="000A1EA9">
            <w:pPr>
              <w:pStyle w:val="Tabelltekst"/>
              <w:jc w:val="center"/>
              <w:rPr>
                <w:sz w:val="20"/>
              </w:rPr>
            </w:pPr>
          </w:p>
        </w:tc>
        <w:tc>
          <w:tcPr>
            <w:tcW w:w="690" w:type="pct"/>
            <w:gridSpan w:val="2"/>
            <w:tcBorders>
              <w:top w:val="single" w:sz="4" w:space="0" w:color="auto"/>
            </w:tcBorders>
            <w:vAlign w:val="bottom"/>
          </w:tcPr>
          <w:p w14:paraId="14684200" w14:textId="77777777" w:rsidR="00BB3C61" w:rsidRPr="00777AF3" w:rsidRDefault="00BB3C61" w:rsidP="000A1EA9">
            <w:pPr>
              <w:pStyle w:val="Tabelltekst"/>
              <w:jc w:val="center"/>
              <w:rPr>
                <w:sz w:val="20"/>
              </w:rPr>
            </w:pPr>
          </w:p>
        </w:tc>
        <w:tc>
          <w:tcPr>
            <w:tcW w:w="1290" w:type="pct"/>
            <w:gridSpan w:val="3"/>
            <w:tcBorders>
              <w:top w:val="single" w:sz="4" w:space="0" w:color="auto"/>
            </w:tcBorders>
            <w:vAlign w:val="bottom"/>
          </w:tcPr>
          <w:p w14:paraId="7EB8B591" w14:textId="77777777" w:rsidR="00BB3C61" w:rsidRPr="00777AF3" w:rsidRDefault="00BB3C61" w:rsidP="000A1EA9">
            <w:pPr>
              <w:pStyle w:val="Tabelltekst"/>
              <w:jc w:val="center"/>
              <w:rPr>
                <w:sz w:val="20"/>
              </w:rPr>
            </w:pPr>
            <w:r w:rsidRPr="00777AF3">
              <w:rPr>
                <w:sz w:val="20"/>
              </w:rPr>
              <w:t>Kommuneansatte</w:t>
            </w:r>
          </w:p>
        </w:tc>
        <w:tc>
          <w:tcPr>
            <w:tcW w:w="91" w:type="pct"/>
            <w:vMerge w:val="restart"/>
            <w:tcBorders>
              <w:top w:val="single" w:sz="4" w:space="0" w:color="auto"/>
            </w:tcBorders>
          </w:tcPr>
          <w:p w14:paraId="0F1A6507" w14:textId="77777777" w:rsidR="00BB3C61" w:rsidRPr="00777AF3" w:rsidRDefault="00BB3C61" w:rsidP="000A1EA9">
            <w:pPr>
              <w:pStyle w:val="Tabelltekst"/>
              <w:jc w:val="center"/>
              <w:rPr>
                <w:sz w:val="20"/>
              </w:rPr>
            </w:pPr>
          </w:p>
        </w:tc>
        <w:tc>
          <w:tcPr>
            <w:tcW w:w="666" w:type="pct"/>
            <w:gridSpan w:val="3"/>
            <w:tcBorders>
              <w:top w:val="single" w:sz="4" w:space="0" w:color="auto"/>
              <w:bottom w:val="single" w:sz="4" w:space="0" w:color="auto"/>
            </w:tcBorders>
            <w:vAlign w:val="bottom"/>
          </w:tcPr>
          <w:p w14:paraId="02A28002" w14:textId="77777777" w:rsidR="00BB3C61" w:rsidRPr="00777AF3" w:rsidRDefault="00BB3C61" w:rsidP="000A1EA9">
            <w:pPr>
              <w:pStyle w:val="Tabelltekst"/>
              <w:jc w:val="center"/>
              <w:rPr>
                <w:sz w:val="20"/>
              </w:rPr>
            </w:pPr>
            <w:r w:rsidRPr="00777AF3">
              <w:rPr>
                <w:sz w:val="20"/>
              </w:rPr>
              <w:t>Spekter-bedrifter</w:t>
            </w:r>
          </w:p>
        </w:tc>
      </w:tr>
      <w:tr w:rsidR="00975AD2" w:rsidRPr="00777AF3" w14:paraId="0D996793" w14:textId="77777777" w:rsidTr="00ED3B72">
        <w:trPr>
          <w:cantSplit/>
          <w:trHeight w:val="552"/>
          <w:jc w:val="right"/>
        </w:trPr>
        <w:tc>
          <w:tcPr>
            <w:tcW w:w="412" w:type="pct"/>
            <w:tcBorders>
              <w:bottom w:val="single" w:sz="4" w:space="0" w:color="auto"/>
            </w:tcBorders>
            <w:vAlign w:val="bottom"/>
          </w:tcPr>
          <w:p w14:paraId="678DB4EF" w14:textId="77777777" w:rsidR="00BB3C61" w:rsidRPr="00777AF3" w:rsidRDefault="00BB3C61" w:rsidP="000A1EA9">
            <w:pPr>
              <w:pStyle w:val="Tabelltekst"/>
              <w:ind w:left="397" w:hanging="397"/>
              <w:rPr>
                <w:sz w:val="20"/>
              </w:rPr>
            </w:pPr>
          </w:p>
        </w:tc>
        <w:tc>
          <w:tcPr>
            <w:tcW w:w="328" w:type="pct"/>
            <w:tcBorders>
              <w:top w:val="single" w:sz="4" w:space="0" w:color="auto"/>
              <w:bottom w:val="single" w:sz="4" w:space="0" w:color="auto"/>
            </w:tcBorders>
            <w:vAlign w:val="bottom"/>
          </w:tcPr>
          <w:p w14:paraId="42631841" w14:textId="77777777" w:rsidR="00BB3C61" w:rsidRPr="00777AF3" w:rsidRDefault="00BB3C61" w:rsidP="000A1EA9">
            <w:pPr>
              <w:pStyle w:val="Tabelltekst"/>
              <w:jc w:val="center"/>
              <w:rPr>
                <w:sz w:val="20"/>
              </w:rPr>
            </w:pPr>
            <w:r w:rsidRPr="00777AF3">
              <w:rPr>
                <w:sz w:val="20"/>
              </w:rPr>
              <w:t>Industri i alt</w:t>
            </w:r>
          </w:p>
        </w:tc>
        <w:tc>
          <w:tcPr>
            <w:tcW w:w="290" w:type="pct"/>
            <w:tcBorders>
              <w:top w:val="single" w:sz="4" w:space="0" w:color="auto"/>
              <w:bottom w:val="single" w:sz="4" w:space="0" w:color="auto"/>
            </w:tcBorders>
            <w:vAlign w:val="bottom"/>
          </w:tcPr>
          <w:p w14:paraId="6EA650E0" w14:textId="77777777" w:rsidR="00BB3C61" w:rsidRPr="00777AF3" w:rsidRDefault="00BB3C61" w:rsidP="000A1EA9">
            <w:pPr>
              <w:pStyle w:val="Tabelltekst"/>
              <w:jc w:val="center"/>
              <w:rPr>
                <w:sz w:val="20"/>
                <w:vertAlign w:val="superscript"/>
              </w:rPr>
            </w:pPr>
            <w:r w:rsidRPr="00777AF3">
              <w:rPr>
                <w:sz w:val="20"/>
              </w:rPr>
              <w:t>Industri-arbeidere</w:t>
            </w:r>
          </w:p>
        </w:tc>
        <w:tc>
          <w:tcPr>
            <w:tcW w:w="409" w:type="pct"/>
            <w:tcBorders>
              <w:top w:val="single" w:sz="4" w:space="0" w:color="auto"/>
              <w:bottom w:val="single" w:sz="4" w:space="0" w:color="auto"/>
            </w:tcBorders>
            <w:vAlign w:val="bottom"/>
          </w:tcPr>
          <w:p w14:paraId="7D79845A" w14:textId="77777777" w:rsidR="00BB3C61" w:rsidRPr="00777AF3" w:rsidRDefault="00BB3C61" w:rsidP="000A1EA9">
            <w:pPr>
              <w:pStyle w:val="Tabelltekst"/>
              <w:jc w:val="center"/>
              <w:rPr>
                <w:sz w:val="20"/>
              </w:rPr>
            </w:pPr>
            <w:r w:rsidRPr="00777AF3">
              <w:rPr>
                <w:sz w:val="20"/>
              </w:rPr>
              <w:t>Industri-funksjonærer</w:t>
            </w:r>
          </w:p>
        </w:tc>
        <w:tc>
          <w:tcPr>
            <w:tcW w:w="479" w:type="pct"/>
            <w:tcBorders>
              <w:bottom w:val="single" w:sz="4" w:space="0" w:color="auto"/>
            </w:tcBorders>
            <w:vAlign w:val="bottom"/>
          </w:tcPr>
          <w:p w14:paraId="39D76EF3" w14:textId="6EE40860" w:rsidR="00BB3C61" w:rsidRPr="00777AF3" w:rsidRDefault="00BB3C61" w:rsidP="00ED3B72">
            <w:pPr>
              <w:pStyle w:val="Tabelltekst"/>
              <w:jc w:val="center"/>
              <w:rPr>
                <w:sz w:val="20"/>
              </w:rPr>
            </w:pPr>
            <w:r w:rsidRPr="00777AF3">
              <w:rPr>
                <w:sz w:val="20"/>
              </w:rPr>
              <w:t>Virkebedrifter i varehandel</w:t>
            </w:r>
            <w:r>
              <w:rPr>
                <w:sz w:val="20"/>
                <w:vertAlign w:val="superscript"/>
              </w:rPr>
              <w:t>1</w:t>
            </w:r>
          </w:p>
        </w:tc>
        <w:tc>
          <w:tcPr>
            <w:tcW w:w="345" w:type="pct"/>
            <w:tcBorders>
              <w:bottom w:val="single" w:sz="4" w:space="0" w:color="auto"/>
            </w:tcBorders>
            <w:vAlign w:val="bottom"/>
          </w:tcPr>
          <w:p w14:paraId="18C83CAB" w14:textId="77777777" w:rsidR="00BB3C61" w:rsidRPr="00777AF3" w:rsidRDefault="00BB3C61" w:rsidP="000A1EA9">
            <w:pPr>
              <w:pStyle w:val="Tabelltekst"/>
              <w:jc w:val="center"/>
              <w:rPr>
                <w:sz w:val="20"/>
              </w:rPr>
            </w:pPr>
            <w:r w:rsidRPr="00777AF3">
              <w:rPr>
                <w:sz w:val="20"/>
              </w:rPr>
              <w:t>Finans</w:t>
            </w:r>
            <w:r>
              <w:rPr>
                <w:sz w:val="20"/>
              </w:rPr>
              <w:t>-</w:t>
            </w:r>
            <w:r w:rsidRPr="00777AF3">
              <w:rPr>
                <w:sz w:val="20"/>
              </w:rPr>
              <w:t>tjenester</w:t>
            </w:r>
            <w:r>
              <w:rPr>
                <w:sz w:val="20"/>
                <w:vertAlign w:val="superscript"/>
              </w:rPr>
              <w:t>2</w:t>
            </w:r>
          </w:p>
        </w:tc>
        <w:tc>
          <w:tcPr>
            <w:tcW w:w="394" w:type="pct"/>
            <w:tcBorders>
              <w:bottom w:val="single" w:sz="4" w:space="0" w:color="auto"/>
            </w:tcBorders>
            <w:vAlign w:val="bottom"/>
          </w:tcPr>
          <w:p w14:paraId="54CC1E2C" w14:textId="77777777" w:rsidR="00BB3C61" w:rsidRPr="00777AF3" w:rsidRDefault="00BB3C61" w:rsidP="000A1EA9">
            <w:pPr>
              <w:pStyle w:val="Tabelltekst"/>
              <w:jc w:val="center"/>
              <w:rPr>
                <w:sz w:val="20"/>
              </w:rPr>
            </w:pPr>
            <w:r>
              <w:rPr>
                <w:sz w:val="20"/>
              </w:rPr>
              <w:t>Offentlig forvaltning</w:t>
            </w:r>
            <w:r w:rsidRPr="00A97533">
              <w:rPr>
                <w:sz w:val="20"/>
                <w:vertAlign w:val="superscript"/>
              </w:rPr>
              <w:t>3</w:t>
            </w:r>
          </w:p>
        </w:tc>
        <w:tc>
          <w:tcPr>
            <w:tcW w:w="296" w:type="pct"/>
            <w:tcBorders>
              <w:bottom w:val="single" w:sz="4" w:space="0" w:color="auto"/>
            </w:tcBorders>
            <w:vAlign w:val="bottom"/>
          </w:tcPr>
          <w:p w14:paraId="35AE64B6" w14:textId="371B5C9D" w:rsidR="00BB3C61" w:rsidRPr="00777AF3" w:rsidRDefault="00BB3C61" w:rsidP="000A1EA9">
            <w:pPr>
              <w:pStyle w:val="Tabelltekst"/>
              <w:jc w:val="center"/>
              <w:rPr>
                <w:sz w:val="20"/>
              </w:rPr>
            </w:pPr>
            <w:r w:rsidRPr="00777AF3">
              <w:rPr>
                <w:sz w:val="20"/>
              </w:rPr>
              <w:t>Stats</w:t>
            </w:r>
            <w:r w:rsidR="00ED3B72">
              <w:rPr>
                <w:sz w:val="20"/>
              </w:rPr>
              <w:t>-</w:t>
            </w:r>
            <w:r w:rsidRPr="00777AF3">
              <w:rPr>
                <w:sz w:val="20"/>
              </w:rPr>
              <w:t>ansatte</w:t>
            </w:r>
            <w:r>
              <w:rPr>
                <w:color w:val="auto"/>
                <w:sz w:val="20"/>
                <w:vertAlign w:val="superscript"/>
              </w:rPr>
              <w:t>4</w:t>
            </w:r>
          </w:p>
        </w:tc>
        <w:tc>
          <w:tcPr>
            <w:tcW w:w="507" w:type="pct"/>
            <w:tcBorders>
              <w:top w:val="single" w:sz="4" w:space="0" w:color="auto"/>
              <w:bottom w:val="single" w:sz="4" w:space="0" w:color="auto"/>
            </w:tcBorders>
            <w:vAlign w:val="bottom"/>
          </w:tcPr>
          <w:p w14:paraId="7E5A7514" w14:textId="77777777" w:rsidR="00BB3C61" w:rsidRPr="00777AF3" w:rsidRDefault="00BB3C61" w:rsidP="000A1EA9">
            <w:pPr>
              <w:pStyle w:val="Tabelltekst"/>
              <w:jc w:val="center"/>
              <w:rPr>
                <w:sz w:val="20"/>
                <w:vertAlign w:val="superscript"/>
              </w:rPr>
            </w:pPr>
            <w:r w:rsidRPr="00777AF3">
              <w:rPr>
                <w:sz w:val="20"/>
              </w:rPr>
              <w:t>Kommuneansatte i alt</w:t>
            </w:r>
            <w:r>
              <w:rPr>
                <w:sz w:val="20"/>
                <w:vertAlign w:val="superscript"/>
              </w:rPr>
              <w:t>5</w:t>
            </w:r>
          </w:p>
        </w:tc>
        <w:tc>
          <w:tcPr>
            <w:tcW w:w="452" w:type="pct"/>
            <w:tcBorders>
              <w:top w:val="single" w:sz="4" w:space="0" w:color="auto"/>
              <w:bottom w:val="single" w:sz="4" w:space="0" w:color="auto"/>
            </w:tcBorders>
            <w:vAlign w:val="bottom"/>
          </w:tcPr>
          <w:p w14:paraId="6F4A6DBC" w14:textId="7197FADC" w:rsidR="00BB3C61" w:rsidRPr="00777AF3" w:rsidRDefault="00BB3C61" w:rsidP="00901A80">
            <w:pPr>
              <w:pStyle w:val="Tabelltekst"/>
              <w:jc w:val="center"/>
              <w:rPr>
                <w:sz w:val="20"/>
              </w:rPr>
            </w:pPr>
            <w:r w:rsidRPr="00777AF3">
              <w:rPr>
                <w:sz w:val="20"/>
              </w:rPr>
              <w:t>Undervisnings-</w:t>
            </w:r>
            <w:r w:rsidR="00975AD2">
              <w:rPr>
                <w:sz w:val="20"/>
              </w:rPr>
              <w:t>ansatte</w:t>
            </w:r>
          </w:p>
        </w:tc>
        <w:tc>
          <w:tcPr>
            <w:tcW w:w="331" w:type="pct"/>
            <w:tcBorders>
              <w:top w:val="single" w:sz="4" w:space="0" w:color="auto"/>
              <w:bottom w:val="single" w:sz="4" w:space="0" w:color="auto"/>
            </w:tcBorders>
            <w:vAlign w:val="bottom"/>
          </w:tcPr>
          <w:p w14:paraId="1560ADAD" w14:textId="77777777" w:rsidR="00BB3C61" w:rsidRPr="00777AF3" w:rsidRDefault="00BB3C61" w:rsidP="000A1EA9">
            <w:pPr>
              <w:pStyle w:val="Tabelltekst"/>
              <w:jc w:val="center"/>
              <w:rPr>
                <w:sz w:val="20"/>
              </w:rPr>
            </w:pPr>
            <w:r>
              <w:rPr>
                <w:sz w:val="20"/>
              </w:rPr>
              <w:t xml:space="preserve">Øvrige ansatte </w:t>
            </w:r>
          </w:p>
        </w:tc>
        <w:tc>
          <w:tcPr>
            <w:tcW w:w="91" w:type="pct"/>
            <w:vMerge/>
            <w:tcBorders>
              <w:bottom w:val="single" w:sz="4" w:space="0" w:color="auto"/>
            </w:tcBorders>
          </w:tcPr>
          <w:p w14:paraId="38F37A60" w14:textId="77777777" w:rsidR="00BB3C61" w:rsidRPr="00777AF3" w:rsidRDefault="00BB3C61" w:rsidP="000A1EA9">
            <w:pPr>
              <w:pStyle w:val="Tabelltekst"/>
              <w:jc w:val="center"/>
              <w:rPr>
                <w:sz w:val="20"/>
              </w:rPr>
            </w:pPr>
          </w:p>
        </w:tc>
        <w:tc>
          <w:tcPr>
            <w:tcW w:w="378" w:type="pct"/>
            <w:tcBorders>
              <w:top w:val="single" w:sz="4" w:space="0" w:color="auto"/>
              <w:bottom w:val="single" w:sz="4" w:space="0" w:color="auto"/>
            </w:tcBorders>
            <w:vAlign w:val="bottom"/>
          </w:tcPr>
          <w:p w14:paraId="6FAA7503" w14:textId="77777777" w:rsidR="00BB3C61" w:rsidRPr="00777AF3" w:rsidRDefault="00BB3C61" w:rsidP="000A1EA9">
            <w:pPr>
              <w:pStyle w:val="Tabelltekst"/>
              <w:jc w:val="center"/>
              <w:rPr>
                <w:sz w:val="20"/>
              </w:rPr>
            </w:pPr>
            <w:r w:rsidRPr="00777AF3">
              <w:rPr>
                <w:sz w:val="20"/>
              </w:rPr>
              <w:t>Helsefore-</w:t>
            </w:r>
          </w:p>
          <w:p w14:paraId="7957E082" w14:textId="08B40E95" w:rsidR="00BB3C61" w:rsidRPr="00777AF3" w:rsidRDefault="0039399C" w:rsidP="000A1EA9">
            <w:pPr>
              <w:pStyle w:val="Tabelltekst"/>
              <w:jc w:val="center"/>
              <w:rPr>
                <w:sz w:val="20"/>
              </w:rPr>
            </w:pPr>
            <w:r>
              <w:rPr>
                <w:sz w:val="20"/>
              </w:rPr>
              <w:t>t</w:t>
            </w:r>
            <w:r w:rsidR="00BB3C61" w:rsidRPr="00777AF3">
              <w:rPr>
                <w:sz w:val="20"/>
              </w:rPr>
              <w:t>akene</w:t>
            </w:r>
            <w:r w:rsidR="00901A80">
              <w:rPr>
                <w:sz w:val="20"/>
                <w:vertAlign w:val="superscript"/>
              </w:rPr>
              <w:t>7</w:t>
            </w:r>
          </w:p>
        </w:tc>
        <w:tc>
          <w:tcPr>
            <w:tcW w:w="288" w:type="pct"/>
            <w:gridSpan w:val="2"/>
            <w:tcBorders>
              <w:top w:val="single" w:sz="4" w:space="0" w:color="auto"/>
              <w:bottom w:val="single" w:sz="4" w:space="0" w:color="auto"/>
            </w:tcBorders>
            <w:vAlign w:val="bottom"/>
          </w:tcPr>
          <w:p w14:paraId="3B4CD523" w14:textId="77777777" w:rsidR="00BB3C61" w:rsidRPr="00777AF3" w:rsidRDefault="00BB3C61" w:rsidP="000A1EA9">
            <w:pPr>
              <w:pStyle w:val="Tabelltekst"/>
              <w:jc w:val="center"/>
              <w:rPr>
                <w:sz w:val="20"/>
              </w:rPr>
            </w:pPr>
            <w:r w:rsidRPr="00777AF3">
              <w:rPr>
                <w:sz w:val="20"/>
              </w:rPr>
              <w:t>Øvrige bedrifter</w:t>
            </w:r>
          </w:p>
        </w:tc>
      </w:tr>
      <w:tr w:rsidR="00975AD2" w:rsidRPr="00777AF3" w14:paraId="181E4DFE" w14:textId="77777777" w:rsidTr="00ED3B72">
        <w:trPr>
          <w:cantSplit/>
          <w:trHeight w:val="244"/>
          <w:jc w:val="right"/>
        </w:trPr>
        <w:tc>
          <w:tcPr>
            <w:tcW w:w="412" w:type="pct"/>
            <w:vAlign w:val="bottom"/>
          </w:tcPr>
          <w:p w14:paraId="51272D4C" w14:textId="77777777" w:rsidR="00BB3C61" w:rsidRPr="00777AF3" w:rsidRDefault="00BB3C61" w:rsidP="000A1EA9">
            <w:pPr>
              <w:pStyle w:val="Tabelltekst"/>
              <w:rPr>
                <w:sz w:val="20"/>
              </w:rPr>
            </w:pPr>
            <w:r w:rsidRPr="00777AF3">
              <w:rPr>
                <w:sz w:val="20"/>
              </w:rPr>
              <w:t>2006</w:t>
            </w:r>
          </w:p>
        </w:tc>
        <w:tc>
          <w:tcPr>
            <w:tcW w:w="328" w:type="pct"/>
            <w:vAlign w:val="bottom"/>
          </w:tcPr>
          <w:p w14:paraId="67018D9B" w14:textId="77777777" w:rsidR="00BB3C61" w:rsidRPr="00777AF3" w:rsidRDefault="00BB3C61" w:rsidP="000A1EA9">
            <w:pPr>
              <w:pStyle w:val="Tabelltekst"/>
              <w:jc w:val="center"/>
              <w:rPr>
                <w:snapToGrid w:val="0"/>
                <w:sz w:val="20"/>
              </w:rPr>
            </w:pPr>
            <w:r w:rsidRPr="00777AF3">
              <w:rPr>
                <w:snapToGrid w:val="0"/>
                <w:sz w:val="20"/>
              </w:rPr>
              <w:t>4,3</w:t>
            </w:r>
          </w:p>
        </w:tc>
        <w:tc>
          <w:tcPr>
            <w:tcW w:w="290" w:type="pct"/>
            <w:shd w:val="solid" w:color="FFFFFF" w:fill="auto"/>
            <w:vAlign w:val="bottom"/>
          </w:tcPr>
          <w:p w14:paraId="41A25AB6" w14:textId="77777777" w:rsidR="00BB3C61" w:rsidRPr="00777AF3" w:rsidRDefault="00BB3C61" w:rsidP="000A1EA9">
            <w:pPr>
              <w:pStyle w:val="Tabelltekst"/>
              <w:jc w:val="center"/>
              <w:rPr>
                <w:sz w:val="20"/>
              </w:rPr>
            </w:pPr>
            <w:r w:rsidRPr="00777AF3">
              <w:rPr>
                <w:sz w:val="20"/>
              </w:rPr>
              <w:t xml:space="preserve">3,6 </w:t>
            </w:r>
          </w:p>
        </w:tc>
        <w:tc>
          <w:tcPr>
            <w:tcW w:w="409" w:type="pct"/>
            <w:vAlign w:val="bottom"/>
          </w:tcPr>
          <w:p w14:paraId="0C7EC512" w14:textId="77777777" w:rsidR="00BB3C61" w:rsidRPr="00777AF3" w:rsidRDefault="00BB3C61" w:rsidP="000A1EA9">
            <w:pPr>
              <w:pStyle w:val="Tabelltekst"/>
              <w:jc w:val="center"/>
              <w:rPr>
                <w:sz w:val="20"/>
              </w:rPr>
            </w:pPr>
            <w:r w:rsidRPr="00777AF3">
              <w:rPr>
                <w:sz w:val="20"/>
              </w:rPr>
              <w:t xml:space="preserve">4,6 </w:t>
            </w:r>
          </w:p>
        </w:tc>
        <w:tc>
          <w:tcPr>
            <w:tcW w:w="479" w:type="pct"/>
            <w:vAlign w:val="bottom"/>
          </w:tcPr>
          <w:p w14:paraId="765B0BEB" w14:textId="77777777" w:rsidR="00BB3C61" w:rsidRPr="00777AF3" w:rsidRDefault="00BB3C61" w:rsidP="000A1EA9">
            <w:pPr>
              <w:pStyle w:val="Tabelltekst"/>
              <w:jc w:val="center"/>
              <w:rPr>
                <w:sz w:val="20"/>
              </w:rPr>
            </w:pPr>
            <w:r w:rsidRPr="00777AF3">
              <w:rPr>
                <w:sz w:val="20"/>
              </w:rPr>
              <w:t>4,2</w:t>
            </w:r>
          </w:p>
        </w:tc>
        <w:tc>
          <w:tcPr>
            <w:tcW w:w="345" w:type="pct"/>
            <w:vAlign w:val="bottom"/>
          </w:tcPr>
          <w:p w14:paraId="1DE5220C" w14:textId="77777777" w:rsidR="00BB3C61" w:rsidRPr="00777AF3" w:rsidRDefault="00BB3C61" w:rsidP="000A1EA9">
            <w:pPr>
              <w:pStyle w:val="Tabelltekst"/>
              <w:jc w:val="center"/>
              <w:rPr>
                <w:sz w:val="20"/>
              </w:rPr>
            </w:pPr>
            <w:r w:rsidRPr="00777AF3">
              <w:rPr>
                <w:sz w:val="20"/>
              </w:rPr>
              <w:t>5,6</w:t>
            </w:r>
          </w:p>
        </w:tc>
        <w:tc>
          <w:tcPr>
            <w:tcW w:w="394" w:type="pct"/>
          </w:tcPr>
          <w:p w14:paraId="7A57DA95" w14:textId="77777777" w:rsidR="00BB3C61" w:rsidRPr="00777AF3" w:rsidRDefault="00BB3C61" w:rsidP="000A1EA9">
            <w:pPr>
              <w:pStyle w:val="Tabelltekst"/>
              <w:jc w:val="center"/>
              <w:rPr>
                <w:sz w:val="20"/>
              </w:rPr>
            </w:pPr>
            <w:r>
              <w:rPr>
                <w:sz w:val="20"/>
              </w:rPr>
              <w:t>4,0</w:t>
            </w:r>
          </w:p>
        </w:tc>
        <w:tc>
          <w:tcPr>
            <w:tcW w:w="296" w:type="pct"/>
            <w:vAlign w:val="bottom"/>
          </w:tcPr>
          <w:p w14:paraId="17697720" w14:textId="77777777" w:rsidR="00BB3C61" w:rsidRPr="00777AF3" w:rsidRDefault="00BB3C61" w:rsidP="000A1EA9">
            <w:pPr>
              <w:pStyle w:val="Tabelltekst"/>
              <w:jc w:val="center"/>
              <w:rPr>
                <w:sz w:val="20"/>
              </w:rPr>
            </w:pPr>
            <w:r w:rsidRPr="00777AF3">
              <w:rPr>
                <w:sz w:val="20"/>
              </w:rPr>
              <w:t xml:space="preserve">4,5 </w:t>
            </w:r>
          </w:p>
        </w:tc>
        <w:tc>
          <w:tcPr>
            <w:tcW w:w="507" w:type="pct"/>
            <w:vAlign w:val="bottom"/>
          </w:tcPr>
          <w:p w14:paraId="440BB6CE" w14:textId="77777777" w:rsidR="00BB3C61" w:rsidRPr="00777AF3" w:rsidRDefault="00BB3C61" w:rsidP="000A1EA9">
            <w:pPr>
              <w:pStyle w:val="Tabelltekst"/>
              <w:jc w:val="center"/>
              <w:rPr>
                <w:sz w:val="20"/>
              </w:rPr>
            </w:pPr>
            <w:r w:rsidRPr="00777AF3">
              <w:rPr>
                <w:sz w:val="20"/>
              </w:rPr>
              <w:t>3,9</w:t>
            </w:r>
          </w:p>
        </w:tc>
        <w:tc>
          <w:tcPr>
            <w:tcW w:w="452" w:type="pct"/>
            <w:vAlign w:val="bottom"/>
          </w:tcPr>
          <w:p w14:paraId="1070CED0" w14:textId="77777777" w:rsidR="00BB3C61" w:rsidRPr="00777AF3" w:rsidRDefault="00BB3C61" w:rsidP="000A1EA9">
            <w:pPr>
              <w:pStyle w:val="Tabelltekst"/>
              <w:jc w:val="center"/>
              <w:rPr>
                <w:sz w:val="20"/>
              </w:rPr>
            </w:pPr>
            <w:r w:rsidRPr="00777AF3">
              <w:rPr>
                <w:sz w:val="20"/>
              </w:rPr>
              <w:t>2,6</w:t>
            </w:r>
          </w:p>
        </w:tc>
        <w:tc>
          <w:tcPr>
            <w:tcW w:w="331" w:type="pct"/>
          </w:tcPr>
          <w:p w14:paraId="52BAAA19" w14:textId="77777777" w:rsidR="00BB3C61" w:rsidRPr="00777AF3" w:rsidRDefault="00BB3C61" w:rsidP="000A1EA9">
            <w:pPr>
              <w:pStyle w:val="Tabelltekst"/>
              <w:jc w:val="center"/>
              <w:rPr>
                <w:sz w:val="20"/>
              </w:rPr>
            </w:pPr>
            <w:r>
              <w:rPr>
                <w:sz w:val="20"/>
              </w:rPr>
              <w:t>4,5</w:t>
            </w:r>
          </w:p>
        </w:tc>
        <w:tc>
          <w:tcPr>
            <w:tcW w:w="91" w:type="pct"/>
          </w:tcPr>
          <w:p w14:paraId="5E1C652F" w14:textId="77777777" w:rsidR="00BB3C61" w:rsidRPr="00777AF3" w:rsidRDefault="00BB3C61" w:rsidP="000A1EA9">
            <w:pPr>
              <w:pStyle w:val="Tabelltekst"/>
              <w:jc w:val="center"/>
              <w:rPr>
                <w:sz w:val="20"/>
              </w:rPr>
            </w:pPr>
          </w:p>
        </w:tc>
        <w:tc>
          <w:tcPr>
            <w:tcW w:w="378" w:type="pct"/>
            <w:vAlign w:val="bottom"/>
          </w:tcPr>
          <w:p w14:paraId="0262AFB1" w14:textId="77777777" w:rsidR="00BB3C61" w:rsidRPr="00777AF3" w:rsidRDefault="00BB3C61" w:rsidP="000A1EA9">
            <w:pPr>
              <w:pStyle w:val="Tabelltekst"/>
              <w:jc w:val="center"/>
              <w:rPr>
                <w:sz w:val="20"/>
              </w:rPr>
            </w:pPr>
            <w:r w:rsidRPr="00777AF3">
              <w:rPr>
                <w:sz w:val="20"/>
              </w:rPr>
              <w:t>3,7</w:t>
            </w:r>
          </w:p>
        </w:tc>
        <w:tc>
          <w:tcPr>
            <w:tcW w:w="288" w:type="pct"/>
            <w:gridSpan w:val="2"/>
            <w:vAlign w:val="bottom"/>
          </w:tcPr>
          <w:p w14:paraId="1EFAD732" w14:textId="77777777" w:rsidR="00BB3C61" w:rsidRPr="00777AF3" w:rsidRDefault="00BB3C61" w:rsidP="000A1EA9">
            <w:pPr>
              <w:pStyle w:val="Tabelltekst"/>
              <w:jc w:val="center"/>
              <w:rPr>
                <w:sz w:val="20"/>
              </w:rPr>
            </w:pPr>
            <w:r w:rsidRPr="00777AF3">
              <w:rPr>
                <w:sz w:val="20"/>
              </w:rPr>
              <w:t xml:space="preserve"> 4,8</w:t>
            </w:r>
          </w:p>
        </w:tc>
      </w:tr>
      <w:tr w:rsidR="00975AD2" w:rsidRPr="00777AF3" w14:paraId="77DFA12B" w14:textId="77777777" w:rsidTr="00ED3B72">
        <w:trPr>
          <w:cantSplit/>
          <w:trHeight w:val="244"/>
          <w:jc w:val="right"/>
        </w:trPr>
        <w:tc>
          <w:tcPr>
            <w:tcW w:w="412" w:type="pct"/>
            <w:vAlign w:val="bottom"/>
          </w:tcPr>
          <w:p w14:paraId="5DA2D5EC" w14:textId="77777777" w:rsidR="00BB3C61" w:rsidRPr="00777AF3" w:rsidRDefault="00BB3C61" w:rsidP="000A1EA9">
            <w:pPr>
              <w:pStyle w:val="Tabelltekst"/>
              <w:rPr>
                <w:sz w:val="20"/>
              </w:rPr>
            </w:pPr>
            <w:r w:rsidRPr="00777AF3">
              <w:rPr>
                <w:sz w:val="20"/>
              </w:rPr>
              <w:t>2007</w:t>
            </w:r>
          </w:p>
        </w:tc>
        <w:tc>
          <w:tcPr>
            <w:tcW w:w="328" w:type="pct"/>
            <w:vAlign w:val="bottom"/>
          </w:tcPr>
          <w:p w14:paraId="4AF5B7F8" w14:textId="77777777" w:rsidR="00BB3C61" w:rsidRPr="00777AF3" w:rsidRDefault="00BB3C61" w:rsidP="000A1EA9">
            <w:pPr>
              <w:pStyle w:val="Tabelltekst"/>
              <w:jc w:val="center"/>
              <w:rPr>
                <w:snapToGrid w:val="0"/>
                <w:sz w:val="20"/>
              </w:rPr>
            </w:pPr>
            <w:r w:rsidRPr="00777AF3">
              <w:rPr>
                <w:snapToGrid w:val="0"/>
                <w:sz w:val="20"/>
              </w:rPr>
              <w:t>5,3</w:t>
            </w:r>
          </w:p>
        </w:tc>
        <w:tc>
          <w:tcPr>
            <w:tcW w:w="290" w:type="pct"/>
            <w:shd w:val="solid" w:color="FFFFFF" w:fill="auto"/>
            <w:vAlign w:val="bottom"/>
          </w:tcPr>
          <w:p w14:paraId="4F9F7AE3" w14:textId="77777777" w:rsidR="00BB3C61" w:rsidRPr="00777AF3" w:rsidRDefault="00BB3C61" w:rsidP="000A1EA9">
            <w:pPr>
              <w:pStyle w:val="Tabelltekst"/>
              <w:jc w:val="center"/>
              <w:rPr>
                <w:sz w:val="20"/>
              </w:rPr>
            </w:pPr>
            <w:r w:rsidRPr="00777AF3">
              <w:rPr>
                <w:sz w:val="20"/>
              </w:rPr>
              <w:t xml:space="preserve">5,5 </w:t>
            </w:r>
          </w:p>
        </w:tc>
        <w:tc>
          <w:tcPr>
            <w:tcW w:w="409" w:type="pct"/>
            <w:vAlign w:val="bottom"/>
          </w:tcPr>
          <w:p w14:paraId="343A2F7B" w14:textId="77777777" w:rsidR="00BB3C61" w:rsidRPr="00777AF3" w:rsidRDefault="00BB3C61" w:rsidP="000A1EA9">
            <w:pPr>
              <w:pStyle w:val="Tabelltekst"/>
              <w:jc w:val="center"/>
              <w:rPr>
                <w:sz w:val="20"/>
              </w:rPr>
            </w:pPr>
            <w:r w:rsidRPr="00777AF3">
              <w:rPr>
                <w:sz w:val="20"/>
              </w:rPr>
              <w:t xml:space="preserve">5,7  </w:t>
            </w:r>
          </w:p>
        </w:tc>
        <w:tc>
          <w:tcPr>
            <w:tcW w:w="479" w:type="pct"/>
            <w:vAlign w:val="bottom"/>
          </w:tcPr>
          <w:p w14:paraId="373C536E" w14:textId="77777777" w:rsidR="00BB3C61" w:rsidRPr="00777AF3" w:rsidRDefault="00BB3C61" w:rsidP="000A1EA9">
            <w:pPr>
              <w:pStyle w:val="Tabelltekst"/>
              <w:jc w:val="center"/>
              <w:rPr>
                <w:sz w:val="20"/>
              </w:rPr>
            </w:pPr>
            <w:r w:rsidRPr="00777AF3">
              <w:rPr>
                <w:sz w:val="20"/>
              </w:rPr>
              <w:t>5,0</w:t>
            </w:r>
          </w:p>
        </w:tc>
        <w:tc>
          <w:tcPr>
            <w:tcW w:w="345" w:type="pct"/>
            <w:vAlign w:val="bottom"/>
          </w:tcPr>
          <w:p w14:paraId="20598352" w14:textId="77777777" w:rsidR="00BB3C61" w:rsidRPr="00777AF3" w:rsidRDefault="00BB3C61" w:rsidP="000A1EA9">
            <w:pPr>
              <w:pStyle w:val="Tabelltekst"/>
              <w:jc w:val="center"/>
              <w:rPr>
                <w:sz w:val="20"/>
              </w:rPr>
            </w:pPr>
            <w:r w:rsidRPr="00777AF3">
              <w:rPr>
                <w:sz w:val="20"/>
              </w:rPr>
              <w:t>5,2</w:t>
            </w:r>
          </w:p>
        </w:tc>
        <w:tc>
          <w:tcPr>
            <w:tcW w:w="394" w:type="pct"/>
          </w:tcPr>
          <w:p w14:paraId="250FAAE5" w14:textId="77777777" w:rsidR="00BB3C61" w:rsidRPr="00777AF3" w:rsidRDefault="00BB3C61" w:rsidP="000A1EA9">
            <w:pPr>
              <w:pStyle w:val="Tabelltekst"/>
              <w:jc w:val="center"/>
              <w:rPr>
                <w:sz w:val="20"/>
              </w:rPr>
            </w:pPr>
            <w:r>
              <w:rPr>
                <w:sz w:val="20"/>
              </w:rPr>
              <w:t>4,9</w:t>
            </w:r>
          </w:p>
        </w:tc>
        <w:tc>
          <w:tcPr>
            <w:tcW w:w="296" w:type="pct"/>
            <w:vAlign w:val="bottom"/>
          </w:tcPr>
          <w:p w14:paraId="651BDF51" w14:textId="77777777" w:rsidR="00BB3C61" w:rsidRPr="00777AF3" w:rsidRDefault="00BB3C61" w:rsidP="000A1EA9">
            <w:pPr>
              <w:pStyle w:val="Tabelltekst"/>
              <w:jc w:val="center"/>
              <w:rPr>
                <w:sz w:val="20"/>
              </w:rPr>
            </w:pPr>
            <w:r w:rsidRPr="00777AF3">
              <w:rPr>
                <w:sz w:val="20"/>
              </w:rPr>
              <w:t>5,1</w:t>
            </w:r>
          </w:p>
        </w:tc>
        <w:tc>
          <w:tcPr>
            <w:tcW w:w="507" w:type="pct"/>
            <w:vAlign w:val="bottom"/>
          </w:tcPr>
          <w:p w14:paraId="7953153E" w14:textId="77777777" w:rsidR="00BB3C61" w:rsidRPr="00777AF3" w:rsidRDefault="00BB3C61" w:rsidP="000A1EA9">
            <w:pPr>
              <w:pStyle w:val="Tabelltekst"/>
              <w:jc w:val="center"/>
              <w:rPr>
                <w:sz w:val="20"/>
              </w:rPr>
            </w:pPr>
            <w:r w:rsidRPr="00777AF3">
              <w:rPr>
                <w:sz w:val="20"/>
              </w:rPr>
              <w:t>4,8</w:t>
            </w:r>
          </w:p>
        </w:tc>
        <w:tc>
          <w:tcPr>
            <w:tcW w:w="452" w:type="pct"/>
            <w:vAlign w:val="bottom"/>
          </w:tcPr>
          <w:p w14:paraId="0362DE2B" w14:textId="77777777" w:rsidR="00BB3C61" w:rsidRPr="00777AF3" w:rsidRDefault="00BB3C61" w:rsidP="000A1EA9">
            <w:pPr>
              <w:pStyle w:val="Tabelltekst"/>
              <w:jc w:val="center"/>
              <w:rPr>
                <w:sz w:val="20"/>
              </w:rPr>
            </w:pPr>
            <w:r w:rsidRPr="00777AF3">
              <w:rPr>
                <w:sz w:val="20"/>
              </w:rPr>
              <w:t>3,6</w:t>
            </w:r>
          </w:p>
        </w:tc>
        <w:tc>
          <w:tcPr>
            <w:tcW w:w="331" w:type="pct"/>
          </w:tcPr>
          <w:p w14:paraId="02F1C7CE" w14:textId="77777777" w:rsidR="00BB3C61" w:rsidRPr="00777AF3" w:rsidRDefault="00BB3C61" w:rsidP="000A1EA9">
            <w:pPr>
              <w:pStyle w:val="Tabelltekst"/>
              <w:jc w:val="center"/>
              <w:rPr>
                <w:sz w:val="20"/>
              </w:rPr>
            </w:pPr>
            <w:r>
              <w:rPr>
                <w:sz w:val="20"/>
              </w:rPr>
              <w:t>5,3</w:t>
            </w:r>
          </w:p>
        </w:tc>
        <w:tc>
          <w:tcPr>
            <w:tcW w:w="91" w:type="pct"/>
          </w:tcPr>
          <w:p w14:paraId="108AD573" w14:textId="77777777" w:rsidR="00BB3C61" w:rsidRPr="00777AF3" w:rsidRDefault="00BB3C61" w:rsidP="000A1EA9">
            <w:pPr>
              <w:pStyle w:val="Tabelltekst"/>
              <w:jc w:val="center"/>
              <w:rPr>
                <w:sz w:val="20"/>
              </w:rPr>
            </w:pPr>
          </w:p>
        </w:tc>
        <w:tc>
          <w:tcPr>
            <w:tcW w:w="378" w:type="pct"/>
            <w:vAlign w:val="bottom"/>
          </w:tcPr>
          <w:p w14:paraId="392B4551" w14:textId="77777777" w:rsidR="00BB3C61" w:rsidRPr="00777AF3" w:rsidRDefault="00BB3C61" w:rsidP="000A1EA9">
            <w:pPr>
              <w:pStyle w:val="Tabelltekst"/>
              <w:jc w:val="center"/>
              <w:rPr>
                <w:sz w:val="20"/>
              </w:rPr>
            </w:pPr>
            <w:r w:rsidRPr="00777AF3">
              <w:rPr>
                <w:sz w:val="20"/>
              </w:rPr>
              <w:t>4,9</w:t>
            </w:r>
          </w:p>
        </w:tc>
        <w:tc>
          <w:tcPr>
            <w:tcW w:w="288" w:type="pct"/>
            <w:gridSpan w:val="2"/>
            <w:vAlign w:val="bottom"/>
          </w:tcPr>
          <w:p w14:paraId="4C0F092B" w14:textId="77777777" w:rsidR="00BB3C61" w:rsidRPr="00777AF3" w:rsidRDefault="00BB3C61" w:rsidP="000A1EA9">
            <w:pPr>
              <w:pStyle w:val="Tabelltekst"/>
              <w:jc w:val="center"/>
              <w:rPr>
                <w:sz w:val="20"/>
              </w:rPr>
            </w:pPr>
            <w:r w:rsidRPr="00777AF3">
              <w:rPr>
                <w:sz w:val="20"/>
              </w:rPr>
              <w:t>5,3</w:t>
            </w:r>
          </w:p>
        </w:tc>
      </w:tr>
      <w:tr w:rsidR="00975AD2" w:rsidRPr="00777AF3" w14:paraId="504E4C2F" w14:textId="77777777" w:rsidTr="00ED3B72">
        <w:trPr>
          <w:cantSplit/>
          <w:trHeight w:val="244"/>
          <w:jc w:val="right"/>
        </w:trPr>
        <w:tc>
          <w:tcPr>
            <w:tcW w:w="412" w:type="pct"/>
            <w:vAlign w:val="bottom"/>
          </w:tcPr>
          <w:p w14:paraId="5936D3B3" w14:textId="77777777" w:rsidR="00BB3C61" w:rsidRPr="00777AF3" w:rsidRDefault="00BB3C61" w:rsidP="000A1EA9">
            <w:pPr>
              <w:pStyle w:val="Tabelltekst"/>
              <w:rPr>
                <w:sz w:val="20"/>
              </w:rPr>
            </w:pPr>
            <w:r w:rsidRPr="00777AF3">
              <w:rPr>
                <w:sz w:val="20"/>
              </w:rPr>
              <w:t>2008</w:t>
            </w:r>
          </w:p>
        </w:tc>
        <w:tc>
          <w:tcPr>
            <w:tcW w:w="328" w:type="pct"/>
            <w:vAlign w:val="bottom"/>
          </w:tcPr>
          <w:p w14:paraId="27645538" w14:textId="77777777" w:rsidR="00BB3C61" w:rsidRPr="00777AF3" w:rsidRDefault="00BB3C61" w:rsidP="000A1EA9">
            <w:pPr>
              <w:pStyle w:val="Tabelltekst"/>
              <w:jc w:val="center"/>
              <w:rPr>
                <w:snapToGrid w:val="0"/>
                <w:sz w:val="20"/>
              </w:rPr>
            </w:pPr>
            <w:r w:rsidRPr="00777AF3">
              <w:rPr>
                <w:snapToGrid w:val="0"/>
                <w:sz w:val="20"/>
              </w:rPr>
              <w:t>6,1</w:t>
            </w:r>
          </w:p>
        </w:tc>
        <w:tc>
          <w:tcPr>
            <w:tcW w:w="290" w:type="pct"/>
            <w:shd w:val="solid" w:color="FFFFFF" w:fill="auto"/>
            <w:vAlign w:val="bottom"/>
          </w:tcPr>
          <w:p w14:paraId="4F25FAFE" w14:textId="77777777" w:rsidR="00BB3C61" w:rsidRPr="00777AF3" w:rsidRDefault="00BB3C61" w:rsidP="000A1EA9">
            <w:pPr>
              <w:pStyle w:val="Tabelltekst"/>
              <w:jc w:val="center"/>
              <w:rPr>
                <w:snapToGrid w:val="0"/>
                <w:sz w:val="20"/>
              </w:rPr>
            </w:pPr>
            <w:r w:rsidRPr="00777AF3">
              <w:rPr>
                <w:snapToGrid w:val="0"/>
                <w:sz w:val="20"/>
              </w:rPr>
              <w:t xml:space="preserve">5,7 </w:t>
            </w:r>
          </w:p>
        </w:tc>
        <w:tc>
          <w:tcPr>
            <w:tcW w:w="409" w:type="pct"/>
            <w:vAlign w:val="bottom"/>
          </w:tcPr>
          <w:p w14:paraId="7F1ABE35" w14:textId="77777777" w:rsidR="00BB3C61" w:rsidRPr="00777AF3" w:rsidRDefault="00BB3C61" w:rsidP="000A1EA9">
            <w:pPr>
              <w:pStyle w:val="Tabelltekst"/>
              <w:jc w:val="center"/>
              <w:rPr>
                <w:sz w:val="20"/>
              </w:rPr>
            </w:pPr>
            <w:r w:rsidRPr="00777AF3">
              <w:rPr>
                <w:sz w:val="20"/>
              </w:rPr>
              <w:t xml:space="preserve">6,3 </w:t>
            </w:r>
          </w:p>
        </w:tc>
        <w:tc>
          <w:tcPr>
            <w:tcW w:w="479" w:type="pct"/>
            <w:vAlign w:val="bottom"/>
          </w:tcPr>
          <w:p w14:paraId="3FFFF296" w14:textId="77777777" w:rsidR="00BB3C61" w:rsidRPr="00777AF3" w:rsidRDefault="00BB3C61" w:rsidP="000A1EA9">
            <w:pPr>
              <w:pStyle w:val="Tabelltekst"/>
              <w:jc w:val="center"/>
              <w:rPr>
                <w:sz w:val="20"/>
              </w:rPr>
            </w:pPr>
            <w:r w:rsidRPr="00777AF3">
              <w:rPr>
                <w:sz w:val="20"/>
              </w:rPr>
              <w:t>4,4</w:t>
            </w:r>
          </w:p>
        </w:tc>
        <w:tc>
          <w:tcPr>
            <w:tcW w:w="345" w:type="pct"/>
            <w:vAlign w:val="bottom"/>
          </w:tcPr>
          <w:p w14:paraId="590A3DBB" w14:textId="77777777" w:rsidR="00BB3C61" w:rsidRPr="00777AF3" w:rsidRDefault="00BB3C61" w:rsidP="000A1EA9">
            <w:pPr>
              <w:pStyle w:val="Tabelltekst"/>
              <w:jc w:val="center"/>
              <w:rPr>
                <w:sz w:val="20"/>
              </w:rPr>
            </w:pPr>
            <w:r w:rsidRPr="00777AF3">
              <w:rPr>
                <w:sz w:val="20"/>
              </w:rPr>
              <w:t>9,2</w:t>
            </w:r>
          </w:p>
        </w:tc>
        <w:tc>
          <w:tcPr>
            <w:tcW w:w="394" w:type="pct"/>
          </w:tcPr>
          <w:p w14:paraId="78EF1595" w14:textId="77777777" w:rsidR="00BB3C61" w:rsidRPr="00777AF3" w:rsidRDefault="00BB3C61" w:rsidP="000A1EA9">
            <w:pPr>
              <w:pStyle w:val="Tabelltekst"/>
              <w:jc w:val="center"/>
              <w:rPr>
                <w:sz w:val="20"/>
              </w:rPr>
            </w:pPr>
            <w:r>
              <w:rPr>
                <w:sz w:val="20"/>
              </w:rPr>
              <w:t>6,7</w:t>
            </w:r>
          </w:p>
        </w:tc>
        <w:tc>
          <w:tcPr>
            <w:tcW w:w="296" w:type="pct"/>
            <w:vAlign w:val="bottom"/>
          </w:tcPr>
          <w:p w14:paraId="071BEF7E" w14:textId="77777777" w:rsidR="00BB3C61" w:rsidRPr="00777AF3" w:rsidRDefault="00BB3C61" w:rsidP="000A1EA9">
            <w:pPr>
              <w:pStyle w:val="Tabelltekst"/>
              <w:jc w:val="center"/>
              <w:rPr>
                <w:sz w:val="20"/>
              </w:rPr>
            </w:pPr>
            <w:r w:rsidRPr="00777AF3">
              <w:rPr>
                <w:sz w:val="20"/>
              </w:rPr>
              <w:t>6,7</w:t>
            </w:r>
          </w:p>
        </w:tc>
        <w:tc>
          <w:tcPr>
            <w:tcW w:w="507" w:type="pct"/>
            <w:vAlign w:val="bottom"/>
          </w:tcPr>
          <w:p w14:paraId="55BF59B6" w14:textId="77777777" w:rsidR="00BB3C61" w:rsidRPr="00777AF3" w:rsidRDefault="00BB3C61" w:rsidP="000A1EA9">
            <w:pPr>
              <w:pStyle w:val="Tabelltekst"/>
              <w:jc w:val="center"/>
              <w:rPr>
                <w:sz w:val="20"/>
              </w:rPr>
            </w:pPr>
            <w:r w:rsidRPr="00777AF3">
              <w:rPr>
                <w:sz w:val="20"/>
              </w:rPr>
              <w:t xml:space="preserve">6,7 </w:t>
            </w:r>
          </w:p>
        </w:tc>
        <w:tc>
          <w:tcPr>
            <w:tcW w:w="452" w:type="pct"/>
            <w:vAlign w:val="bottom"/>
          </w:tcPr>
          <w:p w14:paraId="28E18A03" w14:textId="77777777" w:rsidR="00BB3C61" w:rsidRPr="00777AF3" w:rsidRDefault="00BB3C61" w:rsidP="000A1EA9">
            <w:pPr>
              <w:pStyle w:val="Tabelltekst"/>
              <w:jc w:val="center"/>
              <w:rPr>
                <w:sz w:val="20"/>
              </w:rPr>
            </w:pPr>
            <w:r w:rsidRPr="00777AF3">
              <w:rPr>
                <w:sz w:val="20"/>
              </w:rPr>
              <w:t xml:space="preserve">5,7 </w:t>
            </w:r>
          </w:p>
        </w:tc>
        <w:tc>
          <w:tcPr>
            <w:tcW w:w="331" w:type="pct"/>
          </w:tcPr>
          <w:p w14:paraId="6F786855" w14:textId="77777777" w:rsidR="00BB3C61" w:rsidRPr="00777AF3" w:rsidRDefault="00BB3C61" w:rsidP="000A1EA9">
            <w:pPr>
              <w:pStyle w:val="Tabelltekst"/>
              <w:jc w:val="center"/>
              <w:rPr>
                <w:sz w:val="20"/>
              </w:rPr>
            </w:pPr>
            <w:r>
              <w:rPr>
                <w:sz w:val="20"/>
              </w:rPr>
              <w:t>7,1</w:t>
            </w:r>
          </w:p>
        </w:tc>
        <w:tc>
          <w:tcPr>
            <w:tcW w:w="91" w:type="pct"/>
          </w:tcPr>
          <w:p w14:paraId="79477D83" w14:textId="77777777" w:rsidR="00BB3C61" w:rsidRPr="00777AF3" w:rsidRDefault="00BB3C61" w:rsidP="000A1EA9">
            <w:pPr>
              <w:pStyle w:val="Tabelltekst"/>
              <w:jc w:val="center"/>
              <w:rPr>
                <w:sz w:val="20"/>
              </w:rPr>
            </w:pPr>
          </w:p>
        </w:tc>
        <w:tc>
          <w:tcPr>
            <w:tcW w:w="378" w:type="pct"/>
            <w:vAlign w:val="bottom"/>
          </w:tcPr>
          <w:p w14:paraId="46A6F583" w14:textId="77777777" w:rsidR="00BB3C61" w:rsidRPr="00777AF3" w:rsidRDefault="00BB3C61" w:rsidP="000A1EA9">
            <w:pPr>
              <w:pStyle w:val="Tabelltekst"/>
              <w:jc w:val="center"/>
              <w:rPr>
                <w:sz w:val="20"/>
              </w:rPr>
            </w:pPr>
            <w:r w:rsidRPr="00777AF3">
              <w:rPr>
                <w:sz w:val="20"/>
              </w:rPr>
              <w:t>6,5</w:t>
            </w:r>
          </w:p>
        </w:tc>
        <w:tc>
          <w:tcPr>
            <w:tcW w:w="288" w:type="pct"/>
            <w:gridSpan w:val="2"/>
            <w:vAlign w:val="bottom"/>
          </w:tcPr>
          <w:p w14:paraId="0E25843A" w14:textId="77777777" w:rsidR="00BB3C61" w:rsidRPr="00777AF3" w:rsidRDefault="00BB3C61" w:rsidP="000A1EA9">
            <w:pPr>
              <w:pStyle w:val="Tabelltekst"/>
              <w:jc w:val="center"/>
              <w:rPr>
                <w:sz w:val="20"/>
              </w:rPr>
            </w:pPr>
            <w:r w:rsidRPr="00777AF3">
              <w:rPr>
                <w:sz w:val="20"/>
              </w:rPr>
              <w:t xml:space="preserve">6,2 </w:t>
            </w:r>
          </w:p>
        </w:tc>
      </w:tr>
      <w:tr w:rsidR="00975AD2" w:rsidRPr="00777AF3" w14:paraId="3EFFD91A" w14:textId="77777777" w:rsidTr="00ED3B72">
        <w:trPr>
          <w:cantSplit/>
          <w:trHeight w:val="244"/>
          <w:jc w:val="right"/>
        </w:trPr>
        <w:tc>
          <w:tcPr>
            <w:tcW w:w="412" w:type="pct"/>
            <w:vAlign w:val="bottom"/>
          </w:tcPr>
          <w:p w14:paraId="66CD79DE" w14:textId="77777777" w:rsidR="00BB3C61" w:rsidRPr="00777AF3" w:rsidRDefault="00BB3C61" w:rsidP="000A1EA9">
            <w:pPr>
              <w:pStyle w:val="Tabelltekst"/>
              <w:rPr>
                <w:sz w:val="20"/>
              </w:rPr>
            </w:pPr>
            <w:r w:rsidRPr="00777AF3">
              <w:rPr>
                <w:sz w:val="20"/>
              </w:rPr>
              <w:t>2009</w:t>
            </w:r>
          </w:p>
        </w:tc>
        <w:tc>
          <w:tcPr>
            <w:tcW w:w="328" w:type="pct"/>
            <w:vAlign w:val="bottom"/>
          </w:tcPr>
          <w:p w14:paraId="73C92ED5" w14:textId="349180CB" w:rsidR="00BB3C61" w:rsidRPr="00777AF3" w:rsidRDefault="00BB3C61" w:rsidP="000A1EA9">
            <w:pPr>
              <w:pStyle w:val="Tabelltekst"/>
              <w:jc w:val="center"/>
              <w:rPr>
                <w:snapToGrid w:val="0"/>
                <w:sz w:val="20"/>
                <w:vertAlign w:val="superscript"/>
              </w:rPr>
            </w:pPr>
            <w:r w:rsidRPr="00777AF3">
              <w:rPr>
                <w:snapToGrid w:val="0"/>
                <w:sz w:val="20"/>
              </w:rPr>
              <w:t>4,2</w:t>
            </w:r>
            <w:r w:rsidR="00901A80">
              <w:rPr>
                <w:snapToGrid w:val="0"/>
                <w:sz w:val="20"/>
                <w:vertAlign w:val="superscript"/>
              </w:rPr>
              <w:t>8</w:t>
            </w:r>
          </w:p>
        </w:tc>
        <w:tc>
          <w:tcPr>
            <w:tcW w:w="290" w:type="pct"/>
            <w:shd w:val="solid" w:color="FFFFFF" w:fill="auto"/>
            <w:vAlign w:val="bottom"/>
          </w:tcPr>
          <w:p w14:paraId="0816A4E2" w14:textId="4D06BE64" w:rsidR="00BB3C61" w:rsidRPr="00777AF3" w:rsidRDefault="00BB3C61" w:rsidP="000A1EA9">
            <w:pPr>
              <w:pStyle w:val="Tabelltekst"/>
              <w:jc w:val="center"/>
              <w:rPr>
                <w:snapToGrid w:val="0"/>
                <w:sz w:val="20"/>
              </w:rPr>
            </w:pPr>
            <w:r w:rsidRPr="00777AF3">
              <w:rPr>
                <w:snapToGrid w:val="0"/>
                <w:sz w:val="20"/>
              </w:rPr>
              <w:t>3,9</w:t>
            </w:r>
            <w:r w:rsidR="00901A80">
              <w:rPr>
                <w:snapToGrid w:val="0"/>
                <w:sz w:val="20"/>
                <w:vertAlign w:val="superscript"/>
              </w:rPr>
              <w:t>8</w:t>
            </w:r>
          </w:p>
        </w:tc>
        <w:tc>
          <w:tcPr>
            <w:tcW w:w="409" w:type="pct"/>
            <w:vAlign w:val="bottom"/>
          </w:tcPr>
          <w:p w14:paraId="67C01D2F" w14:textId="16C2E995" w:rsidR="00BB3C61" w:rsidRPr="00777AF3" w:rsidRDefault="00BB3C61" w:rsidP="000A1EA9">
            <w:pPr>
              <w:pStyle w:val="Tabelltekst"/>
              <w:jc w:val="center"/>
              <w:rPr>
                <w:sz w:val="20"/>
              </w:rPr>
            </w:pPr>
            <w:r w:rsidRPr="00777AF3">
              <w:rPr>
                <w:snapToGrid w:val="0"/>
                <w:sz w:val="20"/>
              </w:rPr>
              <w:t>4,5</w:t>
            </w:r>
            <w:r w:rsidR="00901A80">
              <w:rPr>
                <w:snapToGrid w:val="0"/>
                <w:sz w:val="20"/>
                <w:vertAlign w:val="superscript"/>
              </w:rPr>
              <w:t>8</w:t>
            </w:r>
          </w:p>
        </w:tc>
        <w:tc>
          <w:tcPr>
            <w:tcW w:w="479" w:type="pct"/>
            <w:vAlign w:val="bottom"/>
          </w:tcPr>
          <w:p w14:paraId="502C7EEC" w14:textId="4E87B825" w:rsidR="00BB3C61" w:rsidRPr="00777AF3" w:rsidRDefault="00BB3C61" w:rsidP="000A1EA9">
            <w:pPr>
              <w:pStyle w:val="Tabelltekst"/>
              <w:jc w:val="center"/>
              <w:rPr>
                <w:sz w:val="20"/>
              </w:rPr>
            </w:pPr>
            <w:r w:rsidRPr="00777AF3">
              <w:rPr>
                <w:snapToGrid w:val="0"/>
                <w:sz w:val="20"/>
              </w:rPr>
              <w:t>1,8</w:t>
            </w:r>
            <w:r w:rsidR="00901A80">
              <w:rPr>
                <w:snapToGrid w:val="0"/>
                <w:sz w:val="20"/>
                <w:vertAlign w:val="superscript"/>
              </w:rPr>
              <w:t>8</w:t>
            </w:r>
          </w:p>
        </w:tc>
        <w:tc>
          <w:tcPr>
            <w:tcW w:w="345" w:type="pct"/>
            <w:vAlign w:val="bottom"/>
          </w:tcPr>
          <w:p w14:paraId="560DFE52" w14:textId="47B03410" w:rsidR="00BB3C61" w:rsidRPr="00777AF3" w:rsidRDefault="00BB3C61" w:rsidP="000A1EA9">
            <w:pPr>
              <w:pStyle w:val="Tabelltekst"/>
              <w:jc w:val="center"/>
              <w:rPr>
                <w:sz w:val="20"/>
              </w:rPr>
            </w:pPr>
            <w:r w:rsidRPr="00777AF3">
              <w:rPr>
                <w:sz w:val="20"/>
              </w:rPr>
              <w:t>0,4</w:t>
            </w:r>
            <w:r w:rsidR="00901A80">
              <w:rPr>
                <w:snapToGrid w:val="0"/>
                <w:sz w:val="20"/>
                <w:vertAlign w:val="superscript"/>
              </w:rPr>
              <w:t>8</w:t>
            </w:r>
          </w:p>
        </w:tc>
        <w:tc>
          <w:tcPr>
            <w:tcW w:w="394" w:type="pct"/>
          </w:tcPr>
          <w:p w14:paraId="71E280C7" w14:textId="77777777" w:rsidR="00BB3C61" w:rsidRPr="00777AF3" w:rsidRDefault="00BB3C61" w:rsidP="000A1EA9">
            <w:pPr>
              <w:pStyle w:val="Tabelltekst"/>
              <w:jc w:val="center"/>
              <w:rPr>
                <w:sz w:val="20"/>
              </w:rPr>
            </w:pPr>
            <w:r>
              <w:rPr>
                <w:sz w:val="20"/>
              </w:rPr>
              <w:t>4,6</w:t>
            </w:r>
          </w:p>
        </w:tc>
        <w:tc>
          <w:tcPr>
            <w:tcW w:w="296" w:type="pct"/>
            <w:vAlign w:val="bottom"/>
          </w:tcPr>
          <w:p w14:paraId="19734F33" w14:textId="77777777" w:rsidR="00BB3C61" w:rsidRPr="00777AF3" w:rsidRDefault="00BB3C61" w:rsidP="000A1EA9">
            <w:pPr>
              <w:pStyle w:val="Tabelltekst"/>
              <w:jc w:val="center"/>
              <w:rPr>
                <w:sz w:val="20"/>
              </w:rPr>
            </w:pPr>
            <w:r w:rsidRPr="00777AF3">
              <w:rPr>
                <w:sz w:val="20"/>
              </w:rPr>
              <w:t xml:space="preserve">4,4 </w:t>
            </w:r>
          </w:p>
        </w:tc>
        <w:tc>
          <w:tcPr>
            <w:tcW w:w="507" w:type="pct"/>
            <w:vAlign w:val="bottom"/>
          </w:tcPr>
          <w:p w14:paraId="77B22992" w14:textId="77777777" w:rsidR="00BB3C61" w:rsidRPr="00777AF3" w:rsidRDefault="00BB3C61" w:rsidP="000A1EA9">
            <w:pPr>
              <w:pStyle w:val="Tabelltekst"/>
              <w:jc w:val="center"/>
              <w:rPr>
                <w:sz w:val="20"/>
              </w:rPr>
            </w:pPr>
            <w:r w:rsidRPr="00777AF3">
              <w:rPr>
                <w:sz w:val="20"/>
              </w:rPr>
              <w:t xml:space="preserve">4,6 </w:t>
            </w:r>
          </w:p>
        </w:tc>
        <w:tc>
          <w:tcPr>
            <w:tcW w:w="452" w:type="pct"/>
            <w:vAlign w:val="bottom"/>
          </w:tcPr>
          <w:p w14:paraId="08F1C246" w14:textId="77777777" w:rsidR="00BB3C61" w:rsidRPr="00777AF3" w:rsidRDefault="00BB3C61" w:rsidP="000A1EA9">
            <w:pPr>
              <w:pStyle w:val="Tabelltekst"/>
              <w:jc w:val="center"/>
              <w:rPr>
                <w:sz w:val="20"/>
              </w:rPr>
            </w:pPr>
            <w:r w:rsidRPr="00777AF3">
              <w:rPr>
                <w:sz w:val="20"/>
              </w:rPr>
              <w:t>4,4</w:t>
            </w:r>
          </w:p>
        </w:tc>
        <w:tc>
          <w:tcPr>
            <w:tcW w:w="331" w:type="pct"/>
          </w:tcPr>
          <w:p w14:paraId="3DB6B133" w14:textId="77777777" w:rsidR="00BB3C61" w:rsidRPr="00777AF3" w:rsidRDefault="00BB3C61" w:rsidP="000A1EA9">
            <w:pPr>
              <w:pStyle w:val="Tabelltekst"/>
              <w:jc w:val="center"/>
              <w:rPr>
                <w:sz w:val="20"/>
              </w:rPr>
            </w:pPr>
            <w:r>
              <w:rPr>
                <w:sz w:val="20"/>
              </w:rPr>
              <w:t>4,7</w:t>
            </w:r>
          </w:p>
        </w:tc>
        <w:tc>
          <w:tcPr>
            <w:tcW w:w="91" w:type="pct"/>
          </w:tcPr>
          <w:p w14:paraId="24B8CD17" w14:textId="77777777" w:rsidR="00BB3C61" w:rsidRPr="00777AF3" w:rsidRDefault="00BB3C61" w:rsidP="000A1EA9">
            <w:pPr>
              <w:pStyle w:val="Tabelltekst"/>
              <w:jc w:val="center"/>
              <w:rPr>
                <w:sz w:val="20"/>
              </w:rPr>
            </w:pPr>
          </w:p>
        </w:tc>
        <w:tc>
          <w:tcPr>
            <w:tcW w:w="378" w:type="pct"/>
            <w:vAlign w:val="bottom"/>
          </w:tcPr>
          <w:p w14:paraId="60A0C3D8" w14:textId="77777777" w:rsidR="00BB3C61" w:rsidRPr="00777AF3" w:rsidRDefault="00BB3C61" w:rsidP="000A1EA9">
            <w:pPr>
              <w:pStyle w:val="Tabelltekst"/>
              <w:jc w:val="center"/>
              <w:rPr>
                <w:sz w:val="20"/>
              </w:rPr>
            </w:pPr>
            <w:r w:rsidRPr="00777AF3">
              <w:rPr>
                <w:sz w:val="20"/>
              </w:rPr>
              <w:t>5,1</w:t>
            </w:r>
          </w:p>
        </w:tc>
        <w:tc>
          <w:tcPr>
            <w:tcW w:w="288" w:type="pct"/>
            <w:gridSpan w:val="2"/>
            <w:vAlign w:val="bottom"/>
          </w:tcPr>
          <w:p w14:paraId="1286232B" w14:textId="77777777" w:rsidR="00BB3C61" w:rsidRPr="00777AF3" w:rsidRDefault="00BB3C61" w:rsidP="000A1EA9">
            <w:pPr>
              <w:pStyle w:val="Tabelltekst"/>
              <w:jc w:val="center"/>
              <w:rPr>
                <w:sz w:val="20"/>
              </w:rPr>
            </w:pPr>
            <w:r w:rsidRPr="00777AF3">
              <w:rPr>
                <w:sz w:val="20"/>
              </w:rPr>
              <w:t>4,0</w:t>
            </w:r>
          </w:p>
        </w:tc>
      </w:tr>
      <w:tr w:rsidR="00975AD2" w:rsidRPr="00777AF3" w14:paraId="1F46B712" w14:textId="77777777" w:rsidTr="00ED3B72">
        <w:trPr>
          <w:cantSplit/>
          <w:trHeight w:val="244"/>
          <w:jc w:val="right"/>
        </w:trPr>
        <w:tc>
          <w:tcPr>
            <w:tcW w:w="412" w:type="pct"/>
            <w:vAlign w:val="bottom"/>
          </w:tcPr>
          <w:p w14:paraId="783881EC" w14:textId="77777777" w:rsidR="00BB3C61" w:rsidRPr="00777AF3" w:rsidRDefault="00BB3C61" w:rsidP="000A1EA9">
            <w:pPr>
              <w:pStyle w:val="Tabelltekst"/>
              <w:rPr>
                <w:sz w:val="20"/>
              </w:rPr>
            </w:pPr>
            <w:r w:rsidRPr="00777AF3">
              <w:rPr>
                <w:sz w:val="20"/>
              </w:rPr>
              <w:t>2010</w:t>
            </w:r>
          </w:p>
        </w:tc>
        <w:tc>
          <w:tcPr>
            <w:tcW w:w="328" w:type="pct"/>
            <w:vAlign w:val="bottom"/>
          </w:tcPr>
          <w:p w14:paraId="2ADD45E1" w14:textId="77777777" w:rsidR="00BB3C61" w:rsidRPr="00777AF3" w:rsidRDefault="00BB3C61" w:rsidP="000A1EA9">
            <w:pPr>
              <w:pStyle w:val="Tabelltekst"/>
              <w:jc w:val="center"/>
              <w:rPr>
                <w:snapToGrid w:val="0"/>
                <w:sz w:val="20"/>
              </w:rPr>
            </w:pPr>
            <w:r w:rsidRPr="00777AF3">
              <w:rPr>
                <w:snapToGrid w:val="0"/>
                <w:sz w:val="20"/>
              </w:rPr>
              <w:t>4,1</w:t>
            </w:r>
          </w:p>
        </w:tc>
        <w:tc>
          <w:tcPr>
            <w:tcW w:w="290" w:type="pct"/>
            <w:shd w:val="solid" w:color="FFFFFF" w:fill="auto"/>
            <w:vAlign w:val="bottom"/>
          </w:tcPr>
          <w:p w14:paraId="05CE880E" w14:textId="77777777" w:rsidR="00BB3C61" w:rsidRPr="00777AF3" w:rsidRDefault="00BB3C61" w:rsidP="000A1EA9">
            <w:pPr>
              <w:pStyle w:val="Tabelltekst"/>
              <w:jc w:val="center"/>
              <w:rPr>
                <w:snapToGrid w:val="0"/>
                <w:sz w:val="20"/>
              </w:rPr>
            </w:pPr>
            <w:r w:rsidRPr="00777AF3">
              <w:rPr>
                <w:snapToGrid w:val="0"/>
                <w:sz w:val="20"/>
              </w:rPr>
              <w:t xml:space="preserve">3,6 </w:t>
            </w:r>
          </w:p>
        </w:tc>
        <w:tc>
          <w:tcPr>
            <w:tcW w:w="409" w:type="pct"/>
            <w:vAlign w:val="bottom"/>
          </w:tcPr>
          <w:p w14:paraId="5F464738" w14:textId="77777777" w:rsidR="00BB3C61" w:rsidRPr="00777AF3" w:rsidRDefault="00BB3C61" w:rsidP="000A1EA9">
            <w:pPr>
              <w:pStyle w:val="Tabelltekst"/>
              <w:jc w:val="center"/>
              <w:rPr>
                <w:snapToGrid w:val="0"/>
                <w:sz w:val="20"/>
              </w:rPr>
            </w:pPr>
            <w:r w:rsidRPr="00777AF3">
              <w:rPr>
                <w:snapToGrid w:val="0"/>
                <w:sz w:val="20"/>
              </w:rPr>
              <w:t xml:space="preserve">4,3 </w:t>
            </w:r>
          </w:p>
        </w:tc>
        <w:tc>
          <w:tcPr>
            <w:tcW w:w="479" w:type="pct"/>
            <w:vAlign w:val="bottom"/>
          </w:tcPr>
          <w:p w14:paraId="262709C9" w14:textId="77777777" w:rsidR="00BB3C61" w:rsidRPr="00777AF3" w:rsidRDefault="00BB3C61" w:rsidP="000A1EA9">
            <w:pPr>
              <w:pStyle w:val="Tabelltekst"/>
              <w:jc w:val="center"/>
              <w:rPr>
                <w:snapToGrid w:val="0"/>
                <w:sz w:val="20"/>
              </w:rPr>
            </w:pPr>
            <w:r w:rsidRPr="00777AF3">
              <w:rPr>
                <w:snapToGrid w:val="0"/>
                <w:sz w:val="20"/>
              </w:rPr>
              <w:t>3,6</w:t>
            </w:r>
          </w:p>
        </w:tc>
        <w:tc>
          <w:tcPr>
            <w:tcW w:w="345" w:type="pct"/>
            <w:vAlign w:val="bottom"/>
          </w:tcPr>
          <w:p w14:paraId="42AF20B6" w14:textId="77777777" w:rsidR="00BB3C61" w:rsidRPr="00777AF3" w:rsidRDefault="00BB3C61" w:rsidP="000A1EA9">
            <w:pPr>
              <w:pStyle w:val="Tabelltekst"/>
              <w:jc w:val="center"/>
              <w:rPr>
                <w:sz w:val="20"/>
              </w:rPr>
            </w:pPr>
            <w:r w:rsidRPr="00777AF3">
              <w:rPr>
                <w:sz w:val="20"/>
              </w:rPr>
              <w:t>5,9</w:t>
            </w:r>
          </w:p>
        </w:tc>
        <w:tc>
          <w:tcPr>
            <w:tcW w:w="394" w:type="pct"/>
          </w:tcPr>
          <w:p w14:paraId="5386C4E7" w14:textId="77777777" w:rsidR="00BB3C61" w:rsidRPr="00777AF3" w:rsidRDefault="00BB3C61" w:rsidP="000A1EA9">
            <w:pPr>
              <w:pStyle w:val="Tabelltekst"/>
              <w:jc w:val="center"/>
              <w:rPr>
                <w:sz w:val="20"/>
              </w:rPr>
            </w:pPr>
            <w:r>
              <w:rPr>
                <w:sz w:val="20"/>
              </w:rPr>
              <w:t>3,7</w:t>
            </w:r>
          </w:p>
        </w:tc>
        <w:tc>
          <w:tcPr>
            <w:tcW w:w="296" w:type="pct"/>
            <w:vAlign w:val="bottom"/>
          </w:tcPr>
          <w:p w14:paraId="743CA323" w14:textId="77777777" w:rsidR="00BB3C61" w:rsidRPr="00777AF3" w:rsidRDefault="00BB3C61" w:rsidP="000A1EA9">
            <w:pPr>
              <w:pStyle w:val="Tabelltekst"/>
              <w:jc w:val="center"/>
              <w:rPr>
                <w:sz w:val="20"/>
              </w:rPr>
            </w:pPr>
            <w:r w:rsidRPr="00777AF3">
              <w:rPr>
                <w:sz w:val="20"/>
              </w:rPr>
              <w:t>4,5</w:t>
            </w:r>
          </w:p>
        </w:tc>
        <w:tc>
          <w:tcPr>
            <w:tcW w:w="507" w:type="pct"/>
            <w:vAlign w:val="bottom"/>
          </w:tcPr>
          <w:p w14:paraId="554B7205" w14:textId="77777777" w:rsidR="00BB3C61" w:rsidRPr="00777AF3" w:rsidRDefault="00BB3C61" w:rsidP="000A1EA9">
            <w:pPr>
              <w:pStyle w:val="Tabelltekst"/>
              <w:jc w:val="center"/>
              <w:rPr>
                <w:sz w:val="20"/>
              </w:rPr>
            </w:pPr>
            <w:r w:rsidRPr="00777AF3">
              <w:rPr>
                <w:sz w:val="20"/>
              </w:rPr>
              <w:t xml:space="preserve">3,7 </w:t>
            </w:r>
          </w:p>
        </w:tc>
        <w:tc>
          <w:tcPr>
            <w:tcW w:w="452" w:type="pct"/>
            <w:vAlign w:val="bottom"/>
          </w:tcPr>
          <w:p w14:paraId="4A6210D8" w14:textId="77777777" w:rsidR="00BB3C61" w:rsidRPr="00777AF3" w:rsidRDefault="00BB3C61" w:rsidP="000A1EA9">
            <w:pPr>
              <w:pStyle w:val="Tabelltekst"/>
              <w:jc w:val="center"/>
              <w:rPr>
                <w:sz w:val="20"/>
              </w:rPr>
            </w:pPr>
            <w:r w:rsidRPr="00777AF3">
              <w:rPr>
                <w:sz w:val="20"/>
              </w:rPr>
              <w:t xml:space="preserve">3,6 </w:t>
            </w:r>
          </w:p>
        </w:tc>
        <w:tc>
          <w:tcPr>
            <w:tcW w:w="331" w:type="pct"/>
            <w:shd w:val="solid" w:color="FFFFFF" w:fill="auto"/>
          </w:tcPr>
          <w:p w14:paraId="2F2CFEF1" w14:textId="77777777" w:rsidR="00BB3C61" w:rsidRPr="00777AF3" w:rsidRDefault="00BB3C61" w:rsidP="000A1EA9">
            <w:pPr>
              <w:pStyle w:val="Tabelltekst"/>
              <w:jc w:val="center"/>
              <w:rPr>
                <w:sz w:val="20"/>
              </w:rPr>
            </w:pPr>
            <w:r>
              <w:rPr>
                <w:sz w:val="20"/>
              </w:rPr>
              <w:t>3,7</w:t>
            </w:r>
          </w:p>
        </w:tc>
        <w:tc>
          <w:tcPr>
            <w:tcW w:w="91" w:type="pct"/>
            <w:shd w:val="solid" w:color="FFFFFF" w:fill="auto"/>
          </w:tcPr>
          <w:p w14:paraId="6C3D4089" w14:textId="77777777" w:rsidR="00BB3C61" w:rsidRPr="00777AF3" w:rsidRDefault="00BB3C61" w:rsidP="000A1EA9">
            <w:pPr>
              <w:pStyle w:val="Tabelltekst"/>
              <w:jc w:val="center"/>
              <w:rPr>
                <w:sz w:val="20"/>
              </w:rPr>
            </w:pPr>
          </w:p>
        </w:tc>
        <w:tc>
          <w:tcPr>
            <w:tcW w:w="378" w:type="pct"/>
            <w:shd w:val="solid" w:color="FFFFFF" w:fill="auto"/>
            <w:vAlign w:val="bottom"/>
          </w:tcPr>
          <w:p w14:paraId="04E1B192" w14:textId="77777777" w:rsidR="00BB3C61" w:rsidRPr="00777AF3" w:rsidRDefault="00BB3C61" w:rsidP="000A1EA9">
            <w:pPr>
              <w:pStyle w:val="Tabelltekst"/>
              <w:jc w:val="center"/>
              <w:rPr>
                <w:sz w:val="20"/>
              </w:rPr>
            </w:pPr>
            <w:r w:rsidRPr="00777AF3">
              <w:rPr>
                <w:sz w:val="20"/>
              </w:rPr>
              <w:t>3,</w:t>
            </w:r>
            <w:r>
              <w:rPr>
                <w:sz w:val="20"/>
              </w:rPr>
              <w:t>5</w:t>
            </w:r>
          </w:p>
        </w:tc>
        <w:tc>
          <w:tcPr>
            <w:tcW w:w="288" w:type="pct"/>
            <w:gridSpan w:val="2"/>
            <w:shd w:val="solid" w:color="FFFFFF" w:fill="auto"/>
            <w:vAlign w:val="bottom"/>
          </w:tcPr>
          <w:p w14:paraId="6165F3CC" w14:textId="77777777" w:rsidR="00BB3C61" w:rsidRPr="00777AF3" w:rsidRDefault="00BB3C61" w:rsidP="000A1EA9">
            <w:pPr>
              <w:pStyle w:val="Tabelltekst"/>
              <w:jc w:val="center"/>
              <w:rPr>
                <w:sz w:val="20"/>
              </w:rPr>
            </w:pPr>
            <w:r w:rsidRPr="00777AF3">
              <w:rPr>
                <w:sz w:val="20"/>
              </w:rPr>
              <w:t xml:space="preserve">3,5 </w:t>
            </w:r>
          </w:p>
        </w:tc>
      </w:tr>
      <w:tr w:rsidR="00975AD2" w:rsidRPr="00777AF3" w14:paraId="77D7A158" w14:textId="77777777" w:rsidTr="00ED3B72">
        <w:trPr>
          <w:cantSplit/>
          <w:trHeight w:val="244"/>
          <w:jc w:val="right"/>
        </w:trPr>
        <w:tc>
          <w:tcPr>
            <w:tcW w:w="412" w:type="pct"/>
            <w:vAlign w:val="bottom"/>
          </w:tcPr>
          <w:p w14:paraId="76E9FED5" w14:textId="77777777" w:rsidR="00BB3C61" w:rsidRPr="00777AF3" w:rsidRDefault="00BB3C61" w:rsidP="000A1EA9">
            <w:pPr>
              <w:pStyle w:val="Tabelltekst"/>
              <w:rPr>
                <w:sz w:val="20"/>
              </w:rPr>
            </w:pPr>
            <w:r w:rsidRPr="00777AF3">
              <w:rPr>
                <w:sz w:val="20"/>
              </w:rPr>
              <w:t>2011</w:t>
            </w:r>
          </w:p>
        </w:tc>
        <w:tc>
          <w:tcPr>
            <w:tcW w:w="328" w:type="pct"/>
            <w:vAlign w:val="bottom"/>
          </w:tcPr>
          <w:p w14:paraId="09E234A8" w14:textId="77777777" w:rsidR="00BB3C61" w:rsidRPr="00777AF3" w:rsidRDefault="00BB3C61" w:rsidP="000A1EA9">
            <w:pPr>
              <w:pStyle w:val="Tabelltekst"/>
              <w:jc w:val="center"/>
              <w:rPr>
                <w:snapToGrid w:val="0"/>
                <w:sz w:val="20"/>
              </w:rPr>
            </w:pPr>
            <w:r>
              <w:rPr>
                <w:snapToGrid w:val="0"/>
                <w:sz w:val="20"/>
              </w:rPr>
              <w:t xml:space="preserve">4,6 </w:t>
            </w:r>
          </w:p>
        </w:tc>
        <w:tc>
          <w:tcPr>
            <w:tcW w:w="290" w:type="pct"/>
            <w:shd w:val="solid" w:color="FFFFFF" w:fill="auto"/>
            <w:vAlign w:val="bottom"/>
          </w:tcPr>
          <w:p w14:paraId="460ACD80" w14:textId="77777777" w:rsidR="00BB3C61" w:rsidRPr="00777AF3" w:rsidRDefault="00BB3C61" w:rsidP="000A1EA9">
            <w:pPr>
              <w:pStyle w:val="Tabelltekst"/>
              <w:jc w:val="center"/>
              <w:rPr>
                <w:snapToGrid w:val="0"/>
                <w:sz w:val="20"/>
              </w:rPr>
            </w:pPr>
            <w:r>
              <w:rPr>
                <w:snapToGrid w:val="0"/>
                <w:sz w:val="20"/>
              </w:rPr>
              <w:t xml:space="preserve">4,4 </w:t>
            </w:r>
          </w:p>
        </w:tc>
        <w:tc>
          <w:tcPr>
            <w:tcW w:w="409" w:type="pct"/>
            <w:vAlign w:val="bottom"/>
          </w:tcPr>
          <w:p w14:paraId="277A7162" w14:textId="77777777" w:rsidR="00BB3C61" w:rsidRPr="00777AF3" w:rsidRDefault="00BB3C61" w:rsidP="000A1EA9">
            <w:pPr>
              <w:pStyle w:val="Tabelltekst"/>
              <w:jc w:val="center"/>
              <w:rPr>
                <w:snapToGrid w:val="0"/>
                <w:sz w:val="20"/>
              </w:rPr>
            </w:pPr>
            <w:r>
              <w:rPr>
                <w:snapToGrid w:val="0"/>
                <w:sz w:val="20"/>
              </w:rPr>
              <w:t xml:space="preserve">4,7 </w:t>
            </w:r>
          </w:p>
        </w:tc>
        <w:tc>
          <w:tcPr>
            <w:tcW w:w="479" w:type="pct"/>
            <w:vAlign w:val="bottom"/>
          </w:tcPr>
          <w:p w14:paraId="1F5C73D3" w14:textId="77777777" w:rsidR="00BB3C61" w:rsidRPr="00777AF3" w:rsidRDefault="00BB3C61" w:rsidP="000A1EA9">
            <w:pPr>
              <w:pStyle w:val="Tabelltekst"/>
              <w:jc w:val="center"/>
              <w:rPr>
                <w:snapToGrid w:val="0"/>
                <w:sz w:val="20"/>
              </w:rPr>
            </w:pPr>
            <w:r>
              <w:rPr>
                <w:snapToGrid w:val="0"/>
                <w:sz w:val="20"/>
              </w:rPr>
              <w:t>3,6</w:t>
            </w:r>
          </w:p>
        </w:tc>
        <w:tc>
          <w:tcPr>
            <w:tcW w:w="345" w:type="pct"/>
            <w:vAlign w:val="bottom"/>
          </w:tcPr>
          <w:p w14:paraId="38D43A79" w14:textId="77777777" w:rsidR="00BB3C61" w:rsidRPr="00777AF3" w:rsidRDefault="00BB3C61" w:rsidP="000A1EA9">
            <w:pPr>
              <w:pStyle w:val="Tabelltekst"/>
              <w:jc w:val="center"/>
              <w:rPr>
                <w:sz w:val="20"/>
              </w:rPr>
            </w:pPr>
            <w:r>
              <w:rPr>
                <w:sz w:val="20"/>
              </w:rPr>
              <w:t>4,9</w:t>
            </w:r>
          </w:p>
        </w:tc>
        <w:tc>
          <w:tcPr>
            <w:tcW w:w="394" w:type="pct"/>
          </w:tcPr>
          <w:p w14:paraId="40D3FF1C" w14:textId="77777777" w:rsidR="00BB3C61" w:rsidRDefault="00BB3C61" w:rsidP="000A1EA9">
            <w:pPr>
              <w:pStyle w:val="Tabelltekst"/>
              <w:jc w:val="center"/>
              <w:rPr>
                <w:sz w:val="20"/>
              </w:rPr>
            </w:pPr>
            <w:r>
              <w:rPr>
                <w:sz w:val="20"/>
              </w:rPr>
              <w:t>4,2</w:t>
            </w:r>
          </w:p>
        </w:tc>
        <w:tc>
          <w:tcPr>
            <w:tcW w:w="296" w:type="pct"/>
            <w:vAlign w:val="bottom"/>
          </w:tcPr>
          <w:p w14:paraId="1FEEB622" w14:textId="77777777" w:rsidR="00BB3C61" w:rsidRPr="00777AF3" w:rsidRDefault="00BB3C61" w:rsidP="000A1EA9">
            <w:pPr>
              <w:pStyle w:val="Tabelltekst"/>
              <w:jc w:val="center"/>
              <w:rPr>
                <w:sz w:val="20"/>
              </w:rPr>
            </w:pPr>
            <w:r>
              <w:rPr>
                <w:sz w:val="20"/>
              </w:rPr>
              <w:t>4,2</w:t>
            </w:r>
          </w:p>
        </w:tc>
        <w:tc>
          <w:tcPr>
            <w:tcW w:w="507" w:type="pct"/>
            <w:vAlign w:val="bottom"/>
          </w:tcPr>
          <w:p w14:paraId="23CDEB7A" w14:textId="77777777" w:rsidR="00BB3C61" w:rsidRPr="00777AF3" w:rsidRDefault="00BB3C61" w:rsidP="000A1EA9">
            <w:pPr>
              <w:pStyle w:val="Tabelltekst"/>
              <w:jc w:val="center"/>
              <w:rPr>
                <w:sz w:val="20"/>
              </w:rPr>
            </w:pPr>
            <w:r>
              <w:rPr>
                <w:sz w:val="20"/>
              </w:rPr>
              <w:t>4,3</w:t>
            </w:r>
          </w:p>
        </w:tc>
        <w:tc>
          <w:tcPr>
            <w:tcW w:w="452" w:type="pct"/>
            <w:vAlign w:val="bottom"/>
          </w:tcPr>
          <w:p w14:paraId="2DCF78D8" w14:textId="77777777" w:rsidR="00BB3C61" w:rsidRPr="00777AF3" w:rsidRDefault="00BB3C61" w:rsidP="000A1EA9">
            <w:pPr>
              <w:pStyle w:val="Tabelltekst"/>
              <w:jc w:val="center"/>
              <w:rPr>
                <w:sz w:val="20"/>
              </w:rPr>
            </w:pPr>
            <w:r>
              <w:rPr>
                <w:sz w:val="20"/>
              </w:rPr>
              <w:t xml:space="preserve">4,3 </w:t>
            </w:r>
          </w:p>
        </w:tc>
        <w:tc>
          <w:tcPr>
            <w:tcW w:w="331" w:type="pct"/>
            <w:shd w:val="solid" w:color="FFFFFF" w:fill="auto"/>
          </w:tcPr>
          <w:p w14:paraId="0B5BC1ED" w14:textId="77777777" w:rsidR="00BB3C61" w:rsidRDefault="00BB3C61" w:rsidP="000A1EA9">
            <w:pPr>
              <w:pStyle w:val="Tabelltekst"/>
              <w:jc w:val="center"/>
              <w:rPr>
                <w:sz w:val="20"/>
              </w:rPr>
            </w:pPr>
            <w:r>
              <w:rPr>
                <w:sz w:val="20"/>
              </w:rPr>
              <w:t>4,3</w:t>
            </w:r>
          </w:p>
        </w:tc>
        <w:tc>
          <w:tcPr>
            <w:tcW w:w="91" w:type="pct"/>
            <w:shd w:val="solid" w:color="FFFFFF" w:fill="auto"/>
          </w:tcPr>
          <w:p w14:paraId="5A2B5133" w14:textId="77777777" w:rsidR="00BB3C61" w:rsidRDefault="00BB3C61" w:rsidP="000A1EA9">
            <w:pPr>
              <w:pStyle w:val="Tabelltekst"/>
              <w:jc w:val="center"/>
              <w:rPr>
                <w:sz w:val="20"/>
              </w:rPr>
            </w:pPr>
          </w:p>
        </w:tc>
        <w:tc>
          <w:tcPr>
            <w:tcW w:w="378" w:type="pct"/>
            <w:shd w:val="solid" w:color="FFFFFF" w:fill="auto"/>
            <w:vAlign w:val="bottom"/>
          </w:tcPr>
          <w:p w14:paraId="4AD702E5" w14:textId="77777777" w:rsidR="00BB3C61" w:rsidRPr="00777AF3" w:rsidRDefault="00BB3C61" w:rsidP="000A1EA9">
            <w:pPr>
              <w:pStyle w:val="Tabelltekst"/>
              <w:jc w:val="center"/>
              <w:rPr>
                <w:sz w:val="20"/>
              </w:rPr>
            </w:pPr>
            <w:r>
              <w:rPr>
                <w:sz w:val="20"/>
              </w:rPr>
              <w:t>4,0</w:t>
            </w:r>
          </w:p>
        </w:tc>
        <w:tc>
          <w:tcPr>
            <w:tcW w:w="288" w:type="pct"/>
            <w:gridSpan w:val="2"/>
            <w:shd w:val="solid" w:color="FFFFFF" w:fill="auto"/>
            <w:vAlign w:val="bottom"/>
          </w:tcPr>
          <w:p w14:paraId="3596DE37" w14:textId="77777777" w:rsidR="00BB3C61" w:rsidRPr="00777AF3" w:rsidRDefault="00BB3C61" w:rsidP="000A1EA9">
            <w:pPr>
              <w:pStyle w:val="Tabelltekst"/>
              <w:jc w:val="center"/>
              <w:rPr>
                <w:sz w:val="20"/>
              </w:rPr>
            </w:pPr>
            <w:r>
              <w:rPr>
                <w:sz w:val="20"/>
              </w:rPr>
              <w:t>4,1</w:t>
            </w:r>
          </w:p>
        </w:tc>
      </w:tr>
      <w:tr w:rsidR="00975AD2" w:rsidRPr="00777AF3" w14:paraId="62D38F2E" w14:textId="77777777" w:rsidTr="00ED3B72">
        <w:trPr>
          <w:cantSplit/>
          <w:trHeight w:val="244"/>
          <w:jc w:val="right"/>
        </w:trPr>
        <w:tc>
          <w:tcPr>
            <w:tcW w:w="412" w:type="pct"/>
            <w:vAlign w:val="bottom"/>
          </w:tcPr>
          <w:p w14:paraId="2655A41B" w14:textId="77777777" w:rsidR="00BB3C61" w:rsidRPr="00777AF3" w:rsidRDefault="00BB3C61" w:rsidP="000A1EA9">
            <w:pPr>
              <w:pStyle w:val="Tabelltekst"/>
              <w:rPr>
                <w:sz w:val="20"/>
              </w:rPr>
            </w:pPr>
            <w:r>
              <w:rPr>
                <w:sz w:val="20"/>
              </w:rPr>
              <w:t>2012</w:t>
            </w:r>
          </w:p>
        </w:tc>
        <w:tc>
          <w:tcPr>
            <w:tcW w:w="328" w:type="pct"/>
            <w:vAlign w:val="bottom"/>
          </w:tcPr>
          <w:p w14:paraId="3E857274" w14:textId="77777777" w:rsidR="00BB3C61" w:rsidRDefault="00BB3C61" w:rsidP="000A1EA9">
            <w:pPr>
              <w:pStyle w:val="Tabelltekst"/>
              <w:jc w:val="center"/>
              <w:rPr>
                <w:snapToGrid w:val="0"/>
                <w:sz w:val="20"/>
              </w:rPr>
            </w:pPr>
            <w:r>
              <w:rPr>
                <w:snapToGrid w:val="0"/>
                <w:sz w:val="20"/>
              </w:rPr>
              <w:t>4,2</w:t>
            </w:r>
          </w:p>
        </w:tc>
        <w:tc>
          <w:tcPr>
            <w:tcW w:w="290" w:type="pct"/>
            <w:shd w:val="solid" w:color="FFFFFF" w:fill="auto"/>
            <w:vAlign w:val="bottom"/>
          </w:tcPr>
          <w:p w14:paraId="2084B365" w14:textId="77777777" w:rsidR="00BB3C61" w:rsidRDefault="00BB3C61" w:rsidP="000A1EA9">
            <w:pPr>
              <w:pStyle w:val="Tabelltekst"/>
              <w:jc w:val="center"/>
              <w:rPr>
                <w:snapToGrid w:val="0"/>
                <w:sz w:val="20"/>
              </w:rPr>
            </w:pPr>
            <w:r>
              <w:rPr>
                <w:snapToGrid w:val="0"/>
                <w:sz w:val="20"/>
              </w:rPr>
              <w:t>4,1</w:t>
            </w:r>
          </w:p>
        </w:tc>
        <w:tc>
          <w:tcPr>
            <w:tcW w:w="409" w:type="pct"/>
            <w:vAlign w:val="bottom"/>
          </w:tcPr>
          <w:p w14:paraId="1DE2E8B5" w14:textId="77777777" w:rsidR="00BB3C61" w:rsidRDefault="00BB3C61" w:rsidP="000A1EA9">
            <w:pPr>
              <w:pStyle w:val="Tabelltekst"/>
              <w:jc w:val="center"/>
              <w:rPr>
                <w:snapToGrid w:val="0"/>
                <w:sz w:val="20"/>
              </w:rPr>
            </w:pPr>
            <w:r>
              <w:rPr>
                <w:snapToGrid w:val="0"/>
                <w:sz w:val="20"/>
              </w:rPr>
              <w:t>4,1</w:t>
            </w:r>
          </w:p>
        </w:tc>
        <w:tc>
          <w:tcPr>
            <w:tcW w:w="479" w:type="pct"/>
            <w:vAlign w:val="bottom"/>
          </w:tcPr>
          <w:p w14:paraId="25063861" w14:textId="77777777" w:rsidR="00BB3C61" w:rsidRDefault="00BB3C61" w:rsidP="000A1EA9">
            <w:pPr>
              <w:pStyle w:val="Tabelltekst"/>
              <w:jc w:val="center"/>
              <w:rPr>
                <w:snapToGrid w:val="0"/>
                <w:sz w:val="20"/>
              </w:rPr>
            </w:pPr>
            <w:r>
              <w:rPr>
                <w:snapToGrid w:val="0"/>
                <w:sz w:val="20"/>
              </w:rPr>
              <w:t>3,3</w:t>
            </w:r>
          </w:p>
        </w:tc>
        <w:tc>
          <w:tcPr>
            <w:tcW w:w="345" w:type="pct"/>
            <w:vAlign w:val="bottom"/>
          </w:tcPr>
          <w:p w14:paraId="7AADA5CB" w14:textId="77777777" w:rsidR="00BB3C61" w:rsidRDefault="00BB3C61" w:rsidP="000A1EA9">
            <w:pPr>
              <w:pStyle w:val="Tabelltekst"/>
              <w:jc w:val="center"/>
              <w:rPr>
                <w:sz w:val="20"/>
              </w:rPr>
            </w:pPr>
            <w:r>
              <w:rPr>
                <w:sz w:val="20"/>
              </w:rPr>
              <w:t>3,0</w:t>
            </w:r>
          </w:p>
        </w:tc>
        <w:tc>
          <w:tcPr>
            <w:tcW w:w="394" w:type="pct"/>
          </w:tcPr>
          <w:p w14:paraId="72BE64AA" w14:textId="77777777" w:rsidR="00BB3C61" w:rsidRDefault="00BB3C61" w:rsidP="000A1EA9">
            <w:pPr>
              <w:pStyle w:val="Tabelltekst"/>
              <w:jc w:val="center"/>
              <w:rPr>
                <w:sz w:val="20"/>
              </w:rPr>
            </w:pPr>
            <w:r>
              <w:rPr>
                <w:sz w:val="20"/>
              </w:rPr>
              <w:t>4,0</w:t>
            </w:r>
          </w:p>
        </w:tc>
        <w:tc>
          <w:tcPr>
            <w:tcW w:w="296" w:type="pct"/>
            <w:vAlign w:val="bottom"/>
          </w:tcPr>
          <w:p w14:paraId="0D28BAC8" w14:textId="77777777" w:rsidR="00BB3C61" w:rsidRDefault="00BB3C61" w:rsidP="000A1EA9">
            <w:pPr>
              <w:pStyle w:val="Tabelltekst"/>
              <w:jc w:val="center"/>
              <w:rPr>
                <w:sz w:val="20"/>
              </w:rPr>
            </w:pPr>
            <w:r>
              <w:rPr>
                <w:sz w:val="20"/>
              </w:rPr>
              <w:t>4,1</w:t>
            </w:r>
          </w:p>
        </w:tc>
        <w:tc>
          <w:tcPr>
            <w:tcW w:w="507" w:type="pct"/>
            <w:vAlign w:val="bottom"/>
          </w:tcPr>
          <w:p w14:paraId="6E924938" w14:textId="77777777" w:rsidR="00BB3C61" w:rsidRDefault="00BB3C61" w:rsidP="000A1EA9">
            <w:pPr>
              <w:pStyle w:val="Tabelltekst"/>
              <w:jc w:val="center"/>
              <w:rPr>
                <w:sz w:val="20"/>
              </w:rPr>
            </w:pPr>
            <w:r>
              <w:rPr>
                <w:sz w:val="20"/>
              </w:rPr>
              <w:t>4,1</w:t>
            </w:r>
          </w:p>
        </w:tc>
        <w:tc>
          <w:tcPr>
            <w:tcW w:w="452" w:type="pct"/>
            <w:vAlign w:val="bottom"/>
          </w:tcPr>
          <w:p w14:paraId="7D0FDCE1" w14:textId="77777777" w:rsidR="00BB3C61" w:rsidRDefault="00BB3C61" w:rsidP="000A1EA9">
            <w:pPr>
              <w:pStyle w:val="Tabelltekst"/>
              <w:jc w:val="center"/>
              <w:rPr>
                <w:sz w:val="20"/>
              </w:rPr>
            </w:pPr>
            <w:r>
              <w:rPr>
                <w:sz w:val="20"/>
              </w:rPr>
              <w:t>4,0</w:t>
            </w:r>
          </w:p>
        </w:tc>
        <w:tc>
          <w:tcPr>
            <w:tcW w:w="331" w:type="pct"/>
            <w:shd w:val="solid" w:color="FFFFFF" w:fill="auto"/>
          </w:tcPr>
          <w:p w14:paraId="6499A789" w14:textId="77777777" w:rsidR="00BB3C61" w:rsidRDefault="00BB3C61" w:rsidP="000A1EA9">
            <w:pPr>
              <w:pStyle w:val="Tabelltekst"/>
              <w:jc w:val="center"/>
              <w:rPr>
                <w:sz w:val="20"/>
              </w:rPr>
            </w:pPr>
            <w:r>
              <w:rPr>
                <w:sz w:val="20"/>
              </w:rPr>
              <w:t>4,1</w:t>
            </w:r>
          </w:p>
        </w:tc>
        <w:tc>
          <w:tcPr>
            <w:tcW w:w="91" w:type="pct"/>
            <w:shd w:val="solid" w:color="FFFFFF" w:fill="auto"/>
          </w:tcPr>
          <w:p w14:paraId="75BD2016" w14:textId="77777777" w:rsidR="00BB3C61" w:rsidRDefault="00BB3C61" w:rsidP="000A1EA9">
            <w:pPr>
              <w:pStyle w:val="Tabelltekst"/>
              <w:jc w:val="center"/>
              <w:rPr>
                <w:sz w:val="20"/>
              </w:rPr>
            </w:pPr>
          </w:p>
        </w:tc>
        <w:tc>
          <w:tcPr>
            <w:tcW w:w="378" w:type="pct"/>
            <w:shd w:val="solid" w:color="FFFFFF" w:fill="auto"/>
            <w:vAlign w:val="bottom"/>
          </w:tcPr>
          <w:p w14:paraId="7384ECB7" w14:textId="77777777" w:rsidR="00BB3C61" w:rsidRDefault="00BB3C61" w:rsidP="000A1EA9">
            <w:pPr>
              <w:pStyle w:val="Tabelltekst"/>
              <w:jc w:val="center"/>
              <w:rPr>
                <w:sz w:val="20"/>
              </w:rPr>
            </w:pPr>
            <w:r>
              <w:rPr>
                <w:sz w:val="20"/>
              </w:rPr>
              <w:t xml:space="preserve">3,7 </w:t>
            </w:r>
          </w:p>
        </w:tc>
        <w:tc>
          <w:tcPr>
            <w:tcW w:w="288" w:type="pct"/>
            <w:gridSpan w:val="2"/>
            <w:shd w:val="solid" w:color="FFFFFF" w:fill="auto"/>
            <w:vAlign w:val="bottom"/>
          </w:tcPr>
          <w:p w14:paraId="4D7A2B14" w14:textId="77777777" w:rsidR="00BB3C61" w:rsidRDefault="00BB3C61" w:rsidP="000A1EA9">
            <w:pPr>
              <w:pStyle w:val="Tabelltekst"/>
              <w:jc w:val="center"/>
              <w:rPr>
                <w:sz w:val="20"/>
              </w:rPr>
            </w:pPr>
            <w:r>
              <w:rPr>
                <w:sz w:val="20"/>
              </w:rPr>
              <w:t>4,2</w:t>
            </w:r>
          </w:p>
        </w:tc>
      </w:tr>
      <w:tr w:rsidR="00975AD2" w:rsidRPr="00777AF3" w14:paraId="3203F390" w14:textId="77777777" w:rsidTr="00ED3B72">
        <w:trPr>
          <w:cantSplit/>
          <w:trHeight w:val="244"/>
          <w:jc w:val="right"/>
        </w:trPr>
        <w:tc>
          <w:tcPr>
            <w:tcW w:w="412" w:type="pct"/>
            <w:vAlign w:val="bottom"/>
          </w:tcPr>
          <w:p w14:paraId="6928CDA5" w14:textId="77777777" w:rsidR="00BB3C61" w:rsidRDefault="00BB3C61" w:rsidP="000A1EA9">
            <w:pPr>
              <w:pStyle w:val="Tabelltekst"/>
              <w:rPr>
                <w:sz w:val="20"/>
              </w:rPr>
            </w:pPr>
            <w:r>
              <w:rPr>
                <w:sz w:val="20"/>
              </w:rPr>
              <w:t>2013</w:t>
            </w:r>
          </w:p>
        </w:tc>
        <w:tc>
          <w:tcPr>
            <w:tcW w:w="328" w:type="pct"/>
            <w:vAlign w:val="bottom"/>
          </w:tcPr>
          <w:p w14:paraId="5D662F65" w14:textId="77777777" w:rsidR="00BB3C61" w:rsidRDefault="00BB3C61" w:rsidP="000A1EA9">
            <w:pPr>
              <w:pStyle w:val="Tabelltekst"/>
              <w:jc w:val="center"/>
              <w:rPr>
                <w:snapToGrid w:val="0"/>
                <w:sz w:val="20"/>
              </w:rPr>
            </w:pPr>
            <w:r>
              <w:rPr>
                <w:snapToGrid w:val="0"/>
                <w:sz w:val="20"/>
              </w:rPr>
              <w:t>3,9</w:t>
            </w:r>
          </w:p>
        </w:tc>
        <w:tc>
          <w:tcPr>
            <w:tcW w:w="290" w:type="pct"/>
            <w:shd w:val="solid" w:color="FFFFFF" w:fill="auto"/>
            <w:vAlign w:val="bottom"/>
          </w:tcPr>
          <w:p w14:paraId="34352A95" w14:textId="77777777" w:rsidR="00BB3C61" w:rsidRDefault="00BB3C61" w:rsidP="000A1EA9">
            <w:pPr>
              <w:pStyle w:val="Tabelltekst"/>
              <w:jc w:val="center"/>
              <w:rPr>
                <w:snapToGrid w:val="0"/>
                <w:sz w:val="20"/>
              </w:rPr>
            </w:pPr>
            <w:r>
              <w:rPr>
                <w:snapToGrid w:val="0"/>
                <w:sz w:val="20"/>
              </w:rPr>
              <w:t xml:space="preserve">3,5 </w:t>
            </w:r>
          </w:p>
        </w:tc>
        <w:tc>
          <w:tcPr>
            <w:tcW w:w="409" w:type="pct"/>
            <w:vAlign w:val="bottom"/>
          </w:tcPr>
          <w:p w14:paraId="76AF5763" w14:textId="77777777" w:rsidR="00BB3C61" w:rsidRDefault="00BB3C61" w:rsidP="000A1EA9">
            <w:pPr>
              <w:pStyle w:val="Tabelltekst"/>
              <w:jc w:val="center"/>
              <w:rPr>
                <w:snapToGrid w:val="0"/>
                <w:sz w:val="20"/>
              </w:rPr>
            </w:pPr>
            <w:r>
              <w:rPr>
                <w:snapToGrid w:val="0"/>
                <w:sz w:val="20"/>
              </w:rPr>
              <w:t xml:space="preserve">4,3 </w:t>
            </w:r>
          </w:p>
        </w:tc>
        <w:tc>
          <w:tcPr>
            <w:tcW w:w="479" w:type="pct"/>
            <w:vAlign w:val="bottom"/>
          </w:tcPr>
          <w:p w14:paraId="3FB8792F" w14:textId="77777777" w:rsidR="00BB3C61" w:rsidRDefault="00BB3C61" w:rsidP="000A1EA9">
            <w:pPr>
              <w:pStyle w:val="Tabelltekst"/>
              <w:jc w:val="center"/>
              <w:rPr>
                <w:snapToGrid w:val="0"/>
                <w:sz w:val="20"/>
              </w:rPr>
            </w:pPr>
            <w:r>
              <w:rPr>
                <w:snapToGrid w:val="0"/>
                <w:sz w:val="20"/>
              </w:rPr>
              <w:t>4,0</w:t>
            </w:r>
          </w:p>
        </w:tc>
        <w:tc>
          <w:tcPr>
            <w:tcW w:w="345" w:type="pct"/>
            <w:vAlign w:val="bottom"/>
          </w:tcPr>
          <w:p w14:paraId="230DE29B" w14:textId="77777777" w:rsidR="00BB3C61" w:rsidRDefault="00BB3C61" w:rsidP="000A1EA9">
            <w:pPr>
              <w:pStyle w:val="Tabelltekst"/>
              <w:jc w:val="center"/>
              <w:rPr>
                <w:sz w:val="20"/>
              </w:rPr>
            </w:pPr>
            <w:r>
              <w:rPr>
                <w:sz w:val="20"/>
              </w:rPr>
              <w:t>6,7</w:t>
            </w:r>
          </w:p>
        </w:tc>
        <w:tc>
          <w:tcPr>
            <w:tcW w:w="394" w:type="pct"/>
          </w:tcPr>
          <w:p w14:paraId="66BB28AD" w14:textId="77777777" w:rsidR="00BB3C61" w:rsidRDefault="00BB3C61" w:rsidP="000A1EA9">
            <w:pPr>
              <w:pStyle w:val="Tabelltekst"/>
              <w:jc w:val="center"/>
              <w:rPr>
                <w:sz w:val="20"/>
              </w:rPr>
            </w:pPr>
            <w:r>
              <w:rPr>
                <w:sz w:val="20"/>
              </w:rPr>
              <w:t>3,7</w:t>
            </w:r>
          </w:p>
        </w:tc>
        <w:tc>
          <w:tcPr>
            <w:tcW w:w="296" w:type="pct"/>
            <w:vAlign w:val="bottom"/>
          </w:tcPr>
          <w:p w14:paraId="351462EB" w14:textId="77777777" w:rsidR="00BB3C61" w:rsidRDefault="00BB3C61" w:rsidP="000A1EA9">
            <w:pPr>
              <w:pStyle w:val="Tabelltekst"/>
              <w:jc w:val="center"/>
              <w:rPr>
                <w:sz w:val="20"/>
              </w:rPr>
            </w:pPr>
            <w:r>
              <w:rPr>
                <w:sz w:val="20"/>
              </w:rPr>
              <w:t>3,5</w:t>
            </w:r>
          </w:p>
        </w:tc>
        <w:tc>
          <w:tcPr>
            <w:tcW w:w="507" w:type="pct"/>
            <w:vAlign w:val="bottom"/>
          </w:tcPr>
          <w:p w14:paraId="6A23A4B0" w14:textId="77777777" w:rsidR="00BB3C61" w:rsidRDefault="00BB3C61" w:rsidP="000A1EA9">
            <w:pPr>
              <w:pStyle w:val="Tabelltekst"/>
              <w:jc w:val="center"/>
              <w:rPr>
                <w:sz w:val="20"/>
              </w:rPr>
            </w:pPr>
            <w:r>
              <w:rPr>
                <w:sz w:val="20"/>
              </w:rPr>
              <w:t xml:space="preserve">3,7 </w:t>
            </w:r>
          </w:p>
        </w:tc>
        <w:tc>
          <w:tcPr>
            <w:tcW w:w="452" w:type="pct"/>
            <w:vAlign w:val="bottom"/>
          </w:tcPr>
          <w:p w14:paraId="7471F38A" w14:textId="77777777" w:rsidR="00BB3C61" w:rsidRDefault="00BB3C61" w:rsidP="000A1EA9">
            <w:pPr>
              <w:pStyle w:val="Tabelltekst"/>
              <w:jc w:val="center"/>
              <w:rPr>
                <w:sz w:val="20"/>
              </w:rPr>
            </w:pPr>
            <w:r>
              <w:rPr>
                <w:sz w:val="20"/>
              </w:rPr>
              <w:t xml:space="preserve">3,2 </w:t>
            </w:r>
          </w:p>
        </w:tc>
        <w:tc>
          <w:tcPr>
            <w:tcW w:w="331" w:type="pct"/>
            <w:shd w:val="solid" w:color="FFFFFF" w:fill="auto"/>
          </w:tcPr>
          <w:p w14:paraId="5298DBC9" w14:textId="77777777" w:rsidR="00BB3C61" w:rsidRDefault="00BB3C61" w:rsidP="000A1EA9">
            <w:pPr>
              <w:pStyle w:val="Tabelltekst"/>
              <w:jc w:val="center"/>
              <w:rPr>
                <w:sz w:val="20"/>
              </w:rPr>
            </w:pPr>
            <w:r>
              <w:rPr>
                <w:sz w:val="20"/>
              </w:rPr>
              <w:t xml:space="preserve">3,9 </w:t>
            </w:r>
          </w:p>
        </w:tc>
        <w:tc>
          <w:tcPr>
            <w:tcW w:w="91" w:type="pct"/>
            <w:shd w:val="solid" w:color="FFFFFF" w:fill="auto"/>
          </w:tcPr>
          <w:p w14:paraId="4D34822A" w14:textId="77777777" w:rsidR="00BB3C61" w:rsidRDefault="00BB3C61" w:rsidP="000A1EA9">
            <w:pPr>
              <w:pStyle w:val="Tabelltekst"/>
              <w:jc w:val="center"/>
              <w:rPr>
                <w:sz w:val="20"/>
              </w:rPr>
            </w:pPr>
          </w:p>
        </w:tc>
        <w:tc>
          <w:tcPr>
            <w:tcW w:w="378" w:type="pct"/>
            <w:shd w:val="solid" w:color="FFFFFF" w:fill="auto"/>
            <w:vAlign w:val="bottom"/>
          </w:tcPr>
          <w:p w14:paraId="72725E6B" w14:textId="77777777" w:rsidR="00BB3C61" w:rsidRDefault="00BB3C61" w:rsidP="000A1EA9">
            <w:pPr>
              <w:pStyle w:val="Tabelltekst"/>
              <w:jc w:val="center"/>
              <w:rPr>
                <w:sz w:val="20"/>
              </w:rPr>
            </w:pPr>
            <w:r>
              <w:rPr>
                <w:sz w:val="20"/>
              </w:rPr>
              <w:t>3,8</w:t>
            </w:r>
          </w:p>
        </w:tc>
        <w:tc>
          <w:tcPr>
            <w:tcW w:w="288" w:type="pct"/>
            <w:gridSpan w:val="2"/>
            <w:shd w:val="solid" w:color="FFFFFF" w:fill="auto"/>
            <w:vAlign w:val="bottom"/>
          </w:tcPr>
          <w:p w14:paraId="289D34EB" w14:textId="77777777" w:rsidR="00BB3C61" w:rsidRDefault="00BB3C61" w:rsidP="000A1EA9">
            <w:pPr>
              <w:pStyle w:val="Tabelltekst"/>
              <w:jc w:val="center"/>
              <w:rPr>
                <w:sz w:val="20"/>
              </w:rPr>
            </w:pPr>
            <w:r>
              <w:rPr>
                <w:sz w:val="20"/>
              </w:rPr>
              <w:t xml:space="preserve">3,6 </w:t>
            </w:r>
          </w:p>
        </w:tc>
      </w:tr>
      <w:tr w:rsidR="00975AD2" w:rsidRPr="00777AF3" w14:paraId="296307D3" w14:textId="77777777" w:rsidTr="00ED3B72">
        <w:trPr>
          <w:cantSplit/>
          <w:trHeight w:val="244"/>
          <w:jc w:val="right"/>
        </w:trPr>
        <w:tc>
          <w:tcPr>
            <w:tcW w:w="412" w:type="pct"/>
            <w:vAlign w:val="bottom"/>
          </w:tcPr>
          <w:p w14:paraId="5CA3AD22" w14:textId="77777777" w:rsidR="00BB3C61" w:rsidRDefault="00BB3C61" w:rsidP="000A1EA9">
            <w:pPr>
              <w:pStyle w:val="Tabelltekst"/>
              <w:rPr>
                <w:sz w:val="20"/>
              </w:rPr>
            </w:pPr>
            <w:r>
              <w:rPr>
                <w:sz w:val="20"/>
              </w:rPr>
              <w:t>2014</w:t>
            </w:r>
          </w:p>
        </w:tc>
        <w:tc>
          <w:tcPr>
            <w:tcW w:w="328" w:type="pct"/>
            <w:vAlign w:val="bottom"/>
          </w:tcPr>
          <w:p w14:paraId="0E35D8AE" w14:textId="77777777" w:rsidR="00BB3C61" w:rsidRDefault="00BB3C61" w:rsidP="000A1EA9">
            <w:pPr>
              <w:pStyle w:val="Tabelltekst"/>
              <w:jc w:val="center"/>
              <w:rPr>
                <w:snapToGrid w:val="0"/>
                <w:sz w:val="20"/>
              </w:rPr>
            </w:pPr>
            <w:r>
              <w:rPr>
                <w:snapToGrid w:val="0"/>
                <w:sz w:val="20"/>
              </w:rPr>
              <w:t xml:space="preserve">3,3 </w:t>
            </w:r>
          </w:p>
        </w:tc>
        <w:tc>
          <w:tcPr>
            <w:tcW w:w="290" w:type="pct"/>
            <w:shd w:val="solid" w:color="FFFFFF" w:fill="auto"/>
            <w:vAlign w:val="bottom"/>
          </w:tcPr>
          <w:p w14:paraId="42C65132" w14:textId="77777777" w:rsidR="00BB3C61" w:rsidRDefault="00BB3C61" w:rsidP="000A1EA9">
            <w:pPr>
              <w:pStyle w:val="Tabelltekst"/>
              <w:jc w:val="center"/>
              <w:rPr>
                <w:snapToGrid w:val="0"/>
                <w:sz w:val="20"/>
              </w:rPr>
            </w:pPr>
            <w:r>
              <w:rPr>
                <w:snapToGrid w:val="0"/>
                <w:sz w:val="20"/>
              </w:rPr>
              <w:t>3,0</w:t>
            </w:r>
          </w:p>
        </w:tc>
        <w:tc>
          <w:tcPr>
            <w:tcW w:w="409" w:type="pct"/>
            <w:vAlign w:val="bottom"/>
          </w:tcPr>
          <w:p w14:paraId="4D25B7AA" w14:textId="77777777" w:rsidR="00BB3C61" w:rsidRDefault="00BB3C61" w:rsidP="000A1EA9">
            <w:pPr>
              <w:pStyle w:val="Tabelltekst"/>
              <w:jc w:val="center"/>
              <w:rPr>
                <w:snapToGrid w:val="0"/>
                <w:sz w:val="20"/>
              </w:rPr>
            </w:pPr>
            <w:r>
              <w:rPr>
                <w:snapToGrid w:val="0"/>
                <w:sz w:val="20"/>
              </w:rPr>
              <w:t xml:space="preserve">3,2 </w:t>
            </w:r>
          </w:p>
        </w:tc>
        <w:tc>
          <w:tcPr>
            <w:tcW w:w="479" w:type="pct"/>
            <w:vAlign w:val="bottom"/>
          </w:tcPr>
          <w:p w14:paraId="3B03E00E" w14:textId="77777777" w:rsidR="00BB3C61" w:rsidRDefault="00BB3C61" w:rsidP="000A1EA9">
            <w:pPr>
              <w:pStyle w:val="Tabelltekst"/>
              <w:jc w:val="center"/>
              <w:rPr>
                <w:snapToGrid w:val="0"/>
                <w:sz w:val="20"/>
              </w:rPr>
            </w:pPr>
            <w:r>
              <w:rPr>
                <w:snapToGrid w:val="0"/>
                <w:sz w:val="20"/>
              </w:rPr>
              <w:t>3,5</w:t>
            </w:r>
          </w:p>
        </w:tc>
        <w:tc>
          <w:tcPr>
            <w:tcW w:w="345" w:type="pct"/>
            <w:vAlign w:val="bottom"/>
          </w:tcPr>
          <w:p w14:paraId="1EB75720" w14:textId="77777777" w:rsidR="00BB3C61" w:rsidRDefault="00BB3C61" w:rsidP="000A1EA9">
            <w:pPr>
              <w:pStyle w:val="Tabelltekst"/>
              <w:jc w:val="center"/>
              <w:rPr>
                <w:sz w:val="20"/>
              </w:rPr>
            </w:pPr>
            <w:r>
              <w:rPr>
                <w:sz w:val="20"/>
              </w:rPr>
              <w:t>2,9</w:t>
            </w:r>
          </w:p>
        </w:tc>
        <w:tc>
          <w:tcPr>
            <w:tcW w:w="394" w:type="pct"/>
          </w:tcPr>
          <w:p w14:paraId="7A961886" w14:textId="77777777" w:rsidR="00BB3C61" w:rsidRDefault="00BB3C61" w:rsidP="000A1EA9">
            <w:pPr>
              <w:pStyle w:val="Tabelltekst"/>
              <w:jc w:val="center"/>
              <w:rPr>
                <w:sz w:val="20"/>
              </w:rPr>
            </w:pPr>
            <w:r>
              <w:rPr>
                <w:sz w:val="20"/>
              </w:rPr>
              <w:t>3,3</w:t>
            </w:r>
          </w:p>
        </w:tc>
        <w:tc>
          <w:tcPr>
            <w:tcW w:w="296" w:type="pct"/>
            <w:vAlign w:val="bottom"/>
          </w:tcPr>
          <w:p w14:paraId="6B37CBD5" w14:textId="77777777" w:rsidR="00BB3C61" w:rsidRDefault="00BB3C61" w:rsidP="000A1EA9">
            <w:pPr>
              <w:pStyle w:val="Tabelltekst"/>
              <w:jc w:val="center"/>
              <w:rPr>
                <w:sz w:val="20"/>
              </w:rPr>
            </w:pPr>
            <w:r>
              <w:rPr>
                <w:sz w:val="20"/>
              </w:rPr>
              <w:t xml:space="preserve">3,4 </w:t>
            </w:r>
          </w:p>
        </w:tc>
        <w:tc>
          <w:tcPr>
            <w:tcW w:w="507" w:type="pct"/>
            <w:vAlign w:val="bottom"/>
          </w:tcPr>
          <w:p w14:paraId="56938DA8" w14:textId="4DCA34BC" w:rsidR="00BB3C61" w:rsidRDefault="00BB3C61" w:rsidP="000A1EA9">
            <w:pPr>
              <w:pStyle w:val="Tabelltekst"/>
              <w:jc w:val="center"/>
              <w:rPr>
                <w:sz w:val="20"/>
              </w:rPr>
            </w:pPr>
            <w:r>
              <w:rPr>
                <w:sz w:val="20"/>
              </w:rPr>
              <w:t>3,2</w:t>
            </w:r>
            <w:r w:rsidR="00901A80">
              <w:rPr>
                <w:sz w:val="20"/>
                <w:vertAlign w:val="superscript"/>
              </w:rPr>
              <w:t>6</w:t>
            </w:r>
          </w:p>
        </w:tc>
        <w:tc>
          <w:tcPr>
            <w:tcW w:w="452" w:type="pct"/>
            <w:vAlign w:val="bottom"/>
          </w:tcPr>
          <w:p w14:paraId="75AE59CB" w14:textId="6155F1DA" w:rsidR="00BB3C61" w:rsidRDefault="00BB3C61" w:rsidP="000A1EA9">
            <w:pPr>
              <w:pStyle w:val="Tabelltekst"/>
              <w:jc w:val="center"/>
              <w:rPr>
                <w:sz w:val="20"/>
              </w:rPr>
            </w:pPr>
            <w:r>
              <w:rPr>
                <w:sz w:val="20"/>
              </w:rPr>
              <w:t>2,3</w:t>
            </w:r>
            <w:r w:rsidR="00901A80">
              <w:rPr>
                <w:sz w:val="20"/>
                <w:vertAlign w:val="superscript"/>
              </w:rPr>
              <w:t>6</w:t>
            </w:r>
            <w:r>
              <w:rPr>
                <w:sz w:val="20"/>
              </w:rPr>
              <w:t xml:space="preserve"> </w:t>
            </w:r>
          </w:p>
        </w:tc>
        <w:tc>
          <w:tcPr>
            <w:tcW w:w="331" w:type="pct"/>
            <w:shd w:val="solid" w:color="FFFFFF" w:fill="auto"/>
          </w:tcPr>
          <w:p w14:paraId="3CB7B2F0" w14:textId="392C2511" w:rsidR="00BB3C61" w:rsidRDefault="00BB3C61" w:rsidP="000A1EA9">
            <w:pPr>
              <w:pStyle w:val="Tabelltekst"/>
              <w:jc w:val="center"/>
              <w:rPr>
                <w:sz w:val="20"/>
              </w:rPr>
            </w:pPr>
            <w:r>
              <w:rPr>
                <w:sz w:val="20"/>
              </w:rPr>
              <w:t>3,7</w:t>
            </w:r>
            <w:r w:rsidR="00901A80">
              <w:rPr>
                <w:sz w:val="20"/>
                <w:vertAlign w:val="superscript"/>
              </w:rPr>
              <w:t>6</w:t>
            </w:r>
            <w:r>
              <w:rPr>
                <w:sz w:val="20"/>
              </w:rPr>
              <w:t xml:space="preserve"> </w:t>
            </w:r>
          </w:p>
        </w:tc>
        <w:tc>
          <w:tcPr>
            <w:tcW w:w="91" w:type="pct"/>
            <w:shd w:val="solid" w:color="FFFFFF" w:fill="auto"/>
          </w:tcPr>
          <w:p w14:paraId="6E587421" w14:textId="77777777" w:rsidR="00BB3C61" w:rsidRDefault="00BB3C61" w:rsidP="000A1EA9">
            <w:pPr>
              <w:pStyle w:val="Tabelltekst"/>
              <w:jc w:val="center"/>
              <w:rPr>
                <w:sz w:val="20"/>
              </w:rPr>
            </w:pPr>
          </w:p>
        </w:tc>
        <w:tc>
          <w:tcPr>
            <w:tcW w:w="378" w:type="pct"/>
            <w:shd w:val="solid" w:color="FFFFFF" w:fill="auto"/>
            <w:vAlign w:val="bottom"/>
          </w:tcPr>
          <w:p w14:paraId="526C191D" w14:textId="77777777" w:rsidR="00BB3C61" w:rsidRDefault="00BB3C61" w:rsidP="000A1EA9">
            <w:pPr>
              <w:pStyle w:val="Tabelltekst"/>
              <w:jc w:val="center"/>
              <w:rPr>
                <w:sz w:val="20"/>
              </w:rPr>
            </w:pPr>
            <w:r>
              <w:rPr>
                <w:sz w:val="20"/>
              </w:rPr>
              <w:t>3,4</w:t>
            </w:r>
          </w:p>
        </w:tc>
        <w:tc>
          <w:tcPr>
            <w:tcW w:w="288" w:type="pct"/>
            <w:gridSpan w:val="2"/>
            <w:shd w:val="solid" w:color="FFFFFF" w:fill="auto"/>
            <w:vAlign w:val="bottom"/>
          </w:tcPr>
          <w:p w14:paraId="180C4295" w14:textId="77777777" w:rsidR="00BB3C61" w:rsidRDefault="00BB3C61" w:rsidP="000A1EA9">
            <w:pPr>
              <w:pStyle w:val="Tabelltekst"/>
              <w:jc w:val="center"/>
              <w:rPr>
                <w:sz w:val="20"/>
              </w:rPr>
            </w:pPr>
            <w:r>
              <w:rPr>
                <w:sz w:val="20"/>
              </w:rPr>
              <w:t xml:space="preserve">3,3 </w:t>
            </w:r>
          </w:p>
        </w:tc>
      </w:tr>
      <w:tr w:rsidR="00975AD2" w:rsidRPr="00777AF3" w14:paraId="369D73C4" w14:textId="77777777" w:rsidTr="00ED3B72">
        <w:trPr>
          <w:cantSplit/>
          <w:trHeight w:val="244"/>
          <w:jc w:val="right"/>
        </w:trPr>
        <w:tc>
          <w:tcPr>
            <w:tcW w:w="412" w:type="pct"/>
            <w:tcBorders>
              <w:bottom w:val="single" w:sz="4" w:space="0" w:color="auto"/>
            </w:tcBorders>
            <w:vAlign w:val="bottom"/>
          </w:tcPr>
          <w:p w14:paraId="572FFE3F" w14:textId="77777777" w:rsidR="003453CD" w:rsidRDefault="003453CD" w:rsidP="000A1EA9">
            <w:pPr>
              <w:pStyle w:val="Tabelltekst"/>
              <w:rPr>
                <w:sz w:val="20"/>
              </w:rPr>
            </w:pPr>
            <w:r>
              <w:rPr>
                <w:sz w:val="20"/>
              </w:rPr>
              <w:t>2015</w:t>
            </w:r>
          </w:p>
        </w:tc>
        <w:tc>
          <w:tcPr>
            <w:tcW w:w="328" w:type="pct"/>
            <w:tcBorders>
              <w:bottom w:val="single" w:sz="4" w:space="0" w:color="auto"/>
            </w:tcBorders>
            <w:vAlign w:val="bottom"/>
          </w:tcPr>
          <w:p w14:paraId="6739937F" w14:textId="77777777" w:rsidR="003453CD" w:rsidRDefault="00B544AA" w:rsidP="000A1EA9">
            <w:pPr>
              <w:pStyle w:val="Tabelltekst"/>
              <w:jc w:val="center"/>
              <w:rPr>
                <w:snapToGrid w:val="0"/>
                <w:sz w:val="20"/>
              </w:rPr>
            </w:pPr>
            <w:r>
              <w:rPr>
                <w:snapToGrid w:val="0"/>
                <w:sz w:val="20"/>
              </w:rPr>
              <w:t xml:space="preserve">2 ½ </w:t>
            </w:r>
          </w:p>
        </w:tc>
        <w:tc>
          <w:tcPr>
            <w:tcW w:w="290" w:type="pct"/>
            <w:tcBorders>
              <w:bottom w:val="single" w:sz="4" w:space="0" w:color="auto"/>
            </w:tcBorders>
            <w:shd w:val="solid" w:color="FFFFFF" w:fill="auto"/>
            <w:vAlign w:val="bottom"/>
          </w:tcPr>
          <w:p w14:paraId="26DC5C75" w14:textId="77777777" w:rsidR="003453CD" w:rsidRDefault="00B544AA" w:rsidP="000A1EA9">
            <w:pPr>
              <w:pStyle w:val="Tabelltekst"/>
              <w:jc w:val="center"/>
              <w:rPr>
                <w:snapToGrid w:val="0"/>
                <w:sz w:val="20"/>
              </w:rPr>
            </w:pPr>
            <w:r>
              <w:rPr>
                <w:snapToGrid w:val="0"/>
                <w:sz w:val="20"/>
              </w:rPr>
              <w:t xml:space="preserve">2 ½ </w:t>
            </w:r>
          </w:p>
        </w:tc>
        <w:tc>
          <w:tcPr>
            <w:tcW w:w="409" w:type="pct"/>
            <w:tcBorders>
              <w:bottom w:val="single" w:sz="4" w:space="0" w:color="auto"/>
            </w:tcBorders>
            <w:vAlign w:val="bottom"/>
          </w:tcPr>
          <w:p w14:paraId="6ED3CEDD" w14:textId="77777777" w:rsidR="003453CD" w:rsidRDefault="00B544AA" w:rsidP="000A1EA9">
            <w:pPr>
              <w:pStyle w:val="Tabelltekst"/>
              <w:jc w:val="center"/>
              <w:rPr>
                <w:snapToGrid w:val="0"/>
                <w:sz w:val="20"/>
              </w:rPr>
            </w:pPr>
            <w:r>
              <w:rPr>
                <w:snapToGrid w:val="0"/>
                <w:sz w:val="20"/>
              </w:rPr>
              <w:t xml:space="preserve">2 ½ </w:t>
            </w:r>
          </w:p>
        </w:tc>
        <w:tc>
          <w:tcPr>
            <w:tcW w:w="479" w:type="pct"/>
            <w:tcBorders>
              <w:bottom w:val="single" w:sz="4" w:space="0" w:color="auto"/>
            </w:tcBorders>
            <w:vAlign w:val="bottom"/>
          </w:tcPr>
          <w:p w14:paraId="4EB3F6BC" w14:textId="77777777" w:rsidR="003453CD" w:rsidRDefault="003453CD" w:rsidP="000A1EA9">
            <w:pPr>
              <w:pStyle w:val="Tabelltekst"/>
              <w:jc w:val="center"/>
              <w:rPr>
                <w:snapToGrid w:val="0"/>
                <w:sz w:val="20"/>
              </w:rPr>
            </w:pPr>
            <w:r>
              <w:rPr>
                <w:snapToGrid w:val="0"/>
                <w:sz w:val="20"/>
              </w:rPr>
              <w:t>3,3</w:t>
            </w:r>
          </w:p>
        </w:tc>
        <w:tc>
          <w:tcPr>
            <w:tcW w:w="345" w:type="pct"/>
            <w:tcBorders>
              <w:bottom w:val="single" w:sz="4" w:space="0" w:color="auto"/>
            </w:tcBorders>
            <w:vAlign w:val="bottom"/>
          </w:tcPr>
          <w:p w14:paraId="690D6D46" w14:textId="77777777" w:rsidR="003453CD" w:rsidRDefault="003453CD" w:rsidP="000A1EA9">
            <w:pPr>
              <w:pStyle w:val="Tabelltekst"/>
              <w:jc w:val="center"/>
              <w:rPr>
                <w:sz w:val="20"/>
              </w:rPr>
            </w:pPr>
            <w:r>
              <w:rPr>
                <w:sz w:val="20"/>
              </w:rPr>
              <w:t>4,2</w:t>
            </w:r>
          </w:p>
        </w:tc>
        <w:tc>
          <w:tcPr>
            <w:tcW w:w="394" w:type="pct"/>
            <w:tcBorders>
              <w:bottom w:val="single" w:sz="4" w:space="0" w:color="auto"/>
            </w:tcBorders>
          </w:tcPr>
          <w:p w14:paraId="4326149C" w14:textId="24138532" w:rsidR="003453CD" w:rsidRDefault="007A299C" w:rsidP="000A1EA9">
            <w:pPr>
              <w:pStyle w:val="Tabelltekst"/>
              <w:jc w:val="center"/>
              <w:rPr>
                <w:sz w:val="20"/>
              </w:rPr>
            </w:pPr>
            <w:r>
              <w:rPr>
                <w:sz w:val="20"/>
              </w:rPr>
              <w:t>3,1</w:t>
            </w:r>
          </w:p>
        </w:tc>
        <w:tc>
          <w:tcPr>
            <w:tcW w:w="296" w:type="pct"/>
            <w:tcBorders>
              <w:bottom w:val="single" w:sz="4" w:space="0" w:color="auto"/>
            </w:tcBorders>
            <w:vAlign w:val="bottom"/>
          </w:tcPr>
          <w:p w14:paraId="26F17A04" w14:textId="3E68A4F0" w:rsidR="003453CD" w:rsidRDefault="00593E4E" w:rsidP="000A1EA9">
            <w:pPr>
              <w:pStyle w:val="Tabelltekst"/>
              <w:jc w:val="center"/>
              <w:rPr>
                <w:sz w:val="20"/>
              </w:rPr>
            </w:pPr>
            <w:r>
              <w:rPr>
                <w:sz w:val="20"/>
              </w:rPr>
              <w:t xml:space="preserve">2 ¾ </w:t>
            </w:r>
          </w:p>
        </w:tc>
        <w:tc>
          <w:tcPr>
            <w:tcW w:w="507" w:type="pct"/>
            <w:tcBorders>
              <w:bottom w:val="single" w:sz="4" w:space="0" w:color="auto"/>
            </w:tcBorders>
            <w:vAlign w:val="bottom"/>
          </w:tcPr>
          <w:p w14:paraId="18E2C106" w14:textId="6D96D417" w:rsidR="003453CD" w:rsidRDefault="005F6B6D" w:rsidP="005F6B6D">
            <w:pPr>
              <w:pStyle w:val="Tabelltekst"/>
              <w:jc w:val="center"/>
              <w:rPr>
                <w:sz w:val="20"/>
              </w:rPr>
            </w:pPr>
            <w:r>
              <w:rPr>
                <w:sz w:val="20"/>
              </w:rPr>
              <w:t>3 ¼</w:t>
            </w:r>
            <w:r w:rsidR="00901A80">
              <w:rPr>
                <w:sz w:val="20"/>
                <w:vertAlign w:val="superscript"/>
              </w:rPr>
              <w:t>6</w:t>
            </w:r>
          </w:p>
        </w:tc>
        <w:tc>
          <w:tcPr>
            <w:tcW w:w="452" w:type="pct"/>
            <w:tcBorders>
              <w:bottom w:val="single" w:sz="4" w:space="0" w:color="auto"/>
            </w:tcBorders>
            <w:vAlign w:val="bottom"/>
          </w:tcPr>
          <w:p w14:paraId="4E13C74A" w14:textId="4E536B2B" w:rsidR="003453CD" w:rsidRDefault="005F6B6D" w:rsidP="000A1EA9">
            <w:pPr>
              <w:pStyle w:val="Tabelltekst"/>
              <w:jc w:val="center"/>
              <w:rPr>
                <w:sz w:val="20"/>
              </w:rPr>
            </w:pPr>
            <w:r>
              <w:rPr>
                <w:sz w:val="20"/>
              </w:rPr>
              <w:t>4</w:t>
            </w:r>
            <w:r w:rsidR="00901A80">
              <w:rPr>
                <w:sz w:val="20"/>
                <w:vertAlign w:val="superscript"/>
              </w:rPr>
              <w:t>6</w:t>
            </w:r>
          </w:p>
        </w:tc>
        <w:tc>
          <w:tcPr>
            <w:tcW w:w="331" w:type="pct"/>
            <w:tcBorders>
              <w:bottom w:val="single" w:sz="4" w:space="0" w:color="auto"/>
            </w:tcBorders>
            <w:shd w:val="solid" w:color="FFFFFF" w:fill="auto"/>
          </w:tcPr>
          <w:p w14:paraId="67D13FFE" w14:textId="7143315A" w:rsidR="003453CD" w:rsidRDefault="005F6B6D" w:rsidP="000A1EA9">
            <w:pPr>
              <w:pStyle w:val="Tabelltekst"/>
              <w:jc w:val="center"/>
              <w:rPr>
                <w:sz w:val="20"/>
              </w:rPr>
            </w:pPr>
            <w:r>
              <w:rPr>
                <w:sz w:val="20"/>
              </w:rPr>
              <w:t>3 ¼</w:t>
            </w:r>
            <w:r w:rsidR="00901A80">
              <w:rPr>
                <w:sz w:val="20"/>
                <w:vertAlign w:val="superscript"/>
              </w:rPr>
              <w:t>6</w:t>
            </w:r>
          </w:p>
        </w:tc>
        <w:tc>
          <w:tcPr>
            <w:tcW w:w="91" w:type="pct"/>
            <w:tcBorders>
              <w:bottom w:val="single" w:sz="4" w:space="0" w:color="auto"/>
            </w:tcBorders>
            <w:shd w:val="solid" w:color="FFFFFF" w:fill="auto"/>
          </w:tcPr>
          <w:p w14:paraId="6190D281" w14:textId="77777777" w:rsidR="003453CD" w:rsidRDefault="003453CD" w:rsidP="000A1EA9">
            <w:pPr>
              <w:pStyle w:val="Tabelltekst"/>
              <w:jc w:val="center"/>
              <w:rPr>
                <w:sz w:val="20"/>
              </w:rPr>
            </w:pPr>
          </w:p>
        </w:tc>
        <w:tc>
          <w:tcPr>
            <w:tcW w:w="378" w:type="pct"/>
            <w:tcBorders>
              <w:bottom w:val="single" w:sz="4" w:space="0" w:color="auto"/>
            </w:tcBorders>
            <w:shd w:val="solid" w:color="FFFFFF" w:fill="auto"/>
            <w:vAlign w:val="bottom"/>
          </w:tcPr>
          <w:p w14:paraId="0BE899E6" w14:textId="77777777" w:rsidR="003453CD" w:rsidRDefault="00B544AA" w:rsidP="000A1EA9">
            <w:pPr>
              <w:pStyle w:val="Tabelltekst"/>
              <w:jc w:val="center"/>
              <w:rPr>
                <w:sz w:val="20"/>
              </w:rPr>
            </w:pPr>
            <w:r>
              <w:rPr>
                <w:sz w:val="20"/>
              </w:rPr>
              <w:t xml:space="preserve">2 ¾ </w:t>
            </w:r>
          </w:p>
        </w:tc>
        <w:tc>
          <w:tcPr>
            <w:tcW w:w="288" w:type="pct"/>
            <w:gridSpan w:val="2"/>
            <w:tcBorders>
              <w:bottom w:val="single" w:sz="4" w:space="0" w:color="auto"/>
            </w:tcBorders>
            <w:shd w:val="solid" w:color="FFFFFF" w:fill="auto"/>
            <w:vAlign w:val="bottom"/>
          </w:tcPr>
          <w:p w14:paraId="7564C9C5" w14:textId="77777777" w:rsidR="003453CD" w:rsidRDefault="00B544AA" w:rsidP="000A1EA9">
            <w:pPr>
              <w:pStyle w:val="Tabelltekst"/>
              <w:jc w:val="center"/>
              <w:rPr>
                <w:sz w:val="20"/>
              </w:rPr>
            </w:pPr>
            <w:r>
              <w:rPr>
                <w:sz w:val="20"/>
              </w:rPr>
              <w:t xml:space="preserve">2 ¾ </w:t>
            </w:r>
          </w:p>
        </w:tc>
      </w:tr>
      <w:tr w:rsidR="00975AD2" w:rsidRPr="00777AF3" w14:paraId="4DEE0C20" w14:textId="77777777" w:rsidTr="00ED3B72">
        <w:trPr>
          <w:cantSplit/>
          <w:trHeight w:val="244"/>
          <w:jc w:val="right"/>
        </w:trPr>
        <w:tc>
          <w:tcPr>
            <w:tcW w:w="412" w:type="pct"/>
            <w:tcBorders>
              <w:top w:val="single" w:sz="4" w:space="0" w:color="auto"/>
            </w:tcBorders>
            <w:vAlign w:val="bottom"/>
          </w:tcPr>
          <w:p w14:paraId="516F00F1" w14:textId="77777777" w:rsidR="007A299C" w:rsidRPr="00777AF3" w:rsidRDefault="007A299C" w:rsidP="007A299C">
            <w:pPr>
              <w:pStyle w:val="Tabelltekst"/>
              <w:rPr>
                <w:sz w:val="20"/>
              </w:rPr>
            </w:pPr>
            <w:r w:rsidRPr="00777AF3">
              <w:rPr>
                <w:sz w:val="20"/>
              </w:rPr>
              <w:t>200</w:t>
            </w:r>
            <w:r>
              <w:rPr>
                <w:sz w:val="20"/>
              </w:rPr>
              <w:t>5</w:t>
            </w:r>
            <w:r w:rsidRPr="00777AF3">
              <w:rPr>
                <w:sz w:val="20"/>
              </w:rPr>
              <w:t>-20</w:t>
            </w:r>
            <w:r>
              <w:rPr>
                <w:sz w:val="20"/>
              </w:rPr>
              <w:t>10</w:t>
            </w:r>
          </w:p>
        </w:tc>
        <w:tc>
          <w:tcPr>
            <w:tcW w:w="328" w:type="pct"/>
            <w:tcBorders>
              <w:top w:val="single" w:sz="4" w:space="0" w:color="auto"/>
            </w:tcBorders>
            <w:vAlign w:val="bottom"/>
          </w:tcPr>
          <w:p w14:paraId="2A83F61E" w14:textId="49C8B421" w:rsidR="007A299C" w:rsidRPr="006E1B5A" w:rsidRDefault="007A299C" w:rsidP="007A299C">
            <w:pPr>
              <w:pStyle w:val="Tabelltekst"/>
              <w:jc w:val="center"/>
              <w:rPr>
                <w:snapToGrid w:val="0"/>
                <w:sz w:val="20"/>
              </w:rPr>
            </w:pPr>
            <w:r>
              <w:rPr>
                <w:sz w:val="20"/>
              </w:rPr>
              <w:t>26,4</w:t>
            </w:r>
          </w:p>
        </w:tc>
        <w:tc>
          <w:tcPr>
            <w:tcW w:w="290" w:type="pct"/>
            <w:tcBorders>
              <w:top w:val="single" w:sz="4" w:space="0" w:color="auto"/>
            </w:tcBorders>
            <w:shd w:val="solid" w:color="FFFFFF" w:fill="auto"/>
            <w:vAlign w:val="bottom"/>
          </w:tcPr>
          <w:p w14:paraId="2385AB33" w14:textId="33B33BD1" w:rsidR="007A299C" w:rsidRPr="006E1B5A" w:rsidRDefault="007A299C" w:rsidP="007A299C">
            <w:pPr>
              <w:pStyle w:val="Tabelltekst"/>
              <w:jc w:val="center"/>
              <w:rPr>
                <w:snapToGrid w:val="0"/>
                <w:sz w:val="20"/>
              </w:rPr>
            </w:pPr>
            <w:r>
              <w:rPr>
                <w:sz w:val="20"/>
              </w:rPr>
              <w:t>24,4</w:t>
            </w:r>
          </w:p>
        </w:tc>
        <w:tc>
          <w:tcPr>
            <w:tcW w:w="409" w:type="pct"/>
            <w:tcBorders>
              <w:top w:val="single" w:sz="4" w:space="0" w:color="auto"/>
            </w:tcBorders>
            <w:shd w:val="solid" w:color="FFFFFF" w:fill="auto"/>
            <w:vAlign w:val="bottom"/>
          </w:tcPr>
          <w:p w14:paraId="5A05963F" w14:textId="7E0A94FE" w:rsidR="007A299C" w:rsidRPr="006E1B5A" w:rsidRDefault="007A299C" w:rsidP="007A299C">
            <w:pPr>
              <w:pStyle w:val="Tabelltekst"/>
              <w:jc w:val="center"/>
              <w:rPr>
                <w:snapToGrid w:val="0"/>
                <w:sz w:val="20"/>
              </w:rPr>
            </w:pPr>
            <w:r>
              <w:rPr>
                <w:sz w:val="20"/>
              </w:rPr>
              <w:t>28,1</w:t>
            </w:r>
          </w:p>
        </w:tc>
        <w:tc>
          <w:tcPr>
            <w:tcW w:w="479" w:type="pct"/>
            <w:tcBorders>
              <w:top w:val="single" w:sz="4" w:space="0" w:color="auto"/>
            </w:tcBorders>
            <w:shd w:val="solid" w:color="FFFFFF" w:fill="auto"/>
            <w:vAlign w:val="bottom"/>
          </w:tcPr>
          <w:p w14:paraId="2361DD1C" w14:textId="05D34851" w:rsidR="007A299C" w:rsidRPr="006E1B5A" w:rsidRDefault="007A299C" w:rsidP="007A299C">
            <w:pPr>
              <w:pStyle w:val="Tabelltekst"/>
              <w:jc w:val="center"/>
              <w:rPr>
                <w:snapToGrid w:val="0"/>
                <w:sz w:val="20"/>
              </w:rPr>
            </w:pPr>
            <w:r>
              <w:rPr>
                <w:sz w:val="20"/>
              </w:rPr>
              <w:t>20,5</w:t>
            </w:r>
          </w:p>
        </w:tc>
        <w:tc>
          <w:tcPr>
            <w:tcW w:w="345" w:type="pct"/>
            <w:tcBorders>
              <w:top w:val="single" w:sz="4" w:space="0" w:color="auto"/>
            </w:tcBorders>
            <w:shd w:val="solid" w:color="FFFFFF" w:fill="auto"/>
            <w:vAlign w:val="bottom"/>
          </w:tcPr>
          <w:p w14:paraId="7C6C3610" w14:textId="158A06B2" w:rsidR="007A299C" w:rsidRPr="006E1B5A" w:rsidRDefault="007A299C" w:rsidP="007A299C">
            <w:pPr>
              <w:pStyle w:val="Tabelltekst"/>
              <w:jc w:val="center"/>
              <w:rPr>
                <w:snapToGrid w:val="0"/>
                <w:sz w:val="20"/>
              </w:rPr>
            </w:pPr>
            <w:r>
              <w:rPr>
                <w:sz w:val="20"/>
              </w:rPr>
              <w:t>29,0</w:t>
            </w:r>
          </w:p>
        </w:tc>
        <w:tc>
          <w:tcPr>
            <w:tcW w:w="394" w:type="pct"/>
            <w:tcBorders>
              <w:top w:val="single" w:sz="4" w:space="0" w:color="auto"/>
            </w:tcBorders>
            <w:shd w:val="solid" w:color="FFFFFF" w:fill="auto"/>
            <w:vAlign w:val="bottom"/>
          </w:tcPr>
          <w:p w14:paraId="5E62FB2C" w14:textId="7B8A34C6" w:rsidR="007A299C" w:rsidRPr="006E1B5A" w:rsidRDefault="007A299C" w:rsidP="007A299C">
            <w:pPr>
              <w:pStyle w:val="Tabelltekst"/>
              <w:jc w:val="center"/>
              <w:rPr>
                <w:snapToGrid w:val="0"/>
                <w:sz w:val="20"/>
              </w:rPr>
            </w:pPr>
            <w:r>
              <w:rPr>
                <w:sz w:val="20"/>
              </w:rPr>
              <w:t>26,3</w:t>
            </w:r>
          </w:p>
        </w:tc>
        <w:tc>
          <w:tcPr>
            <w:tcW w:w="296" w:type="pct"/>
            <w:tcBorders>
              <w:top w:val="single" w:sz="4" w:space="0" w:color="auto"/>
            </w:tcBorders>
            <w:shd w:val="solid" w:color="FFFFFF" w:fill="auto"/>
            <w:vAlign w:val="bottom"/>
          </w:tcPr>
          <w:p w14:paraId="164AAE77" w14:textId="5ADE9FCD" w:rsidR="007A299C" w:rsidRPr="006E1B5A" w:rsidRDefault="007A299C" w:rsidP="007A299C">
            <w:pPr>
              <w:pStyle w:val="Tabelltekst"/>
              <w:jc w:val="center"/>
              <w:rPr>
                <w:snapToGrid w:val="0"/>
                <w:sz w:val="20"/>
              </w:rPr>
            </w:pPr>
            <w:r>
              <w:rPr>
                <w:sz w:val="20"/>
              </w:rPr>
              <w:t>27,8</w:t>
            </w:r>
          </w:p>
        </w:tc>
        <w:tc>
          <w:tcPr>
            <w:tcW w:w="507" w:type="pct"/>
            <w:tcBorders>
              <w:top w:val="single" w:sz="4" w:space="0" w:color="auto"/>
            </w:tcBorders>
            <w:shd w:val="solid" w:color="FFFFFF" w:fill="auto"/>
            <w:vAlign w:val="bottom"/>
          </w:tcPr>
          <w:p w14:paraId="4A13B8C9" w14:textId="0F8983EE" w:rsidR="007A299C" w:rsidRPr="006E1B5A" w:rsidRDefault="007A299C" w:rsidP="007A299C">
            <w:pPr>
              <w:pStyle w:val="Tabelltekst"/>
              <w:jc w:val="center"/>
              <w:rPr>
                <w:snapToGrid w:val="0"/>
                <w:sz w:val="20"/>
              </w:rPr>
            </w:pPr>
            <w:r>
              <w:rPr>
                <w:sz w:val="20"/>
              </w:rPr>
              <w:t>26,0</w:t>
            </w:r>
          </w:p>
        </w:tc>
        <w:tc>
          <w:tcPr>
            <w:tcW w:w="452" w:type="pct"/>
            <w:tcBorders>
              <w:top w:val="single" w:sz="4" w:space="0" w:color="auto"/>
            </w:tcBorders>
            <w:shd w:val="solid" w:color="FFFFFF" w:fill="auto"/>
            <w:vAlign w:val="bottom"/>
          </w:tcPr>
          <w:p w14:paraId="71A4E1A4" w14:textId="2996F0AB" w:rsidR="007A299C" w:rsidRPr="006E1B5A" w:rsidRDefault="007A299C" w:rsidP="007A299C">
            <w:pPr>
              <w:pStyle w:val="Tabelltekst"/>
              <w:jc w:val="center"/>
              <w:rPr>
                <w:snapToGrid w:val="0"/>
                <w:sz w:val="20"/>
              </w:rPr>
            </w:pPr>
            <w:r>
              <w:rPr>
                <w:sz w:val="20"/>
              </w:rPr>
              <w:t>21,5</w:t>
            </w:r>
          </w:p>
        </w:tc>
        <w:tc>
          <w:tcPr>
            <w:tcW w:w="331" w:type="pct"/>
            <w:tcBorders>
              <w:top w:val="single" w:sz="4" w:space="0" w:color="auto"/>
            </w:tcBorders>
            <w:vAlign w:val="bottom"/>
          </w:tcPr>
          <w:p w14:paraId="5D713CA0" w14:textId="1E9B943C" w:rsidR="007A299C" w:rsidRPr="006E1B5A" w:rsidRDefault="007A299C" w:rsidP="007A299C">
            <w:pPr>
              <w:pStyle w:val="Tabelltekst"/>
              <w:jc w:val="center"/>
              <w:rPr>
                <w:snapToGrid w:val="0"/>
                <w:sz w:val="20"/>
              </w:rPr>
            </w:pPr>
            <w:r>
              <w:rPr>
                <w:sz w:val="20"/>
              </w:rPr>
              <w:t>28,0</w:t>
            </w:r>
          </w:p>
        </w:tc>
        <w:tc>
          <w:tcPr>
            <w:tcW w:w="91" w:type="pct"/>
            <w:tcBorders>
              <w:top w:val="single" w:sz="4" w:space="0" w:color="auto"/>
            </w:tcBorders>
            <w:vAlign w:val="bottom"/>
          </w:tcPr>
          <w:p w14:paraId="5C2F9D44" w14:textId="77777777" w:rsidR="007A299C" w:rsidRPr="006E1B5A" w:rsidRDefault="007A299C" w:rsidP="007A299C">
            <w:pPr>
              <w:pStyle w:val="Tabelltekst"/>
              <w:jc w:val="center"/>
              <w:rPr>
                <w:snapToGrid w:val="0"/>
                <w:sz w:val="20"/>
              </w:rPr>
            </w:pPr>
          </w:p>
        </w:tc>
        <w:tc>
          <w:tcPr>
            <w:tcW w:w="378" w:type="pct"/>
            <w:tcBorders>
              <w:top w:val="single" w:sz="4" w:space="0" w:color="auto"/>
            </w:tcBorders>
            <w:vAlign w:val="bottom"/>
          </w:tcPr>
          <w:p w14:paraId="29B11D0F" w14:textId="58CE6650" w:rsidR="007A299C" w:rsidRPr="006E1B5A" w:rsidRDefault="007A299C" w:rsidP="007A299C">
            <w:pPr>
              <w:pStyle w:val="Tabelltekst"/>
              <w:jc w:val="center"/>
              <w:rPr>
                <w:snapToGrid w:val="0"/>
                <w:sz w:val="20"/>
              </w:rPr>
            </w:pPr>
            <w:r>
              <w:rPr>
                <w:sz w:val="20"/>
              </w:rPr>
              <w:t>26,0</w:t>
            </w:r>
          </w:p>
        </w:tc>
        <w:tc>
          <w:tcPr>
            <w:tcW w:w="288" w:type="pct"/>
            <w:gridSpan w:val="2"/>
            <w:tcBorders>
              <w:top w:val="single" w:sz="4" w:space="0" w:color="auto"/>
            </w:tcBorders>
            <w:vAlign w:val="bottom"/>
          </w:tcPr>
          <w:p w14:paraId="0AB49CBF" w14:textId="0137F7CA" w:rsidR="007A299C" w:rsidRPr="006E1B5A" w:rsidRDefault="007A299C" w:rsidP="007A299C">
            <w:pPr>
              <w:pStyle w:val="Tabelltekst"/>
              <w:jc w:val="center"/>
              <w:rPr>
                <w:snapToGrid w:val="0"/>
                <w:sz w:val="20"/>
              </w:rPr>
            </w:pPr>
            <w:r>
              <w:rPr>
                <w:sz w:val="20"/>
              </w:rPr>
              <w:t>26,2</w:t>
            </w:r>
          </w:p>
        </w:tc>
      </w:tr>
      <w:tr w:rsidR="00975AD2" w:rsidRPr="00777AF3" w14:paraId="777C0466" w14:textId="77777777" w:rsidTr="00ED3B72">
        <w:trPr>
          <w:cantSplit/>
          <w:trHeight w:val="245"/>
          <w:jc w:val="right"/>
        </w:trPr>
        <w:tc>
          <w:tcPr>
            <w:tcW w:w="412" w:type="pct"/>
            <w:vAlign w:val="bottom"/>
          </w:tcPr>
          <w:p w14:paraId="4053FF11" w14:textId="77777777" w:rsidR="007A299C" w:rsidRPr="00777AF3" w:rsidRDefault="007A299C" w:rsidP="007A299C">
            <w:pPr>
              <w:pStyle w:val="Tabelltekst"/>
              <w:rPr>
                <w:sz w:val="20"/>
              </w:rPr>
            </w:pPr>
            <w:r w:rsidRPr="00777AF3">
              <w:rPr>
                <w:sz w:val="20"/>
              </w:rPr>
              <w:t>Gj. sn. per år</w:t>
            </w:r>
          </w:p>
        </w:tc>
        <w:tc>
          <w:tcPr>
            <w:tcW w:w="328" w:type="pct"/>
            <w:vAlign w:val="bottom"/>
          </w:tcPr>
          <w:p w14:paraId="716D080A" w14:textId="7702CCD4" w:rsidR="007A299C" w:rsidRPr="006E1B5A" w:rsidRDefault="007A299C" w:rsidP="007A299C">
            <w:pPr>
              <w:pStyle w:val="Tabelltekst"/>
              <w:jc w:val="center"/>
              <w:rPr>
                <w:snapToGrid w:val="0"/>
                <w:sz w:val="20"/>
              </w:rPr>
            </w:pPr>
            <w:r>
              <w:rPr>
                <w:sz w:val="20"/>
              </w:rPr>
              <w:t>4,8</w:t>
            </w:r>
          </w:p>
        </w:tc>
        <w:tc>
          <w:tcPr>
            <w:tcW w:w="290" w:type="pct"/>
            <w:vAlign w:val="bottom"/>
          </w:tcPr>
          <w:p w14:paraId="7EDA51CD" w14:textId="4178EB42" w:rsidR="007A299C" w:rsidRPr="006E1B5A" w:rsidRDefault="007A299C" w:rsidP="007A299C">
            <w:pPr>
              <w:pStyle w:val="Tabelltekst"/>
              <w:jc w:val="center"/>
              <w:rPr>
                <w:snapToGrid w:val="0"/>
                <w:sz w:val="20"/>
              </w:rPr>
            </w:pPr>
            <w:r>
              <w:rPr>
                <w:sz w:val="20"/>
              </w:rPr>
              <w:t>4,5</w:t>
            </w:r>
          </w:p>
        </w:tc>
        <w:tc>
          <w:tcPr>
            <w:tcW w:w="409" w:type="pct"/>
            <w:vAlign w:val="bottom"/>
          </w:tcPr>
          <w:p w14:paraId="18813483" w14:textId="56E621C3" w:rsidR="007A299C" w:rsidRPr="006E1B5A" w:rsidRDefault="007A299C" w:rsidP="007A299C">
            <w:pPr>
              <w:pStyle w:val="Tabelltekst"/>
              <w:jc w:val="center"/>
              <w:rPr>
                <w:snapToGrid w:val="0"/>
                <w:sz w:val="20"/>
              </w:rPr>
            </w:pPr>
            <w:r>
              <w:rPr>
                <w:sz w:val="20"/>
              </w:rPr>
              <w:t>5,1</w:t>
            </w:r>
          </w:p>
        </w:tc>
        <w:tc>
          <w:tcPr>
            <w:tcW w:w="479" w:type="pct"/>
            <w:vAlign w:val="bottom"/>
          </w:tcPr>
          <w:p w14:paraId="2FC855FD" w14:textId="6B2FA823" w:rsidR="007A299C" w:rsidRPr="006E1B5A" w:rsidRDefault="007A299C" w:rsidP="007A299C">
            <w:pPr>
              <w:pStyle w:val="Tabelltekst"/>
              <w:jc w:val="center"/>
              <w:rPr>
                <w:snapToGrid w:val="0"/>
                <w:sz w:val="20"/>
              </w:rPr>
            </w:pPr>
            <w:r>
              <w:rPr>
                <w:sz w:val="20"/>
              </w:rPr>
              <w:t>3,8</w:t>
            </w:r>
          </w:p>
        </w:tc>
        <w:tc>
          <w:tcPr>
            <w:tcW w:w="345" w:type="pct"/>
            <w:vAlign w:val="bottom"/>
          </w:tcPr>
          <w:p w14:paraId="3397A0EE" w14:textId="1E523FE0" w:rsidR="007A299C" w:rsidRPr="006E1B5A" w:rsidRDefault="007A299C" w:rsidP="007A299C">
            <w:pPr>
              <w:pStyle w:val="Tabelltekst"/>
              <w:jc w:val="center"/>
              <w:rPr>
                <w:snapToGrid w:val="0"/>
                <w:sz w:val="20"/>
              </w:rPr>
            </w:pPr>
            <w:r>
              <w:rPr>
                <w:sz w:val="20"/>
              </w:rPr>
              <w:t>5,2</w:t>
            </w:r>
          </w:p>
        </w:tc>
        <w:tc>
          <w:tcPr>
            <w:tcW w:w="394" w:type="pct"/>
            <w:vAlign w:val="bottom"/>
          </w:tcPr>
          <w:p w14:paraId="5B059204" w14:textId="00178ABE" w:rsidR="007A299C" w:rsidRPr="006E1B5A" w:rsidRDefault="007A299C" w:rsidP="007A299C">
            <w:pPr>
              <w:pStyle w:val="Tabelltekst"/>
              <w:jc w:val="center"/>
              <w:rPr>
                <w:snapToGrid w:val="0"/>
                <w:sz w:val="20"/>
              </w:rPr>
            </w:pPr>
            <w:r>
              <w:rPr>
                <w:sz w:val="20"/>
              </w:rPr>
              <w:t>4,8</w:t>
            </w:r>
          </w:p>
        </w:tc>
        <w:tc>
          <w:tcPr>
            <w:tcW w:w="296" w:type="pct"/>
            <w:vAlign w:val="bottom"/>
          </w:tcPr>
          <w:p w14:paraId="7FBF8F32" w14:textId="29A57130" w:rsidR="007A299C" w:rsidRPr="006E1B5A" w:rsidRDefault="007A299C" w:rsidP="007A299C">
            <w:pPr>
              <w:pStyle w:val="Tabelltekst"/>
              <w:jc w:val="center"/>
              <w:rPr>
                <w:snapToGrid w:val="0"/>
                <w:sz w:val="20"/>
              </w:rPr>
            </w:pPr>
            <w:r>
              <w:rPr>
                <w:sz w:val="20"/>
              </w:rPr>
              <w:t>5,0</w:t>
            </w:r>
          </w:p>
        </w:tc>
        <w:tc>
          <w:tcPr>
            <w:tcW w:w="507" w:type="pct"/>
            <w:vAlign w:val="bottom"/>
          </w:tcPr>
          <w:p w14:paraId="72E57902" w14:textId="5192798B" w:rsidR="007A299C" w:rsidRPr="006E1B5A" w:rsidRDefault="007A299C" w:rsidP="007A299C">
            <w:pPr>
              <w:pStyle w:val="Tabelltekst"/>
              <w:jc w:val="center"/>
              <w:rPr>
                <w:snapToGrid w:val="0"/>
                <w:sz w:val="20"/>
              </w:rPr>
            </w:pPr>
            <w:r>
              <w:rPr>
                <w:sz w:val="20"/>
              </w:rPr>
              <w:t>4,7</w:t>
            </w:r>
          </w:p>
        </w:tc>
        <w:tc>
          <w:tcPr>
            <w:tcW w:w="452" w:type="pct"/>
            <w:vAlign w:val="bottom"/>
          </w:tcPr>
          <w:p w14:paraId="686027B4" w14:textId="7B4DA8BA" w:rsidR="007A299C" w:rsidRPr="006E1B5A" w:rsidRDefault="007A299C" w:rsidP="007A299C">
            <w:pPr>
              <w:pStyle w:val="Tabelltekst"/>
              <w:jc w:val="center"/>
              <w:rPr>
                <w:snapToGrid w:val="0"/>
                <w:sz w:val="20"/>
              </w:rPr>
            </w:pPr>
            <w:r>
              <w:rPr>
                <w:sz w:val="20"/>
              </w:rPr>
              <w:t>4,0</w:t>
            </w:r>
          </w:p>
        </w:tc>
        <w:tc>
          <w:tcPr>
            <w:tcW w:w="331" w:type="pct"/>
            <w:shd w:val="solid" w:color="FFFFFF" w:fill="auto"/>
            <w:vAlign w:val="bottom"/>
          </w:tcPr>
          <w:p w14:paraId="4BE00679" w14:textId="6D4EE29A" w:rsidR="007A299C" w:rsidRPr="006E1B5A" w:rsidRDefault="007A299C" w:rsidP="007A299C">
            <w:pPr>
              <w:pStyle w:val="Tabelltekst"/>
              <w:jc w:val="center"/>
              <w:rPr>
                <w:snapToGrid w:val="0"/>
                <w:sz w:val="20"/>
              </w:rPr>
            </w:pPr>
            <w:r>
              <w:rPr>
                <w:sz w:val="20"/>
              </w:rPr>
              <w:t>5,1</w:t>
            </w:r>
          </w:p>
        </w:tc>
        <w:tc>
          <w:tcPr>
            <w:tcW w:w="91" w:type="pct"/>
            <w:shd w:val="solid" w:color="FFFFFF" w:fill="auto"/>
            <w:vAlign w:val="bottom"/>
          </w:tcPr>
          <w:p w14:paraId="6C6520E1" w14:textId="77777777" w:rsidR="007A299C" w:rsidRPr="006E1B5A" w:rsidRDefault="007A299C" w:rsidP="007A299C">
            <w:pPr>
              <w:pStyle w:val="Tabelltekst"/>
              <w:jc w:val="center"/>
              <w:rPr>
                <w:snapToGrid w:val="0"/>
                <w:sz w:val="20"/>
              </w:rPr>
            </w:pPr>
          </w:p>
        </w:tc>
        <w:tc>
          <w:tcPr>
            <w:tcW w:w="378" w:type="pct"/>
            <w:shd w:val="solid" w:color="FFFFFF" w:fill="auto"/>
            <w:vAlign w:val="bottom"/>
          </w:tcPr>
          <w:p w14:paraId="7EAB382B" w14:textId="5B29A300" w:rsidR="007A299C" w:rsidRPr="006E1B5A" w:rsidRDefault="007A299C" w:rsidP="007A299C">
            <w:pPr>
              <w:pStyle w:val="Tabelltekst"/>
              <w:jc w:val="center"/>
              <w:rPr>
                <w:snapToGrid w:val="0"/>
                <w:sz w:val="20"/>
              </w:rPr>
            </w:pPr>
            <w:r>
              <w:rPr>
                <w:sz w:val="20"/>
              </w:rPr>
              <w:t>4,7</w:t>
            </w:r>
          </w:p>
        </w:tc>
        <w:tc>
          <w:tcPr>
            <w:tcW w:w="288" w:type="pct"/>
            <w:gridSpan w:val="2"/>
            <w:shd w:val="solid" w:color="FFFFFF" w:fill="auto"/>
            <w:vAlign w:val="bottom"/>
          </w:tcPr>
          <w:p w14:paraId="0996C123" w14:textId="675F0DB1" w:rsidR="007A299C" w:rsidRPr="006E1B5A" w:rsidRDefault="007A299C" w:rsidP="007A299C">
            <w:pPr>
              <w:pStyle w:val="Tabelltekst"/>
              <w:jc w:val="center"/>
              <w:rPr>
                <w:snapToGrid w:val="0"/>
                <w:sz w:val="20"/>
              </w:rPr>
            </w:pPr>
            <w:r>
              <w:rPr>
                <w:sz w:val="20"/>
              </w:rPr>
              <w:t>4,8</w:t>
            </w:r>
          </w:p>
        </w:tc>
      </w:tr>
      <w:tr w:rsidR="00975AD2" w:rsidRPr="00777AF3" w14:paraId="38569767" w14:textId="77777777" w:rsidTr="00ED3B72">
        <w:trPr>
          <w:cantSplit/>
          <w:trHeight w:val="245"/>
          <w:jc w:val="right"/>
        </w:trPr>
        <w:tc>
          <w:tcPr>
            <w:tcW w:w="412" w:type="pct"/>
            <w:vAlign w:val="bottom"/>
          </w:tcPr>
          <w:p w14:paraId="6BC1AF18" w14:textId="77777777" w:rsidR="007A299C" w:rsidRPr="00777AF3" w:rsidRDefault="007A299C" w:rsidP="007A299C">
            <w:pPr>
              <w:pStyle w:val="Tabelltekst"/>
              <w:rPr>
                <w:sz w:val="20"/>
              </w:rPr>
            </w:pPr>
            <w:r w:rsidRPr="00777AF3">
              <w:rPr>
                <w:sz w:val="20"/>
              </w:rPr>
              <w:t>20</w:t>
            </w:r>
            <w:r>
              <w:rPr>
                <w:sz w:val="20"/>
              </w:rPr>
              <w:t>10</w:t>
            </w:r>
            <w:r w:rsidRPr="00777AF3">
              <w:rPr>
                <w:sz w:val="20"/>
              </w:rPr>
              <w:t>-201</w:t>
            </w:r>
            <w:r>
              <w:rPr>
                <w:sz w:val="20"/>
              </w:rPr>
              <w:t>5</w:t>
            </w:r>
          </w:p>
        </w:tc>
        <w:tc>
          <w:tcPr>
            <w:tcW w:w="328" w:type="pct"/>
            <w:vAlign w:val="bottom"/>
          </w:tcPr>
          <w:p w14:paraId="0067173F" w14:textId="55AA0710" w:rsidR="007A299C" w:rsidRPr="006E1B5A" w:rsidRDefault="007A299C" w:rsidP="007A299C">
            <w:pPr>
              <w:pStyle w:val="Tabelltekst"/>
              <w:jc w:val="center"/>
              <w:rPr>
                <w:snapToGrid w:val="0"/>
                <w:sz w:val="20"/>
              </w:rPr>
            </w:pPr>
            <w:r>
              <w:rPr>
                <w:sz w:val="20"/>
              </w:rPr>
              <w:t>19,9</w:t>
            </w:r>
          </w:p>
        </w:tc>
        <w:tc>
          <w:tcPr>
            <w:tcW w:w="290" w:type="pct"/>
            <w:vAlign w:val="bottom"/>
          </w:tcPr>
          <w:p w14:paraId="0DF3722E" w14:textId="76DDC6C1" w:rsidR="007A299C" w:rsidRPr="006E1B5A" w:rsidRDefault="007A299C" w:rsidP="007A299C">
            <w:pPr>
              <w:pStyle w:val="Tabelltekst"/>
              <w:jc w:val="center"/>
              <w:rPr>
                <w:snapToGrid w:val="0"/>
                <w:sz w:val="20"/>
              </w:rPr>
            </w:pPr>
            <w:r>
              <w:rPr>
                <w:sz w:val="20"/>
              </w:rPr>
              <w:t>18,8</w:t>
            </w:r>
          </w:p>
        </w:tc>
        <w:tc>
          <w:tcPr>
            <w:tcW w:w="409" w:type="pct"/>
            <w:vAlign w:val="bottom"/>
          </w:tcPr>
          <w:p w14:paraId="4F6FFB38" w14:textId="351EC111" w:rsidR="007A299C" w:rsidRPr="006E1B5A" w:rsidRDefault="007A299C" w:rsidP="007A299C">
            <w:pPr>
              <w:pStyle w:val="Tabelltekst"/>
              <w:jc w:val="center"/>
              <w:rPr>
                <w:snapToGrid w:val="0"/>
                <w:sz w:val="20"/>
              </w:rPr>
            </w:pPr>
            <w:r>
              <w:rPr>
                <w:sz w:val="20"/>
              </w:rPr>
              <w:t>20,3</w:t>
            </w:r>
          </w:p>
        </w:tc>
        <w:tc>
          <w:tcPr>
            <w:tcW w:w="479" w:type="pct"/>
            <w:vAlign w:val="bottom"/>
          </w:tcPr>
          <w:p w14:paraId="16057782" w14:textId="54694346" w:rsidR="007A299C" w:rsidRPr="006E1B5A" w:rsidRDefault="007A299C" w:rsidP="007A299C">
            <w:pPr>
              <w:pStyle w:val="Tabelltekst"/>
              <w:jc w:val="center"/>
              <w:rPr>
                <w:snapToGrid w:val="0"/>
                <w:sz w:val="20"/>
              </w:rPr>
            </w:pPr>
            <w:r>
              <w:rPr>
                <w:sz w:val="20"/>
              </w:rPr>
              <w:t>19,0</w:t>
            </w:r>
          </w:p>
        </w:tc>
        <w:tc>
          <w:tcPr>
            <w:tcW w:w="345" w:type="pct"/>
            <w:vAlign w:val="bottom"/>
          </w:tcPr>
          <w:p w14:paraId="6AC66BF3" w14:textId="6546B888" w:rsidR="007A299C" w:rsidRPr="006E1B5A" w:rsidRDefault="007A299C" w:rsidP="007A299C">
            <w:pPr>
              <w:pStyle w:val="Tabelltekst"/>
              <w:jc w:val="center"/>
              <w:rPr>
                <w:snapToGrid w:val="0"/>
                <w:sz w:val="20"/>
              </w:rPr>
            </w:pPr>
            <w:r>
              <w:rPr>
                <w:sz w:val="20"/>
              </w:rPr>
              <w:t>23,6</w:t>
            </w:r>
          </w:p>
        </w:tc>
        <w:tc>
          <w:tcPr>
            <w:tcW w:w="394" w:type="pct"/>
            <w:vAlign w:val="bottom"/>
          </w:tcPr>
          <w:p w14:paraId="59282C2E" w14:textId="22324369" w:rsidR="007A299C" w:rsidRPr="006E1B5A" w:rsidRDefault="007A299C" w:rsidP="007A299C">
            <w:pPr>
              <w:pStyle w:val="Tabelltekst"/>
              <w:jc w:val="center"/>
              <w:rPr>
                <w:snapToGrid w:val="0"/>
                <w:sz w:val="20"/>
              </w:rPr>
            </w:pPr>
            <w:r>
              <w:rPr>
                <w:sz w:val="20"/>
              </w:rPr>
              <w:t>19,7</w:t>
            </w:r>
          </w:p>
        </w:tc>
        <w:tc>
          <w:tcPr>
            <w:tcW w:w="296" w:type="pct"/>
            <w:vAlign w:val="bottom"/>
          </w:tcPr>
          <w:p w14:paraId="7533D7EB" w14:textId="4AF3FFA0" w:rsidR="007A299C" w:rsidRPr="006E1B5A" w:rsidRDefault="007A299C" w:rsidP="007A299C">
            <w:pPr>
              <w:pStyle w:val="Tabelltekst"/>
              <w:jc w:val="center"/>
              <w:rPr>
                <w:snapToGrid w:val="0"/>
                <w:sz w:val="20"/>
              </w:rPr>
            </w:pPr>
            <w:r>
              <w:rPr>
                <w:sz w:val="20"/>
              </w:rPr>
              <w:t>19,3</w:t>
            </w:r>
          </w:p>
        </w:tc>
        <w:tc>
          <w:tcPr>
            <w:tcW w:w="507" w:type="pct"/>
            <w:vAlign w:val="bottom"/>
          </w:tcPr>
          <w:p w14:paraId="60EF5232" w14:textId="065811AE" w:rsidR="007A299C" w:rsidRPr="006E1B5A" w:rsidRDefault="007A299C" w:rsidP="007A299C">
            <w:pPr>
              <w:pStyle w:val="Tabelltekst"/>
              <w:jc w:val="center"/>
              <w:rPr>
                <w:snapToGrid w:val="0"/>
                <w:sz w:val="20"/>
              </w:rPr>
            </w:pPr>
            <w:r>
              <w:rPr>
                <w:sz w:val="20"/>
              </w:rPr>
              <w:t>20,0</w:t>
            </w:r>
          </w:p>
        </w:tc>
        <w:tc>
          <w:tcPr>
            <w:tcW w:w="452" w:type="pct"/>
            <w:vAlign w:val="bottom"/>
          </w:tcPr>
          <w:p w14:paraId="583143DF" w14:textId="7BAAEAB1" w:rsidR="007A299C" w:rsidRPr="006E1B5A" w:rsidRDefault="007A299C" w:rsidP="007A299C">
            <w:pPr>
              <w:pStyle w:val="Tabelltekst"/>
              <w:jc w:val="center"/>
              <w:rPr>
                <w:snapToGrid w:val="0"/>
                <w:sz w:val="20"/>
              </w:rPr>
            </w:pPr>
            <w:r>
              <w:rPr>
                <w:sz w:val="20"/>
              </w:rPr>
              <w:t>19,1</w:t>
            </w:r>
          </w:p>
        </w:tc>
        <w:tc>
          <w:tcPr>
            <w:tcW w:w="331" w:type="pct"/>
            <w:shd w:val="solid" w:color="FFFFFF" w:fill="auto"/>
            <w:vAlign w:val="bottom"/>
          </w:tcPr>
          <w:p w14:paraId="75059794" w14:textId="66FA8820" w:rsidR="007A299C" w:rsidRPr="006E1B5A" w:rsidRDefault="007A299C" w:rsidP="007A299C">
            <w:pPr>
              <w:pStyle w:val="Tabelltekst"/>
              <w:jc w:val="center"/>
              <w:rPr>
                <w:snapToGrid w:val="0"/>
                <w:sz w:val="20"/>
              </w:rPr>
            </w:pPr>
            <w:r>
              <w:rPr>
                <w:sz w:val="20"/>
              </w:rPr>
              <w:t>20,8</w:t>
            </w:r>
          </w:p>
        </w:tc>
        <w:tc>
          <w:tcPr>
            <w:tcW w:w="91" w:type="pct"/>
            <w:shd w:val="solid" w:color="FFFFFF" w:fill="auto"/>
            <w:vAlign w:val="bottom"/>
          </w:tcPr>
          <w:p w14:paraId="7294F33C" w14:textId="77777777" w:rsidR="007A299C" w:rsidRPr="006E1B5A" w:rsidRDefault="007A299C" w:rsidP="007A299C">
            <w:pPr>
              <w:pStyle w:val="Tabelltekst"/>
              <w:jc w:val="center"/>
              <w:rPr>
                <w:snapToGrid w:val="0"/>
                <w:sz w:val="20"/>
              </w:rPr>
            </w:pPr>
          </w:p>
        </w:tc>
        <w:tc>
          <w:tcPr>
            <w:tcW w:w="378" w:type="pct"/>
            <w:shd w:val="solid" w:color="FFFFFF" w:fill="auto"/>
            <w:vAlign w:val="bottom"/>
          </w:tcPr>
          <w:p w14:paraId="57444958" w14:textId="449D2AAC" w:rsidR="007A299C" w:rsidRPr="006E1B5A" w:rsidRDefault="007A299C" w:rsidP="007A299C">
            <w:pPr>
              <w:pStyle w:val="Tabelltekst"/>
              <w:jc w:val="center"/>
              <w:rPr>
                <w:snapToGrid w:val="0"/>
                <w:sz w:val="20"/>
              </w:rPr>
            </w:pPr>
            <w:r>
              <w:rPr>
                <w:sz w:val="20"/>
              </w:rPr>
              <w:t>18,9</w:t>
            </w:r>
          </w:p>
        </w:tc>
        <w:tc>
          <w:tcPr>
            <w:tcW w:w="288" w:type="pct"/>
            <w:gridSpan w:val="2"/>
            <w:shd w:val="solid" w:color="FFFFFF" w:fill="auto"/>
            <w:vAlign w:val="bottom"/>
          </w:tcPr>
          <w:p w14:paraId="71BE9B3E" w14:textId="5C7AED7C" w:rsidR="007A299C" w:rsidRPr="006E1B5A" w:rsidRDefault="007A299C" w:rsidP="007A299C">
            <w:pPr>
              <w:pStyle w:val="Tabelltekst"/>
              <w:jc w:val="center"/>
              <w:rPr>
                <w:snapToGrid w:val="0"/>
                <w:sz w:val="20"/>
              </w:rPr>
            </w:pPr>
            <w:r>
              <w:rPr>
                <w:sz w:val="20"/>
              </w:rPr>
              <w:t>19,3</w:t>
            </w:r>
          </w:p>
        </w:tc>
      </w:tr>
      <w:tr w:rsidR="00975AD2" w:rsidRPr="00777AF3" w14:paraId="2CC4A3E1" w14:textId="77777777" w:rsidTr="00ED3B72">
        <w:trPr>
          <w:cantSplit/>
          <w:trHeight w:val="245"/>
          <w:jc w:val="right"/>
        </w:trPr>
        <w:tc>
          <w:tcPr>
            <w:tcW w:w="412" w:type="pct"/>
            <w:vAlign w:val="bottom"/>
          </w:tcPr>
          <w:p w14:paraId="6CFB2A40" w14:textId="77777777" w:rsidR="007A299C" w:rsidRPr="00777AF3" w:rsidRDefault="007A299C" w:rsidP="007A299C">
            <w:pPr>
              <w:pStyle w:val="Tabelltekst"/>
              <w:rPr>
                <w:sz w:val="20"/>
              </w:rPr>
            </w:pPr>
            <w:r w:rsidRPr="00777AF3">
              <w:rPr>
                <w:sz w:val="20"/>
              </w:rPr>
              <w:t>Gj. sn. per år</w:t>
            </w:r>
          </w:p>
        </w:tc>
        <w:tc>
          <w:tcPr>
            <w:tcW w:w="328" w:type="pct"/>
            <w:vAlign w:val="bottom"/>
          </w:tcPr>
          <w:p w14:paraId="7A90BF4D" w14:textId="77E172D4" w:rsidR="007A299C" w:rsidRPr="006E1B5A" w:rsidRDefault="007A299C" w:rsidP="007A299C">
            <w:pPr>
              <w:pStyle w:val="Tabelltekst"/>
              <w:jc w:val="center"/>
              <w:rPr>
                <w:snapToGrid w:val="0"/>
                <w:sz w:val="20"/>
              </w:rPr>
            </w:pPr>
            <w:r>
              <w:rPr>
                <w:sz w:val="20"/>
              </w:rPr>
              <w:t>3,7</w:t>
            </w:r>
          </w:p>
        </w:tc>
        <w:tc>
          <w:tcPr>
            <w:tcW w:w="290" w:type="pct"/>
            <w:vAlign w:val="bottom"/>
          </w:tcPr>
          <w:p w14:paraId="1E07D619" w14:textId="1EFF1E10" w:rsidR="007A299C" w:rsidRPr="006E1B5A" w:rsidRDefault="007A299C" w:rsidP="007A299C">
            <w:pPr>
              <w:pStyle w:val="Tabelltekst"/>
              <w:jc w:val="center"/>
              <w:rPr>
                <w:snapToGrid w:val="0"/>
                <w:sz w:val="20"/>
              </w:rPr>
            </w:pPr>
            <w:r>
              <w:rPr>
                <w:sz w:val="20"/>
              </w:rPr>
              <w:t>3,5</w:t>
            </w:r>
          </w:p>
        </w:tc>
        <w:tc>
          <w:tcPr>
            <w:tcW w:w="409" w:type="pct"/>
            <w:vAlign w:val="bottom"/>
          </w:tcPr>
          <w:p w14:paraId="2DAD50EE" w14:textId="3C3106C8" w:rsidR="007A299C" w:rsidRPr="006E1B5A" w:rsidRDefault="007A299C" w:rsidP="007A299C">
            <w:pPr>
              <w:pStyle w:val="Tabelltekst"/>
              <w:jc w:val="center"/>
              <w:rPr>
                <w:snapToGrid w:val="0"/>
                <w:sz w:val="20"/>
              </w:rPr>
            </w:pPr>
            <w:r>
              <w:rPr>
                <w:sz w:val="20"/>
              </w:rPr>
              <w:t>3,8</w:t>
            </w:r>
          </w:p>
        </w:tc>
        <w:tc>
          <w:tcPr>
            <w:tcW w:w="479" w:type="pct"/>
            <w:vAlign w:val="bottom"/>
          </w:tcPr>
          <w:p w14:paraId="6D0677C0" w14:textId="65222D05" w:rsidR="007A299C" w:rsidRPr="006E1B5A" w:rsidRDefault="007A299C" w:rsidP="007A299C">
            <w:pPr>
              <w:pStyle w:val="Tabelltekst"/>
              <w:jc w:val="center"/>
              <w:rPr>
                <w:snapToGrid w:val="0"/>
                <w:sz w:val="20"/>
              </w:rPr>
            </w:pPr>
            <w:r>
              <w:rPr>
                <w:sz w:val="20"/>
              </w:rPr>
              <w:t>3,5</w:t>
            </w:r>
          </w:p>
        </w:tc>
        <w:tc>
          <w:tcPr>
            <w:tcW w:w="345" w:type="pct"/>
            <w:vAlign w:val="bottom"/>
          </w:tcPr>
          <w:p w14:paraId="2C2CF0EB" w14:textId="6B25FD11" w:rsidR="007A299C" w:rsidRPr="006E1B5A" w:rsidRDefault="007A299C" w:rsidP="007A299C">
            <w:pPr>
              <w:pStyle w:val="Tabelltekst"/>
              <w:jc w:val="center"/>
              <w:rPr>
                <w:snapToGrid w:val="0"/>
                <w:sz w:val="20"/>
              </w:rPr>
            </w:pPr>
            <w:r>
              <w:rPr>
                <w:sz w:val="20"/>
              </w:rPr>
              <w:t>4,3</w:t>
            </w:r>
          </w:p>
        </w:tc>
        <w:tc>
          <w:tcPr>
            <w:tcW w:w="394" w:type="pct"/>
            <w:vAlign w:val="bottom"/>
          </w:tcPr>
          <w:p w14:paraId="53233E10" w14:textId="7D50E94F" w:rsidR="007A299C" w:rsidRPr="006E1B5A" w:rsidRDefault="007A299C" w:rsidP="007A299C">
            <w:pPr>
              <w:pStyle w:val="Tabelltekst"/>
              <w:jc w:val="center"/>
              <w:rPr>
                <w:snapToGrid w:val="0"/>
                <w:sz w:val="20"/>
              </w:rPr>
            </w:pPr>
            <w:r>
              <w:rPr>
                <w:sz w:val="20"/>
              </w:rPr>
              <w:t>3,7</w:t>
            </w:r>
          </w:p>
        </w:tc>
        <w:tc>
          <w:tcPr>
            <w:tcW w:w="296" w:type="pct"/>
            <w:vAlign w:val="bottom"/>
          </w:tcPr>
          <w:p w14:paraId="0A10CBB9" w14:textId="0DA27804" w:rsidR="007A299C" w:rsidRPr="006E1B5A" w:rsidRDefault="007A299C" w:rsidP="007A299C">
            <w:pPr>
              <w:pStyle w:val="Tabelltekst"/>
              <w:jc w:val="center"/>
              <w:rPr>
                <w:snapToGrid w:val="0"/>
                <w:sz w:val="20"/>
              </w:rPr>
            </w:pPr>
            <w:r>
              <w:rPr>
                <w:sz w:val="20"/>
              </w:rPr>
              <w:t>3,6</w:t>
            </w:r>
          </w:p>
        </w:tc>
        <w:tc>
          <w:tcPr>
            <w:tcW w:w="507" w:type="pct"/>
            <w:vAlign w:val="bottom"/>
          </w:tcPr>
          <w:p w14:paraId="41643EDD" w14:textId="34452F55" w:rsidR="007A299C" w:rsidRPr="006E1B5A" w:rsidRDefault="007A299C" w:rsidP="007A299C">
            <w:pPr>
              <w:pStyle w:val="Tabelltekst"/>
              <w:jc w:val="center"/>
              <w:rPr>
                <w:snapToGrid w:val="0"/>
                <w:sz w:val="20"/>
              </w:rPr>
            </w:pPr>
            <w:r>
              <w:rPr>
                <w:sz w:val="20"/>
              </w:rPr>
              <w:t>3,7</w:t>
            </w:r>
          </w:p>
        </w:tc>
        <w:tc>
          <w:tcPr>
            <w:tcW w:w="452" w:type="pct"/>
            <w:vAlign w:val="bottom"/>
          </w:tcPr>
          <w:p w14:paraId="3DCC8924" w14:textId="5D35A572" w:rsidR="007A299C" w:rsidRPr="006E1B5A" w:rsidRDefault="007A299C" w:rsidP="007A299C">
            <w:pPr>
              <w:pStyle w:val="Tabelltekst"/>
              <w:jc w:val="center"/>
              <w:rPr>
                <w:snapToGrid w:val="0"/>
                <w:sz w:val="20"/>
              </w:rPr>
            </w:pPr>
            <w:r>
              <w:rPr>
                <w:sz w:val="20"/>
              </w:rPr>
              <w:t>3,6</w:t>
            </w:r>
          </w:p>
        </w:tc>
        <w:tc>
          <w:tcPr>
            <w:tcW w:w="331" w:type="pct"/>
            <w:shd w:val="solid" w:color="FFFFFF" w:fill="auto"/>
            <w:vAlign w:val="bottom"/>
          </w:tcPr>
          <w:p w14:paraId="6AB5F049" w14:textId="6E18F0E2" w:rsidR="007A299C" w:rsidRPr="006E1B5A" w:rsidRDefault="007A299C" w:rsidP="007A299C">
            <w:pPr>
              <w:pStyle w:val="Tabelltekst"/>
              <w:jc w:val="center"/>
              <w:rPr>
                <w:snapToGrid w:val="0"/>
                <w:sz w:val="20"/>
              </w:rPr>
            </w:pPr>
            <w:r>
              <w:rPr>
                <w:sz w:val="20"/>
              </w:rPr>
              <w:t>3,8</w:t>
            </w:r>
          </w:p>
        </w:tc>
        <w:tc>
          <w:tcPr>
            <w:tcW w:w="91" w:type="pct"/>
            <w:shd w:val="solid" w:color="FFFFFF" w:fill="auto"/>
            <w:vAlign w:val="bottom"/>
          </w:tcPr>
          <w:p w14:paraId="60D001ED" w14:textId="77777777" w:rsidR="007A299C" w:rsidRPr="006E1B5A" w:rsidRDefault="007A299C" w:rsidP="007A299C">
            <w:pPr>
              <w:pStyle w:val="Tabelltekst"/>
              <w:jc w:val="center"/>
              <w:rPr>
                <w:snapToGrid w:val="0"/>
                <w:sz w:val="20"/>
              </w:rPr>
            </w:pPr>
          </w:p>
        </w:tc>
        <w:tc>
          <w:tcPr>
            <w:tcW w:w="378" w:type="pct"/>
            <w:shd w:val="solid" w:color="FFFFFF" w:fill="auto"/>
            <w:vAlign w:val="bottom"/>
          </w:tcPr>
          <w:p w14:paraId="26E6C009" w14:textId="72F5A88D" w:rsidR="007A299C" w:rsidRPr="006E1B5A" w:rsidRDefault="007A299C" w:rsidP="007A299C">
            <w:pPr>
              <w:pStyle w:val="Tabelltekst"/>
              <w:jc w:val="center"/>
              <w:rPr>
                <w:snapToGrid w:val="0"/>
                <w:sz w:val="20"/>
              </w:rPr>
            </w:pPr>
            <w:r>
              <w:rPr>
                <w:sz w:val="20"/>
              </w:rPr>
              <w:t>3,5</w:t>
            </w:r>
          </w:p>
        </w:tc>
        <w:tc>
          <w:tcPr>
            <w:tcW w:w="288" w:type="pct"/>
            <w:gridSpan w:val="2"/>
            <w:shd w:val="solid" w:color="FFFFFF" w:fill="auto"/>
            <w:vAlign w:val="bottom"/>
          </w:tcPr>
          <w:p w14:paraId="7D61D210" w14:textId="555028C0" w:rsidR="007A299C" w:rsidRPr="006E1B5A" w:rsidRDefault="007A299C" w:rsidP="007A299C">
            <w:pPr>
              <w:pStyle w:val="Tabelltekst"/>
              <w:jc w:val="center"/>
              <w:rPr>
                <w:snapToGrid w:val="0"/>
                <w:sz w:val="20"/>
              </w:rPr>
            </w:pPr>
            <w:r>
              <w:rPr>
                <w:sz w:val="20"/>
              </w:rPr>
              <w:t>3,6</w:t>
            </w:r>
          </w:p>
        </w:tc>
      </w:tr>
      <w:tr w:rsidR="00975AD2" w:rsidRPr="00B8208E" w14:paraId="4C47C619" w14:textId="77777777" w:rsidTr="00ED3B72">
        <w:trPr>
          <w:cantSplit/>
          <w:trHeight w:val="454"/>
          <w:jc w:val="right"/>
        </w:trPr>
        <w:tc>
          <w:tcPr>
            <w:tcW w:w="412" w:type="pct"/>
            <w:tcBorders>
              <w:top w:val="single" w:sz="4" w:space="0" w:color="auto"/>
            </w:tcBorders>
            <w:vAlign w:val="bottom"/>
          </w:tcPr>
          <w:p w14:paraId="0ECFB027" w14:textId="77777777" w:rsidR="00BB3C61" w:rsidRPr="004B1A77" w:rsidRDefault="00BB3C61" w:rsidP="000A1EA9">
            <w:pPr>
              <w:pStyle w:val="Tabelltekst"/>
              <w:rPr>
                <w:sz w:val="18"/>
                <w:szCs w:val="18"/>
              </w:rPr>
            </w:pPr>
            <w:r w:rsidRPr="004B1A77">
              <w:rPr>
                <w:sz w:val="18"/>
                <w:szCs w:val="18"/>
              </w:rPr>
              <w:t>Årslønn 201</w:t>
            </w:r>
            <w:r>
              <w:rPr>
                <w:sz w:val="18"/>
                <w:szCs w:val="18"/>
              </w:rPr>
              <w:t>4</w:t>
            </w:r>
            <w:r w:rsidRPr="004B1A77">
              <w:rPr>
                <w:sz w:val="18"/>
                <w:szCs w:val="18"/>
              </w:rPr>
              <w:t>, per årsverk</w:t>
            </w:r>
          </w:p>
        </w:tc>
        <w:tc>
          <w:tcPr>
            <w:tcW w:w="328" w:type="pct"/>
            <w:tcBorders>
              <w:top w:val="single" w:sz="4" w:space="0" w:color="auto"/>
            </w:tcBorders>
            <w:vAlign w:val="bottom"/>
          </w:tcPr>
          <w:p w14:paraId="50A59199" w14:textId="77777777" w:rsidR="00BB3C61" w:rsidRPr="00B8208E" w:rsidRDefault="00BB3C61" w:rsidP="000A1EA9">
            <w:pPr>
              <w:pStyle w:val="Tabelltekst"/>
              <w:jc w:val="center"/>
              <w:rPr>
                <w:sz w:val="20"/>
              </w:rPr>
            </w:pPr>
            <w:r>
              <w:rPr>
                <w:sz w:val="20"/>
              </w:rPr>
              <w:t>538 700</w:t>
            </w:r>
          </w:p>
        </w:tc>
        <w:tc>
          <w:tcPr>
            <w:tcW w:w="290" w:type="pct"/>
            <w:tcBorders>
              <w:top w:val="single" w:sz="4" w:space="0" w:color="auto"/>
            </w:tcBorders>
            <w:vAlign w:val="bottom"/>
          </w:tcPr>
          <w:p w14:paraId="7ACF74B8" w14:textId="77777777" w:rsidR="00BB3C61" w:rsidRDefault="00BB3C61" w:rsidP="000A1EA9">
            <w:pPr>
              <w:pStyle w:val="Tabelltekst"/>
              <w:jc w:val="center"/>
              <w:rPr>
                <w:color w:val="auto"/>
                <w:sz w:val="20"/>
              </w:rPr>
            </w:pPr>
            <w:r>
              <w:rPr>
                <w:color w:val="auto"/>
                <w:sz w:val="20"/>
              </w:rPr>
              <w:t>431 100</w:t>
            </w:r>
          </w:p>
        </w:tc>
        <w:tc>
          <w:tcPr>
            <w:tcW w:w="409" w:type="pct"/>
            <w:tcBorders>
              <w:top w:val="single" w:sz="4" w:space="0" w:color="auto"/>
            </w:tcBorders>
            <w:vAlign w:val="bottom"/>
          </w:tcPr>
          <w:p w14:paraId="03BDA465" w14:textId="77777777" w:rsidR="00BB3C61" w:rsidRDefault="00BB3C61" w:rsidP="000A1EA9">
            <w:pPr>
              <w:pStyle w:val="Tabelltekst"/>
              <w:jc w:val="center"/>
              <w:rPr>
                <w:color w:val="auto"/>
                <w:sz w:val="20"/>
              </w:rPr>
            </w:pPr>
            <w:r>
              <w:rPr>
                <w:color w:val="auto"/>
                <w:sz w:val="20"/>
              </w:rPr>
              <w:t>669 500</w:t>
            </w:r>
          </w:p>
        </w:tc>
        <w:tc>
          <w:tcPr>
            <w:tcW w:w="479" w:type="pct"/>
            <w:tcBorders>
              <w:top w:val="single" w:sz="4" w:space="0" w:color="auto"/>
            </w:tcBorders>
            <w:vAlign w:val="bottom"/>
          </w:tcPr>
          <w:p w14:paraId="1D585963" w14:textId="77777777" w:rsidR="00BB3C61" w:rsidRDefault="00BB3C61" w:rsidP="000A1EA9">
            <w:pPr>
              <w:pStyle w:val="Tabelltekst"/>
              <w:jc w:val="center"/>
              <w:rPr>
                <w:color w:val="auto"/>
                <w:sz w:val="20"/>
              </w:rPr>
            </w:pPr>
            <w:r w:rsidRPr="00D37B55">
              <w:rPr>
                <w:color w:val="auto"/>
                <w:sz w:val="20"/>
              </w:rPr>
              <w:t>-</w:t>
            </w:r>
          </w:p>
        </w:tc>
        <w:tc>
          <w:tcPr>
            <w:tcW w:w="345" w:type="pct"/>
            <w:tcBorders>
              <w:top w:val="single" w:sz="4" w:space="0" w:color="auto"/>
            </w:tcBorders>
            <w:vAlign w:val="bottom"/>
          </w:tcPr>
          <w:p w14:paraId="6169E243" w14:textId="77777777" w:rsidR="00BB3C61" w:rsidRDefault="00BB3C61" w:rsidP="000A1EA9">
            <w:pPr>
              <w:pStyle w:val="Tabelltekst"/>
              <w:jc w:val="center"/>
              <w:rPr>
                <w:color w:val="auto"/>
                <w:sz w:val="20"/>
              </w:rPr>
            </w:pPr>
            <w:r w:rsidRPr="00D37B55">
              <w:rPr>
                <w:color w:val="auto"/>
                <w:sz w:val="20"/>
              </w:rPr>
              <w:t>-</w:t>
            </w:r>
          </w:p>
        </w:tc>
        <w:tc>
          <w:tcPr>
            <w:tcW w:w="394" w:type="pct"/>
            <w:tcBorders>
              <w:top w:val="single" w:sz="4" w:space="0" w:color="auto"/>
            </w:tcBorders>
            <w:vAlign w:val="bottom"/>
          </w:tcPr>
          <w:p w14:paraId="361A0021" w14:textId="77777777" w:rsidR="00BB3C61" w:rsidRDefault="00BB3C61" w:rsidP="000A1EA9">
            <w:pPr>
              <w:pStyle w:val="Tabelltekst"/>
              <w:jc w:val="center"/>
              <w:rPr>
                <w:color w:val="auto"/>
                <w:sz w:val="20"/>
              </w:rPr>
            </w:pPr>
            <w:r>
              <w:rPr>
                <w:color w:val="auto"/>
                <w:sz w:val="20"/>
              </w:rPr>
              <w:t>486 400</w:t>
            </w:r>
          </w:p>
        </w:tc>
        <w:tc>
          <w:tcPr>
            <w:tcW w:w="296" w:type="pct"/>
            <w:tcBorders>
              <w:top w:val="single" w:sz="4" w:space="0" w:color="auto"/>
            </w:tcBorders>
            <w:vAlign w:val="bottom"/>
          </w:tcPr>
          <w:p w14:paraId="1E83B906" w14:textId="77777777" w:rsidR="00BB3C61" w:rsidRDefault="00BB3C61" w:rsidP="000A1EA9">
            <w:pPr>
              <w:pStyle w:val="Tabelltekst"/>
              <w:jc w:val="center"/>
              <w:rPr>
                <w:color w:val="auto"/>
                <w:sz w:val="20"/>
              </w:rPr>
            </w:pPr>
            <w:r>
              <w:rPr>
                <w:color w:val="auto"/>
                <w:sz w:val="20"/>
              </w:rPr>
              <w:t>524 300</w:t>
            </w:r>
          </w:p>
        </w:tc>
        <w:tc>
          <w:tcPr>
            <w:tcW w:w="507" w:type="pct"/>
            <w:tcBorders>
              <w:top w:val="single" w:sz="4" w:space="0" w:color="auto"/>
            </w:tcBorders>
            <w:vAlign w:val="bottom"/>
          </w:tcPr>
          <w:p w14:paraId="3E5DD626" w14:textId="77777777" w:rsidR="00BB3C61" w:rsidRDefault="00BB3C61" w:rsidP="000A1EA9">
            <w:pPr>
              <w:pStyle w:val="Tabelltekst"/>
              <w:jc w:val="center"/>
              <w:rPr>
                <w:color w:val="auto"/>
                <w:sz w:val="20"/>
              </w:rPr>
            </w:pPr>
            <w:r>
              <w:rPr>
                <w:color w:val="auto"/>
                <w:sz w:val="20"/>
              </w:rPr>
              <w:t>462 000</w:t>
            </w:r>
          </w:p>
        </w:tc>
        <w:tc>
          <w:tcPr>
            <w:tcW w:w="452" w:type="pct"/>
            <w:tcBorders>
              <w:top w:val="single" w:sz="4" w:space="0" w:color="auto"/>
            </w:tcBorders>
            <w:vAlign w:val="bottom"/>
          </w:tcPr>
          <w:p w14:paraId="30ED47C6" w14:textId="77777777" w:rsidR="00BB3C61" w:rsidRDefault="00BB3C61" w:rsidP="000A1EA9">
            <w:pPr>
              <w:pStyle w:val="Tabelltekst"/>
              <w:jc w:val="center"/>
              <w:rPr>
                <w:color w:val="auto"/>
                <w:sz w:val="20"/>
              </w:rPr>
            </w:pPr>
            <w:r>
              <w:rPr>
                <w:color w:val="auto"/>
                <w:sz w:val="20"/>
              </w:rPr>
              <w:t>507 200</w:t>
            </w:r>
          </w:p>
        </w:tc>
        <w:tc>
          <w:tcPr>
            <w:tcW w:w="331" w:type="pct"/>
            <w:tcBorders>
              <w:top w:val="single" w:sz="4" w:space="0" w:color="auto"/>
            </w:tcBorders>
            <w:vAlign w:val="bottom"/>
          </w:tcPr>
          <w:p w14:paraId="19E733D9" w14:textId="77777777" w:rsidR="00BB3C61" w:rsidRDefault="00BB3C61" w:rsidP="000A1EA9">
            <w:pPr>
              <w:spacing w:after="0"/>
              <w:jc w:val="center"/>
              <w:rPr>
                <w:rFonts w:ascii="Times New Roman" w:hAnsi="Times New Roman"/>
                <w:sz w:val="20"/>
              </w:rPr>
            </w:pPr>
            <w:r>
              <w:rPr>
                <w:rFonts w:ascii="Times New Roman" w:hAnsi="Times New Roman"/>
                <w:sz w:val="20"/>
              </w:rPr>
              <w:t>447 800</w:t>
            </w:r>
          </w:p>
        </w:tc>
        <w:tc>
          <w:tcPr>
            <w:tcW w:w="91" w:type="pct"/>
            <w:tcBorders>
              <w:top w:val="single" w:sz="4" w:space="0" w:color="auto"/>
            </w:tcBorders>
            <w:vAlign w:val="bottom"/>
          </w:tcPr>
          <w:p w14:paraId="55BCD928" w14:textId="77777777" w:rsidR="00BB3C61" w:rsidRDefault="00BB3C61" w:rsidP="000A1EA9">
            <w:pPr>
              <w:pStyle w:val="Tabelltekst"/>
              <w:jc w:val="center"/>
              <w:rPr>
                <w:color w:val="auto"/>
                <w:sz w:val="20"/>
              </w:rPr>
            </w:pPr>
          </w:p>
        </w:tc>
        <w:tc>
          <w:tcPr>
            <w:tcW w:w="380" w:type="pct"/>
            <w:gridSpan w:val="2"/>
            <w:tcBorders>
              <w:top w:val="single" w:sz="4" w:space="0" w:color="auto"/>
            </w:tcBorders>
            <w:vAlign w:val="bottom"/>
          </w:tcPr>
          <w:p w14:paraId="48E3BEC1" w14:textId="77777777" w:rsidR="00BB3C61" w:rsidRDefault="00BB3C61" w:rsidP="000A1EA9">
            <w:pPr>
              <w:pStyle w:val="Tabelltekst"/>
              <w:jc w:val="center"/>
              <w:rPr>
                <w:color w:val="auto"/>
                <w:sz w:val="20"/>
              </w:rPr>
            </w:pPr>
            <w:r>
              <w:rPr>
                <w:color w:val="auto"/>
                <w:sz w:val="20"/>
              </w:rPr>
              <w:t>523 900</w:t>
            </w:r>
          </w:p>
        </w:tc>
        <w:tc>
          <w:tcPr>
            <w:tcW w:w="286" w:type="pct"/>
            <w:tcBorders>
              <w:top w:val="single" w:sz="4" w:space="0" w:color="auto"/>
            </w:tcBorders>
            <w:vAlign w:val="bottom"/>
          </w:tcPr>
          <w:p w14:paraId="6419C92E" w14:textId="77777777" w:rsidR="00BB3C61" w:rsidRDefault="00BB3C61" w:rsidP="000A1EA9">
            <w:pPr>
              <w:pStyle w:val="Tabelltekst"/>
              <w:jc w:val="center"/>
              <w:rPr>
                <w:color w:val="auto"/>
                <w:sz w:val="20"/>
              </w:rPr>
            </w:pPr>
            <w:r>
              <w:rPr>
                <w:color w:val="auto"/>
                <w:sz w:val="20"/>
              </w:rPr>
              <w:t>492 100</w:t>
            </w:r>
          </w:p>
        </w:tc>
      </w:tr>
      <w:tr w:rsidR="00975AD2" w:rsidRPr="00B8208E" w14:paraId="10E47020" w14:textId="77777777" w:rsidTr="00ED3B72">
        <w:trPr>
          <w:cantSplit/>
          <w:trHeight w:val="454"/>
          <w:jc w:val="right"/>
        </w:trPr>
        <w:tc>
          <w:tcPr>
            <w:tcW w:w="412" w:type="pct"/>
            <w:tcBorders>
              <w:bottom w:val="single" w:sz="4" w:space="0" w:color="auto"/>
            </w:tcBorders>
            <w:vAlign w:val="bottom"/>
          </w:tcPr>
          <w:p w14:paraId="7887857F" w14:textId="77777777" w:rsidR="00BB3C61" w:rsidRPr="004B1A77" w:rsidRDefault="00BB3C61" w:rsidP="000A1EA9">
            <w:pPr>
              <w:pStyle w:val="Tabelltekst"/>
              <w:rPr>
                <w:sz w:val="18"/>
                <w:szCs w:val="18"/>
              </w:rPr>
            </w:pPr>
            <w:r w:rsidRPr="004B1A77">
              <w:rPr>
                <w:sz w:val="18"/>
                <w:szCs w:val="18"/>
              </w:rPr>
              <w:t>Årslønn 201</w:t>
            </w:r>
            <w:r>
              <w:rPr>
                <w:sz w:val="18"/>
                <w:szCs w:val="18"/>
              </w:rPr>
              <w:t>4</w:t>
            </w:r>
            <w:r w:rsidRPr="004B1A77">
              <w:rPr>
                <w:sz w:val="18"/>
                <w:szCs w:val="18"/>
              </w:rPr>
              <w:t>, heltidsansatte</w:t>
            </w:r>
          </w:p>
        </w:tc>
        <w:tc>
          <w:tcPr>
            <w:tcW w:w="328" w:type="pct"/>
            <w:tcBorders>
              <w:bottom w:val="single" w:sz="4" w:space="0" w:color="auto"/>
            </w:tcBorders>
            <w:vAlign w:val="bottom"/>
          </w:tcPr>
          <w:p w14:paraId="02193FDE" w14:textId="77777777" w:rsidR="00BB3C61" w:rsidRDefault="00BB3C61" w:rsidP="000A1EA9">
            <w:pPr>
              <w:pStyle w:val="Tabelltekst"/>
              <w:jc w:val="center"/>
              <w:rPr>
                <w:rFonts w:ascii="Times" w:eastAsia="Batang" w:hAnsi="Times"/>
                <w:sz w:val="20"/>
              </w:rPr>
            </w:pPr>
            <w:r>
              <w:rPr>
                <w:rFonts w:ascii="Times" w:eastAsia="Batang" w:hAnsi="Times"/>
                <w:sz w:val="20"/>
              </w:rPr>
              <w:t>-</w:t>
            </w:r>
          </w:p>
        </w:tc>
        <w:tc>
          <w:tcPr>
            <w:tcW w:w="290" w:type="pct"/>
            <w:tcBorders>
              <w:bottom w:val="single" w:sz="4" w:space="0" w:color="auto"/>
            </w:tcBorders>
            <w:vAlign w:val="bottom"/>
          </w:tcPr>
          <w:p w14:paraId="1DB3DC53" w14:textId="77777777" w:rsidR="00BB3C61" w:rsidRDefault="00BB3C61" w:rsidP="000A1EA9">
            <w:pPr>
              <w:pStyle w:val="Tabelltekst"/>
              <w:jc w:val="center"/>
              <w:rPr>
                <w:color w:val="auto"/>
                <w:sz w:val="20"/>
              </w:rPr>
            </w:pPr>
            <w:r>
              <w:rPr>
                <w:color w:val="auto"/>
                <w:sz w:val="20"/>
              </w:rPr>
              <w:t>-</w:t>
            </w:r>
          </w:p>
        </w:tc>
        <w:tc>
          <w:tcPr>
            <w:tcW w:w="409" w:type="pct"/>
            <w:tcBorders>
              <w:bottom w:val="single" w:sz="4" w:space="0" w:color="auto"/>
            </w:tcBorders>
            <w:vAlign w:val="bottom"/>
          </w:tcPr>
          <w:p w14:paraId="18182A3C" w14:textId="77777777" w:rsidR="00BB3C61" w:rsidRDefault="00BB3C61" w:rsidP="000A1EA9">
            <w:pPr>
              <w:pStyle w:val="Tabelltekst"/>
              <w:jc w:val="center"/>
              <w:rPr>
                <w:color w:val="auto"/>
                <w:sz w:val="20"/>
              </w:rPr>
            </w:pPr>
            <w:r>
              <w:rPr>
                <w:color w:val="auto"/>
                <w:sz w:val="20"/>
              </w:rPr>
              <w:t>-</w:t>
            </w:r>
          </w:p>
        </w:tc>
        <w:tc>
          <w:tcPr>
            <w:tcW w:w="479" w:type="pct"/>
            <w:tcBorders>
              <w:bottom w:val="single" w:sz="4" w:space="0" w:color="auto"/>
            </w:tcBorders>
            <w:vAlign w:val="bottom"/>
          </w:tcPr>
          <w:p w14:paraId="7218EE40" w14:textId="77777777" w:rsidR="00BB3C61" w:rsidRDefault="00BB3C61" w:rsidP="000A1EA9">
            <w:pPr>
              <w:pStyle w:val="Tabelltekst"/>
              <w:jc w:val="center"/>
              <w:rPr>
                <w:color w:val="auto"/>
                <w:sz w:val="20"/>
              </w:rPr>
            </w:pPr>
            <w:r>
              <w:rPr>
                <w:color w:val="auto"/>
                <w:sz w:val="20"/>
              </w:rPr>
              <w:t>457 700</w:t>
            </w:r>
          </w:p>
        </w:tc>
        <w:tc>
          <w:tcPr>
            <w:tcW w:w="345" w:type="pct"/>
            <w:tcBorders>
              <w:bottom w:val="single" w:sz="4" w:space="0" w:color="auto"/>
            </w:tcBorders>
            <w:vAlign w:val="bottom"/>
          </w:tcPr>
          <w:p w14:paraId="4178FEC4" w14:textId="77777777" w:rsidR="00BB3C61" w:rsidRDefault="00BB3C61" w:rsidP="000A1EA9">
            <w:pPr>
              <w:pStyle w:val="Tabelltekst"/>
              <w:jc w:val="center"/>
              <w:rPr>
                <w:color w:val="auto"/>
                <w:sz w:val="20"/>
              </w:rPr>
            </w:pPr>
            <w:r>
              <w:rPr>
                <w:color w:val="auto"/>
                <w:sz w:val="20"/>
              </w:rPr>
              <w:t>659 300</w:t>
            </w:r>
          </w:p>
        </w:tc>
        <w:tc>
          <w:tcPr>
            <w:tcW w:w="394" w:type="pct"/>
            <w:tcBorders>
              <w:bottom w:val="single" w:sz="4" w:space="0" w:color="auto"/>
            </w:tcBorders>
            <w:vAlign w:val="bottom"/>
          </w:tcPr>
          <w:p w14:paraId="59D2863C" w14:textId="77777777" w:rsidR="00BB3C61" w:rsidRPr="00253A7B" w:rsidRDefault="00BB3C61" w:rsidP="000A1EA9">
            <w:pPr>
              <w:pStyle w:val="Tabelltekst"/>
              <w:jc w:val="center"/>
              <w:rPr>
                <w:i/>
                <w:color w:val="auto"/>
                <w:sz w:val="20"/>
              </w:rPr>
            </w:pPr>
            <w:r w:rsidRPr="00253A7B">
              <w:rPr>
                <w:i/>
                <w:color w:val="auto"/>
                <w:sz w:val="20"/>
              </w:rPr>
              <w:t>-</w:t>
            </w:r>
          </w:p>
        </w:tc>
        <w:tc>
          <w:tcPr>
            <w:tcW w:w="296" w:type="pct"/>
            <w:tcBorders>
              <w:bottom w:val="single" w:sz="4" w:space="0" w:color="auto"/>
            </w:tcBorders>
            <w:vAlign w:val="bottom"/>
          </w:tcPr>
          <w:p w14:paraId="7C748E40" w14:textId="77777777" w:rsidR="00BB3C61" w:rsidRDefault="00BB3C61" w:rsidP="000A1EA9">
            <w:pPr>
              <w:pStyle w:val="Tabelltekst"/>
              <w:jc w:val="center"/>
              <w:rPr>
                <w:color w:val="auto"/>
                <w:sz w:val="20"/>
              </w:rPr>
            </w:pPr>
            <w:r w:rsidRPr="00D37B55">
              <w:rPr>
                <w:color w:val="auto"/>
                <w:sz w:val="20"/>
              </w:rPr>
              <w:t>-</w:t>
            </w:r>
          </w:p>
        </w:tc>
        <w:tc>
          <w:tcPr>
            <w:tcW w:w="507" w:type="pct"/>
            <w:tcBorders>
              <w:bottom w:val="single" w:sz="4" w:space="0" w:color="auto"/>
            </w:tcBorders>
            <w:vAlign w:val="bottom"/>
          </w:tcPr>
          <w:p w14:paraId="1E822104" w14:textId="77777777" w:rsidR="00BB3C61" w:rsidRDefault="00BB3C61" w:rsidP="000A1EA9">
            <w:pPr>
              <w:pStyle w:val="Tabelltekst"/>
              <w:jc w:val="center"/>
              <w:rPr>
                <w:color w:val="auto"/>
                <w:sz w:val="20"/>
              </w:rPr>
            </w:pPr>
            <w:r w:rsidRPr="00D37B55">
              <w:rPr>
                <w:color w:val="auto"/>
                <w:sz w:val="20"/>
              </w:rPr>
              <w:t>-</w:t>
            </w:r>
          </w:p>
        </w:tc>
        <w:tc>
          <w:tcPr>
            <w:tcW w:w="452" w:type="pct"/>
            <w:tcBorders>
              <w:bottom w:val="single" w:sz="4" w:space="0" w:color="auto"/>
            </w:tcBorders>
            <w:vAlign w:val="bottom"/>
          </w:tcPr>
          <w:p w14:paraId="0139625C" w14:textId="77777777" w:rsidR="00BB3C61" w:rsidRDefault="00BB3C61" w:rsidP="000A1EA9">
            <w:pPr>
              <w:pStyle w:val="Tabelltekst"/>
              <w:jc w:val="center"/>
              <w:rPr>
                <w:color w:val="auto"/>
                <w:sz w:val="20"/>
              </w:rPr>
            </w:pPr>
            <w:r w:rsidRPr="00D37B55">
              <w:rPr>
                <w:color w:val="auto"/>
                <w:sz w:val="20"/>
              </w:rPr>
              <w:t>-</w:t>
            </w:r>
          </w:p>
        </w:tc>
        <w:tc>
          <w:tcPr>
            <w:tcW w:w="331" w:type="pct"/>
            <w:tcBorders>
              <w:bottom w:val="single" w:sz="4" w:space="0" w:color="auto"/>
            </w:tcBorders>
            <w:vAlign w:val="bottom"/>
          </w:tcPr>
          <w:p w14:paraId="117F16FA" w14:textId="77777777" w:rsidR="00BB3C61" w:rsidRDefault="00BB3C61" w:rsidP="000A1EA9">
            <w:pPr>
              <w:spacing w:after="0"/>
              <w:jc w:val="center"/>
              <w:rPr>
                <w:rFonts w:ascii="Times New Roman" w:hAnsi="Times New Roman"/>
                <w:sz w:val="20"/>
              </w:rPr>
            </w:pPr>
            <w:r w:rsidRPr="00372E8C">
              <w:rPr>
                <w:rFonts w:ascii="Times New Roman" w:hAnsi="Times New Roman"/>
                <w:sz w:val="20"/>
              </w:rPr>
              <w:t>-</w:t>
            </w:r>
          </w:p>
        </w:tc>
        <w:tc>
          <w:tcPr>
            <w:tcW w:w="91" w:type="pct"/>
            <w:tcBorders>
              <w:bottom w:val="single" w:sz="4" w:space="0" w:color="auto"/>
            </w:tcBorders>
            <w:vAlign w:val="bottom"/>
          </w:tcPr>
          <w:p w14:paraId="53A12719" w14:textId="77777777" w:rsidR="00BB3C61" w:rsidRDefault="00BB3C61" w:rsidP="000A1EA9">
            <w:pPr>
              <w:pStyle w:val="Tabelltekst"/>
              <w:jc w:val="center"/>
              <w:rPr>
                <w:color w:val="auto"/>
                <w:sz w:val="20"/>
              </w:rPr>
            </w:pPr>
          </w:p>
        </w:tc>
        <w:tc>
          <w:tcPr>
            <w:tcW w:w="378" w:type="pct"/>
            <w:tcBorders>
              <w:bottom w:val="single" w:sz="4" w:space="0" w:color="auto"/>
            </w:tcBorders>
            <w:vAlign w:val="bottom"/>
          </w:tcPr>
          <w:p w14:paraId="6865CADA" w14:textId="77777777" w:rsidR="00BB3C61" w:rsidRDefault="00BB3C61" w:rsidP="000A1EA9">
            <w:pPr>
              <w:pStyle w:val="Tabelltekst"/>
              <w:jc w:val="center"/>
              <w:rPr>
                <w:color w:val="auto"/>
                <w:sz w:val="20"/>
              </w:rPr>
            </w:pPr>
            <w:r w:rsidRPr="00D37B55">
              <w:rPr>
                <w:color w:val="auto"/>
                <w:sz w:val="20"/>
              </w:rPr>
              <w:t>-</w:t>
            </w:r>
          </w:p>
        </w:tc>
        <w:tc>
          <w:tcPr>
            <w:tcW w:w="288" w:type="pct"/>
            <w:gridSpan w:val="2"/>
            <w:tcBorders>
              <w:bottom w:val="single" w:sz="4" w:space="0" w:color="auto"/>
            </w:tcBorders>
            <w:vAlign w:val="bottom"/>
          </w:tcPr>
          <w:p w14:paraId="2423EA68" w14:textId="77777777" w:rsidR="00BB3C61" w:rsidRDefault="00BB3C61" w:rsidP="000A1EA9">
            <w:pPr>
              <w:pStyle w:val="Tabelltekst"/>
              <w:jc w:val="center"/>
              <w:rPr>
                <w:color w:val="auto"/>
                <w:sz w:val="20"/>
              </w:rPr>
            </w:pPr>
            <w:r w:rsidRPr="00D37B55">
              <w:rPr>
                <w:color w:val="auto"/>
                <w:sz w:val="20"/>
              </w:rPr>
              <w:t>-</w:t>
            </w:r>
          </w:p>
        </w:tc>
      </w:tr>
      <w:tr w:rsidR="00975AD2" w:rsidRPr="00B8208E" w14:paraId="7108860D" w14:textId="77777777" w:rsidTr="00ED3B72">
        <w:trPr>
          <w:cantSplit/>
          <w:trHeight w:val="454"/>
          <w:jc w:val="right"/>
        </w:trPr>
        <w:tc>
          <w:tcPr>
            <w:tcW w:w="412" w:type="pct"/>
            <w:tcBorders>
              <w:top w:val="single" w:sz="4" w:space="0" w:color="auto"/>
              <w:bottom w:val="single" w:sz="4" w:space="0" w:color="auto"/>
            </w:tcBorders>
            <w:vAlign w:val="bottom"/>
          </w:tcPr>
          <w:p w14:paraId="26AE3506" w14:textId="77777777" w:rsidR="00BB3C61" w:rsidRPr="00B8208E" w:rsidRDefault="00BB3C61" w:rsidP="000A1EA9">
            <w:pPr>
              <w:pStyle w:val="Tabelltekst"/>
              <w:rPr>
                <w:sz w:val="20"/>
              </w:rPr>
            </w:pPr>
            <w:r w:rsidRPr="00B8208E">
              <w:rPr>
                <w:sz w:val="20"/>
              </w:rPr>
              <w:t>Antall årsverk 201</w:t>
            </w:r>
            <w:r>
              <w:rPr>
                <w:sz w:val="20"/>
              </w:rPr>
              <w:t>4</w:t>
            </w:r>
          </w:p>
        </w:tc>
        <w:tc>
          <w:tcPr>
            <w:tcW w:w="328" w:type="pct"/>
            <w:tcBorders>
              <w:top w:val="single" w:sz="4" w:space="0" w:color="auto"/>
              <w:bottom w:val="single" w:sz="4" w:space="0" w:color="auto"/>
            </w:tcBorders>
            <w:vAlign w:val="bottom"/>
          </w:tcPr>
          <w:p w14:paraId="0434DFE8" w14:textId="77777777" w:rsidR="00BB3C61" w:rsidRDefault="00BB3C61" w:rsidP="00ED3B72">
            <w:pPr>
              <w:pStyle w:val="Tabelltekst"/>
              <w:jc w:val="center"/>
              <w:rPr>
                <w:rFonts w:ascii="Times" w:eastAsia="Batang" w:hAnsi="Times"/>
                <w:sz w:val="20"/>
              </w:rPr>
            </w:pPr>
            <w:r>
              <w:rPr>
                <w:color w:val="auto"/>
                <w:sz w:val="20"/>
              </w:rPr>
              <w:t>172 000</w:t>
            </w:r>
          </w:p>
        </w:tc>
        <w:tc>
          <w:tcPr>
            <w:tcW w:w="290" w:type="pct"/>
            <w:tcBorders>
              <w:top w:val="single" w:sz="4" w:space="0" w:color="auto"/>
              <w:bottom w:val="single" w:sz="4" w:space="0" w:color="auto"/>
            </w:tcBorders>
            <w:vAlign w:val="bottom"/>
          </w:tcPr>
          <w:p w14:paraId="7B7E67A6" w14:textId="409DFFBD" w:rsidR="00BB3C61" w:rsidRPr="00B20A65" w:rsidRDefault="00BB3C61" w:rsidP="00ED3B72">
            <w:pPr>
              <w:pStyle w:val="Tabelltekst"/>
              <w:jc w:val="center"/>
              <w:rPr>
                <w:rFonts w:ascii="Times" w:eastAsia="Batang" w:hAnsi="Times"/>
                <w:color w:val="auto"/>
                <w:sz w:val="20"/>
              </w:rPr>
            </w:pPr>
            <w:r w:rsidRPr="00B20A65">
              <w:rPr>
                <w:color w:val="auto"/>
                <w:sz w:val="20"/>
                <w:lang w:eastAsia="en-US"/>
              </w:rPr>
              <w:t>91 500</w:t>
            </w:r>
          </w:p>
        </w:tc>
        <w:tc>
          <w:tcPr>
            <w:tcW w:w="409" w:type="pct"/>
            <w:tcBorders>
              <w:top w:val="single" w:sz="4" w:space="0" w:color="auto"/>
              <w:bottom w:val="single" w:sz="4" w:space="0" w:color="auto"/>
            </w:tcBorders>
            <w:vAlign w:val="bottom"/>
          </w:tcPr>
          <w:p w14:paraId="3B5B3721" w14:textId="0868CA08" w:rsidR="00BB3C61" w:rsidRPr="00B20A65" w:rsidRDefault="00BB3C61" w:rsidP="00ED3B72">
            <w:pPr>
              <w:pStyle w:val="Tabelltekst"/>
              <w:jc w:val="center"/>
              <w:rPr>
                <w:rFonts w:ascii="Times" w:eastAsia="Batang" w:hAnsi="Times"/>
                <w:color w:val="auto"/>
                <w:sz w:val="20"/>
              </w:rPr>
            </w:pPr>
            <w:r w:rsidRPr="00B20A65">
              <w:rPr>
                <w:color w:val="auto"/>
                <w:sz w:val="20"/>
                <w:lang w:eastAsia="en-US"/>
              </w:rPr>
              <w:t>80 500</w:t>
            </w:r>
          </w:p>
        </w:tc>
        <w:tc>
          <w:tcPr>
            <w:tcW w:w="479" w:type="pct"/>
            <w:tcBorders>
              <w:top w:val="single" w:sz="4" w:space="0" w:color="auto"/>
              <w:bottom w:val="single" w:sz="4" w:space="0" w:color="auto"/>
            </w:tcBorders>
            <w:vAlign w:val="bottom"/>
          </w:tcPr>
          <w:p w14:paraId="355EAF27" w14:textId="77420F9C" w:rsidR="00BB3C61" w:rsidRDefault="00BB3C61" w:rsidP="00ED3B72">
            <w:pPr>
              <w:pStyle w:val="Tabelltekst"/>
              <w:jc w:val="center"/>
              <w:rPr>
                <w:color w:val="auto"/>
                <w:sz w:val="20"/>
              </w:rPr>
            </w:pPr>
            <w:r w:rsidRPr="00D37B55">
              <w:rPr>
                <w:color w:val="auto"/>
                <w:sz w:val="20"/>
              </w:rPr>
              <w:t>84</w:t>
            </w:r>
            <w:r>
              <w:rPr>
                <w:color w:val="auto"/>
                <w:sz w:val="20"/>
              </w:rPr>
              <w:t> </w:t>
            </w:r>
            <w:r w:rsidR="00901A80" w:rsidRPr="00D37B55">
              <w:rPr>
                <w:color w:val="auto"/>
                <w:sz w:val="20"/>
              </w:rPr>
              <w:t>000</w:t>
            </w:r>
            <w:r w:rsidR="00901A80">
              <w:rPr>
                <w:color w:val="auto"/>
                <w:sz w:val="20"/>
                <w:vertAlign w:val="superscript"/>
              </w:rPr>
              <w:t>9</w:t>
            </w:r>
          </w:p>
        </w:tc>
        <w:tc>
          <w:tcPr>
            <w:tcW w:w="345" w:type="pct"/>
            <w:tcBorders>
              <w:top w:val="single" w:sz="4" w:space="0" w:color="auto"/>
              <w:bottom w:val="single" w:sz="4" w:space="0" w:color="auto"/>
            </w:tcBorders>
            <w:vAlign w:val="bottom"/>
          </w:tcPr>
          <w:p w14:paraId="0C722D8F" w14:textId="7659ACE9" w:rsidR="00BB3C61" w:rsidRDefault="00BB3C61" w:rsidP="00ED3B72">
            <w:pPr>
              <w:pStyle w:val="Tabelltekst"/>
              <w:jc w:val="center"/>
              <w:rPr>
                <w:color w:val="auto"/>
                <w:sz w:val="20"/>
              </w:rPr>
            </w:pPr>
            <w:r>
              <w:rPr>
                <w:color w:val="auto"/>
                <w:sz w:val="20"/>
              </w:rPr>
              <w:t xml:space="preserve">30 </w:t>
            </w:r>
            <w:r w:rsidR="00901A80">
              <w:rPr>
                <w:color w:val="auto"/>
                <w:sz w:val="20"/>
              </w:rPr>
              <w:t>700</w:t>
            </w:r>
            <w:r w:rsidR="00901A80">
              <w:rPr>
                <w:color w:val="auto"/>
                <w:sz w:val="20"/>
                <w:vertAlign w:val="superscript"/>
              </w:rPr>
              <w:t>9</w:t>
            </w:r>
          </w:p>
        </w:tc>
        <w:tc>
          <w:tcPr>
            <w:tcW w:w="394" w:type="pct"/>
            <w:tcBorders>
              <w:top w:val="single" w:sz="4" w:space="0" w:color="auto"/>
              <w:bottom w:val="single" w:sz="4" w:space="0" w:color="auto"/>
            </w:tcBorders>
            <w:vAlign w:val="bottom"/>
          </w:tcPr>
          <w:p w14:paraId="134A77E1" w14:textId="77777777" w:rsidR="00BB3C61" w:rsidRPr="00D37B55" w:rsidRDefault="00BB3C61" w:rsidP="00ED3B72">
            <w:pPr>
              <w:pStyle w:val="Tabelltekst"/>
              <w:jc w:val="center"/>
              <w:rPr>
                <w:color w:val="auto"/>
                <w:sz w:val="20"/>
              </w:rPr>
            </w:pPr>
            <w:r>
              <w:rPr>
                <w:color w:val="auto"/>
                <w:sz w:val="20"/>
              </w:rPr>
              <w:t>615 200</w:t>
            </w:r>
          </w:p>
        </w:tc>
        <w:tc>
          <w:tcPr>
            <w:tcW w:w="296" w:type="pct"/>
            <w:tcBorders>
              <w:top w:val="single" w:sz="4" w:space="0" w:color="auto"/>
              <w:bottom w:val="single" w:sz="4" w:space="0" w:color="auto"/>
            </w:tcBorders>
            <w:vAlign w:val="bottom"/>
          </w:tcPr>
          <w:p w14:paraId="2AE5BDAB" w14:textId="77777777" w:rsidR="00BB3C61" w:rsidRDefault="00BB3C61" w:rsidP="00ED3B72">
            <w:pPr>
              <w:pStyle w:val="Tabelltekst"/>
              <w:jc w:val="center"/>
              <w:rPr>
                <w:color w:val="auto"/>
                <w:sz w:val="20"/>
              </w:rPr>
            </w:pPr>
            <w:r>
              <w:rPr>
                <w:color w:val="auto"/>
                <w:sz w:val="20"/>
              </w:rPr>
              <w:t>142 200</w:t>
            </w:r>
          </w:p>
        </w:tc>
        <w:tc>
          <w:tcPr>
            <w:tcW w:w="507" w:type="pct"/>
            <w:tcBorders>
              <w:top w:val="single" w:sz="4" w:space="0" w:color="auto"/>
              <w:bottom w:val="single" w:sz="4" w:space="0" w:color="auto"/>
            </w:tcBorders>
            <w:vAlign w:val="bottom"/>
          </w:tcPr>
          <w:p w14:paraId="4AAA152C" w14:textId="77777777" w:rsidR="00BB3C61" w:rsidRDefault="00BB3C61" w:rsidP="00ED3B72">
            <w:pPr>
              <w:pStyle w:val="Tabelltekst"/>
              <w:jc w:val="center"/>
              <w:rPr>
                <w:color w:val="auto"/>
                <w:sz w:val="20"/>
              </w:rPr>
            </w:pPr>
            <w:r>
              <w:rPr>
                <w:color w:val="auto"/>
                <w:sz w:val="20"/>
              </w:rPr>
              <w:t>374 300</w:t>
            </w:r>
          </w:p>
        </w:tc>
        <w:tc>
          <w:tcPr>
            <w:tcW w:w="452" w:type="pct"/>
            <w:tcBorders>
              <w:top w:val="single" w:sz="4" w:space="0" w:color="auto"/>
              <w:bottom w:val="single" w:sz="4" w:space="0" w:color="auto"/>
            </w:tcBorders>
            <w:vAlign w:val="bottom"/>
          </w:tcPr>
          <w:p w14:paraId="79FB20D5" w14:textId="77777777" w:rsidR="00BB3C61" w:rsidRDefault="00BB3C61" w:rsidP="00ED3B72">
            <w:pPr>
              <w:pStyle w:val="Tabelltekst"/>
              <w:jc w:val="center"/>
              <w:rPr>
                <w:color w:val="auto"/>
                <w:sz w:val="20"/>
              </w:rPr>
            </w:pPr>
            <w:r>
              <w:rPr>
                <w:color w:val="auto"/>
                <w:sz w:val="20"/>
              </w:rPr>
              <w:t>88 800</w:t>
            </w:r>
          </w:p>
        </w:tc>
        <w:tc>
          <w:tcPr>
            <w:tcW w:w="331" w:type="pct"/>
            <w:tcBorders>
              <w:top w:val="single" w:sz="4" w:space="0" w:color="auto"/>
              <w:bottom w:val="single" w:sz="4" w:space="0" w:color="auto"/>
            </w:tcBorders>
            <w:vAlign w:val="bottom"/>
          </w:tcPr>
          <w:p w14:paraId="32278224" w14:textId="77777777" w:rsidR="00BB3C61" w:rsidRDefault="00BB3C61" w:rsidP="00ED3B72">
            <w:pPr>
              <w:pStyle w:val="Tabelltekst"/>
              <w:jc w:val="center"/>
              <w:rPr>
                <w:color w:val="auto"/>
                <w:sz w:val="20"/>
              </w:rPr>
            </w:pPr>
            <w:r>
              <w:rPr>
                <w:color w:val="auto"/>
                <w:sz w:val="20"/>
              </w:rPr>
              <w:t>285 500</w:t>
            </w:r>
          </w:p>
        </w:tc>
        <w:tc>
          <w:tcPr>
            <w:tcW w:w="91" w:type="pct"/>
            <w:tcBorders>
              <w:top w:val="single" w:sz="4" w:space="0" w:color="auto"/>
              <w:bottom w:val="single" w:sz="4" w:space="0" w:color="auto"/>
            </w:tcBorders>
            <w:vAlign w:val="bottom"/>
          </w:tcPr>
          <w:p w14:paraId="30B8752C" w14:textId="77777777" w:rsidR="00BB3C61" w:rsidRDefault="00BB3C61" w:rsidP="00ED3B72">
            <w:pPr>
              <w:pStyle w:val="Tabelltekst"/>
              <w:jc w:val="center"/>
              <w:rPr>
                <w:color w:val="auto"/>
                <w:sz w:val="20"/>
              </w:rPr>
            </w:pPr>
          </w:p>
        </w:tc>
        <w:tc>
          <w:tcPr>
            <w:tcW w:w="378" w:type="pct"/>
            <w:tcBorders>
              <w:top w:val="single" w:sz="4" w:space="0" w:color="auto"/>
              <w:bottom w:val="single" w:sz="4" w:space="0" w:color="auto"/>
            </w:tcBorders>
            <w:vAlign w:val="bottom"/>
          </w:tcPr>
          <w:p w14:paraId="2F73E783" w14:textId="77777777" w:rsidR="00BB3C61" w:rsidRDefault="00BB3C61" w:rsidP="00ED3B72">
            <w:pPr>
              <w:pStyle w:val="Tabelltekst"/>
              <w:jc w:val="center"/>
              <w:rPr>
                <w:color w:val="auto"/>
                <w:sz w:val="20"/>
              </w:rPr>
            </w:pPr>
            <w:r>
              <w:rPr>
                <w:color w:val="auto"/>
                <w:sz w:val="20"/>
              </w:rPr>
              <w:t>98 700</w:t>
            </w:r>
          </w:p>
        </w:tc>
        <w:tc>
          <w:tcPr>
            <w:tcW w:w="288" w:type="pct"/>
            <w:gridSpan w:val="2"/>
            <w:tcBorders>
              <w:top w:val="single" w:sz="4" w:space="0" w:color="auto"/>
              <w:bottom w:val="single" w:sz="4" w:space="0" w:color="auto"/>
            </w:tcBorders>
            <w:vAlign w:val="bottom"/>
          </w:tcPr>
          <w:p w14:paraId="0C854DDB" w14:textId="1AC34B24" w:rsidR="00BB3C61" w:rsidRPr="00FE45F6" w:rsidRDefault="00FE45F6" w:rsidP="00ED3B72">
            <w:pPr>
              <w:pStyle w:val="Tabelltekst"/>
              <w:jc w:val="center"/>
              <w:rPr>
                <w:color w:val="auto"/>
                <w:sz w:val="20"/>
              </w:rPr>
            </w:pPr>
            <w:r>
              <w:rPr>
                <w:color w:val="auto"/>
                <w:sz w:val="20"/>
              </w:rPr>
              <w:t>46 5</w:t>
            </w:r>
            <w:r w:rsidR="00BB3C61" w:rsidRPr="00FE45F6">
              <w:rPr>
                <w:color w:val="auto"/>
                <w:sz w:val="20"/>
              </w:rPr>
              <w:t>00</w:t>
            </w:r>
          </w:p>
        </w:tc>
      </w:tr>
    </w:tbl>
    <w:p w14:paraId="5FED5758" w14:textId="001F71C7" w:rsidR="001F691B" w:rsidRPr="00D34941" w:rsidRDefault="001F691B" w:rsidP="008643D6">
      <w:pPr>
        <w:pStyle w:val="tabell-noter"/>
        <w:numPr>
          <w:ilvl w:val="0"/>
          <w:numId w:val="63"/>
        </w:numPr>
        <w:tabs>
          <w:tab w:val="clear" w:pos="284"/>
        </w:tabs>
        <w:spacing w:before="0" w:after="0"/>
        <w:ind w:left="-142" w:hanging="142"/>
      </w:pPr>
      <w:r w:rsidRPr="00D34941">
        <w:rPr>
          <w:sz w:val="18"/>
          <w:szCs w:val="18"/>
        </w:rPr>
        <w:t>Lønnsveksttallene er for heltidsansatte.</w:t>
      </w:r>
    </w:p>
    <w:p w14:paraId="2F3CB3CB" w14:textId="77777777" w:rsidR="001F691B" w:rsidRPr="0029660F" w:rsidRDefault="001F691B" w:rsidP="008643D6">
      <w:pPr>
        <w:pStyle w:val="tabell-noter"/>
        <w:numPr>
          <w:ilvl w:val="0"/>
          <w:numId w:val="63"/>
        </w:numPr>
        <w:tabs>
          <w:tab w:val="clear" w:pos="284"/>
        </w:tabs>
        <w:spacing w:before="0" w:after="0"/>
        <w:ind w:left="-142" w:hanging="142"/>
      </w:pPr>
      <w:r w:rsidRPr="00D34941">
        <w:rPr>
          <w:sz w:val="18"/>
          <w:szCs w:val="18"/>
        </w:rPr>
        <w:t>Forretnings- og sparebanker og forsikringsvirksomhet som omfatter noen flere grupper enn forhandlingsområdet bank og forsikring. Lønnsveksttallene er for heltidsansatte. Bortsett fra i 2009, 2012 og 2014 trakk bonusutbetalinger opp lønnsveksten i perioden 2005-201</w:t>
      </w:r>
      <w:r>
        <w:rPr>
          <w:sz w:val="18"/>
          <w:szCs w:val="18"/>
        </w:rPr>
        <w:t>5.</w:t>
      </w:r>
    </w:p>
    <w:p w14:paraId="46CA5101" w14:textId="77777777" w:rsidR="001F691B" w:rsidRPr="00DE6971" w:rsidRDefault="001F691B" w:rsidP="008643D6">
      <w:pPr>
        <w:pStyle w:val="tabell-noter"/>
        <w:numPr>
          <w:ilvl w:val="0"/>
          <w:numId w:val="63"/>
        </w:numPr>
        <w:tabs>
          <w:tab w:val="clear" w:pos="284"/>
        </w:tabs>
        <w:spacing w:before="0" w:after="0"/>
        <w:ind w:left="-142" w:hanging="142"/>
      </w:pPr>
      <w:r w:rsidRPr="0029660F">
        <w:rPr>
          <w:sz w:val="18"/>
          <w:szCs w:val="18"/>
        </w:rPr>
        <w:t>Et vektet gjennomsnitt av veksttallene for statsansatte, kommuneansatte og ansatte i helseforetakene. Antall årsverk i hver gruppe er brukt som vekter.</w:t>
      </w:r>
    </w:p>
    <w:p w14:paraId="5A928088" w14:textId="77777777" w:rsidR="001F691B" w:rsidRPr="007A299C" w:rsidRDefault="001F691B" w:rsidP="008643D6">
      <w:pPr>
        <w:pStyle w:val="tabell-noter"/>
        <w:numPr>
          <w:ilvl w:val="0"/>
          <w:numId w:val="63"/>
        </w:numPr>
        <w:tabs>
          <w:tab w:val="clear" w:pos="284"/>
        </w:tabs>
        <w:spacing w:before="0" w:after="0"/>
        <w:ind w:left="-142" w:hanging="142"/>
        <w:rPr>
          <w:sz w:val="18"/>
          <w:szCs w:val="18"/>
        </w:rPr>
      </w:pPr>
      <w:r w:rsidRPr="007A299C">
        <w:rPr>
          <w:sz w:val="18"/>
          <w:szCs w:val="18"/>
        </w:rPr>
        <w:t xml:space="preserve">Eksklusiv de statlig eide helseforetakene. </w:t>
      </w:r>
      <w:r w:rsidRPr="00AB0FE8">
        <w:rPr>
          <w:sz w:val="18"/>
          <w:szCs w:val="18"/>
        </w:rPr>
        <w:t>Fra og med 2015 er datagrunnlaget basert på A-ordningen. Med bakgrunn i dette er det foretatt korrigeringer i lønnsdataene som er innmeldt for årene 2013 og 2014 for forsvaret. Korrigeringene endrer nivåtallene for 2013 og 2014.</w:t>
      </w:r>
      <w:r w:rsidRPr="007A299C">
        <w:rPr>
          <w:sz w:val="18"/>
          <w:szCs w:val="18"/>
        </w:rPr>
        <w:t xml:space="preserve">  </w:t>
      </w:r>
    </w:p>
    <w:p w14:paraId="4159D432" w14:textId="77777777" w:rsidR="001F691B" w:rsidRPr="00A765AF" w:rsidRDefault="001F691B" w:rsidP="008643D6">
      <w:pPr>
        <w:pStyle w:val="tabell-noter"/>
        <w:numPr>
          <w:ilvl w:val="0"/>
          <w:numId w:val="63"/>
        </w:numPr>
        <w:tabs>
          <w:tab w:val="clear" w:pos="284"/>
        </w:tabs>
        <w:spacing w:before="0" w:after="0"/>
        <w:ind w:left="-142" w:hanging="142"/>
        <w:rPr>
          <w:rFonts w:ascii="Times New Roman" w:hAnsi="Times New Roman"/>
          <w:sz w:val="18"/>
          <w:szCs w:val="18"/>
        </w:rPr>
      </w:pPr>
      <w:r w:rsidRPr="00E26C86">
        <w:rPr>
          <w:sz w:val="18"/>
          <w:szCs w:val="18"/>
        </w:rPr>
        <w:t xml:space="preserve">Omfatter ansatte i kommunene, fylkeskommunene og andre virksomheter som er medlemmer i KS, herunder bedriftsmedlemmer. Tallene omfatter også stillinger med hovedsakelig lokal lønnsdannelse og undervisningsstillinger med hovedsakelig sentral lønnsdannelse. </w:t>
      </w:r>
    </w:p>
    <w:p w14:paraId="2E2E667F" w14:textId="77777777" w:rsidR="001F691B" w:rsidRPr="00B42FC6" w:rsidRDefault="001F691B" w:rsidP="008643D6">
      <w:pPr>
        <w:pStyle w:val="tabell-noter"/>
        <w:numPr>
          <w:ilvl w:val="0"/>
          <w:numId w:val="63"/>
        </w:numPr>
        <w:tabs>
          <w:tab w:val="clear" w:pos="284"/>
        </w:tabs>
        <w:spacing w:before="0" w:after="0"/>
        <w:ind w:left="-142" w:hanging="142"/>
        <w:rPr>
          <w:rFonts w:ascii="Times New Roman" w:hAnsi="Times New Roman" w:cs="Times New Roman"/>
          <w:sz w:val="18"/>
          <w:szCs w:val="18"/>
        </w:rPr>
      </w:pPr>
      <w:r w:rsidRPr="00B42FC6">
        <w:rPr>
          <w:rFonts w:ascii="Times New Roman" w:hAnsi="Times New Roman" w:cs="Times New Roman"/>
          <w:sz w:val="18"/>
          <w:szCs w:val="18"/>
        </w:rPr>
        <w:t>For ansatte i konflikt i 2014 ble virkningstidspunkter forsk</w:t>
      </w:r>
      <w:r>
        <w:rPr>
          <w:rFonts w:ascii="Times New Roman" w:hAnsi="Times New Roman" w:cs="Times New Roman"/>
          <w:sz w:val="18"/>
          <w:szCs w:val="18"/>
        </w:rPr>
        <w:t>j</w:t>
      </w:r>
      <w:r w:rsidRPr="00B42FC6">
        <w:rPr>
          <w:rFonts w:ascii="Times New Roman" w:hAnsi="Times New Roman" w:cs="Times New Roman"/>
          <w:sz w:val="18"/>
          <w:szCs w:val="18"/>
        </w:rPr>
        <w:t xml:space="preserve">øvet. Dette trakk årslønnsvekstanslaget i 2014 ned med </w:t>
      </w:r>
      <w:r>
        <w:rPr>
          <w:rFonts w:ascii="Times New Roman" w:hAnsi="Times New Roman" w:cs="Times New Roman"/>
          <w:sz w:val="18"/>
          <w:szCs w:val="18"/>
        </w:rPr>
        <w:t>0,2</w:t>
      </w:r>
      <w:r w:rsidRPr="00B42FC6">
        <w:rPr>
          <w:rFonts w:ascii="Times New Roman" w:hAnsi="Times New Roman" w:cs="Times New Roman"/>
          <w:sz w:val="18"/>
          <w:szCs w:val="18"/>
        </w:rPr>
        <w:t xml:space="preserve"> prosentpoeng i hele kommunesektoren</w:t>
      </w:r>
      <w:r>
        <w:rPr>
          <w:rFonts w:ascii="Times New Roman" w:hAnsi="Times New Roman" w:cs="Times New Roman"/>
          <w:sz w:val="18"/>
          <w:szCs w:val="18"/>
        </w:rPr>
        <w:t xml:space="preserve"> og</w:t>
      </w:r>
      <w:r w:rsidRPr="00B42FC6">
        <w:rPr>
          <w:rFonts w:ascii="Times New Roman" w:hAnsi="Times New Roman" w:cs="Times New Roman"/>
          <w:sz w:val="18"/>
          <w:szCs w:val="18"/>
        </w:rPr>
        <w:t xml:space="preserve"> med </w:t>
      </w:r>
      <w:r>
        <w:rPr>
          <w:rFonts w:ascii="Times New Roman" w:hAnsi="Times New Roman" w:cs="Times New Roman"/>
          <w:sz w:val="18"/>
          <w:szCs w:val="18"/>
        </w:rPr>
        <w:t>0,9</w:t>
      </w:r>
      <w:r w:rsidRPr="00B42FC6">
        <w:rPr>
          <w:rFonts w:ascii="Times New Roman" w:hAnsi="Times New Roman" w:cs="Times New Roman"/>
          <w:sz w:val="18"/>
          <w:szCs w:val="18"/>
        </w:rPr>
        <w:t xml:space="preserve"> prosentpoeng for undervisnings</w:t>
      </w:r>
      <w:r>
        <w:rPr>
          <w:rFonts w:ascii="Times New Roman" w:hAnsi="Times New Roman" w:cs="Times New Roman"/>
          <w:sz w:val="18"/>
          <w:szCs w:val="18"/>
        </w:rPr>
        <w:t>ansatte. Konflikten har trukket opp årslønnsveksten i 2015 for kommuneansatte med 0,2 prosentpoeng og for undervisningsansatte med 0,9 prosentpoeng. For øvrige ansatte ble ikke årslønnsveksten påvirket.</w:t>
      </w:r>
    </w:p>
    <w:p w14:paraId="451ED1EE" w14:textId="77777777" w:rsidR="001F691B" w:rsidRPr="006F719B" w:rsidRDefault="001F691B" w:rsidP="008643D6">
      <w:pPr>
        <w:pStyle w:val="tabell-noter"/>
        <w:numPr>
          <w:ilvl w:val="0"/>
          <w:numId w:val="63"/>
        </w:numPr>
        <w:tabs>
          <w:tab w:val="clear" w:pos="284"/>
        </w:tabs>
        <w:spacing w:after="0"/>
        <w:ind w:left="-142" w:hanging="142"/>
        <w:rPr>
          <w:rStyle w:val="StilTimes"/>
          <w:sz w:val="18"/>
          <w:szCs w:val="18"/>
        </w:rPr>
      </w:pPr>
      <w:r w:rsidRPr="00783786">
        <w:rPr>
          <w:rStyle w:val="StilTimes"/>
          <w:sz w:val="18"/>
          <w:szCs w:val="18"/>
        </w:rPr>
        <w:t xml:space="preserve">Beregnet på Spekters tallmateriale </w:t>
      </w:r>
      <w:r>
        <w:rPr>
          <w:rStyle w:val="StilTimes"/>
          <w:sz w:val="18"/>
          <w:szCs w:val="18"/>
        </w:rPr>
        <w:t xml:space="preserve">fram </w:t>
      </w:r>
      <w:r w:rsidRPr="00783786">
        <w:rPr>
          <w:rStyle w:val="StilTimes"/>
          <w:sz w:val="18"/>
          <w:szCs w:val="18"/>
        </w:rPr>
        <w:t xml:space="preserve">til </w:t>
      </w:r>
      <w:r>
        <w:rPr>
          <w:rStyle w:val="StilTimes"/>
          <w:sz w:val="18"/>
          <w:szCs w:val="18"/>
        </w:rPr>
        <w:t xml:space="preserve">og med </w:t>
      </w:r>
      <w:r w:rsidRPr="00783786">
        <w:rPr>
          <w:rStyle w:val="StilTimes"/>
          <w:sz w:val="18"/>
          <w:szCs w:val="18"/>
        </w:rPr>
        <w:t>2009</w:t>
      </w:r>
      <w:r>
        <w:rPr>
          <w:rStyle w:val="StilTimes"/>
          <w:sz w:val="18"/>
          <w:szCs w:val="18"/>
        </w:rPr>
        <w:t>, og f</w:t>
      </w:r>
      <w:r w:rsidRPr="00783786">
        <w:rPr>
          <w:rStyle w:val="StilTimes"/>
          <w:sz w:val="18"/>
          <w:szCs w:val="18"/>
        </w:rPr>
        <w:t>ra 2010</w:t>
      </w:r>
      <w:r>
        <w:rPr>
          <w:rStyle w:val="StilTimes"/>
          <w:sz w:val="18"/>
          <w:szCs w:val="18"/>
        </w:rPr>
        <w:t xml:space="preserve"> </w:t>
      </w:r>
      <w:r w:rsidRPr="00783786">
        <w:rPr>
          <w:rStyle w:val="StilTimes"/>
          <w:sz w:val="18"/>
          <w:szCs w:val="18"/>
        </w:rPr>
        <w:t xml:space="preserve">beregnet på tallmateriale fra </w:t>
      </w:r>
      <w:r>
        <w:rPr>
          <w:rStyle w:val="StilTimes"/>
          <w:sz w:val="18"/>
          <w:szCs w:val="18"/>
        </w:rPr>
        <w:t>Statistisk sentralbyrå</w:t>
      </w:r>
      <w:r w:rsidRPr="00783786">
        <w:rPr>
          <w:rStyle w:val="StilTimes"/>
          <w:sz w:val="18"/>
          <w:szCs w:val="18"/>
        </w:rPr>
        <w:t>.</w:t>
      </w:r>
    </w:p>
    <w:p w14:paraId="4A686F5A" w14:textId="77777777" w:rsidR="001F691B" w:rsidRDefault="001F691B" w:rsidP="008643D6">
      <w:pPr>
        <w:pStyle w:val="tabell-noter"/>
        <w:numPr>
          <w:ilvl w:val="0"/>
          <w:numId w:val="63"/>
        </w:numPr>
        <w:tabs>
          <w:tab w:val="clear" w:pos="284"/>
        </w:tabs>
        <w:spacing w:after="0"/>
        <w:ind w:left="-142" w:hanging="142"/>
        <w:rPr>
          <w:sz w:val="18"/>
          <w:szCs w:val="18"/>
        </w:rPr>
      </w:pPr>
      <w:r w:rsidRPr="00002580">
        <w:rPr>
          <w:sz w:val="18"/>
          <w:szCs w:val="18"/>
        </w:rPr>
        <w:t xml:space="preserve">Lønnsveksten fra </w:t>
      </w:r>
      <w:r>
        <w:rPr>
          <w:sz w:val="18"/>
          <w:szCs w:val="18"/>
        </w:rPr>
        <w:t xml:space="preserve">og med </w:t>
      </w:r>
      <w:r w:rsidRPr="00002580">
        <w:rPr>
          <w:sz w:val="18"/>
          <w:szCs w:val="18"/>
        </w:rPr>
        <w:t>2008 er etter ny næringsstandard</w:t>
      </w:r>
      <w:r>
        <w:rPr>
          <w:sz w:val="18"/>
          <w:szCs w:val="18"/>
        </w:rPr>
        <w:t>, se vedlegg 2 NOU 2015: 6</w:t>
      </w:r>
      <w:r w:rsidRPr="00002580">
        <w:rPr>
          <w:sz w:val="18"/>
          <w:szCs w:val="18"/>
        </w:rPr>
        <w:t xml:space="preserve">. Sammenlignet med veksten fra 2007 til 2008 og tidligere år, vil </w:t>
      </w:r>
      <w:r>
        <w:rPr>
          <w:sz w:val="18"/>
          <w:szCs w:val="18"/>
        </w:rPr>
        <w:t>det være et brudd i tidsserien.</w:t>
      </w:r>
    </w:p>
    <w:p w14:paraId="58ECD183" w14:textId="77777777" w:rsidR="008970A7" w:rsidRPr="008970A7" w:rsidRDefault="001F691B" w:rsidP="008643D6">
      <w:pPr>
        <w:pStyle w:val="tabell-noter"/>
        <w:numPr>
          <w:ilvl w:val="0"/>
          <w:numId w:val="63"/>
        </w:numPr>
        <w:tabs>
          <w:tab w:val="clear" w:pos="284"/>
        </w:tabs>
        <w:spacing w:after="0"/>
        <w:ind w:left="-142" w:hanging="142"/>
      </w:pPr>
      <w:r w:rsidRPr="008970A7">
        <w:rPr>
          <w:sz w:val="18"/>
          <w:szCs w:val="18"/>
        </w:rPr>
        <w:t>Heltidsansatte.</w:t>
      </w:r>
    </w:p>
    <w:p w14:paraId="33C79A2D" w14:textId="102E631D" w:rsidR="001F691B" w:rsidRDefault="001F691B" w:rsidP="008970A7">
      <w:pPr>
        <w:pStyle w:val="tabell-noter"/>
        <w:tabs>
          <w:tab w:val="clear" w:pos="284"/>
        </w:tabs>
        <w:spacing w:after="0"/>
        <w:ind w:left="-284"/>
        <w:contextualSpacing w:val="0"/>
        <w:sectPr w:rsidR="001F691B" w:rsidSect="00846451">
          <w:headerReference w:type="default" r:id="rId11"/>
          <w:footerReference w:type="even" r:id="rId12"/>
          <w:footerReference w:type="default" r:id="rId13"/>
          <w:pgSz w:w="16838" w:h="11906" w:orient="landscape" w:code="9"/>
          <w:pgMar w:top="851" w:right="1418" w:bottom="425" w:left="1418" w:header="709" w:footer="709" w:gutter="0"/>
          <w:cols w:space="708"/>
          <w:titlePg/>
          <w:docGrid w:linePitch="299"/>
        </w:sectPr>
      </w:pPr>
      <w:r w:rsidRPr="00002580">
        <w:t>Kilder: Statistisk sentralbyrå og Beregningsutvalget</w:t>
      </w:r>
      <w:r>
        <w:t>.</w:t>
      </w:r>
    </w:p>
    <w:p w14:paraId="6C6D15D0" w14:textId="77777777" w:rsidR="002124A0" w:rsidRPr="00BA1C84" w:rsidRDefault="002124A0" w:rsidP="002124A0">
      <w:pPr>
        <w:pStyle w:val="Overskrift3"/>
      </w:pPr>
      <w:bookmarkStart w:id="17" w:name="hov0.1.1.3"/>
      <w:bookmarkStart w:id="18" w:name="ID_TAB3_46_2"/>
      <w:bookmarkStart w:id="19" w:name="_Toc320820655"/>
      <w:bookmarkStart w:id="20" w:name="_Toc351913426"/>
      <w:bookmarkStart w:id="21" w:name="_Toc380506120"/>
      <w:bookmarkStart w:id="22" w:name="_Toc442351727"/>
      <w:bookmarkStart w:id="23" w:name="_Toc443998951"/>
      <w:bookmarkEnd w:id="17"/>
      <w:bookmarkEnd w:id="18"/>
      <w:r>
        <w:t>L</w:t>
      </w:r>
      <w:r w:rsidRPr="00BA1C84">
        <w:t>ønnsutviklingen samlet og i enkelte næringer</w:t>
      </w:r>
      <w:bookmarkEnd w:id="19"/>
      <w:bookmarkEnd w:id="20"/>
      <w:bookmarkEnd w:id="21"/>
      <w:bookmarkEnd w:id="22"/>
      <w:bookmarkEnd w:id="23"/>
    </w:p>
    <w:p w14:paraId="2FEAAE7F" w14:textId="77777777" w:rsidR="00F423DC" w:rsidRDefault="00F423DC" w:rsidP="00F423DC">
      <w:pPr>
        <w:rPr>
          <w:szCs w:val="24"/>
        </w:rPr>
      </w:pPr>
      <w:r>
        <w:rPr>
          <w:szCs w:val="24"/>
        </w:rPr>
        <w:t>T</w:t>
      </w:r>
      <w:r w:rsidRPr="00F97402">
        <w:rPr>
          <w:szCs w:val="24"/>
        </w:rPr>
        <w:t xml:space="preserve">abell </w:t>
      </w:r>
      <w:r>
        <w:rPr>
          <w:szCs w:val="24"/>
        </w:rPr>
        <w:t>1</w:t>
      </w:r>
      <w:r w:rsidRPr="00F97402">
        <w:rPr>
          <w:szCs w:val="24"/>
        </w:rPr>
        <w:t xml:space="preserve">.2 </w:t>
      </w:r>
      <w:r>
        <w:rPr>
          <w:szCs w:val="24"/>
        </w:rPr>
        <w:t>viser</w:t>
      </w:r>
      <w:r w:rsidRPr="00F97402">
        <w:rPr>
          <w:szCs w:val="24"/>
        </w:rPr>
        <w:t xml:space="preserve"> beregnet gjennomsnittlig lønnsutvikling for alle grupper</w:t>
      </w:r>
      <w:r w:rsidR="007454C4" w:rsidRPr="007454C4">
        <w:rPr>
          <w:szCs w:val="24"/>
        </w:rPr>
        <w:t xml:space="preserve"> etter nasjonalregnskapet og etter lønnsstatistikken </w:t>
      </w:r>
      <w:r w:rsidRPr="00F97402">
        <w:rPr>
          <w:szCs w:val="24"/>
        </w:rPr>
        <w:t xml:space="preserve">for </w:t>
      </w:r>
      <w:r>
        <w:rPr>
          <w:szCs w:val="24"/>
        </w:rPr>
        <w:t>tre</w:t>
      </w:r>
      <w:r w:rsidRPr="00F97402">
        <w:rPr>
          <w:szCs w:val="24"/>
        </w:rPr>
        <w:t xml:space="preserve"> hovedsektorer:</w:t>
      </w:r>
    </w:p>
    <w:p w14:paraId="59350132" w14:textId="77777777" w:rsidR="00F423DC" w:rsidRDefault="00F423DC" w:rsidP="00F423DC">
      <w:pPr>
        <w:numPr>
          <w:ilvl w:val="0"/>
          <w:numId w:val="18"/>
        </w:numPr>
        <w:spacing w:after="0"/>
        <w:ind w:left="714" w:hanging="357"/>
      </w:pPr>
      <w:r w:rsidRPr="00EA0201">
        <w:rPr>
          <w:rFonts w:ascii="Times New Roman" w:eastAsia="Times New Roman" w:hAnsi="Times New Roman" w:cstheme="minorBidi"/>
          <w:spacing w:val="4"/>
          <w:szCs w:val="22"/>
        </w:rPr>
        <w:t>Ansatte i industrien</w:t>
      </w:r>
      <w:r>
        <w:rPr>
          <w:rStyle w:val="Fotnotereferanse"/>
        </w:rPr>
        <w:footnoteReference w:id="1"/>
      </w:r>
      <w:r>
        <w:t xml:space="preserve"> </w:t>
      </w:r>
    </w:p>
    <w:p w14:paraId="617BCACE" w14:textId="77777777" w:rsidR="00F423DC" w:rsidRDefault="00F423DC" w:rsidP="00F423DC">
      <w:pPr>
        <w:pStyle w:val="Liste"/>
        <w:numPr>
          <w:ilvl w:val="0"/>
          <w:numId w:val="18"/>
        </w:numPr>
        <w:ind w:left="714" w:hanging="357"/>
      </w:pPr>
      <w:r w:rsidRPr="00F97402">
        <w:t>Ansatte i varehandel</w:t>
      </w:r>
    </w:p>
    <w:p w14:paraId="65203366" w14:textId="77777777" w:rsidR="00F423DC" w:rsidRDefault="00F423DC" w:rsidP="00F423DC">
      <w:pPr>
        <w:pStyle w:val="Liste"/>
        <w:numPr>
          <w:ilvl w:val="0"/>
          <w:numId w:val="18"/>
        </w:numPr>
        <w:ind w:left="714" w:hanging="357"/>
      </w:pPr>
      <w:r>
        <w:t>Ansatte i offentlig forvaltning</w:t>
      </w:r>
      <w:r>
        <w:br/>
      </w:r>
    </w:p>
    <w:p w14:paraId="1F60C5D8" w14:textId="77777777" w:rsidR="007454C4" w:rsidRPr="007454C4" w:rsidRDefault="007454C4" w:rsidP="007454C4">
      <w:pPr>
        <w:rPr>
          <w:rFonts w:ascii="Times New Roman" w:hAnsi="Times New Roman"/>
        </w:rPr>
      </w:pPr>
      <w:r>
        <w:t>Beregningene av årslønnslønnsvekst basert på nasjonalregnskapet og i de største forhandlingsområdene har med etterbetalinger av lønnstillegg. I beregningen til Statistisk sentralbyrå på grunnlag av lønnsstatistikken er det d</w:t>
      </w:r>
      <w:r w:rsidRPr="007454C4">
        <w:rPr>
          <w:rFonts w:ascii="Times New Roman" w:hAnsi="Times New Roman"/>
        </w:rPr>
        <w:t>e faktiske utbetalinger uavhengig av virkningsdato som legges til grunn.</w:t>
      </w:r>
    </w:p>
    <w:p w14:paraId="5E92B7A0" w14:textId="77777777" w:rsidR="00F423DC" w:rsidRDefault="00F423DC" w:rsidP="00F423DC">
      <w:r w:rsidRPr="00A34A29">
        <w:t>Tabell</w:t>
      </w:r>
      <w:r>
        <w:t xml:space="preserve"> 1.2</w:t>
      </w:r>
      <w:r w:rsidRPr="00A34A29">
        <w:t xml:space="preserve"> viser at samlet fra </w:t>
      </w:r>
      <w:r>
        <w:t>2004</w:t>
      </w:r>
      <w:r w:rsidRPr="00A34A29">
        <w:t xml:space="preserve"> til 20</w:t>
      </w:r>
      <w:r>
        <w:t>14</w:t>
      </w:r>
      <w:r w:rsidRPr="00A34A29">
        <w:t xml:space="preserve"> </w:t>
      </w:r>
      <w:r>
        <w:t>var</w:t>
      </w:r>
      <w:r w:rsidRPr="00A34A29">
        <w:t xml:space="preserve"> lønnsveksten </w:t>
      </w:r>
      <w:r>
        <w:t>i</w:t>
      </w:r>
      <w:r w:rsidRPr="00A34A29">
        <w:t xml:space="preserve"> </w:t>
      </w:r>
      <w:r>
        <w:t>industrien i alt noe høyere enn i varehandel totalt.</w:t>
      </w:r>
      <w:r w:rsidRPr="00A34A29">
        <w:t xml:space="preserve"> Lønnsveksten i industribedrifter i alt har i </w:t>
      </w:r>
      <w:r>
        <w:t>denne perioden</w:t>
      </w:r>
      <w:r w:rsidRPr="00A34A29">
        <w:t xml:space="preserve"> vært om lag den samme som for NHO-bedrifter i industrien</w:t>
      </w:r>
      <w:r>
        <w:t>, jf. tabell 1.1</w:t>
      </w:r>
      <w:r w:rsidRPr="00A34A29">
        <w:t xml:space="preserve">. Imidlertid har lønnsveksten </w:t>
      </w:r>
      <w:r>
        <w:t>for</w:t>
      </w:r>
      <w:r w:rsidRPr="00A34A29">
        <w:t xml:space="preserve"> disse to gruppene vært noe forskjellig i de enkelte år. </w:t>
      </w:r>
    </w:p>
    <w:p w14:paraId="3D9B4BE4" w14:textId="77777777" w:rsidR="00F423DC" w:rsidRDefault="00F423DC" w:rsidP="00F423DC">
      <w:pPr>
        <w:rPr>
          <w:szCs w:val="24"/>
        </w:rPr>
      </w:pPr>
      <w:r w:rsidRPr="00A25A63">
        <w:t xml:space="preserve">Beregningsutvalget </w:t>
      </w:r>
      <w:r>
        <w:t xml:space="preserve">legger til grunn en vekst i gjennomsnittlig årslønn fra </w:t>
      </w:r>
      <w:r w:rsidR="005979E3">
        <w:t xml:space="preserve">2014 </w:t>
      </w:r>
      <w:r>
        <w:t xml:space="preserve">til </w:t>
      </w:r>
      <w:r w:rsidR="005979E3">
        <w:t xml:space="preserve">2015 </w:t>
      </w:r>
      <w:r>
        <w:t xml:space="preserve">for lønnstakere under ett på </w:t>
      </w:r>
      <w:r w:rsidR="005979E3">
        <w:t>2,8</w:t>
      </w:r>
      <w:r>
        <w:t xml:space="preserve"> prosent, mot 3,</w:t>
      </w:r>
      <w:r w:rsidR="005979E3">
        <w:t xml:space="preserve">1 </w:t>
      </w:r>
      <w:r>
        <w:t xml:space="preserve">prosent året før. Ifølge foreløpige nasjonalregnskapstall for </w:t>
      </w:r>
      <w:r w:rsidR="005979E3">
        <w:t>2015</w:t>
      </w:r>
      <w:r>
        <w:t xml:space="preserve">, har Statistisk sentralbyrå beregnet veksten i gjennomsnittlig årslønn fra </w:t>
      </w:r>
      <w:r w:rsidR="005979E3">
        <w:t xml:space="preserve">2014 </w:t>
      </w:r>
      <w:r>
        <w:t xml:space="preserve">til </w:t>
      </w:r>
      <w:r w:rsidR="005979E3">
        <w:t xml:space="preserve">2015 </w:t>
      </w:r>
      <w:r>
        <w:t xml:space="preserve">for lønnstakere under ett til </w:t>
      </w:r>
      <w:r w:rsidR="005979E3">
        <w:t>2,8</w:t>
      </w:r>
      <w:r>
        <w:t xml:space="preserve"> prosent. </w:t>
      </w:r>
      <w:r>
        <w:rPr>
          <w:szCs w:val="24"/>
        </w:rPr>
        <w:t xml:space="preserve">  </w:t>
      </w:r>
    </w:p>
    <w:p w14:paraId="09BB50B5" w14:textId="77777777" w:rsidR="002124A0" w:rsidRDefault="002124A0" w:rsidP="002124A0">
      <w:pPr>
        <w:spacing w:after="0"/>
        <w:rPr>
          <w:rFonts w:ascii="Times New Roman" w:hAnsi="Times New Roman"/>
        </w:rPr>
      </w:pPr>
      <w:r>
        <w:rPr>
          <w:rFonts w:ascii="Times New Roman" w:hAnsi="Times New Roman"/>
        </w:rPr>
        <w:br w:type="page"/>
      </w:r>
    </w:p>
    <w:p w14:paraId="7213F24A" w14:textId="77777777" w:rsidR="002124A0" w:rsidRDefault="002124A0" w:rsidP="002124A0">
      <w:pPr>
        <w:pStyle w:val="tabell-tittel"/>
      </w:pPr>
      <w:r w:rsidRPr="00EC1661">
        <w:t>Årslønnsvekst</w:t>
      </w:r>
      <w:r w:rsidRPr="00EC1661">
        <w:rPr>
          <w:szCs w:val="24"/>
          <w:vertAlign w:val="superscript"/>
        </w:rPr>
        <w:t>1</w:t>
      </w:r>
      <w:r w:rsidRPr="00EC1661">
        <w:t xml:space="preserve"> fra året før i prosent for alle grupper og for tre</w:t>
      </w:r>
      <w:r w:rsidRPr="006F1E3E">
        <w:t xml:space="preserve"> hovedsektorer i økonomien</w:t>
      </w:r>
      <w:r w:rsidRPr="00A44A3F">
        <w:t>.</w:t>
      </w:r>
    </w:p>
    <w:tbl>
      <w:tblPr>
        <w:tblStyle w:val="TrykketTabell"/>
        <w:tblW w:w="5000" w:type="pct"/>
        <w:jc w:val="right"/>
        <w:tblBorders>
          <w:bottom w:val="none" w:sz="0" w:space="0" w:color="auto"/>
        </w:tblBorders>
        <w:tblCellMar>
          <w:left w:w="79" w:type="dxa"/>
          <w:right w:w="79" w:type="dxa"/>
        </w:tblCellMar>
        <w:tblLook w:val="04A0" w:firstRow="1" w:lastRow="0" w:firstColumn="1" w:lastColumn="0" w:noHBand="0" w:noVBand="1"/>
      </w:tblPr>
      <w:tblGrid>
        <w:gridCol w:w="1586"/>
        <w:gridCol w:w="1341"/>
        <w:gridCol w:w="1003"/>
        <w:gridCol w:w="1051"/>
        <w:gridCol w:w="1402"/>
        <w:gridCol w:w="939"/>
        <w:gridCol w:w="1748"/>
      </w:tblGrid>
      <w:tr w:rsidR="00234E27" w:rsidRPr="00486EBB" w14:paraId="726D28ED" w14:textId="77777777" w:rsidTr="00486EBB">
        <w:trPr>
          <w:cnfStyle w:val="100000000000" w:firstRow="1" w:lastRow="0" w:firstColumn="0" w:lastColumn="0" w:oddVBand="0" w:evenVBand="0" w:oddHBand="0" w:evenHBand="0" w:firstRowFirstColumn="0" w:firstRowLastColumn="0" w:lastRowFirstColumn="0" w:lastRowLastColumn="0"/>
          <w:trHeight w:val="138"/>
          <w:jc w:val="right"/>
        </w:trPr>
        <w:tc>
          <w:tcPr>
            <w:tcW w:w="844" w:type="pct"/>
            <w:tcBorders>
              <w:bottom w:val="none" w:sz="0" w:space="0" w:color="auto"/>
            </w:tcBorders>
            <w:vAlign w:val="bottom"/>
          </w:tcPr>
          <w:p w14:paraId="0242E61D"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bookmarkStart w:id="24" w:name="OLE_LINK5"/>
          </w:p>
        </w:tc>
        <w:tc>
          <w:tcPr>
            <w:tcW w:w="712" w:type="pct"/>
            <w:tcBorders>
              <w:bottom w:val="none" w:sz="0" w:space="0" w:color="auto"/>
            </w:tcBorders>
            <w:vAlign w:val="bottom"/>
          </w:tcPr>
          <w:p w14:paraId="5B82A94B" w14:textId="77777777" w:rsidR="00234E27" w:rsidRPr="00486EBB" w:rsidRDefault="00234E27" w:rsidP="000A1EA9">
            <w:pPr>
              <w:autoSpaceDE w:val="0"/>
              <w:autoSpaceDN w:val="0"/>
              <w:adjustRightInd w:val="0"/>
              <w:spacing w:after="0"/>
              <w:ind w:left="80" w:right="80"/>
              <w:jc w:val="center"/>
              <w:rPr>
                <w:rFonts w:ascii="Times New Roman" w:hAnsi="Times New Roman"/>
                <w:noProof/>
                <w:sz w:val="22"/>
              </w:rPr>
            </w:pPr>
          </w:p>
        </w:tc>
        <w:tc>
          <w:tcPr>
            <w:tcW w:w="3444" w:type="pct"/>
            <w:gridSpan w:val="5"/>
            <w:vAlign w:val="bottom"/>
          </w:tcPr>
          <w:p w14:paraId="3EA59C62" w14:textId="77777777" w:rsidR="00234E27" w:rsidRPr="00486EBB" w:rsidRDefault="00234E27" w:rsidP="000A1EA9">
            <w:pPr>
              <w:autoSpaceDE w:val="0"/>
              <w:autoSpaceDN w:val="0"/>
              <w:adjustRightInd w:val="0"/>
              <w:spacing w:after="0"/>
              <w:ind w:left="80" w:right="80"/>
              <w:jc w:val="center"/>
              <w:rPr>
                <w:rFonts w:ascii="Times New Roman" w:hAnsi="Times New Roman"/>
                <w:noProof/>
                <w:sz w:val="22"/>
              </w:rPr>
            </w:pPr>
            <w:r w:rsidRPr="00486EBB">
              <w:rPr>
                <w:rFonts w:ascii="Times New Roman" w:hAnsi="Times New Roman"/>
                <w:noProof/>
                <w:sz w:val="22"/>
              </w:rPr>
              <w:t>Lønnsstatistikken</w:t>
            </w:r>
          </w:p>
        </w:tc>
      </w:tr>
      <w:tr w:rsidR="00234E27" w:rsidRPr="00486EBB" w14:paraId="19A883D5" w14:textId="77777777" w:rsidTr="00486EBB">
        <w:trPr>
          <w:trHeight w:val="510"/>
          <w:jc w:val="right"/>
        </w:trPr>
        <w:tc>
          <w:tcPr>
            <w:tcW w:w="844" w:type="pct"/>
            <w:tcBorders>
              <w:bottom w:val="single" w:sz="4" w:space="0" w:color="auto"/>
            </w:tcBorders>
            <w:vAlign w:val="bottom"/>
          </w:tcPr>
          <w:p w14:paraId="60C7F752" w14:textId="77777777" w:rsidR="00234E27" w:rsidRPr="00486EBB" w:rsidRDefault="00234E27" w:rsidP="000A1EA9">
            <w:pPr>
              <w:autoSpaceDE w:val="0"/>
              <w:autoSpaceDN w:val="0"/>
              <w:adjustRightInd w:val="0"/>
              <w:spacing w:after="0"/>
              <w:ind w:right="80"/>
              <w:rPr>
                <w:rFonts w:ascii="Times New Roman" w:hAnsi="Times New Roman"/>
                <w:noProof/>
                <w:sz w:val="22"/>
              </w:rPr>
            </w:pPr>
          </w:p>
        </w:tc>
        <w:tc>
          <w:tcPr>
            <w:tcW w:w="712" w:type="pct"/>
            <w:tcBorders>
              <w:bottom w:val="single" w:sz="4" w:space="0" w:color="auto"/>
            </w:tcBorders>
            <w:vAlign w:val="bottom"/>
          </w:tcPr>
          <w:p w14:paraId="7267DBEE"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Nasjonal-regnskapet</w:t>
            </w:r>
            <w:r w:rsidRPr="00486EBB">
              <w:rPr>
                <w:rFonts w:ascii="Times New Roman" w:hAnsi="Times New Roman"/>
                <w:noProof/>
                <w:sz w:val="22"/>
                <w:vertAlign w:val="superscript"/>
              </w:rPr>
              <w:t>2</w:t>
            </w:r>
          </w:p>
        </w:tc>
        <w:tc>
          <w:tcPr>
            <w:tcW w:w="614" w:type="pct"/>
            <w:tcBorders>
              <w:bottom w:val="single" w:sz="4" w:space="0" w:color="auto"/>
            </w:tcBorders>
            <w:vAlign w:val="bottom"/>
          </w:tcPr>
          <w:p w14:paraId="156D1CD2"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Alle grupper</w:t>
            </w:r>
          </w:p>
        </w:tc>
        <w:tc>
          <w:tcPr>
            <w:tcW w:w="560" w:type="pct"/>
            <w:tcBorders>
              <w:bottom w:val="single" w:sz="4" w:space="0" w:color="auto"/>
            </w:tcBorders>
            <w:vAlign w:val="bottom"/>
          </w:tcPr>
          <w:p w14:paraId="15F7525F" w14:textId="77777777" w:rsidR="00234E27" w:rsidRPr="00486EBB" w:rsidRDefault="00234E27" w:rsidP="000A1EA9">
            <w:pPr>
              <w:spacing w:after="0"/>
              <w:jc w:val="right"/>
              <w:rPr>
                <w:rFonts w:ascii="Times New Roman" w:hAnsi="Times New Roman"/>
                <w:sz w:val="22"/>
              </w:rPr>
            </w:pPr>
            <w:r w:rsidRPr="00486EBB">
              <w:rPr>
                <w:rFonts w:ascii="Times New Roman" w:hAnsi="Times New Roman"/>
                <w:sz w:val="22"/>
              </w:rPr>
              <w:t>Industrien</w:t>
            </w:r>
          </w:p>
        </w:tc>
        <w:tc>
          <w:tcPr>
            <w:tcW w:w="745" w:type="pct"/>
            <w:tcBorders>
              <w:bottom w:val="single" w:sz="4" w:space="0" w:color="auto"/>
            </w:tcBorders>
            <w:vAlign w:val="bottom"/>
          </w:tcPr>
          <w:p w14:paraId="4C1FD530"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Varehandel</w:t>
            </w:r>
            <w:r w:rsidRPr="00486EBB">
              <w:rPr>
                <w:rStyle w:val="skrift-hevet"/>
                <w:rFonts w:ascii="Times New Roman" w:hAnsi="Times New Roman"/>
                <w:sz w:val="22"/>
              </w:rPr>
              <w:t>3</w:t>
            </w:r>
          </w:p>
        </w:tc>
        <w:tc>
          <w:tcPr>
            <w:tcW w:w="1525" w:type="pct"/>
            <w:gridSpan w:val="2"/>
            <w:tcBorders>
              <w:bottom w:val="single" w:sz="4" w:space="0" w:color="auto"/>
            </w:tcBorders>
            <w:vAlign w:val="bottom"/>
          </w:tcPr>
          <w:p w14:paraId="7C4261A2" w14:textId="77777777" w:rsidR="00234E27" w:rsidRPr="00486EBB" w:rsidRDefault="00234E27" w:rsidP="000A1EA9">
            <w:pPr>
              <w:autoSpaceDE w:val="0"/>
              <w:autoSpaceDN w:val="0"/>
              <w:adjustRightInd w:val="0"/>
              <w:spacing w:after="0"/>
              <w:ind w:left="80"/>
              <w:jc w:val="center"/>
              <w:rPr>
                <w:rFonts w:ascii="Times New Roman" w:hAnsi="Times New Roman"/>
                <w:sz w:val="22"/>
              </w:rPr>
            </w:pPr>
            <w:r w:rsidRPr="00486EBB">
              <w:rPr>
                <w:rFonts w:ascii="Times New Roman" w:hAnsi="Times New Roman"/>
                <w:sz w:val="22"/>
              </w:rPr>
              <w:t>Offentlig forvaltning</w:t>
            </w:r>
            <w:r w:rsidRPr="00486EBB">
              <w:rPr>
                <w:rFonts w:ascii="Times New Roman" w:hAnsi="Times New Roman"/>
                <w:sz w:val="22"/>
                <w:vertAlign w:val="superscript"/>
              </w:rPr>
              <w:t>4</w:t>
            </w:r>
          </w:p>
        </w:tc>
      </w:tr>
      <w:tr w:rsidR="00234E27" w:rsidRPr="00486EBB" w14:paraId="299E1621" w14:textId="77777777" w:rsidTr="00486EBB">
        <w:trPr>
          <w:trHeight w:val="431"/>
          <w:jc w:val="right"/>
        </w:trPr>
        <w:tc>
          <w:tcPr>
            <w:tcW w:w="844" w:type="pct"/>
            <w:tcBorders>
              <w:top w:val="single" w:sz="4" w:space="0" w:color="auto"/>
            </w:tcBorders>
            <w:vAlign w:val="bottom"/>
          </w:tcPr>
          <w:p w14:paraId="70D63F25"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p>
        </w:tc>
        <w:tc>
          <w:tcPr>
            <w:tcW w:w="712" w:type="pct"/>
            <w:tcBorders>
              <w:top w:val="single" w:sz="4" w:space="0" w:color="auto"/>
            </w:tcBorders>
            <w:vAlign w:val="bottom"/>
          </w:tcPr>
          <w:p w14:paraId="66415431"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p>
        </w:tc>
        <w:tc>
          <w:tcPr>
            <w:tcW w:w="614" w:type="pct"/>
            <w:tcBorders>
              <w:top w:val="single" w:sz="4" w:space="0" w:color="auto"/>
            </w:tcBorders>
            <w:vAlign w:val="bottom"/>
          </w:tcPr>
          <w:p w14:paraId="7347CF6A" w14:textId="77777777" w:rsidR="00234E27" w:rsidRPr="00486EBB" w:rsidRDefault="00234E27" w:rsidP="000A1EA9">
            <w:pPr>
              <w:spacing w:after="0"/>
              <w:ind w:right="110"/>
              <w:jc w:val="right"/>
              <w:rPr>
                <w:rFonts w:ascii="Times New Roman" w:hAnsi="Times New Roman"/>
                <w:sz w:val="22"/>
              </w:rPr>
            </w:pPr>
          </w:p>
        </w:tc>
        <w:tc>
          <w:tcPr>
            <w:tcW w:w="560" w:type="pct"/>
            <w:tcBorders>
              <w:top w:val="single" w:sz="4" w:space="0" w:color="auto"/>
            </w:tcBorders>
            <w:vAlign w:val="bottom"/>
          </w:tcPr>
          <w:p w14:paraId="24ECF9C4"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p>
        </w:tc>
        <w:tc>
          <w:tcPr>
            <w:tcW w:w="745" w:type="pct"/>
            <w:tcBorders>
              <w:top w:val="single" w:sz="4" w:space="0" w:color="auto"/>
            </w:tcBorders>
            <w:vAlign w:val="bottom"/>
          </w:tcPr>
          <w:p w14:paraId="3236892E"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p>
        </w:tc>
        <w:tc>
          <w:tcPr>
            <w:tcW w:w="589" w:type="pct"/>
            <w:tcBorders>
              <w:top w:val="single" w:sz="4" w:space="0" w:color="auto"/>
              <w:bottom w:val="single" w:sz="4" w:space="0" w:color="auto"/>
            </w:tcBorders>
            <w:vAlign w:val="bottom"/>
          </w:tcPr>
          <w:p w14:paraId="71396D4B"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I alt</w:t>
            </w:r>
          </w:p>
        </w:tc>
        <w:tc>
          <w:tcPr>
            <w:tcW w:w="936" w:type="pct"/>
            <w:tcBorders>
              <w:top w:val="single" w:sz="4" w:space="0" w:color="auto"/>
              <w:bottom w:val="single" w:sz="4" w:space="0" w:color="auto"/>
            </w:tcBorders>
            <w:vAlign w:val="bottom"/>
          </w:tcPr>
          <w:p w14:paraId="4322D04E"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Helseforetakene</w:t>
            </w:r>
          </w:p>
        </w:tc>
      </w:tr>
      <w:tr w:rsidR="00234E27" w:rsidRPr="00486EBB" w14:paraId="699E9983" w14:textId="77777777" w:rsidTr="00486EBB">
        <w:trPr>
          <w:jc w:val="right"/>
        </w:trPr>
        <w:tc>
          <w:tcPr>
            <w:tcW w:w="844" w:type="pct"/>
            <w:vAlign w:val="bottom"/>
          </w:tcPr>
          <w:p w14:paraId="30C3C901"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2005</w:t>
            </w:r>
          </w:p>
        </w:tc>
        <w:tc>
          <w:tcPr>
            <w:tcW w:w="712" w:type="pct"/>
            <w:vAlign w:val="bottom"/>
          </w:tcPr>
          <w:p w14:paraId="6202FD1C"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 xml:space="preserve">3,3 </w:t>
            </w:r>
          </w:p>
        </w:tc>
        <w:tc>
          <w:tcPr>
            <w:tcW w:w="614" w:type="pct"/>
            <w:vAlign w:val="bottom"/>
          </w:tcPr>
          <w:p w14:paraId="27B4FB88" w14:textId="77777777" w:rsidR="00234E27" w:rsidRPr="00486EBB" w:rsidRDefault="00234E27" w:rsidP="000A1EA9">
            <w:pPr>
              <w:spacing w:after="0"/>
              <w:jc w:val="right"/>
              <w:rPr>
                <w:rFonts w:ascii="Times New Roman" w:hAnsi="Times New Roman"/>
                <w:sz w:val="22"/>
              </w:rPr>
            </w:pPr>
            <w:r w:rsidRPr="00486EBB">
              <w:rPr>
                <w:rFonts w:ascii="Times New Roman" w:hAnsi="Times New Roman"/>
                <w:sz w:val="22"/>
              </w:rPr>
              <w:t>-</w:t>
            </w:r>
          </w:p>
        </w:tc>
        <w:tc>
          <w:tcPr>
            <w:tcW w:w="560" w:type="pct"/>
            <w:vAlign w:val="bottom"/>
          </w:tcPr>
          <w:p w14:paraId="65225A82"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3,6</w:t>
            </w:r>
          </w:p>
        </w:tc>
        <w:tc>
          <w:tcPr>
            <w:tcW w:w="745" w:type="pct"/>
            <w:vAlign w:val="bottom"/>
          </w:tcPr>
          <w:p w14:paraId="71F71FB7"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3,7</w:t>
            </w:r>
          </w:p>
        </w:tc>
        <w:tc>
          <w:tcPr>
            <w:tcW w:w="589" w:type="pct"/>
            <w:tcBorders>
              <w:top w:val="single" w:sz="4" w:space="0" w:color="auto"/>
            </w:tcBorders>
            <w:vAlign w:val="bottom"/>
          </w:tcPr>
          <w:p w14:paraId="30889E4D"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tcBorders>
              <w:top w:val="single" w:sz="4" w:space="0" w:color="auto"/>
            </w:tcBorders>
            <w:vAlign w:val="bottom"/>
          </w:tcPr>
          <w:p w14:paraId="042DBC54"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r>
      <w:tr w:rsidR="00234E27" w:rsidRPr="00486EBB" w14:paraId="01E52B22" w14:textId="77777777" w:rsidTr="00486EBB">
        <w:trPr>
          <w:jc w:val="right"/>
        </w:trPr>
        <w:tc>
          <w:tcPr>
            <w:tcW w:w="844" w:type="pct"/>
            <w:vAlign w:val="bottom"/>
          </w:tcPr>
          <w:p w14:paraId="04741CDF"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2006</w:t>
            </w:r>
          </w:p>
        </w:tc>
        <w:tc>
          <w:tcPr>
            <w:tcW w:w="712" w:type="pct"/>
            <w:vAlign w:val="bottom"/>
          </w:tcPr>
          <w:p w14:paraId="75844829"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4,1</w:t>
            </w:r>
          </w:p>
        </w:tc>
        <w:tc>
          <w:tcPr>
            <w:tcW w:w="614" w:type="pct"/>
            <w:vAlign w:val="bottom"/>
          </w:tcPr>
          <w:p w14:paraId="6ED15317" w14:textId="77777777" w:rsidR="00234E27" w:rsidRPr="00486EBB" w:rsidRDefault="00234E27" w:rsidP="000A1EA9">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6F6D7F7B"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3,9</w:t>
            </w:r>
          </w:p>
        </w:tc>
        <w:tc>
          <w:tcPr>
            <w:tcW w:w="745" w:type="pct"/>
            <w:vAlign w:val="bottom"/>
          </w:tcPr>
          <w:p w14:paraId="56C081B3"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3,4</w:t>
            </w:r>
          </w:p>
        </w:tc>
        <w:tc>
          <w:tcPr>
            <w:tcW w:w="589" w:type="pct"/>
            <w:vAlign w:val="bottom"/>
          </w:tcPr>
          <w:p w14:paraId="323C9F26"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vAlign w:val="bottom"/>
          </w:tcPr>
          <w:p w14:paraId="5AB23697"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r>
      <w:tr w:rsidR="00234E27" w:rsidRPr="00486EBB" w14:paraId="4BBE8AEA" w14:textId="77777777" w:rsidTr="00486EBB">
        <w:trPr>
          <w:jc w:val="right"/>
        </w:trPr>
        <w:tc>
          <w:tcPr>
            <w:tcW w:w="844" w:type="pct"/>
            <w:vAlign w:val="bottom"/>
          </w:tcPr>
          <w:p w14:paraId="4FB45685"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2007</w:t>
            </w:r>
          </w:p>
        </w:tc>
        <w:tc>
          <w:tcPr>
            <w:tcW w:w="712" w:type="pct"/>
            <w:vAlign w:val="bottom"/>
          </w:tcPr>
          <w:p w14:paraId="54681BBC"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 xml:space="preserve">5,4 </w:t>
            </w:r>
          </w:p>
        </w:tc>
        <w:tc>
          <w:tcPr>
            <w:tcW w:w="614" w:type="pct"/>
            <w:vAlign w:val="bottom"/>
          </w:tcPr>
          <w:p w14:paraId="38FCEFF6" w14:textId="77777777" w:rsidR="00234E27" w:rsidRPr="00486EBB" w:rsidRDefault="00234E27" w:rsidP="000A1EA9">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5A8E8316"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4,9</w:t>
            </w:r>
          </w:p>
        </w:tc>
        <w:tc>
          <w:tcPr>
            <w:tcW w:w="745" w:type="pct"/>
            <w:vAlign w:val="bottom"/>
          </w:tcPr>
          <w:p w14:paraId="2847D137"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5,9</w:t>
            </w:r>
          </w:p>
        </w:tc>
        <w:tc>
          <w:tcPr>
            <w:tcW w:w="589" w:type="pct"/>
            <w:vAlign w:val="bottom"/>
          </w:tcPr>
          <w:p w14:paraId="6631E5DF"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vAlign w:val="bottom"/>
          </w:tcPr>
          <w:p w14:paraId="234C9360"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r>
      <w:tr w:rsidR="00234E27" w:rsidRPr="00486EBB" w14:paraId="1DCC81A7" w14:textId="77777777" w:rsidTr="00486EBB">
        <w:trPr>
          <w:jc w:val="right"/>
        </w:trPr>
        <w:tc>
          <w:tcPr>
            <w:tcW w:w="844" w:type="pct"/>
            <w:vAlign w:val="bottom"/>
          </w:tcPr>
          <w:p w14:paraId="67E3FFF5"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2008</w:t>
            </w:r>
          </w:p>
        </w:tc>
        <w:tc>
          <w:tcPr>
            <w:tcW w:w="712" w:type="pct"/>
            <w:vAlign w:val="bottom"/>
          </w:tcPr>
          <w:p w14:paraId="30DF48C0"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6,3</w:t>
            </w:r>
          </w:p>
        </w:tc>
        <w:tc>
          <w:tcPr>
            <w:tcW w:w="614" w:type="pct"/>
            <w:vAlign w:val="bottom"/>
          </w:tcPr>
          <w:p w14:paraId="00F6B310" w14:textId="77777777" w:rsidR="00234E27" w:rsidRPr="00486EBB" w:rsidRDefault="00234E27" w:rsidP="000A1EA9">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134020F7"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6,6</w:t>
            </w:r>
          </w:p>
        </w:tc>
        <w:tc>
          <w:tcPr>
            <w:tcW w:w="745" w:type="pct"/>
            <w:vAlign w:val="bottom"/>
          </w:tcPr>
          <w:p w14:paraId="1E3D6765"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4,3</w:t>
            </w:r>
          </w:p>
        </w:tc>
        <w:tc>
          <w:tcPr>
            <w:tcW w:w="589" w:type="pct"/>
            <w:vAlign w:val="bottom"/>
          </w:tcPr>
          <w:p w14:paraId="34B44D7E"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vAlign w:val="bottom"/>
          </w:tcPr>
          <w:p w14:paraId="040DBB06"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r>
      <w:tr w:rsidR="00234E27" w:rsidRPr="00486EBB" w14:paraId="6BCE3A76" w14:textId="77777777" w:rsidTr="00486EBB">
        <w:trPr>
          <w:jc w:val="right"/>
        </w:trPr>
        <w:tc>
          <w:tcPr>
            <w:tcW w:w="844" w:type="pct"/>
            <w:vAlign w:val="bottom"/>
          </w:tcPr>
          <w:p w14:paraId="4996A2CB"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2009</w:t>
            </w:r>
          </w:p>
        </w:tc>
        <w:tc>
          <w:tcPr>
            <w:tcW w:w="712" w:type="pct"/>
            <w:vAlign w:val="bottom"/>
          </w:tcPr>
          <w:p w14:paraId="32F03401"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4,2</w:t>
            </w:r>
          </w:p>
        </w:tc>
        <w:tc>
          <w:tcPr>
            <w:tcW w:w="614" w:type="pct"/>
            <w:vAlign w:val="bottom"/>
          </w:tcPr>
          <w:p w14:paraId="4407DBE3" w14:textId="77777777" w:rsidR="00234E27" w:rsidRPr="00486EBB" w:rsidRDefault="00234E27" w:rsidP="000A1EA9">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7C8B5EEA"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4,2</w:t>
            </w:r>
            <w:r w:rsidRPr="00486EBB">
              <w:rPr>
                <w:rFonts w:ascii="Times New Roman" w:hAnsi="Times New Roman"/>
                <w:noProof/>
                <w:sz w:val="22"/>
                <w:vertAlign w:val="superscript"/>
              </w:rPr>
              <w:t>5</w:t>
            </w:r>
          </w:p>
        </w:tc>
        <w:tc>
          <w:tcPr>
            <w:tcW w:w="745" w:type="pct"/>
            <w:vAlign w:val="bottom"/>
          </w:tcPr>
          <w:p w14:paraId="09C533D8"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 xml:space="preserve">   3,0</w:t>
            </w:r>
            <w:r w:rsidRPr="00486EBB">
              <w:rPr>
                <w:rFonts w:ascii="Times New Roman" w:hAnsi="Times New Roman"/>
                <w:noProof/>
                <w:sz w:val="22"/>
                <w:vertAlign w:val="superscript"/>
              </w:rPr>
              <w:t>5</w:t>
            </w:r>
          </w:p>
        </w:tc>
        <w:tc>
          <w:tcPr>
            <w:tcW w:w="589" w:type="pct"/>
            <w:vAlign w:val="bottom"/>
          </w:tcPr>
          <w:p w14:paraId="6D628A42"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vAlign w:val="bottom"/>
          </w:tcPr>
          <w:p w14:paraId="785EE6EE"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r>
      <w:tr w:rsidR="00234E27" w:rsidRPr="00486EBB" w14:paraId="15CC1FC6" w14:textId="77777777" w:rsidTr="00486EBB">
        <w:trPr>
          <w:jc w:val="right"/>
        </w:trPr>
        <w:tc>
          <w:tcPr>
            <w:tcW w:w="844" w:type="pct"/>
            <w:vAlign w:val="bottom"/>
          </w:tcPr>
          <w:p w14:paraId="61A5A066"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2010</w:t>
            </w:r>
          </w:p>
        </w:tc>
        <w:tc>
          <w:tcPr>
            <w:tcW w:w="712" w:type="pct"/>
            <w:vAlign w:val="bottom"/>
          </w:tcPr>
          <w:p w14:paraId="2A0759AC"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3,7</w:t>
            </w:r>
          </w:p>
        </w:tc>
        <w:tc>
          <w:tcPr>
            <w:tcW w:w="614" w:type="pct"/>
            <w:vAlign w:val="bottom"/>
          </w:tcPr>
          <w:p w14:paraId="7707F58C"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3,6</w:t>
            </w:r>
            <w:r w:rsidRPr="00486EBB">
              <w:rPr>
                <w:rFonts w:ascii="Times New Roman" w:hAnsi="Times New Roman"/>
                <w:noProof/>
                <w:sz w:val="22"/>
                <w:vertAlign w:val="superscript"/>
              </w:rPr>
              <w:t>6</w:t>
            </w:r>
          </w:p>
        </w:tc>
        <w:tc>
          <w:tcPr>
            <w:tcW w:w="560" w:type="pct"/>
            <w:vAlign w:val="bottom"/>
          </w:tcPr>
          <w:p w14:paraId="0763E271"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2,9</w:t>
            </w:r>
            <w:r w:rsidRPr="00486EBB">
              <w:rPr>
                <w:rFonts w:ascii="Times New Roman" w:hAnsi="Times New Roman"/>
                <w:noProof/>
                <w:sz w:val="22"/>
                <w:vertAlign w:val="superscript"/>
              </w:rPr>
              <w:t>6</w:t>
            </w:r>
          </w:p>
        </w:tc>
        <w:tc>
          <w:tcPr>
            <w:tcW w:w="745" w:type="pct"/>
            <w:vAlign w:val="bottom"/>
          </w:tcPr>
          <w:p w14:paraId="1DF2AFCB"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2,9</w:t>
            </w:r>
            <w:r w:rsidRPr="00486EBB">
              <w:rPr>
                <w:rFonts w:ascii="Times New Roman" w:hAnsi="Times New Roman"/>
                <w:noProof/>
                <w:sz w:val="22"/>
                <w:vertAlign w:val="superscript"/>
              </w:rPr>
              <w:t>6</w:t>
            </w:r>
          </w:p>
        </w:tc>
        <w:tc>
          <w:tcPr>
            <w:tcW w:w="589" w:type="pct"/>
            <w:vAlign w:val="bottom"/>
          </w:tcPr>
          <w:p w14:paraId="024EAEB4"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936" w:type="pct"/>
            <w:vAlign w:val="bottom"/>
          </w:tcPr>
          <w:p w14:paraId="1F90EC76"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3,0</w:t>
            </w:r>
          </w:p>
        </w:tc>
      </w:tr>
      <w:tr w:rsidR="00234E27" w:rsidRPr="00486EBB" w14:paraId="644D8778" w14:textId="77777777" w:rsidTr="00486EBB">
        <w:trPr>
          <w:jc w:val="right"/>
        </w:trPr>
        <w:tc>
          <w:tcPr>
            <w:tcW w:w="844" w:type="pct"/>
            <w:vAlign w:val="bottom"/>
          </w:tcPr>
          <w:p w14:paraId="52EB9C30"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2011</w:t>
            </w:r>
          </w:p>
        </w:tc>
        <w:tc>
          <w:tcPr>
            <w:tcW w:w="712" w:type="pct"/>
            <w:vAlign w:val="bottom"/>
          </w:tcPr>
          <w:p w14:paraId="33D3AC30"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4,2</w:t>
            </w:r>
          </w:p>
        </w:tc>
        <w:tc>
          <w:tcPr>
            <w:tcW w:w="614" w:type="pct"/>
            <w:vAlign w:val="bottom"/>
          </w:tcPr>
          <w:p w14:paraId="5A81839B"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4,1</w:t>
            </w:r>
          </w:p>
        </w:tc>
        <w:tc>
          <w:tcPr>
            <w:tcW w:w="560" w:type="pct"/>
            <w:vAlign w:val="bottom"/>
          </w:tcPr>
          <w:p w14:paraId="35A2A6CD"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4,6</w:t>
            </w:r>
          </w:p>
        </w:tc>
        <w:tc>
          <w:tcPr>
            <w:tcW w:w="745" w:type="pct"/>
            <w:vAlign w:val="bottom"/>
          </w:tcPr>
          <w:p w14:paraId="3BE5E9FA"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3,6</w:t>
            </w:r>
          </w:p>
        </w:tc>
        <w:tc>
          <w:tcPr>
            <w:tcW w:w="589" w:type="pct"/>
            <w:vAlign w:val="bottom"/>
          </w:tcPr>
          <w:p w14:paraId="7E4DFE0C"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4,5</w:t>
            </w:r>
          </w:p>
        </w:tc>
        <w:tc>
          <w:tcPr>
            <w:tcW w:w="936" w:type="pct"/>
            <w:vAlign w:val="bottom"/>
          </w:tcPr>
          <w:p w14:paraId="11181796"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4,3</w:t>
            </w:r>
          </w:p>
        </w:tc>
      </w:tr>
      <w:tr w:rsidR="00234E27" w:rsidRPr="00486EBB" w14:paraId="2D553470" w14:textId="77777777" w:rsidTr="00486EBB">
        <w:trPr>
          <w:jc w:val="right"/>
        </w:trPr>
        <w:tc>
          <w:tcPr>
            <w:tcW w:w="844" w:type="pct"/>
            <w:vAlign w:val="bottom"/>
          </w:tcPr>
          <w:p w14:paraId="0D52E65B" w14:textId="77777777" w:rsidR="00234E27" w:rsidRPr="00486EBB" w:rsidRDefault="00234E27"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2012</w:t>
            </w:r>
          </w:p>
        </w:tc>
        <w:tc>
          <w:tcPr>
            <w:tcW w:w="712" w:type="pct"/>
            <w:vAlign w:val="bottom"/>
          </w:tcPr>
          <w:p w14:paraId="405BE9C8"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4,0</w:t>
            </w:r>
          </w:p>
        </w:tc>
        <w:tc>
          <w:tcPr>
            <w:tcW w:w="614" w:type="pct"/>
            <w:vAlign w:val="bottom"/>
          </w:tcPr>
          <w:p w14:paraId="21246464"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4,0</w:t>
            </w:r>
          </w:p>
        </w:tc>
        <w:tc>
          <w:tcPr>
            <w:tcW w:w="560" w:type="pct"/>
            <w:vAlign w:val="bottom"/>
          </w:tcPr>
          <w:p w14:paraId="0C2C15CA"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4,6</w:t>
            </w:r>
          </w:p>
        </w:tc>
        <w:tc>
          <w:tcPr>
            <w:tcW w:w="745" w:type="pct"/>
            <w:vAlign w:val="bottom"/>
          </w:tcPr>
          <w:p w14:paraId="124CA879"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3,2</w:t>
            </w:r>
          </w:p>
        </w:tc>
        <w:tc>
          <w:tcPr>
            <w:tcW w:w="589" w:type="pct"/>
            <w:vAlign w:val="bottom"/>
          </w:tcPr>
          <w:p w14:paraId="21E7E561"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lang w:eastAsia="nb-NO"/>
              </w:rPr>
            </w:pPr>
            <w:r w:rsidRPr="00486EBB">
              <w:rPr>
                <w:rFonts w:ascii="Times New Roman" w:hAnsi="Times New Roman"/>
                <w:noProof/>
                <w:sz w:val="22"/>
              </w:rPr>
              <w:t>4,2</w:t>
            </w:r>
          </w:p>
        </w:tc>
        <w:tc>
          <w:tcPr>
            <w:tcW w:w="936" w:type="pct"/>
            <w:vAlign w:val="bottom"/>
          </w:tcPr>
          <w:p w14:paraId="58576F49" w14:textId="77777777" w:rsidR="00234E27" w:rsidRPr="00486EBB" w:rsidRDefault="00234E27"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3,6</w:t>
            </w:r>
          </w:p>
        </w:tc>
      </w:tr>
      <w:tr w:rsidR="00092DB8" w:rsidRPr="00486EBB" w14:paraId="6A185503" w14:textId="77777777" w:rsidTr="00486EBB">
        <w:trPr>
          <w:jc w:val="right"/>
        </w:trPr>
        <w:tc>
          <w:tcPr>
            <w:tcW w:w="844" w:type="pct"/>
            <w:vAlign w:val="bottom"/>
          </w:tcPr>
          <w:p w14:paraId="38C97C43" w14:textId="77777777" w:rsidR="00092DB8" w:rsidRPr="00486EBB" w:rsidRDefault="00092DB8" w:rsidP="000A1EA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2013</w:t>
            </w:r>
          </w:p>
        </w:tc>
        <w:tc>
          <w:tcPr>
            <w:tcW w:w="712" w:type="pct"/>
            <w:vAlign w:val="bottom"/>
          </w:tcPr>
          <w:p w14:paraId="24B0EC6F"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3,9</w:t>
            </w:r>
          </w:p>
        </w:tc>
        <w:tc>
          <w:tcPr>
            <w:tcW w:w="614" w:type="pct"/>
            <w:vAlign w:val="bottom"/>
          </w:tcPr>
          <w:p w14:paraId="326B2CDA"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3,9</w:t>
            </w:r>
          </w:p>
        </w:tc>
        <w:tc>
          <w:tcPr>
            <w:tcW w:w="560" w:type="pct"/>
            <w:vAlign w:val="bottom"/>
          </w:tcPr>
          <w:p w14:paraId="54A46875"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3,7</w:t>
            </w:r>
          </w:p>
        </w:tc>
        <w:tc>
          <w:tcPr>
            <w:tcW w:w="745" w:type="pct"/>
            <w:vAlign w:val="bottom"/>
          </w:tcPr>
          <w:p w14:paraId="4248325C"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3,4</w:t>
            </w:r>
          </w:p>
        </w:tc>
        <w:tc>
          <w:tcPr>
            <w:tcW w:w="589" w:type="pct"/>
            <w:vAlign w:val="bottom"/>
          </w:tcPr>
          <w:p w14:paraId="66C0D5CD"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3,8</w:t>
            </w:r>
          </w:p>
        </w:tc>
        <w:tc>
          <w:tcPr>
            <w:tcW w:w="936" w:type="pct"/>
            <w:vAlign w:val="bottom"/>
          </w:tcPr>
          <w:p w14:paraId="0ED70646" w14:textId="77777777" w:rsidR="00092DB8" w:rsidRPr="00486EBB" w:rsidRDefault="00092DB8" w:rsidP="000A1EA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3,9</w:t>
            </w:r>
          </w:p>
        </w:tc>
      </w:tr>
      <w:tr w:rsidR="00092DB8" w:rsidRPr="00486EBB" w14:paraId="3E33B705" w14:textId="77777777" w:rsidTr="00486EBB">
        <w:trPr>
          <w:jc w:val="right"/>
        </w:trPr>
        <w:tc>
          <w:tcPr>
            <w:tcW w:w="844" w:type="pct"/>
            <w:vAlign w:val="bottom"/>
          </w:tcPr>
          <w:p w14:paraId="42824D06" w14:textId="77777777" w:rsidR="00092DB8" w:rsidRPr="00486EBB" w:rsidRDefault="00092DB8" w:rsidP="00092DB8">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2014</w:t>
            </w:r>
          </w:p>
        </w:tc>
        <w:tc>
          <w:tcPr>
            <w:tcW w:w="712" w:type="pct"/>
            <w:vAlign w:val="bottom"/>
          </w:tcPr>
          <w:p w14:paraId="1BD1BF77"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3,1</w:t>
            </w:r>
          </w:p>
        </w:tc>
        <w:tc>
          <w:tcPr>
            <w:tcW w:w="614" w:type="pct"/>
            <w:vAlign w:val="bottom"/>
          </w:tcPr>
          <w:p w14:paraId="58AAFB5D"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3,0</w:t>
            </w:r>
          </w:p>
        </w:tc>
        <w:tc>
          <w:tcPr>
            <w:tcW w:w="560" w:type="pct"/>
            <w:vAlign w:val="bottom"/>
          </w:tcPr>
          <w:p w14:paraId="327A1566"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2,8</w:t>
            </w:r>
          </w:p>
        </w:tc>
        <w:tc>
          <w:tcPr>
            <w:tcW w:w="745" w:type="pct"/>
            <w:vAlign w:val="bottom"/>
          </w:tcPr>
          <w:p w14:paraId="1093B224"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1,6</w:t>
            </w:r>
          </w:p>
        </w:tc>
        <w:tc>
          <w:tcPr>
            <w:tcW w:w="589" w:type="pct"/>
            <w:vAlign w:val="bottom"/>
          </w:tcPr>
          <w:p w14:paraId="0D25B884"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3,5</w:t>
            </w:r>
          </w:p>
        </w:tc>
        <w:tc>
          <w:tcPr>
            <w:tcW w:w="936" w:type="pct"/>
            <w:vAlign w:val="bottom"/>
          </w:tcPr>
          <w:p w14:paraId="7B246496"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3,5</w:t>
            </w:r>
          </w:p>
        </w:tc>
      </w:tr>
      <w:tr w:rsidR="00B30559" w:rsidRPr="00486EBB" w14:paraId="6BECCE8C" w14:textId="77777777" w:rsidTr="00486EBB">
        <w:trPr>
          <w:jc w:val="right"/>
        </w:trPr>
        <w:tc>
          <w:tcPr>
            <w:tcW w:w="844" w:type="pct"/>
            <w:vAlign w:val="bottom"/>
          </w:tcPr>
          <w:p w14:paraId="6100FD47" w14:textId="77777777" w:rsidR="00B30559" w:rsidRPr="00486EBB" w:rsidRDefault="00B30559" w:rsidP="00B3055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2015</w:t>
            </w:r>
          </w:p>
        </w:tc>
        <w:tc>
          <w:tcPr>
            <w:tcW w:w="712" w:type="pct"/>
            <w:vAlign w:val="bottom"/>
          </w:tcPr>
          <w:p w14:paraId="7E016B0D" w14:textId="77777777"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2,8</w:t>
            </w:r>
          </w:p>
        </w:tc>
        <w:tc>
          <w:tcPr>
            <w:tcW w:w="614" w:type="pct"/>
            <w:vAlign w:val="bottom"/>
          </w:tcPr>
          <w:p w14:paraId="1774BEE5" w14:textId="388232FB"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60" w:type="pct"/>
            <w:vAlign w:val="bottom"/>
          </w:tcPr>
          <w:p w14:paraId="74CC23B1" w14:textId="75EA88D1"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745" w:type="pct"/>
            <w:vAlign w:val="bottom"/>
          </w:tcPr>
          <w:p w14:paraId="56822899" w14:textId="418FBEA0"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89" w:type="pct"/>
            <w:vAlign w:val="bottom"/>
          </w:tcPr>
          <w:p w14:paraId="5A5C539E" w14:textId="4290CDFA"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936" w:type="pct"/>
            <w:vAlign w:val="bottom"/>
          </w:tcPr>
          <w:p w14:paraId="2300ACAB" w14:textId="483ABF18" w:rsidR="00B30559" w:rsidRPr="00486EBB" w:rsidRDefault="00B30559" w:rsidP="00B30559">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r>
      <w:tr w:rsidR="00234E27" w:rsidRPr="00486EBB" w14:paraId="43A51D62" w14:textId="77777777" w:rsidTr="00486EBB">
        <w:trPr>
          <w:jc w:val="right"/>
        </w:trPr>
        <w:tc>
          <w:tcPr>
            <w:tcW w:w="844" w:type="pct"/>
            <w:tcBorders>
              <w:top w:val="single" w:sz="4" w:space="0" w:color="auto"/>
            </w:tcBorders>
            <w:vAlign w:val="bottom"/>
          </w:tcPr>
          <w:p w14:paraId="76BCB410" w14:textId="77777777" w:rsidR="00234E27" w:rsidRPr="00486EBB" w:rsidRDefault="00092DB8" w:rsidP="00092DB8">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2005</w:t>
            </w:r>
            <w:r w:rsidR="00234E27" w:rsidRPr="00486EBB">
              <w:rPr>
                <w:rFonts w:ascii="Times New Roman" w:hAnsi="Times New Roman"/>
                <w:noProof/>
                <w:sz w:val="22"/>
              </w:rPr>
              <w:t>-</w:t>
            </w:r>
            <w:r w:rsidRPr="00486EBB">
              <w:rPr>
                <w:rFonts w:ascii="Times New Roman" w:hAnsi="Times New Roman"/>
                <w:noProof/>
                <w:sz w:val="22"/>
              </w:rPr>
              <w:t>2015</w:t>
            </w:r>
          </w:p>
        </w:tc>
        <w:tc>
          <w:tcPr>
            <w:tcW w:w="712" w:type="pct"/>
            <w:tcBorders>
              <w:top w:val="single" w:sz="4" w:space="0" w:color="auto"/>
            </w:tcBorders>
            <w:vAlign w:val="bottom"/>
          </w:tcPr>
          <w:p w14:paraId="4054B689" w14:textId="72E70733" w:rsidR="00234E27" w:rsidRPr="00486EBB" w:rsidRDefault="00B30559" w:rsidP="000A1EA9">
            <w:pPr>
              <w:spacing w:after="0"/>
              <w:ind w:right="72"/>
              <w:jc w:val="right"/>
              <w:rPr>
                <w:rFonts w:ascii="Times New Roman" w:hAnsi="Times New Roman"/>
                <w:sz w:val="22"/>
              </w:rPr>
            </w:pPr>
            <w:r w:rsidRPr="00486EBB">
              <w:rPr>
                <w:rFonts w:ascii="Times New Roman" w:hAnsi="Times New Roman"/>
                <w:sz w:val="22"/>
              </w:rPr>
              <w:t>50,4</w:t>
            </w:r>
          </w:p>
        </w:tc>
        <w:tc>
          <w:tcPr>
            <w:tcW w:w="614" w:type="pct"/>
            <w:tcBorders>
              <w:top w:val="single" w:sz="4" w:space="0" w:color="auto"/>
            </w:tcBorders>
            <w:vAlign w:val="bottom"/>
          </w:tcPr>
          <w:p w14:paraId="0CEB6ED4" w14:textId="77777777" w:rsidR="00234E27" w:rsidRPr="00486EBB" w:rsidRDefault="00092DB8" w:rsidP="000A1EA9">
            <w:pPr>
              <w:spacing w:after="0"/>
              <w:ind w:right="110"/>
              <w:jc w:val="right"/>
              <w:rPr>
                <w:rFonts w:ascii="Times New Roman" w:hAnsi="Times New Roman"/>
                <w:sz w:val="22"/>
              </w:rPr>
            </w:pPr>
            <w:r w:rsidRPr="00486EBB">
              <w:rPr>
                <w:rFonts w:ascii="Times New Roman" w:hAnsi="Times New Roman"/>
                <w:sz w:val="22"/>
              </w:rPr>
              <w:t>-</w:t>
            </w:r>
          </w:p>
        </w:tc>
        <w:tc>
          <w:tcPr>
            <w:tcW w:w="560" w:type="pct"/>
            <w:tcBorders>
              <w:top w:val="single" w:sz="4" w:space="0" w:color="auto"/>
            </w:tcBorders>
            <w:vAlign w:val="bottom"/>
          </w:tcPr>
          <w:p w14:paraId="3F077250" w14:textId="77777777" w:rsidR="00234E27" w:rsidRPr="00486EBB" w:rsidRDefault="00092DB8" w:rsidP="000A1EA9">
            <w:pPr>
              <w:spacing w:after="0"/>
              <w:ind w:right="63"/>
              <w:jc w:val="right"/>
              <w:rPr>
                <w:rFonts w:ascii="Times New Roman" w:hAnsi="Times New Roman"/>
                <w:sz w:val="22"/>
              </w:rPr>
            </w:pPr>
            <w:r w:rsidRPr="00486EBB">
              <w:rPr>
                <w:rFonts w:ascii="Times New Roman" w:hAnsi="Times New Roman"/>
                <w:sz w:val="22"/>
              </w:rPr>
              <w:t>-</w:t>
            </w:r>
          </w:p>
        </w:tc>
        <w:tc>
          <w:tcPr>
            <w:tcW w:w="745" w:type="pct"/>
            <w:tcBorders>
              <w:top w:val="single" w:sz="4" w:space="0" w:color="auto"/>
            </w:tcBorders>
            <w:vAlign w:val="bottom"/>
          </w:tcPr>
          <w:p w14:paraId="1BB942DA" w14:textId="77777777" w:rsidR="00234E27" w:rsidRPr="00486EBB" w:rsidRDefault="00092DB8" w:rsidP="000A1EA9">
            <w:pPr>
              <w:spacing w:after="0"/>
              <w:ind w:right="49"/>
              <w:jc w:val="right"/>
              <w:rPr>
                <w:rFonts w:ascii="Times New Roman" w:hAnsi="Times New Roman"/>
                <w:sz w:val="22"/>
              </w:rPr>
            </w:pPr>
            <w:r w:rsidRPr="00486EBB">
              <w:rPr>
                <w:rFonts w:ascii="Times New Roman" w:hAnsi="Times New Roman"/>
                <w:sz w:val="22"/>
              </w:rPr>
              <w:t>-</w:t>
            </w:r>
          </w:p>
        </w:tc>
        <w:tc>
          <w:tcPr>
            <w:tcW w:w="589" w:type="pct"/>
            <w:tcBorders>
              <w:top w:val="single" w:sz="4" w:space="0" w:color="auto"/>
            </w:tcBorders>
            <w:vAlign w:val="bottom"/>
          </w:tcPr>
          <w:p w14:paraId="2D466C3B" w14:textId="77777777" w:rsidR="00234E27" w:rsidRPr="00486EBB" w:rsidRDefault="00092DB8" w:rsidP="000A1EA9">
            <w:pPr>
              <w:spacing w:after="0"/>
              <w:ind w:right="109"/>
              <w:jc w:val="right"/>
              <w:rPr>
                <w:rFonts w:ascii="Times New Roman" w:hAnsi="Times New Roman"/>
                <w:sz w:val="22"/>
              </w:rPr>
            </w:pPr>
            <w:r w:rsidRPr="00486EBB">
              <w:rPr>
                <w:rFonts w:ascii="Times New Roman" w:hAnsi="Times New Roman"/>
                <w:sz w:val="22"/>
              </w:rPr>
              <w:t>-</w:t>
            </w:r>
          </w:p>
        </w:tc>
        <w:tc>
          <w:tcPr>
            <w:tcW w:w="936" w:type="pct"/>
            <w:tcBorders>
              <w:top w:val="single" w:sz="4" w:space="0" w:color="auto"/>
            </w:tcBorders>
            <w:vAlign w:val="bottom"/>
          </w:tcPr>
          <w:p w14:paraId="01B2CE68" w14:textId="77777777" w:rsidR="00234E27" w:rsidRPr="00486EBB" w:rsidRDefault="00092DB8" w:rsidP="000A1EA9">
            <w:pPr>
              <w:spacing w:after="0"/>
              <w:ind w:right="109"/>
              <w:jc w:val="right"/>
              <w:rPr>
                <w:rFonts w:ascii="Times New Roman" w:hAnsi="Times New Roman"/>
                <w:sz w:val="22"/>
              </w:rPr>
            </w:pPr>
            <w:r w:rsidRPr="00486EBB">
              <w:rPr>
                <w:rFonts w:ascii="Times New Roman" w:hAnsi="Times New Roman"/>
                <w:sz w:val="22"/>
              </w:rPr>
              <w:t>-</w:t>
            </w:r>
          </w:p>
        </w:tc>
      </w:tr>
      <w:tr w:rsidR="00092DB8" w:rsidRPr="00486EBB" w14:paraId="60051B67" w14:textId="77777777" w:rsidTr="00486EBB">
        <w:trPr>
          <w:jc w:val="right"/>
        </w:trPr>
        <w:tc>
          <w:tcPr>
            <w:tcW w:w="844" w:type="pct"/>
            <w:vAlign w:val="bottom"/>
          </w:tcPr>
          <w:p w14:paraId="30651BE3" w14:textId="77777777" w:rsidR="00092DB8" w:rsidRPr="00486EBB" w:rsidRDefault="00092DB8" w:rsidP="00092DB8">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Gj. sn. per år</w:t>
            </w:r>
          </w:p>
        </w:tc>
        <w:tc>
          <w:tcPr>
            <w:tcW w:w="712" w:type="pct"/>
            <w:vAlign w:val="bottom"/>
          </w:tcPr>
          <w:p w14:paraId="31EB916F" w14:textId="75BC101A" w:rsidR="00092DB8" w:rsidRPr="00486EBB" w:rsidRDefault="00B30559" w:rsidP="00092DB8">
            <w:pPr>
              <w:spacing w:after="0"/>
              <w:ind w:right="72"/>
              <w:jc w:val="right"/>
              <w:rPr>
                <w:rFonts w:ascii="Times New Roman" w:hAnsi="Times New Roman"/>
                <w:sz w:val="22"/>
              </w:rPr>
            </w:pPr>
            <w:r w:rsidRPr="00486EBB">
              <w:rPr>
                <w:rFonts w:ascii="Times New Roman" w:hAnsi="Times New Roman"/>
                <w:sz w:val="22"/>
              </w:rPr>
              <w:t>4,2</w:t>
            </w:r>
          </w:p>
        </w:tc>
        <w:tc>
          <w:tcPr>
            <w:tcW w:w="614" w:type="pct"/>
            <w:vAlign w:val="bottom"/>
          </w:tcPr>
          <w:p w14:paraId="35370B1E" w14:textId="77777777" w:rsidR="00092DB8" w:rsidRPr="00486EBB" w:rsidRDefault="00092DB8" w:rsidP="00092DB8">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1BB255CB" w14:textId="77777777" w:rsidR="00092DB8" w:rsidRPr="00486EBB" w:rsidRDefault="00092DB8" w:rsidP="00092DB8">
            <w:pPr>
              <w:spacing w:after="0"/>
              <w:ind w:right="63"/>
              <w:jc w:val="right"/>
              <w:rPr>
                <w:rFonts w:ascii="Times New Roman" w:hAnsi="Times New Roman"/>
                <w:sz w:val="22"/>
              </w:rPr>
            </w:pPr>
            <w:r w:rsidRPr="00486EBB">
              <w:rPr>
                <w:rFonts w:ascii="Times New Roman" w:hAnsi="Times New Roman"/>
                <w:sz w:val="22"/>
              </w:rPr>
              <w:t>-</w:t>
            </w:r>
          </w:p>
        </w:tc>
        <w:tc>
          <w:tcPr>
            <w:tcW w:w="745" w:type="pct"/>
            <w:vAlign w:val="bottom"/>
          </w:tcPr>
          <w:p w14:paraId="239202B2" w14:textId="77777777" w:rsidR="00092DB8" w:rsidRPr="00486EBB" w:rsidRDefault="00092DB8" w:rsidP="00092DB8">
            <w:pPr>
              <w:spacing w:after="0"/>
              <w:ind w:right="49"/>
              <w:jc w:val="right"/>
              <w:rPr>
                <w:rFonts w:ascii="Times New Roman" w:hAnsi="Times New Roman"/>
                <w:sz w:val="22"/>
              </w:rPr>
            </w:pPr>
            <w:r w:rsidRPr="00486EBB">
              <w:rPr>
                <w:rFonts w:ascii="Times New Roman" w:hAnsi="Times New Roman"/>
                <w:sz w:val="22"/>
              </w:rPr>
              <w:t>-</w:t>
            </w:r>
          </w:p>
        </w:tc>
        <w:tc>
          <w:tcPr>
            <w:tcW w:w="589" w:type="pct"/>
            <w:vAlign w:val="bottom"/>
          </w:tcPr>
          <w:p w14:paraId="337E381D"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c>
          <w:tcPr>
            <w:tcW w:w="936" w:type="pct"/>
            <w:vAlign w:val="bottom"/>
          </w:tcPr>
          <w:p w14:paraId="0C3B7506"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r>
      <w:tr w:rsidR="00092DB8" w:rsidRPr="00486EBB" w14:paraId="3D08F0CC" w14:textId="77777777" w:rsidTr="00486EBB">
        <w:trPr>
          <w:jc w:val="right"/>
        </w:trPr>
        <w:tc>
          <w:tcPr>
            <w:tcW w:w="844" w:type="pct"/>
            <w:vAlign w:val="bottom"/>
          </w:tcPr>
          <w:p w14:paraId="3EF92F69" w14:textId="279CD289" w:rsidR="00092DB8" w:rsidRPr="00486EBB" w:rsidRDefault="00777977" w:rsidP="00777977">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2010</w:t>
            </w:r>
            <w:r w:rsidR="00092DB8" w:rsidRPr="00486EBB">
              <w:rPr>
                <w:rFonts w:ascii="Times New Roman" w:hAnsi="Times New Roman"/>
                <w:noProof/>
                <w:sz w:val="22"/>
              </w:rPr>
              <w:t>-201</w:t>
            </w:r>
            <w:r w:rsidRPr="00486EBB">
              <w:rPr>
                <w:rFonts w:ascii="Times New Roman" w:hAnsi="Times New Roman"/>
                <w:noProof/>
                <w:sz w:val="22"/>
              </w:rPr>
              <w:t>5</w:t>
            </w:r>
          </w:p>
        </w:tc>
        <w:tc>
          <w:tcPr>
            <w:tcW w:w="712" w:type="pct"/>
            <w:vAlign w:val="bottom"/>
          </w:tcPr>
          <w:p w14:paraId="789CA5AF" w14:textId="59AC9771" w:rsidR="00092DB8" w:rsidRPr="00486EBB" w:rsidRDefault="00B30559" w:rsidP="00092DB8">
            <w:pPr>
              <w:spacing w:after="0"/>
              <w:ind w:right="72"/>
              <w:jc w:val="right"/>
              <w:rPr>
                <w:rFonts w:ascii="Times New Roman" w:hAnsi="Times New Roman"/>
                <w:sz w:val="22"/>
              </w:rPr>
            </w:pPr>
            <w:r w:rsidRPr="00486EBB">
              <w:rPr>
                <w:rFonts w:ascii="Times New Roman" w:hAnsi="Times New Roman"/>
                <w:sz w:val="22"/>
              </w:rPr>
              <w:t>19,3</w:t>
            </w:r>
          </w:p>
        </w:tc>
        <w:tc>
          <w:tcPr>
            <w:tcW w:w="614" w:type="pct"/>
            <w:vAlign w:val="bottom"/>
          </w:tcPr>
          <w:p w14:paraId="2C8D22E9" w14:textId="77777777" w:rsidR="00092DB8" w:rsidRPr="00486EBB" w:rsidRDefault="00092DB8" w:rsidP="00092DB8">
            <w:pPr>
              <w:spacing w:after="0"/>
              <w:ind w:right="110"/>
              <w:jc w:val="right"/>
              <w:rPr>
                <w:rFonts w:ascii="Times New Roman" w:hAnsi="Times New Roman"/>
                <w:sz w:val="22"/>
              </w:rPr>
            </w:pPr>
            <w:r w:rsidRPr="00486EBB">
              <w:rPr>
                <w:rFonts w:ascii="Times New Roman" w:hAnsi="Times New Roman"/>
                <w:sz w:val="22"/>
              </w:rPr>
              <w:t>-</w:t>
            </w:r>
          </w:p>
        </w:tc>
        <w:tc>
          <w:tcPr>
            <w:tcW w:w="560" w:type="pct"/>
            <w:vAlign w:val="bottom"/>
          </w:tcPr>
          <w:p w14:paraId="3D8113B2" w14:textId="77777777" w:rsidR="00092DB8" w:rsidRPr="00486EBB" w:rsidRDefault="00092DB8" w:rsidP="00092DB8">
            <w:pPr>
              <w:spacing w:after="0"/>
              <w:ind w:right="63"/>
              <w:jc w:val="right"/>
              <w:rPr>
                <w:rFonts w:ascii="Times New Roman" w:hAnsi="Times New Roman"/>
                <w:sz w:val="22"/>
              </w:rPr>
            </w:pPr>
            <w:r w:rsidRPr="00486EBB">
              <w:rPr>
                <w:rFonts w:ascii="Times New Roman" w:hAnsi="Times New Roman"/>
                <w:sz w:val="22"/>
              </w:rPr>
              <w:t>-</w:t>
            </w:r>
          </w:p>
        </w:tc>
        <w:tc>
          <w:tcPr>
            <w:tcW w:w="745" w:type="pct"/>
            <w:vAlign w:val="bottom"/>
          </w:tcPr>
          <w:p w14:paraId="1BDD5F58" w14:textId="77777777" w:rsidR="00092DB8" w:rsidRPr="00486EBB" w:rsidRDefault="00092DB8" w:rsidP="00092DB8">
            <w:pPr>
              <w:spacing w:after="0"/>
              <w:ind w:right="49"/>
              <w:jc w:val="right"/>
              <w:rPr>
                <w:rFonts w:ascii="Times New Roman" w:hAnsi="Times New Roman"/>
                <w:sz w:val="22"/>
              </w:rPr>
            </w:pPr>
            <w:r w:rsidRPr="00486EBB">
              <w:rPr>
                <w:rFonts w:ascii="Times New Roman" w:hAnsi="Times New Roman"/>
                <w:sz w:val="22"/>
              </w:rPr>
              <w:t>-</w:t>
            </w:r>
          </w:p>
        </w:tc>
        <w:tc>
          <w:tcPr>
            <w:tcW w:w="589" w:type="pct"/>
            <w:vAlign w:val="bottom"/>
          </w:tcPr>
          <w:p w14:paraId="169F77FB"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c>
          <w:tcPr>
            <w:tcW w:w="936" w:type="pct"/>
            <w:vAlign w:val="bottom"/>
          </w:tcPr>
          <w:p w14:paraId="7ECA96D2"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r>
      <w:tr w:rsidR="00092DB8" w:rsidRPr="00486EBB" w14:paraId="439D43EA" w14:textId="77777777" w:rsidTr="00486EBB">
        <w:trPr>
          <w:jc w:val="right"/>
        </w:trPr>
        <w:tc>
          <w:tcPr>
            <w:tcW w:w="844" w:type="pct"/>
            <w:tcBorders>
              <w:bottom w:val="single" w:sz="4" w:space="0" w:color="auto"/>
            </w:tcBorders>
            <w:vAlign w:val="bottom"/>
          </w:tcPr>
          <w:p w14:paraId="1B0A9B5A" w14:textId="77777777" w:rsidR="00092DB8" w:rsidRPr="00486EBB" w:rsidRDefault="00092DB8" w:rsidP="00092DB8">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Gj. sn. per år</w:t>
            </w:r>
          </w:p>
        </w:tc>
        <w:tc>
          <w:tcPr>
            <w:tcW w:w="712" w:type="pct"/>
            <w:tcBorders>
              <w:bottom w:val="single" w:sz="4" w:space="0" w:color="auto"/>
            </w:tcBorders>
            <w:vAlign w:val="bottom"/>
          </w:tcPr>
          <w:p w14:paraId="00F68BFD" w14:textId="6BCB4CDF" w:rsidR="00092DB8" w:rsidRPr="00486EBB" w:rsidRDefault="00B30559" w:rsidP="00092DB8">
            <w:pPr>
              <w:spacing w:after="0"/>
              <w:ind w:right="72"/>
              <w:jc w:val="right"/>
              <w:rPr>
                <w:rFonts w:ascii="Times New Roman" w:hAnsi="Times New Roman"/>
                <w:sz w:val="22"/>
              </w:rPr>
            </w:pPr>
            <w:r w:rsidRPr="00486EBB">
              <w:rPr>
                <w:rFonts w:ascii="Times New Roman" w:hAnsi="Times New Roman"/>
                <w:sz w:val="22"/>
              </w:rPr>
              <w:t>3,6</w:t>
            </w:r>
          </w:p>
        </w:tc>
        <w:tc>
          <w:tcPr>
            <w:tcW w:w="614" w:type="pct"/>
            <w:tcBorders>
              <w:bottom w:val="single" w:sz="4" w:space="0" w:color="auto"/>
            </w:tcBorders>
            <w:vAlign w:val="bottom"/>
          </w:tcPr>
          <w:p w14:paraId="0D65168B" w14:textId="77777777" w:rsidR="00092DB8" w:rsidRPr="00486EBB" w:rsidRDefault="00092DB8" w:rsidP="00092DB8">
            <w:pPr>
              <w:spacing w:after="0"/>
              <w:ind w:right="110"/>
              <w:jc w:val="right"/>
              <w:rPr>
                <w:rFonts w:ascii="Times New Roman" w:hAnsi="Times New Roman"/>
                <w:sz w:val="22"/>
              </w:rPr>
            </w:pPr>
            <w:r w:rsidRPr="00486EBB">
              <w:rPr>
                <w:rFonts w:ascii="Times New Roman" w:hAnsi="Times New Roman"/>
                <w:sz w:val="22"/>
              </w:rPr>
              <w:t>-</w:t>
            </w:r>
          </w:p>
        </w:tc>
        <w:tc>
          <w:tcPr>
            <w:tcW w:w="560" w:type="pct"/>
            <w:tcBorders>
              <w:bottom w:val="single" w:sz="4" w:space="0" w:color="auto"/>
            </w:tcBorders>
            <w:vAlign w:val="bottom"/>
          </w:tcPr>
          <w:p w14:paraId="7A1E9DB9" w14:textId="77777777" w:rsidR="00092DB8" w:rsidRPr="00486EBB" w:rsidRDefault="00092DB8" w:rsidP="00092DB8">
            <w:pPr>
              <w:spacing w:after="0"/>
              <w:ind w:right="63"/>
              <w:jc w:val="right"/>
              <w:rPr>
                <w:rFonts w:ascii="Times New Roman" w:hAnsi="Times New Roman"/>
                <w:sz w:val="22"/>
              </w:rPr>
            </w:pPr>
            <w:r w:rsidRPr="00486EBB">
              <w:rPr>
                <w:rFonts w:ascii="Times New Roman" w:hAnsi="Times New Roman"/>
                <w:sz w:val="22"/>
              </w:rPr>
              <w:t>-</w:t>
            </w:r>
          </w:p>
        </w:tc>
        <w:tc>
          <w:tcPr>
            <w:tcW w:w="745" w:type="pct"/>
            <w:tcBorders>
              <w:bottom w:val="single" w:sz="4" w:space="0" w:color="auto"/>
            </w:tcBorders>
            <w:vAlign w:val="bottom"/>
          </w:tcPr>
          <w:p w14:paraId="0395B5A3" w14:textId="77777777" w:rsidR="00092DB8" w:rsidRPr="00486EBB" w:rsidRDefault="00092DB8" w:rsidP="00092DB8">
            <w:pPr>
              <w:spacing w:after="0"/>
              <w:ind w:right="49"/>
              <w:jc w:val="right"/>
              <w:rPr>
                <w:rFonts w:ascii="Times New Roman" w:hAnsi="Times New Roman"/>
                <w:sz w:val="22"/>
              </w:rPr>
            </w:pPr>
            <w:r w:rsidRPr="00486EBB">
              <w:rPr>
                <w:rFonts w:ascii="Times New Roman" w:hAnsi="Times New Roman"/>
                <w:sz w:val="22"/>
              </w:rPr>
              <w:t>-</w:t>
            </w:r>
          </w:p>
        </w:tc>
        <w:tc>
          <w:tcPr>
            <w:tcW w:w="589" w:type="pct"/>
            <w:tcBorders>
              <w:bottom w:val="single" w:sz="4" w:space="0" w:color="auto"/>
            </w:tcBorders>
            <w:vAlign w:val="bottom"/>
          </w:tcPr>
          <w:p w14:paraId="2165EDFB"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c>
          <w:tcPr>
            <w:tcW w:w="936" w:type="pct"/>
            <w:tcBorders>
              <w:bottom w:val="single" w:sz="4" w:space="0" w:color="auto"/>
            </w:tcBorders>
            <w:vAlign w:val="bottom"/>
          </w:tcPr>
          <w:p w14:paraId="5E677FC3" w14:textId="77777777" w:rsidR="00092DB8" w:rsidRPr="00486EBB" w:rsidRDefault="00092DB8" w:rsidP="00092DB8">
            <w:pPr>
              <w:spacing w:after="0"/>
              <w:ind w:right="109"/>
              <w:jc w:val="right"/>
              <w:rPr>
                <w:rFonts w:ascii="Times New Roman" w:hAnsi="Times New Roman"/>
                <w:sz w:val="22"/>
              </w:rPr>
            </w:pPr>
            <w:r w:rsidRPr="00486EBB">
              <w:rPr>
                <w:rFonts w:ascii="Times New Roman" w:hAnsi="Times New Roman"/>
                <w:sz w:val="22"/>
              </w:rPr>
              <w:t>-</w:t>
            </w:r>
          </w:p>
        </w:tc>
      </w:tr>
      <w:tr w:rsidR="00092DB8" w:rsidRPr="00486EBB" w14:paraId="487ED93E" w14:textId="77777777" w:rsidTr="00486EBB">
        <w:trPr>
          <w:jc w:val="right"/>
        </w:trPr>
        <w:tc>
          <w:tcPr>
            <w:tcW w:w="844" w:type="pct"/>
            <w:tcBorders>
              <w:top w:val="single" w:sz="4" w:space="0" w:color="auto"/>
            </w:tcBorders>
            <w:vAlign w:val="bottom"/>
          </w:tcPr>
          <w:p w14:paraId="03434D51" w14:textId="77572E0D" w:rsidR="00092DB8" w:rsidRPr="00486EBB" w:rsidRDefault="00092DB8" w:rsidP="00B30559">
            <w:pPr>
              <w:autoSpaceDE w:val="0"/>
              <w:autoSpaceDN w:val="0"/>
              <w:adjustRightInd w:val="0"/>
              <w:spacing w:after="0"/>
              <w:ind w:left="80" w:right="80"/>
              <w:rPr>
                <w:rFonts w:ascii="Times New Roman" w:hAnsi="Times New Roman"/>
                <w:noProof/>
                <w:sz w:val="22"/>
              </w:rPr>
            </w:pPr>
            <w:r w:rsidRPr="00486EBB">
              <w:rPr>
                <w:rFonts w:ascii="Times New Roman" w:hAnsi="Times New Roman"/>
                <w:noProof/>
                <w:sz w:val="22"/>
              </w:rPr>
              <w:t xml:space="preserve">Årslønn </w:t>
            </w:r>
            <w:r w:rsidR="00B30559" w:rsidRPr="00486EBB">
              <w:rPr>
                <w:rFonts w:ascii="Times New Roman" w:hAnsi="Times New Roman"/>
                <w:noProof/>
                <w:sz w:val="22"/>
              </w:rPr>
              <w:t>2015</w:t>
            </w:r>
            <w:r w:rsidRPr="00486EBB">
              <w:rPr>
                <w:rFonts w:ascii="Times New Roman" w:hAnsi="Times New Roman"/>
                <w:noProof/>
                <w:sz w:val="22"/>
              </w:rPr>
              <w:t>, per årsverk</w:t>
            </w:r>
          </w:p>
        </w:tc>
        <w:tc>
          <w:tcPr>
            <w:tcW w:w="712" w:type="pct"/>
            <w:tcBorders>
              <w:top w:val="single" w:sz="4" w:space="0" w:color="auto"/>
            </w:tcBorders>
            <w:vAlign w:val="bottom"/>
          </w:tcPr>
          <w:p w14:paraId="47F9BFB8"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p>
          <w:p w14:paraId="533CBE87" w14:textId="668EA2A1" w:rsidR="00092DB8" w:rsidRPr="00486EBB" w:rsidRDefault="00B30559"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519 700</w:t>
            </w:r>
          </w:p>
        </w:tc>
        <w:tc>
          <w:tcPr>
            <w:tcW w:w="614" w:type="pct"/>
            <w:tcBorders>
              <w:top w:val="single" w:sz="4" w:space="0" w:color="auto"/>
            </w:tcBorders>
            <w:vAlign w:val="bottom"/>
          </w:tcPr>
          <w:p w14:paraId="5C6612DD"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60" w:type="pct"/>
            <w:tcBorders>
              <w:top w:val="single" w:sz="4" w:space="0" w:color="auto"/>
            </w:tcBorders>
            <w:vAlign w:val="bottom"/>
          </w:tcPr>
          <w:p w14:paraId="52EE8F9C"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745" w:type="pct"/>
            <w:tcBorders>
              <w:top w:val="single" w:sz="4" w:space="0" w:color="auto"/>
            </w:tcBorders>
            <w:vAlign w:val="bottom"/>
          </w:tcPr>
          <w:p w14:paraId="25084005"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89" w:type="pct"/>
            <w:tcBorders>
              <w:top w:val="single" w:sz="4" w:space="0" w:color="auto"/>
            </w:tcBorders>
            <w:vAlign w:val="bottom"/>
          </w:tcPr>
          <w:p w14:paraId="488CCC51"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936" w:type="pct"/>
            <w:tcBorders>
              <w:top w:val="single" w:sz="4" w:space="0" w:color="auto"/>
            </w:tcBorders>
            <w:vAlign w:val="bottom"/>
          </w:tcPr>
          <w:p w14:paraId="5C872AB9"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r>
      <w:tr w:rsidR="00092DB8" w:rsidRPr="00486EBB" w14:paraId="57243628" w14:textId="77777777" w:rsidTr="00486EBB">
        <w:trPr>
          <w:jc w:val="right"/>
        </w:trPr>
        <w:tc>
          <w:tcPr>
            <w:tcW w:w="844" w:type="pct"/>
            <w:tcBorders>
              <w:bottom w:val="single" w:sz="4" w:space="0" w:color="auto"/>
            </w:tcBorders>
            <w:vAlign w:val="bottom"/>
          </w:tcPr>
          <w:p w14:paraId="4560F7CA" w14:textId="29494903" w:rsidR="00092DB8" w:rsidRPr="00486EBB" w:rsidRDefault="00092DB8" w:rsidP="00B30559">
            <w:pPr>
              <w:autoSpaceDE w:val="0"/>
              <w:autoSpaceDN w:val="0"/>
              <w:adjustRightInd w:val="0"/>
              <w:spacing w:after="0"/>
              <w:ind w:left="80" w:right="80"/>
              <w:rPr>
                <w:rFonts w:ascii="Times New Roman" w:hAnsi="Times New Roman"/>
                <w:noProof/>
                <w:sz w:val="22"/>
                <w:lang w:eastAsia="nb-NO"/>
              </w:rPr>
            </w:pPr>
            <w:r w:rsidRPr="00486EBB">
              <w:rPr>
                <w:rFonts w:ascii="Times New Roman" w:hAnsi="Times New Roman"/>
                <w:noProof/>
                <w:sz w:val="22"/>
              </w:rPr>
              <w:t xml:space="preserve">Årslønn </w:t>
            </w:r>
            <w:r w:rsidR="00B30559" w:rsidRPr="00486EBB">
              <w:rPr>
                <w:rFonts w:ascii="Times New Roman" w:hAnsi="Times New Roman"/>
                <w:noProof/>
                <w:sz w:val="22"/>
              </w:rPr>
              <w:t>2015</w:t>
            </w:r>
            <w:r w:rsidRPr="00486EBB">
              <w:rPr>
                <w:rFonts w:ascii="Times New Roman" w:hAnsi="Times New Roman"/>
                <w:noProof/>
                <w:sz w:val="22"/>
              </w:rPr>
              <w:t>, heltidsansatte</w:t>
            </w:r>
            <w:r w:rsidRPr="00486EBB">
              <w:rPr>
                <w:rFonts w:ascii="Times New Roman" w:hAnsi="Times New Roman"/>
                <w:noProof/>
                <w:sz w:val="22"/>
                <w:vertAlign w:val="superscript"/>
              </w:rPr>
              <w:t>7</w:t>
            </w:r>
          </w:p>
        </w:tc>
        <w:tc>
          <w:tcPr>
            <w:tcW w:w="712" w:type="pct"/>
            <w:tcBorders>
              <w:bottom w:val="single" w:sz="4" w:space="0" w:color="auto"/>
            </w:tcBorders>
            <w:vAlign w:val="bottom"/>
          </w:tcPr>
          <w:p w14:paraId="340ED92D"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p>
          <w:p w14:paraId="38AE5031"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noProof/>
                <w:sz w:val="22"/>
              </w:rPr>
              <w:t>-</w:t>
            </w:r>
          </w:p>
        </w:tc>
        <w:tc>
          <w:tcPr>
            <w:tcW w:w="614" w:type="pct"/>
            <w:tcBorders>
              <w:bottom w:val="single" w:sz="4" w:space="0" w:color="auto"/>
            </w:tcBorders>
            <w:vAlign w:val="bottom"/>
          </w:tcPr>
          <w:p w14:paraId="12472E29"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60" w:type="pct"/>
            <w:tcBorders>
              <w:bottom w:val="single" w:sz="4" w:space="0" w:color="auto"/>
            </w:tcBorders>
            <w:vAlign w:val="bottom"/>
          </w:tcPr>
          <w:p w14:paraId="4FC2A3E0"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745" w:type="pct"/>
            <w:tcBorders>
              <w:bottom w:val="single" w:sz="4" w:space="0" w:color="auto"/>
            </w:tcBorders>
            <w:vAlign w:val="bottom"/>
          </w:tcPr>
          <w:p w14:paraId="79159F10"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589" w:type="pct"/>
            <w:tcBorders>
              <w:bottom w:val="single" w:sz="4" w:space="0" w:color="auto"/>
            </w:tcBorders>
            <w:vAlign w:val="bottom"/>
          </w:tcPr>
          <w:p w14:paraId="4D842F15"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c>
          <w:tcPr>
            <w:tcW w:w="936" w:type="pct"/>
            <w:tcBorders>
              <w:bottom w:val="single" w:sz="4" w:space="0" w:color="auto"/>
            </w:tcBorders>
            <w:vAlign w:val="bottom"/>
          </w:tcPr>
          <w:p w14:paraId="630F25A6" w14:textId="77777777" w:rsidR="00092DB8" w:rsidRPr="00486EBB" w:rsidRDefault="00092DB8" w:rsidP="00092DB8">
            <w:pPr>
              <w:autoSpaceDE w:val="0"/>
              <w:autoSpaceDN w:val="0"/>
              <w:adjustRightInd w:val="0"/>
              <w:spacing w:after="0"/>
              <w:ind w:left="80" w:right="80"/>
              <w:jc w:val="right"/>
              <w:rPr>
                <w:rFonts w:ascii="Times New Roman" w:hAnsi="Times New Roman"/>
                <w:noProof/>
                <w:sz w:val="22"/>
              </w:rPr>
            </w:pPr>
            <w:r w:rsidRPr="00486EBB">
              <w:rPr>
                <w:rFonts w:ascii="Times New Roman" w:hAnsi="Times New Roman"/>
                <w:sz w:val="22"/>
              </w:rPr>
              <w:t>-</w:t>
            </w:r>
          </w:p>
        </w:tc>
      </w:tr>
    </w:tbl>
    <w:bookmarkEnd w:id="24"/>
    <w:p w14:paraId="601EA9CA" w14:textId="77777777" w:rsidR="00486EBB" w:rsidRDefault="00234E27" w:rsidP="008643D6">
      <w:pPr>
        <w:pStyle w:val="tabell-noter"/>
        <w:numPr>
          <w:ilvl w:val="0"/>
          <w:numId w:val="77"/>
        </w:numPr>
        <w:tabs>
          <w:tab w:val="clear" w:pos="284"/>
        </w:tabs>
        <w:spacing w:before="0" w:after="0"/>
        <w:ind w:left="142" w:hanging="142"/>
      </w:pPr>
      <w:r w:rsidRPr="00486EBB">
        <w:rPr>
          <w:sz w:val="18"/>
          <w:szCs w:val="18"/>
        </w:rPr>
        <w:t>Lønnsveksten</w:t>
      </w:r>
      <w:r w:rsidRPr="001D63F8">
        <w:t xml:space="preserve"> er per årsverk </w:t>
      </w:r>
      <w:r>
        <w:t xml:space="preserve">etter nasjonalregnskapet og </w:t>
      </w:r>
      <w:r w:rsidRPr="001D63F8">
        <w:t xml:space="preserve">for </w:t>
      </w:r>
      <w:r>
        <w:t>”</w:t>
      </w:r>
      <w:r w:rsidRPr="001D63F8">
        <w:t>alle grupper</w:t>
      </w:r>
      <w:r>
        <w:t>”.</w:t>
      </w:r>
      <w:r w:rsidRPr="001D63F8">
        <w:t xml:space="preserve"> For varehandel og for alle bedrifter i industrien er lønnsveksten for heltidsansatte</w:t>
      </w:r>
      <w:r>
        <w:t xml:space="preserve"> fram til og med 2009, men per årsverk i årene etterpå.</w:t>
      </w:r>
    </w:p>
    <w:p w14:paraId="412498D1" w14:textId="77777777" w:rsidR="00486EBB" w:rsidRDefault="00234E27" w:rsidP="008643D6">
      <w:pPr>
        <w:pStyle w:val="tabell-noter"/>
        <w:numPr>
          <w:ilvl w:val="0"/>
          <w:numId w:val="77"/>
        </w:numPr>
        <w:tabs>
          <w:tab w:val="clear" w:pos="284"/>
        </w:tabs>
        <w:spacing w:before="0" w:after="0"/>
        <w:ind w:left="142" w:hanging="142"/>
      </w:pPr>
      <w:r>
        <w:t>Å</w:t>
      </w:r>
      <w:r w:rsidRPr="0007074A">
        <w:t xml:space="preserve">rslønnsveksten </w:t>
      </w:r>
      <w:r>
        <w:t xml:space="preserve">er </w:t>
      </w:r>
      <w:r w:rsidRPr="0007074A">
        <w:t xml:space="preserve">beregnet med utgangspunkt i nasjonalregnskapet på grunnlag av det lønnsbegrepet som brukes i utvalgets rapporter, dvs. fast avtalt lønn, inkl. faste tillegg, uregelmessige tillegg og bonuser. </w:t>
      </w:r>
      <w:r w:rsidRPr="00EA0201">
        <w:t>Naturallønn, betaling for overtid og sluttvederlag er ikke inkludert.</w:t>
      </w:r>
      <w:r w:rsidRPr="0007074A">
        <w:t xml:space="preserve"> Utenlandske sjøfolk på norske skip, vernepliktige rekrutter og lønnstakere i primærnæringene ble holdt utenom i perioden 200</w:t>
      </w:r>
      <w:r>
        <w:t>5</w:t>
      </w:r>
      <w:r w:rsidRPr="0007074A">
        <w:t>-2007.</w:t>
      </w:r>
    </w:p>
    <w:p w14:paraId="1A558333" w14:textId="77777777" w:rsidR="00486EBB" w:rsidRDefault="00234E27" w:rsidP="008643D6">
      <w:pPr>
        <w:pStyle w:val="tabell-noter"/>
        <w:numPr>
          <w:ilvl w:val="0"/>
          <w:numId w:val="77"/>
        </w:numPr>
        <w:tabs>
          <w:tab w:val="clear" w:pos="284"/>
        </w:tabs>
        <w:spacing w:before="0" w:after="0"/>
        <w:ind w:left="142" w:hanging="142"/>
      </w:pPr>
      <w:r w:rsidRPr="001D63F8">
        <w:t>Inklusive motorkjøretøytjenester.</w:t>
      </w:r>
    </w:p>
    <w:p w14:paraId="31563576" w14:textId="77777777" w:rsidR="00486EBB" w:rsidRDefault="00234E27" w:rsidP="008643D6">
      <w:pPr>
        <w:pStyle w:val="tabell-noter"/>
        <w:numPr>
          <w:ilvl w:val="0"/>
          <w:numId w:val="77"/>
        </w:numPr>
        <w:tabs>
          <w:tab w:val="clear" w:pos="284"/>
        </w:tabs>
        <w:spacing w:before="0" w:after="0"/>
        <w:ind w:left="142" w:hanging="142"/>
      </w:pPr>
      <w:r w:rsidRPr="00155267">
        <w:t xml:space="preserve">Populasjonen og beregningsmetoder er forskjellig fra det som brukes i tabell 1.1. For 2013 </w:t>
      </w:r>
      <w:r>
        <w:t xml:space="preserve">og 2014 </w:t>
      </w:r>
      <w:r w:rsidRPr="00155267">
        <w:t xml:space="preserve">er det for staten ikke foretatt korrigeringer i lønnsdataene for forsvaret i forhold til publiserte lønnsdata fra </w:t>
      </w:r>
      <w:r>
        <w:t>Statistisk sentralbyrå, jf. note 4 i tabell 1.1.</w:t>
      </w:r>
    </w:p>
    <w:p w14:paraId="3880FC51" w14:textId="77777777" w:rsidR="00486EBB" w:rsidRDefault="00234E27" w:rsidP="008643D6">
      <w:pPr>
        <w:pStyle w:val="tabell-noter"/>
        <w:numPr>
          <w:ilvl w:val="0"/>
          <w:numId w:val="77"/>
        </w:numPr>
        <w:tabs>
          <w:tab w:val="clear" w:pos="284"/>
        </w:tabs>
        <w:spacing w:before="0" w:after="0"/>
        <w:ind w:left="142" w:hanging="142"/>
      </w:pPr>
      <w:r w:rsidRPr="007E20EC">
        <w:t xml:space="preserve">Lønnsveksten fra </w:t>
      </w:r>
      <w:r>
        <w:t>og med 2009</w:t>
      </w:r>
      <w:r w:rsidRPr="007E20EC">
        <w:t xml:space="preserve"> er etter ny næringsstandard. Sammenlignet med veksten fra 2007 til 2008 og tidligere år, vil det være et brudd i tidsserien. Omtale av ny næringsstandard er </w:t>
      </w:r>
      <w:r>
        <w:t>gitt</w:t>
      </w:r>
      <w:r w:rsidRPr="007E20EC">
        <w:t xml:space="preserve"> i </w:t>
      </w:r>
      <w:r>
        <w:t xml:space="preserve">vedlegg </w:t>
      </w:r>
      <w:r w:rsidRPr="007E20EC">
        <w:t>2</w:t>
      </w:r>
      <w:r>
        <w:t xml:space="preserve"> i NOU 2015: 6</w:t>
      </w:r>
      <w:r w:rsidRPr="007E20EC">
        <w:t>.</w:t>
      </w:r>
    </w:p>
    <w:p w14:paraId="4555C506" w14:textId="77777777" w:rsidR="00486EBB" w:rsidRDefault="00234E27" w:rsidP="008643D6">
      <w:pPr>
        <w:pStyle w:val="tabell-noter"/>
        <w:numPr>
          <w:ilvl w:val="0"/>
          <w:numId w:val="77"/>
        </w:numPr>
        <w:tabs>
          <w:tab w:val="clear" w:pos="284"/>
        </w:tabs>
        <w:spacing w:before="0" w:after="0"/>
        <w:ind w:left="142" w:hanging="142"/>
      </w:pPr>
      <w:r>
        <w:t>L</w:t>
      </w:r>
      <w:r w:rsidRPr="004F37F8">
        <w:t>ønnsvekst</w:t>
      </w:r>
      <w:r>
        <w:t>en</w:t>
      </w:r>
      <w:r w:rsidRPr="004F37F8">
        <w:t xml:space="preserve"> </w:t>
      </w:r>
      <w:r>
        <w:t xml:space="preserve">er fra og med 2010 </w:t>
      </w:r>
      <w:r w:rsidRPr="004F37F8">
        <w:t xml:space="preserve">beregnet av </w:t>
      </w:r>
      <w:r>
        <w:t>Statistisk sentralbyrå</w:t>
      </w:r>
      <w:r w:rsidRPr="004F37F8">
        <w:t xml:space="preserve"> </w:t>
      </w:r>
      <w:r>
        <w:t xml:space="preserve">på grunnlag av </w:t>
      </w:r>
      <w:r w:rsidRPr="004F37F8">
        <w:t>lønnsstatistikk (strukturstatistikk) og informasjon fra den kvartalsvise lønnsindeksen.</w:t>
      </w:r>
    </w:p>
    <w:p w14:paraId="5B4A0C84" w14:textId="77777777" w:rsidR="00486EBB" w:rsidRDefault="00234E27" w:rsidP="008643D6">
      <w:pPr>
        <w:pStyle w:val="tabell-noter"/>
        <w:numPr>
          <w:ilvl w:val="0"/>
          <w:numId w:val="77"/>
        </w:numPr>
        <w:tabs>
          <w:tab w:val="clear" w:pos="284"/>
        </w:tabs>
        <w:spacing w:before="0" w:after="0"/>
        <w:ind w:left="142" w:hanging="142"/>
      </w:pPr>
      <w:r w:rsidRPr="00477F88">
        <w:t xml:space="preserve">Beregnet på grunnlag av </w:t>
      </w:r>
      <w:r>
        <w:t>Statistisk sentralbyrå</w:t>
      </w:r>
      <w:r w:rsidRPr="00477F88">
        <w:t>s lønnsstatistikk for alle ansatte</w:t>
      </w:r>
      <w:r>
        <w:t>,</w:t>
      </w:r>
      <w:r w:rsidRPr="00477F88">
        <w:t xml:space="preserve"> som er en sammenstilling av de næringsvise lønnsstatistikkene.</w:t>
      </w:r>
    </w:p>
    <w:p w14:paraId="3EFEB361" w14:textId="42CEF926" w:rsidR="002124A0" w:rsidRDefault="00234E27" w:rsidP="000A5EC3">
      <w:pPr>
        <w:pStyle w:val="tabell-noter"/>
        <w:tabs>
          <w:tab w:val="clear" w:pos="284"/>
        </w:tabs>
        <w:spacing w:after="0"/>
        <w:ind w:left="142"/>
        <w:contextualSpacing w:val="0"/>
      </w:pPr>
      <w:r w:rsidRPr="002D674C">
        <w:t>Kilde</w:t>
      </w:r>
      <w:r>
        <w:t>r</w:t>
      </w:r>
      <w:r w:rsidRPr="002D674C">
        <w:t>: Statistisk sentralbyrå og Beregningsutvalget.</w:t>
      </w:r>
    </w:p>
    <w:p w14:paraId="6BB1C31E" w14:textId="77777777" w:rsidR="00EB0D8B" w:rsidRPr="00EB0D8B" w:rsidRDefault="00EB0D8B" w:rsidP="00EB0D8B"/>
    <w:p w14:paraId="4C34765D" w14:textId="77777777" w:rsidR="002124A0" w:rsidRPr="006656DC" w:rsidRDefault="002124A0" w:rsidP="002124A0">
      <w:pPr>
        <w:rPr>
          <w:sz w:val="20"/>
        </w:rPr>
      </w:pPr>
      <w:r>
        <w:rPr>
          <w:noProof/>
          <w:sz w:val="20"/>
        </w:rPr>
        <mc:AlternateContent>
          <mc:Choice Requires="wps">
            <w:drawing>
              <wp:inline distT="0" distB="0" distL="0" distR="0" wp14:anchorId="666EB482" wp14:editId="400FC128">
                <wp:extent cx="5740842" cy="9120146"/>
                <wp:effectExtent l="0" t="0" r="12700" b="24130"/>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9120146"/>
                        </a:xfrm>
                        <a:prstGeom prst="rect">
                          <a:avLst/>
                        </a:prstGeom>
                        <a:solidFill>
                          <a:srgbClr val="FFFFFF"/>
                        </a:solidFill>
                        <a:ln w="9525">
                          <a:solidFill>
                            <a:srgbClr val="000000"/>
                          </a:solidFill>
                          <a:miter lim="800000"/>
                          <a:headEnd/>
                          <a:tailEnd/>
                        </a:ln>
                      </wps:spPr>
                      <wps:txbx>
                        <w:txbxContent>
                          <w:p w14:paraId="62C4D9A4" w14:textId="77777777" w:rsidR="003D053D" w:rsidRDefault="003D053D" w:rsidP="002124A0">
                            <w:pPr>
                              <w:pStyle w:val="tittel-ramme"/>
                              <w:numPr>
                                <w:ilvl w:val="0"/>
                                <w:numId w:val="0"/>
                              </w:numPr>
                              <w:spacing w:before="120"/>
                              <w:jc w:val="left"/>
                            </w:pPr>
                            <w:r>
                              <w:t xml:space="preserve">Boks 1.2 </w:t>
                            </w:r>
                            <w:r w:rsidRPr="009D3EFA">
                              <w:t>Beregning av årslønnsvekst i forhandlingsområder versus beregning av årslønnsvekst for næringsområder i privat sektor</w:t>
                            </w:r>
                          </w:p>
                          <w:p w14:paraId="34DE4976" w14:textId="77777777" w:rsidR="003D053D" w:rsidRPr="00346A0E" w:rsidRDefault="003D053D" w:rsidP="00346A0E">
                            <w:pPr>
                              <w:spacing w:after="0"/>
                              <w:rPr>
                                <w:rFonts w:ascii="Times New Roman" w:hAnsi="Times New Roman"/>
                                <w:i/>
                                <w:sz w:val="21"/>
                                <w:szCs w:val="21"/>
                              </w:rPr>
                            </w:pPr>
                            <w:r w:rsidRPr="00346A0E">
                              <w:rPr>
                                <w:rFonts w:ascii="Times New Roman" w:hAnsi="Times New Roman"/>
                                <w:i/>
                                <w:sz w:val="21"/>
                                <w:szCs w:val="21"/>
                              </w:rPr>
                              <w:t>Generelt</w:t>
                            </w:r>
                          </w:p>
                          <w:p w14:paraId="4EB50863" w14:textId="20453D1C" w:rsidR="003D053D" w:rsidRPr="00346A0E" w:rsidRDefault="003D053D" w:rsidP="00346A0E">
                            <w:pPr>
                              <w:rPr>
                                <w:rFonts w:ascii="Times New Roman" w:eastAsia="Times New Roman" w:hAnsi="Times New Roman"/>
                                <w:sz w:val="21"/>
                                <w:szCs w:val="21"/>
                              </w:rPr>
                            </w:pPr>
                            <w:r w:rsidRPr="00346A0E">
                              <w:rPr>
                                <w:rFonts w:ascii="Times New Roman" w:hAnsi="Times New Roman"/>
                                <w:sz w:val="21"/>
                                <w:szCs w:val="21"/>
                              </w:rPr>
                              <w:t>Med utgangspunkt i lønnsstatistikken brukes det litt forskjellige prinsipper for beregning av årslønnsvekst i forhandlingsområdene i tabell 1.1 (nærmere beskrevet i vedlegg 2) og i Statistisk sentralbyrås årslønnsberegninger for næringsområder i privat sektor (for eksempel i industrien). Innholdet i lønnsbegrepet er imidlertid det samme og begge tar utgangspunkt i flere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Statistisk sentralbyrås beregninger for næringsområder med utgangspunkt i lønnsstatistikken, er det utviklingen i den</w:t>
                            </w:r>
                            <w:r w:rsidRPr="00346A0E">
                              <w:rPr>
                                <w:rFonts w:ascii="Times New Roman" w:eastAsia="Times New Roman" w:hAnsi="Times New Roman"/>
                                <w:sz w:val="21"/>
                                <w:szCs w:val="21"/>
                              </w:rPr>
                              <w:t xml:space="preserve"> kvartalsvise lønnsindeksen for avtalt lønn som gir fordelingen av lønnsøkningen gjennom året.</w:t>
                            </w:r>
                            <w:r w:rsidRPr="00346A0E">
                              <w:rPr>
                                <w:rFonts w:ascii="Times New Roman" w:hAnsi="Times New Roman"/>
                                <w:sz w:val="21"/>
                                <w:szCs w:val="21"/>
                              </w:rPr>
                              <w:t xml:space="preserve"> De faktiske utbetalinger uavhengig av virkningsdato legges til grunn.</w:t>
                            </w:r>
                            <w:r w:rsidRPr="00346A0E">
                              <w:rPr>
                                <w:rFonts w:ascii="Times New Roman" w:eastAsia="Times New Roman" w:hAnsi="Times New Roman"/>
                                <w:sz w:val="21"/>
                                <w:szCs w:val="21"/>
                              </w:rPr>
                              <w:t xml:space="preserve"> </w:t>
                            </w:r>
                          </w:p>
                          <w:p w14:paraId="120F939C" w14:textId="77777777" w:rsidR="003D053D" w:rsidRPr="00346A0E" w:rsidRDefault="003D053D" w:rsidP="00346A0E">
                            <w:pPr>
                              <w:rPr>
                                <w:rFonts w:ascii="Times New Roman" w:hAnsi="Times New Roman"/>
                                <w:sz w:val="21"/>
                                <w:szCs w:val="21"/>
                              </w:rPr>
                            </w:pPr>
                            <w:r w:rsidRPr="00346A0E">
                              <w:rPr>
                                <w:rFonts w:ascii="Times New Roman" w:hAnsi="Times New Roman"/>
                                <w:sz w:val="21"/>
                                <w:szCs w:val="21"/>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Statistisk sentralbyrås beregning for næringsområder basert på lønnsstatistikken og den kvartalsvise lønnsindeksen. Dette kan også ha gjort seg gjeldende i andre år uten at utvalget har gått nærmere inn på dette. </w:t>
                            </w:r>
                          </w:p>
                          <w:p w14:paraId="7A9E92BF" w14:textId="77777777" w:rsidR="003D053D" w:rsidRPr="00346A0E" w:rsidRDefault="003D053D" w:rsidP="00346A0E">
                            <w:pPr>
                              <w:rPr>
                                <w:rFonts w:ascii="Times New Roman" w:hAnsi="Times New Roman"/>
                                <w:i/>
                                <w:sz w:val="21"/>
                                <w:szCs w:val="21"/>
                              </w:rPr>
                            </w:pPr>
                            <w:r w:rsidRPr="00346A0E">
                              <w:rPr>
                                <w:rFonts w:ascii="Times New Roman" w:hAnsi="Times New Roman"/>
                                <w:i/>
                                <w:sz w:val="21"/>
                                <w:szCs w:val="21"/>
                              </w:rPr>
                              <w:t xml:space="preserve">Nærmere om forskjeller mellom beregningen av årslønn i industrien i NHO-bedrifter og industrien i alt.  </w:t>
                            </w:r>
                          </w:p>
                          <w:p w14:paraId="3070A9BD" w14:textId="77777777" w:rsidR="003D053D" w:rsidRPr="00346A0E" w:rsidRDefault="003D053D" w:rsidP="00346A0E">
                            <w:pPr>
                              <w:rPr>
                                <w:rFonts w:ascii="Times New Roman" w:hAnsi="Times New Roman"/>
                                <w:sz w:val="21"/>
                                <w:szCs w:val="21"/>
                              </w:rPr>
                            </w:pPr>
                            <w:r w:rsidRPr="00346A0E">
                              <w:rPr>
                                <w:rFonts w:ascii="Times New Roman" w:hAnsi="Times New Roman"/>
                                <w:sz w:val="21"/>
                                <w:szCs w:val="21"/>
                              </w:rPr>
                              <w:t>Følgende forhold kan medvirke til at det blir forskjellig lønnsnivå og lønnsvekst i industri</w:t>
                            </w:r>
                            <w:r>
                              <w:rPr>
                                <w:rFonts w:ascii="Times New Roman" w:hAnsi="Times New Roman"/>
                                <w:sz w:val="21"/>
                                <w:szCs w:val="21"/>
                              </w:rPr>
                              <w:t>en</w:t>
                            </w:r>
                            <w:r w:rsidRPr="00346A0E">
                              <w:rPr>
                                <w:rFonts w:ascii="Times New Roman" w:hAnsi="Times New Roman"/>
                                <w:sz w:val="21"/>
                                <w:szCs w:val="21"/>
                              </w:rPr>
                              <w:t xml:space="preserve"> samlet og i NHO-bedrifter i industri:</w:t>
                            </w:r>
                          </w:p>
                          <w:p w14:paraId="6D2C9757" w14:textId="77777777" w:rsidR="003D053D" w:rsidRPr="00346A0E" w:rsidRDefault="003D053D" w:rsidP="00346A0E">
                            <w:pPr>
                              <w:pStyle w:val="Liste2"/>
                              <w:numPr>
                                <w:ilvl w:val="0"/>
                                <w:numId w:val="0"/>
                              </w:numPr>
                              <w:ind w:left="397"/>
                              <w:rPr>
                                <w:rFonts w:cs="Times New Roman"/>
                                <w:i/>
                                <w:sz w:val="21"/>
                                <w:szCs w:val="21"/>
                              </w:rPr>
                            </w:pPr>
                            <w:r w:rsidRPr="00346A0E">
                              <w:rPr>
                                <w:rFonts w:cs="Times New Roman"/>
                                <w:i/>
                                <w:sz w:val="21"/>
                                <w:szCs w:val="21"/>
                              </w:rPr>
                              <w:t>A. Populasjonsforskjeller</w:t>
                            </w:r>
                          </w:p>
                          <w:p w14:paraId="62B6E315" w14:textId="1B4610E6" w:rsidR="003D053D" w:rsidRPr="00E46124" w:rsidRDefault="003D053D" w:rsidP="006D0741">
                            <w:pPr>
                              <w:pStyle w:val="Liste2"/>
                              <w:numPr>
                                <w:ilvl w:val="0"/>
                                <w:numId w:val="20"/>
                              </w:numPr>
                              <w:ind w:left="851" w:hanging="425"/>
                              <w:rPr>
                                <w:rFonts w:cs="Times New Roman"/>
                                <w:sz w:val="21"/>
                                <w:szCs w:val="21"/>
                              </w:rPr>
                            </w:pPr>
                            <w:r w:rsidRPr="00346A0E">
                              <w:rPr>
                                <w:rFonts w:cs="Times New Roman"/>
                                <w:sz w:val="21"/>
                                <w:szCs w:val="21"/>
                              </w:rPr>
                              <w:t>Statistisk sentralbyrås lønnsstatistikker omfatter hele næringen industri iht. Standard for Næringsgruppering (nace).</w:t>
                            </w:r>
                            <w:r>
                              <w:rPr>
                                <w:rFonts w:cs="Times New Roman"/>
                                <w:sz w:val="21"/>
                                <w:szCs w:val="21"/>
                              </w:rPr>
                              <w:t xml:space="preserve"> </w:t>
                            </w:r>
                            <w:r w:rsidRPr="00E46124">
                              <w:rPr>
                                <w:rFonts w:cs="Times New Roman"/>
                                <w:sz w:val="21"/>
                                <w:szCs w:val="21"/>
                              </w:rPr>
                              <w:t>Endringer i offentlig</w:t>
                            </w:r>
                            <w:r>
                              <w:rPr>
                                <w:rFonts w:cs="Times New Roman"/>
                                <w:sz w:val="21"/>
                                <w:szCs w:val="21"/>
                              </w:rPr>
                              <w:t>e</w:t>
                            </w:r>
                            <w:r w:rsidRPr="00E46124">
                              <w:rPr>
                                <w:rFonts w:cs="Times New Roman"/>
                                <w:sz w:val="21"/>
                                <w:szCs w:val="21"/>
                              </w:rPr>
                              <w:t xml:space="preserve"> næringsklassifikasjoner førte til at deler av spesielt oljebaserte industribedrifter ble tatt ut av industrien og plassert i blant annet "oljevirksomhet" i 2009/2010. Disse bedriftsenhetene er med i lønnstallene for industrifunksjonærer for NHO-bedrifter, fordi enhetene fortsatt er knyttet sammen med NHOs industribedrifter og/eller foretak.</w:t>
                            </w:r>
                          </w:p>
                          <w:p w14:paraId="1D328DD9" w14:textId="77777777" w:rsidR="003D053D" w:rsidRPr="00346A0E" w:rsidRDefault="003D053D" w:rsidP="006D0741">
                            <w:pPr>
                              <w:pStyle w:val="Liste2"/>
                              <w:numPr>
                                <w:ilvl w:val="0"/>
                                <w:numId w:val="20"/>
                              </w:numPr>
                              <w:ind w:left="851" w:hanging="448"/>
                              <w:rPr>
                                <w:rFonts w:cs="Times New Roman"/>
                                <w:sz w:val="21"/>
                                <w:szCs w:val="21"/>
                              </w:rPr>
                            </w:pPr>
                            <w:r w:rsidRPr="00346A0E">
                              <w:rPr>
                                <w:rFonts w:cs="Times New Roman"/>
                                <w:sz w:val="21"/>
                                <w:szCs w:val="21"/>
                              </w:rPr>
                              <w:t xml:space="preserve">NHOs virksomheter/enheter er ikke i alle tilfeller sammenfallende med bedriftsinndelingen som Statistisk sentralbyrå benytter.  </w:t>
                            </w:r>
                          </w:p>
                          <w:p w14:paraId="377882EB" w14:textId="77777777" w:rsidR="003D053D" w:rsidRPr="00346A0E" w:rsidRDefault="003D053D" w:rsidP="006D0741">
                            <w:pPr>
                              <w:pStyle w:val="Liste2"/>
                              <w:numPr>
                                <w:ilvl w:val="0"/>
                                <w:numId w:val="20"/>
                              </w:numPr>
                              <w:ind w:left="851" w:hanging="448"/>
                              <w:rPr>
                                <w:rFonts w:cs="Times New Roman"/>
                                <w:sz w:val="21"/>
                                <w:szCs w:val="21"/>
                              </w:rPr>
                            </w:pPr>
                            <w:r w:rsidRPr="00346A0E">
                              <w:rPr>
                                <w:rFonts w:cs="Times New Roman"/>
                                <w:sz w:val="21"/>
                                <w:szCs w:val="21"/>
                              </w:rPr>
                              <w:t xml:space="preserve">Om lag ¾ av sysselsetting i industrien er i NHO-bedrifter. Organisasjonsgraden er særlig høy blant store bedrifter. </w:t>
                            </w:r>
                          </w:p>
                          <w:p w14:paraId="254336FB" w14:textId="77777777" w:rsidR="003D053D" w:rsidRPr="00346A0E" w:rsidRDefault="003D053D" w:rsidP="006D0741">
                            <w:pPr>
                              <w:pStyle w:val="Listeavsnitt20"/>
                              <w:numPr>
                                <w:ilvl w:val="0"/>
                                <w:numId w:val="20"/>
                              </w:numPr>
                              <w:spacing w:before="0" w:after="240" w:line="240" w:lineRule="auto"/>
                              <w:ind w:left="851" w:hanging="448"/>
                              <w:rPr>
                                <w:sz w:val="21"/>
                                <w:szCs w:val="21"/>
                              </w:rPr>
                            </w:pPr>
                            <w:r w:rsidRPr="00346A0E">
                              <w:rPr>
                                <w:sz w:val="21"/>
                                <w:szCs w:val="21"/>
                              </w:rPr>
                              <w:t>Unge arbeidstakere (under 18 år) og lærlinger er ikke med i statistikken for NHO-bedrifter.</w:t>
                            </w:r>
                            <w:r w:rsidRPr="00346A0E">
                              <w:rPr>
                                <w:sz w:val="21"/>
                                <w:szCs w:val="21"/>
                              </w:rPr>
                              <w:tab/>
                            </w:r>
                          </w:p>
                          <w:p w14:paraId="1EA10B36" w14:textId="77777777" w:rsidR="003D053D" w:rsidRPr="00346A0E" w:rsidRDefault="003D053D" w:rsidP="00346A0E">
                            <w:pPr>
                              <w:pStyle w:val="Listeavsnitt20"/>
                              <w:spacing w:before="0" w:after="120" w:line="240" w:lineRule="auto"/>
                              <w:ind w:left="405"/>
                              <w:contextualSpacing/>
                              <w:rPr>
                                <w:i/>
                                <w:sz w:val="21"/>
                                <w:szCs w:val="21"/>
                              </w:rPr>
                            </w:pPr>
                            <w:r w:rsidRPr="00346A0E">
                              <w:rPr>
                                <w:i/>
                                <w:sz w:val="21"/>
                                <w:szCs w:val="21"/>
                              </w:rPr>
                              <w:t>B. Beregningsforskjeller</w:t>
                            </w:r>
                            <w:r w:rsidRPr="00346A0E">
                              <w:rPr>
                                <w:b/>
                                <w:i/>
                                <w:sz w:val="21"/>
                                <w:szCs w:val="21"/>
                              </w:rPr>
                              <w:t xml:space="preserve"> </w:t>
                            </w:r>
                            <w:r w:rsidRPr="00346A0E">
                              <w:rPr>
                                <w:i/>
                                <w:sz w:val="21"/>
                                <w:szCs w:val="21"/>
                              </w:rPr>
                              <w:t>(se beskrivelse ovenfor)</w:t>
                            </w:r>
                          </w:p>
                          <w:p w14:paraId="2337C9CC"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Forskjellige metoder for plassering av lønnsvekst i løpet av året.</w:t>
                            </w:r>
                          </w:p>
                          <w:p w14:paraId="2E454CE9"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Etterbetalinger av lønnstillegg er ulikt behandlet.</w:t>
                            </w:r>
                          </w:p>
                          <w:p w14:paraId="33A44A28"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Beregningene av vekst i årslønn for industrien samlet i tabell 1.2 er for heltidsansatte i årene 2004 til 2009, men per årsverk fra og med 2010. For industriansatte i NHO-bedrifter er beregningene per årsverk i alle år, se tabell 1.1.</w:t>
                            </w:r>
                          </w:p>
                          <w:p w14:paraId="40BDAD42"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 xml:space="preserve">Strukturelle endringer, f. eks. forskyvninger i sysselsettingen mellom bedrifter med ulikt lønnsnivå kan slå ulikt ut for de to populasjonene. </w:t>
                            </w:r>
                          </w:p>
                          <w:p w14:paraId="47AC96D1"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Forskjellige metoder for vekting.</w:t>
                            </w:r>
                          </w:p>
                          <w:p w14:paraId="4322A199" w14:textId="77777777" w:rsidR="003D053D" w:rsidRPr="00ED66D1" w:rsidRDefault="003D053D" w:rsidP="00346A0E">
                            <w:pPr>
                              <w:rPr>
                                <w:szCs w:val="24"/>
                              </w:rPr>
                            </w:pPr>
                            <w:r w:rsidRPr="00346A0E">
                              <w:rPr>
                                <w:rFonts w:ascii="Times New Roman" w:hAnsi="Times New Roman"/>
                                <w:sz w:val="21"/>
                                <w:szCs w:val="21"/>
                              </w:rPr>
                              <w:t xml:space="preserve">De samme forholdene vil også </w:t>
                            </w:r>
                            <w:r>
                              <w:rPr>
                                <w:rFonts w:ascii="Times New Roman" w:hAnsi="Times New Roman"/>
                                <w:sz w:val="21"/>
                                <w:szCs w:val="21"/>
                              </w:rPr>
                              <w:t xml:space="preserve">kunne </w:t>
                            </w:r>
                            <w:r w:rsidRPr="00346A0E">
                              <w:rPr>
                                <w:rFonts w:ascii="Times New Roman" w:hAnsi="Times New Roman"/>
                                <w:sz w:val="21"/>
                                <w:szCs w:val="21"/>
                              </w:rPr>
                              <w:t>gjelde når en sammenligner andre tariffområder med næringsområder, for eksempel årslønnsberegningene i varehandelen totalt versus beregningene for Virke-bedrifter i varehandel.</w:t>
                            </w:r>
                          </w:p>
                          <w:p w14:paraId="229E43F9" w14:textId="77777777" w:rsidR="003D053D" w:rsidRPr="00ED66D1" w:rsidRDefault="003D053D" w:rsidP="002124A0">
                            <w:pPr>
                              <w:rPr>
                                <w:szCs w:val="24"/>
                              </w:rPr>
                            </w:pPr>
                          </w:p>
                          <w:p w14:paraId="2CA275AF" w14:textId="77777777" w:rsidR="003D053D" w:rsidRDefault="003D053D" w:rsidP="002124A0"/>
                        </w:txbxContent>
                      </wps:txbx>
                      <wps:bodyPr rot="0" vert="horz" wrap="square" lIns="91440" tIns="45720" rIns="91440" bIns="45720" anchor="t" anchorCtr="0" upright="1">
                        <a:noAutofit/>
                      </wps:bodyPr>
                    </wps:wsp>
                  </a:graphicData>
                </a:graphic>
              </wp:inline>
            </w:drawing>
          </mc:Choice>
          <mc:Fallback>
            <w:pict>
              <v:shape w14:anchorId="666EB482" id="Tekstboks 1" o:spid="_x0000_s1027" type="#_x0000_t202" style="width:452.05pt;height:71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">
                <v:textbox>
                  <w:txbxContent>
                    <w:p w14:paraId="62C4D9A4" w14:textId="77777777" w:rsidR="003D053D" w:rsidRDefault="003D053D" w:rsidP="002124A0">
                      <w:pPr>
                        <w:pStyle w:val="tittel-ramme"/>
                        <w:numPr>
                          <w:ilvl w:val="0"/>
                          <w:numId w:val="0"/>
                        </w:numPr>
                        <w:spacing w:before="120"/>
                        <w:jc w:val="left"/>
                      </w:pPr>
                      <w:r>
                        <w:t xml:space="preserve">Boks 1.2 </w:t>
                      </w:r>
                      <w:r w:rsidRPr="009D3EFA">
                        <w:t>Beregning av årslønnsvekst i forhandlingsområder versus beregning av årslønnsvekst for næringsområder i privat sektor</w:t>
                      </w:r>
                    </w:p>
                    <w:p w14:paraId="34DE4976" w14:textId="77777777" w:rsidR="003D053D" w:rsidRPr="00346A0E" w:rsidRDefault="003D053D" w:rsidP="00346A0E">
                      <w:pPr>
                        <w:spacing w:after="0"/>
                        <w:rPr>
                          <w:rFonts w:ascii="Times New Roman" w:hAnsi="Times New Roman"/>
                          <w:i/>
                          <w:sz w:val="21"/>
                          <w:szCs w:val="21"/>
                        </w:rPr>
                      </w:pPr>
                      <w:r w:rsidRPr="00346A0E">
                        <w:rPr>
                          <w:rFonts w:ascii="Times New Roman" w:hAnsi="Times New Roman"/>
                          <w:i/>
                          <w:sz w:val="21"/>
                          <w:szCs w:val="21"/>
                        </w:rPr>
                        <w:t>Generelt</w:t>
                      </w:r>
                    </w:p>
                    <w:p w14:paraId="4EB50863" w14:textId="20453D1C" w:rsidR="003D053D" w:rsidRPr="00346A0E" w:rsidRDefault="003D053D" w:rsidP="00346A0E">
                      <w:pPr>
                        <w:rPr>
                          <w:rFonts w:ascii="Times New Roman" w:eastAsia="Times New Roman" w:hAnsi="Times New Roman"/>
                          <w:sz w:val="21"/>
                          <w:szCs w:val="21"/>
                        </w:rPr>
                      </w:pPr>
                      <w:r w:rsidRPr="00346A0E">
                        <w:rPr>
                          <w:rFonts w:ascii="Times New Roman" w:hAnsi="Times New Roman"/>
                          <w:sz w:val="21"/>
                          <w:szCs w:val="21"/>
                        </w:rPr>
                        <w:t>Med utgangspunkt i lønnsstatistikken brukes det litt forskjellige prinsipper for beregning av årslønnsvekst i forhandlingsområdene i tabell 1.1 (nærmere beskrevet i vedlegg 2) og i Statistisk sentralbyrås årslønnsberegninger for næringsområder i privat sektor (for eksempel i industrien). Innholdet i lønnsbegrepet er imidlertid det samme og begge tar utgangspunkt i flere årganger av lønnsstatistikken. I forhandlingsområdene bygger fordelingen av total lønnsøkning mellom to årganger av lønnsstatistikken på kunnskap om virkningstidspunkter for tarifftillegg (f. eks. 1. april eller 1. mai) og forutsetninger om når annen lønnsøkning (lønnsglidningen) kommer. I Statistisk sentralbyrås beregninger for næringsområder med utgangspunkt i lønnsstatistikken, er det utviklingen i den</w:t>
                      </w:r>
                      <w:r w:rsidRPr="00346A0E">
                        <w:rPr>
                          <w:rFonts w:ascii="Times New Roman" w:eastAsia="Times New Roman" w:hAnsi="Times New Roman"/>
                          <w:sz w:val="21"/>
                          <w:szCs w:val="21"/>
                        </w:rPr>
                        <w:t xml:space="preserve"> kvartalsvise lønnsindeksen for avtalt lønn som gir fordelingen av lønnsøkningen gjennom året.</w:t>
                      </w:r>
                      <w:r w:rsidRPr="00346A0E">
                        <w:rPr>
                          <w:rFonts w:ascii="Times New Roman" w:hAnsi="Times New Roman"/>
                          <w:sz w:val="21"/>
                          <w:szCs w:val="21"/>
                        </w:rPr>
                        <w:t xml:space="preserve"> De faktiske utbetalinger uavhengig av virkningsdato legges til grunn.</w:t>
                      </w:r>
                      <w:r w:rsidRPr="00346A0E">
                        <w:rPr>
                          <w:rFonts w:ascii="Times New Roman" w:eastAsia="Times New Roman" w:hAnsi="Times New Roman"/>
                          <w:sz w:val="21"/>
                          <w:szCs w:val="21"/>
                        </w:rPr>
                        <w:t xml:space="preserve"> </w:t>
                      </w:r>
                    </w:p>
                    <w:p w14:paraId="120F939C" w14:textId="77777777" w:rsidR="003D053D" w:rsidRPr="00346A0E" w:rsidRDefault="003D053D" w:rsidP="00346A0E">
                      <w:pPr>
                        <w:rPr>
                          <w:rFonts w:ascii="Times New Roman" w:hAnsi="Times New Roman"/>
                          <w:sz w:val="21"/>
                          <w:szCs w:val="21"/>
                        </w:rPr>
                      </w:pPr>
                      <w:r w:rsidRPr="00346A0E">
                        <w:rPr>
                          <w:rFonts w:ascii="Times New Roman" w:hAnsi="Times New Roman"/>
                          <w:sz w:val="21"/>
                          <w:szCs w:val="21"/>
                        </w:rPr>
                        <w:t xml:space="preserve">I år med konflikter i tariffoppgjørene, kan oppgjør trekke ut i tid. Dette kan medføre at det blir større tidsavstand enn året før mellom faktisk virkningstidspunkt og tidspunktet for utbetaling av lønnstillegg. Videre kan det at flere oppgjør trekker ut i tid medføre at etterbetalingene blir høyere enn året før. For eksempel var dette tilfelle i 2010-oppgjøret og kan ha medført at etterbetalingene samlet sett var høyere i 2010 enn i 2009. Disse to forholdene trakk isolert sett ned lønnsveksten fra 2009 til 2010 i Statistisk sentralbyrås beregning for næringsområder basert på lønnsstatistikken og den kvartalsvise lønnsindeksen. Dette kan også ha gjort seg gjeldende i andre år uten at utvalget har gått nærmere inn på dette. </w:t>
                      </w:r>
                    </w:p>
                    <w:p w14:paraId="7A9E92BF" w14:textId="77777777" w:rsidR="003D053D" w:rsidRPr="00346A0E" w:rsidRDefault="003D053D" w:rsidP="00346A0E">
                      <w:pPr>
                        <w:rPr>
                          <w:rFonts w:ascii="Times New Roman" w:hAnsi="Times New Roman"/>
                          <w:i/>
                          <w:sz w:val="21"/>
                          <w:szCs w:val="21"/>
                        </w:rPr>
                      </w:pPr>
                      <w:r w:rsidRPr="00346A0E">
                        <w:rPr>
                          <w:rFonts w:ascii="Times New Roman" w:hAnsi="Times New Roman"/>
                          <w:i/>
                          <w:sz w:val="21"/>
                          <w:szCs w:val="21"/>
                        </w:rPr>
                        <w:t xml:space="preserve">Nærmere om forskjeller mellom beregningen av årslønn i industrien i NHO-bedrifter og industrien i alt.  </w:t>
                      </w:r>
                    </w:p>
                    <w:p w14:paraId="3070A9BD" w14:textId="77777777" w:rsidR="003D053D" w:rsidRPr="00346A0E" w:rsidRDefault="003D053D" w:rsidP="00346A0E">
                      <w:pPr>
                        <w:rPr>
                          <w:rFonts w:ascii="Times New Roman" w:hAnsi="Times New Roman"/>
                          <w:sz w:val="21"/>
                          <w:szCs w:val="21"/>
                        </w:rPr>
                      </w:pPr>
                      <w:r w:rsidRPr="00346A0E">
                        <w:rPr>
                          <w:rFonts w:ascii="Times New Roman" w:hAnsi="Times New Roman"/>
                          <w:sz w:val="21"/>
                          <w:szCs w:val="21"/>
                        </w:rPr>
                        <w:t>Følgende forhold kan medvirke til at det blir forskjellig lønnsnivå og lønnsvekst i industri</w:t>
                      </w:r>
                      <w:r>
                        <w:rPr>
                          <w:rFonts w:ascii="Times New Roman" w:hAnsi="Times New Roman"/>
                          <w:sz w:val="21"/>
                          <w:szCs w:val="21"/>
                        </w:rPr>
                        <w:t>en</w:t>
                      </w:r>
                      <w:r w:rsidRPr="00346A0E">
                        <w:rPr>
                          <w:rFonts w:ascii="Times New Roman" w:hAnsi="Times New Roman"/>
                          <w:sz w:val="21"/>
                          <w:szCs w:val="21"/>
                        </w:rPr>
                        <w:t xml:space="preserve"> samlet og i NHO-bedrifter i industri:</w:t>
                      </w:r>
                    </w:p>
                    <w:p w14:paraId="6D2C9757" w14:textId="77777777" w:rsidR="003D053D" w:rsidRPr="00346A0E" w:rsidRDefault="003D053D" w:rsidP="00346A0E">
                      <w:pPr>
                        <w:pStyle w:val="Liste2"/>
                        <w:numPr>
                          <w:ilvl w:val="0"/>
                          <w:numId w:val="0"/>
                        </w:numPr>
                        <w:ind w:left="397"/>
                        <w:rPr>
                          <w:rFonts w:cs="Times New Roman"/>
                          <w:i/>
                          <w:sz w:val="21"/>
                          <w:szCs w:val="21"/>
                        </w:rPr>
                      </w:pPr>
                      <w:r w:rsidRPr="00346A0E">
                        <w:rPr>
                          <w:rFonts w:cs="Times New Roman"/>
                          <w:i/>
                          <w:sz w:val="21"/>
                          <w:szCs w:val="21"/>
                        </w:rPr>
                        <w:t>A. Populasjonsforskjeller</w:t>
                      </w:r>
                    </w:p>
                    <w:p w14:paraId="62B6E315" w14:textId="1B4610E6" w:rsidR="003D053D" w:rsidRPr="00E46124" w:rsidRDefault="003D053D" w:rsidP="006D0741">
                      <w:pPr>
                        <w:pStyle w:val="Liste2"/>
                        <w:numPr>
                          <w:ilvl w:val="0"/>
                          <w:numId w:val="20"/>
                        </w:numPr>
                        <w:ind w:left="851" w:hanging="425"/>
                        <w:rPr>
                          <w:rFonts w:cs="Times New Roman"/>
                          <w:sz w:val="21"/>
                          <w:szCs w:val="21"/>
                        </w:rPr>
                      </w:pPr>
                      <w:r w:rsidRPr="00346A0E">
                        <w:rPr>
                          <w:rFonts w:cs="Times New Roman"/>
                          <w:sz w:val="21"/>
                          <w:szCs w:val="21"/>
                        </w:rPr>
                        <w:t>Statistisk sentralbyrås lønnsstatistikker omfatter hele næringen industri iht. Standard for Næringsgruppering (nace).</w:t>
                      </w:r>
                      <w:r>
                        <w:rPr>
                          <w:rFonts w:cs="Times New Roman"/>
                          <w:sz w:val="21"/>
                          <w:szCs w:val="21"/>
                        </w:rPr>
                        <w:t xml:space="preserve"> </w:t>
                      </w:r>
                      <w:r w:rsidRPr="00E46124">
                        <w:rPr>
                          <w:rFonts w:cs="Times New Roman"/>
                          <w:sz w:val="21"/>
                          <w:szCs w:val="21"/>
                        </w:rPr>
                        <w:t>Endringer i offentlig</w:t>
                      </w:r>
                      <w:r>
                        <w:rPr>
                          <w:rFonts w:cs="Times New Roman"/>
                          <w:sz w:val="21"/>
                          <w:szCs w:val="21"/>
                        </w:rPr>
                        <w:t>e</w:t>
                      </w:r>
                      <w:r w:rsidRPr="00E46124">
                        <w:rPr>
                          <w:rFonts w:cs="Times New Roman"/>
                          <w:sz w:val="21"/>
                          <w:szCs w:val="21"/>
                        </w:rPr>
                        <w:t xml:space="preserve"> næringsklassifikasjoner førte til at deler av spesielt oljebaserte industribedrifter ble tatt ut av industrien og plassert i blant annet "oljevirksomhet" i 2009/2010. Disse bedriftsenhetene er med i lønnstallene for industrifunksjonærer for NHO-bedrifter, fordi enhetene fortsatt er knyttet sammen med NHOs industribedrifter og/eller foretak.</w:t>
                      </w:r>
                    </w:p>
                    <w:p w14:paraId="1D328DD9" w14:textId="77777777" w:rsidR="003D053D" w:rsidRPr="00346A0E" w:rsidRDefault="003D053D" w:rsidP="006D0741">
                      <w:pPr>
                        <w:pStyle w:val="Liste2"/>
                        <w:numPr>
                          <w:ilvl w:val="0"/>
                          <w:numId w:val="20"/>
                        </w:numPr>
                        <w:ind w:left="851" w:hanging="448"/>
                        <w:rPr>
                          <w:rFonts w:cs="Times New Roman"/>
                          <w:sz w:val="21"/>
                          <w:szCs w:val="21"/>
                        </w:rPr>
                      </w:pPr>
                      <w:r w:rsidRPr="00346A0E">
                        <w:rPr>
                          <w:rFonts w:cs="Times New Roman"/>
                          <w:sz w:val="21"/>
                          <w:szCs w:val="21"/>
                        </w:rPr>
                        <w:t xml:space="preserve">NHOs virksomheter/enheter er ikke i alle tilfeller sammenfallende med bedriftsinndelingen som Statistisk sentralbyrå benytter.  </w:t>
                      </w:r>
                    </w:p>
                    <w:p w14:paraId="377882EB" w14:textId="77777777" w:rsidR="003D053D" w:rsidRPr="00346A0E" w:rsidRDefault="003D053D" w:rsidP="006D0741">
                      <w:pPr>
                        <w:pStyle w:val="Liste2"/>
                        <w:numPr>
                          <w:ilvl w:val="0"/>
                          <w:numId w:val="20"/>
                        </w:numPr>
                        <w:ind w:left="851" w:hanging="448"/>
                        <w:rPr>
                          <w:rFonts w:cs="Times New Roman"/>
                          <w:sz w:val="21"/>
                          <w:szCs w:val="21"/>
                        </w:rPr>
                      </w:pPr>
                      <w:r w:rsidRPr="00346A0E">
                        <w:rPr>
                          <w:rFonts w:cs="Times New Roman"/>
                          <w:sz w:val="21"/>
                          <w:szCs w:val="21"/>
                        </w:rPr>
                        <w:t xml:space="preserve">Om lag ¾ av sysselsetting i industrien er i NHO-bedrifter. Organisasjonsgraden er særlig høy blant store bedrifter. </w:t>
                      </w:r>
                    </w:p>
                    <w:p w14:paraId="254336FB" w14:textId="77777777" w:rsidR="003D053D" w:rsidRPr="00346A0E" w:rsidRDefault="003D053D" w:rsidP="006D0741">
                      <w:pPr>
                        <w:pStyle w:val="Listeavsnitt20"/>
                        <w:numPr>
                          <w:ilvl w:val="0"/>
                          <w:numId w:val="20"/>
                        </w:numPr>
                        <w:spacing w:before="0" w:after="240" w:line="240" w:lineRule="auto"/>
                        <w:ind w:left="851" w:hanging="448"/>
                        <w:rPr>
                          <w:sz w:val="21"/>
                          <w:szCs w:val="21"/>
                        </w:rPr>
                      </w:pPr>
                      <w:r w:rsidRPr="00346A0E">
                        <w:rPr>
                          <w:sz w:val="21"/>
                          <w:szCs w:val="21"/>
                        </w:rPr>
                        <w:t>Unge arbeidstakere (under 18 år) og lærlinger er ikke med i statistikken for NHO-bedrifter.</w:t>
                      </w:r>
                      <w:r w:rsidRPr="00346A0E">
                        <w:rPr>
                          <w:sz w:val="21"/>
                          <w:szCs w:val="21"/>
                        </w:rPr>
                        <w:tab/>
                      </w:r>
                    </w:p>
                    <w:p w14:paraId="1EA10B36" w14:textId="77777777" w:rsidR="003D053D" w:rsidRPr="00346A0E" w:rsidRDefault="003D053D" w:rsidP="00346A0E">
                      <w:pPr>
                        <w:pStyle w:val="Listeavsnitt20"/>
                        <w:spacing w:before="0" w:after="120" w:line="240" w:lineRule="auto"/>
                        <w:ind w:left="405"/>
                        <w:contextualSpacing/>
                        <w:rPr>
                          <w:i/>
                          <w:sz w:val="21"/>
                          <w:szCs w:val="21"/>
                        </w:rPr>
                      </w:pPr>
                      <w:r w:rsidRPr="00346A0E">
                        <w:rPr>
                          <w:i/>
                          <w:sz w:val="21"/>
                          <w:szCs w:val="21"/>
                        </w:rPr>
                        <w:t>B. Beregningsforskjeller</w:t>
                      </w:r>
                      <w:r w:rsidRPr="00346A0E">
                        <w:rPr>
                          <w:b/>
                          <w:i/>
                          <w:sz w:val="21"/>
                          <w:szCs w:val="21"/>
                        </w:rPr>
                        <w:t xml:space="preserve"> </w:t>
                      </w:r>
                      <w:r w:rsidRPr="00346A0E">
                        <w:rPr>
                          <w:i/>
                          <w:sz w:val="21"/>
                          <w:szCs w:val="21"/>
                        </w:rPr>
                        <w:t>(se beskrivelse ovenfor)</w:t>
                      </w:r>
                    </w:p>
                    <w:p w14:paraId="2337C9CC"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Forskjellige metoder for plassering av lønnsvekst i løpet av året.</w:t>
                      </w:r>
                    </w:p>
                    <w:p w14:paraId="2E454CE9"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Etterbetalinger av lønnstillegg er ulikt behandlet.</w:t>
                      </w:r>
                    </w:p>
                    <w:p w14:paraId="33A44A28"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Beregningene av vekst i årslønn for industrien samlet i tabell 1.2 er for heltidsansatte i årene 2004 til 2009, men per årsverk fra og med 2010. For industriansatte i NHO-bedrifter er beregningene per årsverk i alle år, se tabell 1.1.</w:t>
                      </w:r>
                    </w:p>
                    <w:p w14:paraId="40BDAD42"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 xml:space="preserve">Strukturelle endringer, f. eks. forskyvninger i sysselsettingen mellom bedrifter med ulikt lønnsnivå kan slå ulikt ut for de to populasjonene. </w:t>
                      </w:r>
                    </w:p>
                    <w:p w14:paraId="47AC96D1" w14:textId="77777777" w:rsidR="003D053D" w:rsidRPr="00346A0E" w:rsidRDefault="003D053D" w:rsidP="006D0741">
                      <w:pPr>
                        <w:pStyle w:val="Listeavsnitt20"/>
                        <w:numPr>
                          <w:ilvl w:val="0"/>
                          <w:numId w:val="21"/>
                        </w:numPr>
                        <w:spacing w:before="0" w:after="120" w:line="240" w:lineRule="auto"/>
                        <w:ind w:left="851" w:hanging="425"/>
                        <w:contextualSpacing/>
                        <w:rPr>
                          <w:sz w:val="21"/>
                          <w:szCs w:val="21"/>
                        </w:rPr>
                      </w:pPr>
                      <w:r w:rsidRPr="00346A0E">
                        <w:rPr>
                          <w:sz w:val="21"/>
                          <w:szCs w:val="21"/>
                        </w:rPr>
                        <w:t>Forskjellige metoder for vekting.</w:t>
                      </w:r>
                    </w:p>
                    <w:p w14:paraId="4322A199" w14:textId="77777777" w:rsidR="003D053D" w:rsidRPr="00ED66D1" w:rsidRDefault="003D053D" w:rsidP="00346A0E">
                      <w:pPr>
                        <w:rPr>
                          <w:szCs w:val="24"/>
                        </w:rPr>
                      </w:pPr>
                      <w:r w:rsidRPr="00346A0E">
                        <w:rPr>
                          <w:rFonts w:ascii="Times New Roman" w:hAnsi="Times New Roman"/>
                          <w:sz w:val="21"/>
                          <w:szCs w:val="21"/>
                        </w:rPr>
                        <w:t xml:space="preserve">De samme forholdene vil også </w:t>
                      </w:r>
                      <w:r>
                        <w:rPr>
                          <w:rFonts w:ascii="Times New Roman" w:hAnsi="Times New Roman"/>
                          <w:sz w:val="21"/>
                          <w:szCs w:val="21"/>
                        </w:rPr>
                        <w:t xml:space="preserve">kunne </w:t>
                      </w:r>
                      <w:r w:rsidRPr="00346A0E">
                        <w:rPr>
                          <w:rFonts w:ascii="Times New Roman" w:hAnsi="Times New Roman"/>
                          <w:sz w:val="21"/>
                          <w:szCs w:val="21"/>
                        </w:rPr>
                        <w:t>gjelde når en sammenligner andre tariffområder med næringsområder, for eksempel årslønnsberegningene i varehandelen totalt versus beregningene for Virke-bedrifter i varehandel.</w:t>
                      </w:r>
                    </w:p>
                    <w:p w14:paraId="229E43F9" w14:textId="77777777" w:rsidR="003D053D" w:rsidRPr="00ED66D1" w:rsidRDefault="003D053D" w:rsidP="002124A0">
                      <w:pPr>
                        <w:rPr>
                          <w:szCs w:val="24"/>
                        </w:rPr>
                      </w:pPr>
                    </w:p>
                    <w:p w14:paraId="2CA275AF" w14:textId="77777777" w:rsidR="003D053D" w:rsidRDefault="003D053D" w:rsidP="002124A0"/>
                  </w:txbxContent>
                </v:textbox>
                <w10:anchorlock/>
              </v:shape>
            </w:pict>
          </mc:Fallback>
        </mc:AlternateContent>
      </w:r>
    </w:p>
    <w:p w14:paraId="13ADBDBB" w14:textId="77777777" w:rsidR="002124A0" w:rsidRPr="00BA1C84" w:rsidRDefault="002124A0" w:rsidP="002124A0">
      <w:pPr>
        <w:pStyle w:val="Overskrift3"/>
      </w:pPr>
      <w:bookmarkStart w:id="25" w:name="_Toc320820658"/>
      <w:bookmarkStart w:id="26" w:name="_Toc351913427"/>
      <w:bookmarkStart w:id="27" w:name="_Toc380506121"/>
      <w:bookmarkStart w:id="28" w:name="_Toc442351728"/>
      <w:bookmarkStart w:id="29" w:name="_Toc443998952"/>
      <w:r w:rsidRPr="00BA1C84">
        <w:t>Nærmere om sammensetningen av årslønnsveksten i forhandlingsområdene</w:t>
      </w:r>
      <w:bookmarkEnd w:id="25"/>
      <w:bookmarkEnd w:id="26"/>
      <w:bookmarkEnd w:id="27"/>
      <w:bookmarkEnd w:id="28"/>
      <w:bookmarkEnd w:id="29"/>
    </w:p>
    <w:p w14:paraId="0B5470A6" w14:textId="6A4322BB" w:rsidR="00FA4CE2" w:rsidRDefault="00FA4CE2" w:rsidP="00FA4CE2">
      <w:pPr>
        <w:spacing w:after="0"/>
      </w:pPr>
      <w:r w:rsidRPr="00A705B4">
        <w:t>I tabell 1.3 er årslønnsveksten i årene 20</w:t>
      </w:r>
      <w:r>
        <w:t xml:space="preserve">11 til </w:t>
      </w:r>
      <w:r w:rsidRPr="00A705B4">
        <w:t>20</w:t>
      </w:r>
      <w:r>
        <w:t>15</w:t>
      </w:r>
      <w:r w:rsidRPr="00A705B4">
        <w:t xml:space="preserve"> for hovedgruppene i tabell 1.1 splittet opp i bidrag fra overheng, bidrag fra sentralt fastlagte tarifftillegg og bidrag fra lønnsglidning gjennom året. </w:t>
      </w:r>
      <w:r w:rsidRPr="001B22C3">
        <w:t>Normalt betyr lønnsglidningen mer for årslønnsveksten enn det som framgår av tabell 1.3 for alle forhandlingsområdene. Dette skyldes at lønnsglidningen i beregningsåret påvirker størrelsen på overhenget til neste år.</w:t>
      </w:r>
      <w:r>
        <w:t xml:space="preserve"> Samme betraktning gjelder også for tarifftilleggene. </w:t>
      </w:r>
      <w:r w:rsidRPr="00A705B4">
        <w:t>For ansatte i staten og i kommunene har bidraget fra lønnsglidningen i perioden ligget i størrelsesorden 0,</w:t>
      </w:r>
      <w:r>
        <w:t>5 til 0,7</w:t>
      </w:r>
      <w:r w:rsidRPr="00A705B4">
        <w:t xml:space="preserve"> prosentpoeng i året. </w:t>
      </w:r>
      <w:r w:rsidR="00901A80">
        <w:t xml:space="preserve">For ansatte i Spekter-området har lønnsglidningen vært noe lavere. </w:t>
      </w:r>
      <w:r w:rsidRPr="00A705B4">
        <w:t xml:space="preserve">For gruppene i privat sektor har den variert mellom 1 og </w:t>
      </w:r>
      <w:r w:rsidR="00320ECD">
        <w:t>knapt</w:t>
      </w:r>
      <w:r w:rsidR="00320ECD" w:rsidRPr="00A705B4">
        <w:t xml:space="preserve"> </w:t>
      </w:r>
      <w:r>
        <w:t>3</w:t>
      </w:r>
      <w:r w:rsidRPr="00A705B4">
        <w:t xml:space="preserve"> prosentpoeng unntatt for ansatte i forretnings- og sparebanker og forsikring</w:t>
      </w:r>
      <w:r>
        <w:t xml:space="preserve"> (finanstjenester)</w:t>
      </w:r>
      <w:r w:rsidRPr="00A705B4">
        <w:t xml:space="preserve"> </w:t>
      </w:r>
      <w:r>
        <w:t>i</w:t>
      </w:r>
      <w:r w:rsidRPr="00A705B4">
        <w:t xml:space="preserve"> </w:t>
      </w:r>
      <w:r>
        <w:t xml:space="preserve">2013. I </w:t>
      </w:r>
      <w:r w:rsidR="00320ECD">
        <w:t xml:space="preserve">dette </w:t>
      </w:r>
      <w:r>
        <w:t>åre</w:t>
      </w:r>
      <w:r w:rsidR="00320ECD">
        <w:t>t</w:t>
      </w:r>
      <w:r w:rsidRPr="00A705B4">
        <w:t xml:space="preserve"> var lønnsglidningen særlig høy i </w:t>
      </w:r>
      <w:r>
        <w:t>finanstjenester</w:t>
      </w:r>
      <w:r w:rsidRPr="00A705B4">
        <w:t>, noe som skyldtes store bonusutbetalinger. For store grupper industrifunksjonærer avtales ikke sentrale tillegg. For disse avtales</w:t>
      </w:r>
      <w:r>
        <w:t xml:space="preserve"> stort sett alle tillegg lokalt, slik at lønnsveksten kan defineres som lønnsglidning.</w:t>
      </w:r>
    </w:p>
    <w:p w14:paraId="41724F3F" w14:textId="77777777" w:rsidR="00FA4CE2" w:rsidRDefault="00FA4CE2" w:rsidP="00FA4CE2">
      <w:pPr>
        <w:pStyle w:val="tabell-tittel"/>
      </w:pPr>
      <w:r w:rsidRPr="00694A5C">
        <w:t>Årslønnsvekst fra året før i prosent dekomponert</w:t>
      </w:r>
      <w:r w:rsidRPr="00E92F9A">
        <w:rPr>
          <w:vertAlign w:val="superscript"/>
        </w:rPr>
        <w:t>1</w:t>
      </w:r>
      <w:r w:rsidRPr="00694A5C">
        <w:t xml:space="preserve"> i overheng, tarifftillegg og lønnsglidning.</w:t>
      </w:r>
    </w:p>
    <w:tbl>
      <w:tblPr>
        <w:tblW w:w="5000" w:type="pct"/>
        <w:tblCellSpacing w:w="0" w:type="dxa"/>
        <w:tblCellMar>
          <w:left w:w="0" w:type="dxa"/>
          <w:right w:w="0" w:type="dxa"/>
        </w:tblCellMar>
        <w:tblLook w:val="0000" w:firstRow="0" w:lastRow="0" w:firstColumn="0" w:lastColumn="0" w:noHBand="0" w:noVBand="0"/>
      </w:tblPr>
      <w:tblGrid>
        <w:gridCol w:w="4722"/>
        <w:gridCol w:w="595"/>
        <w:gridCol w:w="597"/>
        <w:gridCol w:w="597"/>
        <w:gridCol w:w="571"/>
        <w:gridCol w:w="715"/>
        <w:gridCol w:w="1273"/>
      </w:tblGrid>
      <w:tr w:rsidR="00FA4CE2" w:rsidRPr="008718E6" w14:paraId="67CCEEBC" w14:textId="77777777" w:rsidTr="006560B5">
        <w:trPr>
          <w:tblHeader/>
          <w:tblCellSpacing w:w="0" w:type="dxa"/>
        </w:trPr>
        <w:tc>
          <w:tcPr>
            <w:tcW w:w="2603" w:type="pct"/>
            <w:tcBorders>
              <w:top w:val="single" w:sz="4" w:space="0" w:color="auto"/>
              <w:bottom w:val="single" w:sz="4" w:space="0" w:color="auto"/>
            </w:tcBorders>
            <w:shd w:val="clear" w:color="auto" w:fill="auto"/>
            <w:tcMar>
              <w:top w:w="0" w:type="dxa"/>
              <w:left w:w="51" w:type="dxa"/>
              <w:bottom w:w="0" w:type="dxa"/>
              <w:right w:w="51" w:type="dxa"/>
            </w:tcMar>
          </w:tcPr>
          <w:p w14:paraId="5956ED8A" w14:textId="77777777" w:rsidR="00FA4CE2" w:rsidRPr="008718E6" w:rsidRDefault="00FA4CE2" w:rsidP="00FA4CE2">
            <w:pPr>
              <w:spacing w:after="34"/>
              <w:rPr>
                <w:rFonts w:ascii="Times New Roman" w:hAnsi="Times New Roman"/>
                <w:sz w:val="22"/>
                <w:szCs w:val="22"/>
              </w:rPr>
            </w:pPr>
          </w:p>
        </w:tc>
        <w:tc>
          <w:tcPr>
            <w:tcW w:w="328"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14:paraId="76E3B62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2011</w:t>
            </w:r>
          </w:p>
        </w:tc>
        <w:tc>
          <w:tcPr>
            <w:tcW w:w="329"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14:paraId="18D0BD88"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2012</w:t>
            </w:r>
          </w:p>
        </w:tc>
        <w:tc>
          <w:tcPr>
            <w:tcW w:w="329" w:type="pct"/>
            <w:tcBorders>
              <w:top w:val="single" w:sz="4" w:space="0" w:color="auto"/>
              <w:bottom w:val="single" w:sz="4" w:space="0" w:color="auto"/>
            </w:tcBorders>
            <w:shd w:val="clear" w:color="auto" w:fill="auto"/>
            <w:noWrap/>
            <w:tcMar>
              <w:top w:w="0" w:type="dxa"/>
              <w:left w:w="51" w:type="dxa"/>
              <w:bottom w:w="0" w:type="dxa"/>
              <w:right w:w="51" w:type="dxa"/>
            </w:tcMar>
            <w:vAlign w:val="bottom"/>
          </w:tcPr>
          <w:p w14:paraId="1B03D483"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2013</w:t>
            </w:r>
          </w:p>
        </w:tc>
        <w:tc>
          <w:tcPr>
            <w:tcW w:w="315" w:type="pct"/>
            <w:tcBorders>
              <w:top w:val="single" w:sz="4" w:space="0" w:color="auto"/>
              <w:bottom w:val="single" w:sz="4" w:space="0" w:color="auto"/>
            </w:tcBorders>
            <w:vAlign w:val="bottom"/>
          </w:tcPr>
          <w:p w14:paraId="7CFC71B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201</w:t>
            </w:r>
            <w:r>
              <w:rPr>
                <w:rFonts w:ascii="Times New Roman" w:hAnsi="Times New Roman"/>
                <w:color w:val="000000"/>
                <w:sz w:val="22"/>
                <w:szCs w:val="22"/>
              </w:rPr>
              <w:t>4</w:t>
            </w:r>
          </w:p>
        </w:tc>
        <w:tc>
          <w:tcPr>
            <w:tcW w:w="394" w:type="pct"/>
            <w:tcBorders>
              <w:top w:val="single" w:sz="4" w:space="0" w:color="auto"/>
              <w:bottom w:val="single" w:sz="4" w:space="0" w:color="auto"/>
            </w:tcBorders>
            <w:vAlign w:val="bottom"/>
          </w:tcPr>
          <w:p w14:paraId="7BA3684C"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2015</w:t>
            </w:r>
          </w:p>
        </w:tc>
        <w:tc>
          <w:tcPr>
            <w:tcW w:w="702" w:type="pct"/>
            <w:tcBorders>
              <w:top w:val="single" w:sz="4" w:space="0" w:color="auto"/>
              <w:bottom w:val="single" w:sz="4" w:space="0" w:color="auto"/>
            </w:tcBorders>
            <w:shd w:val="clear" w:color="auto" w:fill="auto"/>
            <w:noWrap/>
            <w:vAlign w:val="center"/>
          </w:tcPr>
          <w:p w14:paraId="46E51E53" w14:textId="77777777" w:rsidR="00FA4CE2" w:rsidRPr="008718E6" w:rsidRDefault="00FA4CE2" w:rsidP="00FA4CE2">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 xml:space="preserve">Gj.sn. </w:t>
            </w:r>
          </w:p>
          <w:p w14:paraId="5EC93396" w14:textId="77777777" w:rsidR="00FA4CE2" w:rsidRPr="008718E6" w:rsidRDefault="00FA4CE2" w:rsidP="00FA4CE2">
            <w:pPr>
              <w:spacing w:after="34"/>
              <w:ind w:right="-15"/>
              <w:jc w:val="center"/>
              <w:rPr>
                <w:rFonts w:ascii="Times New Roman" w:hAnsi="Times New Roman"/>
                <w:color w:val="000000"/>
                <w:sz w:val="22"/>
                <w:szCs w:val="22"/>
              </w:rPr>
            </w:pPr>
            <w:r w:rsidRPr="00E27050">
              <w:rPr>
                <w:rFonts w:ascii="Times New Roman" w:hAnsi="Times New Roman"/>
                <w:color w:val="000000"/>
                <w:sz w:val="22"/>
                <w:szCs w:val="22"/>
              </w:rPr>
              <w:t>20</w:t>
            </w:r>
            <w:r>
              <w:rPr>
                <w:rFonts w:ascii="Times New Roman" w:hAnsi="Times New Roman"/>
                <w:color w:val="000000"/>
                <w:sz w:val="22"/>
                <w:szCs w:val="22"/>
              </w:rPr>
              <w:t>11</w:t>
            </w:r>
            <w:r w:rsidRPr="00E27050">
              <w:rPr>
                <w:rFonts w:ascii="Times New Roman" w:hAnsi="Times New Roman"/>
                <w:color w:val="000000"/>
                <w:sz w:val="22"/>
                <w:szCs w:val="22"/>
              </w:rPr>
              <w:t>-1</w:t>
            </w:r>
            <w:r>
              <w:rPr>
                <w:rFonts w:ascii="Times New Roman" w:hAnsi="Times New Roman"/>
                <w:color w:val="000000"/>
                <w:sz w:val="22"/>
                <w:szCs w:val="22"/>
              </w:rPr>
              <w:t>5</w:t>
            </w:r>
          </w:p>
        </w:tc>
      </w:tr>
      <w:tr w:rsidR="00FA4CE2" w:rsidRPr="008718E6" w14:paraId="77C1DD21" w14:textId="77777777" w:rsidTr="006560B5">
        <w:trPr>
          <w:tblCellSpacing w:w="0" w:type="dxa"/>
        </w:trPr>
        <w:tc>
          <w:tcPr>
            <w:tcW w:w="2603" w:type="pct"/>
            <w:shd w:val="clear" w:color="auto" w:fill="auto"/>
            <w:tcMar>
              <w:top w:w="0" w:type="dxa"/>
              <w:left w:w="51" w:type="dxa"/>
              <w:bottom w:w="0" w:type="dxa"/>
              <w:right w:w="51" w:type="dxa"/>
            </w:tcMar>
            <w:vAlign w:val="bottom"/>
          </w:tcPr>
          <w:p w14:paraId="3BEF9C0E" w14:textId="77777777" w:rsidR="00FA4CE2" w:rsidRPr="008718E6" w:rsidRDefault="00FA4CE2" w:rsidP="00FF2BA7">
            <w:pPr>
              <w:spacing w:after="34"/>
              <w:rPr>
                <w:rFonts w:ascii="Times New Roman" w:hAnsi="Times New Roman"/>
                <w:color w:val="000000"/>
                <w:sz w:val="22"/>
                <w:szCs w:val="22"/>
              </w:rPr>
            </w:pPr>
            <w:r w:rsidRPr="00E27050">
              <w:rPr>
                <w:rFonts w:ascii="Times New Roman" w:hAnsi="Times New Roman"/>
                <w:i/>
                <w:iCs/>
                <w:color w:val="000000"/>
                <w:sz w:val="22"/>
                <w:szCs w:val="22"/>
              </w:rPr>
              <w:t>Industriarbeidere i NHO-bedrifter:</w:t>
            </w:r>
            <w:r w:rsidRPr="00E27050">
              <w:rPr>
                <w:rFonts w:ascii="Times New Roman" w:hAnsi="Times New Roman"/>
                <w:color w:val="000000"/>
                <w:sz w:val="22"/>
                <w:szCs w:val="22"/>
              </w:rPr>
              <w:t xml:space="preserve"> </w:t>
            </w:r>
          </w:p>
        </w:tc>
        <w:tc>
          <w:tcPr>
            <w:tcW w:w="328" w:type="pct"/>
            <w:shd w:val="clear" w:color="auto" w:fill="auto"/>
            <w:tcMar>
              <w:top w:w="0" w:type="dxa"/>
              <w:left w:w="51" w:type="dxa"/>
              <w:bottom w:w="0" w:type="dxa"/>
              <w:right w:w="51" w:type="dxa"/>
            </w:tcMar>
          </w:tcPr>
          <w:p w14:paraId="7242A54B" w14:textId="77777777" w:rsidR="00FA4CE2" w:rsidRPr="008718E6" w:rsidRDefault="00FA4CE2" w:rsidP="00FF2BA7">
            <w:pPr>
              <w:spacing w:after="34"/>
              <w:ind w:right="-45"/>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01CC10C8" w14:textId="77777777" w:rsidR="00FA4CE2" w:rsidRPr="008718E6" w:rsidRDefault="00FA4CE2" w:rsidP="00FF2BA7">
            <w:pPr>
              <w:spacing w:after="34"/>
              <w:ind w:right="-45"/>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0CAC76BE" w14:textId="77777777" w:rsidR="00FA4CE2" w:rsidRPr="008718E6" w:rsidRDefault="00FA4CE2" w:rsidP="00FF2BA7">
            <w:pPr>
              <w:spacing w:after="34"/>
              <w:ind w:right="-45"/>
              <w:jc w:val="center"/>
              <w:rPr>
                <w:rFonts w:ascii="Times New Roman" w:hAnsi="Times New Roman"/>
                <w:color w:val="000000"/>
                <w:sz w:val="22"/>
                <w:szCs w:val="22"/>
              </w:rPr>
            </w:pPr>
          </w:p>
        </w:tc>
        <w:tc>
          <w:tcPr>
            <w:tcW w:w="315" w:type="pct"/>
          </w:tcPr>
          <w:p w14:paraId="4F53FF56" w14:textId="77777777" w:rsidR="00FA4CE2" w:rsidRPr="008718E6" w:rsidRDefault="00FA4CE2" w:rsidP="00FF2BA7">
            <w:pPr>
              <w:spacing w:after="34"/>
              <w:ind w:right="-45"/>
              <w:jc w:val="center"/>
              <w:rPr>
                <w:rFonts w:ascii="Times New Roman" w:hAnsi="Times New Roman"/>
                <w:color w:val="000000"/>
                <w:sz w:val="22"/>
                <w:szCs w:val="22"/>
              </w:rPr>
            </w:pPr>
          </w:p>
        </w:tc>
        <w:tc>
          <w:tcPr>
            <w:tcW w:w="394" w:type="pct"/>
          </w:tcPr>
          <w:p w14:paraId="64776C6F" w14:textId="77777777" w:rsidR="00FA4CE2" w:rsidRPr="008718E6" w:rsidRDefault="00FA4CE2" w:rsidP="00FF2BA7">
            <w:pPr>
              <w:spacing w:after="34"/>
              <w:ind w:right="-45"/>
              <w:jc w:val="center"/>
              <w:rPr>
                <w:rFonts w:ascii="Times New Roman" w:hAnsi="Times New Roman"/>
                <w:color w:val="000000"/>
                <w:sz w:val="22"/>
                <w:szCs w:val="22"/>
              </w:rPr>
            </w:pPr>
          </w:p>
        </w:tc>
        <w:tc>
          <w:tcPr>
            <w:tcW w:w="702" w:type="pct"/>
            <w:shd w:val="clear" w:color="auto" w:fill="auto"/>
            <w:vAlign w:val="bottom"/>
          </w:tcPr>
          <w:p w14:paraId="5487C5F3" w14:textId="77777777" w:rsidR="00FA4CE2" w:rsidRPr="008718E6" w:rsidRDefault="00FA4CE2" w:rsidP="00FF2BA7">
            <w:pPr>
              <w:spacing w:after="34"/>
              <w:ind w:right="-15"/>
              <w:jc w:val="center"/>
              <w:rPr>
                <w:rFonts w:ascii="Times New Roman" w:hAnsi="Times New Roman"/>
                <w:color w:val="000000"/>
                <w:sz w:val="22"/>
                <w:szCs w:val="22"/>
              </w:rPr>
            </w:pPr>
          </w:p>
        </w:tc>
      </w:tr>
      <w:tr w:rsidR="00FA4CE2" w:rsidRPr="008718E6" w14:paraId="2E19E8D1"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34D43BB"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262C49CE" w14:textId="77777777" w:rsidR="00FA4CE2" w:rsidRPr="008718E6" w:rsidRDefault="00FA4CE2" w:rsidP="00FA4CE2">
            <w:pPr>
              <w:spacing w:after="34"/>
              <w:jc w:val="center"/>
              <w:rPr>
                <w:rFonts w:ascii="Times New Roman" w:hAnsi="Times New Roman"/>
                <w:color w:val="000000"/>
                <w:sz w:val="22"/>
                <w:szCs w:val="22"/>
                <w:vertAlign w:val="superscript"/>
              </w:rPr>
            </w:pPr>
            <w:r w:rsidRPr="00E27050">
              <w:rPr>
                <w:rFonts w:ascii="Times New Roman" w:hAnsi="Times New Roman"/>
                <w:color w:val="000000"/>
                <w:sz w:val="22"/>
                <w:szCs w:val="22"/>
              </w:rPr>
              <w:t xml:space="preserve">4,4 </w:t>
            </w:r>
          </w:p>
        </w:tc>
        <w:tc>
          <w:tcPr>
            <w:tcW w:w="329" w:type="pct"/>
            <w:shd w:val="clear" w:color="auto" w:fill="auto"/>
            <w:noWrap/>
            <w:tcMar>
              <w:top w:w="0" w:type="dxa"/>
              <w:left w:w="51" w:type="dxa"/>
              <w:bottom w:w="0" w:type="dxa"/>
              <w:right w:w="51" w:type="dxa"/>
            </w:tcMar>
          </w:tcPr>
          <w:p w14:paraId="0C183AC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tcPr>
          <w:p w14:paraId="1892CC91"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,5</w:t>
            </w:r>
          </w:p>
        </w:tc>
        <w:tc>
          <w:tcPr>
            <w:tcW w:w="315" w:type="pct"/>
          </w:tcPr>
          <w:p w14:paraId="52BE90F8"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3,0</w:t>
            </w:r>
          </w:p>
        </w:tc>
        <w:tc>
          <w:tcPr>
            <w:tcW w:w="394" w:type="pct"/>
          </w:tcPr>
          <w:p w14:paraId="73CC6011"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 ½ </w:t>
            </w:r>
          </w:p>
        </w:tc>
        <w:tc>
          <w:tcPr>
            <w:tcW w:w="702" w:type="pct"/>
            <w:shd w:val="clear" w:color="auto" w:fill="auto"/>
            <w:vAlign w:val="bottom"/>
          </w:tcPr>
          <w:p w14:paraId="028E748D"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D072EA5"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305581F"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6F125E99"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2EC3FC68"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2FB7001E"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1A8C4CAD"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13665128"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574429DF"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0B0BD9D8"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7955997" w14:textId="77777777" w:rsidR="00FA4CE2" w:rsidRPr="008718E6" w:rsidRDefault="00FA4CE2" w:rsidP="00FA4CE2">
            <w:pPr>
              <w:spacing w:after="34"/>
              <w:ind w:right="-36"/>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vAlign w:val="bottom"/>
          </w:tcPr>
          <w:p w14:paraId="479AD431" w14:textId="77777777" w:rsidR="00FA4CE2" w:rsidRPr="008718E6" w:rsidRDefault="00FA4CE2" w:rsidP="00FA4CE2">
            <w:pPr>
              <w:spacing w:after="34"/>
              <w:jc w:val="center"/>
              <w:rPr>
                <w:rFonts w:ascii="Times New Roman" w:hAnsi="Times New Roman"/>
                <w:color w:val="000000"/>
                <w:sz w:val="22"/>
                <w:szCs w:val="22"/>
                <w:vertAlign w:val="superscript"/>
              </w:rPr>
            </w:pPr>
            <w:r w:rsidRPr="00E27050">
              <w:rPr>
                <w:rFonts w:ascii="Times New Roman" w:hAnsi="Times New Roman"/>
                <w:sz w:val="22"/>
                <w:szCs w:val="22"/>
              </w:rPr>
              <w:t>1,2</w:t>
            </w:r>
          </w:p>
        </w:tc>
        <w:tc>
          <w:tcPr>
            <w:tcW w:w="329" w:type="pct"/>
            <w:shd w:val="clear" w:color="auto" w:fill="auto"/>
            <w:noWrap/>
            <w:tcMar>
              <w:top w:w="0" w:type="dxa"/>
              <w:left w:w="51" w:type="dxa"/>
              <w:bottom w:w="0" w:type="dxa"/>
              <w:right w:w="51" w:type="dxa"/>
            </w:tcMar>
            <w:vAlign w:val="bottom"/>
          </w:tcPr>
          <w:p w14:paraId="19CB2994" w14:textId="77777777" w:rsidR="00FA4CE2" w:rsidRPr="008718E6" w:rsidRDefault="00FA4CE2" w:rsidP="00FA4CE2">
            <w:pPr>
              <w:spacing w:after="34"/>
              <w:jc w:val="center"/>
              <w:rPr>
                <w:rFonts w:ascii="Times New Roman" w:hAnsi="Times New Roman"/>
                <w:sz w:val="22"/>
                <w:szCs w:val="22"/>
              </w:rPr>
            </w:pPr>
            <w:r w:rsidRPr="00E27050">
              <w:rPr>
                <w:rFonts w:ascii="Times New Roman" w:hAnsi="Times New Roman"/>
                <w:sz w:val="22"/>
                <w:szCs w:val="22"/>
              </w:rPr>
              <w:t>1,3</w:t>
            </w:r>
          </w:p>
        </w:tc>
        <w:tc>
          <w:tcPr>
            <w:tcW w:w="329" w:type="pct"/>
            <w:shd w:val="clear" w:color="auto" w:fill="auto"/>
            <w:noWrap/>
            <w:tcMar>
              <w:top w:w="0" w:type="dxa"/>
              <w:left w:w="51" w:type="dxa"/>
              <w:bottom w:w="0" w:type="dxa"/>
              <w:right w:w="51" w:type="dxa"/>
            </w:tcMar>
            <w:vAlign w:val="bottom"/>
          </w:tcPr>
          <w:p w14:paraId="2206DB13" w14:textId="77777777" w:rsidR="00FA4CE2" w:rsidRPr="008718E6" w:rsidRDefault="00FA4CE2" w:rsidP="00FA4CE2">
            <w:pPr>
              <w:spacing w:after="34"/>
              <w:jc w:val="center"/>
              <w:rPr>
                <w:rFonts w:ascii="Times New Roman" w:hAnsi="Times New Roman"/>
                <w:sz w:val="22"/>
                <w:szCs w:val="22"/>
              </w:rPr>
            </w:pPr>
            <w:r w:rsidRPr="00E27050">
              <w:rPr>
                <w:rFonts w:ascii="Times New Roman" w:hAnsi="Times New Roman"/>
                <w:sz w:val="22"/>
                <w:szCs w:val="22"/>
              </w:rPr>
              <w:t>1,2</w:t>
            </w:r>
          </w:p>
        </w:tc>
        <w:tc>
          <w:tcPr>
            <w:tcW w:w="315" w:type="pct"/>
            <w:vAlign w:val="bottom"/>
          </w:tcPr>
          <w:p w14:paraId="7C0F263D" w14:textId="77777777" w:rsidR="00FA4CE2" w:rsidRPr="008718E6" w:rsidRDefault="00FA4CE2" w:rsidP="00FA4CE2">
            <w:pPr>
              <w:spacing w:after="34"/>
              <w:jc w:val="center"/>
              <w:rPr>
                <w:rFonts w:ascii="Times New Roman" w:hAnsi="Times New Roman"/>
                <w:sz w:val="22"/>
                <w:szCs w:val="22"/>
              </w:rPr>
            </w:pPr>
            <w:r>
              <w:rPr>
                <w:rFonts w:ascii="Times New Roman" w:hAnsi="Times New Roman"/>
                <w:sz w:val="22"/>
                <w:szCs w:val="22"/>
              </w:rPr>
              <w:t>1,2</w:t>
            </w:r>
          </w:p>
        </w:tc>
        <w:tc>
          <w:tcPr>
            <w:tcW w:w="394" w:type="pct"/>
            <w:vAlign w:val="bottom"/>
          </w:tcPr>
          <w:p w14:paraId="6C3AF728" w14:textId="77777777" w:rsidR="00FA4CE2" w:rsidRPr="008718E6" w:rsidRDefault="00476D1C" w:rsidP="00FA4CE2">
            <w:pPr>
              <w:spacing w:after="34"/>
              <w:jc w:val="center"/>
              <w:rPr>
                <w:rFonts w:ascii="Times New Roman" w:hAnsi="Times New Roman"/>
                <w:sz w:val="22"/>
                <w:szCs w:val="22"/>
              </w:rPr>
            </w:pPr>
            <w:r>
              <w:rPr>
                <w:rFonts w:ascii="Times New Roman" w:hAnsi="Times New Roman"/>
                <w:sz w:val="22"/>
                <w:szCs w:val="22"/>
              </w:rPr>
              <w:t>1,0</w:t>
            </w:r>
          </w:p>
        </w:tc>
        <w:tc>
          <w:tcPr>
            <w:tcW w:w="702" w:type="pct"/>
            <w:shd w:val="clear" w:color="auto" w:fill="auto"/>
            <w:vAlign w:val="bottom"/>
          </w:tcPr>
          <w:p w14:paraId="2D28A342" w14:textId="77777777" w:rsidR="00FA4CE2" w:rsidRPr="008718E6" w:rsidRDefault="00FA4CE2" w:rsidP="00FA4CE2">
            <w:pPr>
              <w:spacing w:after="34"/>
              <w:ind w:right="-15"/>
              <w:rPr>
                <w:rFonts w:ascii="Times New Roman" w:hAnsi="Times New Roman"/>
                <w:color w:val="000000"/>
                <w:sz w:val="22"/>
                <w:szCs w:val="22"/>
              </w:rPr>
            </w:pPr>
          </w:p>
        </w:tc>
      </w:tr>
      <w:tr w:rsidR="00FA4CE2" w:rsidRPr="008718E6" w14:paraId="2025ECA6"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0B0F627"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7FE0295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29" w:type="pct"/>
            <w:shd w:val="clear" w:color="auto" w:fill="auto"/>
            <w:noWrap/>
            <w:tcMar>
              <w:top w:w="0" w:type="dxa"/>
              <w:left w:w="51" w:type="dxa"/>
              <w:bottom w:w="0" w:type="dxa"/>
              <w:right w:w="51" w:type="dxa"/>
            </w:tcMar>
          </w:tcPr>
          <w:p w14:paraId="559E82A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9" w:type="pct"/>
            <w:shd w:val="clear" w:color="auto" w:fill="auto"/>
            <w:noWrap/>
            <w:tcMar>
              <w:top w:w="0" w:type="dxa"/>
              <w:left w:w="51" w:type="dxa"/>
              <w:bottom w:w="0" w:type="dxa"/>
              <w:right w:w="51" w:type="dxa"/>
            </w:tcMar>
          </w:tcPr>
          <w:p w14:paraId="3D08677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15" w:type="pct"/>
          </w:tcPr>
          <w:p w14:paraId="0677002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94" w:type="pct"/>
          </w:tcPr>
          <w:p w14:paraId="1E4E890E" w14:textId="71EF7D17" w:rsidR="00FA4CE2" w:rsidRPr="008718E6" w:rsidRDefault="00320ECD" w:rsidP="00FA4CE2">
            <w:pPr>
              <w:spacing w:after="34"/>
              <w:jc w:val="center"/>
              <w:rPr>
                <w:rFonts w:ascii="Times New Roman" w:hAnsi="Times New Roman"/>
                <w:color w:val="000000"/>
                <w:sz w:val="22"/>
                <w:szCs w:val="22"/>
              </w:rPr>
            </w:pPr>
            <w:r>
              <w:rPr>
                <w:rFonts w:ascii="Times New Roman" w:hAnsi="Times New Roman"/>
                <w:color w:val="000000"/>
                <w:sz w:val="22"/>
                <w:szCs w:val="22"/>
              </w:rPr>
              <w:t>0,2</w:t>
            </w:r>
          </w:p>
        </w:tc>
        <w:tc>
          <w:tcPr>
            <w:tcW w:w="702" w:type="pct"/>
            <w:shd w:val="clear" w:color="auto" w:fill="auto"/>
            <w:vAlign w:val="bottom"/>
          </w:tcPr>
          <w:p w14:paraId="45EC953C"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23510B49"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9F46B94"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tcPr>
          <w:p w14:paraId="60CFED59"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29" w:type="pct"/>
            <w:shd w:val="clear" w:color="auto" w:fill="auto"/>
            <w:noWrap/>
            <w:tcMar>
              <w:top w:w="0" w:type="dxa"/>
              <w:left w:w="51" w:type="dxa"/>
              <w:bottom w:w="0" w:type="dxa"/>
              <w:right w:w="51" w:type="dxa"/>
            </w:tcMar>
          </w:tcPr>
          <w:p w14:paraId="23D14E58"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1,8 </w:t>
            </w:r>
          </w:p>
        </w:tc>
        <w:tc>
          <w:tcPr>
            <w:tcW w:w="329" w:type="pct"/>
            <w:shd w:val="clear" w:color="auto" w:fill="auto"/>
            <w:noWrap/>
            <w:tcMar>
              <w:top w:w="0" w:type="dxa"/>
              <w:left w:w="51" w:type="dxa"/>
              <w:bottom w:w="0" w:type="dxa"/>
              <w:right w:w="51" w:type="dxa"/>
            </w:tcMar>
          </w:tcPr>
          <w:p w14:paraId="2FB745B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315" w:type="pct"/>
          </w:tcPr>
          <w:p w14:paraId="24FB06E1"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1,1</w:t>
            </w:r>
          </w:p>
        </w:tc>
        <w:tc>
          <w:tcPr>
            <w:tcW w:w="394" w:type="pct"/>
          </w:tcPr>
          <w:p w14:paraId="4D43A773"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 ¼ </w:t>
            </w:r>
          </w:p>
        </w:tc>
        <w:tc>
          <w:tcPr>
            <w:tcW w:w="702" w:type="pct"/>
            <w:shd w:val="clear" w:color="auto" w:fill="auto"/>
            <w:noWrap/>
            <w:vAlign w:val="bottom"/>
          </w:tcPr>
          <w:p w14:paraId="377BCC15" w14:textId="77777777" w:rsidR="00FA4CE2" w:rsidRPr="008718E6" w:rsidRDefault="007F31B1"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1,7</w:t>
            </w:r>
          </w:p>
        </w:tc>
      </w:tr>
      <w:tr w:rsidR="00FA4CE2" w:rsidRPr="008718E6" w14:paraId="503D135C" w14:textId="77777777" w:rsidTr="006560B5">
        <w:trPr>
          <w:trHeight w:val="281"/>
          <w:tblCellSpacing w:w="0" w:type="dxa"/>
        </w:trPr>
        <w:tc>
          <w:tcPr>
            <w:tcW w:w="2603" w:type="pct"/>
            <w:tcBorders>
              <w:top w:val="single" w:sz="4" w:space="0" w:color="auto"/>
            </w:tcBorders>
            <w:shd w:val="clear" w:color="auto" w:fill="auto"/>
            <w:tcMar>
              <w:top w:w="0" w:type="dxa"/>
              <w:left w:w="51" w:type="dxa"/>
              <w:bottom w:w="0" w:type="dxa"/>
              <w:right w:w="51" w:type="dxa"/>
            </w:tcMar>
            <w:vAlign w:val="bottom"/>
          </w:tcPr>
          <w:p w14:paraId="772AB832"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i/>
                <w:iCs/>
                <w:color w:val="000000"/>
                <w:sz w:val="22"/>
                <w:szCs w:val="22"/>
              </w:rPr>
              <w:t>Industrifunksjonærer i NHO-bedrifter:</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tcMar>
              <w:top w:w="0" w:type="dxa"/>
              <w:left w:w="51" w:type="dxa"/>
              <w:bottom w:w="0" w:type="dxa"/>
              <w:right w:w="51" w:type="dxa"/>
            </w:tcMar>
          </w:tcPr>
          <w:p w14:paraId="3CE95DB6"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5FBCD938"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6AE62BD5"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1B2C7933"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143265E2"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vAlign w:val="bottom"/>
          </w:tcPr>
          <w:p w14:paraId="6C7B4619"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A7AF881"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521C8803"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2B9AC1E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4,7 </w:t>
            </w:r>
          </w:p>
        </w:tc>
        <w:tc>
          <w:tcPr>
            <w:tcW w:w="329" w:type="pct"/>
            <w:shd w:val="clear" w:color="auto" w:fill="auto"/>
            <w:noWrap/>
            <w:tcMar>
              <w:top w:w="0" w:type="dxa"/>
              <w:left w:w="51" w:type="dxa"/>
              <w:bottom w:w="0" w:type="dxa"/>
              <w:right w:w="51" w:type="dxa"/>
            </w:tcMar>
          </w:tcPr>
          <w:p w14:paraId="6B0D29C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tcPr>
          <w:p w14:paraId="7307E0D3"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315" w:type="pct"/>
          </w:tcPr>
          <w:p w14:paraId="1048E77B"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3,2 </w:t>
            </w:r>
          </w:p>
        </w:tc>
        <w:tc>
          <w:tcPr>
            <w:tcW w:w="394" w:type="pct"/>
          </w:tcPr>
          <w:p w14:paraId="57E511A7"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 ½ </w:t>
            </w:r>
          </w:p>
        </w:tc>
        <w:tc>
          <w:tcPr>
            <w:tcW w:w="702" w:type="pct"/>
            <w:shd w:val="clear" w:color="auto" w:fill="auto"/>
            <w:vAlign w:val="bottom"/>
          </w:tcPr>
          <w:p w14:paraId="09E327CF"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247757E5"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0A9C5192"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29F20650"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44E8EE59"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370CAA85"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7BF67027"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38397F14"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10CD064C"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7ABB6EC"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1173AE35"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1DEEDBB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29" w:type="pct"/>
            <w:shd w:val="clear" w:color="auto" w:fill="auto"/>
            <w:noWrap/>
            <w:tcMar>
              <w:top w:w="0" w:type="dxa"/>
              <w:left w:w="51" w:type="dxa"/>
              <w:bottom w:w="0" w:type="dxa"/>
              <w:right w:w="51" w:type="dxa"/>
            </w:tcMar>
          </w:tcPr>
          <w:p w14:paraId="6F6F67E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1,8</w:t>
            </w:r>
          </w:p>
        </w:tc>
        <w:tc>
          <w:tcPr>
            <w:tcW w:w="329" w:type="pct"/>
            <w:shd w:val="clear" w:color="auto" w:fill="auto"/>
            <w:noWrap/>
            <w:tcMar>
              <w:top w:w="0" w:type="dxa"/>
              <w:left w:w="51" w:type="dxa"/>
              <w:bottom w:w="0" w:type="dxa"/>
              <w:right w:w="51" w:type="dxa"/>
            </w:tcMar>
          </w:tcPr>
          <w:p w14:paraId="1FF2B94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2,1</w:t>
            </w:r>
          </w:p>
        </w:tc>
        <w:tc>
          <w:tcPr>
            <w:tcW w:w="315" w:type="pct"/>
          </w:tcPr>
          <w:p w14:paraId="3DBAAC0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1,4</w:t>
            </w:r>
          </w:p>
        </w:tc>
        <w:tc>
          <w:tcPr>
            <w:tcW w:w="394" w:type="pct"/>
          </w:tcPr>
          <w:p w14:paraId="3D66CDE8"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1,3</w:t>
            </w:r>
          </w:p>
        </w:tc>
        <w:tc>
          <w:tcPr>
            <w:tcW w:w="702" w:type="pct"/>
            <w:shd w:val="clear" w:color="auto" w:fill="auto"/>
            <w:vAlign w:val="bottom"/>
          </w:tcPr>
          <w:p w14:paraId="2BF601B1"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E4F00BC"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1954A7C"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tcPr>
          <w:p w14:paraId="47574D3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2,8 </w:t>
            </w:r>
          </w:p>
        </w:tc>
        <w:tc>
          <w:tcPr>
            <w:tcW w:w="329" w:type="pct"/>
            <w:shd w:val="clear" w:color="auto" w:fill="auto"/>
            <w:noWrap/>
            <w:tcMar>
              <w:top w:w="0" w:type="dxa"/>
              <w:left w:w="51" w:type="dxa"/>
              <w:bottom w:w="0" w:type="dxa"/>
              <w:right w:w="51" w:type="dxa"/>
            </w:tcMar>
          </w:tcPr>
          <w:p w14:paraId="7B3A0C78"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29" w:type="pct"/>
            <w:shd w:val="clear" w:color="auto" w:fill="auto"/>
            <w:noWrap/>
            <w:tcMar>
              <w:top w:w="0" w:type="dxa"/>
              <w:left w:w="51" w:type="dxa"/>
              <w:bottom w:w="0" w:type="dxa"/>
              <w:right w:w="51" w:type="dxa"/>
            </w:tcMar>
          </w:tcPr>
          <w:p w14:paraId="7CFD617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315" w:type="pct"/>
          </w:tcPr>
          <w:p w14:paraId="1F90CE1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1,8 </w:t>
            </w:r>
          </w:p>
        </w:tc>
        <w:tc>
          <w:tcPr>
            <w:tcW w:w="394" w:type="pct"/>
          </w:tcPr>
          <w:p w14:paraId="113F7405"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 ¼ </w:t>
            </w:r>
          </w:p>
        </w:tc>
        <w:tc>
          <w:tcPr>
            <w:tcW w:w="702" w:type="pct"/>
            <w:shd w:val="clear" w:color="auto" w:fill="auto"/>
            <w:noWrap/>
            <w:vAlign w:val="bottom"/>
          </w:tcPr>
          <w:p w14:paraId="4A529C9D" w14:textId="77777777" w:rsidR="00FA4CE2" w:rsidRPr="008718E6" w:rsidRDefault="007F31B1"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2,1</w:t>
            </w:r>
          </w:p>
        </w:tc>
      </w:tr>
      <w:tr w:rsidR="00FA4CE2" w:rsidRPr="008718E6" w14:paraId="304370FE" w14:textId="77777777" w:rsidTr="006560B5">
        <w:trPr>
          <w:tblCellSpacing w:w="0" w:type="dxa"/>
        </w:trPr>
        <w:tc>
          <w:tcPr>
            <w:tcW w:w="2603" w:type="pct"/>
            <w:tcBorders>
              <w:top w:val="single" w:sz="4" w:space="0" w:color="auto"/>
            </w:tcBorders>
            <w:shd w:val="clear" w:color="auto" w:fill="auto"/>
            <w:tcMar>
              <w:top w:w="0" w:type="dxa"/>
              <w:left w:w="51" w:type="dxa"/>
              <w:bottom w:w="0" w:type="dxa"/>
              <w:right w:w="51" w:type="dxa"/>
            </w:tcMar>
            <w:vAlign w:val="bottom"/>
          </w:tcPr>
          <w:p w14:paraId="17DC1400"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i/>
                <w:iCs/>
                <w:color w:val="000000"/>
                <w:sz w:val="22"/>
                <w:szCs w:val="22"/>
              </w:rPr>
              <w:t>Virke-bedrifter i varehandel:</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tcMar>
              <w:top w:w="0" w:type="dxa"/>
              <w:left w:w="51" w:type="dxa"/>
              <w:bottom w:w="0" w:type="dxa"/>
              <w:right w:w="51" w:type="dxa"/>
            </w:tcMar>
          </w:tcPr>
          <w:p w14:paraId="70F80675"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761CBB20"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4743A7F2"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098EC95B"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45CF64C0"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vAlign w:val="bottom"/>
          </w:tcPr>
          <w:p w14:paraId="4058F889"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096A4C8"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26529638"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4959A2E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3,6</w:t>
            </w:r>
          </w:p>
        </w:tc>
        <w:tc>
          <w:tcPr>
            <w:tcW w:w="329" w:type="pct"/>
            <w:shd w:val="clear" w:color="auto" w:fill="auto"/>
            <w:noWrap/>
            <w:tcMar>
              <w:top w:w="0" w:type="dxa"/>
              <w:left w:w="51" w:type="dxa"/>
              <w:bottom w:w="0" w:type="dxa"/>
              <w:right w:w="51" w:type="dxa"/>
            </w:tcMar>
          </w:tcPr>
          <w:p w14:paraId="0ECC745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3,3</w:t>
            </w:r>
          </w:p>
        </w:tc>
        <w:tc>
          <w:tcPr>
            <w:tcW w:w="329" w:type="pct"/>
            <w:shd w:val="clear" w:color="auto" w:fill="auto"/>
            <w:noWrap/>
            <w:tcMar>
              <w:top w:w="0" w:type="dxa"/>
              <w:left w:w="51" w:type="dxa"/>
              <w:bottom w:w="0" w:type="dxa"/>
              <w:right w:w="51" w:type="dxa"/>
            </w:tcMar>
          </w:tcPr>
          <w:p w14:paraId="54979B9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15" w:type="pct"/>
          </w:tcPr>
          <w:p w14:paraId="573A0C2F"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394" w:type="pct"/>
          </w:tcPr>
          <w:p w14:paraId="68F256B7" w14:textId="77777777" w:rsidR="00FA4CE2" w:rsidRPr="008718E6" w:rsidRDefault="00D24B71" w:rsidP="00FA4CE2">
            <w:pPr>
              <w:spacing w:after="34"/>
              <w:jc w:val="center"/>
              <w:rPr>
                <w:rFonts w:ascii="Times New Roman" w:hAnsi="Times New Roman"/>
                <w:color w:val="000000"/>
                <w:sz w:val="22"/>
                <w:szCs w:val="22"/>
              </w:rPr>
            </w:pPr>
            <w:r>
              <w:rPr>
                <w:rFonts w:ascii="Times New Roman" w:hAnsi="Times New Roman"/>
                <w:color w:val="000000"/>
                <w:sz w:val="22"/>
                <w:szCs w:val="22"/>
              </w:rPr>
              <w:t>3,3</w:t>
            </w:r>
          </w:p>
        </w:tc>
        <w:tc>
          <w:tcPr>
            <w:tcW w:w="702" w:type="pct"/>
            <w:shd w:val="clear" w:color="auto" w:fill="auto"/>
            <w:vAlign w:val="bottom"/>
          </w:tcPr>
          <w:p w14:paraId="33F59D0C"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3703D5B4"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5E3C7B2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514E4430"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429AD348"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48A855EF"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7CF5976C"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74BF161F"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61C0A842"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B362234"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292A192F"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4F14DBC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shd w:val="clear" w:color="auto" w:fill="auto"/>
            <w:noWrap/>
            <w:tcMar>
              <w:top w:w="0" w:type="dxa"/>
              <w:left w:w="51" w:type="dxa"/>
              <w:bottom w:w="0" w:type="dxa"/>
              <w:right w:w="51" w:type="dxa"/>
            </w:tcMar>
          </w:tcPr>
          <w:p w14:paraId="6E40CBA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9" w:type="pct"/>
            <w:shd w:val="clear" w:color="auto" w:fill="auto"/>
            <w:noWrap/>
            <w:tcMar>
              <w:top w:w="0" w:type="dxa"/>
              <w:left w:w="51" w:type="dxa"/>
              <w:bottom w:w="0" w:type="dxa"/>
              <w:right w:w="51" w:type="dxa"/>
            </w:tcMar>
          </w:tcPr>
          <w:p w14:paraId="46D23F8E"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15" w:type="pct"/>
          </w:tcPr>
          <w:p w14:paraId="0ADCFBBD"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394" w:type="pct"/>
          </w:tcPr>
          <w:p w14:paraId="5AB22A45"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702" w:type="pct"/>
            <w:shd w:val="clear" w:color="auto" w:fill="auto"/>
            <w:vAlign w:val="bottom"/>
          </w:tcPr>
          <w:p w14:paraId="000C8425"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E40157F"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6CB2FE2"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1BF8D67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29" w:type="pct"/>
            <w:shd w:val="clear" w:color="auto" w:fill="auto"/>
            <w:noWrap/>
            <w:tcMar>
              <w:top w:w="0" w:type="dxa"/>
              <w:left w:w="51" w:type="dxa"/>
              <w:bottom w:w="0" w:type="dxa"/>
              <w:right w:w="51" w:type="dxa"/>
            </w:tcMar>
          </w:tcPr>
          <w:p w14:paraId="3448FD4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shd w:val="clear" w:color="auto" w:fill="auto"/>
            <w:noWrap/>
            <w:tcMar>
              <w:top w:w="0" w:type="dxa"/>
              <w:left w:w="51" w:type="dxa"/>
              <w:bottom w:w="0" w:type="dxa"/>
              <w:right w:w="51" w:type="dxa"/>
            </w:tcMar>
          </w:tcPr>
          <w:p w14:paraId="6F2A844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15" w:type="pct"/>
          </w:tcPr>
          <w:p w14:paraId="4D20B988"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0,5</w:t>
            </w:r>
          </w:p>
        </w:tc>
        <w:tc>
          <w:tcPr>
            <w:tcW w:w="394" w:type="pct"/>
          </w:tcPr>
          <w:p w14:paraId="7B7A836C" w14:textId="77777777" w:rsidR="00FA4CE2" w:rsidRPr="008718E6" w:rsidRDefault="00D24B71" w:rsidP="00FA4CE2">
            <w:pPr>
              <w:spacing w:after="34"/>
              <w:jc w:val="center"/>
              <w:rPr>
                <w:rFonts w:ascii="Times New Roman" w:hAnsi="Times New Roman"/>
                <w:color w:val="000000"/>
                <w:sz w:val="22"/>
                <w:szCs w:val="22"/>
              </w:rPr>
            </w:pPr>
            <w:r>
              <w:rPr>
                <w:rFonts w:ascii="Times New Roman" w:hAnsi="Times New Roman"/>
                <w:color w:val="000000"/>
                <w:sz w:val="22"/>
                <w:szCs w:val="22"/>
              </w:rPr>
              <w:t>0,4</w:t>
            </w:r>
          </w:p>
        </w:tc>
        <w:tc>
          <w:tcPr>
            <w:tcW w:w="702" w:type="pct"/>
            <w:shd w:val="clear" w:color="auto" w:fill="auto"/>
            <w:vAlign w:val="bottom"/>
          </w:tcPr>
          <w:p w14:paraId="2610D174"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30B6F4E" w14:textId="77777777" w:rsidTr="006560B5">
        <w:trPr>
          <w:tblCellSpacing w:w="0" w:type="dxa"/>
        </w:trPr>
        <w:tc>
          <w:tcPr>
            <w:tcW w:w="2603" w:type="pct"/>
            <w:shd w:val="clear" w:color="auto" w:fill="auto"/>
            <w:tcMar>
              <w:top w:w="0" w:type="dxa"/>
              <w:left w:w="51" w:type="dxa"/>
              <w:bottom w:w="0" w:type="dxa"/>
              <w:right w:w="51" w:type="dxa"/>
            </w:tcMar>
            <w:vAlign w:val="bottom"/>
          </w:tcPr>
          <w:p w14:paraId="2B85987B"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Garantitillegg</w:t>
            </w:r>
          </w:p>
        </w:tc>
        <w:tc>
          <w:tcPr>
            <w:tcW w:w="328" w:type="pct"/>
            <w:shd w:val="clear" w:color="auto" w:fill="auto"/>
            <w:noWrap/>
            <w:tcMar>
              <w:top w:w="0" w:type="dxa"/>
              <w:left w:w="51" w:type="dxa"/>
              <w:bottom w:w="0" w:type="dxa"/>
              <w:right w:w="51" w:type="dxa"/>
            </w:tcMar>
          </w:tcPr>
          <w:p w14:paraId="3F377D8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29" w:type="pct"/>
            <w:shd w:val="clear" w:color="auto" w:fill="auto"/>
            <w:noWrap/>
            <w:tcMar>
              <w:top w:w="0" w:type="dxa"/>
              <w:left w:w="51" w:type="dxa"/>
              <w:bottom w:w="0" w:type="dxa"/>
              <w:right w:w="51" w:type="dxa"/>
            </w:tcMar>
          </w:tcPr>
          <w:p w14:paraId="4ED76B86"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0,3</w:t>
            </w:r>
          </w:p>
        </w:tc>
        <w:tc>
          <w:tcPr>
            <w:tcW w:w="329" w:type="pct"/>
            <w:shd w:val="clear" w:color="auto" w:fill="auto"/>
            <w:noWrap/>
            <w:tcMar>
              <w:top w:w="0" w:type="dxa"/>
              <w:left w:w="51" w:type="dxa"/>
              <w:bottom w:w="0" w:type="dxa"/>
              <w:right w:w="51" w:type="dxa"/>
            </w:tcMar>
          </w:tcPr>
          <w:p w14:paraId="3944D87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15" w:type="pct"/>
          </w:tcPr>
          <w:p w14:paraId="2130E61C"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94" w:type="pct"/>
          </w:tcPr>
          <w:p w14:paraId="6BF87F56" w14:textId="77777777" w:rsidR="00FA4CE2" w:rsidRPr="008718E6" w:rsidRDefault="00D24B71" w:rsidP="00FA4CE2">
            <w:pPr>
              <w:spacing w:after="34"/>
              <w:jc w:val="center"/>
              <w:rPr>
                <w:rFonts w:ascii="Times New Roman" w:hAnsi="Times New Roman"/>
                <w:color w:val="000000"/>
                <w:sz w:val="22"/>
                <w:szCs w:val="22"/>
              </w:rPr>
            </w:pPr>
            <w:r>
              <w:rPr>
                <w:rFonts w:ascii="Times New Roman" w:hAnsi="Times New Roman"/>
                <w:color w:val="000000"/>
                <w:sz w:val="22"/>
                <w:szCs w:val="22"/>
              </w:rPr>
              <w:t>0,4</w:t>
            </w:r>
          </w:p>
        </w:tc>
        <w:tc>
          <w:tcPr>
            <w:tcW w:w="702" w:type="pct"/>
            <w:shd w:val="clear" w:color="auto" w:fill="auto"/>
            <w:vAlign w:val="bottom"/>
          </w:tcPr>
          <w:p w14:paraId="3739E4CD"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60C83AD"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28B9CD38"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tcPr>
          <w:p w14:paraId="7B02949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29" w:type="pct"/>
            <w:shd w:val="clear" w:color="auto" w:fill="auto"/>
            <w:noWrap/>
            <w:tcMar>
              <w:top w:w="0" w:type="dxa"/>
              <w:left w:w="51" w:type="dxa"/>
              <w:bottom w:w="0" w:type="dxa"/>
              <w:right w:w="51" w:type="dxa"/>
            </w:tcMar>
          </w:tcPr>
          <w:p w14:paraId="2D0A537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9" w:type="pct"/>
            <w:shd w:val="clear" w:color="auto" w:fill="auto"/>
            <w:noWrap/>
            <w:tcMar>
              <w:top w:w="0" w:type="dxa"/>
              <w:left w:w="51" w:type="dxa"/>
              <w:bottom w:w="0" w:type="dxa"/>
              <w:right w:w="51" w:type="dxa"/>
            </w:tcMar>
          </w:tcPr>
          <w:p w14:paraId="0031FA4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2,0</w:t>
            </w:r>
          </w:p>
        </w:tc>
        <w:tc>
          <w:tcPr>
            <w:tcW w:w="315" w:type="pct"/>
          </w:tcPr>
          <w:p w14:paraId="185BC9D8"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1,4</w:t>
            </w:r>
          </w:p>
        </w:tc>
        <w:tc>
          <w:tcPr>
            <w:tcW w:w="394" w:type="pct"/>
          </w:tcPr>
          <w:p w14:paraId="145B1899" w14:textId="77777777" w:rsidR="00FA4CE2" w:rsidRPr="008718E6" w:rsidRDefault="00D24B71" w:rsidP="00FA4CE2">
            <w:pPr>
              <w:spacing w:after="34"/>
              <w:jc w:val="center"/>
              <w:rPr>
                <w:rFonts w:ascii="Times New Roman" w:hAnsi="Times New Roman"/>
                <w:color w:val="000000"/>
                <w:sz w:val="22"/>
                <w:szCs w:val="22"/>
              </w:rPr>
            </w:pPr>
            <w:r>
              <w:rPr>
                <w:rFonts w:ascii="Times New Roman" w:hAnsi="Times New Roman"/>
                <w:color w:val="000000"/>
                <w:sz w:val="22"/>
                <w:szCs w:val="22"/>
              </w:rPr>
              <w:t>1,5</w:t>
            </w:r>
          </w:p>
        </w:tc>
        <w:tc>
          <w:tcPr>
            <w:tcW w:w="702" w:type="pct"/>
            <w:shd w:val="clear" w:color="auto" w:fill="auto"/>
            <w:noWrap/>
            <w:vAlign w:val="bottom"/>
          </w:tcPr>
          <w:p w14:paraId="05CB5F1D" w14:textId="77777777" w:rsidR="00FA4CE2" w:rsidRPr="008718E6" w:rsidRDefault="002F52B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1,4</w:t>
            </w:r>
          </w:p>
        </w:tc>
      </w:tr>
      <w:tr w:rsidR="00FA4CE2" w:rsidRPr="008718E6" w14:paraId="4388A86E" w14:textId="77777777" w:rsidTr="006560B5">
        <w:trPr>
          <w:trHeight w:val="223"/>
          <w:tblCellSpacing w:w="0" w:type="dxa"/>
        </w:trPr>
        <w:tc>
          <w:tcPr>
            <w:tcW w:w="2603" w:type="pct"/>
            <w:tcBorders>
              <w:top w:val="single" w:sz="4" w:space="0" w:color="auto"/>
            </w:tcBorders>
            <w:shd w:val="clear" w:color="auto" w:fill="auto"/>
            <w:tcMar>
              <w:top w:w="0" w:type="dxa"/>
              <w:left w:w="51" w:type="dxa"/>
              <w:bottom w:w="0" w:type="dxa"/>
              <w:right w:w="51" w:type="dxa"/>
            </w:tcMar>
            <w:vAlign w:val="bottom"/>
          </w:tcPr>
          <w:p w14:paraId="09247353"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i/>
                <w:iCs/>
                <w:color w:val="000000"/>
                <w:sz w:val="22"/>
                <w:szCs w:val="22"/>
              </w:rPr>
              <w:t>Finanstjenester:</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tcMar>
              <w:top w:w="0" w:type="dxa"/>
              <w:left w:w="51" w:type="dxa"/>
              <w:bottom w:w="0" w:type="dxa"/>
              <w:right w:w="51" w:type="dxa"/>
            </w:tcMar>
          </w:tcPr>
          <w:p w14:paraId="5668FD49"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14C9B3F6"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1909A110"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21749B3C"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11741E06"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vAlign w:val="bottom"/>
          </w:tcPr>
          <w:p w14:paraId="2EB07BC3" w14:textId="77777777" w:rsidR="00FA4CE2" w:rsidRPr="008718E6" w:rsidRDefault="00FA4CE2" w:rsidP="00FA4CE2">
            <w:pPr>
              <w:spacing w:after="34"/>
              <w:ind w:right="-15"/>
              <w:rPr>
                <w:rFonts w:ascii="Times New Roman" w:hAnsi="Times New Roman"/>
                <w:color w:val="000000"/>
                <w:sz w:val="22"/>
                <w:szCs w:val="22"/>
              </w:rPr>
            </w:pPr>
          </w:p>
        </w:tc>
      </w:tr>
      <w:tr w:rsidR="00FA4CE2" w:rsidRPr="008718E6" w14:paraId="1489EB49"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CB24D77"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0F52AF5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29" w:type="pct"/>
            <w:shd w:val="clear" w:color="auto" w:fill="auto"/>
            <w:noWrap/>
            <w:tcMar>
              <w:top w:w="0" w:type="dxa"/>
              <w:left w:w="51" w:type="dxa"/>
              <w:bottom w:w="0" w:type="dxa"/>
              <w:right w:w="51" w:type="dxa"/>
            </w:tcMar>
          </w:tcPr>
          <w:p w14:paraId="721D5FAA"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3,0</w:t>
            </w:r>
          </w:p>
        </w:tc>
        <w:tc>
          <w:tcPr>
            <w:tcW w:w="329" w:type="pct"/>
            <w:shd w:val="clear" w:color="auto" w:fill="auto"/>
            <w:noWrap/>
            <w:tcMar>
              <w:top w:w="0" w:type="dxa"/>
              <w:left w:w="51" w:type="dxa"/>
              <w:bottom w:w="0" w:type="dxa"/>
              <w:right w:w="51" w:type="dxa"/>
            </w:tcMar>
          </w:tcPr>
          <w:p w14:paraId="6BEBEC66"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6,7</w:t>
            </w:r>
          </w:p>
        </w:tc>
        <w:tc>
          <w:tcPr>
            <w:tcW w:w="315" w:type="pct"/>
          </w:tcPr>
          <w:p w14:paraId="54D8F7C5"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2,9</w:t>
            </w:r>
          </w:p>
        </w:tc>
        <w:tc>
          <w:tcPr>
            <w:tcW w:w="394" w:type="pct"/>
          </w:tcPr>
          <w:p w14:paraId="22A61E01" w14:textId="77777777" w:rsidR="00FA4CE2" w:rsidRPr="008718E6" w:rsidRDefault="00D24B71" w:rsidP="00FA4CE2">
            <w:pPr>
              <w:spacing w:after="34"/>
              <w:jc w:val="center"/>
              <w:rPr>
                <w:rFonts w:ascii="Times New Roman" w:hAnsi="Times New Roman"/>
                <w:color w:val="000000"/>
                <w:sz w:val="22"/>
                <w:szCs w:val="22"/>
              </w:rPr>
            </w:pPr>
            <w:r>
              <w:rPr>
                <w:rFonts w:ascii="Times New Roman" w:hAnsi="Times New Roman"/>
                <w:color w:val="000000"/>
                <w:sz w:val="22"/>
                <w:szCs w:val="22"/>
              </w:rPr>
              <w:t>4,2</w:t>
            </w:r>
          </w:p>
        </w:tc>
        <w:tc>
          <w:tcPr>
            <w:tcW w:w="702" w:type="pct"/>
            <w:shd w:val="clear" w:color="auto" w:fill="auto"/>
            <w:vAlign w:val="bottom"/>
          </w:tcPr>
          <w:p w14:paraId="59D9D33F"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D3587CA"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0A14095E"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3DB81751"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5A6352CB"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2F6C23D1"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62A6DC3F"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365C3621"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0A955048"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B3D8313"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29A71B9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0ADB179A"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shd w:val="clear" w:color="auto" w:fill="auto"/>
            <w:noWrap/>
            <w:tcMar>
              <w:top w:w="0" w:type="dxa"/>
              <w:left w:w="51" w:type="dxa"/>
              <w:bottom w:w="0" w:type="dxa"/>
              <w:right w:w="51" w:type="dxa"/>
            </w:tcMar>
          </w:tcPr>
          <w:p w14:paraId="12251FF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1,3</w:t>
            </w:r>
          </w:p>
        </w:tc>
        <w:tc>
          <w:tcPr>
            <w:tcW w:w="329" w:type="pct"/>
            <w:shd w:val="clear" w:color="auto" w:fill="auto"/>
            <w:noWrap/>
            <w:tcMar>
              <w:top w:w="0" w:type="dxa"/>
              <w:left w:w="51" w:type="dxa"/>
              <w:bottom w:w="0" w:type="dxa"/>
              <w:right w:w="51" w:type="dxa"/>
            </w:tcMar>
          </w:tcPr>
          <w:p w14:paraId="35477F2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15" w:type="pct"/>
          </w:tcPr>
          <w:p w14:paraId="12E6A948"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394" w:type="pct"/>
          </w:tcPr>
          <w:p w14:paraId="35F8F105"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1,2</w:t>
            </w:r>
          </w:p>
        </w:tc>
        <w:tc>
          <w:tcPr>
            <w:tcW w:w="702" w:type="pct"/>
            <w:shd w:val="clear" w:color="auto" w:fill="auto"/>
            <w:vAlign w:val="bottom"/>
          </w:tcPr>
          <w:p w14:paraId="2A4319B2"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038AC677"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1DA5FB2"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219609CE"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29" w:type="pct"/>
            <w:shd w:val="clear" w:color="auto" w:fill="auto"/>
            <w:noWrap/>
            <w:tcMar>
              <w:top w:w="0" w:type="dxa"/>
              <w:left w:w="51" w:type="dxa"/>
              <w:bottom w:w="0" w:type="dxa"/>
              <w:right w:w="51" w:type="dxa"/>
            </w:tcMar>
          </w:tcPr>
          <w:p w14:paraId="1402EB0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shd w:val="clear" w:color="auto" w:fill="auto"/>
            <w:noWrap/>
            <w:tcMar>
              <w:top w:w="0" w:type="dxa"/>
              <w:left w:w="51" w:type="dxa"/>
              <w:bottom w:w="0" w:type="dxa"/>
              <w:right w:w="51" w:type="dxa"/>
            </w:tcMar>
          </w:tcPr>
          <w:p w14:paraId="4EFEE7B9"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15" w:type="pct"/>
          </w:tcPr>
          <w:p w14:paraId="240C73EF"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1,0</w:t>
            </w:r>
          </w:p>
        </w:tc>
        <w:tc>
          <w:tcPr>
            <w:tcW w:w="394" w:type="pct"/>
          </w:tcPr>
          <w:p w14:paraId="0CC8557E" w14:textId="77777777" w:rsidR="00FA4CE2" w:rsidRPr="008718E6" w:rsidRDefault="002F52B6" w:rsidP="00FA4CE2">
            <w:pPr>
              <w:spacing w:after="34"/>
              <w:jc w:val="center"/>
              <w:rPr>
                <w:rFonts w:ascii="Times New Roman" w:hAnsi="Times New Roman"/>
                <w:color w:val="000000"/>
                <w:sz w:val="22"/>
                <w:szCs w:val="22"/>
              </w:rPr>
            </w:pPr>
            <w:r>
              <w:rPr>
                <w:rFonts w:ascii="Times New Roman" w:hAnsi="Times New Roman"/>
                <w:color w:val="000000"/>
                <w:sz w:val="22"/>
                <w:szCs w:val="22"/>
              </w:rPr>
              <w:t>0,4</w:t>
            </w:r>
          </w:p>
        </w:tc>
        <w:tc>
          <w:tcPr>
            <w:tcW w:w="702" w:type="pct"/>
            <w:shd w:val="clear" w:color="auto" w:fill="auto"/>
            <w:vAlign w:val="bottom"/>
          </w:tcPr>
          <w:p w14:paraId="7C84890E"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FF4118C"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DEC77C0"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tcPr>
          <w:p w14:paraId="73BB0D9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2,7</w:t>
            </w:r>
          </w:p>
        </w:tc>
        <w:tc>
          <w:tcPr>
            <w:tcW w:w="329" w:type="pct"/>
            <w:shd w:val="clear" w:color="auto" w:fill="auto"/>
            <w:noWrap/>
            <w:tcMar>
              <w:top w:w="0" w:type="dxa"/>
              <w:left w:w="51" w:type="dxa"/>
              <w:bottom w:w="0" w:type="dxa"/>
              <w:right w:w="51" w:type="dxa"/>
            </w:tcMar>
          </w:tcPr>
          <w:p w14:paraId="6A062C7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29" w:type="pct"/>
            <w:shd w:val="clear" w:color="auto" w:fill="auto"/>
            <w:noWrap/>
            <w:tcMar>
              <w:top w:w="0" w:type="dxa"/>
              <w:left w:w="51" w:type="dxa"/>
              <w:bottom w:w="0" w:type="dxa"/>
              <w:right w:w="51" w:type="dxa"/>
            </w:tcMar>
          </w:tcPr>
          <w:p w14:paraId="09E4580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4,9</w:t>
            </w:r>
          </w:p>
        </w:tc>
        <w:tc>
          <w:tcPr>
            <w:tcW w:w="315" w:type="pct"/>
          </w:tcPr>
          <w:p w14:paraId="1812B282"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394" w:type="pct"/>
          </w:tcPr>
          <w:p w14:paraId="2056D927" w14:textId="77777777" w:rsidR="00FA4CE2" w:rsidRPr="008718E6" w:rsidRDefault="002F52B6" w:rsidP="00FA4CE2">
            <w:pPr>
              <w:spacing w:after="34"/>
              <w:jc w:val="center"/>
              <w:rPr>
                <w:rFonts w:ascii="Times New Roman" w:hAnsi="Times New Roman"/>
                <w:color w:val="000000"/>
                <w:sz w:val="22"/>
                <w:szCs w:val="22"/>
              </w:rPr>
            </w:pPr>
            <w:r>
              <w:rPr>
                <w:rFonts w:ascii="Times New Roman" w:hAnsi="Times New Roman"/>
                <w:color w:val="000000"/>
                <w:sz w:val="22"/>
                <w:szCs w:val="22"/>
              </w:rPr>
              <w:t>2,6</w:t>
            </w:r>
          </w:p>
        </w:tc>
        <w:tc>
          <w:tcPr>
            <w:tcW w:w="702" w:type="pct"/>
            <w:shd w:val="clear" w:color="auto" w:fill="auto"/>
            <w:noWrap/>
            <w:vAlign w:val="bottom"/>
          </w:tcPr>
          <w:p w14:paraId="3ED58249" w14:textId="77777777" w:rsidR="00FA4CE2" w:rsidRPr="008718E6" w:rsidRDefault="002F52B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2,3</w:t>
            </w:r>
          </w:p>
        </w:tc>
      </w:tr>
      <w:tr w:rsidR="00FA4CE2" w:rsidRPr="008718E6" w14:paraId="211038FB" w14:textId="77777777" w:rsidTr="006560B5">
        <w:trPr>
          <w:tblCellSpacing w:w="0" w:type="dxa"/>
        </w:trPr>
        <w:tc>
          <w:tcPr>
            <w:tcW w:w="2603" w:type="pct"/>
            <w:tcBorders>
              <w:top w:val="single" w:sz="4" w:space="0" w:color="auto"/>
            </w:tcBorders>
            <w:shd w:val="clear" w:color="auto" w:fill="auto"/>
            <w:tcMar>
              <w:top w:w="0" w:type="dxa"/>
              <w:left w:w="51" w:type="dxa"/>
              <w:bottom w:w="0" w:type="dxa"/>
              <w:right w:w="51" w:type="dxa"/>
            </w:tcMar>
            <w:vAlign w:val="bottom"/>
          </w:tcPr>
          <w:p w14:paraId="7151F854"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i/>
                <w:iCs/>
                <w:color w:val="000000"/>
                <w:sz w:val="22"/>
                <w:szCs w:val="22"/>
              </w:rPr>
              <w:t>Statsansatte:</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tcMar>
              <w:top w:w="0" w:type="dxa"/>
              <w:left w:w="51" w:type="dxa"/>
              <w:bottom w:w="0" w:type="dxa"/>
              <w:right w:w="51" w:type="dxa"/>
            </w:tcMar>
          </w:tcPr>
          <w:p w14:paraId="70B0B1DD"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45A45529"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4C63D2B2"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2C96D779"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31D50A82"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vAlign w:val="bottom"/>
          </w:tcPr>
          <w:p w14:paraId="5500F6FD"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1E84380"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0666AC56"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2BEE06B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29" w:type="pct"/>
            <w:shd w:val="clear" w:color="auto" w:fill="auto"/>
            <w:noWrap/>
            <w:tcMar>
              <w:top w:w="0" w:type="dxa"/>
              <w:left w:w="51" w:type="dxa"/>
              <w:bottom w:w="0" w:type="dxa"/>
              <w:right w:w="51" w:type="dxa"/>
            </w:tcMar>
          </w:tcPr>
          <w:p w14:paraId="6585033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tcPr>
          <w:p w14:paraId="3AD8E8D6"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3,5</w:t>
            </w:r>
          </w:p>
        </w:tc>
        <w:tc>
          <w:tcPr>
            <w:tcW w:w="315" w:type="pct"/>
          </w:tcPr>
          <w:p w14:paraId="2E6938C1"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3,4 </w:t>
            </w:r>
          </w:p>
        </w:tc>
        <w:tc>
          <w:tcPr>
            <w:tcW w:w="394" w:type="pct"/>
          </w:tcPr>
          <w:p w14:paraId="15B303E1" w14:textId="71E31C2B" w:rsidR="00FA4CE2" w:rsidRPr="008718E6" w:rsidRDefault="006B060B" w:rsidP="006B060B">
            <w:pPr>
              <w:spacing w:after="34"/>
              <w:jc w:val="center"/>
              <w:rPr>
                <w:rFonts w:ascii="Times New Roman" w:hAnsi="Times New Roman"/>
                <w:color w:val="000000"/>
                <w:sz w:val="22"/>
                <w:szCs w:val="22"/>
              </w:rPr>
            </w:pPr>
            <w:r>
              <w:rPr>
                <w:rFonts w:ascii="Times New Roman" w:hAnsi="Times New Roman"/>
                <w:color w:val="000000"/>
                <w:sz w:val="22"/>
                <w:szCs w:val="22"/>
              </w:rPr>
              <w:t>2 ¾</w:t>
            </w:r>
          </w:p>
        </w:tc>
        <w:tc>
          <w:tcPr>
            <w:tcW w:w="702" w:type="pct"/>
            <w:shd w:val="clear" w:color="auto" w:fill="auto"/>
            <w:vAlign w:val="bottom"/>
          </w:tcPr>
          <w:p w14:paraId="0FA89852"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45058D0"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56726AC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7E782A7D"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6302EC74"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0235FF7A"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6C969CEC"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690EED04"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7CA796C7"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A7A6601"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596BFB9A"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1EA02D3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29" w:type="pct"/>
            <w:shd w:val="clear" w:color="auto" w:fill="auto"/>
            <w:noWrap/>
            <w:tcMar>
              <w:top w:w="0" w:type="dxa"/>
              <w:left w:w="51" w:type="dxa"/>
              <w:bottom w:w="0" w:type="dxa"/>
              <w:right w:w="51" w:type="dxa"/>
            </w:tcMar>
          </w:tcPr>
          <w:p w14:paraId="01F2A06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1,1</w:t>
            </w:r>
          </w:p>
        </w:tc>
        <w:tc>
          <w:tcPr>
            <w:tcW w:w="329" w:type="pct"/>
            <w:shd w:val="clear" w:color="auto" w:fill="auto"/>
            <w:noWrap/>
            <w:tcMar>
              <w:top w:w="0" w:type="dxa"/>
              <w:left w:w="51" w:type="dxa"/>
              <w:bottom w:w="0" w:type="dxa"/>
              <w:right w:w="51" w:type="dxa"/>
            </w:tcMar>
          </w:tcPr>
          <w:p w14:paraId="53FF21BF"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2,2</w:t>
            </w:r>
          </w:p>
        </w:tc>
        <w:tc>
          <w:tcPr>
            <w:tcW w:w="315" w:type="pct"/>
          </w:tcPr>
          <w:p w14:paraId="7DBE6FE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0,8</w:t>
            </w:r>
          </w:p>
        </w:tc>
        <w:tc>
          <w:tcPr>
            <w:tcW w:w="394" w:type="pct"/>
          </w:tcPr>
          <w:p w14:paraId="0DD9029D" w14:textId="0B9EE0E2" w:rsidR="00FA4CE2" w:rsidRPr="008718E6" w:rsidRDefault="00ED7448" w:rsidP="00FA4CE2">
            <w:pPr>
              <w:spacing w:after="34"/>
              <w:jc w:val="center"/>
              <w:rPr>
                <w:rFonts w:ascii="Times New Roman" w:hAnsi="Times New Roman"/>
                <w:color w:val="000000"/>
                <w:sz w:val="22"/>
                <w:szCs w:val="22"/>
              </w:rPr>
            </w:pPr>
            <w:r>
              <w:rPr>
                <w:rFonts w:ascii="Times New Roman" w:hAnsi="Times New Roman"/>
                <w:color w:val="000000"/>
                <w:sz w:val="22"/>
                <w:szCs w:val="22"/>
              </w:rPr>
              <w:t>2</w:t>
            </w:r>
          </w:p>
        </w:tc>
        <w:tc>
          <w:tcPr>
            <w:tcW w:w="702" w:type="pct"/>
            <w:shd w:val="clear" w:color="auto" w:fill="auto"/>
            <w:vAlign w:val="bottom"/>
          </w:tcPr>
          <w:p w14:paraId="5945EBF8"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CE1CF9F" w14:textId="77777777" w:rsidTr="00ED7448">
        <w:trPr>
          <w:tblCellSpacing w:w="0" w:type="dxa"/>
        </w:trPr>
        <w:tc>
          <w:tcPr>
            <w:tcW w:w="2603" w:type="pct"/>
            <w:tcBorders>
              <w:top w:val="single" w:sz="4" w:space="0" w:color="auto"/>
            </w:tcBorders>
            <w:shd w:val="clear" w:color="auto" w:fill="auto"/>
            <w:noWrap/>
            <w:tcMar>
              <w:top w:w="0" w:type="dxa"/>
              <w:left w:w="51" w:type="dxa"/>
              <w:bottom w:w="0" w:type="dxa"/>
              <w:right w:w="51" w:type="dxa"/>
            </w:tcMar>
            <w:vAlign w:val="bottom"/>
          </w:tcPr>
          <w:p w14:paraId="74A8173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tcBorders>
              <w:top w:val="single" w:sz="4" w:space="0" w:color="auto"/>
            </w:tcBorders>
            <w:shd w:val="clear" w:color="auto" w:fill="auto"/>
            <w:noWrap/>
            <w:tcMar>
              <w:top w:w="0" w:type="dxa"/>
              <w:left w:w="51" w:type="dxa"/>
              <w:bottom w:w="0" w:type="dxa"/>
              <w:right w:w="51" w:type="dxa"/>
            </w:tcMar>
          </w:tcPr>
          <w:p w14:paraId="6F8EA30A"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tcBorders>
              <w:top w:val="single" w:sz="4" w:space="0" w:color="auto"/>
            </w:tcBorders>
            <w:shd w:val="clear" w:color="auto" w:fill="auto"/>
            <w:noWrap/>
            <w:tcMar>
              <w:top w:w="0" w:type="dxa"/>
              <w:left w:w="51" w:type="dxa"/>
              <w:bottom w:w="0" w:type="dxa"/>
              <w:right w:w="51" w:type="dxa"/>
            </w:tcMar>
          </w:tcPr>
          <w:p w14:paraId="4E11BAB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9" w:type="pct"/>
            <w:tcBorders>
              <w:top w:val="single" w:sz="4" w:space="0" w:color="auto"/>
            </w:tcBorders>
            <w:shd w:val="clear" w:color="auto" w:fill="auto"/>
            <w:noWrap/>
            <w:tcMar>
              <w:top w:w="0" w:type="dxa"/>
              <w:left w:w="51" w:type="dxa"/>
              <w:bottom w:w="0" w:type="dxa"/>
              <w:right w:w="51" w:type="dxa"/>
            </w:tcMar>
          </w:tcPr>
          <w:p w14:paraId="19357AC4"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15" w:type="pct"/>
            <w:tcBorders>
              <w:top w:val="single" w:sz="4" w:space="0" w:color="auto"/>
            </w:tcBorders>
          </w:tcPr>
          <w:p w14:paraId="33B37B15"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2,0</w:t>
            </w:r>
          </w:p>
        </w:tc>
        <w:tc>
          <w:tcPr>
            <w:tcW w:w="394" w:type="pct"/>
            <w:tcBorders>
              <w:top w:val="single" w:sz="4" w:space="0" w:color="auto"/>
            </w:tcBorders>
          </w:tcPr>
          <w:p w14:paraId="0785B238" w14:textId="6C940B78"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0,1</w:t>
            </w:r>
          </w:p>
        </w:tc>
        <w:tc>
          <w:tcPr>
            <w:tcW w:w="702" w:type="pct"/>
            <w:tcBorders>
              <w:top w:val="single" w:sz="4" w:space="0" w:color="auto"/>
            </w:tcBorders>
            <w:shd w:val="clear" w:color="auto" w:fill="auto"/>
            <w:vAlign w:val="bottom"/>
          </w:tcPr>
          <w:p w14:paraId="2F12BCCD"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0C097FA"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AC5CE6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tcPr>
          <w:p w14:paraId="118D26D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29" w:type="pct"/>
            <w:shd w:val="clear" w:color="auto" w:fill="auto"/>
            <w:noWrap/>
            <w:tcMar>
              <w:top w:w="0" w:type="dxa"/>
              <w:left w:w="51" w:type="dxa"/>
              <w:bottom w:w="0" w:type="dxa"/>
              <w:right w:w="51" w:type="dxa"/>
            </w:tcMar>
          </w:tcPr>
          <w:p w14:paraId="6F1871C1"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29" w:type="pct"/>
            <w:shd w:val="clear" w:color="auto" w:fill="auto"/>
            <w:noWrap/>
            <w:tcMar>
              <w:top w:w="0" w:type="dxa"/>
              <w:left w:w="51" w:type="dxa"/>
              <w:bottom w:w="0" w:type="dxa"/>
              <w:right w:w="51" w:type="dxa"/>
            </w:tcMar>
          </w:tcPr>
          <w:p w14:paraId="17D0DCEC"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15" w:type="pct"/>
          </w:tcPr>
          <w:p w14:paraId="42B7FB1D"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0,5 </w:t>
            </w:r>
          </w:p>
        </w:tc>
        <w:tc>
          <w:tcPr>
            <w:tcW w:w="394" w:type="pct"/>
          </w:tcPr>
          <w:p w14:paraId="272955E9" w14:textId="3DD53F7C" w:rsidR="00FA4CE2" w:rsidRPr="008718E6" w:rsidRDefault="00965EB7" w:rsidP="00965EB7">
            <w:pPr>
              <w:spacing w:after="34"/>
              <w:jc w:val="center"/>
              <w:rPr>
                <w:rFonts w:ascii="Times New Roman" w:hAnsi="Times New Roman"/>
                <w:color w:val="000000"/>
                <w:sz w:val="22"/>
                <w:szCs w:val="22"/>
              </w:rPr>
            </w:pPr>
            <w:r>
              <w:rPr>
                <w:rFonts w:ascii="Times New Roman" w:hAnsi="Times New Roman"/>
                <w:color w:val="000000"/>
                <w:sz w:val="22"/>
                <w:szCs w:val="22"/>
              </w:rPr>
              <w:t>¾</w:t>
            </w:r>
          </w:p>
        </w:tc>
        <w:tc>
          <w:tcPr>
            <w:tcW w:w="702" w:type="pct"/>
            <w:shd w:val="clear" w:color="auto" w:fill="auto"/>
            <w:noWrap/>
            <w:vAlign w:val="bottom"/>
          </w:tcPr>
          <w:p w14:paraId="77D1A555" w14:textId="4F710EBD" w:rsidR="00FA4CE2" w:rsidRPr="008718E6" w:rsidRDefault="00795FF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FA4CE2" w:rsidRPr="008718E6" w14:paraId="375A2946" w14:textId="77777777" w:rsidTr="006560B5">
        <w:trPr>
          <w:tblCellSpacing w:w="0" w:type="dxa"/>
        </w:trPr>
        <w:tc>
          <w:tcPr>
            <w:tcW w:w="2603" w:type="pct"/>
            <w:tcBorders>
              <w:top w:val="single" w:sz="4" w:space="0" w:color="auto"/>
            </w:tcBorders>
            <w:shd w:val="clear" w:color="auto" w:fill="auto"/>
            <w:tcMar>
              <w:top w:w="0" w:type="dxa"/>
              <w:left w:w="51" w:type="dxa"/>
              <w:bottom w:w="0" w:type="dxa"/>
              <w:right w:w="51" w:type="dxa"/>
            </w:tcMar>
            <w:vAlign w:val="bottom"/>
          </w:tcPr>
          <w:p w14:paraId="37933374"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i/>
                <w:iCs/>
                <w:color w:val="000000"/>
                <w:sz w:val="22"/>
                <w:szCs w:val="22"/>
              </w:rPr>
              <w:t>Kommuneansatt</w:t>
            </w:r>
            <w:r>
              <w:rPr>
                <w:rFonts w:ascii="Times New Roman" w:hAnsi="Times New Roman"/>
                <w:i/>
                <w:iCs/>
                <w:color w:val="000000"/>
                <w:sz w:val="22"/>
                <w:szCs w:val="22"/>
              </w:rPr>
              <w:t>e</w:t>
            </w:r>
            <w:r>
              <w:rPr>
                <w:rFonts w:ascii="Times New Roman" w:hAnsi="Times New Roman"/>
                <w:i/>
                <w:iCs/>
                <w:color w:val="000000"/>
                <w:sz w:val="22"/>
                <w:szCs w:val="22"/>
                <w:vertAlign w:val="superscript"/>
              </w:rPr>
              <w:t>2</w:t>
            </w:r>
            <w:r w:rsidRPr="00E92F9A">
              <w:rPr>
                <w:rFonts w:ascii="Times New Roman" w:hAnsi="Times New Roman"/>
                <w:i/>
                <w:iCs/>
                <w:color w:val="000000"/>
                <w:sz w:val="22"/>
                <w:szCs w:val="22"/>
              </w:rPr>
              <w:t>:</w:t>
            </w:r>
          </w:p>
        </w:tc>
        <w:tc>
          <w:tcPr>
            <w:tcW w:w="328" w:type="pct"/>
            <w:tcBorders>
              <w:top w:val="single" w:sz="4" w:space="0" w:color="auto"/>
            </w:tcBorders>
            <w:shd w:val="clear" w:color="auto" w:fill="auto"/>
            <w:tcMar>
              <w:top w:w="0" w:type="dxa"/>
              <w:left w:w="51" w:type="dxa"/>
              <w:bottom w:w="0" w:type="dxa"/>
              <w:right w:w="51" w:type="dxa"/>
            </w:tcMar>
          </w:tcPr>
          <w:p w14:paraId="2529B69E"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4C4F9E32"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tcMar>
              <w:top w:w="0" w:type="dxa"/>
              <w:left w:w="51" w:type="dxa"/>
              <w:bottom w:w="0" w:type="dxa"/>
              <w:right w:w="51" w:type="dxa"/>
            </w:tcMar>
          </w:tcPr>
          <w:p w14:paraId="2574B2FE"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0903710D"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6414AABB"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vAlign w:val="bottom"/>
          </w:tcPr>
          <w:p w14:paraId="07E6ABD1"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B48E67E"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18EE2CB0"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04350FA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29" w:type="pct"/>
            <w:shd w:val="clear" w:color="auto" w:fill="auto"/>
            <w:noWrap/>
            <w:tcMar>
              <w:top w:w="0" w:type="dxa"/>
              <w:left w:w="51" w:type="dxa"/>
              <w:bottom w:w="0" w:type="dxa"/>
              <w:right w:w="51" w:type="dxa"/>
            </w:tcMar>
          </w:tcPr>
          <w:p w14:paraId="02A5C6C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tcPr>
          <w:p w14:paraId="2CC826C6"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,7</w:t>
            </w:r>
            <w:r w:rsidRPr="00E27050">
              <w:rPr>
                <w:rFonts w:ascii="Times New Roman" w:hAnsi="Times New Roman"/>
                <w:color w:val="000000"/>
                <w:sz w:val="22"/>
                <w:szCs w:val="22"/>
              </w:rPr>
              <w:t xml:space="preserve"> </w:t>
            </w:r>
          </w:p>
        </w:tc>
        <w:tc>
          <w:tcPr>
            <w:tcW w:w="315" w:type="pct"/>
          </w:tcPr>
          <w:p w14:paraId="15844949"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3,2</w:t>
            </w:r>
            <w:r w:rsidRPr="00AD4327">
              <w:rPr>
                <w:rFonts w:ascii="Times New Roman" w:hAnsi="Times New Roman"/>
                <w:color w:val="000000"/>
                <w:sz w:val="22"/>
                <w:szCs w:val="22"/>
                <w:vertAlign w:val="superscript"/>
              </w:rPr>
              <w:t>2</w:t>
            </w:r>
          </w:p>
        </w:tc>
        <w:tc>
          <w:tcPr>
            <w:tcW w:w="394" w:type="pct"/>
          </w:tcPr>
          <w:p w14:paraId="0EFC275A" w14:textId="1491FEF1" w:rsidR="00FA4CE2" w:rsidRPr="008718E6" w:rsidRDefault="00965EB7" w:rsidP="00965EB7">
            <w:pPr>
              <w:spacing w:after="34"/>
              <w:jc w:val="center"/>
              <w:rPr>
                <w:rFonts w:ascii="Times New Roman" w:hAnsi="Times New Roman"/>
                <w:color w:val="000000"/>
                <w:sz w:val="22"/>
                <w:szCs w:val="22"/>
              </w:rPr>
            </w:pPr>
            <w:r>
              <w:rPr>
                <w:rFonts w:ascii="Times New Roman" w:hAnsi="Times New Roman"/>
                <w:color w:val="000000"/>
                <w:sz w:val="22"/>
                <w:szCs w:val="22"/>
              </w:rPr>
              <w:t>3 ¼</w:t>
            </w:r>
            <w:r w:rsidRPr="00A11D7D">
              <w:rPr>
                <w:rFonts w:ascii="Times New Roman" w:hAnsi="Times New Roman"/>
                <w:color w:val="000000"/>
                <w:sz w:val="22"/>
                <w:szCs w:val="22"/>
                <w:vertAlign w:val="superscript"/>
              </w:rPr>
              <w:t>2</w:t>
            </w:r>
          </w:p>
        </w:tc>
        <w:tc>
          <w:tcPr>
            <w:tcW w:w="702" w:type="pct"/>
            <w:shd w:val="clear" w:color="auto" w:fill="auto"/>
            <w:vAlign w:val="bottom"/>
          </w:tcPr>
          <w:p w14:paraId="7A7E5327"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84E9941"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16BF5C33"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tcMar>
              <w:top w:w="0" w:type="dxa"/>
              <w:left w:w="51" w:type="dxa"/>
              <w:bottom w:w="0" w:type="dxa"/>
              <w:right w:w="51" w:type="dxa"/>
            </w:tcMar>
          </w:tcPr>
          <w:p w14:paraId="4640BDA2"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3CB7D707"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tcMar>
              <w:top w:w="0" w:type="dxa"/>
              <w:left w:w="51" w:type="dxa"/>
              <w:bottom w:w="0" w:type="dxa"/>
              <w:right w:w="51" w:type="dxa"/>
            </w:tcMar>
          </w:tcPr>
          <w:p w14:paraId="73C105F3"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4F0E3662"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6F493839"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vAlign w:val="bottom"/>
          </w:tcPr>
          <w:p w14:paraId="66FECEC0"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2520B85C"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5A5A35F8"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51D53F63"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9" w:type="pct"/>
            <w:shd w:val="clear" w:color="auto" w:fill="auto"/>
            <w:noWrap/>
            <w:tcMar>
              <w:top w:w="0" w:type="dxa"/>
              <w:left w:w="51" w:type="dxa"/>
              <w:bottom w:w="0" w:type="dxa"/>
              <w:right w:w="51" w:type="dxa"/>
            </w:tcMar>
          </w:tcPr>
          <w:p w14:paraId="7CEDA01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9" w:type="pct"/>
            <w:shd w:val="clear" w:color="auto" w:fill="auto"/>
            <w:noWrap/>
            <w:tcMar>
              <w:top w:w="0" w:type="dxa"/>
              <w:left w:w="51" w:type="dxa"/>
              <w:bottom w:w="0" w:type="dxa"/>
              <w:right w:w="51" w:type="dxa"/>
            </w:tcMar>
          </w:tcPr>
          <w:p w14:paraId="4322839E"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15" w:type="pct"/>
          </w:tcPr>
          <w:p w14:paraId="1E201D57"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94" w:type="pct"/>
          </w:tcPr>
          <w:p w14:paraId="51125D62"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1,8</w:t>
            </w:r>
          </w:p>
        </w:tc>
        <w:tc>
          <w:tcPr>
            <w:tcW w:w="702" w:type="pct"/>
            <w:shd w:val="clear" w:color="auto" w:fill="auto"/>
            <w:vAlign w:val="bottom"/>
          </w:tcPr>
          <w:p w14:paraId="48955D15"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BEE768B"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34D711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7CF79C99"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29" w:type="pct"/>
            <w:shd w:val="clear" w:color="auto" w:fill="auto"/>
            <w:noWrap/>
            <w:tcMar>
              <w:top w:w="0" w:type="dxa"/>
              <w:left w:w="51" w:type="dxa"/>
              <w:bottom w:w="0" w:type="dxa"/>
              <w:right w:w="51" w:type="dxa"/>
            </w:tcMar>
          </w:tcPr>
          <w:p w14:paraId="423F8A8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29" w:type="pct"/>
            <w:shd w:val="clear" w:color="auto" w:fill="auto"/>
            <w:noWrap/>
            <w:tcMar>
              <w:top w:w="0" w:type="dxa"/>
              <w:left w:w="51" w:type="dxa"/>
              <w:bottom w:w="0" w:type="dxa"/>
              <w:right w:w="51" w:type="dxa"/>
            </w:tcMar>
          </w:tcPr>
          <w:p w14:paraId="1AB12027"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15" w:type="pct"/>
          </w:tcPr>
          <w:p w14:paraId="182B2ED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2,1 </w:t>
            </w:r>
          </w:p>
        </w:tc>
        <w:tc>
          <w:tcPr>
            <w:tcW w:w="394" w:type="pct"/>
          </w:tcPr>
          <w:p w14:paraId="4BB1C50D" w14:textId="4EEE36D6"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702" w:type="pct"/>
            <w:shd w:val="clear" w:color="auto" w:fill="auto"/>
            <w:vAlign w:val="bottom"/>
          </w:tcPr>
          <w:p w14:paraId="7DE16BB8"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A3C26C3"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16468059"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vAlign w:val="center"/>
          </w:tcPr>
          <w:p w14:paraId="29B6A59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29" w:type="pct"/>
            <w:shd w:val="clear" w:color="auto" w:fill="auto"/>
            <w:noWrap/>
            <w:tcMar>
              <w:top w:w="0" w:type="dxa"/>
              <w:left w:w="51" w:type="dxa"/>
              <w:bottom w:w="0" w:type="dxa"/>
              <w:right w:w="51" w:type="dxa"/>
            </w:tcMar>
            <w:vAlign w:val="center"/>
          </w:tcPr>
          <w:p w14:paraId="5EFC0BE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0,6</w:t>
            </w:r>
          </w:p>
        </w:tc>
        <w:tc>
          <w:tcPr>
            <w:tcW w:w="329" w:type="pct"/>
            <w:shd w:val="clear" w:color="auto" w:fill="auto"/>
            <w:noWrap/>
            <w:tcMar>
              <w:top w:w="0" w:type="dxa"/>
              <w:left w:w="51" w:type="dxa"/>
              <w:bottom w:w="0" w:type="dxa"/>
              <w:right w:w="51" w:type="dxa"/>
            </w:tcMar>
            <w:vAlign w:val="center"/>
          </w:tcPr>
          <w:p w14:paraId="066108D7"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r w:rsidRPr="00E27050">
              <w:rPr>
                <w:rFonts w:ascii="Times New Roman" w:hAnsi="Times New Roman"/>
                <w:color w:val="000000"/>
                <w:sz w:val="22"/>
                <w:szCs w:val="22"/>
              </w:rPr>
              <w:t xml:space="preserve">  </w:t>
            </w:r>
          </w:p>
        </w:tc>
        <w:tc>
          <w:tcPr>
            <w:tcW w:w="315" w:type="pct"/>
            <w:vAlign w:val="center"/>
          </w:tcPr>
          <w:p w14:paraId="539CDFD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0,6 </w:t>
            </w:r>
          </w:p>
        </w:tc>
        <w:tc>
          <w:tcPr>
            <w:tcW w:w="394" w:type="pct"/>
            <w:vAlign w:val="center"/>
          </w:tcPr>
          <w:p w14:paraId="44453797" w14:textId="1DA40B62" w:rsidR="00FA4CE2" w:rsidRPr="008718E6" w:rsidRDefault="00965EB7" w:rsidP="00965EB7">
            <w:pPr>
              <w:spacing w:after="34"/>
              <w:jc w:val="center"/>
              <w:rPr>
                <w:rFonts w:ascii="Times New Roman" w:hAnsi="Times New Roman"/>
                <w:color w:val="000000"/>
                <w:sz w:val="22"/>
                <w:szCs w:val="22"/>
              </w:rPr>
            </w:pPr>
            <w:r>
              <w:rPr>
                <w:rFonts w:ascii="Times New Roman" w:hAnsi="Times New Roman"/>
                <w:color w:val="000000"/>
                <w:sz w:val="22"/>
                <w:szCs w:val="22"/>
              </w:rPr>
              <w:t>½</w:t>
            </w:r>
          </w:p>
        </w:tc>
        <w:tc>
          <w:tcPr>
            <w:tcW w:w="702" w:type="pct"/>
            <w:shd w:val="clear" w:color="auto" w:fill="auto"/>
            <w:noWrap/>
            <w:vAlign w:val="bottom"/>
          </w:tcPr>
          <w:p w14:paraId="2E7283EF" w14:textId="2DB05943" w:rsidR="00FA4CE2" w:rsidRPr="008718E6" w:rsidRDefault="00795FF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0,6</w:t>
            </w:r>
          </w:p>
        </w:tc>
      </w:tr>
      <w:tr w:rsidR="00FA4CE2" w:rsidRPr="008718E6" w14:paraId="2F49F938" w14:textId="77777777" w:rsidTr="006560B5">
        <w:trPr>
          <w:tblCellSpacing w:w="0" w:type="dxa"/>
        </w:trPr>
        <w:tc>
          <w:tcPr>
            <w:tcW w:w="2603" w:type="pct"/>
            <w:tcBorders>
              <w:top w:val="single" w:sz="4" w:space="0" w:color="auto"/>
            </w:tcBorders>
            <w:shd w:val="clear" w:color="auto" w:fill="auto"/>
            <w:noWrap/>
            <w:tcMar>
              <w:top w:w="0" w:type="dxa"/>
              <w:left w:w="51" w:type="dxa"/>
              <w:bottom w:w="0" w:type="dxa"/>
              <w:right w:w="51" w:type="dxa"/>
            </w:tcMar>
            <w:vAlign w:val="bottom"/>
          </w:tcPr>
          <w:p w14:paraId="70A7F6DB" w14:textId="2F2BCAB8" w:rsidR="00FA4CE2" w:rsidRPr="008718E6" w:rsidRDefault="00FA4CE2" w:rsidP="005E26E3">
            <w:pPr>
              <w:spacing w:after="34"/>
              <w:rPr>
                <w:rFonts w:ascii="Times New Roman" w:hAnsi="Times New Roman"/>
                <w:color w:val="000000"/>
                <w:sz w:val="22"/>
                <w:szCs w:val="22"/>
              </w:rPr>
            </w:pPr>
            <w:r w:rsidRPr="00E27050">
              <w:rPr>
                <w:rFonts w:ascii="Times New Roman" w:hAnsi="Times New Roman"/>
                <w:i/>
                <w:iCs/>
                <w:color w:val="000000"/>
                <w:sz w:val="22"/>
                <w:szCs w:val="22"/>
              </w:rPr>
              <w:t>Undervisnings</w:t>
            </w:r>
            <w:r w:rsidR="005E26E3">
              <w:rPr>
                <w:rFonts w:ascii="Times New Roman" w:hAnsi="Times New Roman"/>
                <w:i/>
                <w:iCs/>
                <w:color w:val="000000"/>
                <w:sz w:val="22"/>
                <w:szCs w:val="22"/>
              </w:rPr>
              <w:t>ansatte</w:t>
            </w:r>
            <w:r w:rsidRPr="00E27050">
              <w:rPr>
                <w:rFonts w:ascii="Times New Roman" w:hAnsi="Times New Roman"/>
                <w:i/>
                <w:iCs/>
                <w:color w:val="000000"/>
                <w:sz w:val="22"/>
                <w:szCs w:val="22"/>
              </w:rPr>
              <w:t xml:space="preserve"> i kommunene:</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noWrap/>
            <w:tcMar>
              <w:top w:w="0" w:type="dxa"/>
              <w:left w:w="51" w:type="dxa"/>
              <w:bottom w:w="0" w:type="dxa"/>
              <w:right w:w="51" w:type="dxa"/>
            </w:tcMar>
          </w:tcPr>
          <w:p w14:paraId="76B61EAD"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tcPr>
          <w:p w14:paraId="43C3BB13"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tcPr>
          <w:p w14:paraId="46EC94DB"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7D175DF0"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047BABDD"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noWrap/>
            <w:vAlign w:val="bottom"/>
          </w:tcPr>
          <w:p w14:paraId="177CF183"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14AA8A6"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3EAAFE3"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1D6A697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29" w:type="pct"/>
            <w:shd w:val="clear" w:color="auto" w:fill="auto"/>
            <w:noWrap/>
            <w:tcMar>
              <w:top w:w="0" w:type="dxa"/>
              <w:left w:w="51" w:type="dxa"/>
              <w:bottom w:w="0" w:type="dxa"/>
              <w:right w:w="51" w:type="dxa"/>
            </w:tcMar>
          </w:tcPr>
          <w:p w14:paraId="165BBC9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29" w:type="pct"/>
            <w:shd w:val="clear" w:color="auto" w:fill="auto"/>
            <w:noWrap/>
            <w:tcMar>
              <w:top w:w="0" w:type="dxa"/>
              <w:left w:w="51" w:type="dxa"/>
              <w:bottom w:w="0" w:type="dxa"/>
              <w:right w:w="51" w:type="dxa"/>
            </w:tcMar>
          </w:tcPr>
          <w:p w14:paraId="585EAA98"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,2</w:t>
            </w:r>
            <w:r w:rsidRPr="00E27050">
              <w:rPr>
                <w:rFonts w:ascii="Times New Roman" w:hAnsi="Times New Roman"/>
                <w:color w:val="000000"/>
                <w:sz w:val="22"/>
                <w:szCs w:val="22"/>
              </w:rPr>
              <w:t xml:space="preserve"> </w:t>
            </w:r>
          </w:p>
        </w:tc>
        <w:tc>
          <w:tcPr>
            <w:tcW w:w="315" w:type="pct"/>
          </w:tcPr>
          <w:p w14:paraId="42C37CD5"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2,3</w:t>
            </w:r>
            <w:r w:rsidRPr="00A11D7D">
              <w:rPr>
                <w:rFonts w:ascii="Times New Roman" w:hAnsi="Times New Roman"/>
                <w:color w:val="000000"/>
                <w:sz w:val="22"/>
                <w:szCs w:val="22"/>
                <w:vertAlign w:val="superscript"/>
              </w:rPr>
              <w:t>2</w:t>
            </w:r>
            <w:r>
              <w:rPr>
                <w:rFonts w:ascii="Times New Roman" w:hAnsi="Times New Roman"/>
                <w:color w:val="000000"/>
                <w:sz w:val="22"/>
                <w:szCs w:val="22"/>
              </w:rPr>
              <w:t xml:space="preserve"> </w:t>
            </w:r>
          </w:p>
        </w:tc>
        <w:tc>
          <w:tcPr>
            <w:tcW w:w="394" w:type="pct"/>
          </w:tcPr>
          <w:p w14:paraId="6098DBA2" w14:textId="340A7A1C"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4</w:t>
            </w:r>
            <w:r w:rsidRPr="00A11D7D">
              <w:rPr>
                <w:rFonts w:ascii="Times New Roman" w:hAnsi="Times New Roman"/>
                <w:color w:val="000000"/>
                <w:sz w:val="22"/>
                <w:szCs w:val="22"/>
                <w:vertAlign w:val="superscript"/>
              </w:rPr>
              <w:t>2</w:t>
            </w:r>
          </w:p>
        </w:tc>
        <w:tc>
          <w:tcPr>
            <w:tcW w:w="702" w:type="pct"/>
            <w:shd w:val="clear" w:color="auto" w:fill="auto"/>
            <w:noWrap/>
            <w:vAlign w:val="bottom"/>
          </w:tcPr>
          <w:p w14:paraId="632EB10A"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31D865E"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8349DE0"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noWrap/>
            <w:tcMar>
              <w:top w:w="0" w:type="dxa"/>
              <w:left w:w="51" w:type="dxa"/>
              <w:bottom w:w="0" w:type="dxa"/>
              <w:right w:w="51" w:type="dxa"/>
            </w:tcMar>
          </w:tcPr>
          <w:p w14:paraId="159995B6"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tcPr>
          <w:p w14:paraId="401119FE"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tcPr>
          <w:p w14:paraId="6B1F0BEC"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21195718"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642EFF05"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noWrap/>
            <w:vAlign w:val="bottom"/>
          </w:tcPr>
          <w:p w14:paraId="79FA51B5"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8EFC0EC"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EB8702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34B293B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9" w:type="pct"/>
            <w:shd w:val="clear" w:color="auto" w:fill="auto"/>
            <w:noWrap/>
            <w:tcMar>
              <w:top w:w="0" w:type="dxa"/>
              <w:left w:w="51" w:type="dxa"/>
              <w:bottom w:w="0" w:type="dxa"/>
              <w:right w:w="51" w:type="dxa"/>
            </w:tcMar>
          </w:tcPr>
          <w:p w14:paraId="41DA3C9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0,7</w:t>
            </w:r>
          </w:p>
        </w:tc>
        <w:tc>
          <w:tcPr>
            <w:tcW w:w="329" w:type="pct"/>
            <w:shd w:val="clear" w:color="auto" w:fill="auto"/>
            <w:noWrap/>
            <w:tcMar>
              <w:top w:w="0" w:type="dxa"/>
              <w:left w:w="51" w:type="dxa"/>
              <w:bottom w:w="0" w:type="dxa"/>
              <w:right w:w="51" w:type="dxa"/>
            </w:tcMar>
          </w:tcPr>
          <w:p w14:paraId="6C52FD3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2,5</w:t>
            </w:r>
          </w:p>
        </w:tc>
        <w:tc>
          <w:tcPr>
            <w:tcW w:w="315" w:type="pct"/>
          </w:tcPr>
          <w:p w14:paraId="46C80B34"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0,3</w:t>
            </w:r>
          </w:p>
        </w:tc>
        <w:tc>
          <w:tcPr>
            <w:tcW w:w="394" w:type="pct"/>
          </w:tcPr>
          <w:p w14:paraId="0362B1F8"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2,6</w:t>
            </w:r>
          </w:p>
        </w:tc>
        <w:tc>
          <w:tcPr>
            <w:tcW w:w="702" w:type="pct"/>
            <w:shd w:val="clear" w:color="auto" w:fill="auto"/>
            <w:noWrap/>
            <w:vAlign w:val="bottom"/>
          </w:tcPr>
          <w:p w14:paraId="7C523608"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23CB6FC8"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20C90CDB"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5BFEEF6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29" w:type="pct"/>
            <w:shd w:val="clear" w:color="auto" w:fill="auto"/>
            <w:noWrap/>
            <w:tcMar>
              <w:top w:w="0" w:type="dxa"/>
              <w:left w:w="51" w:type="dxa"/>
              <w:bottom w:w="0" w:type="dxa"/>
              <w:right w:w="51" w:type="dxa"/>
            </w:tcMar>
          </w:tcPr>
          <w:p w14:paraId="5E33CF1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2,9 </w:t>
            </w:r>
          </w:p>
        </w:tc>
        <w:tc>
          <w:tcPr>
            <w:tcW w:w="329" w:type="pct"/>
            <w:shd w:val="clear" w:color="auto" w:fill="auto"/>
            <w:noWrap/>
            <w:tcMar>
              <w:top w:w="0" w:type="dxa"/>
              <w:left w:w="51" w:type="dxa"/>
              <w:bottom w:w="0" w:type="dxa"/>
              <w:right w:w="51" w:type="dxa"/>
            </w:tcMar>
          </w:tcPr>
          <w:p w14:paraId="049D4CF4"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15" w:type="pct"/>
          </w:tcPr>
          <w:p w14:paraId="219DCFB6"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2,0</w:t>
            </w:r>
          </w:p>
        </w:tc>
        <w:tc>
          <w:tcPr>
            <w:tcW w:w="394" w:type="pct"/>
          </w:tcPr>
          <w:p w14:paraId="3E362CE5" w14:textId="1ED3A615"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1</w:t>
            </w:r>
          </w:p>
        </w:tc>
        <w:tc>
          <w:tcPr>
            <w:tcW w:w="702" w:type="pct"/>
            <w:shd w:val="clear" w:color="auto" w:fill="auto"/>
            <w:noWrap/>
            <w:vAlign w:val="bottom"/>
          </w:tcPr>
          <w:p w14:paraId="3F651460"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760EA398"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E8C1B6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vAlign w:val="center"/>
          </w:tcPr>
          <w:p w14:paraId="70033C4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29" w:type="pct"/>
            <w:shd w:val="clear" w:color="auto" w:fill="auto"/>
            <w:noWrap/>
            <w:tcMar>
              <w:top w:w="0" w:type="dxa"/>
              <w:left w:w="51" w:type="dxa"/>
              <w:bottom w:w="0" w:type="dxa"/>
              <w:right w:w="51" w:type="dxa"/>
            </w:tcMar>
            <w:vAlign w:val="center"/>
          </w:tcPr>
          <w:p w14:paraId="472BE959"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0,4 </w:t>
            </w:r>
          </w:p>
        </w:tc>
        <w:tc>
          <w:tcPr>
            <w:tcW w:w="329" w:type="pct"/>
            <w:shd w:val="clear" w:color="auto" w:fill="auto"/>
            <w:noWrap/>
            <w:tcMar>
              <w:top w:w="0" w:type="dxa"/>
              <w:left w:w="51" w:type="dxa"/>
              <w:bottom w:w="0" w:type="dxa"/>
              <w:right w:w="51" w:type="dxa"/>
            </w:tcMar>
            <w:vAlign w:val="center"/>
          </w:tcPr>
          <w:p w14:paraId="7AA3E3DB"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0,1</w:t>
            </w:r>
          </w:p>
        </w:tc>
        <w:tc>
          <w:tcPr>
            <w:tcW w:w="315" w:type="pct"/>
            <w:vAlign w:val="center"/>
          </w:tcPr>
          <w:p w14:paraId="7C69314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w:t>
            </w:r>
          </w:p>
        </w:tc>
        <w:tc>
          <w:tcPr>
            <w:tcW w:w="394" w:type="pct"/>
            <w:vAlign w:val="center"/>
          </w:tcPr>
          <w:p w14:paraId="6A957B23" w14:textId="3897356B"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1/3</w:t>
            </w:r>
          </w:p>
        </w:tc>
        <w:tc>
          <w:tcPr>
            <w:tcW w:w="702" w:type="pct"/>
            <w:shd w:val="clear" w:color="auto" w:fill="auto"/>
            <w:noWrap/>
            <w:vAlign w:val="bottom"/>
          </w:tcPr>
          <w:p w14:paraId="03A1ED06" w14:textId="615D18E2" w:rsidR="00FA4CE2" w:rsidRPr="008718E6" w:rsidRDefault="00795FF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0,3</w:t>
            </w:r>
          </w:p>
        </w:tc>
      </w:tr>
      <w:tr w:rsidR="00FA4CE2" w:rsidRPr="008718E6" w14:paraId="629332DF" w14:textId="77777777" w:rsidTr="006560B5">
        <w:trPr>
          <w:tblCellSpacing w:w="0" w:type="dxa"/>
        </w:trPr>
        <w:tc>
          <w:tcPr>
            <w:tcW w:w="2603" w:type="pct"/>
            <w:tcBorders>
              <w:top w:val="single" w:sz="4" w:space="0" w:color="auto"/>
            </w:tcBorders>
            <w:shd w:val="clear" w:color="auto" w:fill="auto"/>
            <w:noWrap/>
            <w:tcMar>
              <w:top w:w="0" w:type="dxa"/>
              <w:left w:w="51" w:type="dxa"/>
              <w:bottom w:w="0" w:type="dxa"/>
              <w:right w:w="51" w:type="dxa"/>
            </w:tcMar>
            <w:vAlign w:val="bottom"/>
          </w:tcPr>
          <w:p w14:paraId="2AA6E2B3" w14:textId="3E0CC94A" w:rsidR="00FA4CE2" w:rsidRPr="008718E6" w:rsidRDefault="00FA4CE2" w:rsidP="005E26E3">
            <w:pPr>
              <w:spacing w:after="34"/>
              <w:rPr>
                <w:rFonts w:ascii="Times New Roman" w:hAnsi="Times New Roman"/>
                <w:color w:val="000000"/>
                <w:sz w:val="22"/>
                <w:szCs w:val="22"/>
              </w:rPr>
            </w:pPr>
            <w:r w:rsidRPr="00E27050">
              <w:rPr>
                <w:rFonts w:ascii="Times New Roman" w:hAnsi="Times New Roman"/>
                <w:i/>
                <w:iCs/>
                <w:color w:val="000000"/>
                <w:sz w:val="22"/>
                <w:szCs w:val="22"/>
              </w:rPr>
              <w:t xml:space="preserve">Kommuneansatte eksklusiv </w:t>
            </w:r>
            <w:r w:rsidR="005E26E3" w:rsidRPr="00E27050">
              <w:rPr>
                <w:rFonts w:ascii="Times New Roman" w:hAnsi="Times New Roman"/>
                <w:i/>
                <w:iCs/>
                <w:color w:val="000000"/>
                <w:sz w:val="22"/>
                <w:szCs w:val="22"/>
              </w:rPr>
              <w:t>undervisnings</w:t>
            </w:r>
            <w:r w:rsidR="005E26E3">
              <w:rPr>
                <w:rFonts w:ascii="Times New Roman" w:hAnsi="Times New Roman"/>
                <w:i/>
                <w:iCs/>
                <w:color w:val="000000"/>
                <w:sz w:val="22"/>
                <w:szCs w:val="22"/>
              </w:rPr>
              <w:t>ansatte</w:t>
            </w:r>
            <w:r w:rsidRPr="00E27050">
              <w:rPr>
                <w:rFonts w:ascii="Times New Roman" w:hAnsi="Times New Roman"/>
                <w:i/>
                <w:iCs/>
                <w:color w:val="000000"/>
                <w:sz w:val="22"/>
                <w:szCs w:val="22"/>
              </w:rPr>
              <w:t>:</w:t>
            </w:r>
            <w:r w:rsidRPr="00E27050">
              <w:rPr>
                <w:rFonts w:ascii="Times New Roman" w:hAnsi="Times New Roman"/>
                <w:color w:val="000000"/>
                <w:sz w:val="22"/>
                <w:szCs w:val="22"/>
              </w:rPr>
              <w:t xml:space="preserve"> </w:t>
            </w:r>
          </w:p>
        </w:tc>
        <w:tc>
          <w:tcPr>
            <w:tcW w:w="328" w:type="pct"/>
            <w:tcBorders>
              <w:top w:val="single" w:sz="4" w:space="0" w:color="auto"/>
            </w:tcBorders>
            <w:shd w:val="clear" w:color="auto" w:fill="auto"/>
            <w:noWrap/>
            <w:tcMar>
              <w:top w:w="0" w:type="dxa"/>
              <w:left w:w="51" w:type="dxa"/>
              <w:bottom w:w="0" w:type="dxa"/>
              <w:right w:w="51" w:type="dxa"/>
            </w:tcMar>
          </w:tcPr>
          <w:p w14:paraId="5F53B6D5"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tcPr>
          <w:p w14:paraId="2999DFFF"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tcPr>
          <w:p w14:paraId="0F331294"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tcPr>
          <w:p w14:paraId="355C828C"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tcPr>
          <w:p w14:paraId="3908F2FA"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noWrap/>
            <w:vAlign w:val="bottom"/>
          </w:tcPr>
          <w:p w14:paraId="275E2A8D"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3DEC6AC4"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4137213"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tcPr>
          <w:p w14:paraId="390C0D4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4,3 </w:t>
            </w:r>
          </w:p>
        </w:tc>
        <w:tc>
          <w:tcPr>
            <w:tcW w:w="329" w:type="pct"/>
            <w:shd w:val="clear" w:color="auto" w:fill="auto"/>
            <w:noWrap/>
            <w:tcMar>
              <w:top w:w="0" w:type="dxa"/>
              <w:left w:w="51" w:type="dxa"/>
              <w:bottom w:w="0" w:type="dxa"/>
              <w:right w:w="51" w:type="dxa"/>
            </w:tcMar>
          </w:tcPr>
          <w:p w14:paraId="1E67515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tcPr>
          <w:p w14:paraId="7CA82E93"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,9</w:t>
            </w:r>
            <w:r w:rsidRPr="00E27050">
              <w:rPr>
                <w:rFonts w:ascii="Times New Roman" w:hAnsi="Times New Roman"/>
                <w:color w:val="000000"/>
                <w:sz w:val="22"/>
                <w:szCs w:val="22"/>
              </w:rPr>
              <w:t xml:space="preserve"> </w:t>
            </w:r>
          </w:p>
        </w:tc>
        <w:tc>
          <w:tcPr>
            <w:tcW w:w="315" w:type="pct"/>
          </w:tcPr>
          <w:p w14:paraId="5B0FB18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3,7</w:t>
            </w:r>
            <w:r w:rsidRPr="00A11D7D">
              <w:rPr>
                <w:rFonts w:ascii="Times New Roman" w:hAnsi="Times New Roman"/>
                <w:color w:val="000000"/>
                <w:sz w:val="22"/>
                <w:szCs w:val="22"/>
                <w:vertAlign w:val="superscript"/>
              </w:rPr>
              <w:t>2</w:t>
            </w:r>
            <w:r>
              <w:rPr>
                <w:rFonts w:ascii="Times New Roman" w:hAnsi="Times New Roman"/>
                <w:color w:val="000000"/>
                <w:sz w:val="22"/>
                <w:szCs w:val="22"/>
              </w:rPr>
              <w:t xml:space="preserve"> </w:t>
            </w:r>
          </w:p>
        </w:tc>
        <w:tc>
          <w:tcPr>
            <w:tcW w:w="394" w:type="pct"/>
          </w:tcPr>
          <w:p w14:paraId="041AE9F5" w14:textId="10FB5253" w:rsidR="00FA4CE2" w:rsidRPr="008718E6" w:rsidRDefault="00965EB7" w:rsidP="00965EB7">
            <w:pPr>
              <w:spacing w:after="34"/>
              <w:jc w:val="center"/>
              <w:rPr>
                <w:rFonts w:ascii="Times New Roman" w:hAnsi="Times New Roman"/>
                <w:color w:val="000000"/>
                <w:sz w:val="22"/>
                <w:szCs w:val="22"/>
              </w:rPr>
            </w:pPr>
            <w:r>
              <w:rPr>
                <w:rFonts w:ascii="Times New Roman" w:hAnsi="Times New Roman"/>
                <w:color w:val="000000"/>
                <w:sz w:val="22"/>
                <w:szCs w:val="22"/>
              </w:rPr>
              <w:t>3 ¼</w:t>
            </w:r>
            <w:r w:rsidRPr="00A11D7D">
              <w:rPr>
                <w:rFonts w:ascii="Times New Roman" w:hAnsi="Times New Roman"/>
                <w:color w:val="000000"/>
                <w:sz w:val="22"/>
                <w:szCs w:val="22"/>
                <w:vertAlign w:val="superscript"/>
              </w:rPr>
              <w:t>2</w:t>
            </w:r>
          </w:p>
        </w:tc>
        <w:tc>
          <w:tcPr>
            <w:tcW w:w="702" w:type="pct"/>
            <w:shd w:val="clear" w:color="auto" w:fill="auto"/>
            <w:noWrap/>
            <w:vAlign w:val="bottom"/>
          </w:tcPr>
          <w:p w14:paraId="178E01EC"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412E84B"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1C8A53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noWrap/>
            <w:tcMar>
              <w:top w:w="0" w:type="dxa"/>
              <w:left w:w="51" w:type="dxa"/>
              <w:bottom w:w="0" w:type="dxa"/>
              <w:right w:w="51" w:type="dxa"/>
            </w:tcMar>
          </w:tcPr>
          <w:p w14:paraId="7977EC4C"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tcPr>
          <w:p w14:paraId="08B12955"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tcPr>
          <w:p w14:paraId="0F8B4FF7" w14:textId="77777777" w:rsidR="00FA4CE2" w:rsidRPr="008718E6" w:rsidRDefault="00FA4CE2" w:rsidP="00FA4CE2">
            <w:pPr>
              <w:spacing w:after="34"/>
              <w:jc w:val="center"/>
              <w:rPr>
                <w:rFonts w:ascii="Times New Roman" w:hAnsi="Times New Roman"/>
                <w:color w:val="000000"/>
                <w:sz w:val="22"/>
                <w:szCs w:val="22"/>
              </w:rPr>
            </w:pPr>
          </w:p>
        </w:tc>
        <w:tc>
          <w:tcPr>
            <w:tcW w:w="315" w:type="pct"/>
          </w:tcPr>
          <w:p w14:paraId="6E875F0A" w14:textId="77777777" w:rsidR="00FA4CE2" w:rsidRPr="008718E6" w:rsidRDefault="00FA4CE2" w:rsidP="00FA4CE2">
            <w:pPr>
              <w:spacing w:after="34"/>
              <w:jc w:val="center"/>
              <w:rPr>
                <w:rFonts w:ascii="Times New Roman" w:hAnsi="Times New Roman"/>
                <w:color w:val="000000"/>
                <w:sz w:val="22"/>
                <w:szCs w:val="22"/>
              </w:rPr>
            </w:pPr>
          </w:p>
        </w:tc>
        <w:tc>
          <w:tcPr>
            <w:tcW w:w="394" w:type="pct"/>
          </w:tcPr>
          <w:p w14:paraId="5A55F832"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noWrap/>
            <w:vAlign w:val="bottom"/>
          </w:tcPr>
          <w:p w14:paraId="2F1F6FDB"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1D0C044A"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46666E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tcPr>
          <w:p w14:paraId="2785933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2,4</w:t>
            </w:r>
          </w:p>
        </w:tc>
        <w:tc>
          <w:tcPr>
            <w:tcW w:w="329" w:type="pct"/>
            <w:shd w:val="clear" w:color="auto" w:fill="auto"/>
            <w:noWrap/>
            <w:tcMar>
              <w:top w:w="0" w:type="dxa"/>
              <w:left w:w="51" w:type="dxa"/>
              <w:bottom w:w="0" w:type="dxa"/>
              <w:right w:w="51" w:type="dxa"/>
            </w:tcMar>
          </w:tcPr>
          <w:p w14:paraId="4A6D77C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9" w:type="pct"/>
            <w:shd w:val="clear" w:color="auto" w:fill="auto"/>
            <w:noWrap/>
            <w:tcMar>
              <w:top w:w="0" w:type="dxa"/>
              <w:left w:w="51" w:type="dxa"/>
              <w:bottom w:w="0" w:type="dxa"/>
              <w:right w:w="51" w:type="dxa"/>
            </w:tcMar>
          </w:tcPr>
          <w:p w14:paraId="6498DC1E"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2,3</w:t>
            </w:r>
          </w:p>
        </w:tc>
        <w:tc>
          <w:tcPr>
            <w:tcW w:w="315" w:type="pct"/>
          </w:tcPr>
          <w:p w14:paraId="57414809"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0,6</w:t>
            </w:r>
          </w:p>
        </w:tc>
        <w:tc>
          <w:tcPr>
            <w:tcW w:w="394" w:type="pct"/>
          </w:tcPr>
          <w:p w14:paraId="7E7552A3"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1,6</w:t>
            </w:r>
          </w:p>
        </w:tc>
        <w:tc>
          <w:tcPr>
            <w:tcW w:w="702" w:type="pct"/>
            <w:shd w:val="clear" w:color="auto" w:fill="auto"/>
            <w:noWrap/>
            <w:vAlign w:val="bottom"/>
          </w:tcPr>
          <w:p w14:paraId="75F04174"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2A38659"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10D5C2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tcPr>
          <w:p w14:paraId="28962DA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1,4</w:t>
            </w:r>
          </w:p>
        </w:tc>
        <w:tc>
          <w:tcPr>
            <w:tcW w:w="329" w:type="pct"/>
            <w:shd w:val="clear" w:color="auto" w:fill="auto"/>
            <w:noWrap/>
            <w:tcMar>
              <w:top w:w="0" w:type="dxa"/>
              <w:left w:w="51" w:type="dxa"/>
              <w:bottom w:w="0" w:type="dxa"/>
              <w:right w:w="51" w:type="dxa"/>
            </w:tcMar>
          </w:tcPr>
          <w:p w14:paraId="24610F98"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2,6 </w:t>
            </w:r>
          </w:p>
        </w:tc>
        <w:tc>
          <w:tcPr>
            <w:tcW w:w="329" w:type="pct"/>
            <w:shd w:val="clear" w:color="auto" w:fill="auto"/>
            <w:noWrap/>
            <w:tcMar>
              <w:top w:w="0" w:type="dxa"/>
              <w:left w:w="51" w:type="dxa"/>
              <w:bottom w:w="0" w:type="dxa"/>
              <w:right w:w="51" w:type="dxa"/>
            </w:tcMar>
          </w:tcPr>
          <w:p w14:paraId="3AA00419"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0,7</w:t>
            </w:r>
            <w:r w:rsidRPr="00E27050">
              <w:rPr>
                <w:rFonts w:ascii="Times New Roman" w:hAnsi="Times New Roman"/>
                <w:color w:val="000000"/>
                <w:sz w:val="22"/>
                <w:szCs w:val="22"/>
              </w:rPr>
              <w:t xml:space="preserve"> </w:t>
            </w:r>
          </w:p>
        </w:tc>
        <w:tc>
          <w:tcPr>
            <w:tcW w:w="315" w:type="pct"/>
          </w:tcPr>
          <w:p w14:paraId="27CA10AB"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2,1 </w:t>
            </w:r>
          </w:p>
        </w:tc>
        <w:tc>
          <w:tcPr>
            <w:tcW w:w="394" w:type="pct"/>
          </w:tcPr>
          <w:p w14:paraId="0DEE44F1" w14:textId="35A8E848" w:rsidR="00FA4CE2" w:rsidRPr="008718E6" w:rsidRDefault="00965EB7" w:rsidP="00FA4CE2">
            <w:pPr>
              <w:spacing w:after="34"/>
              <w:jc w:val="center"/>
              <w:rPr>
                <w:rFonts w:ascii="Times New Roman" w:hAnsi="Times New Roman"/>
                <w:color w:val="000000"/>
                <w:sz w:val="22"/>
                <w:szCs w:val="22"/>
              </w:rPr>
            </w:pPr>
            <w:r>
              <w:rPr>
                <w:rFonts w:ascii="Times New Roman" w:hAnsi="Times New Roman"/>
                <w:color w:val="000000"/>
                <w:sz w:val="22"/>
                <w:szCs w:val="22"/>
              </w:rPr>
              <w:t>1,1</w:t>
            </w:r>
          </w:p>
        </w:tc>
        <w:tc>
          <w:tcPr>
            <w:tcW w:w="702" w:type="pct"/>
            <w:shd w:val="clear" w:color="auto" w:fill="auto"/>
            <w:noWrap/>
            <w:vAlign w:val="bottom"/>
          </w:tcPr>
          <w:p w14:paraId="08D79CB5"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BD4AEB1"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665DFD1"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vAlign w:val="center"/>
          </w:tcPr>
          <w:p w14:paraId="6D484CC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0,5</w:t>
            </w:r>
          </w:p>
        </w:tc>
        <w:tc>
          <w:tcPr>
            <w:tcW w:w="329" w:type="pct"/>
            <w:shd w:val="clear" w:color="auto" w:fill="auto"/>
            <w:noWrap/>
            <w:tcMar>
              <w:top w:w="0" w:type="dxa"/>
              <w:left w:w="51" w:type="dxa"/>
              <w:bottom w:w="0" w:type="dxa"/>
              <w:right w:w="51" w:type="dxa"/>
            </w:tcMar>
            <w:vAlign w:val="center"/>
          </w:tcPr>
          <w:p w14:paraId="09B7930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0,7  </w:t>
            </w:r>
          </w:p>
        </w:tc>
        <w:tc>
          <w:tcPr>
            <w:tcW w:w="329" w:type="pct"/>
            <w:shd w:val="clear" w:color="auto" w:fill="auto"/>
            <w:noWrap/>
            <w:tcMar>
              <w:top w:w="0" w:type="dxa"/>
              <w:left w:w="51" w:type="dxa"/>
              <w:bottom w:w="0" w:type="dxa"/>
              <w:right w:w="51" w:type="dxa"/>
            </w:tcMar>
            <w:vAlign w:val="center"/>
          </w:tcPr>
          <w:p w14:paraId="628FD6F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0,9</w:t>
            </w:r>
          </w:p>
        </w:tc>
        <w:tc>
          <w:tcPr>
            <w:tcW w:w="315" w:type="pct"/>
            <w:vAlign w:val="center"/>
          </w:tcPr>
          <w:p w14:paraId="4337C69C"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1,0 </w:t>
            </w:r>
          </w:p>
        </w:tc>
        <w:tc>
          <w:tcPr>
            <w:tcW w:w="394" w:type="pct"/>
            <w:vAlign w:val="center"/>
          </w:tcPr>
          <w:p w14:paraId="4DCB1D92" w14:textId="62CCB266" w:rsidR="00FA4CE2" w:rsidRPr="008718E6" w:rsidRDefault="00965EB7" w:rsidP="00965EB7">
            <w:pPr>
              <w:spacing w:after="34"/>
              <w:jc w:val="center"/>
              <w:rPr>
                <w:rFonts w:ascii="Times New Roman" w:hAnsi="Times New Roman"/>
                <w:color w:val="000000"/>
                <w:sz w:val="22"/>
                <w:szCs w:val="22"/>
              </w:rPr>
            </w:pPr>
            <w:r>
              <w:rPr>
                <w:rFonts w:ascii="Times New Roman" w:hAnsi="Times New Roman"/>
                <w:color w:val="000000"/>
                <w:sz w:val="22"/>
                <w:szCs w:val="22"/>
              </w:rPr>
              <w:t>½</w:t>
            </w:r>
          </w:p>
        </w:tc>
        <w:tc>
          <w:tcPr>
            <w:tcW w:w="702" w:type="pct"/>
            <w:shd w:val="clear" w:color="auto" w:fill="auto"/>
            <w:noWrap/>
            <w:vAlign w:val="bottom"/>
          </w:tcPr>
          <w:p w14:paraId="043A4E26" w14:textId="4B90831F" w:rsidR="00FA4CE2" w:rsidRPr="008718E6" w:rsidRDefault="00795FF6"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0,7</w:t>
            </w:r>
          </w:p>
        </w:tc>
      </w:tr>
      <w:tr w:rsidR="00FA4CE2" w:rsidRPr="008718E6" w14:paraId="73EA7EAB" w14:textId="77777777" w:rsidTr="006560B5">
        <w:trPr>
          <w:tblCellSpacing w:w="0" w:type="dxa"/>
        </w:trPr>
        <w:tc>
          <w:tcPr>
            <w:tcW w:w="2603" w:type="pct"/>
            <w:tcBorders>
              <w:top w:val="single" w:sz="4" w:space="0" w:color="auto"/>
            </w:tcBorders>
            <w:shd w:val="clear" w:color="auto" w:fill="auto"/>
            <w:noWrap/>
            <w:tcMar>
              <w:top w:w="0" w:type="dxa"/>
              <w:left w:w="51" w:type="dxa"/>
              <w:bottom w:w="0" w:type="dxa"/>
              <w:right w:w="51" w:type="dxa"/>
            </w:tcMar>
            <w:vAlign w:val="bottom"/>
          </w:tcPr>
          <w:p w14:paraId="393EA08E"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i/>
                <w:color w:val="000000"/>
                <w:sz w:val="22"/>
                <w:szCs w:val="22"/>
              </w:rPr>
              <w:t>Spekter, helseforetakene:</w:t>
            </w:r>
          </w:p>
        </w:tc>
        <w:tc>
          <w:tcPr>
            <w:tcW w:w="328" w:type="pct"/>
            <w:tcBorders>
              <w:top w:val="single" w:sz="4" w:space="0" w:color="auto"/>
            </w:tcBorders>
            <w:shd w:val="clear" w:color="auto" w:fill="auto"/>
            <w:noWrap/>
            <w:tcMar>
              <w:top w:w="0" w:type="dxa"/>
              <w:left w:w="51" w:type="dxa"/>
              <w:bottom w:w="0" w:type="dxa"/>
              <w:right w:w="51" w:type="dxa"/>
            </w:tcMar>
            <w:vAlign w:val="center"/>
          </w:tcPr>
          <w:p w14:paraId="32A242C6"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vAlign w:val="center"/>
          </w:tcPr>
          <w:p w14:paraId="15E881F2" w14:textId="77777777" w:rsidR="00FA4CE2" w:rsidRPr="008718E6" w:rsidRDefault="00FA4CE2" w:rsidP="00FA4CE2">
            <w:pPr>
              <w:spacing w:after="34"/>
              <w:jc w:val="center"/>
              <w:rPr>
                <w:rFonts w:ascii="Times New Roman" w:hAnsi="Times New Roman"/>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vAlign w:val="center"/>
          </w:tcPr>
          <w:p w14:paraId="13CDD67E" w14:textId="77777777" w:rsidR="00FA4CE2" w:rsidRPr="008718E6" w:rsidRDefault="00FA4CE2" w:rsidP="00FA4CE2">
            <w:pPr>
              <w:spacing w:after="34"/>
              <w:jc w:val="center"/>
              <w:rPr>
                <w:rFonts w:ascii="Times New Roman" w:hAnsi="Times New Roman"/>
                <w:color w:val="000000"/>
                <w:sz w:val="22"/>
                <w:szCs w:val="22"/>
              </w:rPr>
            </w:pPr>
          </w:p>
        </w:tc>
        <w:tc>
          <w:tcPr>
            <w:tcW w:w="315" w:type="pct"/>
            <w:tcBorders>
              <w:top w:val="single" w:sz="4" w:space="0" w:color="auto"/>
            </w:tcBorders>
            <w:vAlign w:val="center"/>
          </w:tcPr>
          <w:p w14:paraId="5AAA4E61" w14:textId="77777777" w:rsidR="00FA4CE2" w:rsidRPr="008718E6" w:rsidRDefault="00FA4CE2" w:rsidP="00FA4CE2">
            <w:pPr>
              <w:spacing w:after="34"/>
              <w:jc w:val="center"/>
              <w:rPr>
                <w:rFonts w:ascii="Times New Roman" w:hAnsi="Times New Roman"/>
                <w:color w:val="000000"/>
                <w:sz w:val="22"/>
                <w:szCs w:val="22"/>
              </w:rPr>
            </w:pPr>
          </w:p>
        </w:tc>
        <w:tc>
          <w:tcPr>
            <w:tcW w:w="394" w:type="pct"/>
            <w:tcBorders>
              <w:top w:val="single" w:sz="4" w:space="0" w:color="auto"/>
            </w:tcBorders>
            <w:vAlign w:val="center"/>
          </w:tcPr>
          <w:p w14:paraId="528DB854" w14:textId="77777777" w:rsidR="00FA4CE2" w:rsidRPr="008718E6" w:rsidRDefault="00FA4CE2" w:rsidP="00FA4CE2">
            <w:pPr>
              <w:spacing w:after="34"/>
              <w:jc w:val="center"/>
              <w:rPr>
                <w:rFonts w:ascii="Times New Roman" w:hAnsi="Times New Roman"/>
                <w:color w:val="000000"/>
                <w:sz w:val="22"/>
                <w:szCs w:val="22"/>
              </w:rPr>
            </w:pPr>
          </w:p>
        </w:tc>
        <w:tc>
          <w:tcPr>
            <w:tcW w:w="702" w:type="pct"/>
            <w:tcBorders>
              <w:top w:val="single" w:sz="4" w:space="0" w:color="auto"/>
            </w:tcBorders>
            <w:shd w:val="clear" w:color="auto" w:fill="auto"/>
            <w:noWrap/>
            <w:vAlign w:val="bottom"/>
          </w:tcPr>
          <w:p w14:paraId="21E5473C"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D7A3649"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060A56F8"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vAlign w:val="center"/>
          </w:tcPr>
          <w:p w14:paraId="55B70A7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4,0</w:t>
            </w:r>
          </w:p>
        </w:tc>
        <w:tc>
          <w:tcPr>
            <w:tcW w:w="329" w:type="pct"/>
            <w:shd w:val="clear" w:color="auto" w:fill="auto"/>
            <w:noWrap/>
            <w:tcMar>
              <w:top w:w="0" w:type="dxa"/>
              <w:left w:w="51" w:type="dxa"/>
              <w:bottom w:w="0" w:type="dxa"/>
              <w:right w:w="51" w:type="dxa"/>
            </w:tcMar>
            <w:vAlign w:val="center"/>
          </w:tcPr>
          <w:p w14:paraId="6A1A1F3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3,7 </w:t>
            </w:r>
          </w:p>
        </w:tc>
        <w:tc>
          <w:tcPr>
            <w:tcW w:w="329" w:type="pct"/>
            <w:shd w:val="clear" w:color="auto" w:fill="auto"/>
            <w:noWrap/>
            <w:tcMar>
              <w:top w:w="0" w:type="dxa"/>
              <w:left w:w="51" w:type="dxa"/>
              <w:bottom w:w="0" w:type="dxa"/>
              <w:right w:w="51" w:type="dxa"/>
            </w:tcMar>
            <w:vAlign w:val="center"/>
          </w:tcPr>
          <w:p w14:paraId="072BAD7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,8</w:t>
            </w:r>
          </w:p>
        </w:tc>
        <w:tc>
          <w:tcPr>
            <w:tcW w:w="315" w:type="pct"/>
            <w:vAlign w:val="center"/>
          </w:tcPr>
          <w:p w14:paraId="31A96739"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3,4</w:t>
            </w:r>
          </w:p>
        </w:tc>
        <w:tc>
          <w:tcPr>
            <w:tcW w:w="394" w:type="pct"/>
            <w:vAlign w:val="center"/>
          </w:tcPr>
          <w:p w14:paraId="4AE9BEC3"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 ¾ </w:t>
            </w:r>
          </w:p>
        </w:tc>
        <w:tc>
          <w:tcPr>
            <w:tcW w:w="702" w:type="pct"/>
            <w:shd w:val="clear" w:color="auto" w:fill="auto"/>
            <w:noWrap/>
            <w:vAlign w:val="bottom"/>
          </w:tcPr>
          <w:p w14:paraId="04481C81"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08BD6DE3"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4817BEA"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color w:val="000000"/>
                <w:sz w:val="22"/>
                <w:szCs w:val="22"/>
              </w:rPr>
              <w:t>Herav:</w:t>
            </w:r>
          </w:p>
        </w:tc>
        <w:tc>
          <w:tcPr>
            <w:tcW w:w="328" w:type="pct"/>
            <w:shd w:val="clear" w:color="auto" w:fill="auto"/>
            <w:noWrap/>
            <w:tcMar>
              <w:top w:w="0" w:type="dxa"/>
              <w:left w:w="51" w:type="dxa"/>
              <w:bottom w:w="0" w:type="dxa"/>
              <w:right w:w="51" w:type="dxa"/>
            </w:tcMar>
            <w:vAlign w:val="center"/>
          </w:tcPr>
          <w:p w14:paraId="667BA156"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vAlign w:val="center"/>
          </w:tcPr>
          <w:p w14:paraId="2FE95E93"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vAlign w:val="center"/>
          </w:tcPr>
          <w:p w14:paraId="26DDEA52" w14:textId="77777777" w:rsidR="00FA4CE2" w:rsidRPr="008718E6" w:rsidRDefault="00FA4CE2" w:rsidP="00FA4CE2">
            <w:pPr>
              <w:spacing w:after="34"/>
              <w:jc w:val="center"/>
              <w:rPr>
                <w:rFonts w:ascii="Times New Roman" w:hAnsi="Times New Roman"/>
                <w:color w:val="000000"/>
                <w:sz w:val="22"/>
                <w:szCs w:val="22"/>
              </w:rPr>
            </w:pPr>
          </w:p>
        </w:tc>
        <w:tc>
          <w:tcPr>
            <w:tcW w:w="315" w:type="pct"/>
            <w:vAlign w:val="center"/>
          </w:tcPr>
          <w:p w14:paraId="2A73191E" w14:textId="77777777" w:rsidR="00FA4CE2" w:rsidRPr="008718E6" w:rsidRDefault="00FA4CE2" w:rsidP="00FA4CE2">
            <w:pPr>
              <w:spacing w:after="34"/>
              <w:jc w:val="center"/>
              <w:rPr>
                <w:rFonts w:ascii="Times New Roman" w:hAnsi="Times New Roman"/>
                <w:color w:val="000000"/>
                <w:sz w:val="22"/>
                <w:szCs w:val="22"/>
              </w:rPr>
            </w:pPr>
          </w:p>
        </w:tc>
        <w:tc>
          <w:tcPr>
            <w:tcW w:w="394" w:type="pct"/>
            <w:vAlign w:val="center"/>
          </w:tcPr>
          <w:p w14:paraId="1C9758C3"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noWrap/>
            <w:vAlign w:val="bottom"/>
          </w:tcPr>
          <w:p w14:paraId="7534E18A"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08ABBECE"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662D4F97"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vAlign w:val="center"/>
          </w:tcPr>
          <w:p w14:paraId="7353418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1,9</w:t>
            </w:r>
          </w:p>
        </w:tc>
        <w:tc>
          <w:tcPr>
            <w:tcW w:w="329" w:type="pct"/>
            <w:shd w:val="clear" w:color="auto" w:fill="auto"/>
            <w:noWrap/>
            <w:tcMar>
              <w:top w:w="0" w:type="dxa"/>
              <w:left w:w="51" w:type="dxa"/>
              <w:bottom w:w="0" w:type="dxa"/>
              <w:right w:w="51" w:type="dxa"/>
            </w:tcMar>
            <w:vAlign w:val="center"/>
          </w:tcPr>
          <w:p w14:paraId="5C06951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0,8</w:t>
            </w:r>
          </w:p>
        </w:tc>
        <w:tc>
          <w:tcPr>
            <w:tcW w:w="329" w:type="pct"/>
            <w:shd w:val="clear" w:color="auto" w:fill="auto"/>
            <w:noWrap/>
            <w:tcMar>
              <w:top w:w="0" w:type="dxa"/>
              <w:left w:w="51" w:type="dxa"/>
              <w:bottom w:w="0" w:type="dxa"/>
              <w:right w:w="51" w:type="dxa"/>
            </w:tcMar>
            <w:vAlign w:val="center"/>
          </w:tcPr>
          <w:p w14:paraId="039174B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1,0</w:t>
            </w:r>
          </w:p>
        </w:tc>
        <w:tc>
          <w:tcPr>
            <w:tcW w:w="315" w:type="pct"/>
            <w:vAlign w:val="center"/>
          </w:tcPr>
          <w:p w14:paraId="7E3815AD"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0,7</w:t>
            </w:r>
          </w:p>
        </w:tc>
        <w:tc>
          <w:tcPr>
            <w:tcW w:w="394" w:type="pct"/>
            <w:vAlign w:val="center"/>
          </w:tcPr>
          <w:p w14:paraId="48A495B1"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1,2</w:t>
            </w:r>
          </w:p>
        </w:tc>
        <w:tc>
          <w:tcPr>
            <w:tcW w:w="702" w:type="pct"/>
            <w:shd w:val="clear" w:color="auto" w:fill="auto"/>
            <w:noWrap/>
            <w:vAlign w:val="bottom"/>
          </w:tcPr>
          <w:p w14:paraId="6D0F8D47"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2E479250"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FC3886D"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vAlign w:val="center"/>
          </w:tcPr>
          <w:p w14:paraId="4B55A22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2,1 </w:t>
            </w:r>
          </w:p>
        </w:tc>
        <w:tc>
          <w:tcPr>
            <w:tcW w:w="329" w:type="pct"/>
            <w:shd w:val="clear" w:color="auto" w:fill="auto"/>
            <w:noWrap/>
            <w:tcMar>
              <w:top w:w="0" w:type="dxa"/>
              <w:left w:w="51" w:type="dxa"/>
              <w:bottom w:w="0" w:type="dxa"/>
              <w:right w:w="51" w:type="dxa"/>
            </w:tcMar>
            <w:vAlign w:val="center"/>
          </w:tcPr>
          <w:p w14:paraId="2F3A82DE"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2,9</w:t>
            </w:r>
          </w:p>
        </w:tc>
        <w:tc>
          <w:tcPr>
            <w:tcW w:w="329" w:type="pct"/>
            <w:shd w:val="clear" w:color="auto" w:fill="auto"/>
            <w:noWrap/>
            <w:tcMar>
              <w:top w:w="0" w:type="dxa"/>
              <w:left w:w="51" w:type="dxa"/>
              <w:bottom w:w="0" w:type="dxa"/>
              <w:right w:w="51" w:type="dxa"/>
            </w:tcMar>
            <w:vAlign w:val="center"/>
          </w:tcPr>
          <w:p w14:paraId="72BB4A2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,3</w:t>
            </w:r>
            <w:r w:rsidRPr="00E27050">
              <w:rPr>
                <w:rFonts w:ascii="Times New Roman" w:hAnsi="Times New Roman"/>
                <w:color w:val="000000"/>
                <w:sz w:val="22"/>
                <w:szCs w:val="22"/>
              </w:rPr>
              <w:t xml:space="preserve"> </w:t>
            </w:r>
          </w:p>
        </w:tc>
        <w:tc>
          <w:tcPr>
            <w:tcW w:w="315" w:type="pct"/>
            <w:vAlign w:val="center"/>
          </w:tcPr>
          <w:p w14:paraId="16197DC9"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2,5</w:t>
            </w:r>
          </w:p>
        </w:tc>
        <w:tc>
          <w:tcPr>
            <w:tcW w:w="394" w:type="pct"/>
            <w:vAlign w:val="center"/>
          </w:tcPr>
          <w:p w14:paraId="6AFB4EF9"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 ½ </w:t>
            </w:r>
          </w:p>
        </w:tc>
        <w:tc>
          <w:tcPr>
            <w:tcW w:w="702" w:type="pct"/>
            <w:shd w:val="clear" w:color="auto" w:fill="auto"/>
            <w:noWrap/>
            <w:vAlign w:val="bottom"/>
          </w:tcPr>
          <w:p w14:paraId="4611A72F"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5470701E"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0AC4D18B"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color w:val="000000"/>
                <w:sz w:val="22"/>
                <w:szCs w:val="22"/>
              </w:rPr>
              <w:t>- Lønnsglidning</w:t>
            </w:r>
          </w:p>
        </w:tc>
        <w:tc>
          <w:tcPr>
            <w:tcW w:w="328" w:type="pct"/>
            <w:shd w:val="clear" w:color="auto" w:fill="auto"/>
            <w:noWrap/>
            <w:tcMar>
              <w:top w:w="0" w:type="dxa"/>
              <w:left w:w="51" w:type="dxa"/>
              <w:bottom w:w="0" w:type="dxa"/>
              <w:right w:w="51" w:type="dxa"/>
            </w:tcMar>
            <w:vAlign w:val="center"/>
          </w:tcPr>
          <w:p w14:paraId="3BA78A1A"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29" w:type="pct"/>
            <w:shd w:val="clear" w:color="auto" w:fill="auto"/>
            <w:noWrap/>
            <w:tcMar>
              <w:top w:w="0" w:type="dxa"/>
              <w:left w:w="51" w:type="dxa"/>
              <w:bottom w:w="0" w:type="dxa"/>
              <w:right w:w="51" w:type="dxa"/>
            </w:tcMar>
            <w:vAlign w:val="center"/>
          </w:tcPr>
          <w:p w14:paraId="2569E1A9"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0,0</w:t>
            </w:r>
          </w:p>
        </w:tc>
        <w:tc>
          <w:tcPr>
            <w:tcW w:w="329" w:type="pct"/>
            <w:shd w:val="clear" w:color="auto" w:fill="auto"/>
            <w:noWrap/>
            <w:tcMar>
              <w:top w:w="0" w:type="dxa"/>
              <w:left w:w="51" w:type="dxa"/>
              <w:bottom w:w="0" w:type="dxa"/>
              <w:right w:w="51" w:type="dxa"/>
            </w:tcMar>
            <w:vAlign w:val="center"/>
          </w:tcPr>
          <w:p w14:paraId="6A02DE8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 xml:space="preserve"> </w:t>
            </w:r>
            <w:r>
              <w:rPr>
                <w:rFonts w:ascii="Times New Roman" w:hAnsi="Times New Roman"/>
                <w:color w:val="000000"/>
                <w:sz w:val="22"/>
                <w:szCs w:val="22"/>
              </w:rPr>
              <w:t>0,5</w:t>
            </w:r>
            <w:r w:rsidRPr="00E27050">
              <w:rPr>
                <w:rFonts w:ascii="Times New Roman" w:hAnsi="Times New Roman"/>
                <w:color w:val="000000"/>
                <w:sz w:val="22"/>
                <w:szCs w:val="22"/>
              </w:rPr>
              <w:t xml:space="preserve">  </w:t>
            </w:r>
          </w:p>
        </w:tc>
        <w:tc>
          <w:tcPr>
            <w:tcW w:w="315" w:type="pct"/>
            <w:vAlign w:val="center"/>
          </w:tcPr>
          <w:p w14:paraId="0B2065A6"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0,2</w:t>
            </w:r>
          </w:p>
        </w:tc>
        <w:tc>
          <w:tcPr>
            <w:tcW w:w="394" w:type="pct"/>
            <w:vAlign w:val="center"/>
          </w:tcPr>
          <w:p w14:paraId="74E83B09"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0</w:t>
            </w:r>
          </w:p>
        </w:tc>
        <w:tc>
          <w:tcPr>
            <w:tcW w:w="702" w:type="pct"/>
            <w:shd w:val="clear" w:color="auto" w:fill="auto"/>
            <w:noWrap/>
            <w:vAlign w:val="bottom"/>
          </w:tcPr>
          <w:p w14:paraId="0C2DCF25" w14:textId="77777777" w:rsidR="00FA4CE2" w:rsidRPr="008718E6" w:rsidRDefault="007F31B1"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0,1</w:t>
            </w:r>
          </w:p>
        </w:tc>
      </w:tr>
      <w:tr w:rsidR="00FA4CE2" w:rsidRPr="008718E6" w14:paraId="784468F9" w14:textId="77777777" w:rsidTr="006560B5">
        <w:trPr>
          <w:tblCellSpacing w:w="0" w:type="dxa"/>
        </w:trPr>
        <w:tc>
          <w:tcPr>
            <w:tcW w:w="2603" w:type="pct"/>
            <w:tcBorders>
              <w:top w:val="single" w:sz="4" w:space="0" w:color="auto"/>
            </w:tcBorders>
            <w:shd w:val="clear" w:color="auto" w:fill="auto"/>
            <w:noWrap/>
            <w:tcMar>
              <w:top w:w="0" w:type="dxa"/>
              <w:left w:w="51" w:type="dxa"/>
              <w:bottom w:w="0" w:type="dxa"/>
              <w:right w:w="51" w:type="dxa"/>
            </w:tcMar>
            <w:vAlign w:val="bottom"/>
          </w:tcPr>
          <w:p w14:paraId="788A1925" w14:textId="77777777" w:rsidR="00FA4CE2" w:rsidRPr="008718E6" w:rsidRDefault="00FA4CE2" w:rsidP="00FA4CE2">
            <w:pPr>
              <w:spacing w:after="34"/>
              <w:rPr>
                <w:rFonts w:ascii="Times New Roman" w:hAnsi="Times New Roman"/>
                <w:i/>
                <w:color w:val="000000"/>
                <w:sz w:val="22"/>
                <w:szCs w:val="22"/>
              </w:rPr>
            </w:pPr>
            <w:r w:rsidRPr="00E27050">
              <w:rPr>
                <w:rFonts w:ascii="Times New Roman" w:hAnsi="Times New Roman"/>
                <w:i/>
                <w:color w:val="000000"/>
                <w:sz w:val="22"/>
                <w:szCs w:val="22"/>
              </w:rPr>
              <w:t>Spekter, øvrige virksomheter:</w:t>
            </w:r>
          </w:p>
        </w:tc>
        <w:tc>
          <w:tcPr>
            <w:tcW w:w="328" w:type="pct"/>
            <w:tcBorders>
              <w:top w:val="single" w:sz="4" w:space="0" w:color="auto"/>
            </w:tcBorders>
            <w:shd w:val="clear" w:color="auto" w:fill="auto"/>
            <w:noWrap/>
            <w:tcMar>
              <w:top w:w="0" w:type="dxa"/>
              <w:left w:w="51" w:type="dxa"/>
              <w:bottom w:w="0" w:type="dxa"/>
              <w:right w:w="51" w:type="dxa"/>
            </w:tcMar>
            <w:vAlign w:val="center"/>
          </w:tcPr>
          <w:p w14:paraId="64F39002" w14:textId="77777777" w:rsidR="00FA4CE2" w:rsidRPr="008718E6" w:rsidRDefault="00FA4CE2" w:rsidP="00FA4CE2">
            <w:pPr>
              <w:spacing w:after="34"/>
              <w:jc w:val="center"/>
              <w:rPr>
                <w:rFonts w:ascii="Times New Roman" w:hAnsi="Times New Roman"/>
                <w:i/>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vAlign w:val="center"/>
          </w:tcPr>
          <w:p w14:paraId="6EE88865" w14:textId="77777777" w:rsidR="00FA4CE2" w:rsidRPr="008718E6" w:rsidRDefault="00FA4CE2" w:rsidP="00FA4CE2">
            <w:pPr>
              <w:spacing w:after="34"/>
              <w:jc w:val="center"/>
              <w:rPr>
                <w:rFonts w:ascii="Times New Roman" w:hAnsi="Times New Roman"/>
                <w:i/>
                <w:color w:val="000000"/>
                <w:sz w:val="22"/>
                <w:szCs w:val="22"/>
              </w:rPr>
            </w:pPr>
          </w:p>
        </w:tc>
        <w:tc>
          <w:tcPr>
            <w:tcW w:w="329" w:type="pct"/>
            <w:tcBorders>
              <w:top w:val="single" w:sz="4" w:space="0" w:color="auto"/>
            </w:tcBorders>
            <w:shd w:val="clear" w:color="auto" w:fill="auto"/>
            <w:noWrap/>
            <w:tcMar>
              <w:top w:w="0" w:type="dxa"/>
              <w:left w:w="51" w:type="dxa"/>
              <w:bottom w:w="0" w:type="dxa"/>
              <w:right w:w="51" w:type="dxa"/>
            </w:tcMar>
            <w:vAlign w:val="center"/>
          </w:tcPr>
          <w:p w14:paraId="69C58B91" w14:textId="77777777" w:rsidR="00FA4CE2" w:rsidRPr="008718E6" w:rsidRDefault="00FA4CE2" w:rsidP="00FA4CE2">
            <w:pPr>
              <w:spacing w:after="34"/>
              <w:jc w:val="center"/>
              <w:rPr>
                <w:rFonts w:ascii="Times New Roman" w:hAnsi="Times New Roman"/>
                <w:i/>
                <w:color w:val="000000"/>
                <w:sz w:val="22"/>
                <w:szCs w:val="22"/>
              </w:rPr>
            </w:pPr>
          </w:p>
        </w:tc>
        <w:tc>
          <w:tcPr>
            <w:tcW w:w="315" w:type="pct"/>
            <w:tcBorders>
              <w:top w:val="single" w:sz="4" w:space="0" w:color="auto"/>
            </w:tcBorders>
            <w:vAlign w:val="center"/>
          </w:tcPr>
          <w:p w14:paraId="5A8823B3" w14:textId="77777777" w:rsidR="00FA4CE2" w:rsidRPr="008718E6" w:rsidRDefault="00FA4CE2" w:rsidP="00FA4CE2">
            <w:pPr>
              <w:spacing w:after="34"/>
              <w:jc w:val="center"/>
              <w:rPr>
                <w:rFonts w:ascii="Times New Roman" w:hAnsi="Times New Roman"/>
                <w:i/>
                <w:color w:val="000000"/>
                <w:sz w:val="22"/>
                <w:szCs w:val="22"/>
              </w:rPr>
            </w:pPr>
          </w:p>
        </w:tc>
        <w:tc>
          <w:tcPr>
            <w:tcW w:w="394" w:type="pct"/>
            <w:tcBorders>
              <w:top w:val="single" w:sz="4" w:space="0" w:color="auto"/>
            </w:tcBorders>
            <w:vAlign w:val="center"/>
          </w:tcPr>
          <w:p w14:paraId="33CE64B1" w14:textId="77777777" w:rsidR="00FA4CE2" w:rsidRPr="008718E6" w:rsidRDefault="00FA4CE2" w:rsidP="00FA4CE2">
            <w:pPr>
              <w:spacing w:after="34"/>
              <w:jc w:val="center"/>
              <w:rPr>
                <w:rFonts w:ascii="Times New Roman" w:hAnsi="Times New Roman"/>
                <w:i/>
                <w:color w:val="000000"/>
                <w:sz w:val="22"/>
                <w:szCs w:val="22"/>
              </w:rPr>
            </w:pPr>
          </w:p>
        </w:tc>
        <w:tc>
          <w:tcPr>
            <w:tcW w:w="702" w:type="pct"/>
            <w:tcBorders>
              <w:top w:val="single" w:sz="4" w:space="0" w:color="auto"/>
            </w:tcBorders>
            <w:shd w:val="clear" w:color="auto" w:fill="auto"/>
            <w:noWrap/>
            <w:vAlign w:val="bottom"/>
          </w:tcPr>
          <w:p w14:paraId="0FF9ABE7" w14:textId="77777777" w:rsidR="00FA4CE2" w:rsidRPr="008718E6" w:rsidRDefault="00FA4CE2" w:rsidP="00FA4CE2">
            <w:pPr>
              <w:spacing w:after="34"/>
              <w:ind w:right="-15"/>
              <w:jc w:val="center"/>
              <w:rPr>
                <w:rFonts w:ascii="Times New Roman" w:hAnsi="Times New Roman"/>
                <w:i/>
                <w:color w:val="000000"/>
                <w:sz w:val="22"/>
                <w:szCs w:val="22"/>
              </w:rPr>
            </w:pPr>
          </w:p>
        </w:tc>
      </w:tr>
      <w:tr w:rsidR="00FA4CE2" w:rsidRPr="008718E6" w14:paraId="58C65C0A"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737C112A"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Årslønnsvekst</w:t>
            </w:r>
          </w:p>
        </w:tc>
        <w:tc>
          <w:tcPr>
            <w:tcW w:w="328" w:type="pct"/>
            <w:shd w:val="clear" w:color="auto" w:fill="auto"/>
            <w:noWrap/>
            <w:tcMar>
              <w:top w:w="0" w:type="dxa"/>
              <w:left w:w="51" w:type="dxa"/>
              <w:bottom w:w="0" w:type="dxa"/>
              <w:right w:w="51" w:type="dxa"/>
            </w:tcMar>
            <w:vAlign w:val="center"/>
          </w:tcPr>
          <w:p w14:paraId="79AB6A1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4,1</w:t>
            </w:r>
          </w:p>
        </w:tc>
        <w:tc>
          <w:tcPr>
            <w:tcW w:w="329" w:type="pct"/>
            <w:shd w:val="clear" w:color="auto" w:fill="auto"/>
            <w:noWrap/>
            <w:tcMar>
              <w:top w:w="0" w:type="dxa"/>
              <w:left w:w="51" w:type="dxa"/>
              <w:bottom w:w="0" w:type="dxa"/>
              <w:right w:w="51" w:type="dxa"/>
            </w:tcMar>
            <w:vAlign w:val="center"/>
          </w:tcPr>
          <w:p w14:paraId="40113172"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4,2</w:t>
            </w:r>
          </w:p>
        </w:tc>
        <w:tc>
          <w:tcPr>
            <w:tcW w:w="329" w:type="pct"/>
            <w:shd w:val="clear" w:color="auto" w:fill="auto"/>
            <w:noWrap/>
            <w:tcMar>
              <w:top w:w="0" w:type="dxa"/>
              <w:left w:w="51" w:type="dxa"/>
              <w:bottom w:w="0" w:type="dxa"/>
              <w:right w:w="51" w:type="dxa"/>
            </w:tcMar>
            <w:vAlign w:val="center"/>
          </w:tcPr>
          <w:p w14:paraId="6EA2B475"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3</w:t>
            </w:r>
            <w:r>
              <w:rPr>
                <w:rFonts w:ascii="Times New Roman" w:hAnsi="Times New Roman"/>
                <w:color w:val="000000"/>
                <w:sz w:val="22"/>
                <w:szCs w:val="22"/>
              </w:rPr>
              <w:t>,6</w:t>
            </w:r>
            <w:r w:rsidRPr="00E27050">
              <w:rPr>
                <w:rFonts w:ascii="Times New Roman" w:hAnsi="Times New Roman"/>
                <w:color w:val="000000"/>
                <w:sz w:val="22"/>
                <w:szCs w:val="22"/>
              </w:rPr>
              <w:t xml:space="preserve"> </w:t>
            </w:r>
          </w:p>
        </w:tc>
        <w:tc>
          <w:tcPr>
            <w:tcW w:w="315" w:type="pct"/>
            <w:vAlign w:val="center"/>
          </w:tcPr>
          <w:p w14:paraId="72F1E8BB"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3,3 </w:t>
            </w:r>
          </w:p>
        </w:tc>
        <w:tc>
          <w:tcPr>
            <w:tcW w:w="394" w:type="pct"/>
            <w:vAlign w:val="center"/>
          </w:tcPr>
          <w:p w14:paraId="457A546E"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 ¾ </w:t>
            </w:r>
          </w:p>
        </w:tc>
        <w:tc>
          <w:tcPr>
            <w:tcW w:w="702" w:type="pct"/>
            <w:shd w:val="clear" w:color="auto" w:fill="auto"/>
            <w:noWrap/>
            <w:vAlign w:val="bottom"/>
          </w:tcPr>
          <w:p w14:paraId="0105DB9A"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DDC68D0"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4CC5D535"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Herav:</w:t>
            </w:r>
          </w:p>
        </w:tc>
        <w:tc>
          <w:tcPr>
            <w:tcW w:w="328" w:type="pct"/>
            <w:shd w:val="clear" w:color="auto" w:fill="auto"/>
            <w:noWrap/>
            <w:tcMar>
              <w:top w:w="0" w:type="dxa"/>
              <w:left w:w="51" w:type="dxa"/>
              <w:bottom w:w="0" w:type="dxa"/>
              <w:right w:w="51" w:type="dxa"/>
            </w:tcMar>
            <w:vAlign w:val="center"/>
          </w:tcPr>
          <w:p w14:paraId="5C9134EF"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vAlign w:val="center"/>
          </w:tcPr>
          <w:p w14:paraId="49A89721" w14:textId="77777777" w:rsidR="00FA4CE2" w:rsidRPr="008718E6" w:rsidRDefault="00FA4CE2" w:rsidP="00FA4CE2">
            <w:pPr>
              <w:spacing w:after="34"/>
              <w:jc w:val="center"/>
              <w:rPr>
                <w:rFonts w:ascii="Times New Roman" w:hAnsi="Times New Roman"/>
                <w:color w:val="000000"/>
                <w:sz w:val="22"/>
                <w:szCs w:val="22"/>
              </w:rPr>
            </w:pPr>
          </w:p>
        </w:tc>
        <w:tc>
          <w:tcPr>
            <w:tcW w:w="329" w:type="pct"/>
            <w:shd w:val="clear" w:color="auto" w:fill="auto"/>
            <w:noWrap/>
            <w:tcMar>
              <w:top w:w="0" w:type="dxa"/>
              <w:left w:w="51" w:type="dxa"/>
              <w:bottom w:w="0" w:type="dxa"/>
              <w:right w:w="51" w:type="dxa"/>
            </w:tcMar>
            <w:vAlign w:val="center"/>
          </w:tcPr>
          <w:p w14:paraId="63BAB2D0" w14:textId="77777777" w:rsidR="00FA4CE2" w:rsidRPr="008718E6" w:rsidRDefault="00FA4CE2" w:rsidP="00FA4CE2">
            <w:pPr>
              <w:spacing w:after="34"/>
              <w:jc w:val="center"/>
              <w:rPr>
                <w:rFonts w:ascii="Times New Roman" w:hAnsi="Times New Roman"/>
                <w:color w:val="000000"/>
                <w:sz w:val="22"/>
                <w:szCs w:val="22"/>
              </w:rPr>
            </w:pPr>
          </w:p>
        </w:tc>
        <w:tc>
          <w:tcPr>
            <w:tcW w:w="315" w:type="pct"/>
            <w:vAlign w:val="center"/>
          </w:tcPr>
          <w:p w14:paraId="0C6AD000" w14:textId="77777777" w:rsidR="00FA4CE2" w:rsidRPr="008718E6" w:rsidRDefault="00FA4CE2" w:rsidP="00FA4CE2">
            <w:pPr>
              <w:spacing w:after="34"/>
              <w:jc w:val="center"/>
              <w:rPr>
                <w:rFonts w:ascii="Times New Roman" w:hAnsi="Times New Roman"/>
                <w:color w:val="000000"/>
                <w:sz w:val="22"/>
                <w:szCs w:val="22"/>
              </w:rPr>
            </w:pPr>
          </w:p>
        </w:tc>
        <w:tc>
          <w:tcPr>
            <w:tcW w:w="394" w:type="pct"/>
            <w:vAlign w:val="center"/>
          </w:tcPr>
          <w:p w14:paraId="78BA3BD4" w14:textId="77777777" w:rsidR="00FA4CE2" w:rsidRPr="008718E6" w:rsidRDefault="00FA4CE2" w:rsidP="00FA4CE2">
            <w:pPr>
              <w:spacing w:after="34"/>
              <w:jc w:val="center"/>
              <w:rPr>
                <w:rFonts w:ascii="Times New Roman" w:hAnsi="Times New Roman"/>
                <w:color w:val="000000"/>
                <w:sz w:val="22"/>
                <w:szCs w:val="22"/>
              </w:rPr>
            </w:pPr>
          </w:p>
        </w:tc>
        <w:tc>
          <w:tcPr>
            <w:tcW w:w="702" w:type="pct"/>
            <w:shd w:val="clear" w:color="auto" w:fill="auto"/>
            <w:noWrap/>
            <w:vAlign w:val="bottom"/>
          </w:tcPr>
          <w:p w14:paraId="1B963E30"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D39CF8F"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BADE84D"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Overheng</w:t>
            </w:r>
          </w:p>
        </w:tc>
        <w:tc>
          <w:tcPr>
            <w:tcW w:w="328" w:type="pct"/>
            <w:shd w:val="clear" w:color="auto" w:fill="auto"/>
            <w:noWrap/>
            <w:tcMar>
              <w:top w:w="0" w:type="dxa"/>
              <w:left w:w="51" w:type="dxa"/>
              <w:bottom w:w="0" w:type="dxa"/>
              <w:right w:w="51" w:type="dxa"/>
            </w:tcMar>
            <w:vAlign w:val="center"/>
          </w:tcPr>
          <w:p w14:paraId="19B5ABD0"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0,9</w:t>
            </w:r>
          </w:p>
        </w:tc>
        <w:tc>
          <w:tcPr>
            <w:tcW w:w="329" w:type="pct"/>
            <w:shd w:val="clear" w:color="auto" w:fill="auto"/>
            <w:noWrap/>
            <w:tcMar>
              <w:top w:w="0" w:type="dxa"/>
              <w:left w:w="51" w:type="dxa"/>
              <w:bottom w:w="0" w:type="dxa"/>
              <w:right w:w="51" w:type="dxa"/>
            </w:tcMar>
            <w:vAlign w:val="center"/>
          </w:tcPr>
          <w:p w14:paraId="698D1C3B"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29" w:type="pct"/>
            <w:shd w:val="clear" w:color="auto" w:fill="auto"/>
            <w:noWrap/>
            <w:tcMar>
              <w:top w:w="0" w:type="dxa"/>
              <w:left w:w="51" w:type="dxa"/>
              <w:bottom w:w="0" w:type="dxa"/>
              <w:right w:w="51" w:type="dxa"/>
            </w:tcMar>
            <w:vAlign w:val="center"/>
          </w:tcPr>
          <w:p w14:paraId="6581032F"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1,2</w:t>
            </w:r>
          </w:p>
        </w:tc>
        <w:tc>
          <w:tcPr>
            <w:tcW w:w="315" w:type="pct"/>
            <w:vAlign w:val="center"/>
          </w:tcPr>
          <w:p w14:paraId="216416A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0,8</w:t>
            </w:r>
          </w:p>
        </w:tc>
        <w:tc>
          <w:tcPr>
            <w:tcW w:w="394" w:type="pct"/>
            <w:vAlign w:val="center"/>
          </w:tcPr>
          <w:p w14:paraId="17C64383" w14:textId="77777777" w:rsidR="00FA4CE2" w:rsidRPr="008718E6" w:rsidRDefault="00476D1C" w:rsidP="00FA4CE2">
            <w:pPr>
              <w:spacing w:after="34"/>
              <w:jc w:val="center"/>
              <w:rPr>
                <w:rFonts w:ascii="Times New Roman" w:hAnsi="Times New Roman"/>
                <w:color w:val="000000"/>
                <w:sz w:val="22"/>
                <w:szCs w:val="22"/>
              </w:rPr>
            </w:pPr>
            <w:r>
              <w:rPr>
                <w:rFonts w:ascii="Times New Roman" w:hAnsi="Times New Roman"/>
                <w:color w:val="000000"/>
                <w:sz w:val="22"/>
                <w:szCs w:val="22"/>
              </w:rPr>
              <w:t>0,8</w:t>
            </w:r>
          </w:p>
        </w:tc>
        <w:tc>
          <w:tcPr>
            <w:tcW w:w="702" w:type="pct"/>
            <w:shd w:val="clear" w:color="auto" w:fill="auto"/>
            <w:noWrap/>
            <w:vAlign w:val="bottom"/>
          </w:tcPr>
          <w:p w14:paraId="2C18C492"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6491A06F" w14:textId="77777777" w:rsidTr="006560B5">
        <w:trPr>
          <w:tblCellSpacing w:w="0" w:type="dxa"/>
        </w:trPr>
        <w:tc>
          <w:tcPr>
            <w:tcW w:w="2603" w:type="pct"/>
            <w:shd w:val="clear" w:color="auto" w:fill="auto"/>
            <w:noWrap/>
            <w:tcMar>
              <w:top w:w="0" w:type="dxa"/>
              <w:left w:w="51" w:type="dxa"/>
              <w:bottom w:w="0" w:type="dxa"/>
              <w:right w:w="51" w:type="dxa"/>
            </w:tcMar>
            <w:vAlign w:val="bottom"/>
          </w:tcPr>
          <w:p w14:paraId="3DDC7578"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Tarifftillegg</w:t>
            </w:r>
          </w:p>
        </w:tc>
        <w:tc>
          <w:tcPr>
            <w:tcW w:w="328" w:type="pct"/>
            <w:shd w:val="clear" w:color="auto" w:fill="auto"/>
            <w:noWrap/>
            <w:tcMar>
              <w:top w:w="0" w:type="dxa"/>
              <w:left w:w="51" w:type="dxa"/>
              <w:bottom w:w="0" w:type="dxa"/>
              <w:right w:w="51" w:type="dxa"/>
            </w:tcMar>
            <w:vAlign w:val="center"/>
          </w:tcPr>
          <w:p w14:paraId="4D93523C"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29" w:type="pct"/>
            <w:shd w:val="clear" w:color="auto" w:fill="auto"/>
            <w:noWrap/>
            <w:tcMar>
              <w:top w:w="0" w:type="dxa"/>
              <w:left w:w="51" w:type="dxa"/>
              <w:bottom w:w="0" w:type="dxa"/>
              <w:right w:w="51" w:type="dxa"/>
            </w:tcMar>
            <w:vAlign w:val="center"/>
          </w:tcPr>
          <w:p w14:paraId="27C6B93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2,8</w:t>
            </w:r>
          </w:p>
        </w:tc>
        <w:tc>
          <w:tcPr>
            <w:tcW w:w="329" w:type="pct"/>
            <w:shd w:val="clear" w:color="auto" w:fill="auto"/>
            <w:noWrap/>
            <w:tcMar>
              <w:top w:w="0" w:type="dxa"/>
              <w:left w:w="51" w:type="dxa"/>
              <w:bottom w:w="0" w:type="dxa"/>
              <w:right w:w="51" w:type="dxa"/>
            </w:tcMar>
            <w:vAlign w:val="center"/>
          </w:tcPr>
          <w:p w14:paraId="0DBD3327"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2</w:t>
            </w:r>
            <w:r>
              <w:rPr>
                <w:rFonts w:ascii="Times New Roman" w:hAnsi="Times New Roman"/>
                <w:color w:val="000000"/>
                <w:sz w:val="22"/>
                <w:szCs w:val="22"/>
              </w:rPr>
              <w:t>,2</w:t>
            </w:r>
          </w:p>
        </w:tc>
        <w:tc>
          <w:tcPr>
            <w:tcW w:w="315" w:type="pct"/>
            <w:vAlign w:val="center"/>
          </w:tcPr>
          <w:p w14:paraId="2E60186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2,4 </w:t>
            </w:r>
          </w:p>
        </w:tc>
        <w:tc>
          <w:tcPr>
            <w:tcW w:w="394" w:type="pct"/>
            <w:vAlign w:val="center"/>
          </w:tcPr>
          <w:p w14:paraId="37956BA8"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1 ¾ </w:t>
            </w:r>
          </w:p>
        </w:tc>
        <w:tc>
          <w:tcPr>
            <w:tcW w:w="702" w:type="pct"/>
            <w:shd w:val="clear" w:color="auto" w:fill="auto"/>
            <w:noWrap/>
            <w:vAlign w:val="bottom"/>
          </w:tcPr>
          <w:p w14:paraId="7A4FDB01" w14:textId="77777777" w:rsidR="00FA4CE2" w:rsidRPr="008718E6" w:rsidRDefault="00FA4CE2" w:rsidP="00FA4CE2">
            <w:pPr>
              <w:spacing w:after="34"/>
              <w:ind w:right="-15"/>
              <w:jc w:val="center"/>
              <w:rPr>
                <w:rFonts w:ascii="Times New Roman" w:hAnsi="Times New Roman"/>
                <w:color w:val="000000"/>
                <w:sz w:val="22"/>
                <w:szCs w:val="22"/>
              </w:rPr>
            </w:pPr>
          </w:p>
        </w:tc>
      </w:tr>
      <w:tr w:rsidR="00FA4CE2" w:rsidRPr="008718E6" w14:paraId="4203D6A0" w14:textId="77777777" w:rsidTr="006560B5">
        <w:trPr>
          <w:tblCellSpacing w:w="0" w:type="dxa"/>
        </w:trPr>
        <w:tc>
          <w:tcPr>
            <w:tcW w:w="2603" w:type="pct"/>
            <w:tcBorders>
              <w:bottom w:val="single" w:sz="4" w:space="0" w:color="auto"/>
            </w:tcBorders>
            <w:shd w:val="clear" w:color="auto" w:fill="auto"/>
            <w:noWrap/>
            <w:tcMar>
              <w:top w:w="0" w:type="dxa"/>
              <w:left w:w="51" w:type="dxa"/>
              <w:bottom w:w="0" w:type="dxa"/>
              <w:right w:w="51" w:type="dxa"/>
            </w:tcMar>
            <w:vAlign w:val="bottom"/>
          </w:tcPr>
          <w:p w14:paraId="41C4B1E5" w14:textId="77777777" w:rsidR="00FA4CE2" w:rsidRPr="008718E6" w:rsidRDefault="00FA4CE2" w:rsidP="00FA4CE2">
            <w:pPr>
              <w:spacing w:after="34"/>
              <w:rPr>
                <w:rFonts w:ascii="Times New Roman" w:hAnsi="Times New Roman"/>
                <w:color w:val="000000"/>
                <w:sz w:val="22"/>
                <w:szCs w:val="22"/>
              </w:rPr>
            </w:pPr>
            <w:r w:rsidRPr="00E27050">
              <w:rPr>
                <w:rFonts w:ascii="Times New Roman" w:hAnsi="Times New Roman"/>
                <w:color w:val="000000"/>
                <w:sz w:val="22"/>
                <w:szCs w:val="22"/>
              </w:rPr>
              <w:t>- Lønnsglidning</w:t>
            </w:r>
          </w:p>
        </w:tc>
        <w:tc>
          <w:tcPr>
            <w:tcW w:w="328" w:type="pct"/>
            <w:tcBorders>
              <w:bottom w:val="single" w:sz="4" w:space="0" w:color="auto"/>
            </w:tcBorders>
            <w:shd w:val="clear" w:color="auto" w:fill="auto"/>
            <w:noWrap/>
            <w:tcMar>
              <w:top w:w="0" w:type="dxa"/>
              <w:left w:w="51" w:type="dxa"/>
              <w:bottom w:w="0" w:type="dxa"/>
              <w:right w:w="51" w:type="dxa"/>
            </w:tcMar>
            <w:vAlign w:val="center"/>
          </w:tcPr>
          <w:p w14:paraId="31E9636D"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0,4</w:t>
            </w:r>
          </w:p>
        </w:tc>
        <w:tc>
          <w:tcPr>
            <w:tcW w:w="329" w:type="pct"/>
            <w:tcBorders>
              <w:bottom w:val="single" w:sz="4" w:space="0" w:color="auto"/>
            </w:tcBorders>
            <w:shd w:val="clear" w:color="auto" w:fill="auto"/>
            <w:noWrap/>
            <w:tcMar>
              <w:top w:w="0" w:type="dxa"/>
              <w:left w:w="51" w:type="dxa"/>
              <w:bottom w:w="0" w:type="dxa"/>
              <w:right w:w="51" w:type="dxa"/>
            </w:tcMar>
            <w:vAlign w:val="center"/>
          </w:tcPr>
          <w:p w14:paraId="61982024" w14:textId="77777777" w:rsidR="00FA4CE2" w:rsidRPr="008718E6" w:rsidRDefault="00FA4CE2" w:rsidP="00FA4CE2">
            <w:pPr>
              <w:spacing w:after="34"/>
              <w:jc w:val="center"/>
              <w:rPr>
                <w:rFonts w:ascii="Times New Roman" w:hAnsi="Times New Roman"/>
                <w:color w:val="000000"/>
                <w:sz w:val="22"/>
                <w:szCs w:val="22"/>
              </w:rPr>
            </w:pPr>
            <w:r w:rsidRPr="00E27050">
              <w:rPr>
                <w:rFonts w:ascii="Times New Roman" w:hAnsi="Times New Roman"/>
                <w:color w:val="000000"/>
                <w:sz w:val="22"/>
                <w:szCs w:val="22"/>
              </w:rPr>
              <w:t>0,2</w:t>
            </w:r>
          </w:p>
        </w:tc>
        <w:tc>
          <w:tcPr>
            <w:tcW w:w="329" w:type="pct"/>
            <w:tcBorders>
              <w:bottom w:val="single" w:sz="4" w:space="0" w:color="auto"/>
            </w:tcBorders>
            <w:shd w:val="clear" w:color="auto" w:fill="auto"/>
            <w:noWrap/>
            <w:tcMar>
              <w:top w:w="0" w:type="dxa"/>
              <w:left w:w="51" w:type="dxa"/>
              <w:bottom w:w="0" w:type="dxa"/>
              <w:right w:w="51" w:type="dxa"/>
            </w:tcMar>
            <w:vAlign w:val="center"/>
          </w:tcPr>
          <w:p w14:paraId="2415F33A"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0,2</w:t>
            </w:r>
            <w:r w:rsidRPr="00E27050">
              <w:rPr>
                <w:rFonts w:ascii="Times New Roman" w:hAnsi="Times New Roman"/>
                <w:color w:val="000000"/>
                <w:sz w:val="22"/>
                <w:szCs w:val="22"/>
              </w:rPr>
              <w:t xml:space="preserve"> </w:t>
            </w:r>
          </w:p>
        </w:tc>
        <w:tc>
          <w:tcPr>
            <w:tcW w:w="315" w:type="pct"/>
            <w:tcBorders>
              <w:bottom w:val="single" w:sz="4" w:space="0" w:color="auto"/>
            </w:tcBorders>
            <w:vAlign w:val="center"/>
          </w:tcPr>
          <w:p w14:paraId="7920ABFE" w14:textId="77777777" w:rsidR="00FA4CE2" w:rsidRPr="008718E6" w:rsidRDefault="00FA4CE2"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0,1 </w:t>
            </w:r>
          </w:p>
        </w:tc>
        <w:tc>
          <w:tcPr>
            <w:tcW w:w="394" w:type="pct"/>
            <w:tcBorders>
              <w:bottom w:val="single" w:sz="4" w:space="0" w:color="auto"/>
            </w:tcBorders>
            <w:vAlign w:val="center"/>
          </w:tcPr>
          <w:p w14:paraId="75732AC1" w14:textId="77777777" w:rsidR="00FA4CE2" w:rsidRPr="008718E6" w:rsidRDefault="00A908D1" w:rsidP="00FA4CE2">
            <w:pPr>
              <w:spacing w:after="34"/>
              <w:jc w:val="center"/>
              <w:rPr>
                <w:rFonts w:ascii="Times New Roman" w:hAnsi="Times New Roman"/>
                <w:color w:val="000000"/>
                <w:sz w:val="22"/>
                <w:szCs w:val="22"/>
              </w:rPr>
            </w:pPr>
            <w:r>
              <w:rPr>
                <w:rFonts w:ascii="Times New Roman" w:hAnsi="Times New Roman"/>
                <w:color w:val="000000"/>
                <w:sz w:val="22"/>
                <w:szCs w:val="22"/>
              </w:rPr>
              <w:t xml:space="preserve">¼ </w:t>
            </w:r>
          </w:p>
        </w:tc>
        <w:tc>
          <w:tcPr>
            <w:tcW w:w="702" w:type="pct"/>
            <w:tcBorders>
              <w:bottom w:val="single" w:sz="4" w:space="0" w:color="auto"/>
            </w:tcBorders>
            <w:shd w:val="clear" w:color="auto" w:fill="auto"/>
            <w:noWrap/>
            <w:vAlign w:val="bottom"/>
          </w:tcPr>
          <w:p w14:paraId="5E3C1523" w14:textId="77777777" w:rsidR="00FA4CE2" w:rsidRPr="008718E6" w:rsidRDefault="007F31B1" w:rsidP="00FA4CE2">
            <w:pPr>
              <w:spacing w:after="34"/>
              <w:ind w:right="-15"/>
              <w:jc w:val="center"/>
              <w:rPr>
                <w:rFonts w:ascii="Times New Roman" w:hAnsi="Times New Roman"/>
                <w:color w:val="000000"/>
                <w:sz w:val="22"/>
                <w:szCs w:val="22"/>
              </w:rPr>
            </w:pPr>
            <w:r>
              <w:rPr>
                <w:rFonts w:ascii="Times New Roman" w:hAnsi="Times New Roman"/>
                <w:color w:val="000000"/>
                <w:sz w:val="22"/>
                <w:szCs w:val="22"/>
              </w:rPr>
              <w:t>0,2</w:t>
            </w:r>
          </w:p>
        </w:tc>
      </w:tr>
    </w:tbl>
    <w:p w14:paraId="1C38DA29" w14:textId="77777777" w:rsidR="000A5EC3" w:rsidRPr="000A5EC3" w:rsidRDefault="00FA4CE2" w:rsidP="008643D6">
      <w:pPr>
        <w:pStyle w:val="tabell-noter"/>
        <w:numPr>
          <w:ilvl w:val="0"/>
          <w:numId w:val="78"/>
        </w:numPr>
        <w:tabs>
          <w:tab w:val="clear" w:pos="284"/>
        </w:tabs>
        <w:spacing w:before="0" w:after="0"/>
        <w:ind w:left="142" w:hanging="142"/>
      </w:pPr>
      <w:r w:rsidRPr="000A5EC3">
        <w:t>Pga</w:t>
      </w:r>
      <w:r w:rsidRPr="000A5EC3">
        <w:rPr>
          <w:rFonts w:ascii="Times New Roman" w:hAnsi="Times New Roman" w:cs="Times New Roman"/>
          <w:sz w:val="18"/>
          <w:szCs w:val="18"/>
        </w:rPr>
        <w:t>. strukturendringer eller avrunding vil ikke alltid summen av tarifftillegg, overheng og glidning summere seg til det tallet som er oppgitt som samlet årslønnsvekst.</w:t>
      </w:r>
    </w:p>
    <w:p w14:paraId="446990F2" w14:textId="4C1609C5" w:rsidR="00FA4CE2" w:rsidRPr="002E611A" w:rsidRDefault="00FA4CE2" w:rsidP="008643D6">
      <w:pPr>
        <w:pStyle w:val="tabell-noter"/>
        <w:numPr>
          <w:ilvl w:val="0"/>
          <w:numId w:val="78"/>
        </w:numPr>
        <w:tabs>
          <w:tab w:val="clear" w:pos="284"/>
        </w:tabs>
        <w:spacing w:before="0" w:after="0"/>
        <w:ind w:left="142" w:hanging="142"/>
      </w:pPr>
      <w:r w:rsidRPr="000A5EC3">
        <w:rPr>
          <w:rFonts w:ascii="Times New Roman" w:hAnsi="Times New Roman" w:cs="Times New Roman"/>
          <w:sz w:val="18"/>
          <w:szCs w:val="18"/>
        </w:rPr>
        <w:t>Kommuneansatte omfatter også undervisnings</w:t>
      </w:r>
      <w:r w:rsidR="005E26E3" w:rsidRPr="000A5EC3">
        <w:rPr>
          <w:rFonts w:ascii="Times New Roman" w:hAnsi="Times New Roman" w:cs="Times New Roman"/>
          <w:sz w:val="18"/>
          <w:szCs w:val="18"/>
        </w:rPr>
        <w:t>ansatte</w:t>
      </w:r>
      <w:r w:rsidRPr="000A5EC3">
        <w:rPr>
          <w:rFonts w:ascii="Times New Roman" w:hAnsi="Times New Roman" w:cs="Times New Roman"/>
          <w:sz w:val="18"/>
          <w:szCs w:val="18"/>
        </w:rPr>
        <w:t>. For ansatte i konflikt i 2014 ble virkningstidspunkter forskjøvet. Dette trakk årslønnsvekstanslaget i 2014 ned med 0,2 prosentpoeng i hele kommunesektoren og med 0,9 prosentpoeng for undervisnings</w:t>
      </w:r>
      <w:r w:rsidR="005E26E3" w:rsidRPr="000A5EC3">
        <w:rPr>
          <w:rFonts w:ascii="Times New Roman" w:hAnsi="Times New Roman" w:cs="Times New Roman"/>
          <w:sz w:val="18"/>
          <w:szCs w:val="18"/>
        </w:rPr>
        <w:t>ansatte</w:t>
      </w:r>
      <w:r w:rsidRPr="000A5EC3">
        <w:rPr>
          <w:rFonts w:ascii="Times New Roman" w:hAnsi="Times New Roman" w:cs="Times New Roman"/>
          <w:sz w:val="18"/>
          <w:szCs w:val="18"/>
        </w:rPr>
        <w:t xml:space="preserve">. </w:t>
      </w:r>
      <w:r w:rsidR="00965EB7" w:rsidRPr="000A5EC3">
        <w:rPr>
          <w:rFonts w:ascii="Times New Roman" w:hAnsi="Times New Roman" w:cs="Times New Roman"/>
          <w:sz w:val="18"/>
          <w:szCs w:val="18"/>
        </w:rPr>
        <w:t>Konflikten har trukket opp årslønnsveksten i 2015 for kommuneansatte med 0,2 prosentpoeng og for undervisnings</w:t>
      </w:r>
      <w:r w:rsidR="005E26E3" w:rsidRPr="000A5EC3">
        <w:rPr>
          <w:rFonts w:ascii="Times New Roman" w:hAnsi="Times New Roman" w:cs="Times New Roman"/>
          <w:sz w:val="18"/>
          <w:szCs w:val="18"/>
        </w:rPr>
        <w:t>ansatte</w:t>
      </w:r>
      <w:r w:rsidR="00965EB7" w:rsidRPr="000A5EC3">
        <w:rPr>
          <w:rFonts w:ascii="Times New Roman" w:hAnsi="Times New Roman" w:cs="Times New Roman"/>
          <w:sz w:val="18"/>
          <w:szCs w:val="18"/>
        </w:rPr>
        <w:t xml:space="preserve"> med 0,9 prosentpoeng. For </w:t>
      </w:r>
      <w:r w:rsidR="005E26E3" w:rsidRPr="000A5EC3">
        <w:rPr>
          <w:rFonts w:ascii="Times New Roman" w:hAnsi="Times New Roman" w:cs="Times New Roman"/>
          <w:sz w:val="18"/>
          <w:szCs w:val="18"/>
        </w:rPr>
        <w:t>øvrige ansatte</w:t>
      </w:r>
      <w:r w:rsidR="00965EB7" w:rsidRPr="000A5EC3">
        <w:rPr>
          <w:rFonts w:ascii="Times New Roman" w:hAnsi="Times New Roman" w:cs="Times New Roman"/>
          <w:sz w:val="18"/>
          <w:szCs w:val="18"/>
        </w:rPr>
        <w:t xml:space="preserve"> er ikke årslønnsveksten i 2015 påvirket.</w:t>
      </w:r>
    </w:p>
    <w:p w14:paraId="20EA5A0D" w14:textId="77777777" w:rsidR="002124A0" w:rsidRDefault="00FA4CE2" w:rsidP="000A5EC3">
      <w:pPr>
        <w:pStyle w:val="Kilde"/>
        <w:spacing w:before="120"/>
      </w:pPr>
      <w:r w:rsidRPr="00D31B4A">
        <w:t>K</w:t>
      </w:r>
      <w:r w:rsidRPr="002D674C">
        <w:t>ilde</w:t>
      </w:r>
      <w:r>
        <w:t>r</w:t>
      </w:r>
      <w:r w:rsidRPr="002D674C">
        <w:t>: Statistisk sentralbyrå, KS</w:t>
      </w:r>
      <w:r>
        <w:t>, Spekter, NHO</w:t>
      </w:r>
      <w:r w:rsidRPr="002D674C">
        <w:t xml:space="preserve"> og </w:t>
      </w:r>
      <w:r>
        <w:rPr>
          <w:szCs w:val="24"/>
        </w:rPr>
        <w:t>Kommunal- og moderniserings</w:t>
      </w:r>
      <w:r w:rsidRPr="00392AE9">
        <w:rPr>
          <w:szCs w:val="24"/>
        </w:rPr>
        <w:t>departementet</w:t>
      </w:r>
      <w:r w:rsidRPr="002D674C">
        <w:t>.</w:t>
      </w:r>
    </w:p>
    <w:p w14:paraId="4071A882" w14:textId="77777777" w:rsidR="00EB0D8B" w:rsidRPr="00EB0D8B" w:rsidRDefault="00EB0D8B" w:rsidP="00EB0D8B"/>
    <w:p w14:paraId="1E946D2B" w14:textId="70B9E8A1" w:rsidR="004B1A77" w:rsidRPr="00895762" w:rsidRDefault="004B1A77" w:rsidP="00FA4CE2">
      <w:pPr>
        <w:pStyle w:val="Liste"/>
        <w:numPr>
          <w:ilvl w:val="0"/>
          <w:numId w:val="0"/>
        </w:numPr>
        <w:ind w:left="360"/>
      </w:pPr>
    </w:p>
    <w:p w14:paraId="3F2CC30B" w14:textId="77777777" w:rsidR="004B1A77" w:rsidRPr="0054791E" w:rsidRDefault="004B1A77" w:rsidP="004B1A77">
      <w:pPr>
        <w:pStyle w:val="Overskrift2"/>
      </w:pPr>
      <w:bookmarkStart w:id="30" w:name="_Toc225769695"/>
      <w:bookmarkStart w:id="31" w:name="_Toc225769821"/>
      <w:bookmarkStart w:id="32" w:name="_Toc226010286"/>
      <w:bookmarkStart w:id="33" w:name="_Toc286073349"/>
      <w:bookmarkStart w:id="34" w:name="_Toc286074003"/>
      <w:bookmarkStart w:id="35" w:name="_Toc286074993"/>
      <w:bookmarkStart w:id="36" w:name="_Toc286075242"/>
      <w:bookmarkStart w:id="37" w:name="_Toc286076961"/>
      <w:bookmarkStart w:id="38" w:name="_Toc320820659"/>
      <w:bookmarkStart w:id="39" w:name="_Toc351913428"/>
      <w:bookmarkStart w:id="40" w:name="_Toc380506122"/>
      <w:bookmarkStart w:id="41" w:name="_Toc422226815"/>
      <w:bookmarkStart w:id="42" w:name="_Toc442351731"/>
      <w:bookmarkStart w:id="43" w:name="_Toc443998953"/>
      <w:r w:rsidRPr="0054791E">
        <w:t>Lønnsutviklingen i enkelte tariffområder</w:t>
      </w:r>
      <w:bookmarkEnd w:id="30"/>
      <w:bookmarkEnd w:id="31"/>
      <w:bookmarkEnd w:id="32"/>
      <w:bookmarkEnd w:id="33"/>
      <w:bookmarkEnd w:id="34"/>
      <w:bookmarkEnd w:id="35"/>
      <w:bookmarkEnd w:id="36"/>
      <w:bookmarkEnd w:id="37"/>
      <w:bookmarkEnd w:id="38"/>
      <w:bookmarkEnd w:id="39"/>
      <w:bookmarkEnd w:id="40"/>
      <w:bookmarkEnd w:id="41"/>
      <w:bookmarkEnd w:id="42"/>
      <w:bookmarkEnd w:id="43"/>
      <w:r w:rsidR="00F462E2">
        <w:t xml:space="preserve"> </w:t>
      </w:r>
    </w:p>
    <w:p w14:paraId="33434E38" w14:textId="3EB19BB9" w:rsidR="004B1A77" w:rsidRDefault="004B1A77" w:rsidP="008378A7">
      <w:pPr>
        <w:pStyle w:val="Overskrift3"/>
      </w:pPr>
      <w:bookmarkStart w:id="44" w:name="_Toc286073350"/>
      <w:bookmarkStart w:id="45" w:name="_Toc286074994"/>
      <w:bookmarkStart w:id="46" w:name="_Toc286075243"/>
      <w:bookmarkStart w:id="47" w:name="_Toc286076962"/>
      <w:bookmarkStart w:id="48" w:name="_Toc320820660"/>
      <w:bookmarkStart w:id="49" w:name="_Toc351913429"/>
      <w:bookmarkStart w:id="50" w:name="_Toc380506123"/>
      <w:bookmarkStart w:id="51" w:name="_Toc422226816"/>
      <w:bookmarkStart w:id="52" w:name="_Toc442351732"/>
      <w:bookmarkStart w:id="53" w:name="_Toc443998954"/>
      <w:r w:rsidRPr="00BA1C84">
        <w:t>Lønnsutviklingen for industriarbeidere i LO-NHO-området</w:t>
      </w:r>
      <w:bookmarkEnd w:id="44"/>
      <w:bookmarkEnd w:id="45"/>
      <w:bookmarkEnd w:id="46"/>
      <w:bookmarkEnd w:id="47"/>
      <w:bookmarkEnd w:id="48"/>
      <w:bookmarkEnd w:id="49"/>
      <w:bookmarkEnd w:id="50"/>
      <w:bookmarkEnd w:id="51"/>
      <w:bookmarkEnd w:id="52"/>
      <w:bookmarkEnd w:id="53"/>
    </w:p>
    <w:p w14:paraId="3D443FDF" w14:textId="26C943E1" w:rsidR="001C2B75" w:rsidRPr="00CB70E9" w:rsidRDefault="001C2B75" w:rsidP="00EB0D8B">
      <w:pPr>
        <w:pStyle w:val="Def"/>
      </w:pPr>
      <w:bookmarkStart w:id="54" w:name="_Toc96946410"/>
      <w:bookmarkStart w:id="55" w:name="_Toc96946580"/>
      <w:bookmarkStart w:id="56" w:name="_Toc96946805"/>
      <w:bookmarkStart w:id="57" w:name="_Toc225769701"/>
      <w:bookmarkStart w:id="58" w:name="_Toc225769827"/>
      <w:bookmarkStart w:id="59" w:name="_Toc226010292"/>
      <w:bookmarkStart w:id="60" w:name="_Toc286073355"/>
      <w:bookmarkStart w:id="61" w:name="_Toc286074999"/>
      <w:bookmarkStart w:id="62" w:name="_Toc286075248"/>
      <w:bookmarkStart w:id="63" w:name="_Toc289722983"/>
      <w:bookmarkStart w:id="64" w:name="_Toc296427212"/>
      <w:bookmarkStart w:id="65" w:name="_Toc225769703"/>
      <w:bookmarkStart w:id="66" w:name="_Toc225769829"/>
      <w:bookmarkStart w:id="67" w:name="_Toc226010294"/>
      <w:bookmarkStart w:id="68" w:name="_Toc286073357"/>
      <w:bookmarkStart w:id="69" w:name="_Toc286074004"/>
      <w:bookmarkStart w:id="70" w:name="_Toc286075001"/>
      <w:bookmarkStart w:id="71" w:name="_Toc286075250"/>
      <w:bookmarkStart w:id="72" w:name="_Toc289722985"/>
      <w:bookmarkStart w:id="73" w:name="_Toc296427214"/>
      <w:bookmarkStart w:id="74" w:name="_Toc96946413"/>
      <w:bookmarkStart w:id="75" w:name="_Toc96946583"/>
      <w:bookmarkStart w:id="76" w:name="_Toc96946808"/>
      <w:r w:rsidRPr="00CB70E9">
        <w:t xml:space="preserve">For industriarbeidere steg lønn per årsverk (både heltid og deltid) med om lag 2 ½ prosent fra 2014 til 2015, mot 3,0 prosent året før, basert på foreløpig datamateriale for NHO-bedrifter. Så lav lønnsvekst for industriarbeidere har vi ikke hatt siden 1993. Fra </w:t>
      </w:r>
      <w:r w:rsidR="003F6C60">
        <w:t>1.</w:t>
      </w:r>
      <w:r w:rsidRPr="00CB70E9">
        <w:t xml:space="preserve"> oktober 2014 til 1.</w:t>
      </w:r>
      <w:r w:rsidR="003F6C60">
        <w:t xml:space="preserve"> </w:t>
      </w:r>
      <w:r w:rsidRPr="00CB70E9">
        <w:t xml:space="preserve">oktober 2015 var det også en vekst på vel 2 ½ prosent basert på foreløpig materiale, mot 2,8 prosent året før. For industriarbeidere er hvert tariffavtaleområde (ca. 40) vektet sammen til et gjennomsnittstall. Lønnsveksten er bygd opp av en rekke lønnselementer med ulik periodisering som kan bevege seg ulikt mellom år. </w:t>
      </w:r>
    </w:p>
    <w:p w14:paraId="7E5311E5" w14:textId="7C8B0344" w:rsidR="001C2B75" w:rsidRPr="00CB70E9" w:rsidRDefault="001C2B75" w:rsidP="00CB70E9">
      <w:r w:rsidRPr="00CB70E9">
        <w:t>Det er noe større usikkerhet i lønnsveksten fra 2014 til 2015, knyttet til at data for 2015 på grunn av overgang til nytt, elektronisk system for bedrifters rapportering av lønn (A-ordningen) sammenlignes med utvalgsbasert tradisjonell lønnsstatistikk for 2014</w:t>
      </w:r>
      <w:r w:rsidR="00ED3B72">
        <w:t xml:space="preserve">, </w:t>
      </w:r>
      <w:r w:rsidRPr="00CB70E9">
        <w:t>jf. boks 1.1</w:t>
      </w:r>
      <w:r w:rsidR="000A6853">
        <w:t xml:space="preserve">. </w:t>
      </w:r>
    </w:p>
    <w:p w14:paraId="30999726" w14:textId="3E0EF8C2" w:rsidR="001C2B75" w:rsidRPr="00CB70E9" w:rsidRDefault="001C2B75" w:rsidP="001C2B75">
      <w:r w:rsidRPr="00CB70E9">
        <w:t>En utfordring er at bedriftenes klassifisering av lønnskomponenter i 2015, ikke er helt lik den i 2014.</w:t>
      </w:r>
      <w:r w:rsidR="0010118E">
        <w:t xml:space="preserve"> </w:t>
      </w:r>
      <w:r w:rsidRPr="00CB70E9">
        <w:t>Bonus er basert på gjennomsnittlig bonus i 9 måneder av 2015 omregnet til 12 måneder, sammenlignet med tilsvarende fra utvalgsstatistikken i 2014. I tidligere utvalgsstatistikker har man målt bonuser over 12 måneder (hvor man tok med seg bonus fra siste kvartal året før), for å justere for sesong. Bonus for 4.</w:t>
      </w:r>
      <w:r w:rsidR="003F6C60">
        <w:t xml:space="preserve"> </w:t>
      </w:r>
      <w:r w:rsidRPr="00CB70E9">
        <w:t>kvartal 2014 er ikke tilgjengelig i datamaterialet fra A-ordningen for 2015 eller fra utvalgsstatistikken i 2014. Tidligere grunnmateriale hadde likevel bonuser for 9 måneder spesifisert, slik at lønnskomponenten er sammenlignbar med 2015. Det lønnsstatistikken registrerer som utbetalt bonus for ett år, kan være opptjent året før.</w:t>
      </w:r>
    </w:p>
    <w:p w14:paraId="0F486752" w14:textId="12F05D47" w:rsidR="001C2B75" w:rsidRPr="00CB70E9" w:rsidRDefault="001C2B75" w:rsidP="001C2B75">
      <w:r w:rsidRPr="00CB70E9">
        <w:t xml:space="preserve">Uregelmessige tillegg er knyttet til lønn etter arbeidets art slik som skifttillegg, offshoretillegg etc. I A-ordningen for 2015 er slike tillegg innberettet på en langt mere detaljert og omfangsrik måte. Elementer i "uregelmessige tillegg" for 2015, er summert og sammenholdt med 2014-materiale. Uregelmessige tillegg er basert på gjennomsnittet av de 9 første månedene av 2015 for et utvalg NHO-bedrifter, sammenlignet med tilsvarende for 2014 fra utvalgsstatistikken. </w:t>
      </w:r>
    </w:p>
    <w:p w14:paraId="67B07872" w14:textId="6B9E4D6B" w:rsidR="001C2B75" w:rsidRPr="00CB70E9" w:rsidRDefault="001C2B75" w:rsidP="00EB0D8B">
      <w:pPr>
        <w:pStyle w:val="Def"/>
      </w:pPr>
      <w:r w:rsidRPr="00CB70E9">
        <w:t xml:space="preserve">De sentrale forhandlingene mellom LO og NHO ved mellomoppgjøret 2015 resulterte i tillegg på kr 1,75 pr. time til arbeidstakere på overenskomster med et gjennomsnittlig lønnsnivå på eller lavere enn 90 prosent av gjennomsnittlig industriarbeiderlønn i 2014. Det ble ikke gitt generelle tillegg i 2015. Sammen med garantiordninger og sentrale tilpasninger av minstelønnssatser, bidro tarifftilleggene til at gjennomsnittlig industriarbeiderlønn økte med anslagsvis 0,2 prosent pr. 1. april 2015. Sammen med lønnsoverhenget på 1,0 prosent ble lønnsveksten fra 2014 til 2015 beregnet til 1,1-1,2 prosent før lønnsglidning. Med en årslønnsvekst på om lag 2 </w:t>
      </w:r>
      <w:r w:rsidR="003F6C60">
        <w:t>½</w:t>
      </w:r>
      <w:r w:rsidRPr="00CB70E9">
        <w:t xml:space="preserve"> prosent, er lønnsglidningen foreløpig beregnet til om lag 1 </w:t>
      </w:r>
      <w:r w:rsidR="003F6C60">
        <w:t>¼</w:t>
      </w:r>
      <w:r w:rsidRPr="00CB70E9">
        <w:t xml:space="preserve"> prosent, mot 1,1 prosent året før. Det vises til tabell 1.3 for oversikt over historisk lønnsglidning.</w:t>
      </w:r>
    </w:p>
    <w:p w14:paraId="7809AE70" w14:textId="2A3733AD" w:rsidR="001C2B75" w:rsidRPr="00CB70E9" w:rsidRDefault="001C2B75" w:rsidP="001C2B75">
      <w:r w:rsidRPr="00CB70E9">
        <w:t xml:space="preserve">Fordelingen mellom tarifftillegg og lønnsglidning er estimert på bakgrunn av summarisk tallmateriale og opplysninger om tariffoppgjør på bestemte tidspunkt. Strukturelle forhold som f.eks. redusert sysselsetting for personer med lav lønn og ev. lavere ansiennitet enn gjennomsnittet, vil isolert øke lønnsglidningen og lønnsveksten. Tilsvarende vil f.eks. redusert sysselsetting i grupper med høyere lønnsnivå trekke i motsatt retning. </w:t>
      </w:r>
    </w:p>
    <w:p w14:paraId="168410CE" w14:textId="0F4A7AB5" w:rsidR="001C2B75" w:rsidRPr="00CB70E9" w:rsidRDefault="001C2B75" w:rsidP="001C2B75">
      <w:r w:rsidRPr="00CB70E9">
        <w:t xml:space="preserve">Lønnsoverhenget for industriarbeidere inn i 2016 er foreløpig beregnet til om lag 1 prosent, det samme som året før. Det er imidlertid stor usikkerhet i beregning av lønnsoverheng fra A-ordningens opplysninger knyttet til september måned, hvor man har foretatt justering av etterbetalinger etc. ved bruk av oktobertall. Det nye innrapporteringssystemet vil fra neste år gi mulighet til å måle lønnsoverhenget lenger ut i året. Dette vil innebære at utvalget fra neste år </w:t>
      </w:r>
      <w:r w:rsidR="006F417B">
        <w:t xml:space="preserve">må </w:t>
      </w:r>
      <w:r w:rsidRPr="00CB70E9">
        <w:t xml:space="preserve">vurdere målingen av lønnsoverhenget i lys av nye muligheter innberetningene gir.  </w:t>
      </w:r>
    </w:p>
    <w:p w14:paraId="638561C9" w14:textId="67E8025E" w:rsidR="001C2B75" w:rsidRPr="00CB70E9" w:rsidRDefault="001C2B75" w:rsidP="001C2B75">
      <w:r w:rsidRPr="00CB70E9">
        <w:t>Ved hovedoppgjøret i 2014 forhandlet først Fellesforbundet (LO) og Norsk Industri (NHO) Industrioverenskomsten (omfatter de tidligere Verksted-, Teko-, Teknologi og data- og Nexans (kabelmontører) overenskomstene). I 2015 var avtalen en del av det sentrale oppgjøret for LO-NHO-området. Totalt sett utgjør Industrioverenskomsten om lag 40 prosent av årsverkene for industriarbeidere totalt. Verkstedsdelen utgjør over 90 prosent av Industrioverenskomsten totalt sett. Oljerelatert virksomhet utgjorde frem til 2014 en stadig større andel av overenskomsten. I 2015 var det en redusert sysselsetting i den oljerelaterte delen av overenskomsten. Man har ennå ikke sikre nok data for hele Industrioverenskomsten. Foreløpig materiale viser at årslønnsveksten fra 2014 til 2015 for Verkstedsdelen i Industrioverenskomsten var om lag 2 ¼ prosent, mot 3,1 prosent året før. Den oljerelaterte delen av overenskomsten drar gjennomsnittstallet ned med over ¼ prosentpoeng, noe mer enn året før, mens den oljerelaterte delen dro veksten i gruppen opp fra 2012 til 2013 med nærmere ¾ prosentpoeng.</w:t>
      </w:r>
    </w:p>
    <w:p w14:paraId="0F0549A5" w14:textId="658AE976" w:rsidR="001C2B75" w:rsidRDefault="001C2B75" w:rsidP="001C2B75">
      <w:r w:rsidRPr="00CB70E9">
        <w:t>Om</w:t>
      </w:r>
      <w:r w:rsidR="003F6C60">
        <w:t xml:space="preserve"> </w:t>
      </w:r>
      <w:r w:rsidRPr="00CB70E9">
        <w:t xml:space="preserve">lag 2/3 av årsverkene for industriarbeidere utenom Industrioverenskomsten, dekkes av nesten 40 tariffområder innenfor næringsmiddelindustri, kjemisk industri, treindustri og noen mindre områder innenfor annen type industri. </w:t>
      </w:r>
    </w:p>
    <w:p w14:paraId="607C827F" w14:textId="2BA7F5BC" w:rsidR="00692FF3" w:rsidRDefault="004B1EC9" w:rsidP="004B1EC9">
      <w:pPr>
        <w:pStyle w:val="tabell-tittel"/>
        <w:pBdr>
          <w:bottom w:val="single" w:sz="4" w:space="1" w:color="auto"/>
        </w:pBdr>
      </w:pPr>
      <w:r>
        <w:t xml:space="preserve"> </w:t>
      </w:r>
      <w:r w:rsidRPr="00D9718C">
        <w:t>Gjennomsnittlige tarifftillegg for industriarbeidere (inklusive den direkte effekten av skifttillegg og andre tillegg knyttet til arbeidets art)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807"/>
        <w:gridCol w:w="2807"/>
        <w:gridCol w:w="2807"/>
      </w:tblGrid>
      <w:tr w:rsidR="001C2B75" w:rsidRPr="00D9718C" w14:paraId="39B960FA" w14:textId="77777777" w:rsidTr="001C2B75">
        <w:trPr>
          <w:trHeight w:val="103"/>
        </w:trPr>
        <w:tc>
          <w:tcPr>
            <w:tcW w:w="2807" w:type="dxa"/>
          </w:tcPr>
          <w:p w14:paraId="2D7075BF" w14:textId="77777777" w:rsidR="001C2B75" w:rsidRPr="00D9718C" w:rsidRDefault="001C2B75" w:rsidP="001C2B75">
            <w:pPr>
              <w:ind w:left="108"/>
            </w:pPr>
            <w:r w:rsidRPr="00D9718C">
              <w:t xml:space="preserve">Per 1. april 2001: </w:t>
            </w:r>
          </w:p>
        </w:tc>
        <w:tc>
          <w:tcPr>
            <w:tcW w:w="2807" w:type="dxa"/>
          </w:tcPr>
          <w:p w14:paraId="4E61DE6D" w14:textId="77777777" w:rsidR="001C2B75" w:rsidRPr="00D9718C" w:rsidRDefault="001C2B75" w:rsidP="001C2B75">
            <w:pPr>
              <w:ind w:left="108"/>
            </w:pPr>
            <w:r w:rsidRPr="00D9718C">
              <w:t xml:space="preserve">148 øre/time, </w:t>
            </w:r>
          </w:p>
        </w:tc>
        <w:tc>
          <w:tcPr>
            <w:tcW w:w="2807" w:type="dxa"/>
          </w:tcPr>
          <w:p w14:paraId="1B9EE4B9" w14:textId="77777777" w:rsidR="001C2B75" w:rsidRPr="00D9718C" w:rsidRDefault="001C2B75" w:rsidP="001C2B75">
            <w:pPr>
              <w:ind w:left="108"/>
            </w:pPr>
            <w:r w:rsidRPr="00D9718C">
              <w:t xml:space="preserve">1,1 prosent </w:t>
            </w:r>
          </w:p>
        </w:tc>
      </w:tr>
      <w:tr w:rsidR="001C2B75" w:rsidRPr="00D9718C" w14:paraId="47C31E9B" w14:textId="77777777" w:rsidTr="001C2B75">
        <w:trPr>
          <w:trHeight w:val="124"/>
        </w:trPr>
        <w:tc>
          <w:tcPr>
            <w:tcW w:w="2807" w:type="dxa"/>
          </w:tcPr>
          <w:p w14:paraId="17CA3382" w14:textId="77777777" w:rsidR="001C2B75" w:rsidRPr="00D9718C" w:rsidRDefault="001C2B75" w:rsidP="001C2B75">
            <w:pPr>
              <w:ind w:left="108"/>
            </w:pPr>
            <w:r w:rsidRPr="00D9718C">
              <w:t>Våren 2002</w:t>
            </w:r>
            <w:r w:rsidRPr="00152C33">
              <w:rPr>
                <w:vertAlign w:val="superscript"/>
              </w:rPr>
              <w:t>1</w:t>
            </w:r>
            <w:r w:rsidRPr="00D9718C">
              <w:t xml:space="preserve">: </w:t>
            </w:r>
          </w:p>
        </w:tc>
        <w:tc>
          <w:tcPr>
            <w:tcW w:w="2807" w:type="dxa"/>
          </w:tcPr>
          <w:p w14:paraId="4326D027" w14:textId="77777777" w:rsidR="001C2B75" w:rsidRPr="00D9718C" w:rsidRDefault="001C2B75" w:rsidP="001C2B75">
            <w:pPr>
              <w:ind w:left="108"/>
            </w:pPr>
            <w:r w:rsidRPr="00D9718C">
              <w:t xml:space="preserve">386 øre/time </w:t>
            </w:r>
          </w:p>
        </w:tc>
        <w:tc>
          <w:tcPr>
            <w:tcW w:w="2807" w:type="dxa"/>
          </w:tcPr>
          <w:p w14:paraId="430C3E69" w14:textId="77777777" w:rsidR="001C2B75" w:rsidRPr="00D9718C" w:rsidRDefault="001C2B75" w:rsidP="001C2B75">
            <w:pPr>
              <w:ind w:left="108"/>
            </w:pPr>
            <w:r w:rsidRPr="00D9718C">
              <w:t xml:space="preserve">2,8 prosent </w:t>
            </w:r>
          </w:p>
        </w:tc>
      </w:tr>
      <w:tr w:rsidR="001C2B75" w:rsidRPr="00D9718C" w14:paraId="3C5DFD59" w14:textId="77777777" w:rsidTr="001C2B75">
        <w:trPr>
          <w:trHeight w:val="103"/>
        </w:trPr>
        <w:tc>
          <w:tcPr>
            <w:tcW w:w="2807" w:type="dxa"/>
          </w:tcPr>
          <w:p w14:paraId="2379FFB2" w14:textId="77777777" w:rsidR="001C2B75" w:rsidRPr="00D9718C" w:rsidRDefault="001C2B75" w:rsidP="001C2B75">
            <w:pPr>
              <w:ind w:left="108"/>
            </w:pPr>
            <w:r w:rsidRPr="00D9718C">
              <w:t xml:space="preserve">Per 1. april 2003: </w:t>
            </w:r>
          </w:p>
        </w:tc>
        <w:tc>
          <w:tcPr>
            <w:tcW w:w="2807" w:type="dxa"/>
          </w:tcPr>
          <w:p w14:paraId="1A530BE9" w14:textId="77777777" w:rsidR="001C2B75" w:rsidRPr="00D9718C" w:rsidRDefault="001C2B75" w:rsidP="001C2B75">
            <w:pPr>
              <w:ind w:left="108"/>
            </w:pPr>
            <w:r w:rsidRPr="00D9718C">
              <w:t xml:space="preserve">80 øre/time </w:t>
            </w:r>
          </w:p>
        </w:tc>
        <w:tc>
          <w:tcPr>
            <w:tcW w:w="2807" w:type="dxa"/>
          </w:tcPr>
          <w:p w14:paraId="7EFC9E9E" w14:textId="77777777" w:rsidR="001C2B75" w:rsidRPr="00D9718C" w:rsidRDefault="001C2B75" w:rsidP="001C2B75">
            <w:pPr>
              <w:ind w:left="108"/>
            </w:pPr>
            <w:r w:rsidRPr="00D9718C">
              <w:t xml:space="preserve">0,5 prosent </w:t>
            </w:r>
          </w:p>
        </w:tc>
      </w:tr>
      <w:tr w:rsidR="001C2B75" w:rsidRPr="00D9718C" w14:paraId="4949C8FB" w14:textId="77777777" w:rsidTr="001C2B75">
        <w:trPr>
          <w:trHeight w:val="124"/>
        </w:trPr>
        <w:tc>
          <w:tcPr>
            <w:tcW w:w="2807" w:type="dxa"/>
          </w:tcPr>
          <w:p w14:paraId="7CCD132C" w14:textId="77777777" w:rsidR="001C2B75" w:rsidRPr="00D9718C" w:rsidRDefault="001C2B75" w:rsidP="001C2B75">
            <w:pPr>
              <w:ind w:left="108"/>
            </w:pPr>
            <w:r w:rsidRPr="00D9718C">
              <w:t>Våren 2004</w:t>
            </w:r>
            <w:r w:rsidRPr="00152C33">
              <w:rPr>
                <w:vertAlign w:val="superscript"/>
              </w:rPr>
              <w:t>1</w:t>
            </w:r>
            <w:r>
              <w:t>:</w:t>
            </w:r>
            <w:r w:rsidRPr="00D9718C">
              <w:t xml:space="preserve"> </w:t>
            </w:r>
          </w:p>
        </w:tc>
        <w:tc>
          <w:tcPr>
            <w:tcW w:w="2807" w:type="dxa"/>
          </w:tcPr>
          <w:p w14:paraId="62658900" w14:textId="77777777" w:rsidR="001C2B75" w:rsidRPr="00D9718C" w:rsidRDefault="001C2B75" w:rsidP="001C2B75">
            <w:pPr>
              <w:ind w:left="108"/>
            </w:pPr>
            <w:r w:rsidRPr="00D9718C">
              <w:t xml:space="preserve">168 øre/time </w:t>
            </w:r>
          </w:p>
        </w:tc>
        <w:tc>
          <w:tcPr>
            <w:tcW w:w="2807" w:type="dxa"/>
          </w:tcPr>
          <w:p w14:paraId="6C45B551" w14:textId="77777777" w:rsidR="001C2B75" w:rsidRPr="00D9718C" w:rsidRDefault="001C2B75" w:rsidP="001C2B75">
            <w:pPr>
              <w:ind w:left="108"/>
            </w:pPr>
            <w:r w:rsidRPr="00D9718C">
              <w:t xml:space="preserve">1,1 prosent </w:t>
            </w:r>
          </w:p>
        </w:tc>
      </w:tr>
      <w:tr w:rsidR="001C2B75" w:rsidRPr="00D9718C" w14:paraId="2606EE63" w14:textId="77777777" w:rsidTr="001C2B75">
        <w:trPr>
          <w:trHeight w:val="103"/>
        </w:trPr>
        <w:tc>
          <w:tcPr>
            <w:tcW w:w="2807" w:type="dxa"/>
          </w:tcPr>
          <w:p w14:paraId="2EB01608" w14:textId="77777777" w:rsidR="001C2B75" w:rsidRPr="00D9718C" w:rsidRDefault="001C2B75" w:rsidP="001C2B75">
            <w:pPr>
              <w:ind w:left="108"/>
            </w:pPr>
            <w:r w:rsidRPr="00D9718C">
              <w:t xml:space="preserve">Per 1. april 2005: </w:t>
            </w:r>
          </w:p>
        </w:tc>
        <w:tc>
          <w:tcPr>
            <w:tcW w:w="2807" w:type="dxa"/>
          </w:tcPr>
          <w:p w14:paraId="344A0A5F" w14:textId="77777777" w:rsidR="001C2B75" w:rsidRPr="00D9718C" w:rsidRDefault="001C2B75" w:rsidP="001C2B75">
            <w:pPr>
              <w:ind w:left="108"/>
            </w:pPr>
            <w:r w:rsidRPr="00D9718C">
              <w:t xml:space="preserve">106 øre/time </w:t>
            </w:r>
          </w:p>
        </w:tc>
        <w:tc>
          <w:tcPr>
            <w:tcW w:w="2807" w:type="dxa"/>
          </w:tcPr>
          <w:p w14:paraId="177CB3B5" w14:textId="77777777" w:rsidR="001C2B75" w:rsidRPr="00D9718C" w:rsidRDefault="001C2B75" w:rsidP="001C2B75">
            <w:pPr>
              <w:ind w:left="108"/>
            </w:pPr>
            <w:r w:rsidRPr="00D9718C">
              <w:t xml:space="preserve">0,7 prosent </w:t>
            </w:r>
          </w:p>
        </w:tc>
      </w:tr>
      <w:tr w:rsidR="001C2B75" w:rsidRPr="00D9718C" w14:paraId="51A243DE" w14:textId="77777777" w:rsidTr="001C2B75">
        <w:trPr>
          <w:trHeight w:val="124"/>
        </w:trPr>
        <w:tc>
          <w:tcPr>
            <w:tcW w:w="2807" w:type="dxa"/>
          </w:tcPr>
          <w:p w14:paraId="72F41850" w14:textId="77777777" w:rsidR="001C2B75" w:rsidRPr="00D9718C" w:rsidRDefault="001C2B75" w:rsidP="001C2B75">
            <w:pPr>
              <w:ind w:left="108"/>
            </w:pPr>
            <w:r w:rsidRPr="00D9718C">
              <w:t>Våren 2006</w:t>
            </w:r>
            <w:r w:rsidRPr="00152C33">
              <w:rPr>
                <w:vertAlign w:val="superscript"/>
              </w:rPr>
              <w:t>1</w:t>
            </w:r>
            <w:r w:rsidRPr="00D9718C">
              <w:t>:</w:t>
            </w:r>
          </w:p>
        </w:tc>
        <w:tc>
          <w:tcPr>
            <w:tcW w:w="2807" w:type="dxa"/>
          </w:tcPr>
          <w:p w14:paraId="1955B8CA" w14:textId="77777777" w:rsidR="001C2B75" w:rsidRPr="00D9718C" w:rsidRDefault="001C2B75" w:rsidP="001C2B75">
            <w:pPr>
              <w:ind w:left="108"/>
            </w:pPr>
            <w:r w:rsidRPr="00D9718C">
              <w:t xml:space="preserve">207 øre/time </w:t>
            </w:r>
          </w:p>
        </w:tc>
        <w:tc>
          <w:tcPr>
            <w:tcW w:w="2807" w:type="dxa"/>
          </w:tcPr>
          <w:p w14:paraId="089EDD73" w14:textId="77777777" w:rsidR="001C2B75" w:rsidRPr="00D9718C" w:rsidRDefault="001C2B75" w:rsidP="001C2B75">
            <w:pPr>
              <w:ind w:left="108"/>
            </w:pPr>
            <w:r w:rsidRPr="00D9718C">
              <w:t xml:space="preserve">1,3 prosent </w:t>
            </w:r>
          </w:p>
        </w:tc>
      </w:tr>
      <w:tr w:rsidR="001C2B75" w:rsidRPr="00D9718C" w14:paraId="4E68C8F5" w14:textId="77777777" w:rsidTr="001C2B75">
        <w:trPr>
          <w:trHeight w:val="103"/>
        </w:trPr>
        <w:tc>
          <w:tcPr>
            <w:tcW w:w="2807" w:type="dxa"/>
          </w:tcPr>
          <w:p w14:paraId="5912733D" w14:textId="77777777" w:rsidR="001C2B75" w:rsidRPr="00D9718C" w:rsidRDefault="001C2B75" w:rsidP="001C2B75">
            <w:pPr>
              <w:ind w:left="108"/>
            </w:pPr>
            <w:r w:rsidRPr="00D9718C">
              <w:t xml:space="preserve">Per 1. april 2007: </w:t>
            </w:r>
          </w:p>
        </w:tc>
        <w:tc>
          <w:tcPr>
            <w:tcW w:w="2807" w:type="dxa"/>
          </w:tcPr>
          <w:p w14:paraId="33DBD1F6" w14:textId="77777777" w:rsidR="001C2B75" w:rsidRPr="00D9718C" w:rsidRDefault="001C2B75" w:rsidP="001C2B75">
            <w:pPr>
              <w:ind w:left="108"/>
            </w:pPr>
            <w:r w:rsidRPr="00D9718C">
              <w:t xml:space="preserve">273 øre/time </w:t>
            </w:r>
          </w:p>
        </w:tc>
        <w:tc>
          <w:tcPr>
            <w:tcW w:w="2807" w:type="dxa"/>
          </w:tcPr>
          <w:p w14:paraId="1312AC4D" w14:textId="77777777" w:rsidR="001C2B75" w:rsidRPr="00D9718C" w:rsidRDefault="001C2B75" w:rsidP="001C2B75">
            <w:pPr>
              <w:ind w:left="108"/>
            </w:pPr>
            <w:r w:rsidRPr="00D9718C">
              <w:t xml:space="preserve">1,7 prosent </w:t>
            </w:r>
          </w:p>
        </w:tc>
      </w:tr>
      <w:tr w:rsidR="001C2B75" w:rsidRPr="00D9718C" w14:paraId="525F200A" w14:textId="77777777" w:rsidTr="001C2B75">
        <w:trPr>
          <w:trHeight w:val="103"/>
        </w:trPr>
        <w:tc>
          <w:tcPr>
            <w:tcW w:w="2807" w:type="dxa"/>
          </w:tcPr>
          <w:p w14:paraId="24F247AE" w14:textId="77777777" w:rsidR="001C2B75" w:rsidRPr="00D9718C" w:rsidRDefault="001C2B75" w:rsidP="001C2B75">
            <w:pPr>
              <w:ind w:left="108"/>
            </w:pPr>
            <w:r w:rsidRPr="00D9718C">
              <w:t xml:space="preserve">Per 1. april 2008: </w:t>
            </w:r>
          </w:p>
        </w:tc>
        <w:tc>
          <w:tcPr>
            <w:tcW w:w="2807" w:type="dxa"/>
          </w:tcPr>
          <w:p w14:paraId="7DB4AE88" w14:textId="77777777" w:rsidR="001C2B75" w:rsidRPr="00D9718C" w:rsidRDefault="001C2B75" w:rsidP="001C2B75">
            <w:pPr>
              <w:ind w:left="108"/>
            </w:pPr>
            <w:r w:rsidRPr="00D9718C">
              <w:t xml:space="preserve">289 øre/time </w:t>
            </w:r>
          </w:p>
        </w:tc>
        <w:tc>
          <w:tcPr>
            <w:tcW w:w="2807" w:type="dxa"/>
          </w:tcPr>
          <w:p w14:paraId="17988CD2" w14:textId="77777777" w:rsidR="001C2B75" w:rsidRPr="00D9718C" w:rsidRDefault="001C2B75" w:rsidP="001C2B75">
            <w:pPr>
              <w:ind w:left="108"/>
            </w:pPr>
            <w:r w:rsidRPr="00D9718C">
              <w:t xml:space="preserve">1,7 prosent </w:t>
            </w:r>
          </w:p>
        </w:tc>
      </w:tr>
      <w:tr w:rsidR="001C2B75" w:rsidRPr="00D9718C" w14:paraId="3A1A1545" w14:textId="77777777" w:rsidTr="001C2B75">
        <w:trPr>
          <w:trHeight w:val="103"/>
        </w:trPr>
        <w:tc>
          <w:tcPr>
            <w:tcW w:w="2807" w:type="dxa"/>
          </w:tcPr>
          <w:p w14:paraId="265D11FA" w14:textId="77777777" w:rsidR="001C2B75" w:rsidRPr="00D9718C" w:rsidRDefault="001C2B75" w:rsidP="001C2B75">
            <w:pPr>
              <w:ind w:left="108"/>
            </w:pPr>
            <w:r w:rsidRPr="00D9718C">
              <w:t xml:space="preserve">Per 1. april 2009: </w:t>
            </w:r>
          </w:p>
        </w:tc>
        <w:tc>
          <w:tcPr>
            <w:tcW w:w="2807" w:type="dxa"/>
          </w:tcPr>
          <w:p w14:paraId="5B875E57" w14:textId="77777777" w:rsidR="001C2B75" w:rsidRPr="00D9718C" w:rsidRDefault="001C2B75" w:rsidP="001C2B75">
            <w:pPr>
              <w:ind w:left="108"/>
            </w:pPr>
            <w:r w:rsidRPr="00D9718C">
              <w:t xml:space="preserve">112 øre/time </w:t>
            </w:r>
          </w:p>
        </w:tc>
        <w:tc>
          <w:tcPr>
            <w:tcW w:w="2807" w:type="dxa"/>
          </w:tcPr>
          <w:p w14:paraId="733B041F" w14:textId="77777777" w:rsidR="001C2B75" w:rsidRPr="00D9718C" w:rsidRDefault="001C2B75" w:rsidP="001C2B75">
            <w:pPr>
              <w:ind w:left="108"/>
            </w:pPr>
            <w:r w:rsidRPr="00D9718C">
              <w:t xml:space="preserve">0,6 prosent </w:t>
            </w:r>
          </w:p>
        </w:tc>
      </w:tr>
      <w:tr w:rsidR="001C2B75" w:rsidRPr="00D9718C" w14:paraId="325F2D77" w14:textId="77777777" w:rsidTr="001C2B75">
        <w:trPr>
          <w:trHeight w:val="124"/>
        </w:trPr>
        <w:tc>
          <w:tcPr>
            <w:tcW w:w="2807" w:type="dxa"/>
          </w:tcPr>
          <w:p w14:paraId="15AEC339" w14:textId="77777777" w:rsidR="001C2B75" w:rsidRPr="00D9718C" w:rsidRDefault="001C2B75" w:rsidP="001C2B75">
            <w:pPr>
              <w:ind w:left="108"/>
            </w:pPr>
            <w:r w:rsidRPr="00D9718C">
              <w:t>Våren 2010</w:t>
            </w:r>
            <w:r w:rsidRPr="00152C33">
              <w:rPr>
                <w:vertAlign w:val="superscript"/>
              </w:rPr>
              <w:t>1</w:t>
            </w:r>
            <w:r w:rsidRPr="00D9718C">
              <w:t xml:space="preserve">: </w:t>
            </w:r>
          </w:p>
        </w:tc>
        <w:tc>
          <w:tcPr>
            <w:tcW w:w="2807" w:type="dxa"/>
          </w:tcPr>
          <w:p w14:paraId="6C841C4C" w14:textId="77777777" w:rsidR="001C2B75" w:rsidRPr="00D9718C" w:rsidRDefault="001C2B75" w:rsidP="001C2B75">
            <w:pPr>
              <w:ind w:left="108"/>
            </w:pPr>
            <w:r w:rsidRPr="00D9718C">
              <w:t xml:space="preserve">282 øre/time </w:t>
            </w:r>
          </w:p>
        </w:tc>
        <w:tc>
          <w:tcPr>
            <w:tcW w:w="2807" w:type="dxa"/>
          </w:tcPr>
          <w:p w14:paraId="233E9176" w14:textId="77777777" w:rsidR="001C2B75" w:rsidRPr="00D9718C" w:rsidRDefault="001C2B75" w:rsidP="001C2B75">
            <w:pPr>
              <w:ind w:left="108"/>
            </w:pPr>
            <w:r w:rsidRPr="00D9718C">
              <w:t xml:space="preserve">1,5 prosent </w:t>
            </w:r>
          </w:p>
        </w:tc>
      </w:tr>
      <w:tr w:rsidR="001C2B75" w:rsidRPr="00D9718C" w14:paraId="3EAE6FE1" w14:textId="77777777" w:rsidTr="001C2B75">
        <w:trPr>
          <w:trHeight w:val="103"/>
        </w:trPr>
        <w:tc>
          <w:tcPr>
            <w:tcW w:w="2807" w:type="dxa"/>
          </w:tcPr>
          <w:p w14:paraId="086000A8" w14:textId="77777777" w:rsidR="001C2B75" w:rsidRPr="00D9718C" w:rsidRDefault="001C2B75" w:rsidP="001C2B75">
            <w:pPr>
              <w:ind w:left="108"/>
            </w:pPr>
            <w:r w:rsidRPr="00D9718C">
              <w:t xml:space="preserve">Per 1. april 2011: </w:t>
            </w:r>
          </w:p>
        </w:tc>
        <w:tc>
          <w:tcPr>
            <w:tcW w:w="2807" w:type="dxa"/>
          </w:tcPr>
          <w:p w14:paraId="6605D903" w14:textId="77777777" w:rsidR="001C2B75" w:rsidRPr="00D9718C" w:rsidRDefault="001C2B75" w:rsidP="001C2B75">
            <w:pPr>
              <w:ind w:left="108"/>
            </w:pPr>
            <w:r w:rsidRPr="00D9718C">
              <w:t xml:space="preserve">219 øre/time </w:t>
            </w:r>
          </w:p>
        </w:tc>
        <w:tc>
          <w:tcPr>
            <w:tcW w:w="2807" w:type="dxa"/>
          </w:tcPr>
          <w:p w14:paraId="096339D6" w14:textId="77777777" w:rsidR="001C2B75" w:rsidRPr="00D9718C" w:rsidRDefault="001C2B75" w:rsidP="001C2B75">
            <w:pPr>
              <w:ind w:left="108"/>
            </w:pPr>
            <w:r w:rsidRPr="00D9718C">
              <w:t xml:space="preserve">1,1 prosent </w:t>
            </w:r>
          </w:p>
        </w:tc>
      </w:tr>
      <w:tr w:rsidR="001C2B75" w:rsidRPr="00D9718C" w14:paraId="103E8580" w14:textId="77777777" w:rsidTr="001C2B75">
        <w:trPr>
          <w:trHeight w:val="124"/>
        </w:trPr>
        <w:tc>
          <w:tcPr>
            <w:tcW w:w="2807" w:type="dxa"/>
            <w:tcBorders>
              <w:bottom w:val="nil"/>
            </w:tcBorders>
          </w:tcPr>
          <w:p w14:paraId="4506D9DD" w14:textId="77777777" w:rsidR="001C2B75" w:rsidRPr="00D9718C" w:rsidRDefault="001C2B75" w:rsidP="001C2B75">
            <w:pPr>
              <w:ind w:left="108"/>
            </w:pPr>
            <w:r w:rsidRPr="00D9718C">
              <w:t>Våren 2012</w:t>
            </w:r>
            <w:r w:rsidRPr="00152C33">
              <w:rPr>
                <w:vertAlign w:val="superscript"/>
              </w:rPr>
              <w:t>1</w:t>
            </w:r>
            <w:r>
              <w:t>:</w:t>
            </w:r>
            <w:r w:rsidRPr="00D9718C">
              <w:t xml:space="preserve"> </w:t>
            </w:r>
          </w:p>
        </w:tc>
        <w:tc>
          <w:tcPr>
            <w:tcW w:w="2807" w:type="dxa"/>
            <w:tcBorders>
              <w:bottom w:val="nil"/>
            </w:tcBorders>
          </w:tcPr>
          <w:p w14:paraId="32E0C5EF" w14:textId="77777777" w:rsidR="001C2B75" w:rsidRPr="00D9718C" w:rsidRDefault="001C2B75" w:rsidP="001C2B75">
            <w:pPr>
              <w:ind w:left="108"/>
            </w:pPr>
            <w:r w:rsidRPr="00D9718C">
              <w:t xml:space="preserve">292 øre/time </w:t>
            </w:r>
          </w:p>
        </w:tc>
        <w:tc>
          <w:tcPr>
            <w:tcW w:w="2807" w:type="dxa"/>
            <w:tcBorders>
              <w:bottom w:val="nil"/>
            </w:tcBorders>
          </w:tcPr>
          <w:p w14:paraId="741622B6" w14:textId="77777777" w:rsidR="001C2B75" w:rsidRPr="00D9718C" w:rsidRDefault="001C2B75" w:rsidP="001C2B75">
            <w:pPr>
              <w:ind w:left="108"/>
            </w:pPr>
            <w:r w:rsidRPr="00D9718C">
              <w:t xml:space="preserve">1,4 prosent </w:t>
            </w:r>
          </w:p>
        </w:tc>
      </w:tr>
      <w:tr w:rsidR="001C2B75" w:rsidRPr="00D9718C" w14:paraId="379551BF" w14:textId="77777777" w:rsidTr="001C2B75">
        <w:trPr>
          <w:trHeight w:val="124"/>
        </w:trPr>
        <w:tc>
          <w:tcPr>
            <w:tcW w:w="2807" w:type="dxa"/>
            <w:tcBorders>
              <w:bottom w:val="nil"/>
            </w:tcBorders>
          </w:tcPr>
          <w:p w14:paraId="499429D6" w14:textId="77777777" w:rsidR="001C2B75" w:rsidRPr="00D9718C" w:rsidRDefault="001C2B75" w:rsidP="001C2B75">
            <w:pPr>
              <w:ind w:left="108"/>
            </w:pPr>
            <w:r w:rsidRPr="00D9718C">
              <w:t>Per 1. april 2013:</w:t>
            </w:r>
          </w:p>
        </w:tc>
        <w:tc>
          <w:tcPr>
            <w:tcW w:w="2807" w:type="dxa"/>
            <w:tcBorders>
              <w:bottom w:val="nil"/>
            </w:tcBorders>
          </w:tcPr>
          <w:p w14:paraId="5415C245" w14:textId="77777777" w:rsidR="001C2B75" w:rsidRPr="00D9718C" w:rsidRDefault="001C2B75" w:rsidP="001C2B75">
            <w:pPr>
              <w:ind w:left="108"/>
            </w:pPr>
            <w:r w:rsidRPr="00D9718C">
              <w:t xml:space="preserve">114 øre/time </w:t>
            </w:r>
          </w:p>
        </w:tc>
        <w:tc>
          <w:tcPr>
            <w:tcW w:w="2807" w:type="dxa"/>
            <w:tcBorders>
              <w:bottom w:val="nil"/>
            </w:tcBorders>
          </w:tcPr>
          <w:p w14:paraId="61CAAE80" w14:textId="77777777" w:rsidR="001C2B75" w:rsidRPr="00D9718C" w:rsidRDefault="001C2B75" w:rsidP="001C2B75">
            <w:pPr>
              <w:ind w:left="108"/>
            </w:pPr>
            <w:r w:rsidRPr="00D9718C">
              <w:t xml:space="preserve">0,5 prosent </w:t>
            </w:r>
          </w:p>
        </w:tc>
      </w:tr>
      <w:tr w:rsidR="001C2B75" w:rsidRPr="00D9718C" w14:paraId="605B195E" w14:textId="77777777" w:rsidTr="001C2B75">
        <w:trPr>
          <w:trHeight w:val="272"/>
        </w:trPr>
        <w:tc>
          <w:tcPr>
            <w:tcW w:w="2807" w:type="dxa"/>
            <w:tcBorders>
              <w:top w:val="nil"/>
              <w:bottom w:val="nil"/>
            </w:tcBorders>
          </w:tcPr>
          <w:p w14:paraId="766DDFC7" w14:textId="77777777" w:rsidR="001C2B75" w:rsidRPr="00D9718C" w:rsidRDefault="001C2B75" w:rsidP="001C2B75">
            <w:pPr>
              <w:ind w:left="108"/>
            </w:pPr>
            <w:r w:rsidRPr="00D9718C">
              <w:t>Våren 2014</w:t>
            </w:r>
            <w:r w:rsidRPr="00152C33">
              <w:rPr>
                <w:vertAlign w:val="superscript"/>
              </w:rPr>
              <w:t>1</w:t>
            </w:r>
            <w:r w:rsidRPr="00D9718C">
              <w:t xml:space="preserve">: </w:t>
            </w:r>
          </w:p>
        </w:tc>
        <w:tc>
          <w:tcPr>
            <w:tcW w:w="2807" w:type="dxa"/>
            <w:tcBorders>
              <w:top w:val="nil"/>
              <w:bottom w:val="nil"/>
            </w:tcBorders>
          </w:tcPr>
          <w:p w14:paraId="702EDBDD" w14:textId="77777777" w:rsidR="001C2B75" w:rsidRPr="00D9718C" w:rsidRDefault="001C2B75" w:rsidP="001C2B75">
            <w:pPr>
              <w:ind w:left="108"/>
            </w:pPr>
            <w:r w:rsidRPr="00D9718C">
              <w:t xml:space="preserve">221 øre/time </w:t>
            </w:r>
          </w:p>
        </w:tc>
        <w:tc>
          <w:tcPr>
            <w:tcW w:w="2807" w:type="dxa"/>
            <w:tcBorders>
              <w:top w:val="nil"/>
              <w:bottom w:val="nil"/>
            </w:tcBorders>
          </w:tcPr>
          <w:p w14:paraId="50B58FD1" w14:textId="77777777" w:rsidR="001C2B75" w:rsidRPr="00D9718C" w:rsidRDefault="001C2B75" w:rsidP="001C2B75">
            <w:pPr>
              <w:ind w:left="108"/>
            </w:pPr>
            <w:r w:rsidRPr="00D9718C">
              <w:t xml:space="preserve">1,0 prosent </w:t>
            </w:r>
          </w:p>
        </w:tc>
      </w:tr>
      <w:tr w:rsidR="001C2B75" w:rsidRPr="00D9718C" w14:paraId="315CB626" w14:textId="77777777" w:rsidTr="001C2B75">
        <w:trPr>
          <w:trHeight w:val="272"/>
        </w:trPr>
        <w:tc>
          <w:tcPr>
            <w:tcW w:w="2807" w:type="dxa"/>
            <w:tcBorders>
              <w:top w:val="nil"/>
              <w:bottom w:val="single" w:sz="4" w:space="0" w:color="auto"/>
            </w:tcBorders>
          </w:tcPr>
          <w:p w14:paraId="21E92030" w14:textId="77777777" w:rsidR="001C2B75" w:rsidRPr="00D9718C" w:rsidRDefault="001C2B75" w:rsidP="001C2B75">
            <w:pPr>
              <w:ind w:left="108"/>
            </w:pPr>
            <w:r>
              <w:t>Per 1. april 2015:</w:t>
            </w:r>
          </w:p>
        </w:tc>
        <w:tc>
          <w:tcPr>
            <w:tcW w:w="2807" w:type="dxa"/>
            <w:tcBorders>
              <w:top w:val="nil"/>
              <w:bottom w:val="single" w:sz="4" w:space="0" w:color="auto"/>
            </w:tcBorders>
          </w:tcPr>
          <w:p w14:paraId="0784A0A4" w14:textId="77777777" w:rsidR="001C2B75" w:rsidRPr="00D9718C" w:rsidRDefault="001C2B75" w:rsidP="001C2B75">
            <w:pPr>
              <w:ind w:left="108"/>
            </w:pPr>
            <w:r>
              <w:t xml:space="preserve">  45 øre/time</w:t>
            </w:r>
          </w:p>
        </w:tc>
        <w:tc>
          <w:tcPr>
            <w:tcW w:w="2807" w:type="dxa"/>
            <w:tcBorders>
              <w:top w:val="nil"/>
              <w:bottom w:val="single" w:sz="4" w:space="0" w:color="auto"/>
            </w:tcBorders>
          </w:tcPr>
          <w:p w14:paraId="061366D5" w14:textId="77777777" w:rsidR="001C2B75" w:rsidRPr="00D9718C" w:rsidRDefault="001C2B75" w:rsidP="001C2B75">
            <w:pPr>
              <w:ind w:left="108"/>
            </w:pPr>
            <w:r>
              <w:t>0,2 prosent</w:t>
            </w:r>
          </w:p>
        </w:tc>
      </w:tr>
    </w:tbl>
    <w:p w14:paraId="4CC48F32" w14:textId="4AAFC76F" w:rsidR="001C2B75" w:rsidRPr="00152C33" w:rsidRDefault="001C2B75" w:rsidP="008643D6">
      <w:pPr>
        <w:pStyle w:val="tabell-noter"/>
        <w:numPr>
          <w:ilvl w:val="0"/>
          <w:numId w:val="79"/>
        </w:numPr>
        <w:tabs>
          <w:tab w:val="clear" w:pos="284"/>
        </w:tabs>
        <w:spacing w:before="0" w:after="0"/>
        <w:ind w:left="142" w:hanging="142"/>
      </w:pPr>
      <w:r w:rsidRPr="0082747E">
        <w:rPr>
          <w:rFonts w:ascii="Times New Roman" w:hAnsi="Times New Roman" w:cs="Times New Roman"/>
          <w:sz w:val="18"/>
          <w:szCs w:val="18"/>
        </w:rPr>
        <w:t>Gjennomsnittstallet</w:t>
      </w:r>
      <w:r w:rsidRPr="00152C33">
        <w:t xml:space="preserve"> er summen av alle nivåmessige tillegg gitt i de forbundsvise områdene inklusive generelle tillegg, lavlønnstillegg, fagarbeidertillegg, ansiennitetstillegg, skifttillegg etc. De fleste forbundsvise tarifftilleggene ble gitt med ulike virkningstidspunkt mellom 1. april </w:t>
      </w:r>
      <w:r w:rsidR="006F417B">
        <w:t>og</w:t>
      </w:r>
      <w:r w:rsidR="006F417B" w:rsidRPr="00152C33">
        <w:t xml:space="preserve"> </w:t>
      </w:r>
      <w:r w:rsidRPr="00152C33">
        <w:t xml:space="preserve">1. juli. </w:t>
      </w:r>
    </w:p>
    <w:p w14:paraId="2BB63E44" w14:textId="77777777" w:rsidR="001C2B75" w:rsidRDefault="001C2B75" w:rsidP="0082747E">
      <w:pPr>
        <w:pStyle w:val="Kilde"/>
        <w:spacing w:before="120"/>
      </w:pPr>
      <w:r>
        <w:t>Kilde: NHO</w:t>
      </w:r>
    </w:p>
    <w:p w14:paraId="097F8D06" w14:textId="77777777" w:rsidR="001C2B75" w:rsidRPr="0053381F" w:rsidRDefault="001C2B75" w:rsidP="001C2B75">
      <w:pPr>
        <w:spacing w:after="0" w:line="276" w:lineRule="auto"/>
        <w:rPr>
          <w:rFonts w:ascii="Arial" w:hAnsi="Arial" w:cs="Arial"/>
          <w:szCs w:val="24"/>
        </w:rPr>
      </w:pPr>
      <w:r>
        <w:rPr>
          <w:noProof/>
        </w:rPr>
        <w:drawing>
          <wp:inline distT="0" distB="0" distL="0" distR="0" wp14:anchorId="62BD9AE3" wp14:editId="1EEBF446">
            <wp:extent cx="2876550" cy="2543175"/>
            <wp:effectExtent l="0" t="0" r="0" b="9525"/>
            <wp:docPr id="2" name="Bilde 2" descr="C:\Users\asd1311\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1311\AppData\Local\Microsoft\Windows\Temporary Internet Files\Content.Word\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p w14:paraId="7D51DC3E" w14:textId="77777777" w:rsidR="001C2B75" w:rsidRPr="002511D0" w:rsidRDefault="001C2B75" w:rsidP="001C2B75">
      <w:pPr>
        <w:pStyle w:val="figur-tittel"/>
        <w:numPr>
          <w:ilvl w:val="0"/>
          <w:numId w:val="0"/>
        </w:numPr>
      </w:pPr>
      <w:r>
        <w:t xml:space="preserve">Figur 1.1 </w:t>
      </w:r>
      <w:r w:rsidRPr="002511D0">
        <w:t xml:space="preserve">Lønnsglidningen som andel av total lønnsvekst fra 1. oktober til 1. oktober for industriarbeidere i NHO-bedrifter </w:t>
      </w:r>
    </w:p>
    <w:p w14:paraId="487B3826" w14:textId="77777777" w:rsidR="001C2B75" w:rsidRDefault="001C2B75" w:rsidP="001C2B75">
      <w:pPr>
        <w:pStyle w:val="Kilde"/>
      </w:pPr>
      <w:r w:rsidRPr="0053381F">
        <w:t xml:space="preserve">Kilder: NHO og </w:t>
      </w:r>
      <w:r>
        <w:t>Statistisk sentralbyrå</w:t>
      </w:r>
    </w:p>
    <w:p w14:paraId="31F3AB23" w14:textId="77777777" w:rsidR="003D053D" w:rsidRDefault="003D053D" w:rsidP="003D053D">
      <w:pPr>
        <w:pStyle w:val="Overskrift3"/>
        <w:numPr>
          <w:ilvl w:val="2"/>
          <w:numId w:val="24"/>
        </w:numPr>
      </w:pPr>
      <w:bookmarkStart w:id="77" w:name="_Toc320820661"/>
      <w:bookmarkStart w:id="78" w:name="_Toc351913430"/>
      <w:bookmarkStart w:id="79" w:name="_Toc380506124"/>
      <w:bookmarkStart w:id="80" w:name="_Toc422226817"/>
      <w:bookmarkStart w:id="81" w:name="_Toc443998955"/>
      <w:r w:rsidRPr="00BA1C84">
        <w:t>Lønnsutviklingen for andre arbeidergrupper i NHO-området</w:t>
      </w:r>
      <w:bookmarkEnd w:id="77"/>
      <w:bookmarkEnd w:id="78"/>
      <w:bookmarkEnd w:id="79"/>
      <w:bookmarkEnd w:id="80"/>
      <w:bookmarkEnd w:id="81"/>
    </w:p>
    <w:p w14:paraId="6BF93587" w14:textId="77777777" w:rsidR="003D053D" w:rsidRPr="00CB70E9" w:rsidRDefault="003D053D" w:rsidP="003D053D">
      <w:r w:rsidRPr="00CB70E9">
        <w:t xml:space="preserve">For arbeidere i </w:t>
      </w:r>
      <w:r w:rsidRPr="00CB70E9">
        <w:rPr>
          <w:i/>
        </w:rPr>
        <w:t>byggevirksomhet</w:t>
      </w:r>
      <w:r w:rsidRPr="00CB70E9">
        <w:t xml:space="preserve"> var årslønnsveksten om lag 3 prosent fra 2014 til 2015, mot 3,4 prosent året før, basert på foreløpig materiale. Lønnsveksten fra 1. oktober 2014 til 1. oktober 2015 er foreløpig beregnet til noe i underkant av 3 prosent. Lønnsveksten i bransjen er preget av strukturelle endringer med avgang og tilgang </w:t>
      </w:r>
      <w:r>
        <w:t>av</w:t>
      </w:r>
      <w:r w:rsidRPr="00CB70E9">
        <w:t xml:space="preserve"> arbeidskraft.  </w:t>
      </w:r>
    </w:p>
    <w:p w14:paraId="528777C0" w14:textId="77777777" w:rsidR="003D053D" w:rsidRPr="00CB70E9" w:rsidRDefault="003D053D" w:rsidP="003D053D">
      <w:r w:rsidRPr="00CB70E9">
        <w:t xml:space="preserve">Byggevirksomhet består av to hovedgrupper, arbeidere innenfor elektrofag (om lag </w:t>
      </w:r>
      <w:r w:rsidRPr="00CB70E9">
        <w:rPr>
          <w:rFonts w:hint="eastAsia"/>
        </w:rPr>
        <w:t>⅓</w:t>
      </w:r>
      <w:r w:rsidRPr="00CB70E9">
        <w:t xml:space="preserve">) og andre byggfag (om lag </w:t>
      </w:r>
      <w:r w:rsidRPr="00CB70E9">
        <w:rPr>
          <w:rFonts w:hint="eastAsia"/>
        </w:rPr>
        <w:t>⅔</w:t>
      </w:r>
      <w:r w:rsidRPr="00CB70E9">
        <w:t>) som tømrere, murere, grunnarbeid innenfor stein-, jord- og sementarbeid, bygge- og tømmermestere, malermestere, rørleggerbedrifter, kobber- og blikkenslagermestere etc. En mindre gruppe innenfor byggevirksomhet er heisfirmaer og deler av verkstedoverenskomsten, offshore.</w:t>
      </w:r>
    </w:p>
    <w:p w14:paraId="3209D665" w14:textId="77777777" w:rsidR="003D053D" w:rsidRPr="00CB70E9" w:rsidRDefault="003D053D" w:rsidP="003D053D">
      <w:r w:rsidRPr="00CB70E9">
        <w:t xml:space="preserve">Gjennomsnittlig lønnsvekst i sektoren kan avvike betydelig fra tilleggene til den enkelte arbeider. Basert på tidligere år slår konjunkturelle forhold som berører byggevirksomheten fort ut i endret lønnsvekst i sektoren. </w:t>
      </w:r>
    </w:p>
    <w:p w14:paraId="3E72ABC5" w14:textId="77777777" w:rsidR="003D053D" w:rsidRPr="00CB70E9" w:rsidRDefault="003D053D" w:rsidP="003D053D">
      <w:r w:rsidRPr="00CB70E9">
        <w:t xml:space="preserve">For </w:t>
      </w:r>
      <w:r w:rsidRPr="00CB70E9">
        <w:rPr>
          <w:i/>
        </w:rPr>
        <w:t>hotell og restaurantvirksomhet</w:t>
      </w:r>
      <w:r w:rsidRPr="00CB70E9">
        <w:t xml:space="preserve"> var det en årslønnsvekst fra 2014 til 2015 på om lag 2 </w:t>
      </w:r>
      <w:r>
        <w:t>½</w:t>
      </w:r>
      <w:r w:rsidRPr="00CB70E9">
        <w:t xml:space="preserve"> prosent basert på foreløpig materiale, mot 3,1 prosent året før. </w:t>
      </w:r>
    </w:p>
    <w:p w14:paraId="50347E8E" w14:textId="77777777" w:rsidR="003D053D" w:rsidRPr="00CB70E9" w:rsidRDefault="003D053D" w:rsidP="003D053D">
      <w:r w:rsidRPr="00CB70E9">
        <w:t xml:space="preserve">Det er store variasjoner i lønnsveksten mellom store og små bedrifter. Noe lavere gjennomsnittlige bonuser drar lønnsveksten ned, mens uregelmessige tillegg drar noe opp. Bransjen er dessuten preget av høy turnover. Vanligvis er bare om lag halvparten av de samme arbeidstakerne med i lønnsstatistikken fra et år til et annet. Dette kan påvirke gjennomsnittlig lønnsvekst. Gjennomsnittlig alder ligger om lag 10 år lavere enn gjennomsnittlig alder for alle ansatte i NHO-bedrifter, noe som vil gi lavere lønnsnivå. </w:t>
      </w:r>
    </w:p>
    <w:p w14:paraId="64E53524" w14:textId="08E7ED33" w:rsidR="003D053D" w:rsidRDefault="003D053D" w:rsidP="003D053D">
      <w:r w:rsidRPr="00CB70E9">
        <w:t>Lønnsoverhenget inn i 2015 innenfor området for Riksavtalen i hotell- og restaurantvirksomhet ble beregnet til 0,8 prosent. Sammen med garantitillegg på kr. 1,51 per time pr. 1. april 2015, og lavlønnstillegg på kr. 1,75 per time fra samme dato, ble årslønnsveksten fra 2014 til 2015 beregnet til vel 2 prosent før bidrag fra lønnsglidning.</w:t>
      </w:r>
    </w:p>
    <w:p w14:paraId="3A25ECEF" w14:textId="77777777" w:rsidR="001C2B75" w:rsidRDefault="001C2B75" w:rsidP="001C2B75">
      <w:pPr>
        <w:rPr>
          <w:sz w:val="20"/>
        </w:rPr>
      </w:pPr>
      <w:r>
        <w:br w:type="page"/>
      </w:r>
    </w:p>
    <w:p w14:paraId="5BFF7293" w14:textId="19FB507E" w:rsidR="001C2B75" w:rsidRPr="0053381F" w:rsidRDefault="004B1EC9" w:rsidP="001C2B75">
      <w:pPr>
        <w:pStyle w:val="tabell-tittel"/>
        <w:pBdr>
          <w:bottom w:val="single" w:sz="4" w:space="1" w:color="auto"/>
        </w:pBdr>
      </w:pPr>
      <w:r>
        <w:t xml:space="preserve"> </w:t>
      </w:r>
      <w:r w:rsidRPr="0053381F">
        <w:t>Tariffmessig lønnsøkning og lønnsglidning for industriarbeidere basert på timefortjenester</w:t>
      </w:r>
      <w:r w:rsidRPr="0053381F">
        <w:rPr>
          <w:rStyle w:val="skrift-hevet"/>
          <w:rFonts w:cs="Arial"/>
          <w:sz w:val="20"/>
          <w:szCs w:val="20"/>
        </w:rPr>
        <w:t>1</w:t>
      </w:r>
      <w:r w:rsidRPr="0053381F">
        <w:t>, omregnet til 37,5 t/uke. Endring i prosent fra tilsvarende periode året før.</w:t>
      </w:r>
    </w:p>
    <w:tbl>
      <w:tblPr>
        <w:tblStyle w:val="TrykketTabell"/>
        <w:tblW w:w="4791" w:type="pct"/>
        <w:tblLook w:val="04A0" w:firstRow="1" w:lastRow="0" w:firstColumn="1" w:lastColumn="0" w:noHBand="0" w:noVBand="1"/>
      </w:tblPr>
      <w:tblGrid>
        <w:gridCol w:w="1352"/>
        <w:gridCol w:w="1658"/>
        <w:gridCol w:w="1389"/>
        <w:gridCol w:w="1876"/>
        <w:gridCol w:w="2416"/>
      </w:tblGrid>
      <w:tr w:rsidR="001C2B75" w:rsidRPr="00A81216" w14:paraId="6B638767" w14:textId="77777777" w:rsidTr="004B1EC9">
        <w:trPr>
          <w:cnfStyle w:val="100000000000" w:firstRow="1" w:lastRow="0" w:firstColumn="0" w:lastColumn="0" w:oddVBand="0" w:evenVBand="0" w:oddHBand="0" w:evenHBand="0" w:firstRowFirstColumn="0" w:firstRowLastColumn="0" w:lastRowFirstColumn="0" w:lastRowLastColumn="0"/>
          <w:trHeight w:val="340"/>
        </w:trPr>
        <w:tc>
          <w:tcPr>
            <w:tcW w:w="778" w:type="pct"/>
            <w:tcBorders>
              <w:top w:val="nil"/>
              <w:bottom w:val="nil"/>
            </w:tcBorders>
            <w:noWrap/>
            <w:vAlign w:val="bottom"/>
            <w:hideMark/>
          </w:tcPr>
          <w:p w14:paraId="08B96EF8"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 </w:t>
            </w:r>
          </w:p>
        </w:tc>
        <w:tc>
          <w:tcPr>
            <w:tcW w:w="954" w:type="pct"/>
            <w:tcBorders>
              <w:top w:val="nil"/>
              <w:bottom w:val="nil"/>
            </w:tcBorders>
            <w:noWrap/>
            <w:vAlign w:val="bottom"/>
            <w:hideMark/>
          </w:tcPr>
          <w:p w14:paraId="4CE2DD29"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Lønnsøkning</w:t>
            </w:r>
          </w:p>
        </w:tc>
        <w:tc>
          <w:tcPr>
            <w:tcW w:w="1878" w:type="pct"/>
            <w:gridSpan w:val="2"/>
            <w:tcBorders>
              <w:top w:val="nil"/>
              <w:bottom w:val="nil"/>
            </w:tcBorders>
            <w:noWrap/>
            <w:vAlign w:val="bottom"/>
            <w:hideMark/>
          </w:tcPr>
          <w:p w14:paraId="364B4928" w14:textId="77777777" w:rsidR="001C2B75" w:rsidRPr="00A81216" w:rsidRDefault="001C2B75"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H</w:t>
            </w:r>
            <w:r w:rsidRPr="00A81216">
              <w:rPr>
                <w:rFonts w:ascii="Times New Roman" w:eastAsia="Times New Roman" w:hAnsi="Times New Roman"/>
                <w:color w:val="000000"/>
                <w:szCs w:val="24"/>
              </w:rPr>
              <w:t>erav</w:t>
            </w:r>
            <w:r>
              <w:rPr>
                <w:rFonts w:ascii="Times New Roman" w:eastAsia="Times New Roman" w:hAnsi="Times New Roman"/>
                <w:color w:val="000000"/>
                <w:szCs w:val="24"/>
              </w:rPr>
              <w:t>:</w:t>
            </w:r>
          </w:p>
        </w:tc>
        <w:tc>
          <w:tcPr>
            <w:tcW w:w="1390" w:type="pct"/>
            <w:tcBorders>
              <w:top w:val="nil"/>
              <w:bottom w:val="nil"/>
            </w:tcBorders>
            <w:noWrap/>
            <w:vAlign w:val="bottom"/>
            <w:hideMark/>
          </w:tcPr>
          <w:p w14:paraId="01426684"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Lønnsglidning</w:t>
            </w:r>
          </w:p>
        </w:tc>
      </w:tr>
      <w:tr w:rsidR="001C2B75" w:rsidRPr="00A81216" w14:paraId="1E8CF604" w14:textId="77777777" w:rsidTr="004B1EC9">
        <w:trPr>
          <w:trHeight w:val="315"/>
        </w:trPr>
        <w:tc>
          <w:tcPr>
            <w:tcW w:w="778" w:type="pct"/>
            <w:tcBorders>
              <w:top w:val="nil"/>
            </w:tcBorders>
            <w:noWrap/>
            <w:vAlign w:val="bottom"/>
            <w:hideMark/>
          </w:tcPr>
          <w:p w14:paraId="644E7620"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 </w:t>
            </w:r>
          </w:p>
        </w:tc>
        <w:tc>
          <w:tcPr>
            <w:tcW w:w="954" w:type="pct"/>
            <w:tcBorders>
              <w:top w:val="nil"/>
            </w:tcBorders>
            <w:noWrap/>
            <w:vAlign w:val="bottom"/>
            <w:hideMark/>
          </w:tcPr>
          <w:p w14:paraId="31168ACF"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pr. time</w:t>
            </w:r>
          </w:p>
        </w:tc>
        <w:tc>
          <w:tcPr>
            <w:tcW w:w="799" w:type="pct"/>
            <w:tcBorders>
              <w:top w:val="nil"/>
            </w:tcBorders>
            <w:noWrap/>
            <w:vAlign w:val="bottom"/>
            <w:hideMark/>
          </w:tcPr>
          <w:p w14:paraId="48D7F13A" w14:textId="77777777" w:rsidR="001C2B75" w:rsidRPr="00A81216" w:rsidRDefault="001C2B75" w:rsidP="001C2B75">
            <w:pPr>
              <w:spacing w:after="0"/>
              <w:rPr>
                <w:rFonts w:ascii="Times New Roman" w:eastAsia="Times New Roman" w:hAnsi="Times New Roman"/>
                <w:color w:val="000000"/>
                <w:szCs w:val="24"/>
              </w:rPr>
            </w:pPr>
          </w:p>
        </w:tc>
        <w:tc>
          <w:tcPr>
            <w:tcW w:w="1079" w:type="pct"/>
            <w:tcBorders>
              <w:top w:val="nil"/>
            </w:tcBorders>
            <w:noWrap/>
            <w:vAlign w:val="bottom"/>
            <w:hideMark/>
          </w:tcPr>
          <w:p w14:paraId="1F4E2998" w14:textId="77777777" w:rsidR="001C2B75" w:rsidRPr="00A81216" w:rsidRDefault="001C2B75" w:rsidP="001C2B75">
            <w:pPr>
              <w:spacing w:after="0"/>
              <w:rPr>
                <w:rFonts w:ascii="Times New Roman" w:eastAsia="Times New Roman" w:hAnsi="Times New Roman"/>
                <w:color w:val="000000"/>
                <w:szCs w:val="24"/>
                <w:vertAlign w:val="superscript"/>
              </w:rPr>
            </w:pPr>
          </w:p>
        </w:tc>
        <w:tc>
          <w:tcPr>
            <w:tcW w:w="1390" w:type="pct"/>
            <w:tcBorders>
              <w:top w:val="nil"/>
            </w:tcBorders>
            <w:noWrap/>
            <w:vAlign w:val="bottom"/>
            <w:hideMark/>
          </w:tcPr>
          <w:p w14:paraId="149E78CC"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i prosent av total</w:t>
            </w:r>
          </w:p>
        </w:tc>
      </w:tr>
      <w:tr w:rsidR="001C2B75" w:rsidRPr="00A81216" w14:paraId="00B10A77" w14:textId="77777777" w:rsidTr="006F417B">
        <w:trPr>
          <w:trHeight w:val="330"/>
        </w:trPr>
        <w:tc>
          <w:tcPr>
            <w:tcW w:w="778" w:type="pct"/>
            <w:tcBorders>
              <w:bottom w:val="single" w:sz="4" w:space="0" w:color="auto"/>
            </w:tcBorders>
            <w:noWrap/>
            <w:vAlign w:val="bottom"/>
            <w:hideMark/>
          </w:tcPr>
          <w:p w14:paraId="20C6AB02"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 </w:t>
            </w:r>
          </w:p>
        </w:tc>
        <w:tc>
          <w:tcPr>
            <w:tcW w:w="954" w:type="pct"/>
            <w:tcBorders>
              <w:bottom w:val="single" w:sz="4" w:space="0" w:color="auto"/>
            </w:tcBorders>
            <w:noWrap/>
            <w:vAlign w:val="bottom"/>
            <w:hideMark/>
          </w:tcPr>
          <w:p w14:paraId="009B1E02" w14:textId="77777777" w:rsidR="001C2B75" w:rsidRPr="00A81216" w:rsidRDefault="001C2B75" w:rsidP="001C2B75">
            <w:pPr>
              <w:spacing w:after="0"/>
              <w:rPr>
                <w:rFonts w:ascii="Times New Roman" w:eastAsia="Times New Roman" w:hAnsi="Times New Roman"/>
                <w:color w:val="000000"/>
                <w:szCs w:val="24"/>
              </w:rPr>
            </w:pPr>
          </w:p>
        </w:tc>
        <w:tc>
          <w:tcPr>
            <w:tcW w:w="799" w:type="pct"/>
            <w:tcBorders>
              <w:bottom w:val="single" w:sz="4" w:space="0" w:color="auto"/>
            </w:tcBorders>
            <w:noWrap/>
            <w:vAlign w:val="bottom"/>
            <w:hideMark/>
          </w:tcPr>
          <w:p w14:paraId="59DAE1A1"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Tarifftillegg</w:t>
            </w:r>
          </w:p>
        </w:tc>
        <w:tc>
          <w:tcPr>
            <w:tcW w:w="1079" w:type="pct"/>
            <w:tcBorders>
              <w:bottom w:val="single" w:sz="4" w:space="0" w:color="auto"/>
            </w:tcBorders>
            <w:noWrap/>
            <w:vAlign w:val="bottom"/>
            <w:hideMark/>
          </w:tcPr>
          <w:p w14:paraId="3D0ED274" w14:textId="77777777" w:rsidR="001C2B75" w:rsidRPr="00A81216" w:rsidRDefault="001C2B75" w:rsidP="001C2B75">
            <w:pPr>
              <w:spacing w:after="0"/>
              <w:rPr>
                <w:rFonts w:ascii="Times New Roman" w:eastAsia="Times New Roman" w:hAnsi="Times New Roman"/>
                <w:color w:val="000000"/>
                <w:szCs w:val="24"/>
                <w:vertAlign w:val="superscript"/>
              </w:rPr>
            </w:pPr>
            <w:r w:rsidRPr="00A81216">
              <w:rPr>
                <w:rFonts w:ascii="Times New Roman" w:eastAsia="Times New Roman" w:hAnsi="Times New Roman"/>
                <w:color w:val="000000"/>
                <w:szCs w:val="24"/>
              </w:rPr>
              <w:t>Lønnsglidning</w:t>
            </w:r>
            <w:r>
              <w:rPr>
                <w:rFonts w:ascii="Times New Roman" w:eastAsia="Times New Roman" w:hAnsi="Times New Roman"/>
                <w:color w:val="000000"/>
                <w:szCs w:val="24"/>
                <w:vertAlign w:val="superscript"/>
              </w:rPr>
              <w:t>2</w:t>
            </w:r>
          </w:p>
        </w:tc>
        <w:tc>
          <w:tcPr>
            <w:tcW w:w="1390" w:type="pct"/>
            <w:tcBorders>
              <w:bottom w:val="single" w:sz="4" w:space="0" w:color="auto"/>
            </w:tcBorders>
            <w:noWrap/>
            <w:vAlign w:val="bottom"/>
            <w:hideMark/>
          </w:tcPr>
          <w:p w14:paraId="7CAC7FD5"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lønnsglidning</w:t>
            </w:r>
          </w:p>
        </w:tc>
      </w:tr>
      <w:tr w:rsidR="001C2B75" w:rsidRPr="00A81216" w14:paraId="312DC35D" w14:textId="77777777" w:rsidTr="006F417B">
        <w:trPr>
          <w:trHeight w:val="330"/>
        </w:trPr>
        <w:tc>
          <w:tcPr>
            <w:tcW w:w="778" w:type="pct"/>
            <w:tcBorders>
              <w:top w:val="single" w:sz="4" w:space="0" w:color="auto"/>
              <w:bottom w:val="single" w:sz="4" w:space="0" w:color="auto"/>
            </w:tcBorders>
            <w:noWrap/>
            <w:vAlign w:val="bottom"/>
            <w:hideMark/>
          </w:tcPr>
          <w:p w14:paraId="22EB22EA"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 </w:t>
            </w:r>
          </w:p>
        </w:tc>
        <w:tc>
          <w:tcPr>
            <w:tcW w:w="954" w:type="pct"/>
            <w:tcBorders>
              <w:top w:val="single" w:sz="4" w:space="0" w:color="auto"/>
              <w:bottom w:val="single" w:sz="4" w:space="0" w:color="auto"/>
            </w:tcBorders>
            <w:noWrap/>
            <w:vAlign w:val="bottom"/>
            <w:hideMark/>
          </w:tcPr>
          <w:p w14:paraId="31A740E1" w14:textId="77777777" w:rsidR="001C2B75" w:rsidRPr="00A81216" w:rsidRDefault="001C2B75"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Prosent</w:t>
            </w:r>
          </w:p>
        </w:tc>
        <w:tc>
          <w:tcPr>
            <w:tcW w:w="799" w:type="pct"/>
            <w:tcBorders>
              <w:top w:val="single" w:sz="4" w:space="0" w:color="auto"/>
              <w:bottom w:val="single" w:sz="4" w:space="0" w:color="auto"/>
            </w:tcBorders>
            <w:noWrap/>
            <w:vAlign w:val="bottom"/>
            <w:hideMark/>
          </w:tcPr>
          <w:p w14:paraId="7870BCDB" w14:textId="77777777" w:rsidR="001C2B75" w:rsidRPr="00A81216" w:rsidRDefault="001C2B75"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Prosent</w:t>
            </w:r>
          </w:p>
        </w:tc>
        <w:tc>
          <w:tcPr>
            <w:tcW w:w="1079" w:type="pct"/>
            <w:tcBorders>
              <w:top w:val="single" w:sz="4" w:space="0" w:color="auto"/>
              <w:bottom w:val="single" w:sz="4" w:space="0" w:color="auto"/>
            </w:tcBorders>
            <w:noWrap/>
            <w:vAlign w:val="bottom"/>
            <w:hideMark/>
          </w:tcPr>
          <w:p w14:paraId="180A2033" w14:textId="77777777" w:rsidR="001C2B75" w:rsidRPr="00A81216" w:rsidRDefault="001C2B75"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Prosent</w:t>
            </w:r>
          </w:p>
        </w:tc>
        <w:tc>
          <w:tcPr>
            <w:tcW w:w="1390" w:type="pct"/>
            <w:tcBorders>
              <w:top w:val="single" w:sz="4" w:space="0" w:color="auto"/>
              <w:bottom w:val="single" w:sz="4" w:space="0" w:color="auto"/>
            </w:tcBorders>
            <w:noWrap/>
            <w:vAlign w:val="bottom"/>
            <w:hideMark/>
          </w:tcPr>
          <w:p w14:paraId="5781FF58" w14:textId="77777777" w:rsidR="001C2B75" w:rsidRPr="00A81216" w:rsidRDefault="001C2B75"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Prosent</w:t>
            </w:r>
          </w:p>
        </w:tc>
      </w:tr>
      <w:tr w:rsidR="001C2B75" w:rsidRPr="00A81216" w14:paraId="4A5444DA" w14:textId="77777777" w:rsidTr="006F417B">
        <w:trPr>
          <w:trHeight w:val="315"/>
        </w:trPr>
        <w:tc>
          <w:tcPr>
            <w:tcW w:w="778" w:type="pct"/>
            <w:noWrap/>
            <w:vAlign w:val="bottom"/>
            <w:hideMark/>
          </w:tcPr>
          <w:p w14:paraId="670D4516"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2006</w:t>
            </w:r>
          </w:p>
        </w:tc>
        <w:tc>
          <w:tcPr>
            <w:tcW w:w="954" w:type="pct"/>
            <w:vAlign w:val="bottom"/>
            <w:hideMark/>
          </w:tcPr>
          <w:p w14:paraId="03205209"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3,6</w:t>
            </w:r>
          </w:p>
        </w:tc>
        <w:tc>
          <w:tcPr>
            <w:tcW w:w="799" w:type="pct"/>
            <w:vAlign w:val="bottom"/>
            <w:hideMark/>
          </w:tcPr>
          <w:p w14:paraId="09F7CC1C"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0,9</w:t>
            </w:r>
          </w:p>
        </w:tc>
        <w:tc>
          <w:tcPr>
            <w:tcW w:w="1079" w:type="pct"/>
            <w:vAlign w:val="bottom"/>
            <w:hideMark/>
          </w:tcPr>
          <w:p w14:paraId="025E016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2,7</w:t>
            </w:r>
          </w:p>
        </w:tc>
        <w:tc>
          <w:tcPr>
            <w:tcW w:w="1390" w:type="pct"/>
            <w:vAlign w:val="bottom"/>
            <w:hideMark/>
          </w:tcPr>
          <w:p w14:paraId="6B69865B"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75</w:t>
            </w:r>
          </w:p>
        </w:tc>
      </w:tr>
      <w:tr w:rsidR="001C2B75" w:rsidRPr="00A81216" w14:paraId="6EACDDD3" w14:textId="77777777" w:rsidTr="006F417B">
        <w:trPr>
          <w:trHeight w:val="315"/>
        </w:trPr>
        <w:tc>
          <w:tcPr>
            <w:tcW w:w="778" w:type="pct"/>
            <w:noWrap/>
            <w:vAlign w:val="bottom"/>
            <w:hideMark/>
          </w:tcPr>
          <w:p w14:paraId="1DE24985"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0D2B437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w:t>
            </w:r>
            <w:r>
              <w:rPr>
                <w:rFonts w:ascii="Times New Roman" w:eastAsia="Times New Roman" w:hAnsi="Times New Roman"/>
                <w:color w:val="000000"/>
                <w:szCs w:val="24"/>
              </w:rPr>
              <w:t>,0</w:t>
            </w:r>
          </w:p>
        </w:tc>
        <w:tc>
          <w:tcPr>
            <w:tcW w:w="799" w:type="pct"/>
            <w:vAlign w:val="bottom"/>
            <w:hideMark/>
          </w:tcPr>
          <w:p w14:paraId="4FC8F9E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1,3</w:t>
            </w:r>
          </w:p>
        </w:tc>
        <w:tc>
          <w:tcPr>
            <w:tcW w:w="1079" w:type="pct"/>
            <w:vAlign w:val="bottom"/>
            <w:hideMark/>
          </w:tcPr>
          <w:p w14:paraId="6C274D6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2,7</w:t>
            </w:r>
          </w:p>
        </w:tc>
        <w:tc>
          <w:tcPr>
            <w:tcW w:w="1390" w:type="pct"/>
            <w:vAlign w:val="bottom"/>
            <w:hideMark/>
          </w:tcPr>
          <w:p w14:paraId="3AD0933A"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68</w:t>
            </w:r>
          </w:p>
        </w:tc>
      </w:tr>
      <w:tr w:rsidR="001C2B75" w:rsidRPr="00A81216" w14:paraId="139B25B7" w14:textId="77777777" w:rsidTr="006F417B">
        <w:trPr>
          <w:trHeight w:val="315"/>
        </w:trPr>
        <w:tc>
          <w:tcPr>
            <w:tcW w:w="778" w:type="pct"/>
            <w:noWrap/>
            <w:vAlign w:val="bottom"/>
            <w:hideMark/>
          </w:tcPr>
          <w:p w14:paraId="78C6EBF9"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2007</w:t>
            </w:r>
          </w:p>
        </w:tc>
        <w:tc>
          <w:tcPr>
            <w:tcW w:w="954" w:type="pct"/>
            <w:vAlign w:val="bottom"/>
            <w:hideMark/>
          </w:tcPr>
          <w:p w14:paraId="0257A745"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5,5</w:t>
            </w:r>
          </w:p>
        </w:tc>
        <w:tc>
          <w:tcPr>
            <w:tcW w:w="799" w:type="pct"/>
            <w:vAlign w:val="bottom"/>
            <w:hideMark/>
          </w:tcPr>
          <w:p w14:paraId="77B8C69F"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1,7</w:t>
            </w:r>
          </w:p>
        </w:tc>
        <w:tc>
          <w:tcPr>
            <w:tcW w:w="1079" w:type="pct"/>
            <w:vAlign w:val="bottom"/>
            <w:hideMark/>
          </w:tcPr>
          <w:p w14:paraId="06A8C9B0"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3,8</w:t>
            </w:r>
          </w:p>
        </w:tc>
        <w:tc>
          <w:tcPr>
            <w:tcW w:w="1390" w:type="pct"/>
            <w:vAlign w:val="bottom"/>
            <w:hideMark/>
          </w:tcPr>
          <w:p w14:paraId="144E1C2A"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69</w:t>
            </w:r>
          </w:p>
        </w:tc>
      </w:tr>
      <w:tr w:rsidR="001C2B75" w:rsidRPr="00A81216" w14:paraId="64371425" w14:textId="77777777" w:rsidTr="006F417B">
        <w:trPr>
          <w:trHeight w:val="315"/>
        </w:trPr>
        <w:tc>
          <w:tcPr>
            <w:tcW w:w="778" w:type="pct"/>
            <w:noWrap/>
            <w:vAlign w:val="bottom"/>
            <w:hideMark/>
          </w:tcPr>
          <w:p w14:paraId="4202A8A2"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7B0C2FC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5,9</w:t>
            </w:r>
          </w:p>
        </w:tc>
        <w:tc>
          <w:tcPr>
            <w:tcW w:w="799" w:type="pct"/>
            <w:vAlign w:val="bottom"/>
            <w:hideMark/>
          </w:tcPr>
          <w:p w14:paraId="1D92F3B0"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1,7</w:t>
            </w:r>
          </w:p>
        </w:tc>
        <w:tc>
          <w:tcPr>
            <w:tcW w:w="1079" w:type="pct"/>
            <w:vAlign w:val="bottom"/>
            <w:hideMark/>
          </w:tcPr>
          <w:p w14:paraId="299B7889"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4,2</w:t>
            </w:r>
          </w:p>
        </w:tc>
        <w:tc>
          <w:tcPr>
            <w:tcW w:w="1390" w:type="pct"/>
            <w:vAlign w:val="bottom"/>
            <w:hideMark/>
          </w:tcPr>
          <w:p w14:paraId="4C6BF231"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71</w:t>
            </w:r>
          </w:p>
        </w:tc>
      </w:tr>
      <w:tr w:rsidR="001C2B75" w:rsidRPr="00A81216" w14:paraId="33C2EBD1" w14:textId="77777777" w:rsidTr="006F417B">
        <w:trPr>
          <w:trHeight w:val="315"/>
        </w:trPr>
        <w:tc>
          <w:tcPr>
            <w:tcW w:w="778" w:type="pct"/>
            <w:noWrap/>
            <w:vAlign w:val="bottom"/>
            <w:hideMark/>
          </w:tcPr>
          <w:p w14:paraId="300CC12F"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2008</w:t>
            </w:r>
          </w:p>
        </w:tc>
        <w:tc>
          <w:tcPr>
            <w:tcW w:w="954" w:type="pct"/>
            <w:vAlign w:val="bottom"/>
            <w:hideMark/>
          </w:tcPr>
          <w:p w14:paraId="745BF79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5,7</w:t>
            </w:r>
          </w:p>
        </w:tc>
        <w:tc>
          <w:tcPr>
            <w:tcW w:w="799" w:type="pct"/>
            <w:vAlign w:val="bottom"/>
            <w:hideMark/>
          </w:tcPr>
          <w:p w14:paraId="0735918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1,7</w:t>
            </w:r>
          </w:p>
        </w:tc>
        <w:tc>
          <w:tcPr>
            <w:tcW w:w="1079" w:type="pct"/>
            <w:vAlign w:val="bottom"/>
            <w:hideMark/>
          </w:tcPr>
          <w:p w14:paraId="2D1CBAB1"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w:t>
            </w:r>
            <w:r>
              <w:rPr>
                <w:rFonts w:ascii="Times New Roman" w:eastAsia="Times New Roman" w:hAnsi="Times New Roman"/>
                <w:color w:val="000000"/>
                <w:szCs w:val="24"/>
              </w:rPr>
              <w:t>,0</w:t>
            </w:r>
          </w:p>
        </w:tc>
        <w:tc>
          <w:tcPr>
            <w:tcW w:w="1390" w:type="pct"/>
            <w:vAlign w:val="bottom"/>
            <w:hideMark/>
          </w:tcPr>
          <w:p w14:paraId="4232D930"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70</w:t>
            </w:r>
          </w:p>
        </w:tc>
      </w:tr>
      <w:tr w:rsidR="001C2B75" w:rsidRPr="00A81216" w14:paraId="337336F7" w14:textId="77777777" w:rsidTr="006F417B">
        <w:trPr>
          <w:trHeight w:val="315"/>
        </w:trPr>
        <w:tc>
          <w:tcPr>
            <w:tcW w:w="778" w:type="pct"/>
            <w:noWrap/>
            <w:vAlign w:val="bottom"/>
            <w:hideMark/>
          </w:tcPr>
          <w:p w14:paraId="57DD818C"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67BFC2C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5,8</w:t>
            </w:r>
          </w:p>
        </w:tc>
        <w:tc>
          <w:tcPr>
            <w:tcW w:w="799" w:type="pct"/>
            <w:vAlign w:val="bottom"/>
            <w:hideMark/>
          </w:tcPr>
          <w:p w14:paraId="42A05437"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1,7</w:t>
            </w:r>
          </w:p>
        </w:tc>
        <w:tc>
          <w:tcPr>
            <w:tcW w:w="1079" w:type="pct"/>
            <w:vAlign w:val="bottom"/>
            <w:hideMark/>
          </w:tcPr>
          <w:p w14:paraId="1BCB887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4,1</w:t>
            </w:r>
          </w:p>
        </w:tc>
        <w:tc>
          <w:tcPr>
            <w:tcW w:w="1390" w:type="pct"/>
            <w:vAlign w:val="bottom"/>
            <w:hideMark/>
          </w:tcPr>
          <w:p w14:paraId="6A3FFA5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71</w:t>
            </w:r>
          </w:p>
        </w:tc>
      </w:tr>
      <w:tr w:rsidR="001C2B75" w:rsidRPr="00A81216" w14:paraId="40F35BA8" w14:textId="77777777" w:rsidTr="006F417B">
        <w:trPr>
          <w:trHeight w:val="315"/>
        </w:trPr>
        <w:tc>
          <w:tcPr>
            <w:tcW w:w="778" w:type="pct"/>
            <w:noWrap/>
            <w:vAlign w:val="bottom"/>
            <w:hideMark/>
          </w:tcPr>
          <w:p w14:paraId="66108263"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2009</w:t>
            </w:r>
          </w:p>
        </w:tc>
        <w:tc>
          <w:tcPr>
            <w:tcW w:w="954" w:type="pct"/>
            <w:vAlign w:val="bottom"/>
            <w:hideMark/>
          </w:tcPr>
          <w:p w14:paraId="2266F5F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3,9</w:t>
            </w:r>
          </w:p>
        </w:tc>
        <w:tc>
          <w:tcPr>
            <w:tcW w:w="799" w:type="pct"/>
            <w:vAlign w:val="bottom"/>
            <w:hideMark/>
          </w:tcPr>
          <w:p w14:paraId="62F6008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0,5</w:t>
            </w:r>
          </w:p>
        </w:tc>
        <w:tc>
          <w:tcPr>
            <w:tcW w:w="1079" w:type="pct"/>
            <w:vAlign w:val="bottom"/>
            <w:hideMark/>
          </w:tcPr>
          <w:p w14:paraId="128037E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3,4</w:t>
            </w:r>
          </w:p>
        </w:tc>
        <w:tc>
          <w:tcPr>
            <w:tcW w:w="1390" w:type="pct"/>
            <w:vAlign w:val="bottom"/>
            <w:hideMark/>
          </w:tcPr>
          <w:p w14:paraId="5BED7D7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87</w:t>
            </w:r>
          </w:p>
        </w:tc>
      </w:tr>
      <w:tr w:rsidR="001C2B75" w:rsidRPr="00A81216" w14:paraId="0B960D54" w14:textId="77777777" w:rsidTr="006F417B">
        <w:trPr>
          <w:trHeight w:val="315"/>
        </w:trPr>
        <w:tc>
          <w:tcPr>
            <w:tcW w:w="778" w:type="pct"/>
            <w:noWrap/>
            <w:vAlign w:val="bottom"/>
            <w:hideMark/>
          </w:tcPr>
          <w:p w14:paraId="5310078F"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28FED66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3,2</w:t>
            </w:r>
          </w:p>
        </w:tc>
        <w:tc>
          <w:tcPr>
            <w:tcW w:w="799" w:type="pct"/>
            <w:vAlign w:val="bottom"/>
            <w:hideMark/>
          </w:tcPr>
          <w:p w14:paraId="53735AD9"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0,6</w:t>
            </w:r>
          </w:p>
        </w:tc>
        <w:tc>
          <w:tcPr>
            <w:tcW w:w="1079" w:type="pct"/>
            <w:vAlign w:val="bottom"/>
            <w:hideMark/>
          </w:tcPr>
          <w:p w14:paraId="0B710A3B"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2,6</w:t>
            </w:r>
          </w:p>
        </w:tc>
        <w:tc>
          <w:tcPr>
            <w:tcW w:w="1390" w:type="pct"/>
            <w:vAlign w:val="bottom"/>
            <w:hideMark/>
          </w:tcPr>
          <w:p w14:paraId="0AA2334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81</w:t>
            </w:r>
          </w:p>
        </w:tc>
      </w:tr>
      <w:tr w:rsidR="001C2B75" w:rsidRPr="00A81216" w14:paraId="76CE2DFB" w14:textId="77777777" w:rsidTr="006F417B">
        <w:trPr>
          <w:trHeight w:val="315"/>
        </w:trPr>
        <w:tc>
          <w:tcPr>
            <w:tcW w:w="778" w:type="pct"/>
            <w:noWrap/>
            <w:vAlign w:val="bottom"/>
            <w:hideMark/>
          </w:tcPr>
          <w:p w14:paraId="1689FD86"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2010</w:t>
            </w:r>
          </w:p>
        </w:tc>
        <w:tc>
          <w:tcPr>
            <w:tcW w:w="954" w:type="pct"/>
            <w:vAlign w:val="bottom"/>
            <w:hideMark/>
          </w:tcPr>
          <w:p w14:paraId="46CFC56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3,6</w:t>
            </w:r>
          </w:p>
        </w:tc>
        <w:tc>
          <w:tcPr>
            <w:tcW w:w="799" w:type="pct"/>
            <w:vAlign w:val="bottom"/>
            <w:hideMark/>
          </w:tcPr>
          <w:p w14:paraId="2BD43A49"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1,2</w:t>
            </w:r>
          </w:p>
        </w:tc>
        <w:tc>
          <w:tcPr>
            <w:tcW w:w="1079" w:type="pct"/>
            <w:vAlign w:val="bottom"/>
            <w:hideMark/>
          </w:tcPr>
          <w:p w14:paraId="07CCDBC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2,4</w:t>
            </w:r>
          </w:p>
        </w:tc>
        <w:tc>
          <w:tcPr>
            <w:tcW w:w="1390" w:type="pct"/>
            <w:vAlign w:val="bottom"/>
            <w:hideMark/>
          </w:tcPr>
          <w:p w14:paraId="59178821"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67</w:t>
            </w:r>
          </w:p>
        </w:tc>
      </w:tr>
      <w:tr w:rsidR="001C2B75" w:rsidRPr="00A81216" w14:paraId="2CE3CBE7" w14:textId="77777777" w:rsidTr="006F417B">
        <w:trPr>
          <w:trHeight w:val="315"/>
        </w:trPr>
        <w:tc>
          <w:tcPr>
            <w:tcW w:w="778" w:type="pct"/>
            <w:noWrap/>
            <w:vAlign w:val="bottom"/>
            <w:hideMark/>
          </w:tcPr>
          <w:p w14:paraId="5EC6E7C6"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0FB67EDC"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3,9</w:t>
            </w:r>
          </w:p>
        </w:tc>
        <w:tc>
          <w:tcPr>
            <w:tcW w:w="799" w:type="pct"/>
            <w:vAlign w:val="bottom"/>
            <w:hideMark/>
          </w:tcPr>
          <w:p w14:paraId="672D6EEC"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1,5</w:t>
            </w:r>
          </w:p>
        </w:tc>
        <w:tc>
          <w:tcPr>
            <w:tcW w:w="1079" w:type="pct"/>
            <w:vAlign w:val="bottom"/>
            <w:hideMark/>
          </w:tcPr>
          <w:p w14:paraId="55054BF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2,4</w:t>
            </w:r>
          </w:p>
        </w:tc>
        <w:tc>
          <w:tcPr>
            <w:tcW w:w="1390" w:type="pct"/>
            <w:vAlign w:val="bottom"/>
            <w:hideMark/>
          </w:tcPr>
          <w:p w14:paraId="47413D91"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61</w:t>
            </w:r>
          </w:p>
        </w:tc>
      </w:tr>
      <w:tr w:rsidR="001C2B75" w:rsidRPr="00A81216" w14:paraId="0D32C7AB" w14:textId="77777777" w:rsidTr="006F417B">
        <w:trPr>
          <w:trHeight w:val="315"/>
        </w:trPr>
        <w:tc>
          <w:tcPr>
            <w:tcW w:w="778" w:type="pct"/>
            <w:noWrap/>
            <w:vAlign w:val="bottom"/>
            <w:hideMark/>
          </w:tcPr>
          <w:p w14:paraId="3A1229CC"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2011</w:t>
            </w:r>
          </w:p>
        </w:tc>
        <w:tc>
          <w:tcPr>
            <w:tcW w:w="954" w:type="pct"/>
            <w:vAlign w:val="bottom"/>
            <w:hideMark/>
          </w:tcPr>
          <w:p w14:paraId="65DA3885"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4,4</w:t>
            </w:r>
          </w:p>
        </w:tc>
        <w:tc>
          <w:tcPr>
            <w:tcW w:w="799" w:type="pct"/>
            <w:vAlign w:val="bottom"/>
            <w:hideMark/>
          </w:tcPr>
          <w:p w14:paraId="7FB7361B"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1,3</w:t>
            </w:r>
          </w:p>
        </w:tc>
        <w:tc>
          <w:tcPr>
            <w:tcW w:w="1079" w:type="pct"/>
            <w:vAlign w:val="bottom"/>
            <w:hideMark/>
          </w:tcPr>
          <w:p w14:paraId="32A3AA50"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3,1</w:t>
            </w:r>
          </w:p>
        </w:tc>
        <w:tc>
          <w:tcPr>
            <w:tcW w:w="1390" w:type="pct"/>
            <w:vAlign w:val="bottom"/>
            <w:hideMark/>
          </w:tcPr>
          <w:p w14:paraId="4BC9865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70</w:t>
            </w:r>
          </w:p>
        </w:tc>
      </w:tr>
      <w:tr w:rsidR="001C2B75" w:rsidRPr="00A81216" w14:paraId="713FE650" w14:textId="77777777" w:rsidTr="006F417B">
        <w:trPr>
          <w:trHeight w:val="315"/>
        </w:trPr>
        <w:tc>
          <w:tcPr>
            <w:tcW w:w="778" w:type="pct"/>
            <w:noWrap/>
            <w:vAlign w:val="bottom"/>
            <w:hideMark/>
          </w:tcPr>
          <w:p w14:paraId="7022905C"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7908FDD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4,5</w:t>
            </w:r>
          </w:p>
        </w:tc>
        <w:tc>
          <w:tcPr>
            <w:tcW w:w="799" w:type="pct"/>
            <w:vAlign w:val="bottom"/>
            <w:hideMark/>
          </w:tcPr>
          <w:p w14:paraId="68FE70C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1,1</w:t>
            </w:r>
          </w:p>
        </w:tc>
        <w:tc>
          <w:tcPr>
            <w:tcW w:w="1079" w:type="pct"/>
            <w:vAlign w:val="bottom"/>
            <w:hideMark/>
          </w:tcPr>
          <w:p w14:paraId="04395624"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3,4</w:t>
            </w:r>
          </w:p>
        </w:tc>
        <w:tc>
          <w:tcPr>
            <w:tcW w:w="1390" w:type="pct"/>
            <w:vAlign w:val="bottom"/>
            <w:hideMark/>
          </w:tcPr>
          <w:p w14:paraId="26AA605F"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76</w:t>
            </w:r>
          </w:p>
        </w:tc>
      </w:tr>
      <w:tr w:rsidR="001C2B75" w:rsidRPr="00A81216" w14:paraId="04A495FC" w14:textId="77777777" w:rsidTr="006F417B">
        <w:trPr>
          <w:trHeight w:val="315"/>
        </w:trPr>
        <w:tc>
          <w:tcPr>
            <w:tcW w:w="778" w:type="pct"/>
            <w:noWrap/>
            <w:vAlign w:val="bottom"/>
            <w:hideMark/>
          </w:tcPr>
          <w:p w14:paraId="3B73880B"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2012</w:t>
            </w:r>
          </w:p>
        </w:tc>
        <w:tc>
          <w:tcPr>
            <w:tcW w:w="954" w:type="pct"/>
            <w:vAlign w:val="bottom"/>
            <w:hideMark/>
          </w:tcPr>
          <w:p w14:paraId="5A36E6EF"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4,1</w:t>
            </w:r>
          </w:p>
        </w:tc>
        <w:tc>
          <w:tcPr>
            <w:tcW w:w="799" w:type="pct"/>
            <w:vAlign w:val="bottom"/>
            <w:hideMark/>
          </w:tcPr>
          <w:p w14:paraId="07464FF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1,3</w:t>
            </w:r>
          </w:p>
        </w:tc>
        <w:tc>
          <w:tcPr>
            <w:tcW w:w="1079" w:type="pct"/>
            <w:vAlign w:val="bottom"/>
            <w:hideMark/>
          </w:tcPr>
          <w:p w14:paraId="2F769B3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2,8</w:t>
            </w:r>
          </w:p>
        </w:tc>
        <w:tc>
          <w:tcPr>
            <w:tcW w:w="1390" w:type="pct"/>
            <w:vAlign w:val="bottom"/>
            <w:hideMark/>
          </w:tcPr>
          <w:p w14:paraId="742D305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68</w:t>
            </w:r>
          </w:p>
        </w:tc>
      </w:tr>
      <w:tr w:rsidR="001C2B75" w:rsidRPr="00A81216" w14:paraId="0E469A72" w14:textId="77777777" w:rsidTr="006F417B">
        <w:trPr>
          <w:trHeight w:val="315"/>
        </w:trPr>
        <w:tc>
          <w:tcPr>
            <w:tcW w:w="778" w:type="pct"/>
            <w:noWrap/>
            <w:vAlign w:val="bottom"/>
            <w:hideMark/>
          </w:tcPr>
          <w:p w14:paraId="391A9B52"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4CC56A29"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4,1</w:t>
            </w:r>
          </w:p>
        </w:tc>
        <w:tc>
          <w:tcPr>
            <w:tcW w:w="799" w:type="pct"/>
            <w:vAlign w:val="bottom"/>
            <w:hideMark/>
          </w:tcPr>
          <w:p w14:paraId="4C868AC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1,4</w:t>
            </w:r>
          </w:p>
        </w:tc>
        <w:tc>
          <w:tcPr>
            <w:tcW w:w="1079" w:type="pct"/>
            <w:vAlign w:val="bottom"/>
            <w:hideMark/>
          </w:tcPr>
          <w:p w14:paraId="6086ACA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2,7</w:t>
            </w:r>
          </w:p>
        </w:tc>
        <w:tc>
          <w:tcPr>
            <w:tcW w:w="1390" w:type="pct"/>
            <w:vAlign w:val="bottom"/>
            <w:hideMark/>
          </w:tcPr>
          <w:p w14:paraId="2999D9D5"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66</w:t>
            </w:r>
          </w:p>
        </w:tc>
      </w:tr>
      <w:tr w:rsidR="001C2B75" w:rsidRPr="00A81216" w14:paraId="1E5BD82E" w14:textId="77777777" w:rsidTr="006F417B">
        <w:trPr>
          <w:trHeight w:val="300"/>
        </w:trPr>
        <w:tc>
          <w:tcPr>
            <w:tcW w:w="778" w:type="pct"/>
            <w:noWrap/>
            <w:vAlign w:val="bottom"/>
            <w:hideMark/>
          </w:tcPr>
          <w:p w14:paraId="459FC7A1"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2013</w:t>
            </w:r>
          </w:p>
        </w:tc>
        <w:tc>
          <w:tcPr>
            <w:tcW w:w="954" w:type="pct"/>
            <w:vAlign w:val="bottom"/>
            <w:hideMark/>
          </w:tcPr>
          <w:p w14:paraId="1DBA3884"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3,5</w:t>
            </w:r>
          </w:p>
        </w:tc>
        <w:tc>
          <w:tcPr>
            <w:tcW w:w="799" w:type="pct"/>
            <w:vAlign w:val="bottom"/>
            <w:hideMark/>
          </w:tcPr>
          <w:p w14:paraId="0C16EF4E"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0,8</w:t>
            </w:r>
          </w:p>
        </w:tc>
        <w:tc>
          <w:tcPr>
            <w:tcW w:w="1079" w:type="pct"/>
            <w:vAlign w:val="bottom"/>
            <w:hideMark/>
          </w:tcPr>
          <w:p w14:paraId="66E7448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2,7</w:t>
            </w:r>
          </w:p>
        </w:tc>
        <w:tc>
          <w:tcPr>
            <w:tcW w:w="1390" w:type="pct"/>
            <w:vAlign w:val="bottom"/>
            <w:hideMark/>
          </w:tcPr>
          <w:p w14:paraId="513CA391"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77</w:t>
            </w:r>
          </w:p>
        </w:tc>
      </w:tr>
      <w:tr w:rsidR="001C2B75" w:rsidRPr="00A81216" w14:paraId="646C023D" w14:textId="77777777" w:rsidTr="006F417B">
        <w:trPr>
          <w:trHeight w:val="315"/>
        </w:trPr>
        <w:tc>
          <w:tcPr>
            <w:tcW w:w="778" w:type="pct"/>
            <w:noWrap/>
            <w:vAlign w:val="bottom"/>
            <w:hideMark/>
          </w:tcPr>
          <w:p w14:paraId="448122C5"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01.okt</w:t>
            </w:r>
          </w:p>
        </w:tc>
        <w:tc>
          <w:tcPr>
            <w:tcW w:w="954" w:type="pct"/>
            <w:vAlign w:val="bottom"/>
            <w:hideMark/>
          </w:tcPr>
          <w:p w14:paraId="291FB30A"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3,3</w:t>
            </w:r>
          </w:p>
        </w:tc>
        <w:tc>
          <w:tcPr>
            <w:tcW w:w="799" w:type="pct"/>
            <w:vAlign w:val="bottom"/>
            <w:hideMark/>
          </w:tcPr>
          <w:p w14:paraId="4024477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0,5</w:t>
            </w:r>
          </w:p>
        </w:tc>
        <w:tc>
          <w:tcPr>
            <w:tcW w:w="1079" w:type="pct"/>
            <w:vAlign w:val="bottom"/>
            <w:hideMark/>
          </w:tcPr>
          <w:p w14:paraId="4AD5BED3"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2,8</w:t>
            </w:r>
          </w:p>
        </w:tc>
        <w:tc>
          <w:tcPr>
            <w:tcW w:w="1390" w:type="pct"/>
            <w:vAlign w:val="bottom"/>
            <w:hideMark/>
          </w:tcPr>
          <w:p w14:paraId="0506796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85</w:t>
            </w:r>
          </w:p>
        </w:tc>
      </w:tr>
      <w:tr w:rsidR="001C2B75" w:rsidRPr="00A81216" w14:paraId="415D40B6" w14:textId="77777777" w:rsidTr="006F417B">
        <w:trPr>
          <w:trHeight w:val="375"/>
        </w:trPr>
        <w:tc>
          <w:tcPr>
            <w:tcW w:w="778" w:type="pct"/>
            <w:noWrap/>
            <w:vAlign w:val="bottom"/>
            <w:hideMark/>
          </w:tcPr>
          <w:p w14:paraId="1E9EC33E" w14:textId="77777777" w:rsidR="001C2B75" w:rsidRPr="00A81216" w:rsidRDefault="001C2B75" w:rsidP="001C2B75">
            <w:pPr>
              <w:spacing w:after="0"/>
              <w:rPr>
                <w:rFonts w:ascii="Times New Roman" w:eastAsia="Times New Roman" w:hAnsi="Times New Roman"/>
                <w:color w:val="000000"/>
                <w:szCs w:val="24"/>
              </w:rPr>
            </w:pPr>
            <w:r w:rsidRPr="00A81216">
              <w:rPr>
                <w:rFonts w:ascii="Times New Roman" w:eastAsia="Times New Roman" w:hAnsi="Times New Roman"/>
                <w:color w:val="000000"/>
                <w:szCs w:val="24"/>
              </w:rPr>
              <w:t>2014</w:t>
            </w:r>
          </w:p>
        </w:tc>
        <w:tc>
          <w:tcPr>
            <w:tcW w:w="954" w:type="pct"/>
            <w:vAlign w:val="bottom"/>
            <w:hideMark/>
          </w:tcPr>
          <w:p w14:paraId="4BB4D646"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3</w:t>
            </w:r>
            <w:r>
              <w:rPr>
                <w:rFonts w:ascii="Times New Roman" w:eastAsia="Times New Roman" w:hAnsi="Times New Roman"/>
                <w:color w:val="000000"/>
                <w:szCs w:val="24"/>
              </w:rPr>
              <w:t>,0</w:t>
            </w:r>
          </w:p>
        </w:tc>
        <w:tc>
          <w:tcPr>
            <w:tcW w:w="799" w:type="pct"/>
            <w:vAlign w:val="bottom"/>
            <w:hideMark/>
          </w:tcPr>
          <w:p w14:paraId="738D1078"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0,7</w:t>
            </w:r>
          </w:p>
        </w:tc>
        <w:tc>
          <w:tcPr>
            <w:tcW w:w="1079" w:type="pct"/>
            <w:noWrap/>
            <w:vAlign w:val="bottom"/>
            <w:hideMark/>
          </w:tcPr>
          <w:p w14:paraId="05BDD205"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2</w:t>
            </w:r>
            <w:r>
              <w:rPr>
                <w:rFonts w:ascii="Times New Roman" w:eastAsia="Times New Roman" w:hAnsi="Times New Roman"/>
                <w:color w:val="000000"/>
                <w:szCs w:val="24"/>
              </w:rPr>
              <w:t>,3</w:t>
            </w:r>
          </w:p>
        </w:tc>
        <w:tc>
          <w:tcPr>
            <w:tcW w:w="1390" w:type="pct"/>
            <w:vAlign w:val="bottom"/>
            <w:hideMark/>
          </w:tcPr>
          <w:p w14:paraId="5E2EB832" w14:textId="77777777" w:rsidR="001C2B75" w:rsidRPr="00A81216" w:rsidRDefault="001C2B75" w:rsidP="001C2B75">
            <w:pPr>
              <w:spacing w:after="0"/>
              <w:jc w:val="center"/>
              <w:rPr>
                <w:rFonts w:ascii="Times New Roman" w:eastAsia="Times New Roman" w:hAnsi="Times New Roman"/>
                <w:color w:val="000000"/>
                <w:szCs w:val="24"/>
              </w:rPr>
            </w:pPr>
            <w:r w:rsidRPr="00A81216">
              <w:rPr>
                <w:rFonts w:ascii="Times New Roman" w:eastAsia="Times New Roman" w:hAnsi="Times New Roman"/>
                <w:color w:val="000000"/>
                <w:szCs w:val="24"/>
              </w:rPr>
              <w:t>7</w:t>
            </w:r>
            <w:r>
              <w:rPr>
                <w:rFonts w:ascii="Times New Roman" w:eastAsia="Times New Roman" w:hAnsi="Times New Roman"/>
                <w:color w:val="000000"/>
                <w:szCs w:val="24"/>
              </w:rPr>
              <w:t>7</w:t>
            </w:r>
          </w:p>
        </w:tc>
      </w:tr>
      <w:tr w:rsidR="0082747E" w:rsidRPr="00A81216" w14:paraId="3B1C5D81" w14:textId="77777777" w:rsidTr="006F417B">
        <w:trPr>
          <w:trHeight w:val="375"/>
        </w:trPr>
        <w:tc>
          <w:tcPr>
            <w:tcW w:w="778" w:type="pct"/>
            <w:noWrap/>
            <w:vAlign w:val="bottom"/>
          </w:tcPr>
          <w:p w14:paraId="1950E38E" w14:textId="4A3BFDEC" w:rsidR="0082747E" w:rsidRPr="00A81216" w:rsidRDefault="0082747E" w:rsidP="001C2B75">
            <w:pPr>
              <w:spacing w:after="0"/>
              <w:rPr>
                <w:rFonts w:ascii="Times New Roman" w:eastAsia="Times New Roman" w:hAnsi="Times New Roman"/>
                <w:color w:val="000000"/>
                <w:szCs w:val="24"/>
              </w:rPr>
            </w:pPr>
            <w:r>
              <w:rPr>
                <w:rFonts w:ascii="Times New Roman" w:eastAsia="Times New Roman" w:hAnsi="Times New Roman"/>
                <w:color w:val="000000"/>
                <w:szCs w:val="24"/>
              </w:rPr>
              <w:t>01.okt</w:t>
            </w:r>
          </w:p>
        </w:tc>
        <w:tc>
          <w:tcPr>
            <w:tcW w:w="954" w:type="pct"/>
            <w:vAlign w:val="bottom"/>
          </w:tcPr>
          <w:p w14:paraId="4F36841E" w14:textId="7A891B53" w:rsidR="0082747E" w:rsidRPr="00A81216"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2,8</w:t>
            </w:r>
          </w:p>
        </w:tc>
        <w:tc>
          <w:tcPr>
            <w:tcW w:w="799" w:type="pct"/>
            <w:vAlign w:val="bottom"/>
          </w:tcPr>
          <w:p w14:paraId="79776250" w14:textId="78EA4220" w:rsidR="0082747E" w:rsidRPr="00A81216"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1,0</w:t>
            </w:r>
          </w:p>
        </w:tc>
        <w:tc>
          <w:tcPr>
            <w:tcW w:w="1079" w:type="pct"/>
            <w:noWrap/>
            <w:vAlign w:val="bottom"/>
          </w:tcPr>
          <w:p w14:paraId="74039B15" w14:textId="4DF7B2F2" w:rsidR="0082747E" w:rsidRPr="00A81216"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1,8</w:t>
            </w:r>
          </w:p>
        </w:tc>
        <w:tc>
          <w:tcPr>
            <w:tcW w:w="1390" w:type="pct"/>
            <w:vAlign w:val="bottom"/>
          </w:tcPr>
          <w:p w14:paraId="496176EE" w14:textId="3298C85B" w:rsidR="0082747E" w:rsidRPr="00A81216"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64</w:t>
            </w:r>
          </w:p>
        </w:tc>
      </w:tr>
      <w:tr w:rsidR="0082747E" w:rsidRPr="00A81216" w14:paraId="535BEEAD" w14:textId="77777777" w:rsidTr="006F417B">
        <w:trPr>
          <w:trHeight w:val="375"/>
        </w:trPr>
        <w:tc>
          <w:tcPr>
            <w:tcW w:w="778" w:type="pct"/>
            <w:noWrap/>
            <w:vAlign w:val="bottom"/>
          </w:tcPr>
          <w:p w14:paraId="2AF93B34" w14:textId="08E03CEA" w:rsidR="0082747E" w:rsidRDefault="0082747E" w:rsidP="001C2B75">
            <w:pPr>
              <w:spacing w:after="0"/>
              <w:rPr>
                <w:rFonts w:ascii="Times New Roman" w:eastAsia="Times New Roman" w:hAnsi="Times New Roman"/>
                <w:color w:val="000000"/>
                <w:szCs w:val="24"/>
              </w:rPr>
            </w:pPr>
            <w:r>
              <w:rPr>
                <w:rFonts w:ascii="Times New Roman" w:eastAsia="Times New Roman" w:hAnsi="Times New Roman"/>
                <w:color w:val="000000"/>
                <w:szCs w:val="24"/>
              </w:rPr>
              <w:t>2015</w:t>
            </w:r>
            <w:r w:rsidRPr="0082747E">
              <w:rPr>
                <w:rFonts w:ascii="Times New Roman" w:eastAsia="Times New Roman" w:hAnsi="Times New Roman"/>
                <w:color w:val="000000"/>
                <w:szCs w:val="24"/>
                <w:vertAlign w:val="superscript"/>
              </w:rPr>
              <w:t>3</w:t>
            </w:r>
          </w:p>
        </w:tc>
        <w:tc>
          <w:tcPr>
            <w:tcW w:w="954" w:type="pct"/>
            <w:vAlign w:val="bottom"/>
          </w:tcPr>
          <w:p w14:paraId="3660F0AA" w14:textId="19B3307F" w:rsidR="0082747E" w:rsidRDefault="0082747E" w:rsidP="0082747E">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2 ½</w:t>
            </w:r>
          </w:p>
        </w:tc>
        <w:tc>
          <w:tcPr>
            <w:tcW w:w="799" w:type="pct"/>
            <w:vAlign w:val="bottom"/>
          </w:tcPr>
          <w:p w14:paraId="3FFD7B21" w14:textId="0A582CAB" w:rsidR="0082747E"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0,2</w:t>
            </w:r>
          </w:p>
        </w:tc>
        <w:tc>
          <w:tcPr>
            <w:tcW w:w="1079" w:type="pct"/>
            <w:noWrap/>
            <w:vAlign w:val="bottom"/>
          </w:tcPr>
          <w:p w14:paraId="7A6984DD" w14:textId="1D0E42F9" w:rsidR="0082747E" w:rsidRDefault="0082747E" w:rsidP="0082747E">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2 ¼</w:t>
            </w:r>
          </w:p>
        </w:tc>
        <w:tc>
          <w:tcPr>
            <w:tcW w:w="1390" w:type="pct"/>
            <w:vAlign w:val="bottom"/>
          </w:tcPr>
          <w:p w14:paraId="3D1B175C" w14:textId="472C0C05" w:rsidR="0082747E" w:rsidRDefault="0082747E" w:rsidP="001C2B75">
            <w:pPr>
              <w:spacing w:after="0"/>
              <w:jc w:val="center"/>
              <w:rPr>
                <w:rFonts w:ascii="Times New Roman" w:eastAsia="Times New Roman" w:hAnsi="Times New Roman"/>
                <w:color w:val="000000"/>
                <w:szCs w:val="24"/>
              </w:rPr>
            </w:pPr>
            <w:r>
              <w:rPr>
                <w:rFonts w:ascii="Times New Roman" w:eastAsia="Times New Roman" w:hAnsi="Times New Roman"/>
                <w:color w:val="000000"/>
                <w:szCs w:val="24"/>
              </w:rPr>
              <w:t>90</w:t>
            </w:r>
          </w:p>
        </w:tc>
      </w:tr>
    </w:tbl>
    <w:p w14:paraId="43D6F4D9" w14:textId="0A4383FA" w:rsidR="001C2B75" w:rsidRPr="005D0F48" w:rsidRDefault="001C2B75" w:rsidP="008643D6">
      <w:pPr>
        <w:pStyle w:val="tabell-noter"/>
        <w:numPr>
          <w:ilvl w:val="0"/>
          <w:numId w:val="83"/>
        </w:numPr>
        <w:tabs>
          <w:tab w:val="clear" w:pos="284"/>
        </w:tabs>
        <w:spacing w:before="0" w:after="0"/>
        <w:ind w:left="142" w:hanging="142"/>
      </w:pPr>
      <w:r w:rsidRPr="005D0F48">
        <w:t xml:space="preserve">Beregningsgrunnlaget: Gjennomsnittlig timefortjeneste ekskl. overtidstillegg, betaling for helligdager, feriepenger o.l. Omregning av timefortjenestene til felles ukebasis har betydning bare når det er vesentlige endringer i arbeidstiden. </w:t>
      </w:r>
    </w:p>
    <w:p w14:paraId="287BEEE4" w14:textId="67AADAE4" w:rsidR="001C2B75" w:rsidRDefault="001C2B75" w:rsidP="008643D6">
      <w:pPr>
        <w:pStyle w:val="tabell-noter"/>
        <w:numPr>
          <w:ilvl w:val="0"/>
          <w:numId w:val="83"/>
        </w:numPr>
        <w:tabs>
          <w:tab w:val="clear" w:pos="284"/>
        </w:tabs>
        <w:spacing w:before="0" w:after="0"/>
        <w:ind w:left="142" w:hanging="142"/>
      </w:pPr>
      <w:r w:rsidRPr="005D0F48">
        <w:t>Lønnsglidningen er basert på at hele lønnsveksten mellom tilsvarende registreringsperioder i to påfølgende år er dekomponert i tarifftillegg og lønnsglidning. Dette avviker fra dekomponeringen i tabell 1.3 hvor kalenderårslønnsveksten er dekomponert i lønnsoverheng (som består både av tarifftillegg og lønnsglidning), samt bidrag til kalenderårslønnsveksten fra henholdsvis tarifftillegg og lønnsglidning.</w:t>
      </w:r>
    </w:p>
    <w:p w14:paraId="3588744D" w14:textId="29B26D31" w:rsidR="001C2B75" w:rsidRDefault="001C2B75" w:rsidP="008643D6">
      <w:pPr>
        <w:pStyle w:val="tabell-noter"/>
        <w:numPr>
          <w:ilvl w:val="0"/>
          <w:numId w:val="83"/>
        </w:numPr>
        <w:tabs>
          <w:tab w:val="clear" w:pos="284"/>
        </w:tabs>
        <w:spacing w:before="0" w:after="0"/>
        <w:ind w:left="142" w:hanging="142"/>
      </w:pPr>
      <w:r>
        <w:t>Anslag på foreløpig materiale.</w:t>
      </w:r>
    </w:p>
    <w:p w14:paraId="4EE26EC9" w14:textId="288C9813" w:rsidR="001C2B75" w:rsidRPr="00C11148" w:rsidRDefault="001C2B75" w:rsidP="0082747E">
      <w:pPr>
        <w:pStyle w:val="Kilde"/>
        <w:spacing w:before="120"/>
      </w:pPr>
      <w:r w:rsidRPr="005D0F48">
        <w:t xml:space="preserve">Kilder: </w:t>
      </w:r>
      <w:r>
        <w:t>S</w:t>
      </w:r>
      <w:r w:rsidR="0082747E">
        <w:t>tatistisk sentralbyrå</w:t>
      </w:r>
      <w:r>
        <w:t>, NHO</w:t>
      </w:r>
    </w:p>
    <w:p w14:paraId="70459F4C" w14:textId="77777777" w:rsidR="001C2B75" w:rsidRDefault="001C2B75" w:rsidP="004779A9">
      <w:pPr>
        <w:pStyle w:val="Overskrift3"/>
        <w:numPr>
          <w:ilvl w:val="2"/>
          <w:numId w:val="24"/>
        </w:numPr>
      </w:pPr>
      <w:bookmarkStart w:id="82" w:name="_Toc286073352"/>
      <w:bookmarkStart w:id="83" w:name="_Toc286074996"/>
      <w:bookmarkStart w:id="84" w:name="_Toc286075245"/>
      <w:bookmarkStart w:id="85" w:name="_Toc286076964"/>
      <w:bookmarkStart w:id="86" w:name="_Toc320820662"/>
      <w:bookmarkStart w:id="87" w:name="_Toc351913431"/>
      <w:bookmarkStart w:id="88" w:name="_Toc380506125"/>
      <w:bookmarkStart w:id="89" w:name="_Toc422226818"/>
      <w:bookmarkStart w:id="90" w:name="_Toc443998956"/>
      <w:r w:rsidRPr="00BA1C84">
        <w:t>Lønnsutviklingen for funksjonærer i NHO-bedrifter</w:t>
      </w:r>
      <w:bookmarkEnd w:id="82"/>
      <w:bookmarkEnd w:id="83"/>
      <w:bookmarkEnd w:id="84"/>
      <w:bookmarkEnd w:id="85"/>
      <w:bookmarkEnd w:id="86"/>
      <w:bookmarkEnd w:id="87"/>
      <w:bookmarkEnd w:id="88"/>
      <w:bookmarkEnd w:id="89"/>
      <w:bookmarkEnd w:id="90"/>
    </w:p>
    <w:p w14:paraId="39FD23D1" w14:textId="77777777" w:rsidR="001C2B75" w:rsidRPr="00CB70E9" w:rsidRDefault="001C2B75" w:rsidP="00CB70E9">
      <w:r w:rsidRPr="00CB70E9">
        <w:rPr>
          <w:i/>
        </w:rPr>
        <w:t>Industrifunksjonærene</w:t>
      </w:r>
      <w:r w:rsidRPr="00CB70E9">
        <w:t xml:space="preserve"> </w:t>
      </w:r>
      <w:r w:rsidRPr="00CB70E9">
        <w:rPr>
          <w:rFonts w:hint="eastAsia"/>
        </w:rPr>
        <w:t xml:space="preserve">i NHO-bedrifter utgjør om lag </w:t>
      </w:r>
      <w:r w:rsidRPr="00CB70E9">
        <w:rPr>
          <w:rFonts w:hint="eastAsia"/>
        </w:rPr>
        <w:t>⅓</w:t>
      </w:r>
      <w:r w:rsidRPr="00CB70E9">
        <w:rPr>
          <w:rFonts w:hint="eastAsia"/>
        </w:rPr>
        <w:t xml:space="preserve"> av alle funksjonærer i NHO-bedrifter. </w:t>
      </w:r>
      <w:r w:rsidRPr="00CB70E9">
        <w:t>Gjennomsnittlig årslønnsvekst for industrifunksjonærer var om lag 2 ½ prosent fra 2014 til 2015 basert på foreløpig materiale, mot 3,2 prosent året før. Fra 1. oktober 2014 til 1. oktober 2015 var lønnsveksten samlet for industrifunksjonærer på foreløpig materiale noe i underkant av 2 ½ prosent, mot 3,0 prosent i tilsvarende periode året før.</w:t>
      </w:r>
    </w:p>
    <w:p w14:paraId="3F53D07C" w14:textId="77777777" w:rsidR="001C2B75" w:rsidRPr="00CB70E9" w:rsidRDefault="001C2B75" w:rsidP="00CB70E9">
      <w:r w:rsidRPr="00CB70E9">
        <w:t>Endringer i næringsfordelingen mellom gruppene næringsmiddel, treindustri, kjemisk industri, verksted- og metallindustri og annen industri drar gjennomsnittlig lønnsvekst ned med vel ¼ prosentpoeng. Dette har sammenheng med en relativ vridning fra kjemisk og verksteds- og metallindustri med lønnsnivå høyere enn gjennomsnittet for industrifunksjonærer, mot næringsmiddelsektoren og treindustri, hvor lønnsnivået ligger lavere enn gjennomsnittet. Året før ga endringer i næringsfordelingen tilsvarende virkninger oppover i gjennomsnittlig lønnsvekst.</w:t>
      </w:r>
    </w:p>
    <w:p w14:paraId="0D71EA6F" w14:textId="77777777" w:rsidR="001C2B75" w:rsidRPr="00CB70E9" w:rsidRDefault="001C2B75" w:rsidP="00CB70E9">
      <w:r w:rsidRPr="00CB70E9">
        <w:t xml:space="preserve">Klassifiseringen av NHO-bedrifter i tariffsammenheng og i utvalgets rapportering, vil avvike noe fra offentlig klassifisering. For nærmere informasjon henvises til boks 1.2. Virkningene blir også omtalt i fotnotene i tabellene. </w:t>
      </w:r>
    </w:p>
    <w:p w14:paraId="663B5F71" w14:textId="77777777" w:rsidR="001C2B75" w:rsidRPr="00CB70E9" w:rsidRDefault="001C2B75" w:rsidP="00CB70E9">
      <w:r w:rsidRPr="00CB70E9">
        <w:t xml:space="preserve">Lønnsveksten inneholder både endring i grunnlønn, bonus og uregelmessige tillegg som skift etc. Basert på data for hvilken måned lønnsreguleringen skjer innenfor de enkelte bransjegrupper, er årslønn beregnet ved at de ulike bransjene blir vektet sammen til industrifunksjonærer totalt. Som i andre områder forutsettes ingen endringer etter registreringstidspunktet 1. oktober. Dette danner grunnlag for beregninger av årslønnsvekst.  </w:t>
      </w:r>
    </w:p>
    <w:p w14:paraId="0EC957F5" w14:textId="0B664248" w:rsidR="001C2B75" w:rsidRPr="00E27808" w:rsidRDefault="001C2B75" w:rsidP="00CB70E9">
      <w:pPr>
        <w:rPr>
          <w:rFonts w:ascii="Arial" w:hAnsi="Arial" w:cs="Arial"/>
          <w:color w:val="000000"/>
          <w:sz w:val="22"/>
          <w:szCs w:val="22"/>
        </w:rPr>
      </w:pPr>
      <w:r w:rsidRPr="00CB70E9">
        <w:t>Lønnsoverhenget for industrifunksjonærer i NHO-bedrifter inn i 2016 er beregnet til om lag eller vel 1 prosent på foreløpig materiale, mot 1,</w:t>
      </w:r>
      <w:r w:rsidR="00ED3B72">
        <w:t>3</w:t>
      </w:r>
      <w:r w:rsidRPr="00CB70E9">
        <w:t xml:space="preserve"> prosent året før</w:t>
      </w:r>
      <w:r w:rsidRPr="00E27808">
        <w:rPr>
          <w:rFonts w:ascii="Arial" w:hAnsi="Arial" w:cs="Arial"/>
          <w:color w:val="000000"/>
          <w:sz w:val="22"/>
          <w:szCs w:val="22"/>
        </w:rPr>
        <w:t xml:space="preserve">. </w:t>
      </w:r>
    </w:p>
    <w:p w14:paraId="5D4006AD" w14:textId="77777777" w:rsidR="001C2B75" w:rsidRPr="00BA1C84" w:rsidRDefault="001C2B75" w:rsidP="008643D6">
      <w:pPr>
        <w:pStyle w:val="Overskrift3"/>
        <w:numPr>
          <w:ilvl w:val="2"/>
          <w:numId w:val="64"/>
        </w:numPr>
      </w:pPr>
      <w:bookmarkStart w:id="91" w:name="_Toc286073353"/>
      <w:bookmarkStart w:id="92" w:name="_Toc286074997"/>
      <w:bookmarkStart w:id="93" w:name="_Toc286075246"/>
      <w:bookmarkStart w:id="94" w:name="_Toc286076965"/>
      <w:bookmarkStart w:id="95" w:name="_Toc320820663"/>
      <w:bookmarkStart w:id="96" w:name="_Toc351913432"/>
      <w:bookmarkStart w:id="97" w:name="_Toc380506126"/>
      <w:bookmarkStart w:id="98" w:name="_Toc422226819"/>
      <w:bookmarkStart w:id="99" w:name="_Toc443998957"/>
      <w:r w:rsidRPr="00BA1C84">
        <w:t>Lønnsutviklingen for industriarbeidere og industrifunksjonærer i NHO-bedrifter under ett (både heltid og deltid)</w:t>
      </w:r>
      <w:bookmarkEnd w:id="91"/>
      <w:bookmarkEnd w:id="92"/>
      <w:bookmarkEnd w:id="93"/>
      <w:bookmarkEnd w:id="94"/>
      <w:bookmarkEnd w:id="95"/>
      <w:bookmarkEnd w:id="96"/>
      <w:bookmarkEnd w:id="97"/>
      <w:bookmarkEnd w:id="98"/>
      <w:bookmarkEnd w:id="99"/>
    </w:p>
    <w:p w14:paraId="7C4D0F48" w14:textId="4B20BBB0" w:rsidR="001C2B75" w:rsidRPr="00CB70E9" w:rsidRDefault="001C2B75" w:rsidP="00CB70E9">
      <w:r w:rsidRPr="00CB70E9">
        <w:t>Basert på at fordelingen mellom arbeidere og funksjonærer er om lag det samme som året før</w:t>
      </w:r>
      <w:r w:rsidR="00C976F2">
        <w:t>,</w:t>
      </w:r>
      <w:r w:rsidRPr="00CB70E9">
        <w:t xml:space="preserve"> vil anslaget for lønnsvekst for alle ansatte innenfor industrien i NHO-bedrifter fra 2014 til 2015 bli om lag 2 ½ prosent, eller noe i overkant av dette, basert på foreløpig materiale. Fra 2013 til 2014 var veksten 3,3 prosent og året før 3,9 prosent. </w:t>
      </w:r>
    </w:p>
    <w:p w14:paraId="335047B3" w14:textId="1041D623" w:rsidR="001C2B75" w:rsidRPr="00CB70E9" w:rsidRDefault="001C2B75" w:rsidP="001C2B75">
      <w:r w:rsidRPr="00CB70E9">
        <w:t>Grunnlaget for beregningene fra 2013 til 2014 var basert på Statistisk sentralbyrås oppdaterte sysselsettingstall (antall ansatte) for NHO-bedrifter for tellingstidspunkt oktober i 2014 i forhold til oktober 2013, gruppert etter de samme næringsgruppene som ellers i industrien (jf. vedleggstabell 4.10). Lønnstall samlet for alle ansatte innenfor næringsgruppene ble vektet sammen basert på sysselsettingstall fra Statistisk sentralbyrå (jf. ovenfor). Vektene mellom næringene baserer seg på de bedriftsenheter som var entydig klassifisert som industri i henholdsvis medlemsregistret i NHO og foretaks- og bedriftsregistret (FOB) i Statistisk sentralbyrå.</w:t>
      </w:r>
    </w:p>
    <w:p w14:paraId="1D4B1295" w14:textId="27348681" w:rsidR="0086050F" w:rsidRDefault="001C2B75" w:rsidP="0086050F">
      <w:r w:rsidRPr="00CB70E9">
        <w:t xml:space="preserve">Tilsvarende beregninger er ikke foretatt fra 2014 til 2015 i det foreløpige materiale, fordi man mangler sammenlignbart datamateriale mellom 2014 og 2015.   </w:t>
      </w:r>
      <w:bookmarkStart w:id="100" w:name="_Toc351913433"/>
      <w:bookmarkStart w:id="101" w:name="_Toc380506127"/>
      <w:bookmarkStart w:id="102" w:name="_Toc415240751"/>
      <w:bookmarkStart w:id="103" w:name="_Toc442351736"/>
    </w:p>
    <w:p w14:paraId="42C41A7F" w14:textId="55F70FB0" w:rsidR="0086050F" w:rsidRDefault="0086050F" w:rsidP="008643D6">
      <w:pPr>
        <w:pStyle w:val="Overskrift3"/>
        <w:numPr>
          <w:ilvl w:val="2"/>
          <w:numId w:val="64"/>
        </w:numPr>
      </w:pPr>
      <w:bookmarkStart w:id="104" w:name="_Toc443998958"/>
      <w:r w:rsidRPr="00BA1C84">
        <w:t>Lønnsutviklingen i andre områder i privat næringsvirksomhet</w:t>
      </w:r>
      <w:bookmarkEnd w:id="104"/>
    </w:p>
    <w:bookmarkEnd w:id="100"/>
    <w:bookmarkEnd w:id="101"/>
    <w:bookmarkEnd w:id="102"/>
    <w:bookmarkEnd w:id="103"/>
    <w:p w14:paraId="1AD040B3" w14:textId="77777777" w:rsidR="000B374C" w:rsidRPr="00EA0201" w:rsidRDefault="000B374C" w:rsidP="00EB0D8B">
      <w:pPr>
        <w:pStyle w:val="Def"/>
      </w:pPr>
      <w:r w:rsidRPr="00EA0201">
        <w:t xml:space="preserve">I </w:t>
      </w:r>
      <w:r w:rsidRPr="00EA0201">
        <w:rPr>
          <w:i/>
        </w:rPr>
        <w:t>finansnæringen</w:t>
      </w:r>
      <w:r w:rsidRPr="00EA0201">
        <w:t xml:space="preserve"> ble det i </w:t>
      </w:r>
      <w:r>
        <w:t>mellom</w:t>
      </w:r>
      <w:r w:rsidRPr="00EA0201">
        <w:t>oppgjøret for 201</w:t>
      </w:r>
      <w:r>
        <w:t>5</w:t>
      </w:r>
      <w:r w:rsidRPr="00EA0201">
        <w:t xml:space="preserve"> mellom Finansforbundet og Finans Norge og mellom LO/ HK</w:t>
      </w:r>
      <w:r w:rsidRPr="00EA0201" w:rsidDel="0049356C">
        <w:t xml:space="preserve"> </w:t>
      </w:r>
      <w:r w:rsidRPr="00EA0201">
        <w:t xml:space="preserve">og Norsk Post- og Kommunikasjonsforbund og Finans Norge gitt et tillegg på </w:t>
      </w:r>
      <w:r w:rsidR="00366918">
        <w:t xml:space="preserve">lønnsregulativets trinn på </w:t>
      </w:r>
      <w:r w:rsidR="00AF611A">
        <w:t xml:space="preserve">kr </w:t>
      </w:r>
      <w:r w:rsidR="00350DA1">
        <w:t>3 1</w:t>
      </w:r>
      <w:r w:rsidRPr="00EA0201">
        <w:t>00</w:t>
      </w:r>
      <w:r w:rsidR="00AF611A">
        <w:t xml:space="preserve"> per år</w:t>
      </w:r>
      <w:r w:rsidRPr="00EA0201">
        <w:t xml:space="preserve"> med virkning fra 1. mai 201</w:t>
      </w:r>
      <w:r w:rsidR="00070492">
        <w:t>5</w:t>
      </w:r>
      <w:r w:rsidRPr="00EA0201">
        <w:t xml:space="preserve">. Tillegget anslås å bidra med </w:t>
      </w:r>
      <w:r w:rsidR="00350DA1">
        <w:t>0,4</w:t>
      </w:r>
      <w:r w:rsidRPr="00EA0201">
        <w:t xml:space="preserve"> prosentpoeng til årslønnsveksten fra 201</w:t>
      </w:r>
      <w:r w:rsidR="00350DA1">
        <w:t>4</w:t>
      </w:r>
      <w:r w:rsidRPr="00EA0201">
        <w:t xml:space="preserve"> til 201</w:t>
      </w:r>
      <w:r w:rsidR="00350DA1">
        <w:t>5</w:t>
      </w:r>
      <w:r>
        <w:t>.</w:t>
      </w:r>
    </w:p>
    <w:p w14:paraId="424EE646" w14:textId="77777777" w:rsidR="000B374C" w:rsidRPr="00EA0201" w:rsidRDefault="000B374C" w:rsidP="00EB0D8B">
      <w:pPr>
        <w:pStyle w:val="Def"/>
      </w:pPr>
      <w:r w:rsidRPr="00EA0201">
        <w:t>Ifølge Finans Norge ble det i medlemsbedriftene under ett gitt lokale tillegg per 1. januar 201</w:t>
      </w:r>
      <w:r w:rsidR="00350DA1">
        <w:t>5</w:t>
      </w:r>
      <w:r w:rsidRPr="00EA0201">
        <w:t xml:space="preserve"> på </w:t>
      </w:r>
      <w:r w:rsidR="00565095">
        <w:t>0,49</w:t>
      </w:r>
      <w:r w:rsidRPr="00EA0201">
        <w:t xml:space="preserve"> prosent og per 1. juli 201</w:t>
      </w:r>
      <w:r w:rsidR="00350DA1">
        <w:t>5</w:t>
      </w:r>
      <w:r w:rsidRPr="00EA0201">
        <w:t xml:space="preserve"> på </w:t>
      </w:r>
      <w:r w:rsidR="00565095">
        <w:t>1</w:t>
      </w:r>
      <w:r w:rsidR="00350DA1">
        <w:t>,</w:t>
      </w:r>
      <w:r w:rsidR="00565095">
        <w:t>13</w:t>
      </w:r>
      <w:r w:rsidRPr="00EA0201">
        <w:t xml:space="preserve"> prosent.</w:t>
      </w:r>
      <w:r w:rsidR="0045786B">
        <w:t xml:space="preserve"> Disse tilleggene gjelder regulativlønnede.</w:t>
      </w:r>
    </w:p>
    <w:p w14:paraId="67E4DDB3" w14:textId="77777777" w:rsidR="000B374C" w:rsidRDefault="000B374C" w:rsidP="00EB0D8B">
      <w:pPr>
        <w:pStyle w:val="Def"/>
        <w:rPr>
          <w:noProof/>
        </w:rPr>
      </w:pPr>
      <w:r w:rsidRPr="00B512D7">
        <w:t>Ifølge</w:t>
      </w:r>
      <w:r>
        <w:t xml:space="preserve"> </w:t>
      </w:r>
      <w:r w:rsidR="0069439E">
        <w:t xml:space="preserve">foreløpig </w:t>
      </w:r>
      <w:r>
        <w:t>lønnsstatistikk</w:t>
      </w:r>
      <w:r w:rsidRPr="00B512D7">
        <w:t xml:space="preserve"> for 201</w:t>
      </w:r>
      <w:r w:rsidR="00C472DF">
        <w:t>5</w:t>
      </w:r>
      <w:r w:rsidRPr="00B512D7">
        <w:t xml:space="preserve"> økte den gjennomsnittlige månedslønnen i finanstjenester, som omfatter noen flere grupper enn forhandlingsområdet</w:t>
      </w:r>
      <w:r w:rsidRPr="00B512D7">
        <w:rPr>
          <w:vertAlign w:val="superscript"/>
        </w:rPr>
        <w:footnoteReference w:id="2"/>
      </w:r>
      <w:r w:rsidRPr="00B512D7">
        <w:t xml:space="preserve"> bank og forsikring, med </w:t>
      </w:r>
      <w:r w:rsidR="00D11C3E">
        <w:t>4,1</w:t>
      </w:r>
      <w:r>
        <w:t xml:space="preserve"> </w:t>
      </w:r>
      <w:r w:rsidRPr="00B512D7">
        <w:t>prosent for heltidsansatte fra 1. september 201</w:t>
      </w:r>
      <w:r w:rsidR="00C472DF">
        <w:t>4</w:t>
      </w:r>
      <w:r w:rsidRPr="00B512D7">
        <w:t xml:space="preserve"> til 1. september 201</w:t>
      </w:r>
      <w:r w:rsidR="00C472DF">
        <w:t>5</w:t>
      </w:r>
      <w:r w:rsidRPr="00B512D7">
        <w:t>.</w:t>
      </w:r>
      <w:r w:rsidRPr="00352EC4">
        <w:t xml:space="preserve"> Avtalt lønn steg med </w:t>
      </w:r>
      <w:r w:rsidR="00D11C3E">
        <w:t>4,0</w:t>
      </w:r>
      <w:r>
        <w:t xml:space="preserve"> </w:t>
      </w:r>
      <w:r w:rsidRPr="00352EC4">
        <w:t xml:space="preserve">prosent i det samme tidsrommet. </w:t>
      </w:r>
      <w:r w:rsidR="00D11C3E">
        <w:t>Økte b</w:t>
      </w:r>
      <w:r w:rsidRPr="00352EC4">
        <w:t>onusutbetalinge</w:t>
      </w:r>
      <w:r w:rsidR="00D11C3E">
        <w:t>r</w:t>
      </w:r>
      <w:r w:rsidRPr="00352EC4">
        <w:t xml:space="preserve"> bidro til </w:t>
      </w:r>
      <w:r w:rsidR="00D11C3E">
        <w:t>å dra opp</w:t>
      </w:r>
      <w:r w:rsidRPr="00352EC4">
        <w:t xml:space="preserve"> lønnsveksten</w:t>
      </w:r>
      <w:r w:rsidR="00C472DF">
        <w:t>.</w:t>
      </w:r>
      <w:r>
        <w:t xml:space="preserve"> </w:t>
      </w:r>
    </w:p>
    <w:p w14:paraId="521A06CD" w14:textId="77777777" w:rsidR="000B374C" w:rsidRDefault="000B374C" w:rsidP="00EB0D8B">
      <w:pPr>
        <w:pStyle w:val="Def"/>
      </w:pPr>
      <w:r w:rsidRPr="005C65D7">
        <w:t xml:space="preserve">For finanstjenester har utvalget, på grunnlag av </w:t>
      </w:r>
      <w:r w:rsidR="00D11C3E">
        <w:t xml:space="preserve">foreløpig </w:t>
      </w:r>
      <w:r w:rsidRPr="005C65D7">
        <w:t>lønnsstatistikk for 201</w:t>
      </w:r>
      <w:r w:rsidR="00C472DF">
        <w:t>5</w:t>
      </w:r>
      <w:r w:rsidRPr="005C65D7">
        <w:t xml:space="preserve"> og lønnstilleggene i 201</w:t>
      </w:r>
      <w:r w:rsidR="00C472DF">
        <w:t>5</w:t>
      </w:r>
      <w:r w:rsidRPr="005C65D7">
        <w:t>, beregnet årslønnsveksten fra 201</w:t>
      </w:r>
      <w:r w:rsidR="00C472DF">
        <w:t>4</w:t>
      </w:r>
      <w:r w:rsidRPr="005C65D7">
        <w:t xml:space="preserve"> til 201</w:t>
      </w:r>
      <w:r w:rsidR="00C472DF">
        <w:t>5</w:t>
      </w:r>
      <w:r w:rsidRPr="005C65D7">
        <w:t xml:space="preserve"> </w:t>
      </w:r>
      <w:r w:rsidRPr="00050BBE">
        <w:t xml:space="preserve">til </w:t>
      </w:r>
      <w:r w:rsidR="00D11C3E">
        <w:t>4,2</w:t>
      </w:r>
      <w:r w:rsidRPr="00050BBE">
        <w:rPr>
          <w:noProof/>
        </w:rPr>
        <w:t xml:space="preserve"> </w:t>
      </w:r>
      <w:r w:rsidRPr="00050BBE">
        <w:t>prosent.</w:t>
      </w:r>
      <w:r>
        <w:t xml:space="preserve"> </w:t>
      </w:r>
    </w:p>
    <w:p w14:paraId="4B83BA18" w14:textId="77777777" w:rsidR="006C5955" w:rsidRDefault="000B374C" w:rsidP="00EB0D8B">
      <w:pPr>
        <w:pStyle w:val="Def"/>
      </w:pPr>
      <w:r>
        <w:t xml:space="preserve">I </w:t>
      </w:r>
      <w:r w:rsidRPr="00180359">
        <w:rPr>
          <w:i/>
        </w:rPr>
        <w:t>varehandelen</w:t>
      </w:r>
      <w:r>
        <w:t xml:space="preserve"> ble det </w:t>
      </w:r>
      <w:r w:rsidR="006C5955">
        <w:t>i</w:t>
      </w:r>
      <w:r w:rsidR="006C5955" w:rsidRPr="001C3910">
        <w:t xml:space="preserve"> mellomoppgjøret i 201</w:t>
      </w:r>
      <w:r w:rsidR="006C5955">
        <w:t>5</w:t>
      </w:r>
      <w:r w:rsidR="006C5955" w:rsidRPr="001C3910">
        <w:t xml:space="preserve"> </w:t>
      </w:r>
      <w:r w:rsidR="006C5955">
        <w:t xml:space="preserve">på Landsoverenskomsten </w:t>
      </w:r>
      <w:r w:rsidR="006C5955" w:rsidRPr="001C3910">
        <w:t xml:space="preserve">mellom Hovedorganisasjonen Virke og </w:t>
      </w:r>
      <w:r w:rsidR="006C5955">
        <w:t>LO/</w:t>
      </w:r>
      <w:r w:rsidR="006C5955" w:rsidRPr="001C3910">
        <w:t>HK</w:t>
      </w:r>
      <w:r w:rsidR="006C5955">
        <w:t xml:space="preserve"> fra 1. april gitt tillegg på </w:t>
      </w:r>
      <w:r w:rsidR="00D17E19">
        <w:t xml:space="preserve">kr </w:t>
      </w:r>
      <w:r w:rsidR="006C5955">
        <w:t xml:space="preserve">1,75 per time fordi overenskomstens gjennomsnittslønn lå </w:t>
      </w:r>
      <w:r w:rsidR="006C5955" w:rsidRPr="001C3910">
        <w:t>under 90 prosent av gjennomsnittlig industriarbeiderlønn i 2014 (388</w:t>
      </w:r>
      <w:r w:rsidR="006C5955">
        <w:t> </w:t>
      </w:r>
      <w:r w:rsidR="006C5955" w:rsidRPr="001C3910">
        <w:t>0</w:t>
      </w:r>
      <w:r w:rsidR="006C5955">
        <w:t>13</w:t>
      </w:r>
      <w:r w:rsidR="006C5955" w:rsidRPr="001C3910">
        <w:t xml:space="preserve"> kroner)</w:t>
      </w:r>
      <w:r w:rsidR="006C5955">
        <w:t xml:space="preserve">. </w:t>
      </w:r>
      <w:r w:rsidR="006C5955" w:rsidRPr="00DC3585">
        <w:rPr>
          <w:rFonts w:eastAsia="Times New Roman"/>
        </w:rPr>
        <w:t xml:space="preserve">Ut over </w:t>
      </w:r>
      <w:r w:rsidR="006C5955">
        <w:rPr>
          <w:rFonts w:eastAsia="Times New Roman"/>
        </w:rPr>
        <w:t>dette ble de laveste minstelønnssatsene på denne overenskomsten, trinn</w:t>
      </w:r>
      <w:r w:rsidR="006C5955" w:rsidRPr="00DC3585">
        <w:rPr>
          <w:rFonts w:eastAsia="Times New Roman"/>
        </w:rPr>
        <w:t xml:space="preserve"> 1 – </w:t>
      </w:r>
      <w:r w:rsidR="006C5955">
        <w:rPr>
          <w:rFonts w:eastAsia="Times New Roman"/>
        </w:rPr>
        <w:t>5,</w:t>
      </w:r>
      <w:r w:rsidR="006C5955" w:rsidRPr="00DC3585">
        <w:rPr>
          <w:rFonts w:eastAsia="Times New Roman"/>
        </w:rPr>
        <w:t xml:space="preserve"> </w:t>
      </w:r>
      <w:r w:rsidR="006C5955">
        <w:rPr>
          <w:rFonts w:eastAsia="Times New Roman"/>
        </w:rPr>
        <w:t xml:space="preserve">økt </w:t>
      </w:r>
      <w:r w:rsidR="006C5955" w:rsidRPr="00DC3585">
        <w:rPr>
          <w:rFonts w:eastAsia="Times New Roman"/>
        </w:rPr>
        <w:t xml:space="preserve">med </w:t>
      </w:r>
      <w:r w:rsidR="006C5955">
        <w:rPr>
          <w:rFonts w:eastAsia="Times New Roman"/>
        </w:rPr>
        <w:t xml:space="preserve">kr 2,50 per </w:t>
      </w:r>
      <w:r w:rsidR="006C5955" w:rsidRPr="00DC3585">
        <w:rPr>
          <w:rFonts w:eastAsia="Times New Roman"/>
        </w:rPr>
        <w:t>time</w:t>
      </w:r>
      <w:r w:rsidR="006C5955">
        <w:rPr>
          <w:rFonts w:eastAsia="Times New Roman"/>
        </w:rPr>
        <w:t>, og den høyeste (6) med kr 0,50 per time.</w:t>
      </w:r>
      <w:r w:rsidR="006C5955">
        <w:t xml:space="preserve"> </w:t>
      </w:r>
    </w:p>
    <w:p w14:paraId="1786F979" w14:textId="77777777" w:rsidR="000B374C" w:rsidRPr="00EA0201" w:rsidRDefault="006C5955" w:rsidP="00EB0D8B">
      <w:pPr>
        <w:pStyle w:val="Def"/>
        <w:rPr>
          <w:rFonts w:eastAsia="Times New Roman"/>
        </w:rPr>
      </w:pPr>
      <w:r w:rsidRPr="001C3910">
        <w:rPr>
          <w:rFonts w:eastAsia="Times New Roman"/>
        </w:rPr>
        <w:t>Garantiordningen på Landsoverenskomsten mellom HK og Virke resulterte i at trinn 6 fikk et tillegg fra 1. februar 201</w:t>
      </w:r>
      <w:r>
        <w:rPr>
          <w:rFonts w:eastAsia="Times New Roman"/>
        </w:rPr>
        <w:t>5</w:t>
      </w:r>
      <w:r w:rsidRPr="001C3910">
        <w:rPr>
          <w:rFonts w:eastAsia="Times New Roman"/>
        </w:rPr>
        <w:t xml:space="preserve"> på kr 2,49 per time.</w:t>
      </w:r>
      <w:r w:rsidR="000B374C" w:rsidRPr="00EA0201">
        <w:rPr>
          <w:rFonts w:eastAsia="Times New Roman"/>
        </w:rPr>
        <w:t xml:space="preserve"> </w:t>
      </w:r>
    </w:p>
    <w:p w14:paraId="301D46C3" w14:textId="77777777" w:rsidR="000B374C" w:rsidRDefault="000B374C" w:rsidP="00EB0D8B">
      <w:pPr>
        <w:pStyle w:val="Def"/>
      </w:pPr>
      <w:r w:rsidRPr="004837C0">
        <w:t>For tillegg på andre overenskomster i Virke-området samt overenskomster innen HUK-området, vises det til vedlegg 1</w:t>
      </w:r>
      <w:r>
        <w:t>.</w:t>
      </w:r>
    </w:p>
    <w:p w14:paraId="6E307C55" w14:textId="77777777" w:rsidR="000B374C" w:rsidRPr="00352EC4" w:rsidRDefault="000B374C" w:rsidP="00EB0D8B">
      <w:pPr>
        <w:pStyle w:val="Def"/>
      </w:pPr>
      <w:r w:rsidRPr="00352EC4">
        <w:t xml:space="preserve">Ifølge </w:t>
      </w:r>
      <w:r w:rsidR="00831CC3">
        <w:t xml:space="preserve">foreløpig </w:t>
      </w:r>
      <w:r w:rsidRPr="00352EC4">
        <w:t>lønnsstatistikk for 201</w:t>
      </w:r>
      <w:r w:rsidR="00403AD5">
        <w:t>5</w:t>
      </w:r>
      <w:r w:rsidRPr="00352EC4">
        <w:t xml:space="preserve"> steg den gjennomsnittlige månedslønnen for heltidsansatte i Virke-bedrifter i varehandelen </w:t>
      </w:r>
      <w:r w:rsidR="00516174">
        <w:t>med</w:t>
      </w:r>
      <w:r w:rsidRPr="00352EC4">
        <w:t xml:space="preserve"> </w:t>
      </w:r>
      <w:r w:rsidR="00831CC3">
        <w:t>3,</w:t>
      </w:r>
      <w:r w:rsidR="005E5838">
        <w:t>1</w:t>
      </w:r>
      <w:r w:rsidR="005E5838" w:rsidRPr="005A05A4">
        <w:t xml:space="preserve"> </w:t>
      </w:r>
      <w:r w:rsidRPr="00352EC4">
        <w:t xml:space="preserve">prosent </w:t>
      </w:r>
      <w:r w:rsidR="00516174">
        <w:t>fra 1. september 2014 til 1. september 2015</w:t>
      </w:r>
      <w:r w:rsidRPr="00352EC4">
        <w:t xml:space="preserve">. </w:t>
      </w:r>
    </w:p>
    <w:p w14:paraId="3D4C0B48" w14:textId="5A97983E" w:rsidR="00871A59" w:rsidRDefault="000B374C" w:rsidP="00871A59">
      <w:pPr>
        <w:pStyle w:val="Def"/>
      </w:pPr>
      <w:r w:rsidRPr="00352EC4">
        <w:t xml:space="preserve">På grunnlag av </w:t>
      </w:r>
      <w:r w:rsidR="00831CC3">
        <w:t xml:space="preserve">foreløpig </w:t>
      </w:r>
      <w:r w:rsidRPr="00352EC4">
        <w:t>lønnsstatistikk for 201</w:t>
      </w:r>
      <w:r w:rsidR="00403AD5">
        <w:t>5</w:t>
      </w:r>
      <w:r w:rsidRPr="00352EC4">
        <w:t xml:space="preserve"> og lønnstilleggene i 201</w:t>
      </w:r>
      <w:r w:rsidR="00403AD5">
        <w:t>5</w:t>
      </w:r>
      <w:r w:rsidRPr="00352EC4">
        <w:t>, har utvalget beregnet årslønnsveksten fra 201</w:t>
      </w:r>
      <w:r w:rsidR="00403AD5">
        <w:t>4</w:t>
      </w:r>
      <w:r w:rsidRPr="00352EC4">
        <w:t xml:space="preserve"> til 201</w:t>
      </w:r>
      <w:r w:rsidR="00403AD5">
        <w:t>5</w:t>
      </w:r>
      <w:r w:rsidRPr="00352EC4">
        <w:t xml:space="preserve"> for alle heltidsansatte i Virke-bedrifter i varehandelen til </w:t>
      </w:r>
      <w:r w:rsidR="00831CC3">
        <w:t>3,3</w:t>
      </w:r>
      <w:r w:rsidRPr="005A05A4">
        <w:t xml:space="preserve"> </w:t>
      </w:r>
      <w:r w:rsidRPr="00352EC4">
        <w:t xml:space="preserve">prosent. </w:t>
      </w:r>
      <w:r>
        <w:t xml:space="preserve">Endret sammensetning av lønnstakere </w:t>
      </w:r>
      <w:r w:rsidR="00ED7448">
        <w:t xml:space="preserve">fra 2014 til 2015 </w:t>
      </w:r>
      <w:r>
        <w:t xml:space="preserve">trakk lønnsveksten </w:t>
      </w:r>
      <w:r w:rsidR="005E5838">
        <w:t xml:space="preserve">betydelig </w:t>
      </w:r>
      <w:r w:rsidR="00831CC3">
        <w:t>opp</w:t>
      </w:r>
      <w:r w:rsidR="005E5838">
        <w:t xml:space="preserve"> i 2015</w:t>
      </w:r>
      <w:r>
        <w:t>.</w:t>
      </w:r>
    </w:p>
    <w:p w14:paraId="6F718484" w14:textId="6DD28996" w:rsidR="0086050F" w:rsidRPr="00BA1C84" w:rsidRDefault="0086050F" w:rsidP="008643D6">
      <w:pPr>
        <w:pStyle w:val="Overskrift3"/>
        <w:numPr>
          <w:ilvl w:val="2"/>
          <w:numId w:val="65"/>
        </w:numPr>
      </w:pPr>
      <w:bookmarkStart w:id="105" w:name="_Toc443998959"/>
      <w:r>
        <w:t>Lønnsutviklingen i offentlig sektor</w:t>
      </w:r>
      <w:bookmarkEnd w:id="105"/>
    </w:p>
    <w:bookmarkEnd w:id="54"/>
    <w:bookmarkEnd w:id="55"/>
    <w:bookmarkEnd w:id="56"/>
    <w:bookmarkEnd w:id="57"/>
    <w:bookmarkEnd w:id="58"/>
    <w:bookmarkEnd w:id="59"/>
    <w:bookmarkEnd w:id="60"/>
    <w:bookmarkEnd w:id="61"/>
    <w:bookmarkEnd w:id="62"/>
    <w:bookmarkEnd w:id="63"/>
    <w:bookmarkEnd w:id="64"/>
    <w:p w14:paraId="59C7833D" w14:textId="77777777" w:rsidR="000B374C" w:rsidRPr="00F97402" w:rsidRDefault="000B374C" w:rsidP="000B374C">
      <w:pPr>
        <w:pStyle w:val="avsnitt-under-undertittel"/>
      </w:pPr>
      <w:r w:rsidRPr="00F97402">
        <w:t>Staten</w:t>
      </w:r>
    </w:p>
    <w:p w14:paraId="5602935A" w14:textId="77777777" w:rsidR="000B374C" w:rsidRPr="00A845AE" w:rsidRDefault="000B374C" w:rsidP="000B374C">
      <w:r w:rsidRPr="003F3680">
        <w:t xml:space="preserve">I </w:t>
      </w:r>
      <w:r w:rsidR="006D4BF0">
        <w:t>mellom</w:t>
      </w:r>
      <w:r>
        <w:t>oppgjøret for 201</w:t>
      </w:r>
      <w:r w:rsidR="006D4BF0">
        <w:t>5</w:t>
      </w:r>
      <w:r>
        <w:t xml:space="preserve"> ble </w:t>
      </w:r>
      <w:r w:rsidRPr="003F3680">
        <w:t xml:space="preserve">det </w:t>
      </w:r>
      <w:r>
        <w:t xml:space="preserve">i det </w:t>
      </w:r>
      <w:r w:rsidRPr="003F3680">
        <w:rPr>
          <w:i/>
        </w:rPr>
        <w:t>statlige tariffområdet</w:t>
      </w:r>
      <w:r>
        <w:t xml:space="preserve"> </w:t>
      </w:r>
      <w:r w:rsidR="00043E26">
        <w:t xml:space="preserve">mellom </w:t>
      </w:r>
      <w:r w:rsidR="00043E26" w:rsidRPr="003F3680">
        <w:t>staten v/</w:t>
      </w:r>
      <w:r w:rsidR="00043E26">
        <w:t>Kommunal- og moderniserings</w:t>
      </w:r>
      <w:r w:rsidR="00043E26" w:rsidRPr="003F3680">
        <w:t>departementet og LO Stat, YS Stat</w:t>
      </w:r>
      <w:r w:rsidR="00043E26">
        <w:t>,</w:t>
      </w:r>
      <w:r w:rsidR="00043E26" w:rsidRPr="003F3680">
        <w:t xml:space="preserve"> Unio</w:t>
      </w:r>
      <w:r w:rsidR="00043E26">
        <w:t xml:space="preserve"> og</w:t>
      </w:r>
      <w:r w:rsidR="00043E26" w:rsidRPr="003F3680">
        <w:t xml:space="preserve"> Akademikerne</w:t>
      </w:r>
      <w:r w:rsidR="00043E26">
        <w:t xml:space="preserve"> gitt et generelt tillegget fra 1. mai på 0,19 prosent. Fra og med lønnstrinn 19 til og med lønnstrinn 39 var tillegget kr 700 per år. D</w:t>
      </w:r>
      <w:r w:rsidR="00043E26" w:rsidRPr="00C11FFA">
        <w:t xml:space="preserve">et </w:t>
      </w:r>
      <w:r w:rsidR="00043E26">
        <w:t xml:space="preserve">ble ikke avsatt penger </w:t>
      </w:r>
      <w:r w:rsidR="00043E26" w:rsidRPr="00C11FFA">
        <w:t>til lokale forhandlinger</w:t>
      </w:r>
      <w:r w:rsidR="00043E26">
        <w:t xml:space="preserve">. </w:t>
      </w:r>
      <w:r w:rsidR="00043E26" w:rsidRPr="00B20500">
        <w:rPr>
          <w:iCs/>
        </w:rPr>
        <w:t xml:space="preserve">Det </w:t>
      </w:r>
      <w:r w:rsidR="00A036C1">
        <w:rPr>
          <w:iCs/>
        </w:rPr>
        <w:t>kunne</w:t>
      </w:r>
      <w:r w:rsidR="00043E26" w:rsidRPr="00B20500">
        <w:rPr>
          <w:iCs/>
        </w:rPr>
        <w:t xml:space="preserve"> imidlertid føres lokale forhandlinger dersom arbeidsgiver lokalt avs</w:t>
      </w:r>
      <w:r w:rsidR="00A036C1">
        <w:rPr>
          <w:iCs/>
        </w:rPr>
        <w:t>a</w:t>
      </w:r>
      <w:r w:rsidR="00043E26" w:rsidRPr="00B20500">
        <w:rPr>
          <w:iCs/>
        </w:rPr>
        <w:t>tte økonomiske midler fra virksomheten iht. Hovedtariffavtalens pkt. 2.3.3, første ledd pkt. b.</w:t>
      </w:r>
      <w:r w:rsidR="00760BD8">
        <w:rPr>
          <w:iCs/>
        </w:rPr>
        <w:t xml:space="preserve"> Tilleggene bidrar til årslønnsveksten fra 2014 til 2015 med </w:t>
      </w:r>
      <w:r w:rsidR="00D6143E">
        <w:rPr>
          <w:iCs/>
        </w:rPr>
        <w:t>0,1</w:t>
      </w:r>
      <w:r w:rsidR="00760BD8">
        <w:rPr>
          <w:iCs/>
        </w:rPr>
        <w:t xml:space="preserve"> prosentpoeng. </w:t>
      </w:r>
    </w:p>
    <w:p w14:paraId="3BDBB585" w14:textId="4D081743" w:rsidR="000B374C" w:rsidRDefault="000B374C" w:rsidP="000B374C">
      <w:pPr>
        <w:spacing w:after="0"/>
        <w:rPr>
          <w:noProof/>
        </w:rPr>
      </w:pPr>
      <w:r w:rsidRPr="00F97402">
        <w:rPr>
          <w:noProof/>
        </w:rPr>
        <w:t xml:space="preserve">På grunnlag av </w:t>
      </w:r>
      <w:r w:rsidR="00D6143E">
        <w:rPr>
          <w:noProof/>
        </w:rPr>
        <w:t xml:space="preserve">foreløpig </w:t>
      </w:r>
      <w:r>
        <w:rPr>
          <w:noProof/>
        </w:rPr>
        <w:t>lønnsstatistikk for 201</w:t>
      </w:r>
      <w:r w:rsidR="00A036C1">
        <w:rPr>
          <w:noProof/>
        </w:rPr>
        <w:t>5</w:t>
      </w:r>
      <w:r w:rsidRPr="00F97402">
        <w:rPr>
          <w:noProof/>
        </w:rPr>
        <w:t xml:space="preserve"> og tarifftilleggene i 20</w:t>
      </w:r>
      <w:r>
        <w:rPr>
          <w:noProof/>
        </w:rPr>
        <w:t>1</w:t>
      </w:r>
      <w:r w:rsidR="00A036C1">
        <w:rPr>
          <w:noProof/>
        </w:rPr>
        <w:t>5</w:t>
      </w:r>
      <w:r>
        <w:rPr>
          <w:noProof/>
        </w:rPr>
        <w:t>,</w:t>
      </w:r>
      <w:r w:rsidRPr="00F97402">
        <w:rPr>
          <w:noProof/>
        </w:rPr>
        <w:t xml:space="preserve"> </w:t>
      </w:r>
      <w:r w:rsidR="00965B9C">
        <w:rPr>
          <w:noProof/>
        </w:rPr>
        <w:t>anslås</w:t>
      </w:r>
      <w:r w:rsidRPr="00F97402">
        <w:rPr>
          <w:noProof/>
        </w:rPr>
        <w:t xml:space="preserve"> årslønnsveksten </w:t>
      </w:r>
      <w:r>
        <w:rPr>
          <w:noProof/>
        </w:rPr>
        <w:t>fra 201</w:t>
      </w:r>
      <w:r w:rsidR="00A036C1">
        <w:rPr>
          <w:noProof/>
        </w:rPr>
        <w:t>4</w:t>
      </w:r>
      <w:r>
        <w:rPr>
          <w:noProof/>
        </w:rPr>
        <w:t xml:space="preserve"> til 201</w:t>
      </w:r>
      <w:r w:rsidR="00A036C1">
        <w:rPr>
          <w:noProof/>
        </w:rPr>
        <w:t>5</w:t>
      </w:r>
      <w:r>
        <w:rPr>
          <w:noProof/>
        </w:rPr>
        <w:t xml:space="preserve"> i det statlige tariffområdet </w:t>
      </w:r>
      <w:r w:rsidRPr="00F97402">
        <w:rPr>
          <w:noProof/>
        </w:rPr>
        <w:t xml:space="preserve">til </w:t>
      </w:r>
      <w:r w:rsidR="001B4DEE">
        <w:rPr>
          <w:noProof/>
        </w:rPr>
        <w:t>2 ¾</w:t>
      </w:r>
      <w:r>
        <w:rPr>
          <w:noProof/>
        </w:rPr>
        <w:t xml:space="preserve"> </w:t>
      </w:r>
      <w:r w:rsidRPr="00F97402">
        <w:rPr>
          <w:noProof/>
        </w:rPr>
        <w:t>prosent.</w:t>
      </w:r>
    </w:p>
    <w:p w14:paraId="76CF7047" w14:textId="77777777" w:rsidR="000B374C" w:rsidRDefault="000B374C" w:rsidP="000B374C">
      <w:pPr>
        <w:pStyle w:val="avsnitt-under-undertittel"/>
      </w:pPr>
      <w:r>
        <w:t xml:space="preserve">Kommunesektoren/KS-området </w:t>
      </w:r>
    </w:p>
    <w:p w14:paraId="0F134025" w14:textId="77777777" w:rsidR="00A47538" w:rsidRDefault="00A47538" w:rsidP="00EB0D8B">
      <w:pPr>
        <w:pStyle w:val="Def"/>
      </w:pPr>
      <w:r w:rsidRPr="00D42C4E">
        <w:t>I mellomoppgjøret i KS-området i 2015 kom KS og LO Kommune, Unio,</w:t>
      </w:r>
      <w:r w:rsidRPr="00D42C4E">
        <w:rPr>
          <w:b/>
          <w:bCs/>
        </w:rPr>
        <w:t xml:space="preserve"> </w:t>
      </w:r>
      <w:r w:rsidRPr="00D42C4E">
        <w:t xml:space="preserve">YS Kommune og Akademikerne til enighet om at det ikke </w:t>
      </w:r>
      <w:r w:rsidR="00FB7A33">
        <w:t xml:space="preserve">skulle </w:t>
      </w:r>
      <w:r w:rsidRPr="00D42C4E">
        <w:t>gis sentrale tillegg i 2015 utover de som ble avtalt i oppgjøret i 2014</w:t>
      </w:r>
      <w:r>
        <w:t>.</w:t>
      </w:r>
      <w:r w:rsidR="00704BC0">
        <w:t xml:space="preserve">  </w:t>
      </w:r>
    </w:p>
    <w:p w14:paraId="709071BA" w14:textId="77777777" w:rsidR="000B374C" w:rsidRDefault="00A47538" w:rsidP="00EB0D8B">
      <w:pPr>
        <w:pStyle w:val="Def"/>
      </w:pPr>
      <w:r>
        <w:t>I KS-området ble det for stillinger med hovedsakelig sentral lønnsdannelse i oppgjøret i 2014 avtalt lønnstillegg fra 1. mai 2015 på 1,</w:t>
      </w:r>
      <w:r w:rsidRPr="006C25A6">
        <w:t xml:space="preserve">4 </w:t>
      </w:r>
      <w:r>
        <w:t xml:space="preserve">prosent. Tilleggene varierer med ansiennitets- og kompetansekrav. </w:t>
      </w:r>
      <w:r w:rsidR="00965B9C">
        <w:t>P</w:t>
      </w:r>
      <w:r w:rsidR="00965B9C" w:rsidRPr="006C25A6">
        <w:t>er 1. mai 2015</w:t>
      </w:r>
      <w:r w:rsidR="00965B9C">
        <w:t xml:space="preserve"> skulle </w:t>
      </w:r>
      <w:r>
        <w:t>a</w:t>
      </w:r>
      <w:r w:rsidRPr="006C25A6">
        <w:t xml:space="preserve">rbeidstakere med minimum 20 års ansiennitet ikke ha lavere grunnlønn enn kr 377 400 i 100 prosent stilling. Dette utgjør </w:t>
      </w:r>
      <w:r w:rsidR="00965B9C">
        <w:t xml:space="preserve">en økning på </w:t>
      </w:r>
      <w:r w:rsidRPr="006C25A6">
        <w:t>0,2 prosent per 1. mai.</w:t>
      </w:r>
      <w:r>
        <w:t xml:space="preserve"> </w:t>
      </w:r>
      <w:r w:rsidRPr="00FF2B5D">
        <w:t xml:space="preserve">Det </w:t>
      </w:r>
      <w:r>
        <w:t xml:space="preserve">ble i 2014 avtalt å </w:t>
      </w:r>
      <w:r w:rsidRPr="00FF2B5D">
        <w:t>innfør</w:t>
      </w:r>
      <w:r>
        <w:t>e</w:t>
      </w:r>
      <w:r w:rsidRPr="00FF2B5D">
        <w:t xml:space="preserve"> et nytt lønnssystem fra 1. mai </w:t>
      </w:r>
      <w:r>
        <w:t>2015, se boks 1.</w:t>
      </w:r>
      <w:r w:rsidR="00D6143E">
        <w:t xml:space="preserve">2 </w:t>
      </w:r>
      <w:r>
        <w:t>i vedlegg 1.</w:t>
      </w:r>
      <w:r w:rsidR="00704BC0">
        <w:t xml:space="preserve"> </w:t>
      </w:r>
    </w:p>
    <w:p w14:paraId="7067E5CD" w14:textId="77777777" w:rsidR="000B374C" w:rsidRDefault="000B374C" w:rsidP="00EB0D8B">
      <w:pPr>
        <w:pStyle w:val="Def"/>
      </w:pPr>
      <w:r>
        <w:rPr>
          <w:bCs/>
        </w:rPr>
        <w:t xml:space="preserve">I </w:t>
      </w:r>
      <w:r w:rsidRPr="007F591A">
        <w:rPr>
          <w:bCs/>
          <w:i/>
        </w:rPr>
        <w:t xml:space="preserve">Oslo </w:t>
      </w:r>
      <w:r>
        <w:rPr>
          <w:bCs/>
          <w:i/>
        </w:rPr>
        <w:t>k</w:t>
      </w:r>
      <w:r w:rsidRPr="007F591A">
        <w:rPr>
          <w:bCs/>
          <w:i/>
        </w:rPr>
        <w:t>ommune</w:t>
      </w:r>
      <w:r w:rsidRPr="00620BF2">
        <w:rPr>
          <w:bCs/>
        </w:rPr>
        <w:t xml:space="preserve"> </w:t>
      </w:r>
      <w:r w:rsidR="00620BF2" w:rsidRPr="00620BF2">
        <w:rPr>
          <w:bCs/>
        </w:rPr>
        <w:t xml:space="preserve">ble det avtalt </w:t>
      </w:r>
      <w:r w:rsidR="00620BF2">
        <w:rPr>
          <w:bCs/>
        </w:rPr>
        <w:t xml:space="preserve">et </w:t>
      </w:r>
      <w:r w:rsidR="00620BF2">
        <w:t>lønnstillegg fra 1. mai 2015 på 1,7 prosent eller minst kr 6 500 per år.</w:t>
      </w:r>
    </w:p>
    <w:p w14:paraId="5CE7E5C7" w14:textId="03F0F157" w:rsidR="000B374C" w:rsidRPr="005A05A4" w:rsidRDefault="000B374C" w:rsidP="00EB0D8B">
      <w:pPr>
        <w:pStyle w:val="Def"/>
      </w:pPr>
      <w:r w:rsidRPr="005A05A4">
        <w:t>For en del grupper i KS-området (</w:t>
      </w:r>
      <w:r w:rsidR="008D32BA" w:rsidRPr="005A05A4">
        <w:t>kap</w:t>
      </w:r>
      <w:r w:rsidR="008D32BA">
        <w:t>itel</w:t>
      </w:r>
      <w:r w:rsidRPr="005A05A4">
        <w:t xml:space="preserve"> 3 og 5) fastsettes lønnen gjennom lokale lønnsforhandlinger i den enkelte kommune og fylkeskommune uten noen sentral ramme. Virkningsdato for lønnstillegg er 1. mai med mindre annen dato er avtalt.</w:t>
      </w:r>
    </w:p>
    <w:p w14:paraId="4766EA52" w14:textId="77777777" w:rsidR="00620BF2" w:rsidRPr="002D64CD" w:rsidRDefault="00620BF2" w:rsidP="00620BF2">
      <w:pPr>
        <w:pStyle w:val="avsnitt-under-undertittel"/>
      </w:pPr>
      <w:r>
        <w:t>Kommuneansatte i alt</w:t>
      </w:r>
    </w:p>
    <w:p w14:paraId="52381C43" w14:textId="05E779A2" w:rsidR="00620BF2" w:rsidRDefault="00620BF2" w:rsidP="00EB0D8B">
      <w:pPr>
        <w:pStyle w:val="Def"/>
      </w:pPr>
      <w:r>
        <w:t>På grunnlag av foreløpig lønnsstatistikk for 2015 og tarifftilleggene i 2015, er års</w:t>
      </w:r>
      <w:r w:rsidRPr="005A05A4">
        <w:t>lønnsveksten fra 201</w:t>
      </w:r>
      <w:r>
        <w:t>4 til 2015</w:t>
      </w:r>
      <w:r w:rsidRPr="005A05A4">
        <w:t xml:space="preserve"> for hele kommunesektoren, inkl. undervisningssektoren, Oslo kommune og diverse bedriftsmedlemmer</w:t>
      </w:r>
      <w:r w:rsidRPr="00BE0E5D">
        <w:rPr>
          <w:vertAlign w:val="superscript"/>
        </w:rPr>
        <w:footnoteReference w:id="3"/>
      </w:r>
      <w:r w:rsidRPr="005A05A4">
        <w:t xml:space="preserve">, </w:t>
      </w:r>
      <w:r>
        <w:t xml:space="preserve">anslått til </w:t>
      </w:r>
      <w:r w:rsidR="001B4DEE">
        <w:t>3 ¼</w:t>
      </w:r>
      <w:r>
        <w:t xml:space="preserve"> </w:t>
      </w:r>
      <w:r w:rsidRPr="005A05A4">
        <w:t>prosent</w:t>
      </w:r>
      <w:r>
        <w:t xml:space="preserve"> når forskyvninger i virkningstidspunkter</w:t>
      </w:r>
      <w:r w:rsidR="00D6143E">
        <w:t xml:space="preserve"> av tarifftillegg i 2014</w:t>
      </w:r>
      <w:r>
        <w:t xml:space="preserve"> er medregnet. Uten slike forskyvninger ville årslønnsveksten være </w:t>
      </w:r>
      <w:r w:rsidR="001B4DEE">
        <w:rPr>
          <w:rFonts w:cs="Times"/>
        </w:rPr>
        <w:t>0,2</w:t>
      </w:r>
      <w:r>
        <w:t xml:space="preserve"> prosent</w:t>
      </w:r>
      <w:r w:rsidR="00D6143E">
        <w:t>poeng</w:t>
      </w:r>
      <w:r w:rsidRPr="001B4DEE">
        <w:t xml:space="preserve"> </w:t>
      </w:r>
      <w:r w:rsidR="00D6143E" w:rsidRPr="001B4DEE">
        <w:t>lavere</w:t>
      </w:r>
      <w:r>
        <w:t>.</w:t>
      </w:r>
    </w:p>
    <w:p w14:paraId="376F40F4" w14:textId="442EFFC1" w:rsidR="00620BF2" w:rsidRPr="002D64CD" w:rsidRDefault="00620BF2" w:rsidP="00620BF2">
      <w:pPr>
        <w:pStyle w:val="avsnitt-under-undertittel"/>
      </w:pPr>
      <w:r w:rsidRPr="002D64CD">
        <w:t xml:space="preserve">Kommuneansatte eksklusive </w:t>
      </w:r>
      <w:r w:rsidR="005E26E3" w:rsidRPr="002D64CD">
        <w:t>undervisnings</w:t>
      </w:r>
      <w:r w:rsidR="005E26E3">
        <w:t>ansatte</w:t>
      </w:r>
    </w:p>
    <w:p w14:paraId="421B9666" w14:textId="26DC804D" w:rsidR="00620BF2" w:rsidRPr="008A7EB6" w:rsidRDefault="00170922" w:rsidP="00620BF2">
      <w:pPr>
        <w:spacing w:after="0"/>
      </w:pPr>
      <w:r>
        <w:t>På grunnlag av foreløpig lønnsstatistikk for 2015 og tarifftilleggene i 2015, er års</w:t>
      </w:r>
      <w:r w:rsidRPr="005A05A4">
        <w:t>lønnsveksten fra 201</w:t>
      </w:r>
      <w:r>
        <w:t>4 til 2015 f</w:t>
      </w:r>
      <w:r w:rsidR="00620BF2" w:rsidRPr="005A05A4">
        <w:rPr>
          <w:rFonts w:ascii="Times New Roman" w:hAnsi="Times New Roman"/>
          <w:szCs w:val="24"/>
        </w:rPr>
        <w:t>or kommuneansatte eksklusiv</w:t>
      </w:r>
      <w:r w:rsidR="00620BF2">
        <w:rPr>
          <w:rFonts w:ascii="Times New Roman" w:hAnsi="Times New Roman"/>
          <w:szCs w:val="24"/>
        </w:rPr>
        <w:t>e</w:t>
      </w:r>
      <w:r w:rsidR="00620BF2" w:rsidRPr="005A05A4">
        <w:rPr>
          <w:rFonts w:ascii="Times New Roman" w:hAnsi="Times New Roman"/>
          <w:szCs w:val="24"/>
        </w:rPr>
        <w:t xml:space="preserve"> </w:t>
      </w:r>
      <w:r w:rsidR="005E26E3">
        <w:rPr>
          <w:rFonts w:ascii="Times New Roman" w:hAnsi="Times New Roman"/>
          <w:szCs w:val="24"/>
        </w:rPr>
        <w:t>undervisningsansatte</w:t>
      </w:r>
      <w:r w:rsidR="005E26E3" w:rsidRPr="005A05A4">
        <w:rPr>
          <w:rFonts w:ascii="Times New Roman" w:hAnsi="Times New Roman"/>
          <w:szCs w:val="24"/>
        </w:rPr>
        <w:t xml:space="preserve"> </w:t>
      </w:r>
      <w:r w:rsidR="005D2795">
        <w:rPr>
          <w:rFonts w:ascii="Times New Roman" w:hAnsi="Times New Roman"/>
          <w:szCs w:val="24"/>
        </w:rPr>
        <w:t>anslått</w:t>
      </w:r>
      <w:r w:rsidR="00620BF2" w:rsidRPr="005A05A4">
        <w:rPr>
          <w:rFonts w:ascii="Times New Roman" w:hAnsi="Times New Roman"/>
          <w:szCs w:val="24"/>
        </w:rPr>
        <w:t xml:space="preserve"> til</w:t>
      </w:r>
      <w:r w:rsidR="00620BF2" w:rsidRPr="002A6171">
        <w:rPr>
          <w:szCs w:val="24"/>
        </w:rPr>
        <w:t xml:space="preserve"> </w:t>
      </w:r>
      <w:r w:rsidR="001B4DEE">
        <w:rPr>
          <w:szCs w:val="24"/>
        </w:rPr>
        <w:t>3 ¼</w:t>
      </w:r>
      <w:r w:rsidR="00620BF2">
        <w:rPr>
          <w:szCs w:val="24"/>
        </w:rPr>
        <w:t xml:space="preserve"> prosent</w:t>
      </w:r>
      <w:r w:rsidR="005C3D99">
        <w:rPr>
          <w:szCs w:val="24"/>
        </w:rPr>
        <w:t xml:space="preserve">. </w:t>
      </w:r>
    </w:p>
    <w:p w14:paraId="3765A504" w14:textId="7432C709" w:rsidR="005D2795" w:rsidRDefault="005E26E3" w:rsidP="005D2795">
      <w:pPr>
        <w:pStyle w:val="avsnitt-under-undertittel"/>
      </w:pPr>
      <w:r>
        <w:t xml:space="preserve">Undervisningsansatte </w:t>
      </w:r>
    </w:p>
    <w:p w14:paraId="51785BC0" w14:textId="428B2552" w:rsidR="005D2795" w:rsidRDefault="00750EB8" w:rsidP="001B4DEE">
      <w:pPr>
        <w:spacing w:after="0"/>
        <w:rPr>
          <w:rFonts w:ascii="Times New Roman" w:hAnsi="Times New Roman"/>
          <w:szCs w:val="24"/>
        </w:rPr>
      </w:pPr>
      <w:r w:rsidRPr="001B4DEE">
        <w:rPr>
          <w:rFonts w:ascii="Times New Roman" w:hAnsi="Times New Roman"/>
          <w:szCs w:val="24"/>
        </w:rPr>
        <w:t xml:space="preserve">På grunnlag av foreløpig lønnsstatistikk for 2015 og tarifftilleggene i 2015, er årslønnsveksten fra 2014 til 2015 for </w:t>
      </w:r>
      <w:r w:rsidR="004632F3" w:rsidRPr="001B4DEE">
        <w:rPr>
          <w:rFonts w:ascii="Times New Roman" w:hAnsi="Times New Roman"/>
          <w:szCs w:val="24"/>
        </w:rPr>
        <w:t>undervisnings</w:t>
      </w:r>
      <w:r w:rsidR="004632F3">
        <w:rPr>
          <w:rFonts w:ascii="Times New Roman" w:hAnsi="Times New Roman"/>
          <w:szCs w:val="24"/>
        </w:rPr>
        <w:t>ansatte</w:t>
      </w:r>
      <w:r w:rsidR="004632F3" w:rsidRPr="001B4DEE">
        <w:rPr>
          <w:rFonts w:ascii="Times New Roman" w:hAnsi="Times New Roman"/>
          <w:szCs w:val="24"/>
        </w:rPr>
        <w:t xml:space="preserve"> </w:t>
      </w:r>
      <w:r w:rsidRPr="001B4DEE">
        <w:rPr>
          <w:rFonts w:ascii="Times New Roman" w:hAnsi="Times New Roman"/>
          <w:szCs w:val="24"/>
        </w:rPr>
        <w:t xml:space="preserve">i hele kommunesektoren anslått til </w:t>
      </w:r>
      <w:r w:rsidR="001B4DEE">
        <w:rPr>
          <w:rFonts w:ascii="Times New Roman" w:hAnsi="Times New Roman"/>
          <w:szCs w:val="24"/>
        </w:rPr>
        <w:t>4</w:t>
      </w:r>
      <w:r w:rsidRPr="001B4DEE">
        <w:rPr>
          <w:rFonts w:ascii="Times New Roman" w:hAnsi="Times New Roman"/>
          <w:szCs w:val="24"/>
        </w:rPr>
        <w:t xml:space="preserve"> prosent</w:t>
      </w:r>
      <w:r w:rsidR="0094012F" w:rsidRPr="001B4DEE">
        <w:rPr>
          <w:rFonts w:ascii="Times New Roman" w:hAnsi="Times New Roman"/>
          <w:szCs w:val="24"/>
        </w:rPr>
        <w:t xml:space="preserve"> når </w:t>
      </w:r>
      <w:r w:rsidR="0094012F" w:rsidRPr="00432B5F">
        <w:rPr>
          <w:rFonts w:ascii="Times New Roman" w:hAnsi="Times New Roman"/>
          <w:szCs w:val="24"/>
        </w:rPr>
        <w:t>vir</w:t>
      </w:r>
      <w:r w:rsidR="0094012F">
        <w:rPr>
          <w:rFonts w:ascii="Times New Roman" w:hAnsi="Times New Roman"/>
          <w:szCs w:val="24"/>
        </w:rPr>
        <w:t xml:space="preserve">kningstidspunktene for </w:t>
      </w:r>
      <w:r w:rsidR="0094012F" w:rsidRPr="00432B5F">
        <w:rPr>
          <w:rFonts w:ascii="Times New Roman" w:hAnsi="Times New Roman"/>
          <w:szCs w:val="24"/>
        </w:rPr>
        <w:t>konflikt</w:t>
      </w:r>
      <w:r w:rsidR="0094012F" w:rsidRPr="0094012F">
        <w:rPr>
          <w:rFonts w:ascii="Times New Roman" w:hAnsi="Times New Roman"/>
          <w:szCs w:val="24"/>
        </w:rPr>
        <w:t xml:space="preserve">en </w:t>
      </w:r>
      <w:r w:rsidR="00D6143E">
        <w:rPr>
          <w:rFonts w:ascii="Times New Roman" w:hAnsi="Times New Roman"/>
          <w:szCs w:val="24"/>
        </w:rPr>
        <w:t xml:space="preserve">i 2014 </w:t>
      </w:r>
      <w:r w:rsidR="0094012F" w:rsidRPr="0094012F">
        <w:rPr>
          <w:rFonts w:ascii="Times New Roman" w:hAnsi="Times New Roman"/>
          <w:szCs w:val="24"/>
        </w:rPr>
        <w:t xml:space="preserve">er </w:t>
      </w:r>
      <w:r w:rsidR="0094012F">
        <w:rPr>
          <w:rFonts w:ascii="Times New Roman" w:hAnsi="Times New Roman"/>
          <w:szCs w:val="24"/>
        </w:rPr>
        <w:t>med</w:t>
      </w:r>
      <w:r w:rsidR="0094012F" w:rsidRPr="0094012F">
        <w:rPr>
          <w:rFonts w:ascii="Times New Roman" w:hAnsi="Times New Roman"/>
          <w:szCs w:val="24"/>
        </w:rPr>
        <w:t>regnet</w:t>
      </w:r>
      <w:r w:rsidRPr="001B4DEE">
        <w:rPr>
          <w:rFonts w:ascii="Times New Roman" w:hAnsi="Times New Roman"/>
          <w:szCs w:val="24"/>
        </w:rPr>
        <w:t>.</w:t>
      </w:r>
      <w:r w:rsidR="005D2795" w:rsidRPr="001B4DEE">
        <w:rPr>
          <w:rFonts w:ascii="Times New Roman" w:hAnsi="Times New Roman"/>
          <w:szCs w:val="24"/>
        </w:rPr>
        <w:t xml:space="preserve"> </w:t>
      </w:r>
      <w:r w:rsidR="0094012F" w:rsidRPr="001B4DEE">
        <w:rPr>
          <w:rFonts w:ascii="Times New Roman" w:hAnsi="Times New Roman"/>
          <w:szCs w:val="24"/>
        </w:rPr>
        <w:t>Når konflikten ikke er medregnet, er ansl</w:t>
      </w:r>
      <w:r w:rsidR="00FB7A33" w:rsidRPr="001B4DEE">
        <w:rPr>
          <w:rFonts w:ascii="Times New Roman" w:hAnsi="Times New Roman"/>
          <w:szCs w:val="24"/>
        </w:rPr>
        <w:t>a</w:t>
      </w:r>
      <w:r w:rsidR="0094012F" w:rsidRPr="001B4DEE">
        <w:rPr>
          <w:rFonts w:ascii="Times New Roman" w:hAnsi="Times New Roman"/>
          <w:szCs w:val="24"/>
        </w:rPr>
        <w:t xml:space="preserve">get </w:t>
      </w:r>
      <w:r w:rsidR="001B4DEE">
        <w:rPr>
          <w:rFonts w:ascii="Times New Roman" w:hAnsi="Times New Roman"/>
          <w:szCs w:val="24"/>
        </w:rPr>
        <w:t>0,9</w:t>
      </w:r>
      <w:r w:rsidR="001B4DEE" w:rsidRPr="001B4DEE">
        <w:rPr>
          <w:rFonts w:ascii="Times New Roman" w:hAnsi="Times New Roman"/>
          <w:szCs w:val="24"/>
        </w:rPr>
        <w:t xml:space="preserve"> </w:t>
      </w:r>
      <w:r w:rsidR="0094012F" w:rsidRPr="001B4DEE">
        <w:rPr>
          <w:rFonts w:ascii="Times New Roman" w:hAnsi="Times New Roman"/>
          <w:szCs w:val="24"/>
        </w:rPr>
        <w:t xml:space="preserve">prosentpoeng </w:t>
      </w:r>
      <w:r w:rsidR="00D6143E" w:rsidRPr="001B4DEE">
        <w:rPr>
          <w:rFonts w:ascii="Times New Roman" w:hAnsi="Times New Roman"/>
          <w:szCs w:val="24"/>
        </w:rPr>
        <w:t>lavere</w:t>
      </w:r>
      <w:r w:rsidR="0094012F" w:rsidRPr="001B4DEE">
        <w:rPr>
          <w:rFonts w:ascii="Times New Roman" w:hAnsi="Times New Roman"/>
          <w:szCs w:val="24"/>
        </w:rPr>
        <w:t>.</w:t>
      </w:r>
    </w:p>
    <w:p w14:paraId="4DA49099" w14:textId="77777777" w:rsidR="00871A59" w:rsidRPr="001B4DEE" w:rsidRDefault="00871A59" w:rsidP="001B4DEE">
      <w:pPr>
        <w:spacing w:after="0"/>
        <w:rPr>
          <w:rFonts w:ascii="Times New Roman" w:hAnsi="Times New Roman"/>
          <w:szCs w:val="24"/>
        </w:rPr>
      </w:pPr>
    </w:p>
    <w:p w14:paraId="42AF4FDD" w14:textId="5849FC41" w:rsidR="00871A59" w:rsidRPr="00BA1C84" w:rsidRDefault="00871A59" w:rsidP="008643D6">
      <w:pPr>
        <w:pStyle w:val="Overskrift3"/>
        <w:numPr>
          <w:ilvl w:val="2"/>
          <w:numId w:val="65"/>
        </w:numPr>
        <w:spacing w:before="240"/>
      </w:pPr>
      <w:bookmarkStart w:id="106" w:name="_Toc443998960"/>
      <w:bookmarkStart w:id="107" w:name="_Toc96946411"/>
      <w:bookmarkStart w:id="108" w:name="_Toc96946581"/>
      <w:bookmarkStart w:id="109" w:name="_Toc96946806"/>
      <w:bookmarkStart w:id="110" w:name="_Toc225769702"/>
      <w:bookmarkStart w:id="111" w:name="_Toc225769828"/>
      <w:bookmarkStart w:id="112" w:name="_Toc226010293"/>
      <w:bookmarkStart w:id="113" w:name="_Toc286073356"/>
      <w:bookmarkStart w:id="114" w:name="_Toc286075000"/>
      <w:bookmarkStart w:id="115" w:name="_Toc286075249"/>
      <w:bookmarkStart w:id="116" w:name="_Toc289722984"/>
      <w:bookmarkStart w:id="117" w:name="_Toc296427213"/>
      <w:bookmarkStart w:id="118" w:name="_Toc351913435"/>
      <w:bookmarkStart w:id="119" w:name="_Toc380506129"/>
      <w:bookmarkStart w:id="120" w:name="_Toc415240753"/>
      <w:bookmarkStart w:id="121" w:name="_Toc442351738"/>
      <w:r w:rsidRPr="00BA1C84">
        <w:t>Lønnsutviklingen i Spekter-området</w:t>
      </w:r>
      <w:bookmarkEnd w:id="106"/>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5F008339" w14:textId="77777777" w:rsidR="000B374C" w:rsidRDefault="000B374C" w:rsidP="000B374C">
      <w:r>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og hovedorganisasjonenes forbund eller forhandlingsgrupper. Det kan avtales avvikende ordninger.</w:t>
      </w:r>
    </w:p>
    <w:p w14:paraId="31B711F3" w14:textId="77777777" w:rsidR="000B374C" w:rsidRDefault="000B374C" w:rsidP="000B374C">
      <w:r>
        <w:t>For Spekter-Helse er det for LO, YS, noen av Unios forbund og Den norske legeforening de siste årene avtalt et nasjonalt nivå II (A2) der det forhandles mellom Spekter-Helse og de enkelte foreninger/forbund i hovedorganisasjonene om særskilte lønns- og arbeidsvilkår for den enkelte forenings medlemmer.</w:t>
      </w:r>
    </w:p>
    <w:p w14:paraId="573874DD" w14:textId="77777777" w:rsidR="001072BF" w:rsidRPr="00B87D47" w:rsidRDefault="001072BF" w:rsidP="001072BF">
      <w:pPr>
        <w:rPr>
          <w:highlight w:val="yellow"/>
        </w:rPr>
      </w:pPr>
      <w:r w:rsidRPr="00F36F8D">
        <w:t>I mellomoppgjøret 2015 ble det p</w:t>
      </w:r>
      <w:r w:rsidRPr="00F36F8D">
        <w:rPr>
          <w:rFonts w:hint="eastAsia"/>
        </w:rPr>
        <w:t xml:space="preserve">å A-nivå mellom </w:t>
      </w:r>
      <w:r w:rsidRPr="00F36F8D">
        <w:t>Spekter</w:t>
      </w:r>
      <w:r w:rsidRPr="00F36F8D">
        <w:rPr>
          <w:rFonts w:hint="eastAsia"/>
        </w:rPr>
        <w:t xml:space="preserve"> og LO</w:t>
      </w:r>
      <w:r w:rsidRPr="00F36F8D">
        <w:t xml:space="preserve"> </w:t>
      </w:r>
      <w:r w:rsidRPr="00F36F8D">
        <w:rPr>
          <w:rFonts w:hint="eastAsia"/>
        </w:rPr>
        <w:t>Stat og mellom S</w:t>
      </w:r>
      <w:r w:rsidRPr="00F36F8D">
        <w:t>pekter</w:t>
      </w:r>
      <w:r w:rsidRPr="00F36F8D">
        <w:rPr>
          <w:rFonts w:hint="eastAsia"/>
        </w:rPr>
        <w:t xml:space="preserve"> og YS</w:t>
      </w:r>
      <w:r w:rsidRPr="00F36F8D">
        <w:t xml:space="preserve"> Spekter</w:t>
      </w:r>
      <w:r w:rsidRPr="00F36F8D">
        <w:rPr>
          <w:rFonts w:hint="eastAsia"/>
        </w:rPr>
        <w:t xml:space="preserve"> enighet om et </w:t>
      </w:r>
      <w:r w:rsidRPr="006E2241">
        <w:t xml:space="preserve">generelt </w:t>
      </w:r>
      <w:r w:rsidRPr="006E2241">
        <w:rPr>
          <w:rFonts w:hint="eastAsia"/>
        </w:rPr>
        <w:t>tillegg fra 1. april 20</w:t>
      </w:r>
      <w:r>
        <w:t>15</w:t>
      </w:r>
      <w:r w:rsidRPr="006E2241">
        <w:rPr>
          <w:rFonts w:hint="eastAsia"/>
        </w:rPr>
        <w:t xml:space="preserve"> på kr</w:t>
      </w:r>
      <w:r w:rsidRPr="006E2241">
        <w:t xml:space="preserve"> </w:t>
      </w:r>
      <w:r>
        <w:t xml:space="preserve">3 413 </w:t>
      </w:r>
      <w:r w:rsidRPr="006E2241">
        <w:rPr>
          <w:rFonts w:hint="eastAsia"/>
        </w:rPr>
        <w:t>p</w:t>
      </w:r>
      <w:r w:rsidRPr="006E2241">
        <w:t>er</w:t>
      </w:r>
      <w:r w:rsidRPr="006E2241">
        <w:rPr>
          <w:rFonts w:hint="eastAsia"/>
        </w:rPr>
        <w:t xml:space="preserve"> år </w:t>
      </w:r>
      <w:r>
        <w:t xml:space="preserve">til arbeidstakere (unntatt lærlinger og unge arbeidstakere) med årslønn </w:t>
      </w:r>
      <w:r w:rsidR="00D6143E">
        <w:t xml:space="preserve">i 2014 </w:t>
      </w:r>
      <w:r>
        <w:t>på kr 388 013 eller lavere.</w:t>
      </w:r>
    </w:p>
    <w:p w14:paraId="2BE8171B" w14:textId="77777777" w:rsidR="001072BF" w:rsidRDefault="001072BF" w:rsidP="001072BF">
      <w:r w:rsidRPr="00BE1AB8">
        <w:t>Det ble ført forhandlinger i de enkelte virksomheter (B-nivå) om ytterligere lønnstillegg. I disse forhandlingene ble det gitt noe varierende tillegg. For akademikergruppene i Spekter (ekskl. Legeforeningen) gis det ikke sentrale generelle tillegg. Lønnstilleggene for disse gruppene avtales lokalt.</w:t>
      </w:r>
    </w:p>
    <w:p w14:paraId="01CB31F7" w14:textId="77777777" w:rsidR="000B374C" w:rsidRDefault="000B374C" w:rsidP="000B374C">
      <w:pPr>
        <w:rPr>
          <w:rFonts w:ascii="Arial" w:hAnsi="Arial" w:cs="Arial"/>
          <w:color w:val="0000FF"/>
          <w:sz w:val="20"/>
        </w:rPr>
      </w:pPr>
      <w:r w:rsidRPr="005A05A4">
        <w:t xml:space="preserve">På grunnlag av </w:t>
      </w:r>
      <w:r w:rsidR="00D6143E">
        <w:t xml:space="preserve">foreløpig </w:t>
      </w:r>
      <w:r w:rsidRPr="005A05A4">
        <w:t>lønnsstatistikk for 201</w:t>
      </w:r>
      <w:r w:rsidR="001072BF">
        <w:t>5</w:t>
      </w:r>
      <w:r w:rsidRPr="005A05A4">
        <w:t xml:space="preserve"> og de avtalte tilleggene gitt i forhandlingene i de ulike virksomhetene,</w:t>
      </w:r>
      <w:r>
        <w:t xml:space="preserve"> har utvalget beregnet</w:t>
      </w:r>
      <w:r w:rsidRPr="005A05A4">
        <w:t xml:space="preserve"> årslønnsveksten fra 201</w:t>
      </w:r>
      <w:r w:rsidR="001072BF">
        <w:t>4</w:t>
      </w:r>
      <w:r w:rsidRPr="005A05A4">
        <w:t xml:space="preserve"> til 201</w:t>
      </w:r>
      <w:r w:rsidR="001072BF">
        <w:t>5</w:t>
      </w:r>
      <w:r w:rsidRPr="005A05A4">
        <w:t xml:space="preserve"> i Spekter-området ekskl. helseforetakene </w:t>
      </w:r>
      <w:r w:rsidRPr="00B26F78">
        <w:t>til</w:t>
      </w:r>
      <w:r w:rsidRPr="00B26F78">
        <w:rPr>
          <w:noProof/>
        </w:rPr>
        <w:t xml:space="preserve"> </w:t>
      </w:r>
      <w:r w:rsidR="004942F3">
        <w:rPr>
          <w:noProof/>
        </w:rPr>
        <w:t xml:space="preserve">2 ¾ </w:t>
      </w:r>
      <w:r w:rsidRPr="00B26F78">
        <w:t>prosent</w:t>
      </w:r>
      <w:r w:rsidRPr="005A05A4">
        <w:t>.</w:t>
      </w:r>
      <w:r>
        <w:rPr>
          <w:noProof/>
        </w:rPr>
        <w:t xml:space="preserve"> </w:t>
      </w:r>
    </w:p>
    <w:p w14:paraId="6B488B52" w14:textId="1017553B" w:rsidR="00277273" w:rsidRDefault="00277273" w:rsidP="00277273">
      <w:r>
        <w:t xml:space="preserve">I mellomoppgjøret 2015 for </w:t>
      </w:r>
      <w:r w:rsidRPr="00E32A04">
        <w:rPr>
          <w:i/>
        </w:rPr>
        <w:t>helseforetakene</w:t>
      </w:r>
      <w:r>
        <w:t xml:space="preserve"> </w:t>
      </w:r>
      <w:r w:rsidRPr="00843AC3">
        <w:t xml:space="preserve">kom Spekter og forbundene i LO og YS til enighet i de sentrale forbundsvise forhandlingene (A2). </w:t>
      </w:r>
      <w:r>
        <w:t>D</w:t>
      </w:r>
      <w:r w:rsidRPr="00843AC3">
        <w:t xml:space="preserve">et </w:t>
      </w:r>
      <w:r>
        <w:t>ble enighet om</w:t>
      </w:r>
      <w:r w:rsidRPr="00843AC3">
        <w:t xml:space="preserve"> et generelt tillegg </w:t>
      </w:r>
      <w:r>
        <w:t xml:space="preserve">fra 1. august 2015 </w:t>
      </w:r>
      <w:r w:rsidRPr="00843AC3">
        <w:t xml:space="preserve">på kr </w:t>
      </w:r>
      <w:r>
        <w:t>2 0</w:t>
      </w:r>
      <w:r w:rsidRPr="00843AC3">
        <w:t>00</w:t>
      </w:r>
      <w:r>
        <w:t xml:space="preserve"> per år i stillingsgruppene 1-4 og kr 4 000 i stillingsgruppe 5 og til ledere som leder ansatte i stillingsgruppe 5. Øvrige medlemmer i LO- og YS-forbundene fikk et tillegg på kr 2 000 per år fra 1. august 2015. M</w:t>
      </w:r>
      <w:r w:rsidRPr="00843AC3">
        <w:t xml:space="preserve">instelønnssatsene </w:t>
      </w:r>
      <w:r>
        <w:t xml:space="preserve">ble </w:t>
      </w:r>
      <w:r w:rsidRPr="00843AC3">
        <w:t>heve</w:t>
      </w:r>
      <w:r>
        <w:t>t</w:t>
      </w:r>
      <w:r w:rsidRPr="00843AC3">
        <w:t xml:space="preserve"> </w:t>
      </w:r>
      <w:r>
        <w:t>tilsvarende fra samme dato</w:t>
      </w:r>
      <w:r w:rsidRPr="00843AC3">
        <w:t xml:space="preserve">. </w:t>
      </w:r>
      <w:r>
        <w:t xml:space="preserve">Avtalen innebærer også at </w:t>
      </w:r>
      <w:r w:rsidRPr="00843AC3">
        <w:t xml:space="preserve">minstelønnen i stillingsgruppe l </w:t>
      </w:r>
      <w:r>
        <w:t>for ansatte med 20 års ansiennitet (s</w:t>
      </w:r>
      <w:r w:rsidRPr="003A7076">
        <w:t>tillinger hvor det ikke kreves særskilt utdanning</w:t>
      </w:r>
      <w:r>
        <w:t>), økte ytterligere med kr 7 000 til kr 373 000</w:t>
      </w:r>
      <w:r w:rsidRPr="00843AC3">
        <w:t xml:space="preserve"> fra 1. </w:t>
      </w:r>
      <w:r>
        <w:t>januar 2016. D</w:t>
      </w:r>
      <w:r w:rsidRPr="00843AC3">
        <w:t xml:space="preserve">et </w:t>
      </w:r>
      <w:r w:rsidR="00377857">
        <w:t xml:space="preserve">ble </w:t>
      </w:r>
      <w:r>
        <w:t>ikke</w:t>
      </w:r>
      <w:r w:rsidRPr="00843AC3">
        <w:t xml:space="preserve"> gjennomfør</w:t>
      </w:r>
      <w:r w:rsidR="00377857">
        <w:t>t</w:t>
      </w:r>
      <w:r w:rsidRPr="00843AC3">
        <w:t xml:space="preserve"> lokale forhandlinger </w:t>
      </w:r>
      <w:r>
        <w:t xml:space="preserve">på B-nivå </w:t>
      </w:r>
      <w:r w:rsidRPr="00843AC3">
        <w:t>i 20</w:t>
      </w:r>
      <w:r>
        <w:t xml:space="preserve">15. </w:t>
      </w:r>
    </w:p>
    <w:p w14:paraId="5915CAA4" w14:textId="7C6B47FA" w:rsidR="00277273" w:rsidRPr="00157754" w:rsidRDefault="00277273" w:rsidP="00377857">
      <w:pPr>
        <w:rPr>
          <w:rFonts w:ascii="Times New Roman" w:hAnsi="Times New Roman"/>
        </w:rPr>
      </w:pPr>
      <w:r w:rsidRPr="00157754">
        <w:rPr>
          <w:rFonts w:ascii="Times New Roman" w:hAnsi="Times New Roman"/>
        </w:rPr>
        <w:t>Spekter og forbundene i Unio med sentral forbundsvis avtaledel (Norsk Sykepleierforbund, Norsk Fysioterapeutforbund, Norsk Ergoterapeutforbund og Utdanningsforbundet) kom</w:t>
      </w:r>
      <w:r w:rsidR="00B158B7">
        <w:rPr>
          <w:rFonts w:ascii="Times New Roman" w:hAnsi="Times New Roman"/>
        </w:rPr>
        <w:t xml:space="preserve"> til</w:t>
      </w:r>
      <w:r w:rsidRPr="00157754">
        <w:rPr>
          <w:rFonts w:ascii="Times New Roman" w:hAnsi="Times New Roman"/>
        </w:rPr>
        <w:t xml:space="preserve"> enighet i de sentrale forbundsvise forhandlingene (A2). </w:t>
      </w:r>
      <w:r>
        <w:rPr>
          <w:rFonts w:ascii="Times New Roman" w:hAnsi="Times New Roman"/>
        </w:rPr>
        <w:t xml:space="preserve">Sykepleiere, fysioterapeuter, ergoterapeuter og førskolelærere fikk et generelt tillegg på kr 2 000 per år med virkning fra 1. mai 2015, mens spesialsykepleiere, jordmødre, spesialfysioterapeuter, spesialergoterapeuter, pedagoger med spesialkompetanse og ledere fikk kr 4 000 fra samme dato. </w:t>
      </w:r>
      <w:r w:rsidRPr="00157754">
        <w:rPr>
          <w:rFonts w:ascii="Times New Roman" w:hAnsi="Times New Roman"/>
        </w:rPr>
        <w:t>Minstelønnssatsene</w:t>
      </w:r>
      <w:r>
        <w:rPr>
          <w:rFonts w:ascii="Times New Roman" w:hAnsi="Times New Roman"/>
        </w:rPr>
        <w:t xml:space="preserve"> ble hevet tilsvarende</w:t>
      </w:r>
      <w:r w:rsidRPr="00157754">
        <w:rPr>
          <w:rFonts w:ascii="Times New Roman" w:hAnsi="Times New Roman"/>
        </w:rPr>
        <w:t xml:space="preserve">. </w:t>
      </w:r>
      <w:r>
        <w:t>D</w:t>
      </w:r>
      <w:r w:rsidRPr="00843AC3">
        <w:t xml:space="preserve">et </w:t>
      </w:r>
      <w:r w:rsidR="00377857">
        <w:t xml:space="preserve">ble </w:t>
      </w:r>
      <w:r>
        <w:t>ikke</w:t>
      </w:r>
      <w:r w:rsidRPr="00843AC3">
        <w:t xml:space="preserve"> gjennomfør</w:t>
      </w:r>
      <w:r w:rsidR="00377857">
        <w:t>t</w:t>
      </w:r>
      <w:r w:rsidRPr="00843AC3">
        <w:t xml:space="preserve"> lokale forhandlinger </w:t>
      </w:r>
      <w:r>
        <w:t xml:space="preserve">på B-nivå </w:t>
      </w:r>
      <w:r w:rsidRPr="00843AC3">
        <w:t>i 20</w:t>
      </w:r>
      <w:r>
        <w:t>15.</w:t>
      </w:r>
      <w:r w:rsidRPr="00157754">
        <w:rPr>
          <w:rFonts w:ascii="Times New Roman" w:hAnsi="Times New Roman"/>
        </w:rPr>
        <w:t xml:space="preserve"> For medlemmer av Unio som ikke er omfattet av sentrale forbundsvise forhandlinger, ble det gjennomført lokale forhandlinger.</w:t>
      </w:r>
    </w:p>
    <w:p w14:paraId="46547432" w14:textId="77777777" w:rsidR="000B374C" w:rsidRPr="00992066" w:rsidRDefault="00277273" w:rsidP="00277273">
      <w:r>
        <w:t xml:space="preserve">I oppgjøret mellom Spekter-Helse og Den norske legeforening kom partene til enighet i de sentrale forbundsvise forhandlingene (A2) for helseforetakene. I helseforetakene fikk turnusleger et tillegg på kr 12 000 per år og leger i spesialisering et tillegg fra kr 14 500 til kr 17 500. Tilleggene ble gitt med virkning fra 1. januar 2015. Det </w:t>
      </w:r>
      <w:r w:rsidR="00AB2C03">
        <w:t xml:space="preserve">ble </w:t>
      </w:r>
      <w:r>
        <w:t>gjennomfør</w:t>
      </w:r>
      <w:r w:rsidR="000F09AF">
        <w:t>t</w:t>
      </w:r>
      <w:r>
        <w:t xml:space="preserve"> lokale forhandlinger på B-nivå for medlemmer av Den norske legeforening som ikke fikk generelle tillegg i A 2-forhandlingene. For øvrige forbund i Akademikerne ble det gjennomført lokale forhandlinger.</w:t>
      </w:r>
    </w:p>
    <w:p w14:paraId="30FA7975" w14:textId="20083CFF" w:rsidR="00423A13" w:rsidRPr="00C51114" w:rsidRDefault="000B374C" w:rsidP="000B374C">
      <w:bookmarkStart w:id="122" w:name="_Toc328068297"/>
      <w:bookmarkEnd w:id="122"/>
      <w:r w:rsidRPr="005A05A4">
        <w:t xml:space="preserve">På grunnlag av </w:t>
      </w:r>
      <w:r w:rsidR="00ED7448" w:rsidRPr="00475C6B">
        <w:t xml:space="preserve">lønnsnivået i oktober 2014 </w:t>
      </w:r>
      <w:r w:rsidR="00F2433E">
        <w:t>i lønnsstatistikken til Statistisk sentralbyrå</w:t>
      </w:r>
      <w:r w:rsidR="00170922">
        <w:t xml:space="preserve">, </w:t>
      </w:r>
      <w:r w:rsidR="00ED7448" w:rsidRPr="00475C6B">
        <w:t xml:space="preserve">justert med utviklingen i den kvartalsvise lønnsindeksen fra 3. kvartal 2014 til 3. kvartal </w:t>
      </w:r>
      <w:r w:rsidR="00170922">
        <w:t>2015</w:t>
      </w:r>
      <w:r w:rsidR="0071176F">
        <w:t xml:space="preserve"> </w:t>
      </w:r>
      <w:r w:rsidRPr="005A05A4">
        <w:t xml:space="preserve">og lønnstilleggene i </w:t>
      </w:r>
      <w:r w:rsidR="00DE58B9">
        <w:t>2015</w:t>
      </w:r>
      <w:r w:rsidRPr="005A05A4">
        <w:t>, har utvalget beregnet årslønnsveksten i helseforetakene fra 201</w:t>
      </w:r>
      <w:r w:rsidR="00277273">
        <w:t>4</w:t>
      </w:r>
      <w:r w:rsidRPr="005A05A4">
        <w:t xml:space="preserve"> til 201</w:t>
      </w:r>
      <w:r w:rsidR="00277273">
        <w:t>5</w:t>
      </w:r>
      <w:r w:rsidRPr="005A05A4">
        <w:t xml:space="preserve"> til</w:t>
      </w:r>
      <w:r w:rsidRPr="009539FD">
        <w:t xml:space="preserve"> </w:t>
      </w:r>
      <w:r w:rsidR="004942F3">
        <w:t xml:space="preserve">2 ¾ </w:t>
      </w:r>
      <w:r w:rsidRPr="008A0A08">
        <w:t>prosent</w:t>
      </w:r>
      <w:r w:rsidRPr="005A05A4">
        <w:t xml:space="preserve">. Det kan være noen tillegg knyttet til lønnsoppgjøret </w:t>
      </w:r>
      <w:r>
        <w:t xml:space="preserve">i </w:t>
      </w:r>
      <w:r w:rsidRPr="005A05A4">
        <w:t>201</w:t>
      </w:r>
      <w:r w:rsidR="00277273">
        <w:t>5</w:t>
      </w:r>
      <w:r w:rsidRPr="005A05A4">
        <w:t xml:space="preserve"> som ikke er fanget opp i Statistisk sentralbyrå sin </w:t>
      </w:r>
      <w:r w:rsidR="00170922">
        <w:t xml:space="preserve">kvartalsvise </w:t>
      </w:r>
      <w:r w:rsidR="00170922" w:rsidRPr="005A05A4">
        <w:t>lønns</w:t>
      </w:r>
      <w:r w:rsidR="00170922">
        <w:t>indeks</w:t>
      </w:r>
      <w:r w:rsidR="00170922" w:rsidRPr="005A05A4">
        <w:t xml:space="preserve"> </w:t>
      </w:r>
      <w:r w:rsidRPr="005A05A4">
        <w:t xml:space="preserve">per </w:t>
      </w:r>
      <w:r w:rsidR="00F2433E">
        <w:t>3. kvartal</w:t>
      </w:r>
      <w:r w:rsidR="00F2433E" w:rsidRPr="005A05A4">
        <w:t xml:space="preserve"> </w:t>
      </w:r>
      <w:r w:rsidRPr="005A05A4">
        <w:t>201</w:t>
      </w:r>
      <w:r w:rsidR="00277273">
        <w:t>5</w:t>
      </w:r>
      <w:r w:rsidR="00F915A2" w:rsidRPr="007F62C4">
        <w:t>.</w:t>
      </w:r>
    </w:p>
    <w:p w14:paraId="1412486F" w14:textId="77777777" w:rsidR="004B1A77" w:rsidRDefault="004B1A77" w:rsidP="004B1A77">
      <w:pPr>
        <w:pStyle w:val="Overskrift2"/>
      </w:pPr>
      <w:bookmarkStart w:id="123" w:name="_Toc351913436"/>
      <w:bookmarkStart w:id="124" w:name="_Toc380506130"/>
      <w:bookmarkStart w:id="125" w:name="_Toc422226823"/>
      <w:bookmarkStart w:id="126" w:name="_Toc442351739"/>
      <w:bookmarkStart w:id="127" w:name="_Toc443998961"/>
      <w:r w:rsidRPr="00E15C9E">
        <w:t>Lønnsoverhenget</w:t>
      </w:r>
      <w:bookmarkEnd w:id="65"/>
      <w:bookmarkEnd w:id="66"/>
      <w:bookmarkEnd w:id="67"/>
      <w:bookmarkEnd w:id="68"/>
      <w:bookmarkEnd w:id="69"/>
      <w:bookmarkEnd w:id="70"/>
      <w:bookmarkEnd w:id="71"/>
      <w:bookmarkEnd w:id="72"/>
      <w:bookmarkEnd w:id="73"/>
      <w:bookmarkEnd w:id="123"/>
      <w:bookmarkEnd w:id="124"/>
      <w:bookmarkEnd w:id="125"/>
      <w:bookmarkEnd w:id="126"/>
      <w:bookmarkEnd w:id="127"/>
      <w:r w:rsidRPr="00E15C9E">
        <w:t xml:space="preserve"> </w:t>
      </w:r>
      <w:bookmarkEnd w:id="74"/>
      <w:bookmarkEnd w:id="75"/>
      <w:bookmarkEnd w:id="76"/>
    </w:p>
    <w:p w14:paraId="1C719661" w14:textId="77777777" w:rsidR="00FC7763" w:rsidRPr="00FC7763" w:rsidRDefault="00FC7763" w:rsidP="00FC7763">
      <w:r w:rsidRPr="00FC7763">
        <w:t>Lønnsoverhenget beskriver hvor mye lønnsnivået ved utløpet av ett år ligger over gjennomsnittsnivået for året. Det forteller dermed hvor stor lønnsveksten fra ett år til det neste vil bli dersom det ikke gis nye lønnstillegg eller foregår strukturendringer i det andre året.</w:t>
      </w:r>
    </w:p>
    <w:p w14:paraId="4CA2C8BA" w14:textId="75D5999E" w:rsidR="00FC7763" w:rsidRPr="00FC7763" w:rsidRDefault="00FC7763" w:rsidP="00FC7763">
      <w:r w:rsidRPr="00FC7763">
        <w:t xml:space="preserve">Utvalget anslår overhenget til </w:t>
      </w:r>
      <w:r w:rsidR="00F9119C" w:rsidRPr="00FC7763">
        <w:t>201</w:t>
      </w:r>
      <w:r w:rsidR="00F9119C">
        <w:t>6</w:t>
      </w:r>
      <w:r w:rsidR="00F9119C" w:rsidRPr="00FC7763">
        <w:t xml:space="preserve"> </w:t>
      </w:r>
      <w:r w:rsidRPr="00FC7763">
        <w:t xml:space="preserve">til </w:t>
      </w:r>
      <w:r w:rsidR="00F9119C">
        <w:t xml:space="preserve">om lag </w:t>
      </w:r>
      <w:r w:rsidR="00117391">
        <w:t>0,7</w:t>
      </w:r>
      <w:r w:rsidR="00F9119C">
        <w:t xml:space="preserve"> </w:t>
      </w:r>
      <w:r w:rsidRPr="00FC7763">
        <w:t>prosent i gjennomsnitt i de største forhandlingsområdene. Gjennomsnittlig overheng i de tre foregående år var på 1,</w:t>
      </w:r>
      <w:r w:rsidR="00493602">
        <w:t xml:space="preserve">3 </w:t>
      </w:r>
      <w:r w:rsidRPr="00FC7763">
        <w:t xml:space="preserve">prosent. For områdene i tabell 1.6 varierer overhenget til </w:t>
      </w:r>
      <w:r w:rsidR="00117391" w:rsidRPr="00FC7763">
        <w:t>201</w:t>
      </w:r>
      <w:r w:rsidR="00117391">
        <w:t>6</w:t>
      </w:r>
      <w:r w:rsidR="00117391" w:rsidRPr="00FC7763">
        <w:t xml:space="preserve"> </w:t>
      </w:r>
      <w:r w:rsidRPr="00FC7763">
        <w:t xml:space="preserve">fra </w:t>
      </w:r>
      <w:r w:rsidR="005E26E3">
        <w:t xml:space="preserve">½ </w:t>
      </w:r>
      <w:r w:rsidRPr="00FC7763">
        <w:t xml:space="preserve">prosent for ansatte </w:t>
      </w:r>
      <w:r w:rsidR="00117391">
        <w:t xml:space="preserve">staten og </w:t>
      </w:r>
      <w:r w:rsidRPr="00FC7763">
        <w:t>i Spekter</w:t>
      </w:r>
      <w:r w:rsidR="0008354D">
        <w:t>-området</w:t>
      </w:r>
      <w:r w:rsidR="00117391">
        <w:t>,</w:t>
      </w:r>
      <w:r w:rsidRPr="00FC7763">
        <w:t xml:space="preserve"> til </w:t>
      </w:r>
      <w:r w:rsidR="005E26E3">
        <w:t>1,2</w:t>
      </w:r>
      <w:r w:rsidRPr="00FC7763">
        <w:t xml:space="preserve"> prosent for </w:t>
      </w:r>
      <w:r w:rsidR="005E26E3">
        <w:t>ansatte i finanstjenester</w:t>
      </w:r>
      <w:r w:rsidRPr="00FC7763">
        <w:t xml:space="preserve">. </w:t>
      </w:r>
    </w:p>
    <w:p w14:paraId="1BFB57F9" w14:textId="77777777" w:rsidR="00FC7763" w:rsidRPr="00FC7763" w:rsidRDefault="00FC7763" w:rsidP="00FC7763">
      <w:r w:rsidRPr="00FC7763">
        <w:t xml:space="preserve">I tillegg til lønnsoverhenget kan lønnsveksten til neste år i enkelte områder også bli påvirket enten av allerede avtalte tarifftillegg eller av garantiordninger og satsreguleringsbestemmelser. </w:t>
      </w:r>
    </w:p>
    <w:p w14:paraId="146A9B1D" w14:textId="77777777" w:rsidR="00FC7763" w:rsidRPr="00FC7763" w:rsidRDefault="00FC7763" w:rsidP="00FC7763">
      <w:r w:rsidRPr="00FC7763">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5C2BB11A" w14:textId="77777777" w:rsidR="00FC7763" w:rsidRPr="00FC7763" w:rsidRDefault="00FC7763" w:rsidP="00FC7763">
      <w:r w:rsidRPr="00FC7763">
        <w:t xml:space="preserve">Garantiordninger og satsreguleringsbestemmelser sikrer områder en (automatisk) lønnsvekst, gjerne i forhold til en fastlagt referansegruppes lønn. Fra 2011 er nye ordninger kommet til, blant annet for regulering av minstelønnssatser i LO - NHO- området. Virkninger av alle avtalte tillegg inklusive slike ordninger, defineres som tarifftillegg når de er kjent. En del av disse tilleggene vil ikke være klare før endelig statistikk foreligger. </w:t>
      </w:r>
    </w:p>
    <w:p w14:paraId="133613EE" w14:textId="3E7BCACB" w:rsidR="00C36A0E" w:rsidRDefault="00C36A0E" w:rsidP="00C36A0E">
      <w:pPr>
        <w:pStyle w:val="tabell-tittel"/>
      </w:pPr>
      <w:r w:rsidRPr="00DC3A48">
        <w:t xml:space="preserve">Lønnsoverhenget fra året før i prosent. </w:t>
      </w:r>
      <w:r w:rsidR="006F4671" w:rsidRPr="00DC3A48">
        <w:t>20</w:t>
      </w:r>
      <w:r w:rsidR="006F4671">
        <w:t>11</w:t>
      </w:r>
      <w:r w:rsidRPr="00DC3A48">
        <w:t>-201</w:t>
      </w:r>
      <w:r>
        <w:t>6</w:t>
      </w:r>
      <w:r w:rsidRPr="00DC3A48">
        <w:t xml:space="preserve">. </w:t>
      </w:r>
    </w:p>
    <w:tbl>
      <w:tblPr>
        <w:tblW w:w="5000" w:type="pct"/>
        <w:tblBorders>
          <w:bottom w:val="single" w:sz="4" w:space="0" w:color="auto"/>
        </w:tblBorders>
        <w:tblLook w:val="04A0" w:firstRow="1" w:lastRow="0" w:firstColumn="1" w:lastColumn="0" w:noHBand="0" w:noVBand="1"/>
      </w:tblPr>
      <w:tblGrid>
        <w:gridCol w:w="3460"/>
        <w:gridCol w:w="758"/>
        <w:gridCol w:w="1027"/>
        <w:gridCol w:w="992"/>
        <w:gridCol w:w="992"/>
        <w:gridCol w:w="851"/>
        <w:gridCol w:w="990"/>
      </w:tblGrid>
      <w:tr w:rsidR="00C36A0E" w:rsidRPr="00FC7763" w14:paraId="6ECAA5B6" w14:textId="77777777" w:rsidTr="004D2BFD">
        <w:trPr>
          <w:trHeight w:val="428"/>
        </w:trPr>
        <w:tc>
          <w:tcPr>
            <w:tcW w:w="1907" w:type="pct"/>
            <w:tcBorders>
              <w:top w:val="single" w:sz="4" w:space="0" w:color="auto"/>
              <w:bottom w:val="single" w:sz="4" w:space="0" w:color="auto"/>
            </w:tcBorders>
            <w:vAlign w:val="bottom"/>
          </w:tcPr>
          <w:p w14:paraId="1CA75101" w14:textId="77777777" w:rsidR="00C36A0E" w:rsidRPr="00FC7763" w:rsidRDefault="00C36A0E" w:rsidP="00C36A0E">
            <w:pPr>
              <w:rPr>
                <w:noProof/>
              </w:rPr>
            </w:pPr>
            <w:r w:rsidRPr="00FC7763">
              <w:rPr>
                <w:noProof/>
              </w:rPr>
              <w:t>Område/gruppe:</w:t>
            </w:r>
          </w:p>
        </w:tc>
        <w:tc>
          <w:tcPr>
            <w:tcW w:w="418" w:type="pct"/>
            <w:tcBorders>
              <w:top w:val="single" w:sz="4" w:space="0" w:color="auto"/>
              <w:bottom w:val="single" w:sz="4" w:space="0" w:color="auto"/>
            </w:tcBorders>
            <w:vAlign w:val="bottom"/>
          </w:tcPr>
          <w:p w14:paraId="59DB4809" w14:textId="77777777" w:rsidR="00C36A0E" w:rsidRPr="00FC7763" w:rsidRDefault="00C36A0E" w:rsidP="00C36A0E">
            <w:pPr>
              <w:jc w:val="right"/>
              <w:rPr>
                <w:noProof/>
              </w:rPr>
            </w:pPr>
            <w:r w:rsidRPr="00FC7763">
              <w:rPr>
                <w:noProof/>
              </w:rPr>
              <w:t>2011</w:t>
            </w:r>
          </w:p>
        </w:tc>
        <w:tc>
          <w:tcPr>
            <w:tcW w:w="566" w:type="pct"/>
            <w:tcBorders>
              <w:top w:val="single" w:sz="4" w:space="0" w:color="auto"/>
              <w:bottom w:val="single" w:sz="4" w:space="0" w:color="auto"/>
            </w:tcBorders>
            <w:vAlign w:val="bottom"/>
          </w:tcPr>
          <w:p w14:paraId="4C6775B5" w14:textId="77777777" w:rsidR="00C36A0E" w:rsidRPr="00FC7763" w:rsidRDefault="00C36A0E" w:rsidP="00C36A0E">
            <w:pPr>
              <w:jc w:val="right"/>
              <w:rPr>
                <w:noProof/>
              </w:rPr>
            </w:pPr>
            <w:r w:rsidRPr="00FC7763">
              <w:rPr>
                <w:noProof/>
              </w:rPr>
              <w:t>2012</w:t>
            </w:r>
          </w:p>
        </w:tc>
        <w:tc>
          <w:tcPr>
            <w:tcW w:w="547" w:type="pct"/>
            <w:tcBorders>
              <w:top w:val="single" w:sz="4" w:space="0" w:color="auto"/>
              <w:bottom w:val="single" w:sz="4" w:space="0" w:color="auto"/>
            </w:tcBorders>
            <w:vAlign w:val="bottom"/>
          </w:tcPr>
          <w:p w14:paraId="381B84EF" w14:textId="77777777" w:rsidR="00C36A0E" w:rsidRPr="00FC7763" w:rsidRDefault="00C36A0E" w:rsidP="00C36A0E">
            <w:pPr>
              <w:jc w:val="right"/>
              <w:rPr>
                <w:noProof/>
              </w:rPr>
            </w:pPr>
            <w:r w:rsidRPr="00FC7763">
              <w:rPr>
                <w:noProof/>
              </w:rPr>
              <w:t>2013</w:t>
            </w:r>
          </w:p>
        </w:tc>
        <w:tc>
          <w:tcPr>
            <w:tcW w:w="547" w:type="pct"/>
            <w:tcBorders>
              <w:top w:val="single" w:sz="4" w:space="0" w:color="auto"/>
              <w:bottom w:val="single" w:sz="4" w:space="0" w:color="auto"/>
            </w:tcBorders>
            <w:vAlign w:val="bottom"/>
          </w:tcPr>
          <w:p w14:paraId="12C7990C" w14:textId="77777777" w:rsidR="00C36A0E" w:rsidRPr="00FC7763" w:rsidRDefault="00C36A0E" w:rsidP="00C36A0E">
            <w:pPr>
              <w:jc w:val="right"/>
              <w:rPr>
                <w:noProof/>
              </w:rPr>
            </w:pPr>
            <w:r w:rsidRPr="00FC7763">
              <w:rPr>
                <w:noProof/>
              </w:rPr>
              <w:t>2014</w:t>
            </w:r>
          </w:p>
        </w:tc>
        <w:tc>
          <w:tcPr>
            <w:tcW w:w="469" w:type="pct"/>
            <w:tcBorders>
              <w:top w:val="single" w:sz="4" w:space="0" w:color="auto"/>
              <w:bottom w:val="single" w:sz="4" w:space="0" w:color="auto"/>
            </w:tcBorders>
            <w:vAlign w:val="bottom"/>
          </w:tcPr>
          <w:p w14:paraId="0E471B22" w14:textId="77777777" w:rsidR="00C36A0E" w:rsidRPr="00FC7763" w:rsidRDefault="00C36A0E" w:rsidP="00C36A0E">
            <w:pPr>
              <w:jc w:val="right"/>
              <w:rPr>
                <w:noProof/>
              </w:rPr>
            </w:pPr>
            <w:r w:rsidRPr="00FC7763">
              <w:rPr>
                <w:noProof/>
              </w:rPr>
              <w:t>2015</w:t>
            </w:r>
          </w:p>
        </w:tc>
        <w:tc>
          <w:tcPr>
            <w:tcW w:w="546" w:type="pct"/>
            <w:tcBorders>
              <w:top w:val="single" w:sz="4" w:space="0" w:color="auto"/>
              <w:bottom w:val="single" w:sz="4" w:space="0" w:color="auto"/>
            </w:tcBorders>
            <w:vAlign w:val="bottom"/>
          </w:tcPr>
          <w:p w14:paraId="58E89C8D" w14:textId="77777777" w:rsidR="00C36A0E" w:rsidRPr="00FC7763" w:rsidRDefault="00C36A0E" w:rsidP="00C36A0E">
            <w:pPr>
              <w:jc w:val="right"/>
              <w:rPr>
                <w:noProof/>
              </w:rPr>
            </w:pPr>
            <w:r>
              <w:rPr>
                <w:noProof/>
              </w:rPr>
              <w:t>2016</w:t>
            </w:r>
          </w:p>
        </w:tc>
      </w:tr>
      <w:tr w:rsidR="00C36A0E" w:rsidRPr="00FC7763" w14:paraId="2EE17009" w14:textId="77777777" w:rsidTr="004D2BFD">
        <w:trPr>
          <w:trHeight w:val="284"/>
        </w:trPr>
        <w:tc>
          <w:tcPr>
            <w:tcW w:w="1907" w:type="pct"/>
            <w:tcBorders>
              <w:top w:val="single" w:sz="4" w:space="0" w:color="auto"/>
            </w:tcBorders>
            <w:vAlign w:val="bottom"/>
          </w:tcPr>
          <w:p w14:paraId="6F4424CF" w14:textId="77777777" w:rsidR="00C36A0E" w:rsidRPr="00FC7763" w:rsidRDefault="00C36A0E" w:rsidP="00C36A0E">
            <w:pPr>
              <w:rPr>
                <w:noProof/>
              </w:rPr>
            </w:pPr>
            <w:r w:rsidRPr="00FC7763">
              <w:rPr>
                <w:noProof/>
              </w:rPr>
              <w:t>NHO-bedrifter i industrien i alt</w:t>
            </w:r>
            <w:r w:rsidRPr="00FC7763">
              <w:rPr>
                <w:noProof/>
                <w:vertAlign w:val="superscript"/>
              </w:rPr>
              <w:t>1</w:t>
            </w:r>
            <w:r w:rsidRPr="00FC7763">
              <w:rPr>
                <w:noProof/>
              </w:rPr>
              <w:t xml:space="preserve">: </w:t>
            </w:r>
          </w:p>
        </w:tc>
        <w:tc>
          <w:tcPr>
            <w:tcW w:w="418" w:type="pct"/>
            <w:tcBorders>
              <w:top w:val="single" w:sz="4" w:space="0" w:color="auto"/>
            </w:tcBorders>
            <w:vAlign w:val="bottom"/>
          </w:tcPr>
          <w:p w14:paraId="24451668" w14:textId="77777777" w:rsidR="00C36A0E" w:rsidRPr="00FC7763" w:rsidRDefault="00C36A0E" w:rsidP="00C36A0E">
            <w:pPr>
              <w:jc w:val="right"/>
              <w:rPr>
                <w:noProof/>
              </w:rPr>
            </w:pPr>
            <w:r w:rsidRPr="00FC7763">
              <w:rPr>
                <w:noProof/>
              </w:rPr>
              <w:t xml:space="preserve">1,5 </w:t>
            </w:r>
          </w:p>
        </w:tc>
        <w:tc>
          <w:tcPr>
            <w:tcW w:w="566" w:type="pct"/>
            <w:tcBorders>
              <w:top w:val="single" w:sz="4" w:space="0" w:color="auto"/>
            </w:tcBorders>
            <w:vAlign w:val="bottom"/>
          </w:tcPr>
          <w:p w14:paraId="09795B57" w14:textId="77777777" w:rsidR="00C36A0E" w:rsidRPr="00FC7763" w:rsidRDefault="00C36A0E" w:rsidP="00C36A0E">
            <w:pPr>
              <w:jc w:val="right"/>
              <w:rPr>
                <w:noProof/>
              </w:rPr>
            </w:pPr>
            <w:r w:rsidRPr="00FC7763">
              <w:rPr>
                <w:noProof/>
              </w:rPr>
              <w:t xml:space="preserve">1,5 </w:t>
            </w:r>
          </w:p>
        </w:tc>
        <w:tc>
          <w:tcPr>
            <w:tcW w:w="547" w:type="pct"/>
            <w:tcBorders>
              <w:top w:val="single" w:sz="4" w:space="0" w:color="auto"/>
            </w:tcBorders>
            <w:vAlign w:val="bottom"/>
          </w:tcPr>
          <w:p w14:paraId="0FB1DDFE" w14:textId="77777777" w:rsidR="00C36A0E" w:rsidRPr="00FC7763" w:rsidRDefault="00C36A0E" w:rsidP="00C36A0E">
            <w:pPr>
              <w:jc w:val="right"/>
              <w:rPr>
                <w:noProof/>
              </w:rPr>
            </w:pPr>
            <w:r w:rsidRPr="00FC7763">
              <w:rPr>
                <w:noProof/>
              </w:rPr>
              <w:t>1,6</w:t>
            </w:r>
          </w:p>
        </w:tc>
        <w:tc>
          <w:tcPr>
            <w:tcW w:w="547" w:type="pct"/>
            <w:tcBorders>
              <w:top w:val="single" w:sz="4" w:space="0" w:color="auto"/>
            </w:tcBorders>
            <w:vAlign w:val="bottom"/>
          </w:tcPr>
          <w:p w14:paraId="359E1465" w14:textId="77777777" w:rsidR="00C36A0E" w:rsidRPr="00FC7763" w:rsidRDefault="00C36A0E" w:rsidP="00C36A0E">
            <w:pPr>
              <w:jc w:val="right"/>
              <w:rPr>
                <w:noProof/>
              </w:rPr>
            </w:pPr>
            <w:r w:rsidRPr="00FC7763">
              <w:rPr>
                <w:noProof/>
              </w:rPr>
              <w:t>1,3</w:t>
            </w:r>
          </w:p>
        </w:tc>
        <w:tc>
          <w:tcPr>
            <w:tcW w:w="469" w:type="pct"/>
            <w:tcBorders>
              <w:top w:val="single" w:sz="4" w:space="0" w:color="auto"/>
            </w:tcBorders>
            <w:vAlign w:val="bottom"/>
          </w:tcPr>
          <w:p w14:paraId="0C81263C" w14:textId="77777777" w:rsidR="00C36A0E" w:rsidRPr="00FC7763" w:rsidRDefault="00C36A0E" w:rsidP="00C36A0E">
            <w:pPr>
              <w:jc w:val="right"/>
              <w:rPr>
                <w:noProof/>
              </w:rPr>
            </w:pPr>
            <w:r w:rsidRPr="00FC7763">
              <w:rPr>
                <w:noProof/>
              </w:rPr>
              <w:t>1,3</w:t>
            </w:r>
          </w:p>
        </w:tc>
        <w:tc>
          <w:tcPr>
            <w:tcW w:w="546" w:type="pct"/>
            <w:tcBorders>
              <w:top w:val="single" w:sz="4" w:space="0" w:color="auto"/>
            </w:tcBorders>
            <w:vAlign w:val="bottom"/>
          </w:tcPr>
          <w:p w14:paraId="51A48079" w14:textId="77777777" w:rsidR="00C36A0E" w:rsidRPr="00FC7763" w:rsidRDefault="00FF696C" w:rsidP="00C36A0E">
            <w:pPr>
              <w:jc w:val="right"/>
              <w:rPr>
                <w:noProof/>
              </w:rPr>
            </w:pPr>
            <w:r>
              <w:rPr>
                <w:noProof/>
              </w:rPr>
              <w:t>1</w:t>
            </w:r>
          </w:p>
        </w:tc>
      </w:tr>
      <w:tr w:rsidR="00C36A0E" w:rsidRPr="00FC7763" w14:paraId="7DD971DD" w14:textId="77777777" w:rsidTr="004D2BFD">
        <w:trPr>
          <w:trHeight w:val="284"/>
        </w:trPr>
        <w:tc>
          <w:tcPr>
            <w:tcW w:w="1907" w:type="pct"/>
            <w:vAlign w:val="bottom"/>
          </w:tcPr>
          <w:p w14:paraId="1993C717" w14:textId="77777777" w:rsidR="00C36A0E" w:rsidRPr="00FC7763" w:rsidRDefault="00C36A0E" w:rsidP="00C36A0E">
            <w:pPr>
              <w:rPr>
                <w:noProof/>
              </w:rPr>
            </w:pPr>
            <w:r w:rsidRPr="00FC7763">
              <w:rPr>
                <w:noProof/>
              </w:rPr>
              <w:t xml:space="preserve">  Industriarbeidere</w:t>
            </w:r>
          </w:p>
        </w:tc>
        <w:tc>
          <w:tcPr>
            <w:tcW w:w="418" w:type="pct"/>
            <w:vAlign w:val="bottom"/>
          </w:tcPr>
          <w:p w14:paraId="55496B36" w14:textId="77777777" w:rsidR="00C36A0E" w:rsidRPr="00FC7763" w:rsidRDefault="00C36A0E" w:rsidP="00C36A0E">
            <w:pPr>
              <w:jc w:val="right"/>
              <w:rPr>
                <w:noProof/>
              </w:rPr>
            </w:pPr>
            <w:r w:rsidRPr="00FC7763">
              <w:rPr>
                <w:noProof/>
              </w:rPr>
              <w:t>1,2</w:t>
            </w:r>
          </w:p>
        </w:tc>
        <w:tc>
          <w:tcPr>
            <w:tcW w:w="566" w:type="pct"/>
            <w:vAlign w:val="bottom"/>
          </w:tcPr>
          <w:p w14:paraId="7CA2D6BF" w14:textId="77777777" w:rsidR="00C36A0E" w:rsidRPr="00FC7763" w:rsidRDefault="00C36A0E" w:rsidP="00C36A0E">
            <w:pPr>
              <w:jc w:val="right"/>
              <w:rPr>
                <w:noProof/>
              </w:rPr>
            </w:pPr>
            <w:r w:rsidRPr="00FC7763">
              <w:rPr>
                <w:noProof/>
              </w:rPr>
              <w:t xml:space="preserve">1,3 </w:t>
            </w:r>
          </w:p>
        </w:tc>
        <w:tc>
          <w:tcPr>
            <w:tcW w:w="547" w:type="pct"/>
            <w:vAlign w:val="bottom"/>
          </w:tcPr>
          <w:p w14:paraId="0E155F51" w14:textId="77777777" w:rsidR="00C36A0E" w:rsidRPr="00FC7763" w:rsidRDefault="00C36A0E" w:rsidP="00C36A0E">
            <w:pPr>
              <w:jc w:val="right"/>
              <w:rPr>
                <w:noProof/>
              </w:rPr>
            </w:pPr>
            <w:r w:rsidRPr="00FC7763">
              <w:rPr>
                <w:noProof/>
              </w:rPr>
              <w:t>1,2</w:t>
            </w:r>
          </w:p>
        </w:tc>
        <w:tc>
          <w:tcPr>
            <w:tcW w:w="547" w:type="pct"/>
            <w:vAlign w:val="bottom"/>
          </w:tcPr>
          <w:p w14:paraId="64F658B3" w14:textId="77777777" w:rsidR="00C36A0E" w:rsidRPr="00FC7763" w:rsidRDefault="00C36A0E" w:rsidP="00C36A0E">
            <w:pPr>
              <w:jc w:val="right"/>
              <w:rPr>
                <w:noProof/>
              </w:rPr>
            </w:pPr>
            <w:r w:rsidRPr="00FC7763">
              <w:rPr>
                <w:noProof/>
              </w:rPr>
              <w:t xml:space="preserve">1,2 </w:t>
            </w:r>
          </w:p>
        </w:tc>
        <w:tc>
          <w:tcPr>
            <w:tcW w:w="469" w:type="pct"/>
            <w:vAlign w:val="bottom"/>
          </w:tcPr>
          <w:p w14:paraId="59B5C6A8" w14:textId="77777777" w:rsidR="00C36A0E" w:rsidRPr="00FC7763" w:rsidRDefault="00C36A0E" w:rsidP="00C36A0E">
            <w:pPr>
              <w:jc w:val="right"/>
              <w:rPr>
                <w:noProof/>
              </w:rPr>
            </w:pPr>
            <w:r w:rsidRPr="00FC7763">
              <w:rPr>
                <w:noProof/>
              </w:rPr>
              <w:t>1,0</w:t>
            </w:r>
          </w:p>
        </w:tc>
        <w:tc>
          <w:tcPr>
            <w:tcW w:w="546" w:type="pct"/>
            <w:vAlign w:val="bottom"/>
          </w:tcPr>
          <w:p w14:paraId="2D930FFF" w14:textId="77777777" w:rsidR="00C36A0E" w:rsidRPr="00FC7763" w:rsidRDefault="00FF696C" w:rsidP="00C36A0E">
            <w:pPr>
              <w:jc w:val="right"/>
              <w:rPr>
                <w:noProof/>
              </w:rPr>
            </w:pPr>
            <w:r>
              <w:rPr>
                <w:noProof/>
              </w:rPr>
              <w:t>1</w:t>
            </w:r>
          </w:p>
        </w:tc>
      </w:tr>
      <w:tr w:rsidR="00C36A0E" w:rsidRPr="00FC7763" w14:paraId="413EEC0E" w14:textId="77777777" w:rsidTr="004D2BFD">
        <w:trPr>
          <w:trHeight w:val="284"/>
        </w:trPr>
        <w:tc>
          <w:tcPr>
            <w:tcW w:w="1907" w:type="pct"/>
            <w:vAlign w:val="bottom"/>
          </w:tcPr>
          <w:p w14:paraId="19F22F63" w14:textId="77777777" w:rsidR="00C36A0E" w:rsidRPr="00FC7763" w:rsidRDefault="00C36A0E" w:rsidP="00C36A0E">
            <w:pPr>
              <w:rPr>
                <w:noProof/>
              </w:rPr>
            </w:pPr>
            <w:r w:rsidRPr="00FC7763">
              <w:rPr>
                <w:noProof/>
              </w:rPr>
              <w:t xml:space="preserve">  Industrifunksjonærer</w:t>
            </w:r>
          </w:p>
        </w:tc>
        <w:tc>
          <w:tcPr>
            <w:tcW w:w="418" w:type="pct"/>
            <w:vAlign w:val="bottom"/>
          </w:tcPr>
          <w:p w14:paraId="7B10A56E" w14:textId="77777777" w:rsidR="00C36A0E" w:rsidRPr="00FC7763" w:rsidRDefault="00C36A0E" w:rsidP="00C36A0E">
            <w:pPr>
              <w:jc w:val="right"/>
              <w:rPr>
                <w:noProof/>
              </w:rPr>
            </w:pPr>
            <w:r w:rsidRPr="00FC7763">
              <w:rPr>
                <w:noProof/>
              </w:rPr>
              <w:t xml:space="preserve">1,9 </w:t>
            </w:r>
          </w:p>
        </w:tc>
        <w:tc>
          <w:tcPr>
            <w:tcW w:w="566" w:type="pct"/>
            <w:vAlign w:val="bottom"/>
          </w:tcPr>
          <w:p w14:paraId="48A75D34" w14:textId="77777777" w:rsidR="00C36A0E" w:rsidRPr="00FC7763" w:rsidRDefault="00C36A0E" w:rsidP="00C36A0E">
            <w:pPr>
              <w:jc w:val="right"/>
              <w:rPr>
                <w:noProof/>
              </w:rPr>
            </w:pPr>
            <w:r w:rsidRPr="00FC7763">
              <w:rPr>
                <w:noProof/>
              </w:rPr>
              <w:t xml:space="preserve">1,8 </w:t>
            </w:r>
          </w:p>
        </w:tc>
        <w:tc>
          <w:tcPr>
            <w:tcW w:w="547" w:type="pct"/>
            <w:vAlign w:val="bottom"/>
          </w:tcPr>
          <w:p w14:paraId="57AF71A0" w14:textId="77777777" w:rsidR="00C36A0E" w:rsidRPr="00FC7763" w:rsidRDefault="00C36A0E" w:rsidP="00C36A0E">
            <w:pPr>
              <w:jc w:val="right"/>
              <w:rPr>
                <w:noProof/>
              </w:rPr>
            </w:pPr>
            <w:r w:rsidRPr="00FC7763">
              <w:rPr>
                <w:noProof/>
              </w:rPr>
              <w:t>2,1</w:t>
            </w:r>
          </w:p>
        </w:tc>
        <w:tc>
          <w:tcPr>
            <w:tcW w:w="547" w:type="pct"/>
            <w:vAlign w:val="bottom"/>
          </w:tcPr>
          <w:p w14:paraId="00A6E9E2" w14:textId="77777777" w:rsidR="00C36A0E" w:rsidRPr="00FC7763" w:rsidRDefault="00C36A0E" w:rsidP="00C36A0E">
            <w:pPr>
              <w:jc w:val="right"/>
              <w:rPr>
                <w:noProof/>
              </w:rPr>
            </w:pPr>
            <w:r w:rsidRPr="00FC7763">
              <w:rPr>
                <w:noProof/>
              </w:rPr>
              <w:t xml:space="preserve">1,4 </w:t>
            </w:r>
          </w:p>
        </w:tc>
        <w:tc>
          <w:tcPr>
            <w:tcW w:w="469" w:type="pct"/>
            <w:vAlign w:val="bottom"/>
          </w:tcPr>
          <w:p w14:paraId="1E674604" w14:textId="77777777" w:rsidR="00C36A0E" w:rsidRPr="00FC7763" w:rsidRDefault="00C36A0E" w:rsidP="00C36A0E">
            <w:pPr>
              <w:jc w:val="right"/>
              <w:rPr>
                <w:noProof/>
              </w:rPr>
            </w:pPr>
            <w:r w:rsidRPr="00FC7763">
              <w:rPr>
                <w:noProof/>
              </w:rPr>
              <w:t xml:space="preserve">1,3 </w:t>
            </w:r>
          </w:p>
        </w:tc>
        <w:tc>
          <w:tcPr>
            <w:tcW w:w="546" w:type="pct"/>
            <w:vAlign w:val="bottom"/>
          </w:tcPr>
          <w:p w14:paraId="7AF5C2CB" w14:textId="77777777" w:rsidR="00C36A0E" w:rsidRPr="00FC7763" w:rsidRDefault="00FF696C" w:rsidP="00C36A0E">
            <w:pPr>
              <w:jc w:val="right"/>
              <w:rPr>
                <w:noProof/>
              </w:rPr>
            </w:pPr>
            <w:r>
              <w:rPr>
                <w:noProof/>
              </w:rPr>
              <w:t>1</w:t>
            </w:r>
          </w:p>
        </w:tc>
      </w:tr>
      <w:tr w:rsidR="00C36A0E" w:rsidRPr="00FC7763" w14:paraId="59441628" w14:textId="77777777" w:rsidTr="004D2BFD">
        <w:trPr>
          <w:trHeight w:val="284"/>
        </w:trPr>
        <w:tc>
          <w:tcPr>
            <w:tcW w:w="1907" w:type="pct"/>
            <w:vAlign w:val="bottom"/>
          </w:tcPr>
          <w:p w14:paraId="25F2B286" w14:textId="77777777" w:rsidR="00C36A0E" w:rsidRPr="00FC7763" w:rsidRDefault="00C36A0E" w:rsidP="00C36A0E">
            <w:pPr>
              <w:rPr>
                <w:noProof/>
              </w:rPr>
            </w:pPr>
            <w:r w:rsidRPr="00FC7763">
              <w:rPr>
                <w:noProof/>
              </w:rPr>
              <w:t>Virke-bedrifter i varehandel</w:t>
            </w:r>
          </w:p>
        </w:tc>
        <w:tc>
          <w:tcPr>
            <w:tcW w:w="418" w:type="pct"/>
            <w:vAlign w:val="bottom"/>
          </w:tcPr>
          <w:p w14:paraId="6AB7858F" w14:textId="77777777" w:rsidR="00C36A0E" w:rsidRPr="00FC7763" w:rsidRDefault="00C36A0E" w:rsidP="00C36A0E">
            <w:pPr>
              <w:jc w:val="right"/>
              <w:rPr>
                <w:noProof/>
              </w:rPr>
            </w:pPr>
            <w:r w:rsidRPr="00FC7763">
              <w:rPr>
                <w:noProof/>
              </w:rPr>
              <w:t>1,2</w:t>
            </w:r>
          </w:p>
        </w:tc>
        <w:tc>
          <w:tcPr>
            <w:tcW w:w="566" w:type="pct"/>
            <w:vAlign w:val="bottom"/>
          </w:tcPr>
          <w:p w14:paraId="1D8BB8B6" w14:textId="77777777" w:rsidR="00C36A0E" w:rsidRPr="00FC7763" w:rsidRDefault="00C36A0E" w:rsidP="00C36A0E">
            <w:pPr>
              <w:jc w:val="right"/>
              <w:rPr>
                <w:noProof/>
              </w:rPr>
            </w:pPr>
            <w:r w:rsidRPr="00FC7763">
              <w:rPr>
                <w:noProof/>
              </w:rPr>
              <w:t>1,0</w:t>
            </w:r>
          </w:p>
        </w:tc>
        <w:tc>
          <w:tcPr>
            <w:tcW w:w="547" w:type="pct"/>
            <w:vAlign w:val="bottom"/>
          </w:tcPr>
          <w:p w14:paraId="1439D7F7" w14:textId="77777777" w:rsidR="00C36A0E" w:rsidRPr="00FC7763" w:rsidRDefault="00C36A0E" w:rsidP="00C36A0E">
            <w:pPr>
              <w:jc w:val="right"/>
              <w:rPr>
                <w:noProof/>
              </w:rPr>
            </w:pPr>
            <w:r w:rsidRPr="00FC7763">
              <w:rPr>
                <w:noProof/>
              </w:rPr>
              <w:t>0,7</w:t>
            </w:r>
          </w:p>
        </w:tc>
        <w:tc>
          <w:tcPr>
            <w:tcW w:w="547" w:type="pct"/>
            <w:vAlign w:val="bottom"/>
          </w:tcPr>
          <w:p w14:paraId="0A1EDAE7" w14:textId="77777777" w:rsidR="00C36A0E" w:rsidRPr="00FC7763" w:rsidRDefault="00C36A0E" w:rsidP="00C36A0E">
            <w:pPr>
              <w:jc w:val="right"/>
              <w:rPr>
                <w:noProof/>
              </w:rPr>
            </w:pPr>
            <w:r w:rsidRPr="00FC7763">
              <w:rPr>
                <w:noProof/>
              </w:rPr>
              <w:t>1,0</w:t>
            </w:r>
          </w:p>
        </w:tc>
        <w:tc>
          <w:tcPr>
            <w:tcW w:w="469" w:type="pct"/>
            <w:vAlign w:val="bottom"/>
          </w:tcPr>
          <w:p w14:paraId="5CC07DEC" w14:textId="77777777" w:rsidR="00C36A0E" w:rsidRPr="00FC7763" w:rsidRDefault="00C36A0E" w:rsidP="00C36A0E">
            <w:pPr>
              <w:jc w:val="right"/>
              <w:rPr>
                <w:noProof/>
              </w:rPr>
            </w:pPr>
            <w:r w:rsidRPr="00FC7763">
              <w:rPr>
                <w:noProof/>
              </w:rPr>
              <w:t>1,0</w:t>
            </w:r>
          </w:p>
        </w:tc>
        <w:tc>
          <w:tcPr>
            <w:tcW w:w="546" w:type="pct"/>
            <w:vAlign w:val="bottom"/>
          </w:tcPr>
          <w:p w14:paraId="5FABB4CD" w14:textId="77777777" w:rsidR="00C36A0E" w:rsidRPr="00FC7763" w:rsidRDefault="00EF56BE" w:rsidP="00C36A0E">
            <w:pPr>
              <w:jc w:val="right"/>
              <w:rPr>
                <w:noProof/>
              </w:rPr>
            </w:pPr>
            <w:r>
              <w:rPr>
                <w:noProof/>
              </w:rPr>
              <w:t>0,7</w:t>
            </w:r>
          </w:p>
        </w:tc>
      </w:tr>
      <w:tr w:rsidR="00C36A0E" w:rsidRPr="00FC7763" w14:paraId="26419BD7" w14:textId="77777777" w:rsidTr="004D2BFD">
        <w:trPr>
          <w:trHeight w:val="284"/>
        </w:trPr>
        <w:tc>
          <w:tcPr>
            <w:tcW w:w="1907" w:type="pct"/>
            <w:vAlign w:val="bottom"/>
          </w:tcPr>
          <w:p w14:paraId="2412D5C6" w14:textId="77777777" w:rsidR="00C36A0E" w:rsidRPr="00FC7763" w:rsidRDefault="00C36A0E" w:rsidP="00C36A0E">
            <w:pPr>
              <w:rPr>
                <w:noProof/>
              </w:rPr>
            </w:pPr>
            <w:r w:rsidRPr="00FC7763">
              <w:rPr>
                <w:noProof/>
              </w:rPr>
              <w:t>Finanstjenester</w:t>
            </w:r>
            <w:r w:rsidRPr="00FC7763">
              <w:rPr>
                <w:sz w:val="22"/>
                <w:szCs w:val="22"/>
                <w:vertAlign w:val="superscript"/>
              </w:rPr>
              <w:t>2</w:t>
            </w:r>
          </w:p>
        </w:tc>
        <w:tc>
          <w:tcPr>
            <w:tcW w:w="418" w:type="pct"/>
            <w:vAlign w:val="bottom"/>
          </w:tcPr>
          <w:p w14:paraId="019FCD39" w14:textId="77777777" w:rsidR="00C36A0E" w:rsidRPr="00FC7763" w:rsidRDefault="00C36A0E" w:rsidP="00C36A0E">
            <w:pPr>
              <w:jc w:val="right"/>
              <w:rPr>
                <w:noProof/>
              </w:rPr>
            </w:pPr>
            <w:r w:rsidRPr="00FC7763">
              <w:rPr>
                <w:noProof/>
              </w:rPr>
              <w:t>1,3</w:t>
            </w:r>
          </w:p>
        </w:tc>
        <w:tc>
          <w:tcPr>
            <w:tcW w:w="566" w:type="pct"/>
            <w:vAlign w:val="bottom"/>
          </w:tcPr>
          <w:p w14:paraId="6A90B156" w14:textId="77777777" w:rsidR="00C36A0E" w:rsidRPr="00FC7763" w:rsidRDefault="00C36A0E" w:rsidP="00C36A0E">
            <w:pPr>
              <w:jc w:val="right"/>
              <w:rPr>
                <w:noProof/>
              </w:rPr>
            </w:pPr>
            <w:r w:rsidRPr="00FC7763">
              <w:rPr>
                <w:noProof/>
              </w:rPr>
              <w:t>1,3</w:t>
            </w:r>
          </w:p>
        </w:tc>
        <w:tc>
          <w:tcPr>
            <w:tcW w:w="547" w:type="pct"/>
            <w:vAlign w:val="bottom"/>
          </w:tcPr>
          <w:p w14:paraId="4BF021D6" w14:textId="77777777" w:rsidR="00C36A0E" w:rsidRPr="00FC7763" w:rsidRDefault="00C36A0E" w:rsidP="00C36A0E">
            <w:pPr>
              <w:jc w:val="right"/>
              <w:rPr>
                <w:noProof/>
              </w:rPr>
            </w:pPr>
            <w:r w:rsidRPr="00FC7763">
              <w:rPr>
                <w:noProof/>
              </w:rPr>
              <w:t>1,4</w:t>
            </w:r>
          </w:p>
        </w:tc>
        <w:tc>
          <w:tcPr>
            <w:tcW w:w="547" w:type="pct"/>
            <w:vAlign w:val="bottom"/>
          </w:tcPr>
          <w:p w14:paraId="564EDBC4" w14:textId="77777777" w:rsidR="00C36A0E" w:rsidRPr="00FC7763" w:rsidRDefault="00C36A0E" w:rsidP="00C36A0E">
            <w:pPr>
              <w:jc w:val="right"/>
              <w:rPr>
                <w:noProof/>
              </w:rPr>
            </w:pPr>
            <w:r w:rsidRPr="00FC7763">
              <w:rPr>
                <w:noProof/>
              </w:rPr>
              <w:t>1,0</w:t>
            </w:r>
          </w:p>
        </w:tc>
        <w:tc>
          <w:tcPr>
            <w:tcW w:w="469" w:type="pct"/>
            <w:vAlign w:val="bottom"/>
          </w:tcPr>
          <w:p w14:paraId="2A51E3EB" w14:textId="77777777" w:rsidR="00C36A0E" w:rsidRPr="00FC7763" w:rsidRDefault="00C36A0E" w:rsidP="00C36A0E">
            <w:pPr>
              <w:jc w:val="right"/>
              <w:rPr>
                <w:noProof/>
              </w:rPr>
            </w:pPr>
            <w:r w:rsidRPr="00FC7763">
              <w:rPr>
                <w:noProof/>
              </w:rPr>
              <w:t>1,2</w:t>
            </w:r>
          </w:p>
        </w:tc>
        <w:tc>
          <w:tcPr>
            <w:tcW w:w="546" w:type="pct"/>
            <w:vAlign w:val="bottom"/>
          </w:tcPr>
          <w:p w14:paraId="22A16F90" w14:textId="77777777" w:rsidR="00C36A0E" w:rsidRPr="00FC7763" w:rsidRDefault="00EF56BE" w:rsidP="00C36A0E">
            <w:pPr>
              <w:jc w:val="right"/>
              <w:rPr>
                <w:noProof/>
              </w:rPr>
            </w:pPr>
            <w:r>
              <w:rPr>
                <w:noProof/>
              </w:rPr>
              <w:t>1,2</w:t>
            </w:r>
          </w:p>
        </w:tc>
      </w:tr>
      <w:tr w:rsidR="00C36A0E" w:rsidRPr="00FC7763" w14:paraId="73361EA1" w14:textId="77777777" w:rsidTr="004D2BFD">
        <w:trPr>
          <w:trHeight w:val="284"/>
        </w:trPr>
        <w:tc>
          <w:tcPr>
            <w:tcW w:w="1907" w:type="pct"/>
            <w:vAlign w:val="bottom"/>
          </w:tcPr>
          <w:p w14:paraId="3E04473F" w14:textId="77777777" w:rsidR="00C36A0E" w:rsidRPr="00FC7763" w:rsidRDefault="00C36A0E" w:rsidP="00C36A0E">
            <w:pPr>
              <w:rPr>
                <w:noProof/>
              </w:rPr>
            </w:pPr>
            <w:r w:rsidRPr="00FC7763">
              <w:rPr>
                <w:noProof/>
              </w:rPr>
              <w:t>Staten</w:t>
            </w:r>
          </w:p>
        </w:tc>
        <w:tc>
          <w:tcPr>
            <w:tcW w:w="418" w:type="pct"/>
            <w:vAlign w:val="bottom"/>
          </w:tcPr>
          <w:p w14:paraId="452E01F2" w14:textId="77777777" w:rsidR="00C36A0E" w:rsidRPr="00FC7763" w:rsidRDefault="00C36A0E" w:rsidP="00C36A0E">
            <w:pPr>
              <w:jc w:val="right"/>
              <w:rPr>
                <w:noProof/>
              </w:rPr>
            </w:pPr>
            <w:r w:rsidRPr="00FC7763">
              <w:rPr>
                <w:noProof/>
              </w:rPr>
              <w:t xml:space="preserve">2,3 </w:t>
            </w:r>
          </w:p>
        </w:tc>
        <w:tc>
          <w:tcPr>
            <w:tcW w:w="566" w:type="pct"/>
            <w:vAlign w:val="bottom"/>
          </w:tcPr>
          <w:p w14:paraId="110D7463" w14:textId="77777777" w:rsidR="00C36A0E" w:rsidRPr="00FC7763" w:rsidRDefault="00C36A0E" w:rsidP="00C36A0E">
            <w:pPr>
              <w:jc w:val="right"/>
              <w:rPr>
                <w:noProof/>
              </w:rPr>
            </w:pPr>
            <w:r w:rsidRPr="00FC7763">
              <w:rPr>
                <w:noProof/>
              </w:rPr>
              <w:t>1,1</w:t>
            </w:r>
          </w:p>
        </w:tc>
        <w:tc>
          <w:tcPr>
            <w:tcW w:w="547" w:type="pct"/>
            <w:vAlign w:val="bottom"/>
          </w:tcPr>
          <w:p w14:paraId="4C36BAC7" w14:textId="77777777" w:rsidR="00C36A0E" w:rsidRPr="00FC7763" w:rsidRDefault="00C36A0E" w:rsidP="00C36A0E">
            <w:pPr>
              <w:jc w:val="right"/>
              <w:rPr>
                <w:noProof/>
              </w:rPr>
            </w:pPr>
            <w:r w:rsidRPr="00FC7763">
              <w:rPr>
                <w:noProof/>
              </w:rPr>
              <w:t>2,2</w:t>
            </w:r>
          </w:p>
        </w:tc>
        <w:tc>
          <w:tcPr>
            <w:tcW w:w="547" w:type="pct"/>
            <w:vAlign w:val="bottom"/>
          </w:tcPr>
          <w:p w14:paraId="6AA842B3" w14:textId="77777777" w:rsidR="00C36A0E" w:rsidRPr="00FC7763" w:rsidRDefault="00C36A0E" w:rsidP="00C36A0E">
            <w:pPr>
              <w:jc w:val="right"/>
              <w:rPr>
                <w:noProof/>
              </w:rPr>
            </w:pPr>
            <w:r w:rsidRPr="00FC7763">
              <w:rPr>
                <w:noProof/>
              </w:rPr>
              <w:t>0,8</w:t>
            </w:r>
          </w:p>
        </w:tc>
        <w:tc>
          <w:tcPr>
            <w:tcW w:w="469" w:type="pct"/>
            <w:vAlign w:val="bottom"/>
          </w:tcPr>
          <w:p w14:paraId="5413C822" w14:textId="336C349B" w:rsidR="00C36A0E" w:rsidRPr="00FC7763" w:rsidRDefault="003B7418" w:rsidP="00C36A0E">
            <w:pPr>
              <w:jc w:val="right"/>
              <w:rPr>
                <w:noProof/>
              </w:rPr>
            </w:pPr>
            <w:r>
              <w:rPr>
                <w:noProof/>
              </w:rPr>
              <w:t>2</w:t>
            </w:r>
          </w:p>
        </w:tc>
        <w:tc>
          <w:tcPr>
            <w:tcW w:w="546" w:type="pct"/>
            <w:vAlign w:val="bottom"/>
          </w:tcPr>
          <w:p w14:paraId="15F1AAE7" w14:textId="7BE46786" w:rsidR="00C36A0E" w:rsidRPr="00FC7763" w:rsidRDefault="00927FE5" w:rsidP="00927FE5">
            <w:pPr>
              <w:jc w:val="right"/>
              <w:rPr>
                <w:noProof/>
              </w:rPr>
            </w:pPr>
            <w:r>
              <w:rPr>
                <w:noProof/>
              </w:rPr>
              <w:t>½</w:t>
            </w:r>
          </w:p>
        </w:tc>
      </w:tr>
      <w:tr w:rsidR="00C36A0E" w:rsidRPr="00FC7763" w14:paraId="11F4B7EF" w14:textId="77777777" w:rsidTr="004D2BFD">
        <w:trPr>
          <w:trHeight w:val="289"/>
        </w:trPr>
        <w:tc>
          <w:tcPr>
            <w:tcW w:w="1907" w:type="pct"/>
            <w:vAlign w:val="bottom"/>
          </w:tcPr>
          <w:p w14:paraId="7E4207F6" w14:textId="77777777" w:rsidR="00C36A0E" w:rsidRPr="00FC7763" w:rsidRDefault="00C36A0E" w:rsidP="00C36A0E">
            <w:pPr>
              <w:rPr>
                <w:noProof/>
              </w:rPr>
            </w:pPr>
            <w:r w:rsidRPr="00FC7763">
              <w:rPr>
                <w:noProof/>
              </w:rPr>
              <w:t>Kommunene i alt</w:t>
            </w:r>
            <w:r w:rsidRPr="00FC7763">
              <w:rPr>
                <w:noProof/>
                <w:vertAlign w:val="superscript"/>
              </w:rPr>
              <w:t xml:space="preserve"> </w:t>
            </w:r>
            <w:r w:rsidRPr="00FC7763">
              <w:rPr>
                <w:noProof/>
              </w:rPr>
              <w:t>:</w:t>
            </w:r>
          </w:p>
        </w:tc>
        <w:tc>
          <w:tcPr>
            <w:tcW w:w="418" w:type="pct"/>
            <w:vAlign w:val="bottom"/>
          </w:tcPr>
          <w:p w14:paraId="463863C6" w14:textId="77777777" w:rsidR="00C36A0E" w:rsidRPr="00FC7763" w:rsidRDefault="00C36A0E" w:rsidP="00C36A0E">
            <w:pPr>
              <w:jc w:val="right"/>
              <w:rPr>
                <w:noProof/>
              </w:rPr>
            </w:pPr>
            <w:r w:rsidRPr="00FC7763">
              <w:rPr>
                <w:noProof/>
              </w:rPr>
              <w:t xml:space="preserve">2,4 </w:t>
            </w:r>
          </w:p>
        </w:tc>
        <w:tc>
          <w:tcPr>
            <w:tcW w:w="566" w:type="pct"/>
            <w:vAlign w:val="bottom"/>
          </w:tcPr>
          <w:p w14:paraId="7C58830F" w14:textId="77777777" w:rsidR="00C36A0E" w:rsidRPr="00FC7763" w:rsidRDefault="00C36A0E" w:rsidP="00C36A0E">
            <w:pPr>
              <w:jc w:val="right"/>
              <w:rPr>
                <w:noProof/>
              </w:rPr>
            </w:pPr>
            <w:r w:rsidRPr="00FC7763">
              <w:rPr>
                <w:noProof/>
              </w:rPr>
              <w:t>0,8</w:t>
            </w:r>
          </w:p>
        </w:tc>
        <w:tc>
          <w:tcPr>
            <w:tcW w:w="547" w:type="pct"/>
            <w:vAlign w:val="bottom"/>
          </w:tcPr>
          <w:p w14:paraId="6AA8D85F" w14:textId="77777777" w:rsidR="00C36A0E" w:rsidRPr="00FC7763" w:rsidRDefault="00C36A0E" w:rsidP="00C36A0E">
            <w:pPr>
              <w:jc w:val="right"/>
              <w:rPr>
                <w:noProof/>
              </w:rPr>
            </w:pPr>
            <w:r w:rsidRPr="00FC7763">
              <w:rPr>
                <w:noProof/>
              </w:rPr>
              <w:t>2,4</w:t>
            </w:r>
          </w:p>
        </w:tc>
        <w:tc>
          <w:tcPr>
            <w:tcW w:w="547" w:type="pct"/>
            <w:vAlign w:val="bottom"/>
          </w:tcPr>
          <w:p w14:paraId="6A81B383" w14:textId="77777777" w:rsidR="00C36A0E" w:rsidRPr="00FC7763" w:rsidRDefault="00C36A0E" w:rsidP="00C36A0E">
            <w:pPr>
              <w:jc w:val="right"/>
              <w:rPr>
                <w:noProof/>
              </w:rPr>
            </w:pPr>
            <w:r w:rsidRPr="00FC7763">
              <w:rPr>
                <w:noProof/>
              </w:rPr>
              <w:t xml:space="preserve">0,5 </w:t>
            </w:r>
          </w:p>
        </w:tc>
        <w:tc>
          <w:tcPr>
            <w:tcW w:w="469" w:type="pct"/>
            <w:vAlign w:val="bottom"/>
          </w:tcPr>
          <w:p w14:paraId="0CD0A43A" w14:textId="77777777" w:rsidR="00C36A0E" w:rsidRPr="00FC7763" w:rsidRDefault="00C36A0E" w:rsidP="00C36A0E">
            <w:pPr>
              <w:jc w:val="right"/>
              <w:rPr>
                <w:noProof/>
              </w:rPr>
            </w:pPr>
            <w:r w:rsidRPr="00FC7763">
              <w:rPr>
                <w:noProof/>
              </w:rPr>
              <w:t>1,8</w:t>
            </w:r>
            <w:r>
              <w:rPr>
                <w:noProof/>
                <w:vertAlign w:val="superscript"/>
              </w:rPr>
              <w:t>5</w:t>
            </w:r>
            <w:r w:rsidRPr="00FC7763">
              <w:rPr>
                <w:noProof/>
              </w:rPr>
              <w:t xml:space="preserve"> </w:t>
            </w:r>
          </w:p>
        </w:tc>
        <w:tc>
          <w:tcPr>
            <w:tcW w:w="546" w:type="pct"/>
            <w:vAlign w:val="bottom"/>
          </w:tcPr>
          <w:p w14:paraId="3B38ED4F" w14:textId="3637AAD8" w:rsidR="00C36A0E" w:rsidRPr="00FC7763" w:rsidRDefault="002B2172" w:rsidP="00C36A0E">
            <w:pPr>
              <w:jc w:val="right"/>
              <w:rPr>
                <w:noProof/>
              </w:rPr>
            </w:pPr>
            <w:r>
              <w:rPr>
                <w:rFonts w:cs="Times"/>
                <w:noProof/>
              </w:rPr>
              <w:t>⅔</w:t>
            </w:r>
          </w:p>
        </w:tc>
      </w:tr>
      <w:tr w:rsidR="00C36A0E" w:rsidRPr="00FC7763" w14:paraId="4776AF2F" w14:textId="77777777" w:rsidTr="004D2BFD">
        <w:trPr>
          <w:trHeight w:val="284"/>
        </w:trPr>
        <w:tc>
          <w:tcPr>
            <w:tcW w:w="1907" w:type="pct"/>
            <w:vAlign w:val="bottom"/>
          </w:tcPr>
          <w:p w14:paraId="74410332" w14:textId="670D3526" w:rsidR="00C36A0E" w:rsidRPr="00FC7763" w:rsidRDefault="00C36A0E" w:rsidP="005E26E3">
            <w:pPr>
              <w:rPr>
                <w:noProof/>
              </w:rPr>
            </w:pPr>
            <w:r w:rsidRPr="00FC7763">
              <w:rPr>
                <w:noProof/>
              </w:rPr>
              <w:t xml:space="preserve">  </w:t>
            </w:r>
            <w:r w:rsidR="005E26E3" w:rsidRPr="00FC7763">
              <w:rPr>
                <w:noProof/>
              </w:rPr>
              <w:t>Undervisnings</w:t>
            </w:r>
            <w:r w:rsidR="005E26E3">
              <w:rPr>
                <w:noProof/>
              </w:rPr>
              <w:t>ansatte</w:t>
            </w:r>
          </w:p>
        </w:tc>
        <w:tc>
          <w:tcPr>
            <w:tcW w:w="418" w:type="pct"/>
            <w:vAlign w:val="bottom"/>
          </w:tcPr>
          <w:p w14:paraId="7D2477EB" w14:textId="77777777" w:rsidR="00C36A0E" w:rsidRPr="00FC7763" w:rsidRDefault="00C36A0E" w:rsidP="00C36A0E">
            <w:pPr>
              <w:jc w:val="right"/>
              <w:rPr>
                <w:noProof/>
              </w:rPr>
            </w:pPr>
            <w:r w:rsidRPr="00FC7763">
              <w:rPr>
                <w:noProof/>
              </w:rPr>
              <w:t xml:space="preserve">2,4 </w:t>
            </w:r>
          </w:p>
        </w:tc>
        <w:tc>
          <w:tcPr>
            <w:tcW w:w="566" w:type="pct"/>
            <w:vAlign w:val="bottom"/>
          </w:tcPr>
          <w:p w14:paraId="7B195BCB" w14:textId="77777777" w:rsidR="00C36A0E" w:rsidRPr="00FC7763" w:rsidRDefault="00C36A0E" w:rsidP="00C36A0E">
            <w:pPr>
              <w:jc w:val="right"/>
              <w:rPr>
                <w:noProof/>
              </w:rPr>
            </w:pPr>
            <w:r w:rsidRPr="00FC7763">
              <w:rPr>
                <w:noProof/>
              </w:rPr>
              <w:t xml:space="preserve">0,7 </w:t>
            </w:r>
          </w:p>
        </w:tc>
        <w:tc>
          <w:tcPr>
            <w:tcW w:w="547" w:type="pct"/>
            <w:vAlign w:val="bottom"/>
          </w:tcPr>
          <w:p w14:paraId="16E36A78" w14:textId="77777777" w:rsidR="00C36A0E" w:rsidRPr="00FC7763" w:rsidRDefault="00C36A0E" w:rsidP="00C36A0E">
            <w:pPr>
              <w:jc w:val="right"/>
              <w:rPr>
                <w:noProof/>
              </w:rPr>
            </w:pPr>
            <w:r w:rsidRPr="00FC7763">
              <w:rPr>
                <w:noProof/>
              </w:rPr>
              <w:t>2,5</w:t>
            </w:r>
          </w:p>
        </w:tc>
        <w:tc>
          <w:tcPr>
            <w:tcW w:w="547" w:type="pct"/>
            <w:vAlign w:val="bottom"/>
          </w:tcPr>
          <w:p w14:paraId="2D782A7A" w14:textId="77777777" w:rsidR="00C36A0E" w:rsidRPr="00FC7763" w:rsidRDefault="00C36A0E" w:rsidP="00C36A0E">
            <w:pPr>
              <w:jc w:val="right"/>
              <w:rPr>
                <w:noProof/>
              </w:rPr>
            </w:pPr>
            <w:r w:rsidRPr="00FC7763">
              <w:rPr>
                <w:noProof/>
              </w:rPr>
              <w:t xml:space="preserve">0,3 </w:t>
            </w:r>
          </w:p>
        </w:tc>
        <w:tc>
          <w:tcPr>
            <w:tcW w:w="469" w:type="pct"/>
            <w:vAlign w:val="bottom"/>
          </w:tcPr>
          <w:p w14:paraId="76025C97" w14:textId="77777777" w:rsidR="00C36A0E" w:rsidRPr="00FC7763" w:rsidRDefault="00C36A0E" w:rsidP="00C36A0E">
            <w:pPr>
              <w:jc w:val="right"/>
              <w:rPr>
                <w:noProof/>
              </w:rPr>
            </w:pPr>
            <w:r w:rsidRPr="00FC7763">
              <w:rPr>
                <w:noProof/>
              </w:rPr>
              <w:t>2,6</w:t>
            </w:r>
            <w:r>
              <w:rPr>
                <w:noProof/>
                <w:vertAlign w:val="superscript"/>
              </w:rPr>
              <w:t>5</w:t>
            </w:r>
            <w:r w:rsidRPr="00FC7763">
              <w:rPr>
                <w:noProof/>
              </w:rPr>
              <w:t xml:space="preserve"> </w:t>
            </w:r>
          </w:p>
        </w:tc>
        <w:tc>
          <w:tcPr>
            <w:tcW w:w="546" w:type="pct"/>
            <w:vAlign w:val="bottom"/>
          </w:tcPr>
          <w:p w14:paraId="53A6F7A1" w14:textId="6DCC9657" w:rsidR="00C36A0E" w:rsidRPr="00FC7763" w:rsidRDefault="002B2172" w:rsidP="00C36A0E">
            <w:pPr>
              <w:jc w:val="right"/>
              <w:rPr>
                <w:noProof/>
              </w:rPr>
            </w:pPr>
            <w:r>
              <w:rPr>
                <w:rFonts w:cs="Times"/>
                <w:noProof/>
              </w:rPr>
              <w:t>⅔</w:t>
            </w:r>
          </w:p>
        </w:tc>
      </w:tr>
      <w:tr w:rsidR="00C36A0E" w:rsidRPr="00FC7763" w14:paraId="712412D4" w14:textId="77777777" w:rsidTr="004D2BFD">
        <w:trPr>
          <w:trHeight w:val="284"/>
        </w:trPr>
        <w:tc>
          <w:tcPr>
            <w:tcW w:w="1907" w:type="pct"/>
            <w:vAlign w:val="bottom"/>
          </w:tcPr>
          <w:p w14:paraId="2F2B73CB" w14:textId="77777777" w:rsidR="00C36A0E" w:rsidRPr="00FC7763" w:rsidRDefault="00C36A0E" w:rsidP="00C36A0E">
            <w:pPr>
              <w:rPr>
                <w:noProof/>
              </w:rPr>
            </w:pPr>
            <w:r w:rsidRPr="00FC7763">
              <w:rPr>
                <w:noProof/>
              </w:rPr>
              <w:t xml:space="preserve">  Øvrige ansatte</w:t>
            </w:r>
          </w:p>
        </w:tc>
        <w:tc>
          <w:tcPr>
            <w:tcW w:w="418" w:type="pct"/>
            <w:vAlign w:val="bottom"/>
          </w:tcPr>
          <w:p w14:paraId="310604CB" w14:textId="77777777" w:rsidR="00C36A0E" w:rsidRPr="00FC7763" w:rsidRDefault="00C36A0E" w:rsidP="00C36A0E">
            <w:pPr>
              <w:jc w:val="right"/>
              <w:rPr>
                <w:noProof/>
              </w:rPr>
            </w:pPr>
            <w:r w:rsidRPr="00FC7763">
              <w:rPr>
                <w:noProof/>
              </w:rPr>
              <w:t>2,4</w:t>
            </w:r>
          </w:p>
        </w:tc>
        <w:tc>
          <w:tcPr>
            <w:tcW w:w="566" w:type="pct"/>
            <w:vAlign w:val="bottom"/>
          </w:tcPr>
          <w:p w14:paraId="4EF2B59D" w14:textId="77777777" w:rsidR="00C36A0E" w:rsidRPr="00FC7763" w:rsidRDefault="00C36A0E" w:rsidP="00C36A0E">
            <w:pPr>
              <w:jc w:val="right"/>
              <w:rPr>
                <w:noProof/>
              </w:rPr>
            </w:pPr>
            <w:r w:rsidRPr="00FC7763">
              <w:rPr>
                <w:noProof/>
              </w:rPr>
              <w:t>0,8</w:t>
            </w:r>
          </w:p>
        </w:tc>
        <w:tc>
          <w:tcPr>
            <w:tcW w:w="547" w:type="pct"/>
            <w:vAlign w:val="bottom"/>
          </w:tcPr>
          <w:p w14:paraId="502E2805" w14:textId="77777777" w:rsidR="00C36A0E" w:rsidRPr="00FC7763" w:rsidRDefault="00C36A0E" w:rsidP="00C36A0E">
            <w:pPr>
              <w:jc w:val="right"/>
              <w:rPr>
                <w:noProof/>
              </w:rPr>
            </w:pPr>
            <w:r w:rsidRPr="00FC7763">
              <w:rPr>
                <w:noProof/>
              </w:rPr>
              <w:t>2,3</w:t>
            </w:r>
          </w:p>
        </w:tc>
        <w:tc>
          <w:tcPr>
            <w:tcW w:w="547" w:type="pct"/>
            <w:vAlign w:val="bottom"/>
          </w:tcPr>
          <w:p w14:paraId="15C21572" w14:textId="77777777" w:rsidR="00C36A0E" w:rsidRPr="00FC7763" w:rsidRDefault="00C36A0E" w:rsidP="00C36A0E">
            <w:pPr>
              <w:jc w:val="right"/>
              <w:rPr>
                <w:noProof/>
              </w:rPr>
            </w:pPr>
            <w:r w:rsidRPr="00FC7763">
              <w:rPr>
                <w:noProof/>
              </w:rPr>
              <w:t xml:space="preserve">0,6 </w:t>
            </w:r>
          </w:p>
        </w:tc>
        <w:tc>
          <w:tcPr>
            <w:tcW w:w="469" w:type="pct"/>
            <w:vAlign w:val="bottom"/>
          </w:tcPr>
          <w:p w14:paraId="51BD70C8" w14:textId="77777777" w:rsidR="00C36A0E" w:rsidRPr="00FC7763" w:rsidRDefault="00C36A0E" w:rsidP="00C36A0E">
            <w:pPr>
              <w:jc w:val="right"/>
              <w:rPr>
                <w:noProof/>
              </w:rPr>
            </w:pPr>
            <w:r w:rsidRPr="00FC7763">
              <w:rPr>
                <w:noProof/>
              </w:rPr>
              <w:t>1,6</w:t>
            </w:r>
            <w:r>
              <w:rPr>
                <w:noProof/>
                <w:vertAlign w:val="superscript"/>
              </w:rPr>
              <w:t>5</w:t>
            </w:r>
          </w:p>
        </w:tc>
        <w:tc>
          <w:tcPr>
            <w:tcW w:w="546" w:type="pct"/>
            <w:vAlign w:val="bottom"/>
          </w:tcPr>
          <w:p w14:paraId="6B9C959A" w14:textId="794E996D" w:rsidR="00C36A0E" w:rsidRPr="00FC7763" w:rsidRDefault="002B2172" w:rsidP="00C36A0E">
            <w:pPr>
              <w:jc w:val="right"/>
              <w:rPr>
                <w:noProof/>
              </w:rPr>
            </w:pPr>
            <w:r>
              <w:rPr>
                <w:rFonts w:cs="Times"/>
                <w:noProof/>
              </w:rPr>
              <w:t>⅔</w:t>
            </w:r>
          </w:p>
        </w:tc>
      </w:tr>
      <w:tr w:rsidR="00C36A0E" w:rsidRPr="00FC7763" w14:paraId="499D0701" w14:textId="77777777" w:rsidTr="004D2BFD">
        <w:trPr>
          <w:trHeight w:val="284"/>
        </w:trPr>
        <w:tc>
          <w:tcPr>
            <w:tcW w:w="1907" w:type="pct"/>
            <w:vAlign w:val="bottom"/>
          </w:tcPr>
          <w:p w14:paraId="0FF33FC9" w14:textId="77777777" w:rsidR="00C36A0E" w:rsidRPr="00FC7763" w:rsidRDefault="00C36A0E" w:rsidP="00C36A0E">
            <w:pPr>
              <w:rPr>
                <w:noProof/>
              </w:rPr>
            </w:pPr>
            <w:r w:rsidRPr="00FC7763">
              <w:rPr>
                <w:noProof/>
              </w:rPr>
              <w:t>Ansatte i Spekter-bedrifter:</w:t>
            </w:r>
          </w:p>
        </w:tc>
        <w:tc>
          <w:tcPr>
            <w:tcW w:w="418" w:type="pct"/>
            <w:vAlign w:val="bottom"/>
          </w:tcPr>
          <w:p w14:paraId="01E2C3BC" w14:textId="77777777" w:rsidR="00C36A0E" w:rsidRPr="00FC7763" w:rsidRDefault="00C36A0E" w:rsidP="00C36A0E">
            <w:pPr>
              <w:jc w:val="right"/>
              <w:rPr>
                <w:noProof/>
              </w:rPr>
            </w:pPr>
          </w:p>
        </w:tc>
        <w:tc>
          <w:tcPr>
            <w:tcW w:w="566" w:type="pct"/>
            <w:vAlign w:val="bottom"/>
          </w:tcPr>
          <w:p w14:paraId="737BC23C" w14:textId="77777777" w:rsidR="00C36A0E" w:rsidRPr="00FC7763" w:rsidRDefault="00C36A0E" w:rsidP="00C36A0E">
            <w:pPr>
              <w:jc w:val="right"/>
              <w:rPr>
                <w:noProof/>
              </w:rPr>
            </w:pPr>
          </w:p>
        </w:tc>
        <w:tc>
          <w:tcPr>
            <w:tcW w:w="547" w:type="pct"/>
            <w:vAlign w:val="bottom"/>
          </w:tcPr>
          <w:p w14:paraId="6DD767D1" w14:textId="77777777" w:rsidR="00C36A0E" w:rsidRPr="00FC7763" w:rsidRDefault="00C36A0E" w:rsidP="00C36A0E">
            <w:pPr>
              <w:jc w:val="right"/>
              <w:rPr>
                <w:noProof/>
              </w:rPr>
            </w:pPr>
          </w:p>
        </w:tc>
        <w:tc>
          <w:tcPr>
            <w:tcW w:w="547" w:type="pct"/>
            <w:vAlign w:val="bottom"/>
          </w:tcPr>
          <w:p w14:paraId="7BB69C9B" w14:textId="77777777" w:rsidR="00C36A0E" w:rsidRPr="00FC7763" w:rsidRDefault="00C36A0E" w:rsidP="00C36A0E">
            <w:pPr>
              <w:jc w:val="right"/>
              <w:rPr>
                <w:noProof/>
              </w:rPr>
            </w:pPr>
          </w:p>
        </w:tc>
        <w:tc>
          <w:tcPr>
            <w:tcW w:w="469" w:type="pct"/>
            <w:vAlign w:val="bottom"/>
          </w:tcPr>
          <w:p w14:paraId="27A2E4DD" w14:textId="77777777" w:rsidR="00C36A0E" w:rsidRPr="00FC7763" w:rsidRDefault="00C36A0E" w:rsidP="00C36A0E">
            <w:pPr>
              <w:jc w:val="right"/>
              <w:rPr>
                <w:noProof/>
              </w:rPr>
            </w:pPr>
          </w:p>
        </w:tc>
        <w:tc>
          <w:tcPr>
            <w:tcW w:w="546" w:type="pct"/>
            <w:vAlign w:val="bottom"/>
          </w:tcPr>
          <w:p w14:paraId="2F32C42F" w14:textId="77777777" w:rsidR="00C36A0E" w:rsidRPr="00FC7763" w:rsidRDefault="00C36A0E" w:rsidP="00C36A0E">
            <w:pPr>
              <w:jc w:val="right"/>
              <w:rPr>
                <w:noProof/>
              </w:rPr>
            </w:pPr>
          </w:p>
        </w:tc>
      </w:tr>
      <w:tr w:rsidR="00C36A0E" w:rsidRPr="00FC7763" w14:paraId="077C55EA" w14:textId="77777777" w:rsidTr="004D2BFD">
        <w:trPr>
          <w:trHeight w:val="284"/>
        </w:trPr>
        <w:tc>
          <w:tcPr>
            <w:tcW w:w="1907" w:type="pct"/>
            <w:tcBorders>
              <w:bottom w:val="nil"/>
            </w:tcBorders>
            <w:vAlign w:val="bottom"/>
          </w:tcPr>
          <w:p w14:paraId="28229997" w14:textId="77777777" w:rsidR="00C36A0E" w:rsidRPr="00FC7763" w:rsidRDefault="00C36A0E" w:rsidP="00C36A0E">
            <w:pPr>
              <w:rPr>
                <w:noProof/>
              </w:rPr>
            </w:pPr>
            <w:r w:rsidRPr="00FC7763">
              <w:rPr>
                <w:noProof/>
              </w:rPr>
              <w:t xml:space="preserve">  Helseforetakene</w:t>
            </w:r>
            <w:r>
              <w:rPr>
                <w:noProof/>
                <w:vertAlign w:val="superscript"/>
              </w:rPr>
              <w:t>3</w:t>
            </w:r>
          </w:p>
        </w:tc>
        <w:tc>
          <w:tcPr>
            <w:tcW w:w="418" w:type="pct"/>
            <w:tcBorders>
              <w:bottom w:val="nil"/>
            </w:tcBorders>
            <w:vAlign w:val="bottom"/>
          </w:tcPr>
          <w:p w14:paraId="526B02BB" w14:textId="77777777" w:rsidR="00C36A0E" w:rsidRPr="00FC7763" w:rsidRDefault="00C36A0E" w:rsidP="00C36A0E">
            <w:pPr>
              <w:jc w:val="right"/>
              <w:rPr>
                <w:noProof/>
              </w:rPr>
            </w:pPr>
            <w:r w:rsidRPr="00FC7763">
              <w:rPr>
                <w:noProof/>
              </w:rPr>
              <w:t xml:space="preserve">1,9 </w:t>
            </w:r>
          </w:p>
        </w:tc>
        <w:tc>
          <w:tcPr>
            <w:tcW w:w="566" w:type="pct"/>
            <w:tcBorders>
              <w:bottom w:val="nil"/>
            </w:tcBorders>
            <w:vAlign w:val="bottom"/>
          </w:tcPr>
          <w:p w14:paraId="6E54A7B5" w14:textId="77777777" w:rsidR="00C36A0E" w:rsidRPr="00FC7763" w:rsidRDefault="00C36A0E" w:rsidP="00C36A0E">
            <w:pPr>
              <w:jc w:val="right"/>
              <w:rPr>
                <w:noProof/>
              </w:rPr>
            </w:pPr>
            <w:r w:rsidRPr="00FC7763">
              <w:rPr>
                <w:noProof/>
              </w:rPr>
              <w:t>0,8</w:t>
            </w:r>
          </w:p>
        </w:tc>
        <w:tc>
          <w:tcPr>
            <w:tcW w:w="547" w:type="pct"/>
            <w:tcBorders>
              <w:bottom w:val="nil"/>
            </w:tcBorders>
            <w:vAlign w:val="bottom"/>
          </w:tcPr>
          <w:p w14:paraId="40B2BA8C" w14:textId="77777777" w:rsidR="00C36A0E" w:rsidRPr="00FC7763" w:rsidRDefault="00C36A0E" w:rsidP="00C36A0E">
            <w:pPr>
              <w:jc w:val="right"/>
              <w:rPr>
                <w:noProof/>
              </w:rPr>
            </w:pPr>
            <w:r w:rsidRPr="00FC7763">
              <w:rPr>
                <w:noProof/>
              </w:rPr>
              <w:t>1,0</w:t>
            </w:r>
          </w:p>
        </w:tc>
        <w:tc>
          <w:tcPr>
            <w:tcW w:w="547" w:type="pct"/>
            <w:tcBorders>
              <w:bottom w:val="nil"/>
            </w:tcBorders>
            <w:vAlign w:val="bottom"/>
          </w:tcPr>
          <w:p w14:paraId="23AB6700" w14:textId="77777777" w:rsidR="00C36A0E" w:rsidRPr="00FC7763" w:rsidRDefault="00C36A0E" w:rsidP="00C36A0E">
            <w:pPr>
              <w:jc w:val="right"/>
              <w:rPr>
                <w:noProof/>
              </w:rPr>
            </w:pPr>
            <w:r w:rsidRPr="00FC7763">
              <w:rPr>
                <w:noProof/>
              </w:rPr>
              <w:t>0,7</w:t>
            </w:r>
          </w:p>
        </w:tc>
        <w:tc>
          <w:tcPr>
            <w:tcW w:w="469" w:type="pct"/>
            <w:tcBorders>
              <w:bottom w:val="nil"/>
            </w:tcBorders>
            <w:vAlign w:val="bottom"/>
          </w:tcPr>
          <w:p w14:paraId="019B3230" w14:textId="77777777" w:rsidR="00C36A0E" w:rsidRPr="00FC7763" w:rsidRDefault="00C36A0E" w:rsidP="00C36A0E">
            <w:pPr>
              <w:jc w:val="right"/>
              <w:rPr>
                <w:noProof/>
              </w:rPr>
            </w:pPr>
            <w:r w:rsidRPr="00FC7763">
              <w:rPr>
                <w:noProof/>
              </w:rPr>
              <w:t>1,2</w:t>
            </w:r>
          </w:p>
        </w:tc>
        <w:tc>
          <w:tcPr>
            <w:tcW w:w="546" w:type="pct"/>
            <w:tcBorders>
              <w:bottom w:val="nil"/>
            </w:tcBorders>
            <w:vAlign w:val="bottom"/>
          </w:tcPr>
          <w:p w14:paraId="39E0FDFB" w14:textId="77777777" w:rsidR="00C36A0E" w:rsidRPr="00FC7763" w:rsidRDefault="00FF696C" w:rsidP="00C36A0E">
            <w:pPr>
              <w:jc w:val="right"/>
              <w:rPr>
                <w:noProof/>
              </w:rPr>
            </w:pPr>
            <w:r>
              <w:rPr>
                <w:noProof/>
              </w:rPr>
              <w:t xml:space="preserve">½ </w:t>
            </w:r>
          </w:p>
        </w:tc>
      </w:tr>
      <w:tr w:rsidR="00C36A0E" w:rsidRPr="00FC7763" w14:paraId="33BF62E0" w14:textId="77777777" w:rsidTr="004D2BFD">
        <w:trPr>
          <w:trHeight w:val="284"/>
        </w:trPr>
        <w:tc>
          <w:tcPr>
            <w:tcW w:w="1907" w:type="pct"/>
            <w:tcBorders>
              <w:bottom w:val="single" w:sz="4" w:space="0" w:color="auto"/>
            </w:tcBorders>
            <w:vAlign w:val="bottom"/>
          </w:tcPr>
          <w:p w14:paraId="47F894C6" w14:textId="77777777" w:rsidR="00C36A0E" w:rsidRPr="00FC7763" w:rsidRDefault="00C36A0E" w:rsidP="00C36A0E">
            <w:pPr>
              <w:rPr>
                <w:noProof/>
              </w:rPr>
            </w:pPr>
            <w:r w:rsidRPr="00FC7763">
              <w:rPr>
                <w:noProof/>
              </w:rPr>
              <w:t xml:space="preserve">  Øvrige bedrifter</w:t>
            </w:r>
          </w:p>
        </w:tc>
        <w:tc>
          <w:tcPr>
            <w:tcW w:w="418" w:type="pct"/>
            <w:tcBorders>
              <w:bottom w:val="single" w:sz="4" w:space="0" w:color="auto"/>
            </w:tcBorders>
            <w:vAlign w:val="bottom"/>
          </w:tcPr>
          <w:p w14:paraId="2670548F" w14:textId="77777777" w:rsidR="00C36A0E" w:rsidRPr="00FC7763" w:rsidRDefault="00C36A0E" w:rsidP="00C36A0E">
            <w:pPr>
              <w:jc w:val="right"/>
              <w:rPr>
                <w:noProof/>
              </w:rPr>
            </w:pPr>
            <w:r w:rsidRPr="00FC7763">
              <w:rPr>
                <w:noProof/>
              </w:rPr>
              <w:t>0,9</w:t>
            </w:r>
          </w:p>
        </w:tc>
        <w:tc>
          <w:tcPr>
            <w:tcW w:w="566" w:type="pct"/>
            <w:tcBorders>
              <w:bottom w:val="single" w:sz="4" w:space="0" w:color="auto"/>
            </w:tcBorders>
            <w:vAlign w:val="bottom"/>
          </w:tcPr>
          <w:p w14:paraId="3E68C99E" w14:textId="77777777" w:rsidR="00C36A0E" w:rsidRPr="00FC7763" w:rsidRDefault="00C36A0E" w:rsidP="00C36A0E">
            <w:pPr>
              <w:jc w:val="right"/>
              <w:rPr>
                <w:noProof/>
              </w:rPr>
            </w:pPr>
            <w:r w:rsidRPr="00FC7763">
              <w:rPr>
                <w:noProof/>
              </w:rPr>
              <w:t>1,2</w:t>
            </w:r>
          </w:p>
        </w:tc>
        <w:tc>
          <w:tcPr>
            <w:tcW w:w="547" w:type="pct"/>
            <w:tcBorders>
              <w:bottom w:val="single" w:sz="4" w:space="0" w:color="auto"/>
            </w:tcBorders>
            <w:vAlign w:val="bottom"/>
          </w:tcPr>
          <w:p w14:paraId="550B79CE" w14:textId="77777777" w:rsidR="00C36A0E" w:rsidRPr="00FC7763" w:rsidRDefault="00C36A0E" w:rsidP="00C36A0E">
            <w:pPr>
              <w:jc w:val="right"/>
              <w:rPr>
                <w:noProof/>
              </w:rPr>
            </w:pPr>
            <w:r w:rsidRPr="00FC7763">
              <w:rPr>
                <w:noProof/>
              </w:rPr>
              <w:t>1,2</w:t>
            </w:r>
          </w:p>
        </w:tc>
        <w:tc>
          <w:tcPr>
            <w:tcW w:w="547" w:type="pct"/>
            <w:tcBorders>
              <w:bottom w:val="single" w:sz="4" w:space="0" w:color="auto"/>
            </w:tcBorders>
            <w:vAlign w:val="bottom"/>
          </w:tcPr>
          <w:p w14:paraId="344CB1A6" w14:textId="77777777" w:rsidR="00C36A0E" w:rsidRPr="00FC7763" w:rsidRDefault="00C36A0E" w:rsidP="00C36A0E">
            <w:pPr>
              <w:jc w:val="right"/>
              <w:rPr>
                <w:noProof/>
              </w:rPr>
            </w:pPr>
            <w:r w:rsidRPr="00FC7763">
              <w:rPr>
                <w:noProof/>
              </w:rPr>
              <w:t xml:space="preserve">0,8 </w:t>
            </w:r>
          </w:p>
        </w:tc>
        <w:tc>
          <w:tcPr>
            <w:tcW w:w="469" w:type="pct"/>
            <w:tcBorders>
              <w:bottom w:val="single" w:sz="4" w:space="0" w:color="auto"/>
            </w:tcBorders>
            <w:vAlign w:val="bottom"/>
          </w:tcPr>
          <w:p w14:paraId="7D47F0A9" w14:textId="77777777" w:rsidR="00C36A0E" w:rsidRPr="00FC7763" w:rsidRDefault="00C36A0E" w:rsidP="00C36A0E">
            <w:pPr>
              <w:jc w:val="right"/>
              <w:rPr>
                <w:noProof/>
              </w:rPr>
            </w:pPr>
            <w:r w:rsidRPr="00FC7763">
              <w:rPr>
                <w:noProof/>
              </w:rPr>
              <w:t xml:space="preserve">0,8 </w:t>
            </w:r>
          </w:p>
        </w:tc>
        <w:tc>
          <w:tcPr>
            <w:tcW w:w="546" w:type="pct"/>
            <w:tcBorders>
              <w:bottom w:val="single" w:sz="4" w:space="0" w:color="auto"/>
            </w:tcBorders>
            <w:vAlign w:val="bottom"/>
          </w:tcPr>
          <w:p w14:paraId="4BE88EE9" w14:textId="77777777" w:rsidR="00C36A0E" w:rsidRPr="00FC7763" w:rsidRDefault="00FF696C" w:rsidP="00C36A0E">
            <w:pPr>
              <w:jc w:val="right"/>
              <w:rPr>
                <w:noProof/>
              </w:rPr>
            </w:pPr>
            <w:r>
              <w:rPr>
                <w:noProof/>
              </w:rPr>
              <w:t xml:space="preserve">½ </w:t>
            </w:r>
          </w:p>
        </w:tc>
      </w:tr>
      <w:tr w:rsidR="00C36A0E" w:rsidRPr="00FC7763" w14:paraId="6C0B896A" w14:textId="77777777" w:rsidTr="004D2BFD">
        <w:trPr>
          <w:trHeight w:val="269"/>
        </w:trPr>
        <w:tc>
          <w:tcPr>
            <w:tcW w:w="1907" w:type="pct"/>
            <w:tcBorders>
              <w:top w:val="single" w:sz="4" w:space="0" w:color="auto"/>
            </w:tcBorders>
            <w:vAlign w:val="bottom"/>
          </w:tcPr>
          <w:p w14:paraId="50410A3C" w14:textId="77777777" w:rsidR="00C36A0E" w:rsidRPr="00FC7763" w:rsidRDefault="00C36A0E" w:rsidP="00C36A0E">
            <w:pPr>
              <w:rPr>
                <w:noProof/>
              </w:rPr>
            </w:pPr>
            <w:r w:rsidRPr="00FC7763">
              <w:rPr>
                <w:noProof/>
              </w:rPr>
              <w:t>Veid gjennomsnitt</w:t>
            </w:r>
            <w:r>
              <w:rPr>
                <w:noProof/>
                <w:vertAlign w:val="superscript"/>
              </w:rPr>
              <w:t>4</w:t>
            </w:r>
          </w:p>
        </w:tc>
        <w:tc>
          <w:tcPr>
            <w:tcW w:w="418" w:type="pct"/>
            <w:tcBorders>
              <w:top w:val="single" w:sz="4" w:space="0" w:color="auto"/>
            </w:tcBorders>
            <w:vAlign w:val="bottom"/>
          </w:tcPr>
          <w:p w14:paraId="6A3277FC" w14:textId="77777777" w:rsidR="00C36A0E" w:rsidRPr="00FC7763" w:rsidRDefault="00C36A0E" w:rsidP="00C36A0E">
            <w:pPr>
              <w:jc w:val="right"/>
              <w:rPr>
                <w:noProof/>
              </w:rPr>
            </w:pPr>
            <w:r w:rsidRPr="00FC7763">
              <w:rPr>
                <w:noProof/>
              </w:rPr>
              <w:t>1,9</w:t>
            </w:r>
          </w:p>
        </w:tc>
        <w:tc>
          <w:tcPr>
            <w:tcW w:w="566" w:type="pct"/>
            <w:tcBorders>
              <w:top w:val="single" w:sz="4" w:space="0" w:color="auto"/>
            </w:tcBorders>
            <w:vAlign w:val="bottom"/>
          </w:tcPr>
          <w:p w14:paraId="2D31F6BC" w14:textId="77777777" w:rsidR="00C36A0E" w:rsidRPr="00FC7763" w:rsidRDefault="00C36A0E" w:rsidP="00C36A0E">
            <w:pPr>
              <w:jc w:val="right"/>
              <w:rPr>
                <w:noProof/>
              </w:rPr>
            </w:pPr>
            <w:r w:rsidRPr="00FC7763">
              <w:rPr>
                <w:noProof/>
              </w:rPr>
              <w:t xml:space="preserve">1,0 </w:t>
            </w:r>
          </w:p>
        </w:tc>
        <w:tc>
          <w:tcPr>
            <w:tcW w:w="547" w:type="pct"/>
            <w:tcBorders>
              <w:top w:val="single" w:sz="4" w:space="0" w:color="auto"/>
            </w:tcBorders>
            <w:vAlign w:val="bottom"/>
          </w:tcPr>
          <w:p w14:paraId="70D34B42" w14:textId="77777777" w:rsidR="00C36A0E" w:rsidRPr="00FC7763" w:rsidRDefault="00C36A0E" w:rsidP="00C36A0E">
            <w:pPr>
              <w:jc w:val="right"/>
              <w:rPr>
                <w:noProof/>
              </w:rPr>
            </w:pPr>
            <w:r w:rsidRPr="00FC7763">
              <w:rPr>
                <w:noProof/>
              </w:rPr>
              <w:t>1,8</w:t>
            </w:r>
          </w:p>
        </w:tc>
        <w:tc>
          <w:tcPr>
            <w:tcW w:w="547" w:type="pct"/>
            <w:tcBorders>
              <w:top w:val="single" w:sz="4" w:space="0" w:color="auto"/>
            </w:tcBorders>
            <w:vAlign w:val="bottom"/>
          </w:tcPr>
          <w:p w14:paraId="74FB0F52" w14:textId="77777777" w:rsidR="00C36A0E" w:rsidRPr="00FC7763" w:rsidRDefault="00C36A0E" w:rsidP="00C36A0E">
            <w:pPr>
              <w:jc w:val="right"/>
              <w:rPr>
                <w:noProof/>
              </w:rPr>
            </w:pPr>
            <w:r w:rsidRPr="00FC7763">
              <w:rPr>
                <w:noProof/>
              </w:rPr>
              <w:t xml:space="preserve">0,8 </w:t>
            </w:r>
          </w:p>
        </w:tc>
        <w:tc>
          <w:tcPr>
            <w:tcW w:w="469" w:type="pct"/>
            <w:tcBorders>
              <w:top w:val="single" w:sz="4" w:space="0" w:color="auto"/>
            </w:tcBorders>
            <w:vAlign w:val="bottom"/>
          </w:tcPr>
          <w:p w14:paraId="5E87AFCD" w14:textId="77777777" w:rsidR="00C36A0E" w:rsidRPr="00FC7763" w:rsidRDefault="00C36A0E" w:rsidP="00C36A0E">
            <w:pPr>
              <w:jc w:val="right"/>
              <w:rPr>
                <w:noProof/>
              </w:rPr>
            </w:pPr>
            <w:r w:rsidRPr="00FC7763">
              <w:t>1,4</w:t>
            </w:r>
          </w:p>
        </w:tc>
        <w:tc>
          <w:tcPr>
            <w:tcW w:w="546" w:type="pct"/>
            <w:tcBorders>
              <w:top w:val="single" w:sz="4" w:space="0" w:color="auto"/>
            </w:tcBorders>
            <w:vAlign w:val="bottom"/>
          </w:tcPr>
          <w:p w14:paraId="167044C9" w14:textId="592AFD2B" w:rsidR="00C36A0E" w:rsidRPr="00FC7763" w:rsidRDefault="001875C2" w:rsidP="00C36A0E">
            <w:pPr>
              <w:jc w:val="right"/>
              <w:rPr>
                <w:noProof/>
              </w:rPr>
            </w:pPr>
            <w:r>
              <w:rPr>
                <w:noProof/>
              </w:rPr>
              <w:t xml:space="preserve">0,7 </w:t>
            </w:r>
          </w:p>
        </w:tc>
      </w:tr>
    </w:tbl>
    <w:p w14:paraId="11A3A2C5" w14:textId="3928A954" w:rsidR="00FC7763" w:rsidRPr="00FC7763" w:rsidRDefault="00FC7763" w:rsidP="008643D6">
      <w:pPr>
        <w:pStyle w:val="tabell-noter"/>
        <w:numPr>
          <w:ilvl w:val="0"/>
          <w:numId w:val="80"/>
        </w:numPr>
        <w:tabs>
          <w:tab w:val="clear" w:pos="284"/>
        </w:tabs>
        <w:spacing w:before="0" w:after="0"/>
        <w:ind w:left="142" w:hanging="142"/>
      </w:pPr>
      <w:r w:rsidRPr="00FC7763">
        <w:t>Arbeidere og funksjonærer i industrien er vektet sammen med lønnssummen i hver gruppe som vekt.</w:t>
      </w:r>
    </w:p>
    <w:p w14:paraId="4DA80B66" w14:textId="32E6E10E" w:rsidR="00FC7763" w:rsidRPr="00FC7763" w:rsidRDefault="00FC7763" w:rsidP="008643D6">
      <w:pPr>
        <w:pStyle w:val="tabell-noter"/>
        <w:numPr>
          <w:ilvl w:val="0"/>
          <w:numId w:val="80"/>
        </w:numPr>
        <w:tabs>
          <w:tab w:val="clear" w:pos="284"/>
        </w:tabs>
        <w:spacing w:before="0" w:after="0"/>
        <w:ind w:left="142" w:hanging="142"/>
      </w:pPr>
      <w:r w:rsidRPr="00FC7763">
        <w:t xml:space="preserve">Forretnings- og sparebanker og forsikring som omfatter noen flere grupper enn forhandlingsområdet bank og forsikring. </w:t>
      </w:r>
    </w:p>
    <w:p w14:paraId="42CA2BDC" w14:textId="71C88A73" w:rsidR="00FC7763" w:rsidRPr="00BF6BBE" w:rsidRDefault="00FC7763" w:rsidP="008643D6">
      <w:pPr>
        <w:pStyle w:val="tabell-noter"/>
        <w:numPr>
          <w:ilvl w:val="0"/>
          <w:numId w:val="80"/>
        </w:numPr>
        <w:tabs>
          <w:tab w:val="clear" w:pos="284"/>
        </w:tabs>
        <w:spacing w:before="0" w:after="0"/>
        <w:ind w:left="142" w:hanging="142"/>
      </w:pPr>
      <w:r w:rsidRPr="00BF6BBE">
        <w:t>Beregnet på Spekters tallmateriale til 2010. Fra 2011 beregnet på tallmateriale fra Statistisk sentralbyrå.</w:t>
      </w:r>
    </w:p>
    <w:p w14:paraId="61016EA9" w14:textId="48BCC098" w:rsidR="00FC7763" w:rsidRPr="00FC7763" w:rsidRDefault="00FC7763" w:rsidP="008643D6">
      <w:pPr>
        <w:pStyle w:val="tabell-noter"/>
        <w:numPr>
          <w:ilvl w:val="0"/>
          <w:numId w:val="80"/>
        </w:numPr>
        <w:tabs>
          <w:tab w:val="clear" w:pos="284"/>
        </w:tabs>
        <w:spacing w:before="0" w:after="0"/>
        <w:ind w:left="142" w:hanging="142"/>
      </w:pPr>
      <w:r w:rsidRPr="00FC7763">
        <w:t xml:space="preserve">Overhenget er et gjennomsnitt for </w:t>
      </w:r>
      <w:r w:rsidRPr="00BF6BBE">
        <w:t>ansatte i virksomheter som er medlemmer av arbeidsgiverorganisasjoner og ansatte i offentlig forvaltning inklusive helseforetakene. Antall årsverk i hver gruppe er brukt som vekter.</w:t>
      </w:r>
    </w:p>
    <w:p w14:paraId="0EFF3E23" w14:textId="75D979A1" w:rsidR="00FC7763" w:rsidRPr="00FC7763" w:rsidRDefault="00FC7763" w:rsidP="008643D6">
      <w:pPr>
        <w:pStyle w:val="tabell-noter"/>
        <w:numPr>
          <w:ilvl w:val="0"/>
          <w:numId w:val="80"/>
        </w:numPr>
        <w:tabs>
          <w:tab w:val="clear" w:pos="284"/>
        </w:tabs>
        <w:spacing w:before="0" w:after="0"/>
        <w:ind w:left="142" w:hanging="142"/>
      </w:pPr>
      <w:r w:rsidRPr="00BF6BBE">
        <w:t xml:space="preserve">For </w:t>
      </w:r>
      <w:r w:rsidRPr="00927FE5">
        <w:t xml:space="preserve">ansatte i konflikt i 2014 ble virkningstidspunkter forskjøvet. Dette trakk overhenget til 2015 opp med 0,2 prosentpoeng for hele kommunesektoren og med 0,9 prosentpoeng for </w:t>
      </w:r>
      <w:r w:rsidR="005E26E3" w:rsidRPr="00927FE5">
        <w:t>undervisnings</w:t>
      </w:r>
      <w:r w:rsidR="005E26E3">
        <w:t>ansatte</w:t>
      </w:r>
      <w:r w:rsidRPr="00927FE5">
        <w:t xml:space="preserve">. </w:t>
      </w:r>
      <w:r w:rsidRPr="00FC7763">
        <w:t xml:space="preserve">For </w:t>
      </w:r>
      <w:r w:rsidRPr="00927FE5">
        <w:t>øvrige ansatte i kommunesektoren ble overhenget ikke påvirket</w:t>
      </w:r>
      <w:r w:rsidRPr="00FC7763">
        <w:rPr>
          <w:rFonts w:ascii="Times New Roman" w:hAnsi="Times New Roman"/>
        </w:rPr>
        <w:t>.</w:t>
      </w:r>
    </w:p>
    <w:p w14:paraId="70FF780A" w14:textId="77777777" w:rsidR="00276C35" w:rsidRPr="00511515" w:rsidRDefault="00FC7763" w:rsidP="00BF6BBE">
      <w:pPr>
        <w:spacing w:before="120"/>
        <w:rPr>
          <w:sz w:val="20"/>
        </w:rPr>
      </w:pPr>
      <w:r w:rsidRPr="00511515">
        <w:rPr>
          <w:sz w:val="20"/>
        </w:rPr>
        <w:t>Kilde: Beregningsutvalget.</w:t>
      </w:r>
    </w:p>
    <w:p w14:paraId="13AD01BC" w14:textId="77777777" w:rsidR="00FF2BA7" w:rsidRDefault="00FF2BA7">
      <w:pPr>
        <w:spacing w:after="0"/>
      </w:pPr>
      <w:r>
        <w:br w:type="page"/>
      </w:r>
    </w:p>
    <w:p w14:paraId="6F284490" w14:textId="239EED34" w:rsidR="00FF2BA7" w:rsidRDefault="00FF2BA7" w:rsidP="00FF2BA7">
      <w:pPr>
        <w:pStyle w:val="Overskrift2"/>
      </w:pPr>
      <w:bookmarkStart w:id="128" w:name="_Toc225769704"/>
      <w:bookmarkStart w:id="129" w:name="_Toc225769830"/>
      <w:bookmarkStart w:id="130" w:name="_Toc226010295"/>
      <w:bookmarkStart w:id="131" w:name="_Toc286073358"/>
      <w:bookmarkStart w:id="132" w:name="_Toc286074005"/>
      <w:bookmarkStart w:id="133" w:name="_Toc286075002"/>
      <w:bookmarkStart w:id="134" w:name="_Toc286075251"/>
      <w:bookmarkStart w:id="135" w:name="_Toc289722986"/>
      <w:bookmarkStart w:id="136" w:name="_Toc296427216"/>
      <w:bookmarkStart w:id="137" w:name="_Toc380506131"/>
      <w:bookmarkStart w:id="138" w:name="_Toc422226825"/>
      <w:bookmarkStart w:id="139" w:name="_Toc443998962"/>
      <w:r w:rsidRPr="00E15C9E">
        <w:t>Lønnsutviklingen for ledere</w:t>
      </w:r>
      <w:bookmarkEnd w:id="128"/>
      <w:bookmarkEnd w:id="129"/>
      <w:bookmarkEnd w:id="130"/>
      <w:bookmarkEnd w:id="131"/>
      <w:bookmarkEnd w:id="132"/>
      <w:bookmarkEnd w:id="133"/>
      <w:bookmarkEnd w:id="134"/>
      <w:bookmarkEnd w:id="135"/>
      <w:bookmarkEnd w:id="136"/>
      <w:bookmarkEnd w:id="137"/>
      <w:bookmarkEnd w:id="138"/>
      <w:bookmarkEnd w:id="139"/>
    </w:p>
    <w:p w14:paraId="1AE5AD04" w14:textId="10FAA2AA" w:rsidR="009B551F" w:rsidRDefault="009B551F" w:rsidP="009B551F">
      <w:r>
        <w:t>Lønnsutviklingen for ledere kommer utvalget tilbake til i rapporten i slutten av mars.</w:t>
      </w:r>
    </w:p>
    <w:p w14:paraId="08C32B24" w14:textId="77777777" w:rsidR="00E32778" w:rsidRPr="005949C1" w:rsidRDefault="00E32778" w:rsidP="00E32778">
      <w:pPr>
        <w:pStyle w:val="Overskrift2"/>
      </w:pPr>
      <w:bookmarkStart w:id="140" w:name="_Toc351913441"/>
      <w:bookmarkStart w:id="141" w:name="_Toc380506135"/>
      <w:bookmarkStart w:id="142" w:name="_Toc411849461"/>
      <w:bookmarkStart w:id="143" w:name="_Toc443998963"/>
      <w:r w:rsidRPr="005949C1">
        <w:t>Lønnsutviklingen for kvinner og menn</w:t>
      </w:r>
      <w:bookmarkEnd w:id="140"/>
      <w:bookmarkEnd w:id="141"/>
      <w:bookmarkEnd w:id="142"/>
      <w:bookmarkEnd w:id="143"/>
      <w:r w:rsidRPr="005949C1">
        <w:t xml:space="preserve"> </w:t>
      </w:r>
    </w:p>
    <w:p w14:paraId="425ABCCD" w14:textId="77777777" w:rsidR="00E32778" w:rsidRDefault="00E32778" w:rsidP="00E32778">
      <w:bookmarkStart w:id="144" w:name="_Toc351913442"/>
      <w:bookmarkStart w:id="145" w:name="_Toc286073364"/>
      <w:bookmarkStart w:id="146" w:name="_Toc286074007"/>
      <w:bookmarkStart w:id="147" w:name="_Toc286075008"/>
      <w:bookmarkStart w:id="148" w:name="_Toc286075257"/>
      <w:bookmarkStart w:id="149" w:name="_Toc286076977"/>
      <w:bookmarkStart w:id="150" w:name="_Toc320820679"/>
      <w:r>
        <w:t>Lønnsutviklingen for kvinner og menn kommer utvalget tilbake til i rapporten i slutten av mars.</w:t>
      </w:r>
    </w:p>
    <w:p w14:paraId="2E09CB35" w14:textId="77777777" w:rsidR="00E32778" w:rsidRPr="006101A1" w:rsidRDefault="00E32778" w:rsidP="00E32778">
      <w:pPr>
        <w:pStyle w:val="Overskrift2"/>
      </w:pPr>
      <w:bookmarkStart w:id="151" w:name="_Toc380506136"/>
      <w:bookmarkStart w:id="152" w:name="_Toc411849462"/>
      <w:bookmarkStart w:id="153" w:name="_Toc443998964"/>
      <w:r w:rsidRPr="00F306CD">
        <w:t>Lønnsutviklingen etter</w:t>
      </w:r>
      <w:r>
        <w:t xml:space="preserve"> utdanning</w:t>
      </w:r>
      <w:bookmarkEnd w:id="144"/>
      <w:bookmarkEnd w:id="151"/>
      <w:bookmarkEnd w:id="152"/>
      <w:bookmarkEnd w:id="153"/>
      <w:r>
        <w:t xml:space="preserve"> </w:t>
      </w:r>
    </w:p>
    <w:p w14:paraId="48C575B6" w14:textId="77777777" w:rsidR="00E32778" w:rsidRDefault="00E32778" w:rsidP="00E32778">
      <w:bookmarkStart w:id="154" w:name="_Toc351913443"/>
      <w:r>
        <w:t>Lønnsutviklingen for lønnstakere etter utdanning kommer utvalget tilbake til i rapporten i slutten av mars.</w:t>
      </w:r>
    </w:p>
    <w:p w14:paraId="5A41AF91" w14:textId="77777777" w:rsidR="00E32778" w:rsidRDefault="00E32778" w:rsidP="00E32778">
      <w:pPr>
        <w:pStyle w:val="Overskrift2"/>
      </w:pPr>
      <w:bookmarkStart w:id="155" w:name="_Toc380506137"/>
      <w:bookmarkStart w:id="156" w:name="_Toc411849463"/>
      <w:bookmarkStart w:id="157" w:name="_Toc443998965"/>
      <w:r w:rsidRPr="000D2EA1">
        <w:t>Lønnsutviklingen for deltidsansatte</w:t>
      </w:r>
      <w:bookmarkEnd w:id="145"/>
      <w:bookmarkEnd w:id="146"/>
      <w:bookmarkEnd w:id="147"/>
      <w:bookmarkEnd w:id="148"/>
      <w:bookmarkEnd w:id="149"/>
      <w:bookmarkEnd w:id="150"/>
      <w:bookmarkEnd w:id="154"/>
      <w:bookmarkEnd w:id="155"/>
      <w:bookmarkEnd w:id="156"/>
      <w:bookmarkEnd w:id="157"/>
    </w:p>
    <w:p w14:paraId="24F92F76" w14:textId="77777777" w:rsidR="00E32778" w:rsidRDefault="00E32778" w:rsidP="00E32778">
      <w:r>
        <w:t>Lønnsutviklingen for deltidsansatte kommer utvalget tilbake til i rapporten i slutten av mars.</w:t>
      </w:r>
    </w:p>
    <w:p w14:paraId="069E76EC" w14:textId="77777777" w:rsidR="00E32778" w:rsidRPr="000D2EA1" w:rsidRDefault="00E32778" w:rsidP="00E32778">
      <w:pPr>
        <w:pStyle w:val="Overskrift2"/>
        <w:rPr>
          <w:rStyle w:val="Overskrift21"/>
          <w:b/>
        </w:rPr>
      </w:pPr>
      <w:bookmarkStart w:id="158" w:name="_Toc286076978"/>
      <w:bookmarkStart w:id="159" w:name="_Toc320820680"/>
      <w:bookmarkStart w:id="160" w:name="_Toc351913444"/>
      <w:bookmarkStart w:id="161" w:name="_Toc380506138"/>
      <w:bookmarkStart w:id="162" w:name="_Toc411849464"/>
      <w:bookmarkStart w:id="163" w:name="_Toc443998966"/>
      <w:r w:rsidRPr="000D2EA1">
        <w:rPr>
          <w:rStyle w:val="Overskrift21"/>
          <w:b/>
        </w:rPr>
        <w:t xml:space="preserve">Lønnsfordelingen før skatt for lønnstakere </w:t>
      </w:r>
      <w:r>
        <w:rPr>
          <w:rStyle w:val="Overskrift21"/>
          <w:b/>
        </w:rPr>
        <w:t>200</w:t>
      </w:r>
      <w:r w:rsidR="002920AC">
        <w:rPr>
          <w:rStyle w:val="Overskrift21"/>
          <w:b/>
        </w:rPr>
        <w:t>6</w:t>
      </w:r>
      <w:r w:rsidRPr="000D2EA1">
        <w:rPr>
          <w:rStyle w:val="Overskrift21"/>
          <w:b/>
        </w:rPr>
        <w:t>-201</w:t>
      </w:r>
      <w:bookmarkEnd w:id="158"/>
      <w:bookmarkEnd w:id="159"/>
      <w:bookmarkEnd w:id="160"/>
      <w:bookmarkEnd w:id="161"/>
      <w:bookmarkEnd w:id="162"/>
      <w:r w:rsidR="002920AC">
        <w:rPr>
          <w:rStyle w:val="Overskrift21"/>
          <w:b/>
        </w:rPr>
        <w:t>5</w:t>
      </w:r>
      <w:bookmarkEnd w:id="163"/>
    </w:p>
    <w:p w14:paraId="554F56AC" w14:textId="22FEA3A8" w:rsidR="00276C35" w:rsidRDefault="00E32778" w:rsidP="00276C35">
      <w:r>
        <w:t>Tall for lønnsfordelingen blant lønnstakere fram til 201</w:t>
      </w:r>
      <w:r w:rsidR="002920AC">
        <w:t>5</w:t>
      </w:r>
      <w:r>
        <w:t xml:space="preserve"> kommer utvalget tilbake til i rapporten i slutten av mars.</w:t>
      </w:r>
    </w:p>
    <w:p w14:paraId="60F7D913" w14:textId="77777777" w:rsidR="000A6853" w:rsidRDefault="000A6853">
      <w:pPr>
        <w:spacing w:after="0"/>
        <w:rPr>
          <w:rFonts w:ascii="Arial" w:eastAsia="Times New Roman" w:hAnsi="Arial" w:cstheme="minorBidi"/>
          <w:b/>
          <w:kern w:val="28"/>
          <w:sz w:val="32"/>
          <w:szCs w:val="22"/>
        </w:rPr>
      </w:pPr>
      <w:r>
        <w:br w:type="page"/>
      </w:r>
    </w:p>
    <w:p w14:paraId="711AE426" w14:textId="7612EFCE" w:rsidR="00AC48AF" w:rsidRDefault="00AC48AF" w:rsidP="00AC48AF">
      <w:pPr>
        <w:jc w:val="center"/>
        <w:rPr>
          <w:rFonts w:asciiTheme="majorHAnsi" w:hAnsiTheme="majorHAnsi"/>
          <w:sz w:val="52"/>
          <w:szCs w:val="52"/>
        </w:rPr>
      </w:pPr>
      <w:r w:rsidRPr="00B12041">
        <w:rPr>
          <w:rFonts w:asciiTheme="majorHAnsi" w:hAnsiTheme="majorHAnsi"/>
          <w:sz w:val="52"/>
          <w:szCs w:val="52"/>
        </w:rPr>
        <w:t xml:space="preserve">Kapittel </w:t>
      </w:r>
      <w:r>
        <w:rPr>
          <w:rFonts w:asciiTheme="majorHAnsi" w:hAnsiTheme="majorHAnsi"/>
          <w:sz w:val="52"/>
          <w:szCs w:val="52"/>
        </w:rPr>
        <w:t>2</w:t>
      </w:r>
    </w:p>
    <w:p w14:paraId="1DBA8944" w14:textId="77777777" w:rsidR="0037143F" w:rsidRPr="0037143F" w:rsidRDefault="0037143F" w:rsidP="00AC48AF">
      <w:pPr>
        <w:jc w:val="center"/>
        <w:rPr>
          <w:rFonts w:asciiTheme="majorHAnsi" w:hAnsiTheme="majorHAnsi"/>
          <w:sz w:val="32"/>
          <w:szCs w:val="32"/>
        </w:rPr>
      </w:pPr>
    </w:p>
    <w:p w14:paraId="355DE489" w14:textId="423AB328" w:rsidR="000A6853" w:rsidRPr="009B31A4" w:rsidRDefault="000A6853" w:rsidP="000A6853">
      <w:pPr>
        <w:pStyle w:val="Overskrift1"/>
        <w:jc w:val="center"/>
      </w:pPr>
      <w:bookmarkStart w:id="164" w:name="_Toc443998967"/>
      <w:r w:rsidRPr="009B31A4">
        <w:t>Konsumprisutviklingen i Norge</w:t>
      </w:r>
      <w:bookmarkEnd w:id="164"/>
    </w:p>
    <w:p w14:paraId="3EE47146" w14:textId="77777777" w:rsidR="000A6853" w:rsidRDefault="000A6853" w:rsidP="004779A9">
      <w:pPr>
        <w:pStyle w:val="Liste"/>
        <w:numPr>
          <w:ilvl w:val="0"/>
          <w:numId w:val="26"/>
        </w:numPr>
        <w:spacing w:before="60"/>
        <w:ind w:left="714" w:hanging="357"/>
        <w:contextualSpacing w:val="0"/>
      </w:pPr>
      <w:r>
        <w:t xml:space="preserve">Beregningsutvalget anslår at konsumprisindeksen (KPI) som årsgjennomsnitt vil øke med om lag 2½ prosent i 2016. I 2015 var veksten 2,1 prosent. </w:t>
      </w:r>
    </w:p>
    <w:p w14:paraId="42D7EAA2" w14:textId="77777777" w:rsidR="000A6853" w:rsidRDefault="000A6853" w:rsidP="004779A9">
      <w:pPr>
        <w:pStyle w:val="Liste"/>
        <w:numPr>
          <w:ilvl w:val="0"/>
          <w:numId w:val="26"/>
        </w:numPr>
        <w:spacing w:before="60"/>
        <w:ind w:left="714" w:hanging="357"/>
        <w:contextualSpacing w:val="0"/>
      </w:pPr>
      <w:r w:rsidRPr="00C83549">
        <w:t xml:space="preserve">Den underliggende prisveksten, målt ved </w:t>
      </w:r>
      <w:r>
        <w:t xml:space="preserve">endringer i </w:t>
      </w:r>
      <w:r w:rsidRPr="00C83549">
        <w:t>konsumprisindeksen justert for avgiftsendringer og uten energivarer</w:t>
      </w:r>
      <w:r>
        <w:t xml:space="preserve"> (KPI-JAE), endte på 2,7 prosent i 2015 mot 2,4</w:t>
      </w:r>
      <w:r w:rsidRPr="00C83549">
        <w:t xml:space="preserve"> prosent året før</w:t>
      </w:r>
      <w:r>
        <w:t>. Veksten i KPI-JAE har tatt seg jevnt opp de siste fem årene.</w:t>
      </w:r>
    </w:p>
    <w:p w14:paraId="7361F555" w14:textId="77777777" w:rsidR="000A6853" w:rsidRDefault="000A6853" w:rsidP="004779A9">
      <w:pPr>
        <w:pStyle w:val="Liste"/>
        <w:numPr>
          <w:ilvl w:val="0"/>
          <w:numId w:val="26"/>
        </w:numPr>
        <w:spacing w:before="60"/>
        <w:ind w:left="714" w:hanging="357"/>
        <w:contextualSpacing w:val="0"/>
      </w:pPr>
      <w:r w:rsidRPr="00C83549">
        <w:t xml:space="preserve">Oppgangen i den underliggende prisveksten kan i stor grad føres tilbake </w:t>
      </w:r>
      <w:r>
        <w:t xml:space="preserve">til svekkelsen av norske kroner. Fall i prisene på elektrisitet og drivstoff bidro til at årsveksten i KPI i fjor endte lavere enn årsveksten i KPI-JAE. </w:t>
      </w:r>
    </w:p>
    <w:p w14:paraId="0724AD58" w14:textId="77777777" w:rsidR="000A6853" w:rsidRPr="00837466" w:rsidRDefault="000A6853" w:rsidP="004779A9">
      <w:pPr>
        <w:pStyle w:val="Liste"/>
        <w:numPr>
          <w:ilvl w:val="0"/>
          <w:numId w:val="26"/>
        </w:numPr>
        <w:spacing w:before="60"/>
        <w:ind w:left="714" w:hanging="357"/>
        <w:contextualSpacing w:val="0"/>
      </w:pPr>
      <w:r w:rsidRPr="00B668BA">
        <w:t xml:space="preserve">Tolvmånedersveksten i KPI-JAE </w:t>
      </w:r>
      <w:r>
        <w:t xml:space="preserve">steg </w:t>
      </w:r>
      <w:r w:rsidRPr="00B668BA">
        <w:t>fra 2</w:t>
      </w:r>
      <w:r>
        <w:t>,4 prosent</w:t>
      </w:r>
      <w:r w:rsidRPr="00B668BA">
        <w:t xml:space="preserve"> i </w:t>
      </w:r>
      <w:r>
        <w:t>januar i fjor</w:t>
      </w:r>
      <w:r w:rsidRPr="00B668BA">
        <w:t xml:space="preserve"> til 3</w:t>
      </w:r>
      <w:r>
        <w:t>,0</w:t>
      </w:r>
      <w:r w:rsidRPr="00B668BA">
        <w:t xml:space="preserve"> prosent </w:t>
      </w:r>
      <w:r>
        <w:t xml:space="preserve">i desember. </w:t>
      </w:r>
      <w:r w:rsidRPr="00B668BA">
        <w:t>I samme periode steg tolvmånedersveksten i prisene på importerte konsumvarer fra 1</w:t>
      </w:r>
      <w:r>
        <w:t>,3 prosent til 3,9</w:t>
      </w:r>
      <w:r w:rsidRPr="00B668BA">
        <w:t xml:space="preserve"> prosent. </w:t>
      </w:r>
      <w:r>
        <w:t xml:space="preserve">Prisveksten på importerte konsumvarer tok seg videre opp til 4,6 prosent i januar 2016. </w:t>
      </w:r>
      <w:r w:rsidRPr="00B668BA">
        <w:t>Utviklingen</w:t>
      </w:r>
      <w:r>
        <w:t xml:space="preserve"> må ses i sammenheng med svekkelsen av norske kroner gjennom de siste tre årene. </w:t>
      </w:r>
      <w:r w:rsidRPr="00C83549">
        <w:t>Valutakursutvi</w:t>
      </w:r>
      <w:r>
        <w:t>klingen har også bidratt til å trekke opp</w:t>
      </w:r>
      <w:r w:rsidRPr="00C83549">
        <w:t xml:space="preserve"> prisvekst</w:t>
      </w:r>
      <w:r>
        <w:t>en</w:t>
      </w:r>
      <w:r w:rsidRPr="00C83549">
        <w:t xml:space="preserve"> for norskproduserte varer og tjenester fordi det brukes importert produktinnsats i produksjonen. </w:t>
      </w:r>
      <w:bookmarkStart w:id="165" w:name="_Toc411849466"/>
    </w:p>
    <w:p w14:paraId="0F62C014" w14:textId="1BE58AC5" w:rsidR="000A6853" w:rsidRPr="00C808DB" w:rsidRDefault="000A6853" w:rsidP="000A6853">
      <w:pPr>
        <w:pStyle w:val="Overskrift2"/>
      </w:pPr>
      <w:bookmarkStart w:id="166" w:name="_Toc443998968"/>
      <w:r w:rsidRPr="00C808DB">
        <w:t>Prisutviklingen i senere år</w:t>
      </w:r>
      <w:bookmarkEnd w:id="165"/>
      <w:bookmarkEnd w:id="166"/>
      <w:r>
        <w:t xml:space="preserve"> </w:t>
      </w:r>
    </w:p>
    <w:p w14:paraId="5A6F7A4F" w14:textId="77777777" w:rsidR="000A6853" w:rsidRPr="00C83549" w:rsidRDefault="000A6853" w:rsidP="000A6853">
      <w:pPr>
        <w:pStyle w:val="Overskrift3"/>
      </w:pPr>
      <w:bookmarkStart w:id="167" w:name="_Toc411849467"/>
      <w:bookmarkStart w:id="168" w:name="_Toc443998969"/>
      <w:r w:rsidRPr="00C83549">
        <w:t>Hovedlinjer i prisutviklingen</w:t>
      </w:r>
      <w:bookmarkEnd w:id="167"/>
      <w:bookmarkEnd w:id="168"/>
    </w:p>
    <w:p w14:paraId="01B407A3" w14:textId="77777777" w:rsidR="000A6853" w:rsidRPr="00C83549" w:rsidRDefault="000A6853" w:rsidP="000A6853">
      <w:pPr>
        <w:rPr>
          <w:rFonts w:ascii="Times New Roman" w:hAnsi="Times New Roman"/>
        </w:rPr>
      </w:pPr>
      <w:r w:rsidRPr="00C83549">
        <w:rPr>
          <w:rFonts w:ascii="Times New Roman" w:hAnsi="Times New Roman"/>
        </w:rPr>
        <w:t>Konsu</w:t>
      </w:r>
      <w:r>
        <w:rPr>
          <w:rFonts w:ascii="Times New Roman" w:hAnsi="Times New Roman"/>
        </w:rPr>
        <w:t>mprisindeksen (KPI) økte med 2,1 prosent fra 2014 til 2015 etter en oppgang på 2,0 prosent fra 2013 til 2014</w:t>
      </w:r>
      <w:r w:rsidRPr="00C83549">
        <w:rPr>
          <w:rFonts w:ascii="Times New Roman" w:hAnsi="Times New Roman"/>
        </w:rPr>
        <w:t xml:space="preserve">. Den underliggende prisveksten, målt ved </w:t>
      </w:r>
      <w:r>
        <w:rPr>
          <w:rFonts w:ascii="Times New Roman" w:hAnsi="Times New Roman"/>
        </w:rPr>
        <w:t xml:space="preserve">endringer i </w:t>
      </w:r>
      <w:r w:rsidRPr="00C83549">
        <w:rPr>
          <w:rFonts w:ascii="Times New Roman" w:hAnsi="Times New Roman"/>
        </w:rPr>
        <w:t>konsumprisindeksen justert for avgiftsendringer og uten energivarer</w:t>
      </w:r>
      <w:r>
        <w:rPr>
          <w:rFonts w:ascii="Times New Roman" w:hAnsi="Times New Roman"/>
        </w:rPr>
        <w:t xml:space="preserve"> (KPI-JAE), endte på 2,7 prosent i 2015 mot 2,4</w:t>
      </w:r>
      <w:r w:rsidRPr="00C83549">
        <w:rPr>
          <w:rFonts w:ascii="Times New Roman" w:hAnsi="Times New Roman"/>
        </w:rPr>
        <w:t xml:space="preserve"> prosent året før</w:t>
      </w:r>
      <w:r>
        <w:rPr>
          <w:rFonts w:ascii="Times New Roman" w:hAnsi="Times New Roman"/>
        </w:rPr>
        <w:t xml:space="preserve">. Årsveksten i KPI-JAE i 2015 er den høyeste årsveksten i de 15 årene den har vært publisert. </w:t>
      </w:r>
      <w:r w:rsidRPr="00C83549">
        <w:rPr>
          <w:rFonts w:ascii="Times New Roman" w:hAnsi="Times New Roman"/>
        </w:rPr>
        <w:t xml:space="preserve">Oppgangen i den underliggende prisveksten kan i stor grad føres tilbake </w:t>
      </w:r>
      <w:r>
        <w:rPr>
          <w:rFonts w:ascii="Times New Roman" w:hAnsi="Times New Roman"/>
        </w:rPr>
        <w:t xml:space="preserve">til svekkelsen av norske kroner. Fall i prisene på elektrisitet og drivstoff bidro til at årsveksten i KPI i fjor endte lavere enn årsveksten i KPI-JAE. </w:t>
      </w:r>
    </w:p>
    <w:p w14:paraId="7295B102" w14:textId="4F004889" w:rsidR="00805C43" w:rsidRDefault="000A6853" w:rsidP="000A6853">
      <w:pPr>
        <w:rPr>
          <w:rFonts w:ascii="Times New Roman" w:hAnsi="Times New Roman"/>
        </w:rPr>
      </w:pPr>
      <w:r>
        <w:rPr>
          <w:rFonts w:ascii="Times New Roman" w:hAnsi="Times New Roman"/>
        </w:rPr>
        <w:t xml:space="preserve">Veksten i KPI-JAE har tatt seg jevnt opp de siste fem årene, fra 0,9 prosent i 2011 til 2,7 prosent i 2015. Veksten i KPI har ikke hatt en like entydig utvikling ettersom utviklingen i energiprisene har vekslet mellom å bidra positivt og negativt til den samlede prisveksten. </w:t>
      </w:r>
      <w:r w:rsidRPr="00C83549">
        <w:rPr>
          <w:rFonts w:ascii="Times New Roman" w:hAnsi="Times New Roman"/>
        </w:rPr>
        <w:t>Den laveste veksten i KPI de siste fem åren</w:t>
      </w:r>
      <w:r>
        <w:rPr>
          <w:rFonts w:ascii="Times New Roman" w:hAnsi="Times New Roman"/>
        </w:rPr>
        <w:t xml:space="preserve">e var i 2012 med en vekst på </w:t>
      </w:r>
      <w:r w:rsidRPr="00C83549">
        <w:rPr>
          <w:rFonts w:ascii="Times New Roman" w:hAnsi="Times New Roman"/>
        </w:rPr>
        <w:t>0,8 prose</w:t>
      </w:r>
      <w:r>
        <w:rPr>
          <w:rFonts w:ascii="Times New Roman" w:hAnsi="Times New Roman"/>
        </w:rPr>
        <w:t>nt, mens den høyeste var i 2013 og 2015 med en vekst på 2,1</w:t>
      </w:r>
      <w:r w:rsidRPr="00C83549">
        <w:rPr>
          <w:rFonts w:ascii="Times New Roman" w:hAnsi="Times New Roman"/>
        </w:rPr>
        <w:t xml:space="preserve"> prosent.</w:t>
      </w:r>
      <w:r>
        <w:rPr>
          <w:rFonts w:ascii="Times New Roman" w:hAnsi="Times New Roman"/>
        </w:rPr>
        <w:t xml:space="preserve"> Virkningen av avgiftsendringer ut over inflasjonsjustering kan leses av i tabell 2.1 ved å se på forskjellen mellom KPI og KPI-JA. I 2015 vokste avgiftene i takt med inflasjonen, etter å ha bidratt til å trekke KPI-veksten ned med 0,1 prosentpoeng i 2014. I januar 2016 bidro avgiftsendringene til å trekke den samlede prisveksten opp med 0,1 prosentpoeng.</w:t>
      </w:r>
    </w:p>
    <w:p w14:paraId="58EB7CF2" w14:textId="77777777" w:rsidR="00805C43" w:rsidRDefault="00805C43">
      <w:pPr>
        <w:spacing w:after="0"/>
        <w:rPr>
          <w:rFonts w:ascii="Times New Roman" w:hAnsi="Times New Roman"/>
        </w:rPr>
      </w:pPr>
      <w:r>
        <w:rPr>
          <w:rFonts w:ascii="Times New Roman" w:hAnsi="Times New Roman"/>
        </w:rPr>
        <w:br w:type="page"/>
      </w:r>
    </w:p>
    <w:p w14:paraId="70B07D15" w14:textId="77777777" w:rsidR="000A6853" w:rsidRPr="00892AA0" w:rsidRDefault="000A6853" w:rsidP="00805C43">
      <w:pPr>
        <w:pStyle w:val="tabell-tittel"/>
        <w:spacing w:before="120" w:after="0"/>
      </w:pPr>
      <w:r w:rsidRPr="00892AA0">
        <w:t>Konsumprisindeksen</w:t>
      </w:r>
    </w:p>
    <w:tbl>
      <w:tblPr>
        <w:tblW w:w="4802" w:type="pct"/>
        <w:tblLayout w:type="fixed"/>
        <w:tblCellMar>
          <w:left w:w="70" w:type="dxa"/>
          <w:right w:w="70" w:type="dxa"/>
        </w:tblCellMar>
        <w:tblLook w:val="00A0" w:firstRow="1" w:lastRow="0" w:firstColumn="1" w:lastColumn="0" w:noHBand="0" w:noVBand="0"/>
      </w:tblPr>
      <w:tblGrid>
        <w:gridCol w:w="4255"/>
        <w:gridCol w:w="779"/>
        <w:gridCol w:w="610"/>
        <w:gridCol w:w="610"/>
        <w:gridCol w:w="723"/>
        <w:gridCol w:w="610"/>
        <w:gridCol w:w="1124"/>
      </w:tblGrid>
      <w:tr w:rsidR="000A6853" w:rsidRPr="009C4AEB" w14:paraId="7679EA3C" w14:textId="77777777" w:rsidTr="000A6853">
        <w:trPr>
          <w:trHeight w:val="539"/>
        </w:trPr>
        <w:tc>
          <w:tcPr>
            <w:tcW w:w="2443" w:type="pct"/>
            <w:tcBorders>
              <w:top w:val="single" w:sz="4" w:space="0" w:color="auto"/>
            </w:tcBorders>
            <w:vAlign w:val="center"/>
          </w:tcPr>
          <w:p w14:paraId="3DBB94D3" w14:textId="77777777" w:rsidR="000A6853" w:rsidRPr="00C83549" w:rsidRDefault="000A6853" w:rsidP="000A6853">
            <w:pPr>
              <w:rPr>
                <w:rFonts w:ascii="Times New Roman" w:hAnsi="Times New Roman"/>
              </w:rPr>
            </w:pPr>
          </w:p>
        </w:tc>
        <w:tc>
          <w:tcPr>
            <w:tcW w:w="2557" w:type="pct"/>
            <w:gridSpan w:val="6"/>
            <w:tcBorders>
              <w:top w:val="single" w:sz="4" w:space="0" w:color="auto"/>
            </w:tcBorders>
            <w:noWrap/>
            <w:vAlign w:val="center"/>
            <w:hideMark/>
          </w:tcPr>
          <w:p w14:paraId="604948C7" w14:textId="77777777" w:rsidR="000A6853" w:rsidRPr="009C4AEB" w:rsidRDefault="000A6853" w:rsidP="000A6853">
            <w:pPr>
              <w:spacing w:after="0"/>
              <w:jc w:val="center"/>
              <w:rPr>
                <w:rFonts w:ascii="Times New Roman" w:hAnsi="Times New Roman"/>
                <w:sz w:val="23"/>
                <w:szCs w:val="23"/>
              </w:rPr>
            </w:pPr>
            <w:r w:rsidRPr="009C4AEB">
              <w:rPr>
                <w:rFonts w:ascii="Times New Roman" w:hAnsi="Times New Roman"/>
                <w:sz w:val="23"/>
                <w:szCs w:val="23"/>
              </w:rPr>
              <w:t>Endring i prosent fra samme periode året før</w:t>
            </w:r>
          </w:p>
        </w:tc>
      </w:tr>
      <w:tr w:rsidR="000A6853" w:rsidRPr="00353A4D" w14:paraId="27996C53" w14:textId="77777777" w:rsidTr="000A6853">
        <w:trPr>
          <w:trHeight w:val="469"/>
        </w:trPr>
        <w:tc>
          <w:tcPr>
            <w:tcW w:w="2443" w:type="pct"/>
            <w:tcBorders>
              <w:bottom w:val="single" w:sz="4" w:space="0" w:color="auto"/>
            </w:tcBorders>
            <w:noWrap/>
            <w:vAlign w:val="center"/>
          </w:tcPr>
          <w:p w14:paraId="3E1BE7DF" w14:textId="77777777" w:rsidR="000A6853" w:rsidRPr="00F009F4" w:rsidRDefault="000A6853" w:rsidP="000A6853">
            <w:pPr>
              <w:rPr>
                <w:rFonts w:ascii="Times New Roman" w:hAnsi="Times New Roman"/>
                <w:b/>
              </w:rPr>
            </w:pPr>
          </w:p>
        </w:tc>
        <w:tc>
          <w:tcPr>
            <w:tcW w:w="447" w:type="pct"/>
            <w:tcBorders>
              <w:top w:val="single" w:sz="4" w:space="0" w:color="auto"/>
              <w:left w:val="nil"/>
              <w:bottom w:val="single" w:sz="4" w:space="0" w:color="auto"/>
              <w:right w:val="nil"/>
            </w:tcBorders>
            <w:vAlign w:val="center"/>
          </w:tcPr>
          <w:p w14:paraId="4F9B3B64"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2011</w:t>
            </w:r>
          </w:p>
        </w:tc>
        <w:tc>
          <w:tcPr>
            <w:tcW w:w="350" w:type="pct"/>
            <w:tcBorders>
              <w:top w:val="single" w:sz="4" w:space="0" w:color="auto"/>
              <w:left w:val="nil"/>
              <w:bottom w:val="single" w:sz="4" w:space="0" w:color="auto"/>
              <w:right w:val="nil"/>
            </w:tcBorders>
            <w:vAlign w:val="center"/>
          </w:tcPr>
          <w:p w14:paraId="11423BF4"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2012</w:t>
            </w:r>
          </w:p>
        </w:tc>
        <w:tc>
          <w:tcPr>
            <w:tcW w:w="350" w:type="pct"/>
            <w:tcBorders>
              <w:top w:val="single" w:sz="4" w:space="0" w:color="auto"/>
              <w:left w:val="nil"/>
              <w:bottom w:val="single" w:sz="4" w:space="0" w:color="auto"/>
              <w:right w:val="nil"/>
            </w:tcBorders>
            <w:noWrap/>
            <w:vAlign w:val="center"/>
          </w:tcPr>
          <w:p w14:paraId="3502C433"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2013</w:t>
            </w:r>
          </w:p>
        </w:tc>
        <w:tc>
          <w:tcPr>
            <w:tcW w:w="415" w:type="pct"/>
            <w:tcBorders>
              <w:top w:val="single" w:sz="4" w:space="0" w:color="auto"/>
              <w:left w:val="nil"/>
              <w:bottom w:val="single" w:sz="4" w:space="0" w:color="auto"/>
              <w:right w:val="nil"/>
            </w:tcBorders>
            <w:noWrap/>
            <w:vAlign w:val="center"/>
          </w:tcPr>
          <w:p w14:paraId="462DBA15"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2014</w:t>
            </w:r>
          </w:p>
        </w:tc>
        <w:tc>
          <w:tcPr>
            <w:tcW w:w="350" w:type="pct"/>
            <w:tcBorders>
              <w:top w:val="single" w:sz="4" w:space="0" w:color="auto"/>
              <w:left w:val="nil"/>
              <w:bottom w:val="single" w:sz="4" w:space="0" w:color="auto"/>
              <w:right w:val="nil"/>
            </w:tcBorders>
            <w:noWrap/>
            <w:vAlign w:val="center"/>
          </w:tcPr>
          <w:p w14:paraId="6348A47F"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2015</w:t>
            </w:r>
          </w:p>
        </w:tc>
        <w:tc>
          <w:tcPr>
            <w:tcW w:w="644" w:type="pct"/>
            <w:tcBorders>
              <w:top w:val="single" w:sz="4" w:space="0" w:color="auto"/>
              <w:left w:val="nil"/>
              <w:bottom w:val="single" w:sz="4" w:space="0" w:color="auto"/>
              <w:right w:val="nil"/>
            </w:tcBorders>
            <w:vAlign w:val="center"/>
            <w:hideMark/>
          </w:tcPr>
          <w:p w14:paraId="74DB996A" w14:textId="77777777" w:rsidR="000A6853" w:rsidRPr="00353A4D" w:rsidRDefault="000A6853" w:rsidP="000A6853">
            <w:pPr>
              <w:spacing w:after="0"/>
              <w:jc w:val="center"/>
              <w:rPr>
                <w:rFonts w:ascii="Times New Roman" w:hAnsi="Times New Roman"/>
                <w:sz w:val="23"/>
                <w:szCs w:val="23"/>
              </w:rPr>
            </w:pPr>
            <w:r w:rsidRPr="00353A4D">
              <w:rPr>
                <w:rFonts w:ascii="Times New Roman" w:hAnsi="Times New Roman"/>
                <w:sz w:val="23"/>
                <w:szCs w:val="23"/>
              </w:rPr>
              <w:t>jan.2016</w:t>
            </w:r>
          </w:p>
        </w:tc>
      </w:tr>
      <w:tr w:rsidR="000A6853" w:rsidRPr="009C4AEB" w14:paraId="4EBDD98A" w14:textId="77777777" w:rsidTr="000A6853">
        <w:trPr>
          <w:trHeight w:val="469"/>
        </w:trPr>
        <w:tc>
          <w:tcPr>
            <w:tcW w:w="2443" w:type="pct"/>
            <w:tcBorders>
              <w:top w:val="single" w:sz="4" w:space="0" w:color="auto"/>
              <w:left w:val="nil"/>
              <w:right w:val="nil"/>
            </w:tcBorders>
            <w:noWrap/>
            <w:vAlign w:val="bottom"/>
            <w:hideMark/>
          </w:tcPr>
          <w:p w14:paraId="43DD6686" w14:textId="77777777" w:rsidR="000A6853" w:rsidRPr="00727C8E" w:rsidRDefault="000A6853" w:rsidP="000A6853">
            <w:pPr>
              <w:spacing w:after="60"/>
              <w:rPr>
                <w:rFonts w:ascii="Times New Roman" w:hAnsi="Times New Roman"/>
                <w:sz w:val="23"/>
                <w:szCs w:val="23"/>
              </w:rPr>
            </w:pPr>
            <w:r w:rsidRPr="00727C8E">
              <w:rPr>
                <w:rFonts w:ascii="Times New Roman" w:hAnsi="Times New Roman"/>
                <w:sz w:val="23"/>
                <w:szCs w:val="23"/>
              </w:rPr>
              <w:t>KPI</w:t>
            </w:r>
          </w:p>
        </w:tc>
        <w:tc>
          <w:tcPr>
            <w:tcW w:w="447" w:type="pct"/>
            <w:tcBorders>
              <w:top w:val="single" w:sz="4" w:space="0" w:color="auto"/>
              <w:left w:val="nil"/>
              <w:right w:val="nil"/>
            </w:tcBorders>
            <w:vAlign w:val="bottom"/>
          </w:tcPr>
          <w:p w14:paraId="1FB2E944" w14:textId="77777777" w:rsidR="000A6853" w:rsidRPr="00C83549" w:rsidRDefault="000A6853" w:rsidP="000A6853">
            <w:pPr>
              <w:spacing w:after="60"/>
              <w:jc w:val="center"/>
              <w:rPr>
                <w:rFonts w:ascii="Times New Roman" w:hAnsi="Times New Roman"/>
                <w:sz w:val="23"/>
                <w:szCs w:val="23"/>
              </w:rPr>
            </w:pPr>
            <w:r w:rsidRPr="00C83549">
              <w:rPr>
                <w:rFonts w:ascii="Times New Roman" w:hAnsi="Times New Roman"/>
                <w:sz w:val="23"/>
                <w:szCs w:val="23"/>
              </w:rPr>
              <w:t>1,2</w:t>
            </w:r>
          </w:p>
        </w:tc>
        <w:tc>
          <w:tcPr>
            <w:tcW w:w="350" w:type="pct"/>
            <w:tcBorders>
              <w:top w:val="single" w:sz="4" w:space="0" w:color="auto"/>
              <w:left w:val="nil"/>
              <w:right w:val="nil"/>
            </w:tcBorders>
            <w:vAlign w:val="bottom"/>
          </w:tcPr>
          <w:p w14:paraId="2DAB8D3A" w14:textId="77777777" w:rsidR="000A6853" w:rsidRPr="00C83549" w:rsidRDefault="000A6853" w:rsidP="000A6853">
            <w:pPr>
              <w:spacing w:after="60"/>
              <w:jc w:val="center"/>
              <w:rPr>
                <w:rFonts w:ascii="Times New Roman" w:hAnsi="Times New Roman"/>
                <w:sz w:val="23"/>
                <w:szCs w:val="23"/>
              </w:rPr>
            </w:pPr>
            <w:r w:rsidRPr="00C83549">
              <w:rPr>
                <w:rFonts w:ascii="Times New Roman" w:hAnsi="Times New Roman"/>
                <w:sz w:val="23"/>
                <w:szCs w:val="23"/>
              </w:rPr>
              <w:t>0,8</w:t>
            </w:r>
          </w:p>
        </w:tc>
        <w:tc>
          <w:tcPr>
            <w:tcW w:w="350" w:type="pct"/>
            <w:tcBorders>
              <w:top w:val="single" w:sz="4" w:space="0" w:color="auto"/>
              <w:left w:val="nil"/>
              <w:right w:val="nil"/>
            </w:tcBorders>
            <w:noWrap/>
            <w:vAlign w:val="bottom"/>
          </w:tcPr>
          <w:p w14:paraId="2955B467" w14:textId="77777777" w:rsidR="000A6853" w:rsidRPr="00C83549" w:rsidRDefault="000A6853" w:rsidP="000A6853">
            <w:pPr>
              <w:spacing w:after="60"/>
              <w:jc w:val="center"/>
              <w:rPr>
                <w:rFonts w:ascii="Times New Roman" w:hAnsi="Times New Roman"/>
                <w:sz w:val="23"/>
                <w:szCs w:val="23"/>
              </w:rPr>
            </w:pPr>
            <w:r w:rsidRPr="00C83549">
              <w:rPr>
                <w:rFonts w:ascii="Times New Roman" w:hAnsi="Times New Roman"/>
                <w:sz w:val="23"/>
                <w:szCs w:val="23"/>
              </w:rPr>
              <w:t>2,1</w:t>
            </w:r>
          </w:p>
        </w:tc>
        <w:tc>
          <w:tcPr>
            <w:tcW w:w="415" w:type="pct"/>
            <w:tcBorders>
              <w:top w:val="single" w:sz="4" w:space="0" w:color="auto"/>
              <w:left w:val="nil"/>
              <w:right w:val="nil"/>
            </w:tcBorders>
            <w:noWrap/>
            <w:vAlign w:val="bottom"/>
          </w:tcPr>
          <w:p w14:paraId="57F68E16" w14:textId="77777777" w:rsidR="000A6853" w:rsidRPr="00C83549" w:rsidRDefault="000A6853" w:rsidP="000A6853">
            <w:pPr>
              <w:spacing w:after="60"/>
              <w:jc w:val="center"/>
              <w:rPr>
                <w:rFonts w:ascii="Times New Roman" w:hAnsi="Times New Roman"/>
                <w:sz w:val="23"/>
                <w:szCs w:val="23"/>
              </w:rPr>
            </w:pPr>
            <w:r w:rsidRPr="00C83549">
              <w:rPr>
                <w:rFonts w:ascii="Times New Roman" w:hAnsi="Times New Roman"/>
                <w:sz w:val="23"/>
                <w:szCs w:val="23"/>
              </w:rPr>
              <w:t>2,0</w:t>
            </w:r>
          </w:p>
        </w:tc>
        <w:tc>
          <w:tcPr>
            <w:tcW w:w="350" w:type="pct"/>
            <w:tcBorders>
              <w:top w:val="single" w:sz="4" w:space="0" w:color="auto"/>
              <w:left w:val="nil"/>
              <w:right w:val="nil"/>
            </w:tcBorders>
            <w:noWrap/>
            <w:vAlign w:val="bottom"/>
          </w:tcPr>
          <w:p w14:paraId="28B5C473" w14:textId="77777777" w:rsidR="000A6853" w:rsidRPr="00C83549" w:rsidRDefault="000A6853" w:rsidP="000A6853">
            <w:pPr>
              <w:spacing w:after="60"/>
              <w:jc w:val="center"/>
              <w:rPr>
                <w:rFonts w:ascii="Times New Roman" w:hAnsi="Times New Roman"/>
                <w:sz w:val="23"/>
                <w:szCs w:val="23"/>
              </w:rPr>
            </w:pPr>
            <w:r>
              <w:rPr>
                <w:rFonts w:ascii="Times New Roman" w:hAnsi="Times New Roman"/>
                <w:sz w:val="23"/>
                <w:szCs w:val="23"/>
              </w:rPr>
              <w:t>2,1</w:t>
            </w:r>
          </w:p>
        </w:tc>
        <w:tc>
          <w:tcPr>
            <w:tcW w:w="644" w:type="pct"/>
            <w:tcBorders>
              <w:top w:val="single" w:sz="4" w:space="0" w:color="auto"/>
              <w:left w:val="nil"/>
              <w:right w:val="nil"/>
            </w:tcBorders>
            <w:vAlign w:val="bottom"/>
          </w:tcPr>
          <w:p w14:paraId="603E3D2D" w14:textId="77777777" w:rsidR="000A6853" w:rsidRPr="009C4AEB" w:rsidRDefault="000A6853" w:rsidP="000A6853">
            <w:pPr>
              <w:spacing w:after="60"/>
              <w:jc w:val="center"/>
              <w:rPr>
                <w:rFonts w:ascii="Times New Roman" w:hAnsi="Times New Roman"/>
                <w:sz w:val="23"/>
                <w:szCs w:val="23"/>
              </w:rPr>
            </w:pPr>
            <w:r>
              <w:rPr>
                <w:rFonts w:ascii="Times New Roman" w:hAnsi="Times New Roman"/>
                <w:sz w:val="23"/>
                <w:szCs w:val="23"/>
              </w:rPr>
              <w:t>3,0</w:t>
            </w:r>
          </w:p>
        </w:tc>
      </w:tr>
      <w:tr w:rsidR="000A6853" w:rsidRPr="00C83549" w14:paraId="76017FE7" w14:textId="77777777" w:rsidTr="000A6853">
        <w:trPr>
          <w:trHeight w:val="469"/>
        </w:trPr>
        <w:tc>
          <w:tcPr>
            <w:tcW w:w="2443" w:type="pct"/>
            <w:noWrap/>
            <w:vAlign w:val="bottom"/>
            <w:hideMark/>
          </w:tcPr>
          <w:p w14:paraId="644F5614" w14:textId="77777777" w:rsidR="000A6853" w:rsidRPr="00085DF9" w:rsidRDefault="000A6853" w:rsidP="000A6853">
            <w:pPr>
              <w:spacing w:after="60"/>
              <w:rPr>
                <w:rFonts w:ascii="Times New Roman" w:hAnsi="Times New Roman"/>
              </w:rPr>
            </w:pPr>
            <w:r>
              <w:rPr>
                <w:rFonts w:ascii="Times New Roman" w:hAnsi="Times New Roman"/>
                <w:sz w:val="23"/>
                <w:szCs w:val="23"/>
              </w:rPr>
              <w:t>KPI-JA (</w:t>
            </w:r>
            <w:r w:rsidRPr="00085DF9">
              <w:rPr>
                <w:rFonts w:ascii="Times New Roman" w:hAnsi="Times New Roman"/>
                <w:sz w:val="23"/>
                <w:szCs w:val="23"/>
              </w:rPr>
              <w:t>KPI justert for avgiftsendringer</w:t>
            </w:r>
            <w:r>
              <w:rPr>
                <w:rFonts w:ascii="Times New Roman" w:hAnsi="Times New Roman"/>
                <w:sz w:val="23"/>
                <w:szCs w:val="23"/>
              </w:rPr>
              <w:t>)</w:t>
            </w:r>
          </w:p>
        </w:tc>
        <w:tc>
          <w:tcPr>
            <w:tcW w:w="447" w:type="pct"/>
            <w:vAlign w:val="bottom"/>
          </w:tcPr>
          <w:p w14:paraId="52A61A07"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1,1</w:t>
            </w:r>
          </w:p>
        </w:tc>
        <w:tc>
          <w:tcPr>
            <w:tcW w:w="350" w:type="pct"/>
            <w:vAlign w:val="bottom"/>
          </w:tcPr>
          <w:p w14:paraId="49415370"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0,6</w:t>
            </w:r>
          </w:p>
        </w:tc>
        <w:tc>
          <w:tcPr>
            <w:tcW w:w="350" w:type="pct"/>
            <w:noWrap/>
            <w:vAlign w:val="bottom"/>
          </w:tcPr>
          <w:p w14:paraId="6A2AC1CF"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2,1</w:t>
            </w:r>
          </w:p>
        </w:tc>
        <w:tc>
          <w:tcPr>
            <w:tcW w:w="415" w:type="pct"/>
            <w:noWrap/>
            <w:vAlign w:val="bottom"/>
          </w:tcPr>
          <w:p w14:paraId="0559FF0A"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2,1</w:t>
            </w:r>
          </w:p>
        </w:tc>
        <w:tc>
          <w:tcPr>
            <w:tcW w:w="350" w:type="pct"/>
            <w:noWrap/>
            <w:vAlign w:val="bottom"/>
          </w:tcPr>
          <w:p w14:paraId="6899D821"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2,1</w:t>
            </w:r>
          </w:p>
        </w:tc>
        <w:tc>
          <w:tcPr>
            <w:tcW w:w="644" w:type="pct"/>
            <w:vAlign w:val="bottom"/>
          </w:tcPr>
          <w:p w14:paraId="71055E59" w14:textId="77777777" w:rsidR="000A6853" w:rsidRPr="00B10C66" w:rsidRDefault="000A6853" w:rsidP="000A6853">
            <w:pPr>
              <w:spacing w:after="60"/>
              <w:jc w:val="center"/>
              <w:rPr>
                <w:rFonts w:ascii="Times New Roman" w:hAnsi="Times New Roman"/>
                <w:sz w:val="23"/>
                <w:szCs w:val="23"/>
              </w:rPr>
            </w:pPr>
            <w:r w:rsidRPr="00B10C66">
              <w:rPr>
                <w:rFonts w:ascii="Times New Roman" w:hAnsi="Times New Roman"/>
                <w:sz w:val="23"/>
                <w:szCs w:val="23"/>
              </w:rPr>
              <w:t>2,9</w:t>
            </w:r>
          </w:p>
        </w:tc>
      </w:tr>
      <w:tr w:rsidR="000A6853" w:rsidRPr="00C83549" w14:paraId="0F6423EC" w14:textId="77777777" w:rsidTr="000A6853">
        <w:trPr>
          <w:trHeight w:val="469"/>
        </w:trPr>
        <w:tc>
          <w:tcPr>
            <w:tcW w:w="2443" w:type="pct"/>
            <w:tcBorders>
              <w:bottom w:val="single" w:sz="4" w:space="0" w:color="auto"/>
            </w:tcBorders>
            <w:noWrap/>
            <w:vAlign w:val="bottom"/>
            <w:hideMark/>
          </w:tcPr>
          <w:p w14:paraId="3294BF9F" w14:textId="77777777" w:rsidR="000A6853" w:rsidRPr="008F7C5D" w:rsidRDefault="000A6853" w:rsidP="000A6853">
            <w:pPr>
              <w:spacing w:after="60"/>
              <w:rPr>
                <w:rFonts w:ascii="Times New Roman" w:hAnsi="Times New Roman"/>
                <w:sz w:val="23"/>
                <w:szCs w:val="23"/>
                <w:vertAlign w:val="superscript"/>
              </w:rPr>
            </w:pPr>
            <w:r>
              <w:rPr>
                <w:rFonts w:ascii="Times New Roman" w:hAnsi="Times New Roman"/>
                <w:sz w:val="23"/>
                <w:szCs w:val="23"/>
              </w:rPr>
              <w:t>KPI-JAE (</w:t>
            </w:r>
            <w:r w:rsidRPr="00085DF9">
              <w:rPr>
                <w:rFonts w:ascii="Times New Roman" w:hAnsi="Times New Roman"/>
                <w:sz w:val="23"/>
                <w:szCs w:val="23"/>
              </w:rPr>
              <w:t>KPI justert for avgiftsendringer og uten energivarer</w:t>
            </w:r>
            <w:r>
              <w:rPr>
                <w:rFonts w:ascii="Times New Roman" w:hAnsi="Times New Roman"/>
                <w:sz w:val="23"/>
                <w:szCs w:val="23"/>
              </w:rPr>
              <w:t>)</w:t>
            </w:r>
          </w:p>
        </w:tc>
        <w:tc>
          <w:tcPr>
            <w:tcW w:w="447" w:type="pct"/>
            <w:tcBorders>
              <w:bottom w:val="single" w:sz="4" w:space="0" w:color="auto"/>
            </w:tcBorders>
            <w:vAlign w:val="bottom"/>
          </w:tcPr>
          <w:p w14:paraId="0F881699"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0,9</w:t>
            </w:r>
          </w:p>
        </w:tc>
        <w:tc>
          <w:tcPr>
            <w:tcW w:w="350" w:type="pct"/>
            <w:tcBorders>
              <w:bottom w:val="single" w:sz="4" w:space="0" w:color="auto"/>
            </w:tcBorders>
            <w:vAlign w:val="bottom"/>
          </w:tcPr>
          <w:p w14:paraId="72D7AB45"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1,2</w:t>
            </w:r>
          </w:p>
        </w:tc>
        <w:tc>
          <w:tcPr>
            <w:tcW w:w="350" w:type="pct"/>
            <w:tcBorders>
              <w:bottom w:val="single" w:sz="4" w:space="0" w:color="auto"/>
            </w:tcBorders>
            <w:noWrap/>
            <w:vAlign w:val="bottom"/>
          </w:tcPr>
          <w:p w14:paraId="56D25F0A"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1,6</w:t>
            </w:r>
          </w:p>
        </w:tc>
        <w:tc>
          <w:tcPr>
            <w:tcW w:w="415" w:type="pct"/>
            <w:tcBorders>
              <w:bottom w:val="single" w:sz="4" w:space="0" w:color="auto"/>
            </w:tcBorders>
            <w:noWrap/>
            <w:vAlign w:val="bottom"/>
          </w:tcPr>
          <w:p w14:paraId="5F94EEE7"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2,4</w:t>
            </w:r>
          </w:p>
        </w:tc>
        <w:tc>
          <w:tcPr>
            <w:tcW w:w="350" w:type="pct"/>
            <w:tcBorders>
              <w:bottom w:val="single" w:sz="4" w:space="0" w:color="auto"/>
            </w:tcBorders>
            <w:noWrap/>
            <w:vAlign w:val="bottom"/>
          </w:tcPr>
          <w:p w14:paraId="6F9DFFD0" w14:textId="77777777" w:rsidR="000A6853" w:rsidRPr="00727C8E" w:rsidRDefault="000A6853" w:rsidP="000A6853">
            <w:pPr>
              <w:spacing w:after="60"/>
              <w:jc w:val="center"/>
              <w:rPr>
                <w:rFonts w:ascii="Times New Roman" w:hAnsi="Times New Roman"/>
                <w:sz w:val="23"/>
                <w:szCs w:val="23"/>
              </w:rPr>
            </w:pPr>
            <w:r w:rsidRPr="00727C8E">
              <w:rPr>
                <w:rFonts w:ascii="Times New Roman" w:hAnsi="Times New Roman"/>
                <w:sz w:val="23"/>
                <w:szCs w:val="23"/>
              </w:rPr>
              <w:t>2,7</w:t>
            </w:r>
          </w:p>
        </w:tc>
        <w:tc>
          <w:tcPr>
            <w:tcW w:w="644" w:type="pct"/>
            <w:tcBorders>
              <w:bottom w:val="single" w:sz="4" w:space="0" w:color="auto"/>
            </w:tcBorders>
            <w:vAlign w:val="bottom"/>
          </w:tcPr>
          <w:p w14:paraId="1B6BBDFC" w14:textId="77777777" w:rsidR="000A6853" w:rsidRPr="00B10C66" w:rsidRDefault="000A6853" w:rsidP="000A6853">
            <w:pPr>
              <w:spacing w:after="60"/>
              <w:jc w:val="center"/>
              <w:rPr>
                <w:rFonts w:ascii="Times New Roman" w:hAnsi="Times New Roman"/>
                <w:sz w:val="23"/>
                <w:szCs w:val="23"/>
              </w:rPr>
            </w:pPr>
            <w:r w:rsidRPr="00B10C66">
              <w:rPr>
                <w:rFonts w:ascii="Times New Roman" w:hAnsi="Times New Roman"/>
                <w:sz w:val="23"/>
                <w:szCs w:val="23"/>
              </w:rPr>
              <w:t>3,0</w:t>
            </w:r>
          </w:p>
        </w:tc>
      </w:tr>
    </w:tbl>
    <w:p w14:paraId="0FC2D121" w14:textId="77777777" w:rsidR="000A6853" w:rsidRPr="00727C8E" w:rsidRDefault="000A6853" w:rsidP="000A6853">
      <w:pPr>
        <w:pStyle w:val="Kilde"/>
      </w:pPr>
      <w:r>
        <w:t>Kilde: Statistisk sentralbyrå</w:t>
      </w:r>
    </w:p>
    <w:p w14:paraId="3FDDA1E6" w14:textId="77777777" w:rsidR="000A6853" w:rsidRPr="00C83549" w:rsidRDefault="000A6853" w:rsidP="000A6853">
      <w:pPr>
        <w:rPr>
          <w:rFonts w:ascii="Times New Roman" w:hAnsi="Times New Roman"/>
        </w:rPr>
      </w:pPr>
      <w:r w:rsidRPr="00B668BA">
        <w:rPr>
          <w:rFonts w:ascii="Times New Roman" w:hAnsi="Times New Roman"/>
        </w:rPr>
        <w:t xml:space="preserve">Tolvmånedersveksten i KPI-JAE </w:t>
      </w:r>
      <w:r>
        <w:rPr>
          <w:rFonts w:ascii="Times New Roman" w:hAnsi="Times New Roman"/>
        </w:rPr>
        <w:t xml:space="preserve">steg </w:t>
      </w:r>
      <w:r w:rsidRPr="00B668BA">
        <w:rPr>
          <w:rFonts w:ascii="Times New Roman" w:hAnsi="Times New Roman"/>
        </w:rPr>
        <w:t>fra 2</w:t>
      </w:r>
      <w:r>
        <w:rPr>
          <w:rFonts w:ascii="Times New Roman" w:hAnsi="Times New Roman"/>
        </w:rPr>
        <w:t>,4 prosent</w:t>
      </w:r>
      <w:r w:rsidRPr="00B668BA">
        <w:rPr>
          <w:rFonts w:ascii="Times New Roman" w:hAnsi="Times New Roman"/>
        </w:rPr>
        <w:t xml:space="preserve"> i </w:t>
      </w:r>
      <w:r>
        <w:rPr>
          <w:rFonts w:ascii="Times New Roman" w:hAnsi="Times New Roman"/>
        </w:rPr>
        <w:t>januar i fjor</w:t>
      </w:r>
      <w:r w:rsidRPr="00B668BA">
        <w:rPr>
          <w:rFonts w:ascii="Times New Roman" w:hAnsi="Times New Roman"/>
        </w:rPr>
        <w:t xml:space="preserve"> til 3</w:t>
      </w:r>
      <w:r>
        <w:rPr>
          <w:rFonts w:ascii="Times New Roman" w:hAnsi="Times New Roman"/>
        </w:rPr>
        <w:t>,0</w:t>
      </w:r>
      <w:r w:rsidRPr="00B668BA">
        <w:rPr>
          <w:rFonts w:ascii="Times New Roman" w:hAnsi="Times New Roman"/>
        </w:rPr>
        <w:t xml:space="preserve"> prosent </w:t>
      </w:r>
      <w:r>
        <w:rPr>
          <w:rFonts w:ascii="Times New Roman" w:hAnsi="Times New Roman"/>
        </w:rPr>
        <w:t>i desember</w:t>
      </w:r>
      <w:r w:rsidRPr="00B668BA">
        <w:rPr>
          <w:rFonts w:ascii="Times New Roman" w:hAnsi="Times New Roman"/>
        </w:rPr>
        <w:t>. I samme periode steg tolvmånedersveksten i prisene på importerte konsumvarer fra 1½ prosent til 4 prosent. Utviklingen</w:t>
      </w:r>
      <w:r>
        <w:rPr>
          <w:rFonts w:ascii="Times New Roman" w:hAnsi="Times New Roman"/>
        </w:rPr>
        <w:t xml:space="preserve"> må ses i sammenheng med svekkelsen av kronen de siste tre årene. </w:t>
      </w:r>
      <w:r w:rsidRPr="00C83549">
        <w:rPr>
          <w:rFonts w:ascii="Times New Roman" w:hAnsi="Times New Roman"/>
        </w:rPr>
        <w:t>Valutakursutvi</w:t>
      </w:r>
      <w:r>
        <w:rPr>
          <w:rFonts w:ascii="Times New Roman" w:hAnsi="Times New Roman"/>
        </w:rPr>
        <w:t>klingen har også bidratt til å trekke opp</w:t>
      </w:r>
      <w:r w:rsidRPr="00C83549">
        <w:rPr>
          <w:rFonts w:ascii="Times New Roman" w:hAnsi="Times New Roman"/>
        </w:rPr>
        <w:t xml:space="preserve"> prisvekst</w:t>
      </w:r>
      <w:r>
        <w:rPr>
          <w:rFonts w:ascii="Times New Roman" w:hAnsi="Times New Roman"/>
        </w:rPr>
        <w:t>en</w:t>
      </w:r>
      <w:r w:rsidRPr="00C83549">
        <w:rPr>
          <w:rFonts w:ascii="Times New Roman" w:hAnsi="Times New Roman"/>
        </w:rPr>
        <w:t xml:space="preserve"> for norskproduserte varer og tjenester fordi det brukes importert produktinnsats i produksjonen. </w:t>
      </w:r>
    </w:p>
    <w:p w14:paraId="3498D643" w14:textId="77777777" w:rsidR="000A6853" w:rsidRPr="00C83549" w:rsidRDefault="000A6853" w:rsidP="000A6853">
      <w:pPr>
        <w:rPr>
          <w:rFonts w:ascii="Times New Roman" w:hAnsi="Times New Roman"/>
        </w:rPr>
      </w:pPr>
      <w:r>
        <w:rPr>
          <w:rFonts w:ascii="Times New Roman" w:hAnsi="Times New Roman"/>
          <w:noProof/>
        </w:rPr>
        <w:drawing>
          <wp:inline distT="0" distB="0" distL="0" distR="0" wp14:anchorId="00004D3E" wp14:editId="76D026F0">
            <wp:extent cx="2619375" cy="2488758"/>
            <wp:effectExtent l="0" t="0" r="0" b="6985"/>
            <wp:docPr id="3" name="Bilde 3" descr="C:\Users\aka\AppData\Local\Microsoft\Windows\Temporary Internet Files\Content.Outlook\PT0CSEUM\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AppData\Local\Microsoft\Windows\Temporary Internet Files\Content.Outlook\PT0CSEUM\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193" cy="2490485"/>
                    </a:xfrm>
                    <a:prstGeom prst="rect">
                      <a:avLst/>
                    </a:prstGeom>
                    <a:noFill/>
                    <a:ln>
                      <a:noFill/>
                    </a:ln>
                  </pic:spPr>
                </pic:pic>
              </a:graphicData>
            </a:graphic>
          </wp:inline>
        </w:drawing>
      </w:r>
    </w:p>
    <w:p w14:paraId="66609CC8" w14:textId="77777777" w:rsidR="000A6853" w:rsidRPr="000E6F38" w:rsidRDefault="000A6853" w:rsidP="000A6853">
      <w:pPr>
        <w:pStyle w:val="figur-tittel"/>
      </w:pPr>
      <w:r w:rsidRPr="000E6F38">
        <w:t>KPI og KPI-JAE. Prosentvis vekst fra samme måned året før</w:t>
      </w:r>
    </w:p>
    <w:p w14:paraId="236B99B2" w14:textId="77777777" w:rsidR="000A6853" w:rsidRPr="00C83549" w:rsidRDefault="000A6853" w:rsidP="000A6853">
      <w:pPr>
        <w:pStyle w:val="Kilde"/>
        <w:rPr>
          <w:rFonts w:ascii="Times New Roman" w:hAnsi="Times New Roman"/>
        </w:rPr>
      </w:pPr>
      <w:r w:rsidRPr="00C83549">
        <w:rPr>
          <w:rFonts w:ascii="Times New Roman" w:hAnsi="Times New Roman"/>
        </w:rPr>
        <w:t>Kilde: Statistisk sentralbyrå</w:t>
      </w:r>
    </w:p>
    <w:p w14:paraId="71F410DC" w14:textId="0CF1D060" w:rsidR="000A6853" w:rsidRPr="00C83549" w:rsidRDefault="000A6853" w:rsidP="000A6853">
      <w:pPr>
        <w:rPr>
          <w:rFonts w:ascii="Times New Roman" w:hAnsi="Times New Roman"/>
        </w:rPr>
      </w:pPr>
      <w:r w:rsidRPr="00C83549">
        <w:rPr>
          <w:rFonts w:ascii="Times New Roman" w:hAnsi="Times New Roman"/>
        </w:rPr>
        <w:t xml:space="preserve">Oljeprisen falt markert gjennom </w:t>
      </w:r>
      <w:r>
        <w:rPr>
          <w:rFonts w:ascii="Times New Roman" w:hAnsi="Times New Roman"/>
        </w:rPr>
        <w:t>andr</w:t>
      </w:r>
      <w:r w:rsidRPr="00C83549">
        <w:rPr>
          <w:rFonts w:ascii="Times New Roman" w:hAnsi="Times New Roman"/>
        </w:rPr>
        <w:t>e halv</w:t>
      </w:r>
      <w:r>
        <w:rPr>
          <w:rFonts w:ascii="Times New Roman" w:hAnsi="Times New Roman"/>
        </w:rPr>
        <w:t>år</w:t>
      </w:r>
      <w:r w:rsidRPr="00C83549">
        <w:rPr>
          <w:rFonts w:ascii="Times New Roman" w:hAnsi="Times New Roman"/>
        </w:rPr>
        <w:t xml:space="preserve"> 20</w:t>
      </w:r>
      <w:r>
        <w:rPr>
          <w:rFonts w:ascii="Times New Roman" w:hAnsi="Times New Roman"/>
        </w:rPr>
        <w:t>14, tok seg litt opp i begynnelsen av fjoråret for deretter å falle gjennom andre halvår og inn i 2016. M</w:t>
      </w:r>
      <w:r w:rsidRPr="00C83549">
        <w:rPr>
          <w:rFonts w:ascii="Times New Roman" w:hAnsi="Times New Roman"/>
        </w:rPr>
        <w:t>ålt i kroner var prise</w:t>
      </w:r>
      <w:r>
        <w:rPr>
          <w:rFonts w:ascii="Times New Roman" w:hAnsi="Times New Roman"/>
        </w:rPr>
        <w:t xml:space="preserve">n ved utgangen av 2015 </w:t>
      </w:r>
      <w:r w:rsidRPr="00740522">
        <w:rPr>
          <w:rFonts w:ascii="Times New Roman" w:hAnsi="Times New Roman"/>
        </w:rPr>
        <w:t>om lag 53 prosent lavere</w:t>
      </w:r>
      <w:r>
        <w:rPr>
          <w:rFonts w:ascii="Times New Roman" w:hAnsi="Times New Roman"/>
        </w:rPr>
        <w:t xml:space="preserve"> enn ved </w:t>
      </w:r>
      <w:r w:rsidRPr="00C83549">
        <w:rPr>
          <w:rFonts w:ascii="Times New Roman" w:hAnsi="Times New Roman"/>
        </w:rPr>
        <w:t>pristopp</w:t>
      </w:r>
      <w:r>
        <w:rPr>
          <w:rFonts w:ascii="Times New Roman" w:hAnsi="Times New Roman"/>
        </w:rPr>
        <w:t>en</w:t>
      </w:r>
      <w:r w:rsidRPr="00C83549">
        <w:rPr>
          <w:rFonts w:ascii="Times New Roman" w:hAnsi="Times New Roman"/>
        </w:rPr>
        <w:t xml:space="preserve"> i ju</w:t>
      </w:r>
      <w:r>
        <w:rPr>
          <w:rFonts w:ascii="Times New Roman" w:hAnsi="Times New Roman"/>
        </w:rPr>
        <w:t>n</w:t>
      </w:r>
      <w:r w:rsidRPr="00C83549">
        <w:rPr>
          <w:rFonts w:ascii="Times New Roman" w:hAnsi="Times New Roman"/>
        </w:rPr>
        <w:t>i</w:t>
      </w:r>
      <w:r>
        <w:rPr>
          <w:rFonts w:ascii="Times New Roman" w:hAnsi="Times New Roman"/>
        </w:rPr>
        <w:t xml:space="preserve"> 2014</w:t>
      </w:r>
      <w:r w:rsidRPr="00C83549">
        <w:rPr>
          <w:rFonts w:ascii="Times New Roman" w:hAnsi="Times New Roman"/>
        </w:rPr>
        <w:t>. Som årsgj</w:t>
      </w:r>
      <w:r>
        <w:rPr>
          <w:rFonts w:ascii="Times New Roman" w:hAnsi="Times New Roman"/>
        </w:rPr>
        <w:t xml:space="preserve">ennomsnitt var oljeprisen </w:t>
      </w:r>
      <w:r w:rsidRPr="00740522">
        <w:rPr>
          <w:rFonts w:ascii="Times New Roman" w:hAnsi="Times New Roman"/>
        </w:rPr>
        <w:t>23 prosent lavere</w:t>
      </w:r>
      <w:r>
        <w:rPr>
          <w:rFonts w:ascii="Times New Roman" w:hAnsi="Times New Roman"/>
        </w:rPr>
        <w:t xml:space="preserve"> i 2015 enn i 2014, etter et fall på 36 prosent fra 2013 til 2014.</w:t>
      </w:r>
      <w:r w:rsidRPr="00C83549">
        <w:rPr>
          <w:rFonts w:ascii="Times New Roman" w:hAnsi="Times New Roman"/>
        </w:rPr>
        <w:t xml:space="preserve"> Råoljeprisen er en viktig produksjonsfaktor for drivstoff, men utviklingen i prisene på bensin og diesel til husholdningene påvirkes i stor grad også av utviklingen av marginene i raffineringsnæringen, av avgiftene og a</w:t>
      </w:r>
      <w:r>
        <w:rPr>
          <w:rFonts w:ascii="Times New Roman" w:hAnsi="Times New Roman"/>
        </w:rPr>
        <w:t xml:space="preserve">v avansen til bensinstasjonene. Målt fra samme måned året før var </w:t>
      </w:r>
      <w:r w:rsidR="00083940">
        <w:rPr>
          <w:rFonts w:ascii="Times New Roman" w:hAnsi="Times New Roman"/>
        </w:rPr>
        <w:t>pris</w:t>
      </w:r>
      <w:r>
        <w:rPr>
          <w:rFonts w:ascii="Times New Roman" w:hAnsi="Times New Roman"/>
        </w:rPr>
        <w:t xml:space="preserve">veksten </w:t>
      </w:r>
      <w:r w:rsidR="00083940">
        <w:rPr>
          <w:rFonts w:ascii="Times New Roman" w:hAnsi="Times New Roman"/>
        </w:rPr>
        <w:t xml:space="preserve">på </w:t>
      </w:r>
      <w:r>
        <w:rPr>
          <w:rFonts w:ascii="Times New Roman" w:hAnsi="Times New Roman"/>
        </w:rPr>
        <w:t xml:space="preserve">drivstoff og smøremidler negativ gjennom hele fjoråret. Som årsgjennomsnitt </w:t>
      </w:r>
      <w:r w:rsidRPr="00C83549">
        <w:rPr>
          <w:rFonts w:ascii="Times New Roman" w:hAnsi="Times New Roman"/>
        </w:rPr>
        <w:t xml:space="preserve">var prisene på drivstoff og smøremidler </w:t>
      </w:r>
      <w:r>
        <w:rPr>
          <w:rFonts w:ascii="Times New Roman" w:hAnsi="Times New Roman"/>
        </w:rPr>
        <w:t xml:space="preserve">5,4 prosent lavere i 2015 enn i 2014, etter nullvekst i 2014. </w:t>
      </w:r>
    </w:p>
    <w:p w14:paraId="3B37C7E6" w14:textId="30D09A94" w:rsidR="00147B70" w:rsidRDefault="000A6853" w:rsidP="000A6853">
      <w:pPr>
        <w:rPr>
          <w:rFonts w:ascii="Times New Roman" w:hAnsi="Times New Roman"/>
        </w:rPr>
      </w:pPr>
      <w:r w:rsidRPr="00740522">
        <w:rPr>
          <w:rFonts w:ascii="Times New Roman" w:hAnsi="Times New Roman"/>
        </w:rPr>
        <w:t>Svingninger i elektrisitetsprisene</w:t>
      </w:r>
      <w:r>
        <w:rPr>
          <w:rFonts w:ascii="Times New Roman" w:hAnsi="Times New Roman"/>
        </w:rPr>
        <w:t xml:space="preserve"> inkludert nettleie og avgifter</w:t>
      </w:r>
      <w:r w:rsidRPr="00740522">
        <w:rPr>
          <w:rFonts w:ascii="Times New Roman" w:hAnsi="Times New Roman"/>
        </w:rPr>
        <w:t xml:space="preserve"> er en viktig kilde til svingningene i den samlede prisstigningen. I de fem siste årene </w:t>
      </w:r>
      <w:r>
        <w:rPr>
          <w:rFonts w:ascii="Times New Roman" w:hAnsi="Times New Roman"/>
        </w:rPr>
        <w:t>var den</w:t>
      </w:r>
      <w:r w:rsidRPr="00740522">
        <w:rPr>
          <w:rFonts w:ascii="Times New Roman" w:hAnsi="Times New Roman"/>
        </w:rPr>
        <w:t xml:space="preserve"> høyeste </w:t>
      </w:r>
      <w:r>
        <w:rPr>
          <w:rFonts w:ascii="Times New Roman" w:hAnsi="Times New Roman"/>
        </w:rPr>
        <w:t xml:space="preserve">månedsprisen i </w:t>
      </w:r>
      <w:r w:rsidRPr="00740522">
        <w:rPr>
          <w:rFonts w:ascii="Times New Roman" w:hAnsi="Times New Roman"/>
        </w:rPr>
        <w:t xml:space="preserve">januar 2011 </w:t>
      </w:r>
      <w:r>
        <w:rPr>
          <w:rFonts w:ascii="Times New Roman" w:hAnsi="Times New Roman"/>
        </w:rPr>
        <w:t>hele 85 prosent høyere enn den</w:t>
      </w:r>
      <w:r w:rsidRPr="00740522">
        <w:rPr>
          <w:rFonts w:ascii="Times New Roman" w:hAnsi="Times New Roman"/>
        </w:rPr>
        <w:t xml:space="preserve"> laveste pris</w:t>
      </w:r>
      <w:r>
        <w:rPr>
          <w:rFonts w:ascii="Times New Roman" w:hAnsi="Times New Roman"/>
        </w:rPr>
        <w:t xml:space="preserve">en i </w:t>
      </w:r>
      <w:r w:rsidRPr="00740522">
        <w:rPr>
          <w:rFonts w:ascii="Times New Roman" w:hAnsi="Times New Roman"/>
        </w:rPr>
        <w:t>juli 2012.</w:t>
      </w:r>
      <w:r w:rsidRPr="00C83549">
        <w:rPr>
          <w:rFonts w:ascii="Times New Roman" w:hAnsi="Times New Roman"/>
        </w:rPr>
        <w:t xml:space="preserve"> Målt fra samme måned året før har prisveksten på elektrisitet bevege</w:t>
      </w:r>
      <w:r>
        <w:rPr>
          <w:rFonts w:ascii="Times New Roman" w:hAnsi="Times New Roman"/>
        </w:rPr>
        <w:t>t seg i området fra -14,5 til +4,0 prosent i 2015. Med en vekt på 3,6</w:t>
      </w:r>
      <w:r w:rsidRPr="00C83549">
        <w:rPr>
          <w:rFonts w:ascii="Times New Roman" w:hAnsi="Times New Roman"/>
        </w:rPr>
        <w:t xml:space="preserve"> prosent innebærer det en forskj</w:t>
      </w:r>
      <w:r>
        <w:rPr>
          <w:rFonts w:ascii="Times New Roman" w:hAnsi="Times New Roman"/>
        </w:rPr>
        <w:t>ell i vekstbidrag til KPI på 0,6</w:t>
      </w:r>
      <w:r w:rsidRPr="00C83549">
        <w:rPr>
          <w:rFonts w:ascii="Times New Roman" w:hAnsi="Times New Roman"/>
        </w:rPr>
        <w:t xml:space="preserve"> prosentpoeng. Årsgjennomsnitte</w:t>
      </w:r>
      <w:r>
        <w:rPr>
          <w:rFonts w:ascii="Times New Roman" w:hAnsi="Times New Roman"/>
        </w:rPr>
        <w:t>t av elektrisitetsprisene i 2015 var 3,7 prosent lavere enn i 2014</w:t>
      </w:r>
      <w:r w:rsidRPr="00C83549">
        <w:rPr>
          <w:rFonts w:ascii="Times New Roman" w:hAnsi="Times New Roman"/>
        </w:rPr>
        <w:t>.</w:t>
      </w:r>
      <w:r w:rsidR="00FD5D1F">
        <w:rPr>
          <w:rFonts w:ascii="Times New Roman" w:hAnsi="Times New Roman"/>
        </w:rPr>
        <w:br/>
      </w:r>
    </w:p>
    <w:p w14:paraId="55748657" w14:textId="77777777" w:rsidR="007113FE" w:rsidRPr="00C83549" w:rsidRDefault="007113FE" w:rsidP="007113FE">
      <w:pPr>
        <w:rPr>
          <w:rFonts w:ascii="Times New Roman" w:hAnsi="Times New Roman"/>
        </w:rPr>
      </w:pPr>
      <w:r>
        <w:rPr>
          <w:rFonts w:ascii="Times New Roman" w:hAnsi="Times New Roman"/>
          <w:noProof/>
        </w:rPr>
        <w:drawing>
          <wp:inline distT="0" distB="0" distL="0" distR="0" wp14:anchorId="5E4B080A" wp14:editId="0F47D8A0">
            <wp:extent cx="2723364" cy="2297927"/>
            <wp:effectExtent l="0" t="0" r="1270" b="7620"/>
            <wp:docPr id="89" name="Bilde 89" descr="C:\Users\aka\AppData\Local\Microsoft\Windows\Temporary Internet Files\Content.Outlook\PT0CSEUM\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AppData\Local\Microsoft\Windows\Temporary Internet Files\Content.Outlook\PT0CSEUM\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650" cy="2305763"/>
                    </a:xfrm>
                    <a:prstGeom prst="rect">
                      <a:avLst/>
                    </a:prstGeom>
                    <a:noFill/>
                    <a:ln>
                      <a:noFill/>
                    </a:ln>
                  </pic:spPr>
                </pic:pic>
              </a:graphicData>
            </a:graphic>
          </wp:inline>
        </w:drawing>
      </w:r>
    </w:p>
    <w:p w14:paraId="7252921E" w14:textId="77777777" w:rsidR="007113FE" w:rsidRPr="000E6F38" w:rsidRDefault="007113FE" w:rsidP="007113FE">
      <w:pPr>
        <w:pStyle w:val="figur-tittel"/>
      </w:pPr>
      <w:r w:rsidRPr="000E6F38">
        <w:t>Ene</w:t>
      </w:r>
      <w:r>
        <w:t>rgivarer i KPI. Indeks 1998=100</w:t>
      </w:r>
    </w:p>
    <w:p w14:paraId="64BC72EC" w14:textId="77777777" w:rsidR="007113FE" w:rsidRDefault="007113FE" w:rsidP="007113FE">
      <w:pPr>
        <w:rPr>
          <w:rFonts w:ascii="Times New Roman" w:hAnsi="Times New Roman"/>
          <w:sz w:val="20"/>
        </w:rPr>
      </w:pPr>
      <w:r w:rsidRPr="00C83549">
        <w:rPr>
          <w:rFonts w:ascii="Times New Roman" w:hAnsi="Times New Roman"/>
          <w:sz w:val="20"/>
        </w:rPr>
        <w:t>Kilde: Statistisk sentralbyrå</w:t>
      </w:r>
    </w:p>
    <w:p w14:paraId="2C91A279" w14:textId="77777777" w:rsidR="007113FE" w:rsidRDefault="007113FE" w:rsidP="007113FE">
      <w:pPr>
        <w:rPr>
          <w:rFonts w:ascii="Times New Roman" w:hAnsi="Times New Roman"/>
        </w:rPr>
      </w:pPr>
      <w:r w:rsidRPr="00C83549">
        <w:rPr>
          <w:rFonts w:ascii="Times New Roman" w:hAnsi="Times New Roman"/>
        </w:rPr>
        <w:t>Tabell 2.</w:t>
      </w:r>
      <w:r>
        <w:rPr>
          <w:rFonts w:ascii="Times New Roman" w:hAnsi="Times New Roman"/>
        </w:rPr>
        <w:t>2</w:t>
      </w:r>
      <w:r w:rsidRPr="00C83549">
        <w:rPr>
          <w:rFonts w:ascii="Times New Roman" w:hAnsi="Times New Roman"/>
        </w:rPr>
        <w:t xml:space="preserve"> viser utviklingen i veksten i KPI-JAE etter leveringssektor. Moderat prisstigning internasjonalt og vridning i handelsmønsteret mot økt import fra lavkostland, har i mange år bidratt til en svak prisutvikling og stort sett prisnedgan</w:t>
      </w:r>
      <w:r>
        <w:rPr>
          <w:rFonts w:ascii="Times New Roman" w:hAnsi="Times New Roman"/>
        </w:rPr>
        <w:t>g på importerte konsumvarer, se</w:t>
      </w:r>
      <w:r w:rsidRPr="00C83549">
        <w:rPr>
          <w:rFonts w:ascii="Times New Roman" w:hAnsi="Times New Roman"/>
        </w:rPr>
        <w:t xml:space="preserve"> figur 2.3. Prisene på disse varene påvirkes også av kronekursen og avansen hos detaljist</w:t>
      </w:r>
      <w:r>
        <w:rPr>
          <w:rFonts w:ascii="Times New Roman" w:hAnsi="Times New Roman"/>
        </w:rPr>
        <w:t>er og grossister i Norge. I 2015</w:t>
      </w:r>
      <w:r w:rsidRPr="00C83549">
        <w:rPr>
          <w:rFonts w:ascii="Times New Roman" w:hAnsi="Times New Roman"/>
        </w:rPr>
        <w:t xml:space="preserve"> steg prisene</w:t>
      </w:r>
      <w:r>
        <w:rPr>
          <w:rFonts w:ascii="Times New Roman" w:hAnsi="Times New Roman"/>
        </w:rPr>
        <w:t xml:space="preserve"> på importerte konsumvarer med 3,0 prosent etter en oppgang på 1,4</w:t>
      </w:r>
      <w:r w:rsidRPr="00C83549">
        <w:rPr>
          <w:rFonts w:ascii="Times New Roman" w:hAnsi="Times New Roman"/>
        </w:rPr>
        <w:t xml:space="preserve"> prosent året før. Tolvmånedersve</w:t>
      </w:r>
      <w:r>
        <w:rPr>
          <w:rFonts w:ascii="Times New Roman" w:hAnsi="Times New Roman"/>
        </w:rPr>
        <w:t>ksten var på det laveste i januar og februar</w:t>
      </w:r>
      <w:r w:rsidRPr="00C83549">
        <w:rPr>
          <w:rFonts w:ascii="Times New Roman" w:hAnsi="Times New Roman"/>
        </w:rPr>
        <w:t xml:space="preserve"> med 1</w:t>
      </w:r>
      <w:r>
        <w:rPr>
          <w:rFonts w:ascii="Times New Roman" w:hAnsi="Times New Roman"/>
        </w:rPr>
        <w:t>,3 prosent og på det høyeste i november med 4,4</w:t>
      </w:r>
      <w:r w:rsidRPr="00C83549">
        <w:rPr>
          <w:rFonts w:ascii="Times New Roman" w:hAnsi="Times New Roman"/>
        </w:rPr>
        <w:t xml:space="preserve"> prosent. Endringer i kronekursen slår normalt ut i konsumprisene etter noe tid og økningen i prisstigningen for denne kategorien varer kan nok derfor i stor grad tilbakeføres </w:t>
      </w:r>
      <w:r>
        <w:rPr>
          <w:rFonts w:ascii="Times New Roman" w:hAnsi="Times New Roman"/>
        </w:rPr>
        <w:t>til kronesvekkelsen gjennom 2014</w:t>
      </w:r>
      <w:r w:rsidRPr="00C83549">
        <w:rPr>
          <w:rFonts w:ascii="Times New Roman" w:hAnsi="Times New Roman"/>
        </w:rPr>
        <w:t xml:space="preserve">. </w:t>
      </w:r>
      <w:r w:rsidRPr="00135668">
        <w:rPr>
          <w:rFonts w:ascii="Times New Roman" w:hAnsi="Times New Roman"/>
        </w:rPr>
        <w:t xml:space="preserve">Kronens verdi, målt ved den importveide valutakursen, falt </w:t>
      </w:r>
      <w:r>
        <w:rPr>
          <w:rFonts w:ascii="Times New Roman" w:hAnsi="Times New Roman"/>
        </w:rPr>
        <w:t xml:space="preserve">også </w:t>
      </w:r>
      <w:r w:rsidRPr="00135668">
        <w:rPr>
          <w:rFonts w:ascii="Times New Roman" w:hAnsi="Times New Roman"/>
        </w:rPr>
        <w:t xml:space="preserve">betydelig gjennom siste halvdel av fjoråret. Som årsgjennomsnitt var den importveide verdien av kroner </w:t>
      </w:r>
      <w:r>
        <w:rPr>
          <w:rFonts w:ascii="Times New Roman" w:hAnsi="Times New Roman"/>
        </w:rPr>
        <w:t>10,5</w:t>
      </w:r>
      <w:r w:rsidRPr="00135668">
        <w:rPr>
          <w:rFonts w:ascii="Times New Roman" w:hAnsi="Times New Roman"/>
        </w:rPr>
        <w:t xml:space="preserve"> prosent lavere i 2015 enn i 2014, etter et fall på 5,</w:t>
      </w:r>
      <w:r>
        <w:rPr>
          <w:rFonts w:ascii="Times New Roman" w:hAnsi="Times New Roman"/>
        </w:rPr>
        <w:t>3</w:t>
      </w:r>
      <w:r w:rsidRPr="00135668">
        <w:rPr>
          <w:rFonts w:ascii="Times New Roman" w:hAnsi="Times New Roman"/>
        </w:rPr>
        <w:t xml:space="preserve"> prosent i 2014</w:t>
      </w:r>
      <w:r>
        <w:rPr>
          <w:rFonts w:ascii="Times New Roman" w:hAnsi="Times New Roman"/>
        </w:rPr>
        <w:t xml:space="preserve"> og 2,2 prosent i 2013</w:t>
      </w:r>
      <w:r w:rsidRPr="00135668">
        <w:rPr>
          <w:rFonts w:ascii="Times New Roman" w:hAnsi="Times New Roman"/>
        </w:rPr>
        <w:t>.</w:t>
      </w:r>
      <w:r>
        <w:rPr>
          <w:rFonts w:ascii="Times New Roman" w:hAnsi="Times New Roman"/>
        </w:rPr>
        <w:t xml:space="preserve"> </w:t>
      </w:r>
    </w:p>
    <w:p w14:paraId="6A12D485" w14:textId="77777777" w:rsidR="007113FE" w:rsidRPr="00C83549" w:rsidRDefault="007113FE" w:rsidP="007113FE">
      <w:pPr>
        <w:rPr>
          <w:rFonts w:ascii="Times New Roman" w:hAnsi="Times New Roman"/>
        </w:rPr>
      </w:pPr>
      <w:r>
        <w:rPr>
          <w:rFonts w:ascii="Times New Roman" w:hAnsi="Times New Roman"/>
          <w:noProof/>
        </w:rPr>
        <w:drawing>
          <wp:inline distT="0" distB="0" distL="0" distR="0" wp14:anchorId="779E8224" wp14:editId="321C9024">
            <wp:extent cx="2647949" cy="2266122"/>
            <wp:effectExtent l="0" t="0" r="635" b="1270"/>
            <wp:docPr id="90" name="Bilde 90" descr="C:\Users\aka\AppData\Local\Microsoft\Windows\Temporary Internet Files\Content.Outlook\PT0CSEUM\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AppData\Local\Microsoft\Windows\Temporary Internet Files\Content.Outlook\PT0CSEUM\2-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514" cy="2270029"/>
                    </a:xfrm>
                    <a:prstGeom prst="rect">
                      <a:avLst/>
                    </a:prstGeom>
                    <a:noFill/>
                    <a:ln>
                      <a:noFill/>
                    </a:ln>
                  </pic:spPr>
                </pic:pic>
              </a:graphicData>
            </a:graphic>
          </wp:inline>
        </w:drawing>
      </w:r>
    </w:p>
    <w:p w14:paraId="6F6FE6FA" w14:textId="0595F854" w:rsidR="007113FE" w:rsidRPr="0057158B" w:rsidRDefault="007113FE" w:rsidP="007113FE">
      <w:pPr>
        <w:pStyle w:val="figur-tittel"/>
      </w:pPr>
      <w:r w:rsidRPr="0057158B">
        <w:t xml:space="preserve">KPI-JAE etter leveringssektor: Importerte konsumvarer og </w:t>
      </w:r>
      <w:r>
        <w:t>andre norskproduserte konsumvarer</w:t>
      </w:r>
      <w:r w:rsidR="00311CAA">
        <w:t>.</w:t>
      </w:r>
      <w:r>
        <w:t xml:space="preserve"> </w:t>
      </w:r>
      <w:r w:rsidRPr="0057158B">
        <w:t>Prosentvis vekst fra samme måned året før</w:t>
      </w:r>
    </w:p>
    <w:p w14:paraId="32FCFDE8" w14:textId="77777777" w:rsidR="007113FE" w:rsidRPr="00C83549" w:rsidRDefault="007113FE" w:rsidP="007113FE">
      <w:pPr>
        <w:rPr>
          <w:rFonts w:ascii="Times New Roman" w:hAnsi="Times New Roman"/>
          <w:sz w:val="20"/>
        </w:rPr>
      </w:pPr>
      <w:r w:rsidRPr="00C83549">
        <w:rPr>
          <w:rFonts w:ascii="Times New Roman" w:hAnsi="Times New Roman"/>
          <w:sz w:val="20"/>
        </w:rPr>
        <w:t>Kilde: Statistisk sentralbyrå</w:t>
      </w:r>
    </w:p>
    <w:p w14:paraId="2EA57524" w14:textId="77777777" w:rsidR="007113FE" w:rsidRPr="00C83549" w:rsidRDefault="007113FE" w:rsidP="007113FE">
      <w:pPr>
        <w:rPr>
          <w:rFonts w:ascii="Times New Roman" w:hAnsi="Times New Roman"/>
        </w:rPr>
      </w:pPr>
      <w:r>
        <w:rPr>
          <w:rFonts w:ascii="Times New Roman" w:hAnsi="Times New Roman"/>
        </w:rPr>
        <w:t xml:space="preserve">Tolvmånedersveksten i prisene på </w:t>
      </w:r>
      <w:r w:rsidRPr="00C83549">
        <w:rPr>
          <w:rFonts w:ascii="Times New Roman" w:hAnsi="Times New Roman"/>
        </w:rPr>
        <w:t>norskproduserte kons</w:t>
      </w:r>
      <w:r>
        <w:rPr>
          <w:rFonts w:ascii="Times New Roman" w:hAnsi="Times New Roman"/>
        </w:rPr>
        <w:t>umvarer varierte betydelig gjennom 2015 og var høyest i juni med 5,1 prosent og lavest i juli med</w:t>
      </w:r>
      <w:r w:rsidRPr="00C83549">
        <w:rPr>
          <w:rFonts w:ascii="Times New Roman" w:hAnsi="Times New Roman"/>
        </w:rPr>
        <w:t xml:space="preserve"> 2,7 p</w:t>
      </w:r>
      <w:r>
        <w:rPr>
          <w:rFonts w:ascii="Times New Roman" w:hAnsi="Times New Roman"/>
        </w:rPr>
        <w:t xml:space="preserve">rosent, se figur 2.3. </w:t>
      </w:r>
      <w:r w:rsidRPr="00C83549">
        <w:rPr>
          <w:rFonts w:ascii="Times New Roman" w:hAnsi="Times New Roman"/>
        </w:rPr>
        <w:t>Som årsgjennomsnitt økte prisene på norskpr</w:t>
      </w:r>
      <w:r>
        <w:rPr>
          <w:rFonts w:ascii="Times New Roman" w:hAnsi="Times New Roman"/>
        </w:rPr>
        <w:t xml:space="preserve">oduserte konsumvarer med 3,6 prosent i 2015, etter en vekst på 3,3 prosent i 2014 og 3,1 prosent i 2013, se tabell 2.2. Prisveksten var i fjor særlig høy for </w:t>
      </w:r>
      <w:r w:rsidRPr="00C83549">
        <w:rPr>
          <w:rFonts w:ascii="Times New Roman" w:hAnsi="Times New Roman"/>
        </w:rPr>
        <w:t>norskproduserte konsumvarer som påvirkes av verdensmarkedet</w:t>
      </w:r>
      <w:r>
        <w:rPr>
          <w:rFonts w:ascii="Times New Roman" w:hAnsi="Times New Roman"/>
        </w:rPr>
        <w:t xml:space="preserve"> grunnet stort importinnhold</w:t>
      </w:r>
      <w:r w:rsidRPr="00C83549">
        <w:rPr>
          <w:rFonts w:ascii="Times New Roman" w:hAnsi="Times New Roman"/>
        </w:rPr>
        <w:t>, som bl.a. består av alkoholfrie drikkevarer, godteri, vaskemidler, byggevarer og tid</w:t>
      </w:r>
      <w:r>
        <w:rPr>
          <w:rFonts w:ascii="Times New Roman" w:hAnsi="Times New Roman"/>
        </w:rPr>
        <w:t xml:space="preserve">sskrifter. </w:t>
      </w:r>
    </w:p>
    <w:p w14:paraId="1C8BA0F9" w14:textId="77777777" w:rsidR="007113FE" w:rsidRPr="00C83549" w:rsidRDefault="007113FE" w:rsidP="007113FE">
      <w:pPr>
        <w:rPr>
          <w:rFonts w:ascii="Times New Roman" w:hAnsi="Times New Roman"/>
        </w:rPr>
      </w:pPr>
      <w:r w:rsidRPr="00C83549">
        <w:rPr>
          <w:rFonts w:ascii="Times New Roman" w:hAnsi="Times New Roman"/>
        </w:rPr>
        <w:t>Husleieindeksen i KPI består av betalt husleie og beregnet husleie. Betalt husleie er husleie fra leietakere, mens beregnet husleie skal uttrykke verdien av tjenesten selveiere og andelseiere får av boligen sin. Prisen på denne tjenesten antas å følge utviklingen i leieprisen på tilsvarende boliger i leiemarkedet. Figur 2.</w:t>
      </w:r>
      <w:r>
        <w:rPr>
          <w:rFonts w:ascii="Times New Roman" w:hAnsi="Times New Roman"/>
        </w:rPr>
        <w:t>4</w:t>
      </w:r>
      <w:r w:rsidRPr="00C83549">
        <w:rPr>
          <w:rFonts w:ascii="Times New Roman" w:hAnsi="Times New Roman"/>
        </w:rPr>
        <w:t xml:space="preserve"> viser utviklingen i husleiene inkludert fritidsbolig juster</w:t>
      </w:r>
      <w:r>
        <w:rPr>
          <w:rFonts w:ascii="Times New Roman" w:hAnsi="Times New Roman"/>
        </w:rPr>
        <w:t>t for avgiftsendringer. Fra 2014 til 2015 steg husleiene med 2,4 prosent, ned fra 2,8</w:t>
      </w:r>
      <w:r w:rsidRPr="00C83549">
        <w:rPr>
          <w:rFonts w:ascii="Times New Roman" w:hAnsi="Times New Roman"/>
        </w:rPr>
        <w:t xml:space="preserve"> prosent året før. Tolvmånedersveksten i husleiene avtok </w:t>
      </w:r>
      <w:r>
        <w:rPr>
          <w:rFonts w:ascii="Times New Roman" w:hAnsi="Times New Roman"/>
        </w:rPr>
        <w:t xml:space="preserve">fra 2,6 prosent i januar i fjor til 2,1 prosent i desember, se figur 2.4. </w:t>
      </w:r>
      <w:r w:rsidRPr="00C83549">
        <w:rPr>
          <w:rFonts w:ascii="Times New Roman" w:hAnsi="Times New Roman"/>
        </w:rPr>
        <w:t>Prisene på andre tjenes</w:t>
      </w:r>
      <w:r>
        <w:rPr>
          <w:rFonts w:ascii="Times New Roman" w:hAnsi="Times New Roman"/>
        </w:rPr>
        <w:t>ter steg med 2,4 prosent i 2015 etter en økning på 2,8 prosent i 2014</w:t>
      </w:r>
      <w:r w:rsidRPr="00C83549">
        <w:rPr>
          <w:rFonts w:ascii="Times New Roman" w:hAnsi="Times New Roman"/>
        </w:rPr>
        <w:t>.</w:t>
      </w:r>
      <w:r>
        <w:rPr>
          <w:rFonts w:ascii="Times New Roman" w:hAnsi="Times New Roman"/>
        </w:rPr>
        <w:t xml:space="preserve"> Tolvmånedersveksten varierte betydelig gjennom første halvår, fra 1,3 prosent i april til 3,2 prosent i juni, men holdt seg forholdsvis stabil omkring 2½ prosent i andre halvår. </w:t>
      </w:r>
    </w:p>
    <w:p w14:paraId="33AB4175" w14:textId="77777777" w:rsidR="007113FE" w:rsidRPr="00C83549" w:rsidRDefault="007113FE" w:rsidP="007113FE">
      <w:pPr>
        <w:pStyle w:val="Default"/>
      </w:pPr>
    </w:p>
    <w:p w14:paraId="4BFAE68B" w14:textId="77777777" w:rsidR="007113FE" w:rsidRPr="00C83549" w:rsidRDefault="007113FE" w:rsidP="007113FE">
      <w:pPr>
        <w:rPr>
          <w:rFonts w:ascii="Times New Roman" w:hAnsi="Times New Roman"/>
        </w:rPr>
      </w:pPr>
      <w:r>
        <w:rPr>
          <w:rFonts w:ascii="Times New Roman" w:hAnsi="Times New Roman"/>
          <w:noProof/>
        </w:rPr>
        <w:drawing>
          <wp:inline distT="0" distB="0" distL="0" distR="0" wp14:anchorId="1AF8E17E" wp14:editId="58EF5E76">
            <wp:extent cx="2714625" cy="2571750"/>
            <wp:effectExtent l="0" t="0" r="9525" b="0"/>
            <wp:docPr id="91" name="Bilde 91" descr="C:\Users\aka\AppData\Local\Microsoft\Windows\Temporary Internet Files\Content.Outlook\PT0CSEUM\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AppData\Local\Microsoft\Windows\Temporary Internet Files\Content.Outlook\PT0CSEUM\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571750"/>
                    </a:xfrm>
                    <a:prstGeom prst="rect">
                      <a:avLst/>
                    </a:prstGeom>
                    <a:noFill/>
                    <a:ln>
                      <a:noFill/>
                    </a:ln>
                  </pic:spPr>
                </pic:pic>
              </a:graphicData>
            </a:graphic>
          </wp:inline>
        </w:drawing>
      </w:r>
    </w:p>
    <w:p w14:paraId="736B2F72" w14:textId="77777777" w:rsidR="007113FE" w:rsidRPr="000D0B73" w:rsidRDefault="007113FE" w:rsidP="007113FE">
      <w:pPr>
        <w:pStyle w:val="figur-tittel"/>
      </w:pPr>
      <w:r w:rsidRPr="000D0B73">
        <w:t>KPI-JAE etter leveringssektor: Andre tjenester og</w:t>
      </w:r>
      <w:r>
        <w:t xml:space="preserve"> husleie inkl. fritidsbolig</w:t>
      </w:r>
      <w:r w:rsidRPr="000D0B73">
        <w:t>. Prosentvis vekst fra samme måned året før</w:t>
      </w:r>
    </w:p>
    <w:p w14:paraId="72081728" w14:textId="77777777" w:rsidR="007113FE" w:rsidRPr="00C83549" w:rsidRDefault="007113FE" w:rsidP="007113FE">
      <w:pPr>
        <w:rPr>
          <w:rFonts w:ascii="Times New Roman" w:hAnsi="Times New Roman"/>
          <w:sz w:val="20"/>
        </w:rPr>
      </w:pPr>
      <w:r w:rsidRPr="00C83549">
        <w:rPr>
          <w:rFonts w:ascii="Times New Roman" w:hAnsi="Times New Roman"/>
          <w:sz w:val="20"/>
        </w:rPr>
        <w:t>Kilde: Statistisk sentralbyrå</w:t>
      </w:r>
    </w:p>
    <w:p w14:paraId="3B6D455B" w14:textId="77777777" w:rsidR="007113FE" w:rsidRPr="00636955" w:rsidRDefault="007113FE" w:rsidP="007113FE">
      <w:pPr>
        <w:pStyle w:val="tabell-tittel"/>
      </w:pPr>
      <w:r w:rsidRPr="00C83549">
        <w:br w:type="column"/>
      </w:r>
      <w:r w:rsidRPr="00636955">
        <w:t>Konsumprisindeksen justert for avgiftsendringer og utenom energivarer (KPI-JAE), etter leveringssektor</w:t>
      </w:r>
      <w:r>
        <w:rPr>
          <w:vertAlign w:val="superscript"/>
        </w:rPr>
        <w:t>1</w:t>
      </w:r>
    </w:p>
    <w:tbl>
      <w:tblPr>
        <w:tblW w:w="5128" w:type="pct"/>
        <w:tblCellMar>
          <w:left w:w="70" w:type="dxa"/>
          <w:right w:w="70" w:type="dxa"/>
        </w:tblCellMar>
        <w:tblLook w:val="00A0" w:firstRow="1" w:lastRow="0" w:firstColumn="1" w:lastColumn="0" w:noHBand="0" w:noVBand="0"/>
      </w:tblPr>
      <w:tblGrid>
        <w:gridCol w:w="4362"/>
        <w:gridCol w:w="706"/>
        <w:gridCol w:w="603"/>
        <w:gridCol w:w="603"/>
        <w:gridCol w:w="601"/>
        <w:gridCol w:w="753"/>
        <w:gridCol w:w="600"/>
        <w:gridCol w:w="1074"/>
      </w:tblGrid>
      <w:tr w:rsidR="007113FE" w:rsidRPr="009C4AEB" w14:paraId="519CB104" w14:textId="77777777" w:rsidTr="00846451">
        <w:trPr>
          <w:trHeight w:val="445"/>
        </w:trPr>
        <w:tc>
          <w:tcPr>
            <w:tcW w:w="2362" w:type="pct"/>
            <w:tcBorders>
              <w:top w:val="single" w:sz="4" w:space="0" w:color="auto"/>
            </w:tcBorders>
            <w:vAlign w:val="center"/>
          </w:tcPr>
          <w:p w14:paraId="6A0A7638" w14:textId="77777777" w:rsidR="007113FE" w:rsidRPr="00C83549" w:rsidRDefault="007113FE" w:rsidP="00846451">
            <w:pPr>
              <w:rPr>
                <w:rFonts w:ascii="Times New Roman" w:hAnsi="Times New Roman"/>
              </w:rPr>
            </w:pPr>
          </w:p>
        </w:tc>
        <w:tc>
          <w:tcPr>
            <w:tcW w:w="396" w:type="pct"/>
            <w:tcBorders>
              <w:top w:val="single" w:sz="4" w:space="0" w:color="auto"/>
            </w:tcBorders>
            <w:vAlign w:val="center"/>
          </w:tcPr>
          <w:p w14:paraId="2E662B18" w14:textId="77777777" w:rsidR="007113FE" w:rsidRPr="009C4AEB" w:rsidRDefault="007113FE" w:rsidP="00846451">
            <w:pPr>
              <w:spacing w:after="0"/>
              <w:jc w:val="right"/>
              <w:rPr>
                <w:rFonts w:ascii="Times New Roman" w:hAnsi="Times New Roman"/>
                <w:sz w:val="23"/>
                <w:szCs w:val="23"/>
              </w:rPr>
            </w:pPr>
            <w:r w:rsidRPr="009C4AEB">
              <w:rPr>
                <w:rFonts w:ascii="Times New Roman" w:hAnsi="Times New Roman"/>
                <w:sz w:val="23"/>
                <w:szCs w:val="23"/>
              </w:rPr>
              <w:t>Vekt</w:t>
            </w:r>
            <w:r>
              <w:rPr>
                <w:rFonts w:ascii="Times New Roman" w:hAnsi="Times New Roman"/>
                <w:sz w:val="23"/>
                <w:szCs w:val="23"/>
                <w:vertAlign w:val="superscript"/>
              </w:rPr>
              <w:t>2</w:t>
            </w:r>
          </w:p>
        </w:tc>
        <w:tc>
          <w:tcPr>
            <w:tcW w:w="2242" w:type="pct"/>
            <w:gridSpan w:val="6"/>
            <w:tcBorders>
              <w:top w:val="single" w:sz="4" w:space="0" w:color="auto"/>
            </w:tcBorders>
            <w:noWrap/>
            <w:vAlign w:val="center"/>
            <w:hideMark/>
          </w:tcPr>
          <w:p w14:paraId="20900F03" w14:textId="77777777" w:rsidR="007113FE" w:rsidRPr="009C4AEB" w:rsidRDefault="007113FE" w:rsidP="00846451">
            <w:pPr>
              <w:spacing w:after="0"/>
              <w:jc w:val="right"/>
              <w:rPr>
                <w:rFonts w:ascii="Times New Roman" w:hAnsi="Times New Roman"/>
                <w:sz w:val="23"/>
                <w:szCs w:val="23"/>
              </w:rPr>
            </w:pPr>
            <w:r w:rsidRPr="009C4AEB">
              <w:rPr>
                <w:rFonts w:ascii="Times New Roman" w:hAnsi="Times New Roman"/>
                <w:sz w:val="23"/>
                <w:szCs w:val="23"/>
              </w:rPr>
              <w:t>Endring i prosent fra samme periode året før</w:t>
            </w:r>
          </w:p>
        </w:tc>
      </w:tr>
      <w:tr w:rsidR="007113FE" w:rsidRPr="00353A4D" w14:paraId="42BC05B4" w14:textId="77777777" w:rsidTr="00846451">
        <w:trPr>
          <w:trHeight w:val="388"/>
        </w:trPr>
        <w:tc>
          <w:tcPr>
            <w:tcW w:w="2362" w:type="pct"/>
            <w:noWrap/>
            <w:vAlign w:val="center"/>
          </w:tcPr>
          <w:p w14:paraId="033FD8DF" w14:textId="77777777" w:rsidR="007113FE" w:rsidRPr="00F009F4" w:rsidRDefault="007113FE" w:rsidP="00846451">
            <w:pPr>
              <w:rPr>
                <w:rFonts w:ascii="Times New Roman" w:hAnsi="Times New Roman"/>
                <w:b/>
              </w:rPr>
            </w:pPr>
          </w:p>
        </w:tc>
        <w:tc>
          <w:tcPr>
            <w:tcW w:w="396" w:type="pct"/>
            <w:noWrap/>
            <w:vAlign w:val="center"/>
            <w:hideMark/>
          </w:tcPr>
          <w:p w14:paraId="436FA480" w14:textId="77777777" w:rsidR="007113FE" w:rsidRPr="00C83549" w:rsidRDefault="007113FE" w:rsidP="00846451">
            <w:pPr>
              <w:jc w:val="right"/>
              <w:rPr>
                <w:rFonts w:ascii="Times New Roman" w:hAnsi="Times New Roman"/>
              </w:rPr>
            </w:pPr>
          </w:p>
        </w:tc>
        <w:tc>
          <w:tcPr>
            <w:tcW w:w="319" w:type="pct"/>
            <w:tcBorders>
              <w:top w:val="single" w:sz="4" w:space="0" w:color="auto"/>
              <w:left w:val="nil"/>
              <w:bottom w:val="nil"/>
              <w:right w:val="nil"/>
            </w:tcBorders>
            <w:vAlign w:val="center"/>
          </w:tcPr>
          <w:p w14:paraId="2D0692E7"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2011</w:t>
            </w:r>
          </w:p>
        </w:tc>
        <w:tc>
          <w:tcPr>
            <w:tcW w:w="319" w:type="pct"/>
            <w:tcBorders>
              <w:top w:val="single" w:sz="4" w:space="0" w:color="auto"/>
              <w:left w:val="nil"/>
              <w:bottom w:val="nil"/>
              <w:right w:val="nil"/>
            </w:tcBorders>
            <w:vAlign w:val="center"/>
          </w:tcPr>
          <w:p w14:paraId="703E6E93"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2012</w:t>
            </w:r>
          </w:p>
        </w:tc>
        <w:tc>
          <w:tcPr>
            <w:tcW w:w="318" w:type="pct"/>
            <w:tcBorders>
              <w:top w:val="single" w:sz="4" w:space="0" w:color="auto"/>
              <w:left w:val="nil"/>
              <w:bottom w:val="nil"/>
              <w:right w:val="nil"/>
            </w:tcBorders>
            <w:noWrap/>
            <w:vAlign w:val="center"/>
          </w:tcPr>
          <w:p w14:paraId="2624E242"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2013</w:t>
            </w:r>
          </w:p>
        </w:tc>
        <w:tc>
          <w:tcPr>
            <w:tcW w:w="399" w:type="pct"/>
            <w:tcBorders>
              <w:top w:val="single" w:sz="4" w:space="0" w:color="auto"/>
              <w:left w:val="nil"/>
              <w:bottom w:val="nil"/>
              <w:right w:val="nil"/>
            </w:tcBorders>
            <w:noWrap/>
            <w:vAlign w:val="center"/>
          </w:tcPr>
          <w:p w14:paraId="7008C455"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2014</w:t>
            </w:r>
          </w:p>
        </w:tc>
        <w:tc>
          <w:tcPr>
            <w:tcW w:w="318" w:type="pct"/>
            <w:tcBorders>
              <w:top w:val="single" w:sz="4" w:space="0" w:color="auto"/>
              <w:left w:val="nil"/>
              <w:bottom w:val="nil"/>
              <w:right w:val="nil"/>
            </w:tcBorders>
            <w:noWrap/>
            <w:vAlign w:val="center"/>
          </w:tcPr>
          <w:p w14:paraId="1B60E03A"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2015</w:t>
            </w:r>
          </w:p>
        </w:tc>
        <w:tc>
          <w:tcPr>
            <w:tcW w:w="568" w:type="pct"/>
            <w:tcBorders>
              <w:top w:val="single" w:sz="4" w:space="0" w:color="auto"/>
              <w:left w:val="nil"/>
              <w:bottom w:val="nil"/>
              <w:right w:val="nil"/>
            </w:tcBorders>
            <w:vAlign w:val="center"/>
            <w:hideMark/>
          </w:tcPr>
          <w:p w14:paraId="6E86C18C" w14:textId="77777777" w:rsidR="007113FE" w:rsidRPr="00353A4D" w:rsidRDefault="007113FE" w:rsidP="00846451">
            <w:pPr>
              <w:spacing w:after="0"/>
              <w:jc w:val="right"/>
              <w:rPr>
                <w:rFonts w:ascii="Times New Roman" w:hAnsi="Times New Roman"/>
                <w:sz w:val="23"/>
                <w:szCs w:val="23"/>
              </w:rPr>
            </w:pPr>
            <w:r w:rsidRPr="00353A4D">
              <w:rPr>
                <w:rFonts w:ascii="Times New Roman" w:hAnsi="Times New Roman"/>
                <w:sz w:val="23"/>
                <w:szCs w:val="23"/>
              </w:rPr>
              <w:t>jan.2016</w:t>
            </w:r>
          </w:p>
        </w:tc>
      </w:tr>
      <w:tr w:rsidR="007113FE" w:rsidRPr="009C4AEB" w14:paraId="230615EF" w14:textId="77777777" w:rsidTr="00846451">
        <w:trPr>
          <w:trHeight w:val="388"/>
        </w:trPr>
        <w:tc>
          <w:tcPr>
            <w:tcW w:w="2362" w:type="pct"/>
            <w:tcBorders>
              <w:top w:val="single" w:sz="4" w:space="0" w:color="auto"/>
              <w:left w:val="nil"/>
              <w:bottom w:val="single" w:sz="4" w:space="0" w:color="auto"/>
              <w:right w:val="nil"/>
            </w:tcBorders>
            <w:noWrap/>
            <w:vAlign w:val="center"/>
            <w:hideMark/>
          </w:tcPr>
          <w:p w14:paraId="4233AF52" w14:textId="77777777" w:rsidR="007113FE" w:rsidRPr="00C83549" w:rsidRDefault="007113FE" w:rsidP="00846451">
            <w:pPr>
              <w:rPr>
                <w:rFonts w:ascii="Times New Roman" w:hAnsi="Times New Roman"/>
              </w:rPr>
            </w:pPr>
            <w:r w:rsidRPr="00C83549">
              <w:rPr>
                <w:rFonts w:ascii="Times New Roman" w:hAnsi="Times New Roman"/>
              </w:rPr>
              <w:t>Totalt</w:t>
            </w:r>
          </w:p>
        </w:tc>
        <w:tc>
          <w:tcPr>
            <w:tcW w:w="396" w:type="pct"/>
            <w:tcBorders>
              <w:top w:val="single" w:sz="4" w:space="0" w:color="auto"/>
              <w:left w:val="nil"/>
              <w:bottom w:val="single" w:sz="4" w:space="0" w:color="auto"/>
              <w:right w:val="nil"/>
            </w:tcBorders>
            <w:noWrap/>
            <w:vAlign w:val="bottom"/>
            <w:hideMark/>
          </w:tcPr>
          <w:p w14:paraId="53D9A9F7" w14:textId="77777777" w:rsidR="007113FE" w:rsidRPr="00363F47" w:rsidRDefault="007113FE" w:rsidP="00846451">
            <w:pPr>
              <w:spacing w:after="60"/>
              <w:jc w:val="center"/>
              <w:rPr>
                <w:rFonts w:ascii="Times New Roman" w:hAnsi="Times New Roman"/>
                <w:sz w:val="23"/>
                <w:szCs w:val="23"/>
              </w:rPr>
            </w:pPr>
            <w:r w:rsidRPr="00363F47">
              <w:rPr>
                <w:rFonts w:ascii="Times New Roman" w:hAnsi="Times New Roman"/>
                <w:sz w:val="23"/>
                <w:szCs w:val="23"/>
              </w:rPr>
              <w:t>1000</w:t>
            </w:r>
          </w:p>
        </w:tc>
        <w:tc>
          <w:tcPr>
            <w:tcW w:w="319" w:type="pct"/>
            <w:tcBorders>
              <w:top w:val="single" w:sz="4" w:space="0" w:color="auto"/>
              <w:left w:val="nil"/>
              <w:bottom w:val="single" w:sz="4" w:space="0" w:color="auto"/>
              <w:right w:val="nil"/>
            </w:tcBorders>
            <w:vAlign w:val="center"/>
          </w:tcPr>
          <w:p w14:paraId="605A4604" w14:textId="77777777" w:rsidR="007113FE" w:rsidRPr="00363F47" w:rsidRDefault="007113FE" w:rsidP="00846451">
            <w:pPr>
              <w:spacing w:after="0"/>
              <w:jc w:val="right"/>
              <w:rPr>
                <w:rFonts w:ascii="Times New Roman" w:hAnsi="Times New Roman"/>
                <w:sz w:val="23"/>
                <w:szCs w:val="23"/>
              </w:rPr>
            </w:pPr>
            <w:r w:rsidRPr="00363F47">
              <w:rPr>
                <w:rFonts w:ascii="Times New Roman" w:hAnsi="Times New Roman"/>
                <w:sz w:val="23"/>
                <w:szCs w:val="23"/>
              </w:rPr>
              <w:t>0,9</w:t>
            </w:r>
          </w:p>
        </w:tc>
        <w:tc>
          <w:tcPr>
            <w:tcW w:w="319" w:type="pct"/>
            <w:tcBorders>
              <w:top w:val="single" w:sz="4" w:space="0" w:color="auto"/>
              <w:left w:val="nil"/>
              <w:bottom w:val="single" w:sz="4" w:space="0" w:color="auto"/>
              <w:right w:val="nil"/>
            </w:tcBorders>
            <w:vAlign w:val="center"/>
          </w:tcPr>
          <w:p w14:paraId="023CE6C4" w14:textId="77777777" w:rsidR="007113FE" w:rsidRPr="00363F47" w:rsidRDefault="007113FE" w:rsidP="00846451">
            <w:pPr>
              <w:spacing w:after="0"/>
              <w:jc w:val="right"/>
              <w:rPr>
                <w:rFonts w:ascii="Times New Roman" w:hAnsi="Times New Roman"/>
                <w:sz w:val="23"/>
                <w:szCs w:val="23"/>
              </w:rPr>
            </w:pPr>
            <w:r w:rsidRPr="00363F47">
              <w:rPr>
                <w:rFonts w:ascii="Times New Roman" w:hAnsi="Times New Roman"/>
                <w:sz w:val="23"/>
                <w:szCs w:val="23"/>
              </w:rPr>
              <w:t>1,2</w:t>
            </w:r>
          </w:p>
        </w:tc>
        <w:tc>
          <w:tcPr>
            <w:tcW w:w="318" w:type="pct"/>
            <w:tcBorders>
              <w:top w:val="single" w:sz="4" w:space="0" w:color="auto"/>
              <w:left w:val="nil"/>
              <w:bottom w:val="single" w:sz="4" w:space="0" w:color="auto"/>
              <w:right w:val="nil"/>
            </w:tcBorders>
            <w:noWrap/>
            <w:vAlign w:val="center"/>
          </w:tcPr>
          <w:p w14:paraId="756DA279" w14:textId="77777777" w:rsidR="007113FE" w:rsidRPr="00363F47" w:rsidRDefault="007113FE" w:rsidP="00846451">
            <w:pPr>
              <w:spacing w:after="0"/>
              <w:jc w:val="right"/>
              <w:rPr>
                <w:rFonts w:ascii="Times New Roman" w:hAnsi="Times New Roman"/>
                <w:sz w:val="23"/>
                <w:szCs w:val="23"/>
              </w:rPr>
            </w:pPr>
            <w:r w:rsidRPr="00363F47">
              <w:rPr>
                <w:rFonts w:ascii="Times New Roman" w:hAnsi="Times New Roman"/>
                <w:sz w:val="23"/>
                <w:szCs w:val="23"/>
              </w:rPr>
              <w:t>1,6</w:t>
            </w:r>
          </w:p>
        </w:tc>
        <w:tc>
          <w:tcPr>
            <w:tcW w:w="399" w:type="pct"/>
            <w:tcBorders>
              <w:top w:val="single" w:sz="4" w:space="0" w:color="auto"/>
              <w:left w:val="nil"/>
              <w:bottom w:val="single" w:sz="4" w:space="0" w:color="auto"/>
              <w:right w:val="nil"/>
            </w:tcBorders>
            <w:noWrap/>
            <w:vAlign w:val="center"/>
          </w:tcPr>
          <w:p w14:paraId="09FF01C9" w14:textId="77777777" w:rsidR="007113FE" w:rsidRPr="00363F47" w:rsidRDefault="007113FE" w:rsidP="00846451">
            <w:pPr>
              <w:spacing w:after="0"/>
              <w:jc w:val="right"/>
              <w:rPr>
                <w:rFonts w:ascii="Times New Roman" w:hAnsi="Times New Roman"/>
                <w:sz w:val="23"/>
                <w:szCs w:val="23"/>
              </w:rPr>
            </w:pPr>
            <w:r w:rsidRPr="00363F47">
              <w:rPr>
                <w:rFonts w:ascii="Times New Roman" w:hAnsi="Times New Roman"/>
                <w:sz w:val="23"/>
                <w:szCs w:val="23"/>
              </w:rPr>
              <w:t>2,4</w:t>
            </w:r>
          </w:p>
        </w:tc>
        <w:tc>
          <w:tcPr>
            <w:tcW w:w="318" w:type="pct"/>
            <w:tcBorders>
              <w:top w:val="single" w:sz="4" w:space="0" w:color="auto"/>
              <w:left w:val="nil"/>
              <w:bottom w:val="single" w:sz="4" w:space="0" w:color="auto"/>
              <w:right w:val="nil"/>
            </w:tcBorders>
            <w:noWrap/>
            <w:vAlign w:val="center"/>
          </w:tcPr>
          <w:p w14:paraId="16F42FF3" w14:textId="77777777" w:rsidR="007113FE" w:rsidRPr="00363F47" w:rsidRDefault="007113FE" w:rsidP="00846451">
            <w:pPr>
              <w:spacing w:after="0"/>
              <w:jc w:val="right"/>
              <w:rPr>
                <w:rFonts w:ascii="Times New Roman" w:hAnsi="Times New Roman"/>
                <w:sz w:val="23"/>
                <w:szCs w:val="23"/>
              </w:rPr>
            </w:pPr>
            <w:r w:rsidRPr="00363F47">
              <w:rPr>
                <w:rFonts w:ascii="Times New Roman" w:hAnsi="Times New Roman"/>
                <w:sz w:val="23"/>
                <w:szCs w:val="23"/>
              </w:rPr>
              <w:t>2,7</w:t>
            </w:r>
          </w:p>
        </w:tc>
        <w:tc>
          <w:tcPr>
            <w:tcW w:w="568" w:type="pct"/>
            <w:tcBorders>
              <w:top w:val="single" w:sz="4" w:space="0" w:color="auto"/>
              <w:left w:val="nil"/>
              <w:bottom w:val="single" w:sz="4" w:space="0" w:color="auto"/>
              <w:right w:val="nil"/>
            </w:tcBorders>
            <w:vAlign w:val="center"/>
          </w:tcPr>
          <w:p w14:paraId="30E02C09" w14:textId="77777777" w:rsidR="007113FE" w:rsidRPr="009C4AEB" w:rsidRDefault="007113FE" w:rsidP="00846451">
            <w:pPr>
              <w:spacing w:after="0"/>
              <w:jc w:val="right"/>
              <w:rPr>
                <w:rFonts w:ascii="Times New Roman" w:hAnsi="Times New Roman"/>
                <w:sz w:val="23"/>
                <w:szCs w:val="23"/>
              </w:rPr>
            </w:pPr>
            <w:r>
              <w:rPr>
                <w:rFonts w:ascii="Times New Roman" w:hAnsi="Times New Roman"/>
                <w:sz w:val="23"/>
                <w:szCs w:val="23"/>
              </w:rPr>
              <w:t>3,0</w:t>
            </w:r>
          </w:p>
        </w:tc>
      </w:tr>
      <w:tr w:rsidR="007113FE" w:rsidRPr="00C83549" w14:paraId="6919FF80" w14:textId="77777777" w:rsidTr="00846451">
        <w:trPr>
          <w:trHeight w:val="388"/>
        </w:trPr>
        <w:tc>
          <w:tcPr>
            <w:tcW w:w="2362" w:type="pct"/>
            <w:noWrap/>
            <w:vAlign w:val="bottom"/>
            <w:hideMark/>
          </w:tcPr>
          <w:p w14:paraId="3B84424C" w14:textId="77777777" w:rsidR="007113FE" w:rsidRPr="00C83549" w:rsidRDefault="007113FE" w:rsidP="00846451">
            <w:pPr>
              <w:spacing w:after="60"/>
              <w:rPr>
                <w:rFonts w:ascii="Times New Roman" w:hAnsi="Times New Roman"/>
              </w:rPr>
            </w:pPr>
            <w:r w:rsidRPr="00CD40F0">
              <w:rPr>
                <w:rFonts w:ascii="Times New Roman" w:hAnsi="Times New Roman"/>
                <w:sz w:val="23"/>
                <w:szCs w:val="23"/>
              </w:rPr>
              <w:t>Jordbruksvarer</w:t>
            </w:r>
          </w:p>
        </w:tc>
        <w:tc>
          <w:tcPr>
            <w:tcW w:w="396" w:type="pct"/>
            <w:noWrap/>
            <w:vAlign w:val="bottom"/>
          </w:tcPr>
          <w:p w14:paraId="5BF03A98" w14:textId="77777777" w:rsidR="007113FE" w:rsidRPr="00363F47" w:rsidRDefault="007113FE" w:rsidP="00846451">
            <w:pPr>
              <w:spacing w:after="60"/>
              <w:jc w:val="center"/>
              <w:rPr>
                <w:rFonts w:ascii="Times New Roman" w:hAnsi="Times New Roman"/>
                <w:sz w:val="23"/>
                <w:szCs w:val="23"/>
              </w:rPr>
            </w:pPr>
            <w:r>
              <w:rPr>
                <w:rFonts w:ascii="Times New Roman" w:hAnsi="Times New Roman"/>
                <w:sz w:val="23"/>
                <w:szCs w:val="23"/>
              </w:rPr>
              <w:t>59,9</w:t>
            </w:r>
          </w:p>
        </w:tc>
        <w:tc>
          <w:tcPr>
            <w:tcW w:w="319" w:type="pct"/>
            <w:vAlign w:val="bottom"/>
          </w:tcPr>
          <w:p w14:paraId="2A04C305"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-2,3</w:t>
            </w:r>
          </w:p>
        </w:tc>
        <w:tc>
          <w:tcPr>
            <w:tcW w:w="319" w:type="pct"/>
            <w:vAlign w:val="bottom"/>
          </w:tcPr>
          <w:p w14:paraId="13BA5C94"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w:t>
            </w:r>
            <w:r>
              <w:rPr>
                <w:rFonts w:ascii="Times New Roman" w:hAnsi="Times New Roman"/>
                <w:sz w:val="23"/>
                <w:szCs w:val="23"/>
              </w:rPr>
              <w:t>,0</w:t>
            </w:r>
          </w:p>
        </w:tc>
        <w:tc>
          <w:tcPr>
            <w:tcW w:w="318" w:type="pct"/>
            <w:noWrap/>
            <w:vAlign w:val="bottom"/>
          </w:tcPr>
          <w:p w14:paraId="6F7E515C"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0,6</w:t>
            </w:r>
          </w:p>
        </w:tc>
        <w:tc>
          <w:tcPr>
            <w:tcW w:w="399" w:type="pct"/>
            <w:noWrap/>
            <w:vAlign w:val="bottom"/>
          </w:tcPr>
          <w:p w14:paraId="5C042E15"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2,7</w:t>
            </w:r>
          </w:p>
        </w:tc>
        <w:tc>
          <w:tcPr>
            <w:tcW w:w="318" w:type="pct"/>
            <w:noWrap/>
            <w:vAlign w:val="bottom"/>
          </w:tcPr>
          <w:p w14:paraId="2768B89E"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2,4</w:t>
            </w:r>
          </w:p>
        </w:tc>
        <w:tc>
          <w:tcPr>
            <w:tcW w:w="568" w:type="pct"/>
            <w:vAlign w:val="bottom"/>
          </w:tcPr>
          <w:p w14:paraId="777F48D5"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0,0</w:t>
            </w:r>
          </w:p>
        </w:tc>
      </w:tr>
      <w:tr w:rsidR="007113FE" w:rsidRPr="00C83549" w14:paraId="3DE712B0" w14:textId="77777777" w:rsidTr="00846451">
        <w:trPr>
          <w:trHeight w:val="388"/>
        </w:trPr>
        <w:tc>
          <w:tcPr>
            <w:tcW w:w="2362" w:type="pct"/>
            <w:noWrap/>
            <w:vAlign w:val="bottom"/>
            <w:hideMark/>
          </w:tcPr>
          <w:p w14:paraId="256BAF89" w14:textId="77777777" w:rsidR="007113FE" w:rsidRPr="00182949" w:rsidRDefault="007113FE" w:rsidP="00846451">
            <w:pPr>
              <w:spacing w:after="60"/>
              <w:rPr>
                <w:rFonts w:ascii="Times New Roman" w:hAnsi="Times New Roman"/>
                <w:sz w:val="23"/>
                <w:szCs w:val="23"/>
              </w:rPr>
            </w:pPr>
            <w:r w:rsidRPr="00CD40F0">
              <w:rPr>
                <w:rFonts w:ascii="Times New Roman" w:hAnsi="Times New Roman"/>
                <w:sz w:val="23"/>
                <w:szCs w:val="23"/>
              </w:rPr>
              <w:t>Fiskevarer</w:t>
            </w:r>
          </w:p>
        </w:tc>
        <w:tc>
          <w:tcPr>
            <w:tcW w:w="396" w:type="pct"/>
            <w:noWrap/>
            <w:vAlign w:val="bottom"/>
          </w:tcPr>
          <w:p w14:paraId="2F39F309" w14:textId="77777777" w:rsidR="007113FE" w:rsidRPr="00363F47" w:rsidRDefault="007113FE" w:rsidP="00846451">
            <w:pPr>
              <w:spacing w:after="60"/>
              <w:jc w:val="center"/>
              <w:rPr>
                <w:rFonts w:ascii="Times New Roman" w:hAnsi="Times New Roman"/>
                <w:sz w:val="23"/>
                <w:szCs w:val="23"/>
              </w:rPr>
            </w:pPr>
            <w:r>
              <w:rPr>
                <w:rFonts w:ascii="Times New Roman" w:hAnsi="Times New Roman"/>
                <w:sz w:val="23"/>
                <w:szCs w:val="23"/>
              </w:rPr>
              <w:t>6,9</w:t>
            </w:r>
          </w:p>
        </w:tc>
        <w:tc>
          <w:tcPr>
            <w:tcW w:w="319" w:type="pct"/>
            <w:vAlign w:val="bottom"/>
          </w:tcPr>
          <w:p w14:paraId="5D2D790F"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3,7</w:t>
            </w:r>
          </w:p>
        </w:tc>
        <w:tc>
          <w:tcPr>
            <w:tcW w:w="319" w:type="pct"/>
            <w:vAlign w:val="bottom"/>
          </w:tcPr>
          <w:p w14:paraId="348A17A8"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0,9</w:t>
            </w:r>
          </w:p>
        </w:tc>
        <w:tc>
          <w:tcPr>
            <w:tcW w:w="318" w:type="pct"/>
            <w:noWrap/>
            <w:vAlign w:val="bottom"/>
          </w:tcPr>
          <w:p w14:paraId="30BA4E64"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0,5</w:t>
            </w:r>
          </w:p>
        </w:tc>
        <w:tc>
          <w:tcPr>
            <w:tcW w:w="399" w:type="pct"/>
            <w:noWrap/>
            <w:vAlign w:val="bottom"/>
          </w:tcPr>
          <w:p w14:paraId="765E1B4E"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5,2</w:t>
            </w:r>
          </w:p>
        </w:tc>
        <w:tc>
          <w:tcPr>
            <w:tcW w:w="318" w:type="pct"/>
            <w:noWrap/>
            <w:vAlign w:val="bottom"/>
          </w:tcPr>
          <w:p w14:paraId="134A7C65"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4,6</w:t>
            </w:r>
          </w:p>
        </w:tc>
        <w:tc>
          <w:tcPr>
            <w:tcW w:w="568" w:type="pct"/>
            <w:vAlign w:val="center"/>
          </w:tcPr>
          <w:p w14:paraId="2B92E850" w14:textId="77777777" w:rsidR="007113FE" w:rsidRPr="00A2560D" w:rsidRDefault="007113FE" w:rsidP="00846451">
            <w:pPr>
              <w:spacing w:after="60"/>
              <w:jc w:val="right"/>
              <w:rPr>
                <w:rFonts w:ascii="Times New Roman" w:hAnsi="Times New Roman"/>
                <w:sz w:val="23"/>
                <w:szCs w:val="23"/>
              </w:rPr>
            </w:pPr>
          </w:p>
        </w:tc>
      </w:tr>
      <w:tr w:rsidR="007113FE" w:rsidRPr="00F315CB" w14:paraId="74380EEC" w14:textId="77777777" w:rsidTr="00846451">
        <w:trPr>
          <w:trHeight w:val="388"/>
        </w:trPr>
        <w:tc>
          <w:tcPr>
            <w:tcW w:w="2362" w:type="pct"/>
            <w:noWrap/>
            <w:vAlign w:val="bottom"/>
            <w:hideMark/>
          </w:tcPr>
          <w:p w14:paraId="64C4CAAB"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Andre norskproduserte konsumvarer</w:t>
            </w:r>
          </w:p>
        </w:tc>
        <w:tc>
          <w:tcPr>
            <w:tcW w:w="396" w:type="pct"/>
            <w:noWrap/>
            <w:vAlign w:val="bottom"/>
          </w:tcPr>
          <w:p w14:paraId="6C9FEF10" w14:textId="77777777" w:rsidR="007113FE" w:rsidRPr="00363F47" w:rsidRDefault="007113FE" w:rsidP="00846451">
            <w:pPr>
              <w:spacing w:after="60"/>
              <w:jc w:val="center"/>
              <w:rPr>
                <w:rFonts w:ascii="Times New Roman" w:hAnsi="Times New Roman"/>
                <w:sz w:val="23"/>
                <w:szCs w:val="23"/>
              </w:rPr>
            </w:pPr>
            <w:r w:rsidRPr="00363F47">
              <w:rPr>
                <w:rFonts w:ascii="Times New Roman" w:hAnsi="Times New Roman"/>
                <w:sz w:val="23"/>
                <w:szCs w:val="23"/>
              </w:rPr>
              <w:t>1</w:t>
            </w:r>
            <w:r>
              <w:rPr>
                <w:rFonts w:ascii="Times New Roman" w:hAnsi="Times New Roman"/>
                <w:sz w:val="23"/>
                <w:szCs w:val="23"/>
              </w:rPr>
              <w:t>04</w:t>
            </w:r>
            <w:r w:rsidRPr="00363F47">
              <w:rPr>
                <w:rFonts w:ascii="Times New Roman" w:hAnsi="Times New Roman"/>
                <w:sz w:val="23"/>
                <w:szCs w:val="23"/>
              </w:rPr>
              <w:t>,</w:t>
            </w:r>
            <w:r>
              <w:rPr>
                <w:rFonts w:ascii="Times New Roman" w:hAnsi="Times New Roman"/>
                <w:sz w:val="23"/>
                <w:szCs w:val="23"/>
              </w:rPr>
              <w:t>8</w:t>
            </w:r>
          </w:p>
        </w:tc>
        <w:tc>
          <w:tcPr>
            <w:tcW w:w="319" w:type="pct"/>
            <w:vAlign w:val="bottom"/>
          </w:tcPr>
          <w:p w14:paraId="4EA33D0F"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2,1</w:t>
            </w:r>
          </w:p>
        </w:tc>
        <w:tc>
          <w:tcPr>
            <w:tcW w:w="319" w:type="pct"/>
            <w:vAlign w:val="bottom"/>
          </w:tcPr>
          <w:p w14:paraId="676A5937"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1,6</w:t>
            </w:r>
          </w:p>
        </w:tc>
        <w:tc>
          <w:tcPr>
            <w:tcW w:w="318" w:type="pct"/>
            <w:noWrap/>
            <w:vAlign w:val="bottom"/>
          </w:tcPr>
          <w:p w14:paraId="75ED7AFA"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3,1</w:t>
            </w:r>
          </w:p>
        </w:tc>
        <w:tc>
          <w:tcPr>
            <w:tcW w:w="399" w:type="pct"/>
            <w:noWrap/>
            <w:vAlign w:val="bottom"/>
          </w:tcPr>
          <w:p w14:paraId="3293CD85"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3,3</w:t>
            </w:r>
          </w:p>
        </w:tc>
        <w:tc>
          <w:tcPr>
            <w:tcW w:w="318" w:type="pct"/>
            <w:noWrap/>
            <w:vAlign w:val="bottom"/>
          </w:tcPr>
          <w:p w14:paraId="6B40352A"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3,6</w:t>
            </w:r>
          </w:p>
        </w:tc>
        <w:tc>
          <w:tcPr>
            <w:tcW w:w="568" w:type="pct"/>
            <w:vAlign w:val="bottom"/>
          </w:tcPr>
          <w:p w14:paraId="194481E6"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3,7</w:t>
            </w:r>
          </w:p>
        </w:tc>
      </w:tr>
      <w:tr w:rsidR="007113FE" w:rsidRPr="00C83549" w14:paraId="51B3D62A" w14:textId="77777777" w:rsidTr="00846451">
        <w:trPr>
          <w:trHeight w:val="388"/>
        </w:trPr>
        <w:tc>
          <w:tcPr>
            <w:tcW w:w="2362" w:type="pct"/>
            <w:noWrap/>
            <w:vAlign w:val="bottom"/>
            <w:hideMark/>
          </w:tcPr>
          <w:p w14:paraId="25A160AF"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Importerte konsumvarer</w:t>
            </w:r>
          </w:p>
        </w:tc>
        <w:tc>
          <w:tcPr>
            <w:tcW w:w="396" w:type="pct"/>
            <w:noWrap/>
            <w:vAlign w:val="bottom"/>
          </w:tcPr>
          <w:p w14:paraId="3B06D13F" w14:textId="77777777" w:rsidR="007113FE" w:rsidRPr="00363F47" w:rsidRDefault="007113FE" w:rsidP="00846451">
            <w:pPr>
              <w:spacing w:after="60"/>
              <w:jc w:val="center"/>
              <w:rPr>
                <w:rFonts w:ascii="Times New Roman" w:hAnsi="Times New Roman"/>
                <w:sz w:val="23"/>
                <w:szCs w:val="23"/>
              </w:rPr>
            </w:pPr>
            <w:r w:rsidRPr="00363F47">
              <w:rPr>
                <w:rFonts w:ascii="Times New Roman" w:hAnsi="Times New Roman"/>
                <w:sz w:val="23"/>
                <w:szCs w:val="23"/>
              </w:rPr>
              <w:t>3</w:t>
            </w:r>
            <w:r>
              <w:rPr>
                <w:rFonts w:ascii="Times New Roman" w:hAnsi="Times New Roman"/>
                <w:sz w:val="23"/>
                <w:szCs w:val="23"/>
              </w:rPr>
              <w:t>18</w:t>
            </w:r>
            <w:r w:rsidRPr="00363F47">
              <w:rPr>
                <w:rFonts w:ascii="Times New Roman" w:hAnsi="Times New Roman"/>
                <w:sz w:val="23"/>
                <w:szCs w:val="23"/>
              </w:rPr>
              <w:t>,</w:t>
            </w:r>
            <w:r>
              <w:rPr>
                <w:rFonts w:ascii="Times New Roman" w:hAnsi="Times New Roman"/>
                <w:sz w:val="23"/>
                <w:szCs w:val="23"/>
              </w:rPr>
              <w:t>1</w:t>
            </w:r>
          </w:p>
        </w:tc>
        <w:tc>
          <w:tcPr>
            <w:tcW w:w="319" w:type="pct"/>
            <w:vAlign w:val="bottom"/>
          </w:tcPr>
          <w:p w14:paraId="0F963628"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-0,8</w:t>
            </w:r>
          </w:p>
        </w:tc>
        <w:tc>
          <w:tcPr>
            <w:tcW w:w="319" w:type="pct"/>
            <w:vAlign w:val="bottom"/>
          </w:tcPr>
          <w:p w14:paraId="10A84EF6"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-0,7</w:t>
            </w:r>
          </w:p>
        </w:tc>
        <w:tc>
          <w:tcPr>
            <w:tcW w:w="318" w:type="pct"/>
            <w:noWrap/>
            <w:vAlign w:val="bottom"/>
          </w:tcPr>
          <w:p w14:paraId="23E9F036"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-0,2</w:t>
            </w:r>
          </w:p>
        </w:tc>
        <w:tc>
          <w:tcPr>
            <w:tcW w:w="399" w:type="pct"/>
            <w:noWrap/>
            <w:vAlign w:val="bottom"/>
          </w:tcPr>
          <w:p w14:paraId="60B10DF9"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1,4</w:t>
            </w:r>
          </w:p>
        </w:tc>
        <w:tc>
          <w:tcPr>
            <w:tcW w:w="318" w:type="pct"/>
            <w:noWrap/>
            <w:vAlign w:val="bottom"/>
          </w:tcPr>
          <w:p w14:paraId="0371F8CE"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w:t>
            </w:r>
            <w:r>
              <w:rPr>
                <w:rFonts w:ascii="Times New Roman" w:hAnsi="Times New Roman"/>
                <w:sz w:val="23"/>
                <w:szCs w:val="23"/>
              </w:rPr>
              <w:t>,0</w:t>
            </w:r>
          </w:p>
        </w:tc>
        <w:tc>
          <w:tcPr>
            <w:tcW w:w="568" w:type="pct"/>
            <w:vAlign w:val="bottom"/>
          </w:tcPr>
          <w:p w14:paraId="4662A72A"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4,</w:t>
            </w:r>
            <w:r>
              <w:rPr>
                <w:rFonts w:ascii="Times New Roman" w:hAnsi="Times New Roman"/>
                <w:sz w:val="23"/>
                <w:szCs w:val="23"/>
              </w:rPr>
              <w:t>6</w:t>
            </w:r>
          </w:p>
        </w:tc>
      </w:tr>
      <w:tr w:rsidR="007113FE" w:rsidRPr="00C83549" w14:paraId="3A01FBB3" w14:textId="77777777" w:rsidTr="00846451">
        <w:trPr>
          <w:trHeight w:val="388"/>
        </w:trPr>
        <w:tc>
          <w:tcPr>
            <w:tcW w:w="2362" w:type="pct"/>
            <w:noWrap/>
            <w:vAlign w:val="bottom"/>
            <w:hideMark/>
          </w:tcPr>
          <w:p w14:paraId="7B2BF646"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Husleie inkl. fritidsbolig</w:t>
            </w:r>
          </w:p>
        </w:tc>
        <w:tc>
          <w:tcPr>
            <w:tcW w:w="396" w:type="pct"/>
            <w:noWrap/>
            <w:vAlign w:val="bottom"/>
          </w:tcPr>
          <w:p w14:paraId="6093E6A5" w14:textId="77777777" w:rsidR="007113FE" w:rsidRPr="00363F47" w:rsidRDefault="007113FE" w:rsidP="00846451">
            <w:pPr>
              <w:spacing w:after="60"/>
              <w:jc w:val="center"/>
              <w:rPr>
                <w:rFonts w:ascii="Times New Roman" w:hAnsi="Times New Roman"/>
                <w:sz w:val="23"/>
                <w:szCs w:val="23"/>
              </w:rPr>
            </w:pPr>
            <w:r>
              <w:rPr>
                <w:rFonts w:ascii="Times New Roman" w:hAnsi="Times New Roman"/>
                <w:sz w:val="23"/>
                <w:szCs w:val="23"/>
              </w:rPr>
              <w:t>206,5</w:t>
            </w:r>
          </w:p>
        </w:tc>
        <w:tc>
          <w:tcPr>
            <w:tcW w:w="319" w:type="pct"/>
            <w:vAlign w:val="bottom"/>
          </w:tcPr>
          <w:p w14:paraId="250434AA"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2,1</w:t>
            </w:r>
          </w:p>
        </w:tc>
        <w:tc>
          <w:tcPr>
            <w:tcW w:w="319" w:type="pct"/>
            <w:vAlign w:val="bottom"/>
          </w:tcPr>
          <w:p w14:paraId="2D6526BD"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1,8</w:t>
            </w:r>
          </w:p>
        </w:tc>
        <w:tc>
          <w:tcPr>
            <w:tcW w:w="318" w:type="pct"/>
            <w:noWrap/>
            <w:vAlign w:val="bottom"/>
          </w:tcPr>
          <w:p w14:paraId="1C8BF75B"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w:t>
            </w:r>
            <w:r>
              <w:rPr>
                <w:rFonts w:ascii="Times New Roman" w:hAnsi="Times New Roman"/>
                <w:sz w:val="23"/>
                <w:szCs w:val="23"/>
              </w:rPr>
              <w:t>,0</w:t>
            </w:r>
          </w:p>
        </w:tc>
        <w:tc>
          <w:tcPr>
            <w:tcW w:w="399" w:type="pct"/>
            <w:noWrap/>
            <w:vAlign w:val="bottom"/>
          </w:tcPr>
          <w:p w14:paraId="409D179B"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2,8</w:t>
            </w:r>
          </w:p>
        </w:tc>
        <w:tc>
          <w:tcPr>
            <w:tcW w:w="318" w:type="pct"/>
            <w:vAlign w:val="bottom"/>
          </w:tcPr>
          <w:p w14:paraId="659F5BF7"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2,4</w:t>
            </w:r>
          </w:p>
        </w:tc>
        <w:tc>
          <w:tcPr>
            <w:tcW w:w="568" w:type="pct"/>
            <w:vAlign w:val="bottom"/>
          </w:tcPr>
          <w:p w14:paraId="2D97F796"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1,8</w:t>
            </w:r>
          </w:p>
        </w:tc>
      </w:tr>
      <w:tr w:rsidR="007113FE" w:rsidRPr="00C83549" w14:paraId="17C2C4C8" w14:textId="77777777" w:rsidTr="00846451">
        <w:trPr>
          <w:trHeight w:val="388"/>
        </w:trPr>
        <w:tc>
          <w:tcPr>
            <w:tcW w:w="2362" w:type="pct"/>
            <w:noWrap/>
            <w:vAlign w:val="bottom"/>
            <w:hideMark/>
          </w:tcPr>
          <w:p w14:paraId="7921E36E"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Andre tjenester</w:t>
            </w:r>
          </w:p>
        </w:tc>
        <w:tc>
          <w:tcPr>
            <w:tcW w:w="396" w:type="pct"/>
            <w:noWrap/>
            <w:vAlign w:val="bottom"/>
          </w:tcPr>
          <w:p w14:paraId="241EF843" w14:textId="77777777" w:rsidR="007113FE" w:rsidRPr="00363F47" w:rsidRDefault="007113FE" w:rsidP="00846451">
            <w:pPr>
              <w:spacing w:after="60"/>
              <w:jc w:val="center"/>
              <w:rPr>
                <w:rFonts w:ascii="Times New Roman" w:hAnsi="Times New Roman"/>
                <w:sz w:val="23"/>
                <w:szCs w:val="23"/>
              </w:rPr>
            </w:pPr>
            <w:r w:rsidRPr="00363F47">
              <w:rPr>
                <w:rFonts w:ascii="Times New Roman" w:hAnsi="Times New Roman"/>
                <w:sz w:val="23"/>
                <w:szCs w:val="23"/>
              </w:rPr>
              <w:t>30</w:t>
            </w:r>
            <w:r>
              <w:rPr>
                <w:rFonts w:ascii="Times New Roman" w:hAnsi="Times New Roman"/>
                <w:sz w:val="23"/>
                <w:szCs w:val="23"/>
              </w:rPr>
              <w:t>3</w:t>
            </w:r>
            <w:r w:rsidRPr="00363F47">
              <w:rPr>
                <w:rFonts w:ascii="Times New Roman" w:hAnsi="Times New Roman"/>
                <w:sz w:val="23"/>
                <w:szCs w:val="23"/>
              </w:rPr>
              <w:t>,</w:t>
            </w:r>
            <w:r>
              <w:rPr>
                <w:rFonts w:ascii="Times New Roman" w:hAnsi="Times New Roman"/>
                <w:sz w:val="23"/>
                <w:szCs w:val="23"/>
              </w:rPr>
              <w:t>7</w:t>
            </w:r>
          </w:p>
        </w:tc>
        <w:tc>
          <w:tcPr>
            <w:tcW w:w="319" w:type="pct"/>
            <w:vAlign w:val="bottom"/>
          </w:tcPr>
          <w:p w14:paraId="5326DB36"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w:t>
            </w:r>
            <w:r>
              <w:rPr>
                <w:rFonts w:ascii="Times New Roman" w:hAnsi="Times New Roman"/>
                <w:sz w:val="23"/>
                <w:szCs w:val="23"/>
              </w:rPr>
              <w:t>,0</w:t>
            </w:r>
          </w:p>
        </w:tc>
        <w:tc>
          <w:tcPr>
            <w:tcW w:w="319" w:type="pct"/>
            <w:vAlign w:val="bottom"/>
          </w:tcPr>
          <w:p w14:paraId="14B47B4A"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2,7</w:t>
            </w:r>
          </w:p>
        </w:tc>
        <w:tc>
          <w:tcPr>
            <w:tcW w:w="318" w:type="pct"/>
            <w:noWrap/>
            <w:vAlign w:val="bottom"/>
          </w:tcPr>
          <w:p w14:paraId="6AEA8319"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2,3</w:t>
            </w:r>
          </w:p>
        </w:tc>
        <w:tc>
          <w:tcPr>
            <w:tcW w:w="399" w:type="pct"/>
            <w:noWrap/>
            <w:vAlign w:val="bottom"/>
          </w:tcPr>
          <w:p w14:paraId="41B43F48"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2,8</w:t>
            </w:r>
          </w:p>
        </w:tc>
        <w:tc>
          <w:tcPr>
            <w:tcW w:w="318" w:type="pct"/>
            <w:vAlign w:val="bottom"/>
          </w:tcPr>
          <w:p w14:paraId="3AEC87E5"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2,4</w:t>
            </w:r>
          </w:p>
        </w:tc>
        <w:tc>
          <w:tcPr>
            <w:tcW w:w="568" w:type="pct"/>
            <w:vAlign w:val="bottom"/>
          </w:tcPr>
          <w:p w14:paraId="1F2634C2"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2,4</w:t>
            </w:r>
          </w:p>
        </w:tc>
      </w:tr>
      <w:tr w:rsidR="007113FE" w:rsidRPr="00C83549" w14:paraId="2040D73A" w14:textId="77777777" w:rsidTr="00846451">
        <w:trPr>
          <w:trHeight w:val="388"/>
        </w:trPr>
        <w:tc>
          <w:tcPr>
            <w:tcW w:w="2362" w:type="pct"/>
            <w:vAlign w:val="bottom"/>
            <w:hideMark/>
          </w:tcPr>
          <w:p w14:paraId="2603D904"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 med arbeidslønn som dominerende prisfaktor</w:t>
            </w:r>
          </w:p>
        </w:tc>
        <w:tc>
          <w:tcPr>
            <w:tcW w:w="396" w:type="pct"/>
            <w:noWrap/>
            <w:vAlign w:val="bottom"/>
          </w:tcPr>
          <w:p w14:paraId="7CA9364E" w14:textId="77777777" w:rsidR="007113FE" w:rsidRPr="00363F47" w:rsidRDefault="007113FE" w:rsidP="00846451">
            <w:pPr>
              <w:spacing w:after="60"/>
              <w:jc w:val="center"/>
              <w:rPr>
                <w:rFonts w:ascii="Times New Roman" w:hAnsi="Times New Roman"/>
                <w:sz w:val="23"/>
                <w:szCs w:val="23"/>
              </w:rPr>
            </w:pPr>
            <w:r>
              <w:rPr>
                <w:rFonts w:ascii="Times New Roman" w:hAnsi="Times New Roman"/>
                <w:sz w:val="23"/>
                <w:szCs w:val="23"/>
              </w:rPr>
              <w:t>69</w:t>
            </w:r>
            <w:r w:rsidRPr="00363F47">
              <w:rPr>
                <w:rFonts w:ascii="Times New Roman" w:hAnsi="Times New Roman"/>
                <w:sz w:val="23"/>
                <w:szCs w:val="23"/>
              </w:rPr>
              <w:t>,</w:t>
            </w:r>
            <w:r>
              <w:rPr>
                <w:rFonts w:ascii="Times New Roman" w:hAnsi="Times New Roman"/>
                <w:sz w:val="23"/>
                <w:szCs w:val="23"/>
              </w:rPr>
              <w:t>5</w:t>
            </w:r>
          </w:p>
        </w:tc>
        <w:tc>
          <w:tcPr>
            <w:tcW w:w="319" w:type="pct"/>
            <w:vAlign w:val="bottom"/>
          </w:tcPr>
          <w:p w14:paraId="029555F6"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3,8</w:t>
            </w:r>
          </w:p>
        </w:tc>
        <w:tc>
          <w:tcPr>
            <w:tcW w:w="319" w:type="pct"/>
            <w:vAlign w:val="bottom"/>
          </w:tcPr>
          <w:p w14:paraId="360F6927"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3,1</w:t>
            </w:r>
          </w:p>
        </w:tc>
        <w:tc>
          <w:tcPr>
            <w:tcW w:w="318" w:type="pct"/>
            <w:vAlign w:val="bottom"/>
          </w:tcPr>
          <w:p w14:paraId="0841CC26"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3,4</w:t>
            </w:r>
          </w:p>
        </w:tc>
        <w:tc>
          <w:tcPr>
            <w:tcW w:w="399" w:type="pct"/>
            <w:vAlign w:val="bottom"/>
          </w:tcPr>
          <w:p w14:paraId="5F418327"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3,6</w:t>
            </w:r>
          </w:p>
        </w:tc>
        <w:tc>
          <w:tcPr>
            <w:tcW w:w="318" w:type="pct"/>
            <w:vAlign w:val="bottom"/>
          </w:tcPr>
          <w:p w14:paraId="6F515598"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3</w:t>
            </w:r>
            <w:r>
              <w:rPr>
                <w:rFonts w:ascii="Times New Roman" w:hAnsi="Times New Roman"/>
                <w:sz w:val="23"/>
                <w:szCs w:val="23"/>
              </w:rPr>
              <w:t>,0</w:t>
            </w:r>
          </w:p>
        </w:tc>
        <w:tc>
          <w:tcPr>
            <w:tcW w:w="568" w:type="pct"/>
            <w:vAlign w:val="bottom"/>
          </w:tcPr>
          <w:p w14:paraId="1E4D8DAD"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2,5</w:t>
            </w:r>
          </w:p>
        </w:tc>
      </w:tr>
      <w:tr w:rsidR="007113FE" w:rsidRPr="00C83549" w14:paraId="50F96D40" w14:textId="77777777" w:rsidTr="00846451">
        <w:trPr>
          <w:trHeight w:val="388"/>
        </w:trPr>
        <w:tc>
          <w:tcPr>
            <w:tcW w:w="2362" w:type="pct"/>
            <w:tcBorders>
              <w:top w:val="nil"/>
              <w:left w:val="nil"/>
              <w:bottom w:val="single" w:sz="4" w:space="0" w:color="auto"/>
              <w:right w:val="nil"/>
            </w:tcBorders>
            <w:noWrap/>
            <w:vAlign w:val="bottom"/>
            <w:hideMark/>
          </w:tcPr>
          <w:p w14:paraId="728D9A71" w14:textId="77777777" w:rsidR="007113FE" w:rsidRPr="00CD40F0" w:rsidRDefault="007113FE" w:rsidP="00846451">
            <w:pPr>
              <w:spacing w:after="60"/>
              <w:rPr>
                <w:rFonts w:ascii="Times New Roman" w:hAnsi="Times New Roman"/>
                <w:sz w:val="23"/>
                <w:szCs w:val="23"/>
              </w:rPr>
            </w:pPr>
            <w:r w:rsidRPr="00CD40F0">
              <w:rPr>
                <w:rFonts w:ascii="Times New Roman" w:hAnsi="Times New Roman"/>
                <w:sz w:val="23"/>
                <w:szCs w:val="23"/>
              </w:rPr>
              <w:t>- også med andre viktige priskomponenter</w:t>
            </w:r>
          </w:p>
        </w:tc>
        <w:tc>
          <w:tcPr>
            <w:tcW w:w="396" w:type="pct"/>
            <w:tcBorders>
              <w:top w:val="nil"/>
              <w:left w:val="nil"/>
              <w:bottom w:val="single" w:sz="4" w:space="0" w:color="auto"/>
              <w:right w:val="nil"/>
            </w:tcBorders>
            <w:noWrap/>
            <w:vAlign w:val="bottom"/>
          </w:tcPr>
          <w:p w14:paraId="3D6AE11B" w14:textId="77777777" w:rsidR="007113FE" w:rsidRPr="00363F47" w:rsidRDefault="007113FE" w:rsidP="00846451">
            <w:pPr>
              <w:spacing w:after="60"/>
              <w:jc w:val="center"/>
              <w:rPr>
                <w:rFonts w:ascii="Times New Roman" w:hAnsi="Times New Roman"/>
                <w:sz w:val="23"/>
                <w:szCs w:val="23"/>
              </w:rPr>
            </w:pPr>
            <w:r w:rsidRPr="00363F47">
              <w:rPr>
                <w:rFonts w:ascii="Times New Roman" w:hAnsi="Times New Roman"/>
                <w:sz w:val="23"/>
                <w:szCs w:val="23"/>
              </w:rPr>
              <w:t>2</w:t>
            </w:r>
            <w:r>
              <w:rPr>
                <w:rFonts w:ascii="Times New Roman" w:hAnsi="Times New Roman"/>
                <w:sz w:val="23"/>
                <w:szCs w:val="23"/>
              </w:rPr>
              <w:t>34</w:t>
            </w:r>
            <w:r w:rsidRPr="00363F47">
              <w:rPr>
                <w:rFonts w:ascii="Times New Roman" w:hAnsi="Times New Roman"/>
                <w:sz w:val="23"/>
                <w:szCs w:val="23"/>
              </w:rPr>
              <w:t>,</w:t>
            </w:r>
            <w:r>
              <w:rPr>
                <w:rFonts w:ascii="Times New Roman" w:hAnsi="Times New Roman"/>
                <w:sz w:val="23"/>
                <w:szCs w:val="23"/>
              </w:rPr>
              <w:t>2</w:t>
            </w:r>
          </w:p>
        </w:tc>
        <w:tc>
          <w:tcPr>
            <w:tcW w:w="319" w:type="pct"/>
            <w:tcBorders>
              <w:top w:val="nil"/>
              <w:left w:val="nil"/>
              <w:bottom w:val="single" w:sz="4" w:space="0" w:color="auto"/>
              <w:right w:val="nil"/>
            </w:tcBorders>
            <w:vAlign w:val="bottom"/>
          </w:tcPr>
          <w:p w14:paraId="484A8C9E"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1,4</w:t>
            </w:r>
          </w:p>
        </w:tc>
        <w:tc>
          <w:tcPr>
            <w:tcW w:w="319" w:type="pct"/>
            <w:tcBorders>
              <w:top w:val="nil"/>
              <w:left w:val="nil"/>
              <w:bottom w:val="single" w:sz="4" w:space="0" w:color="auto"/>
              <w:right w:val="nil"/>
            </w:tcBorders>
            <w:vAlign w:val="bottom"/>
          </w:tcPr>
          <w:p w14:paraId="6F0171FF"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2,5</w:t>
            </w:r>
          </w:p>
        </w:tc>
        <w:tc>
          <w:tcPr>
            <w:tcW w:w="318" w:type="pct"/>
            <w:tcBorders>
              <w:top w:val="nil"/>
              <w:left w:val="nil"/>
              <w:bottom w:val="single" w:sz="4" w:space="0" w:color="auto"/>
              <w:right w:val="nil"/>
            </w:tcBorders>
            <w:vAlign w:val="bottom"/>
          </w:tcPr>
          <w:p w14:paraId="257F335B"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w:t>
            </w:r>
            <w:r>
              <w:rPr>
                <w:rFonts w:ascii="Times New Roman" w:hAnsi="Times New Roman"/>
                <w:sz w:val="23"/>
                <w:szCs w:val="23"/>
              </w:rPr>
              <w:t>,0</w:t>
            </w:r>
          </w:p>
        </w:tc>
        <w:tc>
          <w:tcPr>
            <w:tcW w:w="399" w:type="pct"/>
            <w:tcBorders>
              <w:top w:val="nil"/>
              <w:left w:val="nil"/>
              <w:bottom w:val="single" w:sz="4" w:space="0" w:color="auto"/>
              <w:right w:val="nil"/>
            </w:tcBorders>
            <w:vAlign w:val="bottom"/>
          </w:tcPr>
          <w:p w14:paraId="1BE1FD4E"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2,6</w:t>
            </w:r>
          </w:p>
        </w:tc>
        <w:tc>
          <w:tcPr>
            <w:tcW w:w="318" w:type="pct"/>
            <w:tcBorders>
              <w:top w:val="nil"/>
              <w:left w:val="nil"/>
              <w:bottom w:val="single" w:sz="4" w:space="0" w:color="auto"/>
              <w:right w:val="nil"/>
            </w:tcBorders>
            <w:vAlign w:val="bottom"/>
          </w:tcPr>
          <w:p w14:paraId="47BF6B9B" w14:textId="77777777" w:rsidR="007113FE" w:rsidRPr="00363F47" w:rsidRDefault="007113FE" w:rsidP="00846451">
            <w:pPr>
              <w:spacing w:after="60"/>
              <w:jc w:val="right"/>
              <w:rPr>
                <w:rFonts w:ascii="Times New Roman" w:hAnsi="Times New Roman"/>
                <w:sz w:val="23"/>
                <w:szCs w:val="23"/>
              </w:rPr>
            </w:pPr>
            <w:r w:rsidRPr="00363F47">
              <w:rPr>
                <w:rFonts w:ascii="Times New Roman" w:hAnsi="Times New Roman"/>
                <w:sz w:val="23"/>
                <w:szCs w:val="23"/>
              </w:rPr>
              <w:t>2,2</w:t>
            </w:r>
          </w:p>
        </w:tc>
        <w:tc>
          <w:tcPr>
            <w:tcW w:w="568" w:type="pct"/>
            <w:tcBorders>
              <w:top w:val="nil"/>
              <w:left w:val="nil"/>
              <w:bottom w:val="single" w:sz="4" w:space="0" w:color="auto"/>
              <w:right w:val="nil"/>
            </w:tcBorders>
            <w:vAlign w:val="bottom"/>
          </w:tcPr>
          <w:p w14:paraId="15900416" w14:textId="77777777" w:rsidR="007113FE" w:rsidRPr="00A2560D" w:rsidRDefault="007113FE" w:rsidP="00846451">
            <w:pPr>
              <w:spacing w:after="60"/>
              <w:jc w:val="right"/>
              <w:rPr>
                <w:rFonts w:ascii="Times New Roman" w:hAnsi="Times New Roman"/>
                <w:sz w:val="23"/>
                <w:szCs w:val="23"/>
              </w:rPr>
            </w:pPr>
            <w:r w:rsidRPr="00A2560D">
              <w:rPr>
                <w:rFonts w:ascii="Times New Roman" w:hAnsi="Times New Roman"/>
                <w:sz w:val="23"/>
                <w:szCs w:val="23"/>
              </w:rPr>
              <w:t>2,3</w:t>
            </w:r>
          </w:p>
        </w:tc>
      </w:tr>
    </w:tbl>
    <w:p w14:paraId="2D4D94D3" w14:textId="7DC3A85D" w:rsidR="00AF57A1" w:rsidRDefault="007113FE" w:rsidP="008643D6">
      <w:pPr>
        <w:pStyle w:val="tabell-noter"/>
        <w:numPr>
          <w:ilvl w:val="0"/>
          <w:numId w:val="81"/>
        </w:numPr>
        <w:tabs>
          <w:tab w:val="clear" w:pos="284"/>
        </w:tabs>
        <w:spacing w:before="0" w:after="0"/>
        <w:ind w:left="142" w:hanging="142"/>
      </w:pPr>
      <w:r w:rsidRPr="00555469">
        <w:t xml:space="preserve">Statistisk sentralbyrå publiserte </w:t>
      </w:r>
      <w:r>
        <w:t xml:space="preserve">i januar 2016 en </w:t>
      </w:r>
      <w:r w:rsidRPr="00555469">
        <w:t xml:space="preserve">ny </w:t>
      </w:r>
      <w:r>
        <w:t>inndeling</w:t>
      </w:r>
      <w:r w:rsidRPr="00555469">
        <w:t xml:space="preserve"> av KPI etter leveringssektor</w:t>
      </w:r>
      <w:r>
        <w:t xml:space="preserve"> med tall tilbake til 2015. For å kunne se prisutviklingen over flere år baserer tabellen seg på den gamle </w:t>
      </w:r>
      <w:r w:rsidRPr="00AF57A1">
        <w:rPr>
          <w:rFonts w:ascii="Times New Roman" w:hAnsi="Times New Roman"/>
        </w:rPr>
        <w:t>inndelingen</w:t>
      </w:r>
      <w:r>
        <w:t xml:space="preserve"> så langt det finnes tall, som er til 2015. Gruppen "fiskevarer" er i den nye inndelingen fordelt mellom gruppene "norske varer" og "</w:t>
      </w:r>
      <w:r w:rsidRPr="00555469">
        <w:t xml:space="preserve">importerte </w:t>
      </w:r>
      <w:r>
        <w:t>varer". Det er årsaken til at det ikke er noe tall for veksten i denne gruppen i januar 2016. Tallene for januar 2016 er etter den nye inndelingen, som ellers ligger tett opp til den gamle.</w:t>
      </w:r>
    </w:p>
    <w:p w14:paraId="51A3792B" w14:textId="4152B391" w:rsidR="007113FE" w:rsidRPr="00555469" w:rsidRDefault="007113FE" w:rsidP="008643D6">
      <w:pPr>
        <w:pStyle w:val="tabell-noter"/>
        <w:numPr>
          <w:ilvl w:val="0"/>
          <w:numId w:val="81"/>
        </w:numPr>
        <w:tabs>
          <w:tab w:val="clear" w:pos="284"/>
        </w:tabs>
        <w:spacing w:before="0" w:after="0"/>
        <w:ind w:left="142" w:hanging="142"/>
      </w:pPr>
      <w:r w:rsidRPr="00AF57A1">
        <w:rPr>
          <w:rFonts w:ascii="Times New Roman" w:hAnsi="Times New Roman"/>
        </w:rPr>
        <w:t>Vektene gjelder fra januar 2015 til desember 2015.</w:t>
      </w:r>
    </w:p>
    <w:p w14:paraId="076C3C1E" w14:textId="77777777" w:rsidR="007113FE" w:rsidRPr="00C83549" w:rsidRDefault="007113FE" w:rsidP="00AF57A1">
      <w:pPr>
        <w:pStyle w:val="Kilde"/>
        <w:spacing w:before="120"/>
        <w:rPr>
          <w:color w:val="FF0000"/>
        </w:rPr>
      </w:pPr>
      <w:r w:rsidRPr="00C83549">
        <w:t>Kilde: Statistisk sentralbyrå</w:t>
      </w:r>
    </w:p>
    <w:p w14:paraId="01EBAB8F" w14:textId="77777777" w:rsidR="00FD6507" w:rsidRPr="00C83549" w:rsidRDefault="00FD6507" w:rsidP="00FD6507">
      <w:pPr>
        <w:pStyle w:val="Overskrift3"/>
      </w:pPr>
      <w:bookmarkStart w:id="169" w:name="_Toc443998970"/>
      <w:r w:rsidRPr="00C83549">
        <w:t>Prisutviklingen for ulike konsumgrupper</w:t>
      </w:r>
      <w:bookmarkEnd w:id="169"/>
    </w:p>
    <w:p w14:paraId="49214D50" w14:textId="77777777" w:rsidR="00FD6507" w:rsidRDefault="00FD6507" w:rsidP="00FD6507">
      <w:pPr>
        <w:rPr>
          <w:rFonts w:ascii="Times New Roman" w:hAnsi="Times New Roman"/>
        </w:rPr>
      </w:pPr>
      <w:r w:rsidRPr="00C83549">
        <w:rPr>
          <w:rFonts w:ascii="Times New Roman" w:hAnsi="Times New Roman"/>
        </w:rPr>
        <w:t>I tabell 2.</w:t>
      </w:r>
      <w:r>
        <w:rPr>
          <w:rFonts w:ascii="Times New Roman" w:hAnsi="Times New Roman"/>
        </w:rPr>
        <w:t>3</w:t>
      </w:r>
      <w:r w:rsidRPr="00C83549">
        <w:rPr>
          <w:rFonts w:ascii="Times New Roman" w:hAnsi="Times New Roman"/>
        </w:rPr>
        <w:t xml:space="preserve"> er konsumprisindeksen inndelt etter </w:t>
      </w:r>
      <w:r w:rsidRPr="00C83549">
        <w:rPr>
          <w:rFonts w:ascii="Times New Roman" w:hAnsi="Times New Roman"/>
          <w:i/>
        </w:rPr>
        <w:t>konsumgrupper.</w:t>
      </w:r>
      <w:r w:rsidRPr="00C83549">
        <w:rPr>
          <w:rFonts w:ascii="Times New Roman" w:hAnsi="Times New Roman"/>
        </w:rPr>
        <w:t xml:space="preserve"> Prisene på hovedgruppen klær og skot</w:t>
      </w:r>
      <w:r>
        <w:rPr>
          <w:rFonts w:ascii="Times New Roman" w:hAnsi="Times New Roman"/>
        </w:rPr>
        <w:t xml:space="preserve">øy, som er typiske importvarer, steg i 2015 etter å ha falt </w:t>
      </w:r>
      <w:r w:rsidRPr="00C83549">
        <w:rPr>
          <w:rFonts w:ascii="Times New Roman" w:hAnsi="Times New Roman"/>
        </w:rPr>
        <w:t>de foregående 1</w:t>
      </w:r>
      <w:r>
        <w:rPr>
          <w:rFonts w:ascii="Times New Roman" w:hAnsi="Times New Roman"/>
        </w:rPr>
        <w:t>9</w:t>
      </w:r>
      <w:r w:rsidRPr="00C83549">
        <w:rPr>
          <w:rFonts w:ascii="Times New Roman" w:hAnsi="Times New Roman"/>
        </w:rPr>
        <w:t xml:space="preserve"> årene. På årsbasis var </w:t>
      </w:r>
      <w:r>
        <w:rPr>
          <w:rFonts w:ascii="Times New Roman" w:hAnsi="Times New Roman"/>
        </w:rPr>
        <w:t xml:space="preserve">oppgangen </w:t>
      </w:r>
      <w:r w:rsidRPr="00C83549">
        <w:rPr>
          <w:rFonts w:ascii="Times New Roman" w:hAnsi="Times New Roman"/>
        </w:rPr>
        <w:t>0,</w:t>
      </w:r>
      <w:r>
        <w:rPr>
          <w:rFonts w:ascii="Times New Roman" w:hAnsi="Times New Roman"/>
        </w:rPr>
        <w:t>4</w:t>
      </w:r>
      <w:r w:rsidRPr="00C83549">
        <w:rPr>
          <w:rFonts w:ascii="Times New Roman" w:hAnsi="Times New Roman"/>
        </w:rPr>
        <w:t xml:space="preserve"> prosent. </w:t>
      </w:r>
      <w:r>
        <w:rPr>
          <w:rFonts w:ascii="Times New Roman" w:hAnsi="Times New Roman"/>
        </w:rPr>
        <w:t xml:space="preserve">Prisoppgangen var sterkere for skotøy enn klær. Mens prisene på skotøy økte med 2,2 prosent i 2015, var oppgangen bare 0,2 prosent for klær. </w:t>
      </w:r>
    </w:p>
    <w:p w14:paraId="1D9FD108" w14:textId="77777777" w:rsidR="00FD6507" w:rsidRPr="00C83549" w:rsidRDefault="00FD6507" w:rsidP="00FD6507">
      <w:pPr>
        <w:rPr>
          <w:rFonts w:ascii="Times New Roman" w:hAnsi="Times New Roman"/>
        </w:rPr>
      </w:pPr>
      <w:r w:rsidRPr="00C83549">
        <w:rPr>
          <w:rFonts w:ascii="Times New Roman" w:hAnsi="Times New Roman"/>
        </w:rPr>
        <w:t xml:space="preserve">Prisene på </w:t>
      </w:r>
      <w:r w:rsidRPr="00C83549">
        <w:rPr>
          <w:rFonts w:ascii="Times New Roman" w:hAnsi="Times New Roman"/>
          <w:i/>
        </w:rPr>
        <w:t>matvarer og alkoholfrie drikkevarer</w:t>
      </w:r>
      <w:r w:rsidRPr="00C83549">
        <w:rPr>
          <w:rFonts w:ascii="Times New Roman" w:hAnsi="Times New Roman"/>
        </w:rPr>
        <w:t xml:space="preserve"> økte i fjor med </w:t>
      </w:r>
      <w:r>
        <w:rPr>
          <w:rFonts w:ascii="Times New Roman" w:hAnsi="Times New Roman"/>
        </w:rPr>
        <w:t>2,9</w:t>
      </w:r>
      <w:r w:rsidRPr="00C83549">
        <w:rPr>
          <w:rFonts w:ascii="Times New Roman" w:hAnsi="Times New Roman"/>
        </w:rPr>
        <w:t xml:space="preserve"> prosent etter en økning på</w:t>
      </w:r>
      <w:r>
        <w:rPr>
          <w:rFonts w:ascii="Times New Roman" w:hAnsi="Times New Roman"/>
        </w:rPr>
        <w:t xml:space="preserve"> 3,0</w:t>
      </w:r>
      <w:r w:rsidRPr="00C83549">
        <w:rPr>
          <w:rFonts w:ascii="Times New Roman" w:hAnsi="Times New Roman"/>
        </w:rPr>
        <w:t xml:space="preserve"> prosent </w:t>
      </w:r>
      <w:r>
        <w:rPr>
          <w:rFonts w:ascii="Times New Roman" w:hAnsi="Times New Roman"/>
        </w:rPr>
        <w:t>i 2014</w:t>
      </w:r>
      <w:r w:rsidRPr="00C83549">
        <w:rPr>
          <w:rFonts w:ascii="Times New Roman" w:hAnsi="Times New Roman"/>
        </w:rPr>
        <w:t>.</w:t>
      </w:r>
      <w:r>
        <w:rPr>
          <w:rFonts w:ascii="Times New Roman" w:hAnsi="Times New Roman"/>
        </w:rPr>
        <w:t xml:space="preserve"> Prisene på frukt steg med 8,7 prosent fra 2014 til 2015 og bidro med det særlig til oppgangen i matvareprisene i fjor. Varene i denne gruppen består i hovedsak av rene importvarer eller varer med svært høyt innslag av import. Mye av prisoppgangen kan derfor tilskrives en svakere krone. Prisene på grønnsaker steg med 5,2 prosent i 2015, den største økningen siden 2006. Også grønnsakene påvirkes av den svake kronen, men i mindre grad enn frukt ettersom mye produseres innenlands og derfor har lavere importandel. Særlig utviklingen i prisene på agurk og tomater bidro til oppgangen i prisene på grønnsaker. Det er vanlig at prisene på disse stiger i løpet av sommeren, når tollvernet for norskproduserte grønnsaker er aktivt, for så å falle på høsten. I år ble prisfallet mindre enn tidligere år. Også utviklingen i prisene på gruppen sukker, syltetøy, sjokolade og andre sukkervarer bidro til oppgangen i matvareprisene i fjor, trolig som følge av økte priser på kakaobønner på verdensmarkedet, men også en svakere krone. </w:t>
      </w:r>
    </w:p>
    <w:p w14:paraId="1722D7A8" w14:textId="77777777" w:rsidR="00FD6507" w:rsidRPr="00C83549" w:rsidRDefault="00FD6507" w:rsidP="00FD6507">
      <w:pPr>
        <w:rPr>
          <w:rFonts w:ascii="Times New Roman" w:hAnsi="Times New Roman"/>
        </w:rPr>
      </w:pPr>
      <w:r w:rsidRPr="00C83549">
        <w:rPr>
          <w:rFonts w:ascii="Times New Roman" w:hAnsi="Times New Roman"/>
        </w:rPr>
        <w:t xml:space="preserve">Prisene på </w:t>
      </w:r>
      <w:r w:rsidRPr="00C83549">
        <w:rPr>
          <w:rFonts w:ascii="Times New Roman" w:hAnsi="Times New Roman"/>
          <w:i/>
        </w:rPr>
        <w:t xml:space="preserve">alkohol og tobakk </w:t>
      </w:r>
      <w:r w:rsidRPr="00C83549">
        <w:rPr>
          <w:rFonts w:ascii="Times New Roman" w:hAnsi="Times New Roman"/>
        </w:rPr>
        <w:t>steg med 3</w:t>
      </w:r>
      <w:r>
        <w:rPr>
          <w:rFonts w:ascii="Times New Roman" w:hAnsi="Times New Roman"/>
        </w:rPr>
        <w:t>,0</w:t>
      </w:r>
      <w:r w:rsidRPr="00C83549">
        <w:rPr>
          <w:rFonts w:ascii="Times New Roman" w:hAnsi="Times New Roman"/>
        </w:rPr>
        <w:t xml:space="preserve"> prosent fra 201</w:t>
      </w:r>
      <w:r>
        <w:rPr>
          <w:rFonts w:ascii="Times New Roman" w:hAnsi="Times New Roman"/>
        </w:rPr>
        <w:t>4</w:t>
      </w:r>
      <w:r w:rsidRPr="00C83549">
        <w:rPr>
          <w:rFonts w:ascii="Times New Roman" w:hAnsi="Times New Roman"/>
        </w:rPr>
        <w:t xml:space="preserve"> til 201</w:t>
      </w:r>
      <w:r>
        <w:rPr>
          <w:rFonts w:ascii="Times New Roman" w:hAnsi="Times New Roman"/>
        </w:rPr>
        <w:t>5</w:t>
      </w:r>
      <w:r w:rsidRPr="00C83549">
        <w:rPr>
          <w:rFonts w:ascii="Times New Roman" w:hAnsi="Times New Roman"/>
        </w:rPr>
        <w:t xml:space="preserve">, ned fra en prisvekst på </w:t>
      </w:r>
      <w:r>
        <w:rPr>
          <w:rFonts w:ascii="Times New Roman" w:hAnsi="Times New Roman"/>
        </w:rPr>
        <w:t>3</w:t>
      </w:r>
      <w:r w:rsidRPr="00C83549">
        <w:rPr>
          <w:rFonts w:ascii="Times New Roman" w:hAnsi="Times New Roman"/>
        </w:rPr>
        <w:t>,</w:t>
      </w:r>
      <w:r>
        <w:rPr>
          <w:rFonts w:ascii="Times New Roman" w:hAnsi="Times New Roman"/>
        </w:rPr>
        <w:t xml:space="preserve">4 </w:t>
      </w:r>
      <w:r w:rsidRPr="00C83549">
        <w:rPr>
          <w:rFonts w:ascii="Times New Roman" w:hAnsi="Times New Roman"/>
        </w:rPr>
        <w:t xml:space="preserve">prosent </w:t>
      </w:r>
      <w:r>
        <w:rPr>
          <w:rFonts w:ascii="Times New Roman" w:hAnsi="Times New Roman"/>
        </w:rPr>
        <w:t>i 2014</w:t>
      </w:r>
      <w:r w:rsidRPr="00C83549">
        <w:rPr>
          <w:rFonts w:ascii="Times New Roman" w:hAnsi="Times New Roman"/>
        </w:rPr>
        <w:t xml:space="preserve">. Prisoppgangen var klart høyere for tobakk enn for alkohol. Prisveksten for denne varegruppen var høyere enn veksten i totalindeksen og bidro dermed til å trekke den samlede prisveksten opp. </w:t>
      </w:r>
    </w:p>
    <w:p w14:paraId="2EB800E7" w14:textId="77777777" w:rsidR="00FD6507" w:rsidRPr="00C83549" w:rsidRDefault="00FD6507" w:rsidP="00FD6507">
      <w:pPr>
        <w:rPr>
          <w:rFonts w:ascii="Times New Roman" w:hAnsi="Times New Roman"/>
        </w:rPr>
      </w:pPr>
      <w:r>
        <w:rPr>
          <w:rFonts w:ascii="Times New Roman" w:hAnsi="Times New Roman"/>
        </w:rPr>
        <w:t>P</w:t>
      </w:r>
      <w:r w:rsidRPr="00C83549">
        <w:rPr>
          <w:rFonts w:ascii="Times New Roman" w:hAnsi="Times New Roman"/>
        </w:rPr>
        <w:t xml:space="preserve">risene </w:t>
      </w:r>
      <w:r>
        <w:rPr>
          <w:rFonts w:ascii="Times New Roman" w:hAnsi="Times New Roman"/>
        </w:rPr>
        <w:t>på</w:t>
      </w:r>
      <w:r w:rsidRPr="00C83549">
        <w:rPr>
          <w:rFonts w:ascii="Times New Roman" w:hAnsi="Times New Roman"/>
        </w:rPr>
        <w:t xml:space="preserve"> konsumgruppen </w:t>
      </w:r>
      <w:r w:rsidRPr="00B92ECE">
        <w:rPr>
          <w:rFonts w:ascii="Times New Roman" w:hAnsi="Times New Roman"/>
          <w:i/>
        </w:rPr>
        <w:t>bolig, lys og brensel</w:t>
      </w:r>
      <w:r w:rsidRPr="00C83549">
        <w:rPr>
          <w:rFonts w:ascii="Times New Roman" w:hAnsi="Times New Roman"/>
        </w:rPr>
        <w:t xml:space="preserve"> </w:t>
      </w:r>
      <w:r>
        <w:rPr>
          <w:rFonts w:ascii="Times New Roman" w:hAnsi="Times New Roman"/>
        </w:rPr>
        <w:t xml:space="preserve">steg </w:t>
      </w:r>
      <w:r w:rsidRPr="00C83549">
        <w:rPr>
          <w:rFonts w:ascii="Times New Roman" w:hAnsi="Times New Roman"/>
        </w:rPr>
        <w:t xml:space="preserve">med 1,3 prosent </w:t>
      </w:r>
      <w:r>
        <w:rPr>
          <w:rFonts w:ascii="Times New Roman" w:hAnsi="Times New Roman"/>
        </w:rPr>
        <w:t xml:space="preserve">i 2015, </w:t>
      </w:r>
      <w:r w:rsidRPr="00C83549">
        <w:rPr>
          <w:rFonts w:ascii="Times New Roman" w:hAnsi="Times New Roman"/>
        </w:rPr>
        <w:t xml:space="preserve">etter en </w:t>
      </w:r>
      <w:r>
        <w:rPr>
          <w:rFonts w:ascii="Times New Roman" w:hAnsi="Times New Roman"/>
        </w:rPr>
        <w:t xml:space="preserve">tilsvarende </w:t>
      </w:r>
      <w:r w:rsidRPr="00C83549">
        <w:rPr>
          <w:rFonts w:ascii="Times New Roman" w:hAnsi="Times New Roman"/>
        </w:rPr>
        <w:t>oppgang</w:t>
      </w:r>
      <w:r>
        <w:rPr>
          <w:rFonts w:ascii="Times New Roman" w:hAnsi="Times New Roman"/>
        </w:rPr>
        <w:t xml:space="preserve"> i 2014</w:t>
      </w:r>
      <w:r w:rsidRPr="00C83549">
        <w:rPr>
          <w:rFonts w:ascii="Times New Roman" w:hAnsi="Times New Roman"/>
        </w:rPr>
        <w:t>. Prisveksten for denne konsumgruppen ble i fjor særlig trukket ned av fall i elektrisitetsprisene</w:t>
      </w:r>
      <w:r>
        <w:rPr>
          <w:rFonts w:ascii="Times New Roman" w:hAnsi="Times New Roman"/>
        </w:rPr>
        <w:t xml:space="preserve">, men lavere prisvekst for beregnet husleie trakk også ned. </w:t>
      </w:r>
      <w:r w:rsidRPr="00C83549">
        <w:rPr>
          <w:rFonts w:ascii="Times New Roman" w:hAnsi="Times New Roman"/>
        </w:rPr>
        <w:t xml:space="preserve">  </w:t>
      </w:r>
    </w:p>
    <w:p w14:paraId="64077296" w14:textId="77777777" w:rsidR="00FD6507" w:rsidRPr="00636955" w:rsidRDefault="00FD6507" w:rsidP="00FD6507">
      <w:pPr>
        <w:pStyle w:val="tabell-tittel"/>
      </w:pPr>
      <w:r w:rsidRPr="00636955">
        <w:t>Konsumprisindeksen – varer og tjenester etter konsumgruppe</w:t>
      </w:r>
    </w:p>
    <w:tbl>
      <w:tblPr>
        <w:tblW w:w="5073" w:type="pct"/>
        <w:tblCellMar>
          <w:left w:w="70" w:type="dxa"/>
          <w:right w:w="70" w:type="dxa"/>
        </w:tblCellMar>
        <w:tblLook w:val="00A0" w:firstRow="1" w:lastRow="0" w:firstColumn="1" w:lastColumn="0" w:noHBand="0" w:noVBand="0"/>
      </w:tblPr>
      <w:tblGrid>
        <w:gridCol w:w="3417"/>
        <w:gridCol w:w="973"/>
        <w:gridCol w:w="894"/>
        <w:gridCol w:w="755"/>
        <w:gridCol w:w="753"/>
        <w:gridCol w:w="755"/>
        <w:gridCol w:w="613"/>
        <w:gridCol w:w="1042"/>
      </w:tblGrid>
      <w:tr w:rsidR="00FD6507" w:rsidRPr="00DB4D66" w14:paraId="0B8215A0" w14:textId="77777777" w:rsidTr="00846451">
        <w:trPr>
          <w:trHeight w:val="524"/>
        </w:trPr>
        <w:tc>
          <w:tcPr>
            <w:tcW w:w="1857" w:type="pct"/>
            <w:vMerge w:val="restart"/>
            <w:tcBorders>
              <w:top w:val="single" w:sz="4" w:space="0" w:color="auto"/>
              <w:left w:val="nil"/>
              <w:bottom w:val="single" w:sz="4" w:space="0" w:color="000000"/>
              <w:right w:val="nil"/>
            </w:tcBorders>
            <w:vAlign w:val="center"/>
            <w:hideMark/>
          </w:tcPr>
          <w:p w14:paraId="0CC3C813" w14:textId="77777777" w:rsidR="00FD6507" w:rsidRPr="00F009F4" w:rsidRDefault="00FD6507" w:rsidP="00846451">
            <w:pPr>
              <w:rPr>
                <w:rFonts w:ascii="Times New Roman" w:hAnsi="Times New Roman"/>
                <w:b/>
              </w:rPr>
            </w:pPr>
          </w:p>
        </w:tc>
        <w:tc>
          <w:tcPr>
            <w:tcW w:w="529" w:type="pct"/>
            <w:tcBorders>
              <w:top w:val="single" w:sz="4" w:space="0" w:color="auto"/>
              <w:left w:val="nil"/>
              <w:bottom w:val="nil"/>
              <w:right w:val="nil"/>
            </w:tcBorders>
            <w:vAlign w:val="center"/>
            <w:hideMark/>
          </w:tcPr>
          <w:p w14:paraId="4DDF43BD" w14:textId="77777777" w:rsidR="00FD6507" w:rsidRPr="00C50271" w:rsidRDefault="00FD6507" w:rsidP="00846451">
            <w:pPr>
              <w:spacing w:after="0"/>
              <w:jc w:val="right"/>
              <w:rPr>
                <w:rFonts w:ascii="Times New Roman" w:hAnsi="Times New Roman"/>
                <w:sz w:val="23"/>
                <w:szCs w:val="23"/>
                <w:vertAlign w:val="superscript"/>
              </w:rPr>
            </w:pPr>
            <w:r w:rsidRPr="00C50271">
              <w:rPr>
                <w:rFonts w:ascii="Times New Roman" w:hAnsi="Times New Roman"/>
                <w:sz w:val="23"/>
                <w:szCs w:val="23"/>
              </w:rPr>
              <w:t>Vekt</w:t>
            </w:r>
            <w:r>
              <w:rPr>
                <w:rFonts w:ascii="Times New Roman" w:hAnsi="Times New Roman"/>
                <w:sz w:val="23"/>
                <w:szCs w:val="23"/>
                <w:vertAlign w:val="superscript"/>
              </w:rPr>
              <w:t>1</w:t>
            </w:r>
          </w:p>
        </w:tc>
        <w:tc>
          <w:tcPr>
            <w:tcW w:w="2613" w:type="pct"/>
            <w:gridSpan w:val="6"/>
            <w:tcBorders>
              <w:top w:val="single" w:sz="4" w:space="0" w:color="auto"/>
              <w:left w:val="nil"/>
              <w:bottom w:val="single" w:sz="4" w:space="0" w:color="auto"/>
              <w:right w:val="nil"/>
            </w:tcBorders>
            <w:vAlign w:val="center"/>
            <w:hideMark/>
          </w:tcPr>
          <w:p w14:paraId="09368467" w14:textId="77777777" w:rsidR="00FD6507" w:rsidRPr="00C83549" w:rsidRDefault="00FD6507" w:rsidP="00846451">
            <w:pPr>
              <w:spacing w:after="0"/>
              <w:jc w:val="center"/>
              <w:rPr>
                <w:rFonts w:ascii="Times New Roman" w:hAnsi="Times New Roman"/>
                <w:sz w:val="23"/>
                <w:szCs w:val="23"/>
              </w:rPr>
            </w:pPr>
            <w:r w:rsidRPr="00C83549">
              <w:rPr>
                <w:rFonts w:ascii="Times New Roman" w:hAnsi="Times New Roman"/>
                <w:sz w:val="23"/>
                <w:szCs w:val="23"/>
              </w:rPr>
              <w:t>Endring i prosent fra samme periode året før</w:t>
            </w:r>
          </w:p>
        </w:tc>
      </w:tr>
      <w:tr w:rsidR="00FD6507" w:rsidRPr="00DB4D66" w14:paraId="4D39E669" w14:textId="77777777" w:rsidTr="00846451">
        <w:trPr>
          <w:trHeight w:val="500"/>
        </w:trPr>
        <w:tc>
          <w:tcPr>
            <w:tcW w:w="1857" w:type="pct"/>
            <w:vMerge/>
            <w:tcBorders>
              <w:top w:val="single" w:sz="4" w:space="0" w:color="auto"/>
              <w:left w:val="nil"/>
              <w:bottom w:val="single" w:sz="4" w:space="0" w:color="000000"/>
              <w:right w:val="nil"/>
            </w:tcBorders>
            <w:vAlign w:val="center"/>
            <w:hideMark/>
          </w:tcPr>
          <w:p w14:paraId="18844311" w14:textId="77777777" w:rsidR="00FD6507" w:rsidRPr="00C83549" w:rsidRDefault="00FD6507" w:rsidP="00846451">
            <w:pPr>
              <w:spacing w:after="0"/>
              <w:rPr>
                <w:rFonts w:ascii="Times New Roman" w:hAnsi="Times New Roman"/>
                <w:sz w:val="23"/>
                <w:szCs w:val="23"/>
              </w:rPr>
            </w:pPr>
          </w:p>
        </w:tc>
        <w:tc>
          <w:tcPr>
            <w:tcW w:w="529" w:type="pct"/>
            <w:tcBorders>
              <w:top w:val="nil"/>
              <w:left w:val="nil"/>
              <w:bottom w:val="single" w:sz="4" w:space="0" w:color="auto"/>
              <w:right w:val="nil"/>
            </w:tcBorders>
            <w:vAlign w:val="center"/>
            <w:hideMark/>
          </w:tcPr>
          <w:p w14:paraId="250D8F89"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 </w:t>
            </w:r>
          </w:p>
        </w:tc>
        <w:tc>
          <w:tcPr>
            <w:tcW w:w="486" w:type="pct"/>
            <w:tcBorders>
              <w:top w:val="nil"/>
              <w:left w:val="nil"/>
              <w:bottom w:val="single" w:sz="4" w:space="0" w:color="auto"/>
              <w:right w:val="nil"/>
            </w:tcBorders>
            <w:vAlign w:val="center"/>
          </w:tcPr>
          <w:p w14:paraId="144842A1"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2011</w:t>
            </w:r>
          </w:p>
        </w:tc>
        <w:tc>
          <w:tcPr>
            <w:tcW w:w="410" w:type="pct"/>
            <w:tcBorders>
              <w:top w:val="nil"/>
              <w:left w:val="nil"/>
              <w:bottom w:val="single" w:sz="4" w:space="0" w:color="auto"/>
              <w:right w:val="nil"/>
            </w:tcBorders>
            <w:vAlign w:val="center"/>
          </w:tcPr>
          <w:p w14:paraId="3330D562"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2012</w:t>
            </w:r>
          </w:p>
        </w:tc>
        <w:tc>
          <w:tcPr>
            <w:tcW w:w="409" w:type="pct"/>
            <w:tcBorders>
              <w:top w:val="nil"/>
              <w:left w:val="nil"/>
              <w:bottom w:val="single" w:sz="4" w:space="0" w:color="auto"/>
              <w:right w:val="nil"/>
            </w:tcBorders>
            <w:vAlign w:val="center"/>
          </w:tcPr>
          <w:p w14:paraId="7376E199"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2013</w:t>
            </w:r>
          </w:p>
        </w:tc>
        <w:tc>
          <w:tcPr>
            <w:tcW w:w="410" w:type="pct"/>
            <w:tcBorders>
              <w:top w:val="nil"/>
              <w:left w:val="nil"/>
              <w:bottom w:val="single" w:sz="4" w:space="0" w:color="auto"/>
              <w:right w:val="nil"/>
            </w:tcBorders>
            <w:vAlign w:val="center"/>
          </w:tcPr>
          <w:p w14:paraId="32B991FC"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2014</w:t>
            </w:r>
          </w:p>
        </w:tc>
        <w:tc>
          <w:tcPr>
            <w:tcW w:w="333" w:type="pct"/>
            <w:tcBorders>
              <w:top w:val="nil"/>
              <w:left w:val="nil"/>
              <w:bottom w:val="single" w:sz="4" w:space="0" w:color="auto"/>
              <w:right w:val="nil"/>
            </w:tcBorders>
            <w:vAlign w:val="center"/>
          </w:tcPr>
          <w:p w14:paraId="14223D80" w14:textId="77777777" w:rsidR="00FD6507" w:rsidRPr="00C83549" w:rsidRDefault="00FD6507" w:rsidP="00846451">
            <w:pPr>
              <w:spacing w:after="0"/>
              <w:jc w:val="right"/>
              <w:rPr>
                <w:rFonts w:ascii="Times New Roman" w:hAnsi="Times New Roman"/>
                <w:sz w:val="23"/>
                <w:szCs w:val="23"/>
              </w:rPr>
            </w:pPr>
            <w:r>
              <w:rPr>
                <w:rFonts w:ascii="Times New Roman" w:hAnsi="Times New Roman"/>
                <w:sz w:val="23"/>
                <w:szCs w:val="23"/>
              </w:rPr>
              <w:t>2015</w:t>
            </w:r>
          </w:p>
        </w:tc>
        <w:tc>
          <w:tcPr>
            <w:tcW w:w="566" w:type="pct"/>
            <w:tcBorders>
              <w:top w:val="nil"/>
              <w:left w:val="nil"/>
              <w:bottom w:val="single" w:sz="4" w:space="0" w:color="auto"/>
              <w:right w:val="nil"/>
            </w:tcBorders>
            <w:vAlign w:val="center"/>
            <w:hideMark/>
          </w:tcPr>
          <w:p w14:paraId="009E1FE3"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jan. 201</w:t>
            </w:r>
            <w:r>
              <w:rPr>
                <w:rFonts w:ascii="Times New Roman" w:hAnsi="Times New Roman"/>
                <w:sz w:val="23"/>
                <w:szCs w:val="23"/>
              </w:rPr>
              <w:t>6</w:t>
            </w:r>
          </w:p>
        </w:tc>
      </w:tr>
      <w:tr w:rsidR="00FD6507" w:rsidRPr="00DB4D66" w14:paraId="71A85331" w14:textId="77777777" w:rsidTr="00846451">
        <w:trPr>
          <w:trHeight w:val="303"/>
        </w:trPr>
        <w:tc>
          <w:tcPr>
            <w:tcW w:w="1857" w:type="pct"/>
            <w:tcBorders>
              <w:top w:val="nil"/>
              <w:left w:val="nil"/>
              <w:bottom w:val="single" w:sz="4" w:space="0" w:color="auto"/>
              <w:right w:val="nil"/>
            </w:tcBorders>
            <w:vAlign w:val="center"/>
            <w:hideMark/>
          </w:tcPr>
          <w:p w14:paraId="414924A9"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 xml:space="preserve">Totalt </w:t>
            </w:r>
          </w:p>
        </w:tc>
        <w:tc>
          <w:tcPr>
            <w:tcW w:w="529" w:type="pct"/>
            <w:tcBorders>
              <w:top w:val="nil"/>
              <w:left w:val="nil"/>
              <w:bottom w:val="single" w:sz="4" w:space="0" w:color="auto"/>
              <w:right w:val="nil"/>
            </w:tcBorders>
            <w:vAlign w:val="center"/>
            <w:hideMark/>
          </w:tcPr>
          <w:p w14:paraId="2E103685"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1000</w:t>
            </w:r>
          </w:p>
        </w:tc>
        <w:tc>
          <w:tcPr>
            <w:tcW w:w="486" w:type="pct"/>
            <w:tcBorders>
              <w:top w:val="nil"/>
              <w:left w:val="nil"/>
              <w:bottom w:val="single" w:sz="4" w:space="0" w:color="auto"/>
              <w:right w:val="nil"/>
            </w:tcBorders>
            <w:vAlign w:val="center"/>
          </w:tcPr>
          <w:p w14:paraId="3F085EF6"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1,2</w:t>
            </w:r>
          </w:p>
        </w:tc>
        <w:tc>
          <w:tcPr>
            <w:tcW w:w="410" w:type="pct"/>
            <w:tcBorders>
              <w:top w:val="nil"/>
              <w:left w:val="nil"/>
              <w:bottom w:val="single" w:sz="4" w:space="0" w:color="auto"/>
              <w:right w:val="nil"/>
            </w:tcBorders>
            <w:vAlign w:val="center"/>
          </w:tcPr>
          <w:p w14:paraId="3F2FEA9E"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0,8</w:t>
            </w:r>
          </w:p>
        </w:tc>
        <w:tc>
          <w:tcPr>
            <w:tcW w:w="409" w:type="pct"/>
            <w:tcBorders>
              <w:top w:val="nil"/>
              <w:left w:val="nil"/>
              <w:bottom w:val="single" w:sz="4" w:space="0" w:color="auto"/>
              <w:right w:val="nil"/>
            </w:tcBorders>
            <w:vAlign w:val="center"/>
          </w:tcPr>
          <w:p w14:paraId="2C4894C7"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2,1</w:t>
            </w:r>
          </w:p>
        </w:tc>
        <w:tc>
          <w:tcPr>
            <w:tcW w:w="410" w:type="pct"/>
            <w:tcBorders>
              <w:top w:val="nil"/>
              <w:left w:val="nil"/>
              <w:bottom w:val="single" w:sz="4" w:space="0" w:color="auto"/>
              <w:right w:val="nil"/>
            </w:tcBorders>
            <w:vAlign w:val="center"/>
          </w:tcPr>
          <w:p w14:paraId="778066EA" w14:textId="77777777" w:rsidR="00FD6507" w:rsidRPr="00C83549" w:rsidRDefault="00FD6507" w:rsidP="00846451">
            <w:pPr>
              <w:spacing w:after="0"/>
              <w:jc w:val="right"/>
              <w:rPr>
                <w:rFonts w:ascii="Times New Roman" w:hAnsi="Times New Roman"/>
                <w:sz w:val="23"/>
                <w:szCs w:val="23"/>
              </w:rPr>
            </w:pPr>
            <w:r w:rsidRPr="00C83549">
              <w:rPr>
                <w:rFonts w:ascii="Times New Roman" w:hAnsi="Times New Roman"/>
                <w:sz w:val="23"/>
                <w:szCs w:val="23"/>
              </w:rPr>
              <w:t>2,0</w:t>
            </w:r>
          </w:p>
        </w:tc>
        <w:tc>
          <w:tcPr>
            <w:tcW w:w="333" w:type="pct"/>
            <w:tcBorders>
              <w:top w:val="nil"/>
              <w:left w:val="nil"/>
              <w:bottom w:val="single" w:sz="4" w:space="0" w:color="auto"/>
              <w:right w:val="nil"/>
            </w:tcBorders>
            <w:vAlign w:val="center"/>
          </w:tcPr>
          <w:p w14:paraId="13F909EF" w14:textId="77777777" w:rsidR="00FD6507" w:rsidRPr="00C83549" w:rsidRDefault="00FD6507" w:rsidP="00846451">
            <w:pPr>
              <w:spacing w:after="0"/>
              <w:jc w:val="right"/>
              <w:rPr>
                <w:rFonts w:ascii="Times New Roman" w:hAnsi="Times New Roman"/>
                <w:sz w:val="23"/>
                <w:szCs w:val="23"/>
              </w:rPr>
            </w:pPr>
            <w:r>
              <w:rPr>
                <w:rFonts w:ascii="Times New Roman" w:hAnsi="Times New Roman"/>
                <w:sz w:val="23"/>
                <w:szCs w:val="23"/>
              </w:rPr>
              <w:t>2,1</w:t>
            </w:r>
          </w:p>
        </w:tc>
        <w:tc>
          <w:tcPr>
            <w:tcW w:w="566" w:type="pct"/>
            <w:tcBorders>
              <w:top w:val="nil"/>
              <w:left w:val="nil"/>
              <w:bottom w:val="single" w:sz="4" w:space="0" w:color="auto"/>
              <w:right w:val="nil"/>
            </w:tcBorders>
            <w:vAlign w:val="center"/>
          </w:tcPr>
          <w:p w14:paraId="53FED117" w14:textId="77777777" w:rsidR="00FD6507" w:rsidRPr="00C83549" w:rsidRDefault="00FD6507" w:rsidP="00846451">
            <w:pPr>
              <w:spacing w:after="0"/>
              <w:jc w:val="right"/>
              <w:rPr>
                <w:rFonts w:ascii="Times New Roman" w:hAnsi="Times New Roman"/>
                <w:sz w:val="23"/>
                <w:szCs w:val="23"/>
              </w:rPr>
            </w:pPr>
            <w:r>
              <w:rPr>
                <w:rFonts w:ascii="Times New Roman" w:hAnsi="Times New Roman"/>
                <w:sz w:val="23"/>
                <w:szCs w:val="23"/>
              </w:rPr>
              <w:t>3,0</w:t>
            </w:r>
          </w:p>
        </w:tc>
      </w:tr>
      <w:tr w:rsidR="00FD6507" w:rsidRPr="00C83549" w14:paraId="7BC8EF8D" w14:textId="77777777" w:rsidTr="00846451">
        <w:trPr>
          <w:trHeight w:val="394"/>
        </w:trPr>
        <w:tc>
          <w:tcPr>
            <w:tcW w:w="1857" w:type="pct"/>
            <w:vAlign w:val="center"/>
            <w:hideMark/>
          </w:tcPr>
          <w:p w14:paraId="618C77F5"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01 Matvarer og alkoholfrie drikkevarer</w:t>
            </w:r>
          </w:p>
        </w:tc>
        <w:tc>
          <w:tcPr>
            <w:tcW w:w="529" w:type="pct"/>
            <w:vAlign w:val="bottom"/>
            <w:hideMark/>
          </w:tcPr>
          <w:p w14:paraId="64E2E744"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130,5</w:t>
            </w:r>
          </w:p>
        </w:tc>
        <w:tc>
          <w:tcPr>
            <w:tcW w:w="486" w:type="pct"/>
            <w:vAlign w:val="bottom"/>
          </w:tcPr>
          <w:p w14:paraId="6FCEFFCE"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1</w:t>
            </w:r>
          </w:p>
        </w:tc>
        <w:tc>
          <w:tcPr>
            <w:tcW w:w="410" w:type="pct"/>
            <w:vAlign w:val="bottom"/>
          </w:tcPr>
          <w:p w14:paraId="73387573"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2</w:t>
            </w:r>
          </w:p>
        </w:tc>
        <w:tc>
          <w:tcPr>
            <w:tcW w:w="409" w:type="pct"/>
            <w:vAlign w:val="bottom"/>
          </w:tcPr>
          <w:p w14:paraId="57FEA11B"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1</w:t>
            </w:r>
          </w:p>
        </w:tc>
        <w:tc>
          <w:tcPr>
            <w:tcW w:w="410" w:type="pct"/>
            <w:vAlign w:val="bottom"/>
          </w:tcPr>
          <w:p w14:paraId="5E776B0A"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,0</w:t>
            </w:r>
          </w:p>
        </w:tc>
        <w:tc>
          <w:tcPr>
            <w:tcW w:w="333" w:type="pct"/>
            <w:vAlign w:val="bottom"/>
          </w:tcPr>
          <w:p w14:paraId="26523D7E"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9</w:t>
            </w:r>
          </w:p>
        </w:tc>
        <w:tc>
          <w:tcPr>
            <w:tcW w:w="566" w:type="pct"/>
            <w:vAlign w:val="bottom"/>
          </w:tcPr>
          <w:p w14:paraId="3C0DE2F7"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1,</w:t>
            </w:r>
            <w:r w:rsidRPr="00E5368A">
              <w:rPr>
                <w:rFonts w:ascii="Times New Roman" w:hAnsi="Times New Roman"/>
                <w:sz w:val="23"/>
                <w:szCs w:val="23"/>
              </w:rPr>
              <w:t>8</w:t>
            </w:r>
          </w:p>
        </w:tc>
      </w:tr>
      <w:tr w:rsidR="00FD6507" w:rsidRPr="00C83549" w14:paraId="13351D06" w14:textId="77777777" w:rsidTr="00846451">
        <w:trPr>
          <w:trHeight w:val="394"/>
        </w:trPr>
        <w:tc>
          <w:tcPr>
            <w:tcW w:w="1857" w:type="pct"/>
            <w:vAlign w:val="center"/>
            <w:hideMark/>
          </w:tcPr>
          <w:p w14:paraId="669ADB8C"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02 Alkoholdrikker og tobakk</w:t>
            </w:r>
          </w:p>
        </w:tc>
        <w:tc>
          <w:tcPr>
            <w:tcW w:w="529" w:type="pct"/>
            <w:vAlign w:val="bottom"/>
            <w:hideMark/>
          </w:tcPr>
          <w:p w14:paraId="5DE57647"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41,7</w:t>
            </w:r>
          </w:p>
        </w:tc>
        <w:tc>
          <w:tcPr>
            <w:tcW w:w="486" w:type="pct"/>
            <w:vAlign w:val="bottom"/>
          </w:tcPr>
          <w:p w14:paraId="46F77BA0"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6</w:t>
            </w:r>
            <w:r>
              <w:rPr>
                <w:rFonts w:ascii="Times New Roman" w:hAnsi="Times New Roman"/>
                <w:sz w:val="23"/>
                <w:szCs w:val="23"/>
              </w:rPr>
              <w:t>,</w:t>
            </w:r>
            <w:r w:rsidRPr="00871871">
              <w:rPr>
                <w:rFonts w:ascii="Times New Roman" w:hAnsi="Times New Roman"/>
                <w:sz w:val="23"/>
                <w:szCs w:val="23"/>
              </w:rPr>
              <w:t>4</w:t>
            </w:r>
          </w:p>
        </w:tc>
        <w:tc>
          <w:tcPr>
            <w:tcW w:w="410" w:type="pct"/>
            <w:vAlign w:val="bottom"/>
          </w:tcPr>
          <w:p w14:paraId="1F4E904E"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w:t>
            </w:r>
            <w:r w:rsidRPr="00871871">
              <w:rPr>
                <w:rFonts w:ascii="Times New Roman" w:hAnsi="Times New Roman"/>
                <w:sz w:val="23"/>
                <w:szCs w:val="23"/>
              </w:rPr>
              <w:t>2</w:t>
            </w:r>
          </w:p>
        </w:tc>
        <w:tc>
          <w:tcPr>
            <w:tcW w:w="409" w:type="pct"/>
            <w:vAlign w:val="bottom"/>
          </w:tcPr>
          <w:p w14:paraId="2402B862"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4</w:t>
            </w:r>
            <w:r>
              <w:rPr>
                <w:rFonts w:ascii="Times New Roman" w:hAnsi="Times New Roman"/>
                <w:sz w:val="23"/>
                <w:szCs w:val="23"/>
              </w:rPr>
              <w:t>,</w:t>
            </w:r>
            <w:r w:rsidRPr="00871871">
              <w:rPr>
                <w:rFonts w:ascii="Times New Roman" w:hAnsi="Times New Roman"/>
                <w:sz w:val="23"/>
                <w:szCs w:val="23"/>
              </w:rPr>
              <w:t>3</w:t>
            </w:r>
          </w:p>
        </w:tc>
        <w:tc>
          <w:tcPr>
            <w:tcW w:w="410" w:type="pct"/>
            <w:vAlign w:val="bottom"/>
          </w:tcPr>
          <w:p w14:paraId="17685C59"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w:t>
            </w:r>
            <w:r w:rsidRPr="00871871">
              <w:rPr>
                <w:rFonts w:ascii="Times New Roman" w:hAnsi="Times New Roman"/>
                <w:sz w:val="23"/>
                <w:szCs w:val="23"/>
              </w:rPr>
              <w:t>4</w:t>
            </w:r>
          </w:p>
        </w:tc>
        <w:tc>
          <w:tcPr>
            <w:tcW w:w="333" w:type="pct"/>
            <w:vAlign w:val="bottom"/>
          </w:tcPr>
          <w:p w14:paraId="19AB8685"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,0</w:t>
            </w:r>
          </w:p>
        </w:tc>
        <w:tc>
          <w:tcPr>
            <w:tcW w:w="566" w:type="pct"/>
            <w:vAlign w:val="bottom"/>
          </w:tcPr>
          <w:p w14:paraId="64545B08"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3,</w:t>
            </w:r>
            <w:r w:rsidRPr="00E5368A">
              <w:rPr>
                <w:rFonts w:ascii="Times New Roman" w:hAnsi="Times New Roman"/>
                <w:sz w:val="23"/>
                <w:szCs w:val="23"/>
              </w:rPr>
              <w:t>4</w:t>
            </w:r>
          </w:p>
        </w:tc>
      </w:tr>
      <w:tr w:rsidR="00FD6507" w:rsidRPr="00C83549" w14:paraId="76BD5D53" w14:textId="77777777" w:rsidTr="00846451">
        <w:trPr>
          <w:trHeight w:val="394"/>
        </w:trPr>
        <w:tc>
          <w:tcPr>
            <w:tcW w:w="1857" w:type="pct"/>
            <w:vAlign w:val="center"/>
            <w:hideMark/>
          </w:tcPr>
          <w:p w14:paraId="77A71DDB"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03 Klær og skotøy</w:t>
            </w:r>
          </w:p>
        </w:tc>
        <w:tc>
          <w:tcPr>
            <w:tcW w:w="529" w:type="pct"/>
            <w:vAlign w:val="bottom"/>
            <w:hideMark/>
          </w:tcPr>
          <w:p w14:paraId="613160FA"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51,7</w:t>
            </w:r>
          </w:p>
        </w:tc>
        <w:tc>
          <w:tcPr>
            <w:tcW w:w="486" w:type="pct"/>
            <w:vAlign w:val="bottom"/>
          </w:tcPr>
          <w:p w14:paraId="3E6251EE"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,0</w:t>
            </w:r>
          </w:p>
        </w:tc>
        <w:tc>
          <w:tcPr>
            <w:tcW w:w="410" w:type="pct"/>
            <w:vAlign w:val="bottom"/>
          </w:tcPr>
          <w:p w14:paraId="5CEDDBA5"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3</w:t>
            </w:r>
          </w:p>
        </w:tc>
        <w:tc>
          <w:tcPr>
            <w:tcW w:w="409" w:type="pct"/>
            <w:vAlign w:val="bottom"/>
          </w:tcPr>
          <w:p w14:paraId="2C102E05"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,0</w:t>
            </w:r>
          </w:p>
        </w:tc>
        <w:tc>
          <w:tcPr>
            <w:tcW w:w="410" w:type="pct"/>
            <w:vAlign w:val="bottom"/>
          </w:tcPr>
          <w:p w14:paraId="03C250EF"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6</w:t>
            </w:r>
          </w:p>
        </w:tc>
        <w:tc>
          <w:tcPr>
            <w:tcW w:w="333" w:type="pct"/>
            <w:vAlign w:val="bottom"/>
          </w:tcPr>
          <w:p w14:paraId="50A78F81"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4</w:t>
            </w:r>
          </w:p>
        </w:tc>
        <w:tc>
          <w:tcPr>
            <w:tcW w:w="566" w:type="pct"/>
            <w:vAlign w:val="bottom"/>
          </w:tcPr>
          <w:p w14:paraId="473927EC"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5,</w:t>
            </w:r>
            <w:r w:rsidRPr="00E5368A">
              <w:rPr>
                <w:rFonts w:ascii="Times New Roman" w:hAnsi="Times New Roman"/>
                <w:sz w:val="23"/>
                <w:szCs w:val="23"/>
              </w:rPr>
              <w:t>5</w:t>
            </w:r>
          </w:p>
        </w:tc>
      </w:tr>
      <w:tr w:rsidR="00FD6507" w:rsidRPr="00C83549" w14:paraId="3295D52D" w14:textId="77777777" w:rsidTr="00846451">
        <w:trPr>
          <w:trHeight w:val="394"/>
        </w:trPr>
        <w:tc>
          <w:tcPr>
            <w:tcW w:w="1857" w:type="pct"/>
            <w:vAlign w:val="center"/>
            <w:hideMark/>
          </w:tcPr>
          <w:p w14:paraId="59B23C20"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04 Bolig, lys og brensel</w:t>
            </w:r>
          </w:p>
        </w:tc>
        <w:tc>
          <w:tcPr>
            <w:tcW w:w="529" w:type="pct"/>
            <w:vAlign w:val="bottom"/>
            <w:hideMark/>
          </w:tcPr>
          <w:p w14:paraId="25B984F3"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229,8</w:t>
            </w:r>
          </w:p>
        </w:tc>
        <w:tc>
          <w:tcPr>
            <w:tcW w:w="486" w:type="pct"/>
            <w:vAlign w:val="bottom"/>
          </w:tcPr>
          <w:p w14:paraId="592E1247"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9</w:t>
            </w:r>
          </w:p>
        </w:tc>
        <w:tc>
          <w:tcPr>
            <w:tcW w:w="410" w:type="pct"/>
            <w:vAlign w:val="bottom"/>
          </w:tcPr>
          <w:p w14:paraId="578009E1"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8</w:t>
            </w:r>
          </w:p>
        </w:tc>
        <w:tc>
          <w:tcPr>
            <w:tcW w:w="409" w:type="pct"/>
            <w:vAlign w:val="bottom"/>
          </w:tcPr>
          <w:p w14:paraId="6607DFA4"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5</w:t>
            </w:r>
            <w:r>
              <w:rPr>
                <w:rFonts w:ascii="Times New Roman" w:hAnsi="Times New Roman"/>
                <w:sz w:val="23"/>
                <w:szCs w:val="23"/>
              </w:rPr>
              <w:t>,</w:t>
            </w:r>
            <w:r w:rsidRPr="00871871">
              <w:rPr>
                <w:rFonts w:ascii="Times New Roman" w:hAnsi="Times New Roman"/>
                <w:sz w:val="23"/>
                <w:szCs w:val="23"/>
              </w:rPr>
              <w:t>3</w:t>
            </w:r>
          </w:p>
        </w:tc>
        <w:tc>
          <w:tcPr>
            <w:tcW w:w="410" w:type="pct"/>
            <w:vAlign w:val="bottom"/>
          </w:tcPr>
          <w:p w14:paraId="571B8DCA"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3</w:t>
            </w:r>
          </w:p>
        </w:tc>
        <w:tc>
          <w:tcPr>
            <w:tcW w:w="333" w:type="pct"/>
            <w:vAlign w:val="bottom"/>
          </w:tcPr>
          <w:p w14:paraId="571B57D9"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3</w:t>
            </w:r>
          </w:p>
        </w:tc>
        <w:tc>
          <w:tcPr>
            <w:tcW w:w="566" w:type="pct"/>
            <w:vAlign w:val="bottom"/>
          </w:tcPr>
          <w:p w14:paraId="4F05F506" w14:textId="77777777" w:rsidR="00FD6507" w:rsidRPr="00E5368A" w:rsidRDefault="00FD6507" w:rsidP="00846451">
            <w:pPr>
              <w:spacing w:after="60"/>
              <w:jc w:val="right"/>
              <w:rPr>
                <w:rFonts w:ascii="Times New Roman" w:hAnsi="Times New Roman"/>
                <w:sz w:val="23"/>
                <w:szCs w:val="23"/>
              </w:rPr>
            </w:pPr>
            <w:r w:rsidRPr="00E5368A">
              <w:rPr>
                <w:rFonts w:ascii="Times New Roman" w:hAnsi="Times New Roman"/>
                <w:sz w:val="23"/>
                <w:szCs w:val="23"/>
              </w:rPr>
              <w:t>3</w:t>
            </w:r>
            <w:r>
              <w:rPr>
                <w:rFonts w:ascii="Times New Roman" w:hAnsi="Times New Roman"/>
                <w:sz w:val="23"/>
                <w:szCs w:val="23"/>
              </w:rPr>
              <w:t>,0</w:t>
            </w:r>
          </w:p>
        </w:tc>
      </w:tr>
      <w:tr w:rsidR="00FD6507" w:rsidRPr="00C83549" w14:paraId="25C56801" w14:textId="77777777" w:rsidTr="00846451">
        <w:trPr>
          <w:trHeight w:val="394"/>
        </w:trPr>
        <w:tc>
          <w:tcPr>
            <w:tcW w:w="1857" w:type="pct"/>
            <w:vAlign w:val="center"/>
            <w:hideMark/>
          </w:tcPr>
          <w:p w14:paraId="391FEBB3" w14:textId="77777777" w:rsidR="00FD6507" w:rsidRPr="00C83549" w:rsidRDefault="00FD6507" w:rsidP="00846451">
            <w:pPr>
              <w:spacing w:after="60"/>
              <w:rPr>
                <w:rFonts w:ascii="Times New Roman" w:hAnsi="Times New Roman"/>
                <w:i/>
                <w:iCs/>
                <w:sz w:val="23"/>
                <w:szCs w:val="23"/>
              </w:rPr>
            </w:pPr>
            <w:r w:rsidRPr="00C83549">
              <w:rPr>
                <w:rFonts w:ascii="Times New Roman" w:hAnsi="Times New Roman"/>
                <w:i/>
                <w:iCs/>
                <w:sz w:val="23"/>
                <w:szCs w:val="23"/>
              </w:rPr>
              <w:t>Herav: Betalt husleie</w:t>
            </w:r>
          </w:p>
        </w:tc>
        <w:tc>
          <w:tcPr>
            <w:tcW w:w="529" w:type="pct"/>
            <w:vAlign w:val="center"/>
            <w:hideMark/>
          </w:tcPr>
          <w:p w14:paraId="18A20F64"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45,6</w:t>
            </w:r>
          </w:p>
        </w:tc>
        <w:tc>
          <w:tcPr>
            <w:tcW w:w="486" w:type="pct"/>
            <w:vAlign w:val="center"/>
          </w:tcPr>
          <w:p w14:paraId="1C352F3F"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2,3</w:t>
            </w:r>
          </w:p>
        </w:tc>
        <w:tc>
          <w:tcPr>
            <w:tcW w:w="410" w:type="pct"/>
            <w:vAlign w:val="center"/>
          </w:tcPr>
          <w:p w14:paraId="3F62350A"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1,9</w:t>
            </w:r>
          </w:p>
        </w:tc>
        <w:tc>
          <w:tcPr>
            <w:tcW w:w="409" w:type="pct"/>
            <w:vAlign w:val="center"/>
          </w:tcPr>
          <w:p w14:paraId="3599A078"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3,1</w:t>
            </w:r>
          </w:p>
        </w:tc>
        <w:tc>
          <w:tcPr>
            <w:tcW w:w="410" w:type="pct"/>
            <w:vAlign w:val="center"/>
          </w:tcPr>
          <w:p w14:paraId="61ADDB48"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2,7</w:t>
            </w:r>
          </w:p>
        </w:tc>
        <w:tc>
          <w:tcPr>
            <w:tcW w:w="333" w:type="pct"/>
            <w:vAlign w:val="center"/>
          </w:tcPr>
          <w:p w14:paraId="65C24221"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2,8</w:t>
            </w:r>
          </w:p>
        </w:tc>
        <w:tc>
          <w:tcPr>
            <w:tcW w:w="566" w:type="pct"/>
            <w:vAlign w:val="center"/>
          </w:tcPr>
          <w:p w14:paraId="686FD82F"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2,0</w:t>
            </w:r>
          </w:p>
        </w:tc>
      </w:tr>
      <w:tr w:rsidR="00FD6507" w:rsidRPr="00C83549" w14:paraId="5147D94B" w14:textId="77777777" w:rsidTr="00846451">
        <w:trPr>
          <w:trHeight w:val="394"/>
        </w:trPr>
        <w:tc>
          <w:tcPr>
            <w:tcW w:w="1857" w:type="pct"/>
            <w:vAlign w:val="center"/>
            <w:hideMark/>
          </w:tcPr>
          <w:p w14:paraId="2133BB8B" w14:textId="77777777" w:rsidR="00FD6507" w:rsidRPr="00C83549" w:rsidRDefault="00FD6507" w:rsidP="00846451">
            <w:pPr>
              <w:spacing w:after="60"/>
              <w:rPr>
                <w:rFonts w:ascii="Times New Roman" w:hAnsi="Times New Roman"/>
                <w:i/>
                <w:iCs/>
                <w:sz w:val="23"/>
                <w:szCs w:val="23"/>
              </w:rPr>
            </w:pPr>
            <w:r w:rsidRPr="00C83549">
              <w:rPr>
                <w:rFonts w:ascii="Times New Roman" w:hAnsi="Times New Roman"/>
                <w:i/>
                <w:iCs/>
                <w:sz w:val="23"/>
                <w:szCs w:val="23"/>
              </w:rPr>
              <w:t xml:space="preserve">            Beregnet husleie</w:t>
            </w:r>
          </w:p>
        </w:tc>
        <w:tc>
          <w:tcPr>
            <w:tcW w:w="529" w:type="pct"/>
            <w:vAlign w:val="center"/>
            <w:hideMark/>
          </w:tcPr>
          <w:p w14:paraId="58AE7A6B"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133,0</w:t>
            </w:r>
          </w:p>
        </w:tc>
        <w:tc>
          <w:tcPr>
            <w:tcW w:w="486" w:type="pct"/>
            <w:vAlign w:val="center"/>
          </w:tcPr>
          <w:p w14:paraId="389B3A2E"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2,0</w:t>
            </w:r>
          </w:p>
        </w:tc>
        <w:tc>
          <w:tcPr>
            <w:tcW w:w="410" w:type="pct"/>
            <w:vAlign w:val="center"/>
          </w:tcPr>
          <w:p w14:paraId="3613D259"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1,7</w:t>
            </w:r>
          </w:p>
        </w:tc>
        <w:tc>
          <w:tcPr>
            <w:tcW w:w="409" w:type="pct"/>
            <w:vAlign w:val="center"/>
          </w:tcPr>
          <w:p w14:paraId="31797FCB"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2,9</w:t>
            </w:r>
          </w:p>
        </w:tc>
        <w:tc>
          <w:tcPr>
            <w:tcW w:w="410" w:type="pct"/>
            <w:vAlign w:val="center"/>
          </w:tcPr>
          <w:p w14:paraId="1D2851F6"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2,7</w:t>
            </w:r>
          </w:p>
        </w:tc>
        <w:tc>
          <w:tcPr>
            <w:tcW w:w="333" w:type="pct"/>
            <w:vAlign w:val="center"/>
          </w:tcPr>
          <w:p w14:paraId="2EDCFB39"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2,3</w:t>
            </w:r>
          </w:p>
        </w:tc>
        <w:tc>
          <w:tcPr>
            <w:tcW w:w="566" w:type="pct"/>
            <w:vAlign w:val="center"/>
          </w:tcPr>
          <w:p w14:paraId="6E9E7DAA"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1,8</w:t>
            </w:r>
          </w:p>
        </w:tc>
      </w:tr>
      <w:tr w:rsidR="00FD6507" w:rsidRPr="00C83549" w14:paraId="0A3C82C8" w14:textId="77777777" w:rsidTr="00846451">
        <w:trPr>
          <w:trHeight w:val="394"/>
        </w:trPr>
        <w:tc>
          <w:tcPr>
            <w:tcW w:w="1857" w:type="pct"/>
            <w:vAlign w:val="center"/>
            <w:hideMark/>
          </w:tcPr>
          <w:p w14:paraId="4C67F9DF" w14:textId="77777777" w:rsidR="00FD6507" w:rsidRPr="00C83549" w:rsidRDefault="00FD6507" w:rsidP="00846451">
            <w:pPr>
              <w:spacing w:after="60"/>
              <w:ind w:left="798" w:hanging="142"/>
              <w:rPr>
                <w:rFonts w:ascii="Times New Roman" w:hAnsi="Times New Roman"/>
                <w:i/>
                <w:iCs/>
                <w:sz w:val="23"/>
                <w:szCs w:val="23"/>
              </w:rPr>
            </w:pPr>
            <w:r>
              <w:rPr>
                <w:rFonts w:ascii="Times New Roman" w:hAnsi="Times New Roman"/>
                <w:i/>
                <w:iCs/>
                <w:sz w:val="23"/>
                <w:szCs w:val="23"/>
              </w:rPr>
              <w:t xml:space="preserve"> Elektrisitet, fyringsoljer oa. </w:t>
            </w:r>
            <w:r w:rsidRPr="00C83549">
              <w:rPr>
                <w:rFonts w:ascii="Times New Roman" w:hAnsi="Times New Roman"/>
                <w:i/>
                <w:iCs/>
                <w:sz w:val="23"/>
                <w:szCs w:val="23"/>
              </w:rPr>
              <w:t>brens</w:t>
            </w:r>
            <w:r>
              <w:rPr>
                <w:rFonts w:ascii="Times New Roman" w:hAnsi="Times New Roman"/>
                <w:i/>
                <w:iCs/>
                <w:sz w:val="23"/>
                <w:szCs w:val="23"/>
              </w:rPr>
              <w:t>el</w:t>
            </w:r>
          </w:p>
        </w:tc>
        <w:tc>
          <w:tcPr>
            <w:tcW w:w="529" w:type="pct"/>
            <w:vAlign w:val="center"/>
            <w:hideMark/>
          </w:tcPr>
          <w:p w14:paraId="4BE9C1DE"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35,3</w:t>
            </w:r>
          </w:p>
        </w:tc>
        <w:tc>
          <w:tcPr>
            <w:tcW w:w="486" w:type="pct"/>
            <w:vAlign w:val="center"/>
          </w:tcPr>
          <w:p w14:paraId="61BF4407"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-4,0</w:t>
            </w:r>
          </w:p>
        </w:tc>
        <w:tc>
          <w:tcPr>
            <w:tcW w:w="410" w:type="pct"/>
            <w:vAlign w:val="center"/>
          </w:tcPr>
          <w:p w14:paraId="01A1AD58"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-17,5</w:t>
            </w:r>
          </w:p>
        </w:tc>
        <w:tc>
          <w:tcPr>
            <w:tcW w:w="409" w:type="pct"/>
            <w:vAlign w:val="center"/>
          </w:tcPr>
          <w:p w14:paraId="3283B28E"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14,7</w:t>
            </w:r>
          </w:p>
        </w:tc>
        <w:tc>
          <w:tcPr>
            <w:tcW w:w="410" w:type="pct"/>
            <w:vAlign w:val="center"/>
          </w:tcPr>
          <w:p w14:paraId="0165C42A"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-5,7</w:t>
            </w:r>
          </w:p>
        </w:tc>
        <w:tc>
          <w:tcPr>
            <w:tcW w:w="333" w:type="pct"/>
            <w:vAlign w:val="center"/>
          </w:tcPr>
          <w:p w14:paraId="38231E51"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-3,4</w:t>
            </w:r>
          </w:p>
        </w:tc>
        <w:tc>
          <w:tcPr>
            <w:tcW w:w="566" w:type="pct"/>
            <w:vAlign w:val="center"/>
          </w:tcPr>
          <w:p w14:paraId="364EDB36"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10,0</w:t>
            </w:r>
          </w:p>
        </w:tc>
      </w:tr>
      <w:tr w:rsidR="00FD6507" w:rsidRPr="00C83549" w14:paraId="5B5348B1" w14:textId="77777777" w:rsidTr="00846451">
        <w:trPr>
          <w:trHeight w:val="394"/>
        </w:trPr>
        <w:tc>
          <w:tcPr>
            <w:tcW w:w="1857" w:type="pct"/>
            <w:vAlign w:val="center"/>
            <w:hideMark/>
          </w:tcPr>
          <w:p w14:paraId="4E71F62B"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05 Møbler og husholdningsart</w:t>
            </w:r>
            <w:r>
              <w:rPr>
                <w:rFonts w:ascii="Times New Roman" w:hAnsi="Times New Roman"/>
                <w:sz w:val="23"/>
                <w:szCs w:val="23"/>
              </w:rPr>
              <w:t>ikler</w:t>
            </w:r>
          </w:p>
        </w:tc>
        <w:tc>
          <w:tcPr>
            <w:tcW w:w="529" w:type="pct"/>
            <w:vAlign w:val="center"/>
            <w:hideMark/>
          </w:tcPr>
          <w:p w14:paraId="04FD9C5A"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66,6</w:t>
            </w:r>
          </w:p>
        </w:tc>
        <w:tc>
          <w:tcPr>
            <w:tcW w:w="486" w:type="pct"/>
            <w:vAlign w:val="center"/>
          </w:tcPr>
          <w:p w14:paraId="1063DC2D"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6</w:t>
            </w:r>
          </w:p>
        </w:tc>
        <w:tc>
          <w:tcPr>
            <w:tcW w:w="410" w:type="pct"/>
            <w:vAlign w:val="center"/>
          </w:tcPr>
          <w:p w14:paraId="620255A8"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1</w:t>
            </w:r>
          </w:p>
        </w:tc>
        <w:tc>
          <w:tcPr>
            <w:tcW w:w="409" w:type="pct"/>
            <w:vAlign w:val="center"/>
          </w:tcPr>
          <w:p w14:paraId="0E9CE76D"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0</w:t>
            </w:r>
            <w:r>
              <w:rPr>
                <w:rFonts w:ascii="Times New Roman" w:hAnsi="Times New Roman"/>
                <w:sz w:val="23"/>
                <w:szCs w:val="23"/>
              </w:rPr>
              <w:t>,</w:t>
            </w:r>
            <w:r w:rsidRPr="00871871">
              <w:rPr>
                <w:rFonts w:ascii="Times New Roman" w:hAnsi="Times New Roman"/>
                <w:sz w:val="23"/>
                <w:szCs w:val="23"/>
              </w:rPr>
              <w:t>4</w:t>
            </w:r>
          </w:p>
        </w:tc>
        <w:tc>
          <w:tcPr>
            <w:tcW w:w="410" w:type="pct"/>
            <w:vAlign w:val="center"/>
          </w:tcPr>
          <w:p w14:paraId="3466E876"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w:t>
            </w:r>
            <w:r w:rsidRPr="00871871">
              <w:rPr>
                <w:rFonts w:ascii="Times New Roman" w:hAnsi="Times New Roman"/>
                <w:sz w:val="23"/>
                <w:szCs w:val="23"/>
              </w:rPr>
              <w:t>2</w:t>
            </w:r>
          </w:p>
        </w:tc>
        <w:tc>
          <w:tcPr>
            <w:tcW w:w="333" w:type="pct"/>
            <w:vAlign w:val="center"/>
          </w:tcPr>
          <w:p w14:paraId="6AF0C29E"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5</w:t>
            </w:r>
            <w:r>
              <w:rPr>
                <w:rFonts w:ascii="Times New Roman" w:hAnsi="Times New Roman"/>
                <w:sz w:val="23"/>
                <w:szCs w:val="23"/>
              </w:rPr>
              <w:t>,</w:t>
            </w:r>
            <w:r w:rsidRPr="00871871">
              <w:rPr>
                <w:rFonts w:ascii="Times New Roman" w:hAnsi="Times New Roman"/>
                <w:sz w:val="23"/>
                <w:szCs w:val="23"/>
              </w:rPr>
              <w:t>2</w:t>
            </w:r>
          </w:p>
        </w:tc>
        <w:tc>
          <w:tcPr>
            <w:tcW w:w="566" w:type="pct"/>
            <w:vAlign w:val="center"/>
          </w:tcPr>
          <w:p w14:paraId="316719BE"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6,</w:t>
            </w:r>
            <w:r w:rsidRPr="00E5368A">
              <w:rPr>
                <w:rFonts w:ascii="Times New Roman" w:hAnsi="Times New Roman"/>
                <w:sz w:val="23"/>
                <w:szCs w:val="23"/>
              </w:rPr>
              <w:t>6</w:t>
            </w:r>
          </w:p>
        </w:tc>
      </w:tr>
      <w:tr w:rsidR="00FD6507" w:rsidRPr="00C83549" w14:paraId="1795FDE5" w14:textId="77777777" w:rsidTr="00846451">
        <w:trPr>
          <w:trHeight w:val="394"/>
        </w:trPr>
        <w:tc>
          <w:tcPr>
            <w:tcW w:w="1857" w:type="pct"/>
            <w:vAlign w:val="center"/>
            <w:hideMark/>
          </w:tcPr>
          <w:p w14:paraId="251890C2"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06 Helsepleie</w:t>
            </w:r>
          </w:p>
        </w:tc>
        <w:tc>
          <w:tcPr>
            <w:tcW w:w="529" w:type="pct"/>
            <w:vAlign w:val="bottom"/>
            <w:hideMark/>
          </w:tcPr>
          <w:p w14:paraId="3A762FE1"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31,8</w:t>
            </w:r>
          </w:p>
        </w:tc>
        <w:tc>
          <w:tcPr>
            <w:tcW w:w="486" w:type="pct"/>
            <w:vAlign w:val="bottom"/>
          </w:tcPr>
          <w:p w14:paraId="63179690"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3</w:t>
            </w:r>
          </w:p>
        </w:tc>
        <w:tc>
          <w:tcPr>
            <w:tcW w:w="410" w:type="pct"/>
            <w:vAlign w:val="bottom"/>
          </w:tcPr>
          <w:p w14:paraId="1AF80BA0"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3</w:t>
            </w:r>
            <w:r>
              <w:rPr>
                <w:rFonts w:ascii="Times New Roman" w:hAnsi="Times New Roman"/>
                <w:sz w:val="23"/>
                <w:szCs w:val="23"/>
              </w:rPr>
              <w:t>,0</w:t>
            </w:r>
          </w:p>
        </w:tc>
        <w:tc>
          <w:tcPr>
            <w:tcW w:w="409" w:type="pct"/>
            <w:vAlign w:val="bottom"/>
          </w:tcPr>
          <w:p w14:paraId="38E2AF86"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6</w:t>
            </w:r>
          </w:p>
        </w:tc>
        <w:tc>
          <w:tcPr>
            <w:tcW w:w="410" w:type="pct"/>
            <w:vAlign w:val="bottom"/>
          </w:tcPr>
          <w:p w14:paraId="6B747C92"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5</w:t>
            </w:r>
          </w:p>
        </w:tc>
        <w:tc>
          <w:tcPr>
            <w:tcW w:w="333" w:type="pct"/>
            <w:vAlign w:val="bottom"/>
          </w:tcPr>
          <w:p w14:paraId="6EDBE585"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7</w:t>
            </w:r>
          </w:p>
        </w:tc>
        <w:tc>
          <w:tcPr>
            <w:tcW w:w="566" w:type="pct"/>
            <w:vAlign w:val="bottom"/>
          </w:tcPr>
          <w:p w14:paraId="05012285"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0,</w:t>
            </w:r>
            <w:r w:rsidRPr="00E5368A">
              <w:rPr>
                <w:rFonts w:ascii="Times New Roman" w:hAnsi="Times New Roman"/>
                <w:sz w:val="23"/>
                <w:szCs w:val="23"/>
              </w:rPr>
              <w:t>5</w:t>
            </w:r>
          </w:p>
        </w:tc>
      </w:tr>
      <w:tr w:rsidR="00FD6507" w:rsidRPr="0073198A" w14:paraId="4C592F2B" w14:textId="77777777" w:rsidTr="00846451">
        <w:trPr>
          <w:trHeight w:val="394"/>
        </w:trPr>
        <w:tc>
          <w:tcPr>
            <w:tcW w:w="1857" w:type="pct"/>
            <w:vAlign w:val="center"/>
            <w:hideMark/>
          </w:tcPr>
          <w:p w14:paraId="7039E8CB"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07 Transport</w:t>
            </w:r>
          </w:p>
        </w:tc>
        <w:tc>
          <w:tcPr>
            <w:tcW w:w="529" w:type="pct"/>
            <w:vAlign w:val="bottom"/>
            <w:hideMark/>
          </w:tcPr>
          <w:p w14:paraId="78A4B332"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158,9</w:t>
            </w:r>
          </w:p>
        </w:tc>
        <w:tc>
          <w:tcPr>
            <w:tcW w:w="486" w:type="pct"/>
            <w:vAlign w:val="bottom"/>
          </w:tcPr>
          <w:p w14:paraId="617B8451"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4</w:t>
            </w:r>
          </w:p>
        </w:tc>
        <w:tc>
          <w:tcPr>
            <w:tcW w:w="410" w:type="pct"/>
            <w:vAlign w:val="bottom"/>
          </w:tcPr>
          <w:p w14:paraId="5A8FFAB4"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5</w:t>
            </w:r>
          </w:p>
        </w:tc>
        <w:tc>
          <w:tcPr>
            <w:tcW w:w="409" w:type="pct"/>
            <w:vAlign w:val="bottom"/>
          </w:tcPr>
          <w:p w14:paraId="6091BF14"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4</w:t>
            </w:r>
          </w:p>
        </w:tc>
        <w:tc>
          <w:tcPr>
            <w:tcW w:w="410" w:type="pct"/>
            <w:vAlign w:val="bottom"/>
          </w:tcPr>
          <w:p w14:paraId="525C4D7D"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2</w:t>
            </w:r>
            <w:r>
              <w:rPr>
                <w:rFonts w:ascii="Times New Roman" w:hAnsi="Times New Roman"/>
                <w:sz w:val="23"/>
                <w:szCs w:val="23"/>
              </w:rPr>
              <w:t>,</w:t>
            </w:r>
            <w:r w:rsidRPr="00871871">
              <w:rPr>
                <w:rFonts w:ascii="Times New Roman" w:hAnsi="Times New Roman"/>
                <w:sz w:val="23"/>
                <w:szCs w:val="23"/>
              </w:rPr>
              <w:t>3</w:t>
            </w:r>
          </w:p>
        </w:tc>
        <w:tc>
          <w:tcPr>
            <w:tcW w:w="333" w:type="pct"/>
            <w:vAlign w:val="bottom"/>
          </w:tcPr>
          <w:p w14:paraId="3A158B7A" w14:textId="77777777" w:rsidR="00FD6507" w:rsidRPr="00871871" w:rsidRDefault="00FD6507" w:rsidP="00846451">
            <w:pPr>
              <w:spacing w:after="60"/>
              <w:jc w:val="right"/>
              <w:rPr>
                <w:rFonts w:ascii="Times New Roman" w:hAnsi="Times New Roman"/>
                <w:sz w:val="23"/>
                <w:szCs w:val="23"/>
              </w:rPr>
            </w:pPr>
            <w:r w:rsidRPr="00871871">
              <w:rPr>
                <w:rFonts w:ascii="Times New Roman" w:hAnsi="Times New Roman"/>
                <w:sz w:val="23"/>
                <w:szCs w:val="23"/>
              </w:rPr>
              <w:t>1</w:t>
            </w:r>
            <w:r>
              <w:rPr>
                <w:rFonts w:ascii="Times New Roman" w:hAnsi="Times New Roman"/>
                <w:sz w:val="23"/>
                <w:szCs w:val="23"/>
              </w:rPr>
              <w:t>,</w:t>
            </w:r>
            <w:r w:rsidRPr="00871871">
              <w:rPr>
                <w:rFonts w:ascii="Times New Roman" w:hAnsi="Times New Roman"/>
                <w:sz w:val="23"/>
                <w:szCs w:val="23"/>
              </w:rPr>
              <w:t>3</w:t>
            </w:r>
          </w:p>
        </w:tc>
        <w:tc>
          <w:tcPr>
            <w:tcW w:w="566" w:type="pct"/>
            <w:vAlign w:val="bottom"/>
          </w:tcPr>
          <w:p w14:paraId="6794A3B4"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1,</w:t>
            </w:r>
            <w:r w:rsidRPr="00E5368A">
              <w:rPr>
                <w:rFonts w:ascii="Times New Roman" w:hAnsi="Times New Roman"/>
                <w:sz w:val="23"/>
                <w:szCs w:val="23"/>
              </w:rPr>
              <w:t>5</w:t>
            </w:r>
          </w:p>
        </w:tc>
      </w:tr>
      <w:tr w:rsidR="00FD6507" w:rsidRPr="00C83549" w14:paraId="25097211" w14:textId="77777777" w:rsidTr="00846451">
        <w:trPr>
          <w:trHeight w:val="394"/>
        </w:trPr>
        <w:tc>
          <w:tcPr>
            <w:tcW w:w="1857" w:type="pct"/>
            <w:vAlign w:val="center"/>
            <w:hideMark/>
          </w:tcPr>
          <w:p w14:paraId="14736B5A" w14:textId="77777777" w:rsidR="00FD6507" w:rsidRPr="00C83549" w:rsidRDefault="00FD6507" w:rsidP="00846451">
            <w:pPr>
              <w:spacing w:after="60"/>
              <w:rPr>
                <w:rFonts w:ascii="Times New Roman" w:hAnsi="Times New Roman"/>
                <w:i/>
                <w:iCs/>
                <w:sz w:val="23"/>
                <w:szCs w:val="23"/>
              </w:rPr>
            </w:pPr>
            <w:r w:rsidRPr="00C83549">
              <w:rPr>
                <w:rFonts w:ascii="Times New Roman" w:hAnsi="Times New Roman"/>
                <w:i/>
                <w:iCs/>
                <w:sz w:val="23"/>
                <w:szCs w:val="23"/>
              </w:rPr>
              <w:t>Herav: Kjøp av egne transportmidler</w:t>
            </w:r>
          </w:p>
        </w:tc>
        <w:tc>
          <w:tcPr>
            <w:tcW w:w="529" w:type="pct"/>
            <w:vAlign w:val="center"/>
            <w:hideMark/>
          </w:tcPr>
          <w:p w14:paraId="2AEA104C"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59,4</w:t>
            </w:r>
          </w:p>
        </w:tc>
        <w:tc>
          <w:tcPr>
            <w:tcW w:w="486" w:type="pct"/>
            <w:vAlign w:val="center"/>
          </w:tcPr>
          <w:p w14:paraId="707FFAB7"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0,7</w:t>
            </w:r>
          </w:p>
        </w:tc>
        <w:tc>
          <w:tcPr>
            <w:tcW w:w="410" w:type="pct"/>
            <w:vAlign w:val="center"/>
          </w:tcPr>
          <w:p w14:paraId="78C226C7"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-0,4</w:t>
            </w:r>
          </w:p>
        </w:tc>
        <w:tc>
          <w:tcPr>
            <w:tcW w:w="409" w:type="pct"/>
            <w:vAlign w:val="center"/>
          </w:tcPr>
          <w:p w14:paraId="4B569A80"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-0,3</w:t>
            </w:r>
          </w:p>
        </w:tc>
        <w:tc>
          <w:tcPr>
            <w:tcW w:w="410" w:type="pct"/>
            <w:vAlign w:val="center"/>
          </w:tcPr>
          <w:p w14:paraId="5472043B"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1,4</w:t>
            </w:r>
          </w:p>
        </w:tc>
        <w:tc>
          <w:tcPr>
            <w:tcW w:w="333" w:type="pct"/>
            <w:vAlign w:val="center"/>
          </w:tcPr>
          <w:p w14:paraId="35191C35"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1,4</w:t>
            </w:r>
          </w:p>
        </w:tc>
        <w:tc>
          <w:tcPr>
            <w:tcW w:w="566" w:type="pct"/>
            <w:vAlign w:val="center"/>
          </w:tcPr>
          <w:p w14:paraId="1F5BEFC1"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2,4</w:t>
            </w:r>
          </w:p>
        </w:tc>
      </w:tr>
      <w:tr w:rsidR="00FD6507" w:rsidRPr="00C83549" w14:paraId="57ABB942" w14:textId="77777777" w:rsidTr="00846451">
        <w:trPr>
          <w:trHeight w:val="394"/>
        </w:trPr>
        <w:tc>
          <w:tcPr>
            <w:tcW w:w="1857" w:type="pct"/>
            <w:vAlign w:val="center"/>
            <w:hideMark/>
          </w:tcPr>
          <w:p w14:paraId="7669BD6E" w14:textId="77777777" w:rsidR="00FD6507" w:rsidRPr="00C83549" w:rsidRDefault="00FD6507" w:rsidP="00846451">
            <w:pPr>
              <w:spacing w:after="60"/>
              <w:ind w:left="798" w:hanging="798"/>
              <w:rPr>
                <w:rFonts w:ascii="Times New Roman" w:hAnsi="Times New Roman"/>
                <w:i/>
                <w:iCs/>
                <w:sz w:val="23"/>
                <w:szCs w:val="23"/>
              </w:rPr>
            </w:pPr>
            <w:r w:rsidRPr="00C83549">
              <w:rPr>
                <w:rFonts w:ascii="Times New Roman" w:hAnsi="Times New Roman"/>
                <w:i/>
                <w:iCs/>
                <w:sz w:val="23"/>
                <w:szCs w:val="23"/>
              </w:rPr>
              <w:t xml:space="preserve">       </w:t>
            </w:r>
            <w:r>
              <w:rPr>
                <w:rFonts w:ascii="Times New Roman" w:hAnsi="Times New Roman"/>
                <w:i/>
                <w:iCs/>
                <w:sz w:val="23"/>
                <w:szCs w:val="23"/>
              </w:rPr>
              <w:t xml:space="preserve">     Drift og vedlikehold av transport</w:t>
            </w:r>
            <w:r w:rsidRPr="00C83549">
              <w:rPr>
                <w:rFonts w:ascii="Times New Roman" w:hAnsi="Times New Roman"/>
                <w:i/>
                <w:iCs/>
                <w:sz w:val="23"/>
                <w:szCs w:val="23"/>
              </w:rPr>
              <w:t>midler</w:t>
            </w:r>
          </w:p>
        </w:tc>
        <w:tc>
          <w:tcPr>
            <w:tcW w:w="529" w:type="pct"/>
            <w:vAlign w:val="center"/>
            <w:hideMark/>
          </w:tcPr>
          <w:p w14:paraId="51951B32"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66,9</w:t>
            </w:r>
          </w:p>
        </w:tc>
        <w:tc>
          <w:tcPr>
            <w:tcW w:w="486" w:type="pct"/>
            <w:vAlign w:val="center"/>
          </w:tcPr>
          <w:p w14:paraId="60413F47"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6,3</w:t>
            </w:r>
          </w:p>
        </w:tc>
        <w:tc>
          <w:tcPr>
            <w:tcW w:w="410" w:type="pct"/>
            <w:vAlign w:val="center"/>
          </w:tcPr>
          <w:p w14:paraId="42257922"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3,8</w:t>
            </w:r>
          </w:p>
        </w:tc>
        <w:tc>
          <w:tcPr>
            <w:tcW w:w="409" w:type="pct"/>
            <w:vAlign w:val="center"/>
          </w:tcPr>
          <w:p w14:paraId="32A4EE3C"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2,2</w:t>
            </w:r>
          </w:p>
        </w:tc>
        <w:tc>
          <w:tcPr>
            <w:tcW w:w="410" w:type="pct"/>
            <w:vAlign w:val="center"/>
          </w:tcPr>
          <w:p w14:paraId="7C544850"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2,4</w:t>
            </w:r>
          </w:p>
        </w:tc>
        <w:tc>
          <w:tcPr>
            <w:tcW w:w="333" w:type="pct"/>
            <w:vAlign w:val="center"/>
          </w:tcPr>
          <w:p w14:paraId="48672112"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-0,7</w:t>
            </w:r>
          </w:p>
        </w:tc>
        <w:tc>
          <w:tcPr>
            <w:tcW w:w="566" w:type="pct"/>
            <w:vAlign w:val="center"/>
          </w:tcPr>
          <w:p w14:paraId="376C7AB1"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0,1</w:t>
            </w:r>
          </w:p>
        </w:tc>
      </w:tr>
      <w:tr w:rsidR="00FD6507" w:rsidRPr="00C83549" w14:paraId="5629FBE5" w14:textId="77777777" w:rsidTr="00846451">
        <w:trPr>
          <w:trHeight w:val="394"/>
        </w:trPr>
        <w:tc>
          <w:tcPr>
            <w:tcW w:w="1857" w:type="pct"/>
            <w:vAlign w:val="center"/>
            <w:hideMark/>
          </w:tcPr>
          <w:p w14:paraId="71EEF476" w14:textId="77777777" w:rsidR="00FD6507" w:rsidRPr="00C83549" w:rsidRDefault="00FD6507" w:rsidP="00846451">
            <w:pPr>
              <w:spacing w:after="60"/>
              <w:rPr>
                <w:rFonts w:ascii="Times New Roman" w:hAnsi="Times New Roman"/>
                <w:i/>
                <w:iCs/>
                <w:sz w:val="23"/>
                <w:szCs w:val="23"/>
              </w:rPr>
            </w:pPr>
            <w:r w:rsidRPr="00C83549">
              <w:rPr>
                <w:rFonts w:ascii="Times New Roman" w:hAnsi="Times New Roman"/>
                <w:i/>
                <w:iCs/>
                <w:sz w:val="23"/>
                <w:szCs w:val="23"/>
              </w:rPr>
              <w:t xml:space="preserve">            Transporttjenester </w:t>
            </w:r>
          </w:p>
        </w:tc>
        <w:tc>
          <w:tcPr>
            <w:tcW w:w="529" w:type="pct"/>
            <w:vAlign w:val="center"/>
            <w:hideMark/>
          </w:tcPr>
          <w:p w14:paraId="77254AC0" w14:textId="77777777" w:rsidR="00FD6507" w:rsidRPr="00571DD4" w:rsidRDefault="00FD6507" w:rsidP="00846451">
            <w:pPr>
              <w:spacing w:after="60"/>
              <w:jc w:val="right"/>
              <w:rPr>
                <w:rFonts w:ascii="Times New Roman" w:hAnsi="Times New Roman"/>
                <w:sz w:val="23"/>
                <w:szCs w:val="23"/>
              </w:rPr>
            </w:pPr>
            <w:r w:rsidRPr="00F37EB9">
              <w:rPr>
                <w:rFonts w:ascii="Times New Roman" w:hAnsi="Times New Roman"/>
                <w:sz w:val="23"/>
                <w:szCs w:val="23"/>
              </w:rPr>
              <w:t>32,6</w:t>
            </w:r>
          </w:p>
        </w:tc>
        <w:tc>
          <w:tcPr>
            <w:tcW w:w="486" w:type="pct"/>
            <w:vAlign w:val="center"/>
          </w:tcPr>
          <w:p w14:paraId="6CB19990"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-0,8</w:t>
            </w:r>
          </w:p>
        </w:tc>
        <w:tc>
          <w:tcPr>
            <w:tcW w:w="410" w:type="pct"/>
            <w:vAlign w:val="center"/>
          </w:tcPr>
          <w:p w14:paraId="745D2637"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5,3</w:t>
            </w:r>
          </w:p>
        </w:tc>
        <w:tc>
          <w:tcPr>
            <w:tcW w:w="409" w:type="pct"/>
            <w:vAlign w:val="center"/>
          </w:tcPr>
          <w:p w14:paraId="34900464"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2,7</w:t>
            </w:r>
          </w:p>
        </w:tc>
        <w:tc>
          <w:tcPr>
            <w:tcW w:w="410" w:type="pct"/>
            <w:vAlign w:val="center"/>
          </w:tcPr>
          <w:p w14:paraId="14054646" w14:textId="77777777" w:rsidR="00FD6507" w:rsidRPr="00C83549" w:rsidRDefault="00FD6507" w:rsidP="00846451">
            <w:pPr>
              <w:spacing w:after="60"/>
              <w:jc w:val="right"/>
              <w:rPr>
                <w:rFonts w:ascii="Times New Roman" w:hAnsi="Times New Roman"/>
                <w:sz w:val="23"/>
                <w:szCs w:val="23"/>
              </w:rPr>
            </w:pPr>
            <w:r w:rsidRPr="00C83549">
              <w:rPr>
                <w:rFonts w:ascii="Times New Roman" w:hAnsi="Times New Roman"/>
                <w:sz w:val="23"/>
                <w:szCs w:val="23"/>
              </w:rPr>
              <w:t>3,2</w:t>
            </w:r>
          </w:p>
        </w:tc>
        <w:tc>
          <w:tcPr>
            <w:tcW w:w="333" w:type="pct"/>
            <w:vAlign w:val="center"/>
          </w:tcPr>
          <w:p w14:paraId="2965AC05"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5,3</w:t>
            </w:r>
          </w:p>
        </w:tc>
        <w:tc>
          <w:tcPr>
            <w:tcW w:w="566" w:type="pct"/>
            <w:vAlign w:val="center"/>
          </w:tcPr>
          <w:p w14:paraId="3C850552" w14:textId="77777777" w:rsidR="00FD6507" w:rsidRPr="00C83549" w:rsidRDefault="00FD6507" w:rsidP="00846451">
            <w:pPr>
              <w:spacing w:after="60"/>
              <w:jc w:val="right"/>
              <w:rPr>
                <w:rFonts w:ascii="Times New Roman" w:hAnsi="Times New Roman"/>
                <w:sz w:val="23"/>
                <w:szCs w:val="23"/>
              </w:rPr>
            </w:pPr>
            <w:r>
              <w:rPr>
                <w:rFonts w:ascii="Times New Roman" w:hAnsi="Times New Roman"/>
                <w:sz w:val="23"/>
                <w:szCs w:val="23"/>
              </w:rPr>
              <w:t>3,3</w:t>
            </w:r>
          </w:p>
        </w:tc>
      </w:tr>
      <w:tr w:rsidR="00FD6507" w:rsidRPr="00C83549" w14:paraId="14CDD968" w14:textId="77777777" w:rsidTr="00846451">
        <w:trPr>
          <w:trHeight w:val="394"/>
        </w:trPr>
        <w:tc>
          <w:tcPr>
            <w:tcW w:w="1857" w:type="pct"/>
            <w:vAlign w:val="center"/>
            <w:hideMark/>
          </w:tcPr>
          <w:p w14:paraId="23B1699E"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08 Post- og teletjenester</w:t>
            </w:r>
          </w:p>
        </w:tc>
        <w:tc>
          <w:tcPr>
            <w:tcW w:w="529" w:type="pct"/>
            <w:vAlign w:val="center"/>
            <w:hideMark/>
          </w:tcPr>
          <w:p w14:paraId="682D9BAD"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24,9</w:t>
            </w:r>
          </w:p>
        </w:tc>
        <w:tc>
          <w:tcPr>
            <w:tcW w:w="486" w:type="pct"/>
            <w:vAlign w:val="center"/>
          </w:tcPr>
          <w:p w14:paraId="38BA2E6A"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-1,8</w:t>
            </w:r>
          </w:p>
        </w:tc>
        <w:tc>
          <w:tcPr>
            <w:tcW w:w="410" w:type="pct"/>
            <w:vAlign w:val="center"/>
          </w:tcPr>
          <w:p w14:paraId="599367EE"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-5,9</w:t>
            </w:r>
          </w:p>
        </w:tc>
        <w:tc>
          <w:tcPr>
            <w:tcW w:w="409" w:type="pct"/>
            <w:vAlign w:val="center"/>
          </w:tcPr>
          <w:p w14:paraId="070703FC"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-2,1</w:t>
            </w:r>
          </w:p>
        </w:tc>
        <w:tc>
          <w:tcPr>
            <w:tcW w:w="410" w:type="pct"/>
            <w:vAlign w:val="center"/>
          </w:tcPr>
          <w:p w14:paraId="33308AF4"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-0,8</w:t>
            </w:r>
          </w:p>
        </w:tc>
        <w:tc>
          <w:tcPr>
            <w:tcW w:w="333" w:type="pct"/>
            <w:vAlign w:val="center"/>
          </w:tcPr>
          <w:p w14:paraId="684F7327"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1,1</w:t>
            </w:r>
          </w:p>
        </w:tc>
        <w:tc>
          <w:tcPr>
            <w:tcW w:w="566" w:type="pct"/>
            <w:vAlign w:val="center"/>
          </w:tcPr>
          <w:p w14:paraId="4B018811"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4,</w:t>
            </w:r>
            <w:r w:rsidRPr="00E5368A">
              <w:rPr>
                <w:rFonts w:ascii="Times New Roman" w:hAnsi="Times New Roman"/>
                <w:sz w:val="23"/>
                <w:szCs w:val="23"/>
              </w:rPr>
              <w:t>2</w:t>
            </w:r>
          </w:p>
        </w:tc>
      </w:tr>
      <w:tr w:rsidR="00FD6507" w:rsidRPr="00C83549" w14:paraId="1E88DC77" w14:textId="77777777" w:rsidTr="00846451">
        <w:trPr>
          <w:trHeight w:val="394"/>
        </w:trPr>
        <w:tc>
          <w:tcPr>
            <w:tcW w:w="1857" w:type="pct"/>
            <w:vAlign w:val="center"/>
            <w:hideMark/>
          </w:tcPr>
          <w:p w14:paraId="381A2D78"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09 Kultur og fritid</w:t>
            </w:r>
          </w:p>
        </w:tc>
        <w:tc>
          <w:tcPr>
            <w:tcW w:w="529" w:type="pct"/>
            <w:vAlign w:val="center"/>
            <w:hideMark/>
          </w:tcPr>
          <w:p w14:paraId="5F4F2165"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112,9</w:t>
            </w:r>
          </w:p>
        </w:tc>
        <w:tc>
          <w:tcPr>
            <w:tcW w:w="486" w:type="pct"/>
            <w:vAlign w:val="center"/>
          </w:tcPr>
          <w:p w14:paraId="79C1007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-0,1</w:t>
            </w:r>
          </w:p>
        </w:tc>
        <w:tc>
          <w:tcPr>
            <w:tcW w:w="410" w:type="pct"/>
            <w:vAlign w:val="center"/>
          </w:tcPr>
          <w:p w14:paraId="7C3CFC0C"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0,3</w:t>
            </w:r>
          </w:p>
        </w:tc>
        <w:tc>
          <w:tcPr>
            <w:tcW w:w="409" w:type="pct"/>
            <w:vAlign w:val="center"/>
          </w:tcPr>
          <w:p w14:paraId="4A9E5890"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0,9</w:t>
            </w:r>
          </w:p>
        </w:tc>
        <w:tc>
          <w:tcPr>
            <w:tcW w:w="410" w:type="pct"/>
            <w:vAlign w:val="center"/>
          </w:tcPr>
          <w:p w14:paraId="37B85E0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2,1</w:t>
            </w:r>
          </w:p>
        </w:tc>
        <w:tc>
          <w:tcPr>
            <w:tcW w:w="333" w:type="pct"/>
            <w:vAlign w:val="center"/>
          </w:tcPr>
          <w:p w14:paraId="36FD45C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3,4</w:t>
            </w:r>
          </w:p>
        </w:tc>
        <w:tc>
          <w:tcPr>
            <w:tcW w:w="566" w:type="pct"/>
            <w:vAlign w:val="center"/>
          </w:tcPr>
          <w:p w14:paraId="2D6BE04E"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4,</w:t>
            </w:r>
            <w:r w:rsidRPr="00E5368A">
              <w:rPr>
                <w:rFonts w:ascii="Times New Roman" w:hAnsi="Times New Roman"/>
                <w:sz w:val="23"/>
                <w:szCs w:val="23"/>
              </w:rPr>
              <w:t>8</w:t>
            </w:r>
          </w:p>
        </w:tc>
      </w:tr>
      <w:tr w:rsidR="00FD6507" w:rsidRPr="00C83549" w14:paraId="79E54997" w14:textId="77777777" w:rsidTr="00846451">
        <w:trPr>
          <w:trHeight w:val="394"/>
        </w:trPr>
        <w:tc>
          <w:tcPr>
            <w:tcW w:w="1857" w:type="pct"/>
            <w:vAlign w:val="center"/>
            <w:hideMark/>
          </w:tcPr>
          <w:p w14:paraId="037E89B1"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10 Utdanning</w:t>
            </w:r>
          </w:p>
        </w:tc>
        <w:tc>
          <w:tcPr>
            <w:tcW w:w="529" w:type="pct"/>
            <w:vAlign w:val="center"/>
            <w:hideMark/>
          </w:tcPr>
          <w:p w14:paraId="2874F137"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5,6</w:t>
            </w:r>
          </w:p>
        </w:tc>
        <w:tc>
          <w:tcPr>
            <w:tcW w:w="486" w:type="pct"/>
            <w:vAlign w:val="center"/>
          </w:tcPr>
          <w:p w14:paraId="2956A160"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2,9</w:t>
            </w:r>
          </w:p>
        </w:tc>
        <w:tc>
          <w:tcPr>
            <w:tcW w:w="410" w:type="pct"/>
            <w:vAlign w:val="center"/>
          </w:tcPr>
          <w:p w14:paraId="7B79A3E8"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5,4</w:t>
            </w:r>
          </w:p>
        </w:tc>
        <w:tc>
          <w:tcPr>
            <w:tcW w:w="409" w:type="pct"/>
            <w:vAlign w:val="center"/>
          </w:tcPr>
          <w:p w14:paraId="0491F8CA"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7,5</w:t>
            </w:r>
          </w:p>
        </w:tc>
        <w:tc>
          <w:tcPr>
            <w:tcW w:w="410" w:type="pct"/>
            <w:vAlign w:val="center"/>
          </w:tcPr>
          <w:p w14:paraId="6F021A72"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3,3</w:t>
            </w:r>
          </w:p>
        </w:tc>
        <w:tc>
          <w:tcPr>
            <w:tcW w:w="333" w:type="pct"/>
            <w:vAlign w:val="center"/>
          </w:tcPr>
          <w:p w14:paraId="3EBD890A"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2,1</w:t>
            </w:r>
          </w:p>
        </w:tc>
        <w:tc>
          <w:tcPr>
            <w:tcW w:w="566" w:type="pct"/>
            <w:vAlign w:val="center"/>
          </w:tcPr>
          <w:p w14:paraId="083F27C4"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2,</w:t>
            </w:r>
            <w:r w:rsidRPr="00E5368A">
              <w:rPr>
                <w:rFonts w:ascii="Times New Roman" w:hAnsi="Times New Roman"/>
                <w:sz w:val="23"/>
                <w:szCs w:val="23"/>
              </w:rPr>
              <w:t>4</w:t>
            </w:r>
          </w:p>
        </w:tc>
      </w:tr>
      <w:tr w:rsidR="00FD6507" w:rsidRPr="00C83549" w14:paraId="024F2F4F" w14:textId="77777777" w:rsidTr="00846451">
        <w:trPr>
          <w:trHeight w:val="394"/>
        </w:trPr>
        <w:tc>
          <w:tcPr>
            <w:tcW w:w="1857" w:type="pct"/>
            <w:vAlign w:val="center"/>
            <w:hideMark/>
          </w:tcPr>
          <w:p w14:paraId="6C451951"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11 Hotell- og restauranttjenester</w:t>
            </w:r>
          </w:p>
        </w:tc>
        <w:tc>
          <w:tcPr>
            <w:tcW w:w="529" w:type="pct"/>
            <w:vAlign w:val="center"/>
            <w:hideMark/>
          </w:tcPr>
          <w:p w14:paraId="31E9352F"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56,6</w:t>
            </w:r>
          </w:p>
        </w:tc>
        <w:tc>
          <w:tcPr>
            <w:tcW w:w="486" w:type="pct"/>
            <w:vAlign w:val="center"/>
          </w:tcPr>
          <w:p w14:paraId="5AAA102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2,9</w:t>
            </w:r>
          </w:p>
        </w:tc>
        <w:tc>
          <w:tcPr>
            <w:tcW w:w="410" w:type="pct"/>
            <w:vAlign w:val="center"/>
          </w:tcPr>
          <w:p w14:paraId="493BB92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3,2</w:t>
            </w:r>
          </w:p>
        </w:tc>
        <w:tc>
          <w:tcPr>
            <w:tcW w:w="409" w:type="pct"/>
            <w:vAlign w:val="center"/>
          </w:tcPr>
          <w:p w14:paraId="133C1F50"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2,9</w:t>
            </w:r>
          </w:p>
        </w:tc>
        <w:tc>
          <w:tcPr>
            <w:tcW w:w="410" w:type="pct"/>
            <w:vAlign w:val="center"/>
          </w:tcPr>
          <w:p w14:paraId="0489EE5F"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2,5</w:t>
            </w:r>
          </w:p>
        </w:tc>
        <w:tc>
          <w:tcPr>
            <w:tcW w:w="333" w:type="pct"/>
            <w:vAlign w:val="center"/>
          </w:tcPr>
          <w:p w14:paraId="3A8A6FBB"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2,4</w:t>
            </w:r>
          </w:p>
        </w:tc>
        <w:tc>
          <w:tcPr>
            <w:tcW w:w="566" w:type="pct"/>
            <w:vAlign w:val="center"/>
          </w:tcPr>
          <w:p w14:paraId="6BED1BC4"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2,</w:t>
            </w:r>
            <w:r w:rsidRPr="00E5368A">
              <w:rPr>
                <w:rFonts w:ascii="Times New Roman" w:hAnsi="Times New Roman"/>
                <w:sz w:val="23"/>
                <w:szCs w:val="23"/>
              </w:rPr>
              <w:t>7</w:t>
            </w:r>
          </w:p>
        </w:tc>
      </w:tr>
      <w:tr w:rsidR="00FD6507" w:rsidRPr="00C83549" w14:paraId="3147CFF3" w14:textId="77777777" w:rsidTr="00846451">
        <w:trPr>
          <w:trHeight w:val="394"/>
        </w:trPr>
        <w:tc>
          <w:tcPr>
            <w:tcW w:w="1857" w:type="pct"/>
            <w:tcBorders>
              <w:top w:val="nil"/>
              <w:left w:val="nil"/>
              <w:bottom w:val="single" w:sz="4" w:space="0" w:color="auto"/>
              <w:right w:val="nil"/>
            </w:tcBorders>
            <w:vAlign w:val="center"/>
            <w:hideMark/>
          </w:tcPr>
          <w:p w14:paraId="32D69BFA" w14:textId="77777777" w:rsidR="00FD6507" w:rsidRPr="00C83549" w:rsidRDefault="00FD6507" w:rsidP="00846451">
            <w:pPr>
              <w:spacing w:after="60"/>
              <w:rPr>
                <w:rFonts w:ascii="Times New Roman" w:hAnsi="Times New Roman"/>
                <w:sz w:val="23"/>
                <w:szCs w:val="23"/>
              </w:rPr>
            </w:pPr>
            <w:r w:rsidRPr="00C83549">
              <w:rPr>
                <w:rFonts w:ascii="Times New Roman" w:hAnsi="Times New Roman"/>
                <w:sz w:val="23"/>
                <w:szCs w:val="23"/>
              </w:rPr>
              <w:t>12 Andre varer og tjenester</w:t>
            </w:r>
          </w:p>
        </w:tc>
        <w:tc>
          <w:tcPr>
            <w:tcW w:w="529" w:type="pct"/>
            <w:tcBorders>
              <w:top w:val="nil"/>
              <w:left w:val="nil"/>
              <w:bottom w:val="single" w:sz="4" w:space="0" w:color="auto"/>
              <w:right w:val="nil"/>
            </w:tcBorders>
            <w:vAlign w:val="center"/>
            <w:hideMark/>
          </w:tcPr>
          <w:p w14:paraId="6E2A9B17" w14:textId="77777777" w:rsidR="00FD6507" w:rsidRPr="00C83549" w:rsidRDefault="00FD6507" w:rsidP="00846451">
            <w:pPr>
              <w:spacing w:after="60"/>
              <w:jc w:val="right"/>
              <w:rPr>
                <w:rFonts w:ascii="Times New Roman" w:hAnsi="Times New Roman"/>
                <w:sz w:val="23"/>
                <w:szCs w:val="23"/>
              </w:rPr>
            </w:pPr>
            <w:r w:rsidRPr="00F37EB9">
              <w:rPr>
                <w:rFonts w:ascii="Times New Roman" w:hAnsi="Times New Roman"/>
                <w:sz w:val="23"/>
                <w:szCs w:val="23"/>
              </w:rPr>
              <w:t>89,3</w:t>
            </w:r>
          </w:p>
        </w:tc>
        <w:tc>
          <w:tcPr>
            <w:tcW w:w="486" w:type="pct"/>
            <w:tcBorders>
              <w:top w:val="nil"/>
              <w:left w:val="nil"/>
              <w:bottom w:val="single" w:sz="4" w:space="0" w:color="auto"/>
              <w:right w:val="nil"/>
            </w:tcBorders>
            <w:vAlign w:val="center"/>
          </w:tcPr>
          <w:p w14:paraId="738CA6F5"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2,8</w:t>
            </w:r>
          </w:p>
        </w:tc>
        <w:tc>
          <w:tcPr>
            <w:tcW w:w="410" w:type="pct"/>
            <w:tcBorders>
              <w:top w:val="nil"/>
              <w:left w:val="nil"/>
              <w:bottom w:val="single" w:sz="4" w:space="0" w:color="auto"/>
              <w:right w:val="nil"/>
            </w:tcBorders>
            <w:vAlign w:val="center"/>
          </w:tcPr>
          <w:p w14:paraId="75EDEA87"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3,3</w:t>
            </w:r>
          </w:p>
        </w:tc>
        <w:tc>
          <w:tcPr>
            <w:tcW w:w="409" w:type="pct"/>
            <w:tcBorders>
              <w:top w:val="nil"/>
              <w:left w:val="nil"/>
              <w:bottom w:val="single" w:sz="4" w:space="0" w:color="auto"/>
              <w:right w:val="nil"/>
            </w:tcBorders>
            <w:vAlign w:val="center"/>
          </w:tcPr>
          <w:p w14:paraId="434B420A"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1,9</w:t>
            </w:r>
          </w:p>
        </w:tc>
        <w:tc>
          <w:tcPr>
            <w:tcW w:w="410" w:type="pct"/>
            <w:tcBorders>
              <w:top w:val="nil"/>
              <w:left w:val="nil"/>
              <w:bottom w:val="single" w:sz="4" w:space="0" w:color="auto"/>
              <w:right w:val="nil"/>
            </w:tcBorders>
            <w:vAlign w:val="center"/>
          </w:tcPr>
          <w:p w14:paraId="3931635B"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2,5</w:t>
            </w:r>
          </w:p>
        </w:tc>
        <w:tc>
          <w:tcPr>
            <w:tcW w:w="333" w:type="pct"/>
            <w:tcBorders>
              <w:top w:val="nil"/>
              <w:left w:val="nil"/>
              <w:bottom w:val="single" w:sz="4" w:space="0" w:color="auto"/>
              <w:right w:val="nil"/>
            </w:tcBorders>
            <w:vAlign w:val="center"/>
          </w:tcPr>
          <w:p w14:paraId="36BD7F36" w14:textId="77777777" w:rsidR="00FD6507" w:rsidRPr="00973711" w:rsidRDefault="00FD6507" w:rsidP="00846451">
            <w:pPr>
              <w:spacing w:after="60"/>
              <w:jc w:val="right"/>
              <w:rPr>
                <w:rFonts w:ascii="Times New Roman" w:hAnsi="Times New Roman"/>
                <w:sz w:val="23"/>
                <w:szCs w:val="23"/>
              </w:rPr>
            </w:pPr>
            <w:r w:rsidRPr="00973711">
              <w:rPr>
                <w:rFonts w:ascii="Times New Roman" w:hAnsi="Times New Roman"/>
                <w:sz w:val="23"/>
                <w:szCs w:val="23"/>
              </w:rPr>
              <w:t>1,9</w:t>
            </w:r>
          </w:p>
        </w:tc>
        <w:tc>
          <w:tcPr>
            <w:tcW w:w="566" w:type="pct"/>
            <w:tcBorders>
              <w:top w:val="nil"/>
              <w:left w:val="nil"/>
              <w:bottom w:val="single" w:sz="4" w:space="0" w:color="auto"/>
              <w:right w:val="nil"/>
            </w:tcBorders>
            <w:vAlign w:val="center"/>
          </w:tcPr>
          <w:p w14:paraId="1EC61CB3" w14:textId="77777777" w:rsidR="00FD6507" w:rsidRPr="00E5368A" w:rsidRDefault="00FD6507" w:rsidP="00846451">
            <w:pPr>
              <w:spacing w:after="60"/>
              <w:jc w:val="right"/>
              <w:rPr>
                <w:rFonts w:ascii="Times New Roman" w:hAnsi="Times New Roman"/>
                <w:sz w:val="23"/>
                <w:szCs w:val="23"/>
              </w:rPr>
            </w:pPr>
            <w:r>
              <w:rPr>
                <w:rFonts w:ascii="Times New Roman" w:hAnsi="Times New Roman"/>
                <w:sz w:val="23"/>
                <w:szCs w:val="23"/>
              </w:rPr>
              <w:t>1,</w:t>
            </w:r>
            <w:r w:rsidRPr="00E5368A">
              <w:rPr>
                <w:rFonts w:ascii="Times New Roman" w:hAnsi="Times New Roman"/>
                <w:sz w:val="23"/>
                <w:szCs w:val="23"/>
              </w:rPr>
              <w:t>8</w:t>
            </w:r>
          </w:p>
        </w:tc>
      </w:tr>
    </w:tbl>
    <w:p w14:paraId="2B017DB6" w14:textId="4DA53E3A" w:rsidR="00FD6507" w:rsidRPr="00C83549" w:rsidRDefault="00FD6507" w:rsidP="008643D6">
      <w:pPr>
        <w:pStyle w:val="tabell-noter"/>
        <w:numPr>
          <w:ilvl w:val="0"/>
          <w:numId w:val="82"/>
        </w:numPr>
        <w:tabs>
          <w:tab w:val="clear" w:pos="284"/>
        </w:tabs>
        <w:spacing w:before="0" w:after="0"/>
        <w:ind w:left="142" w:hanging="142"/>
        <w:rPr>
          <w:rFonts w:ascii="Times New Roman" w:hAnsi="Times New Roman"/>
          <w:color w:val="000000"/>
        </w:rPr>
      </w:pPr>
      <w:r w:rsidRPr="00C83549">
        <w:rPr>
          <w:rFonts w:ascii="Times New Roman" w:hAnsi="Times New Roman"/>
        </w:rPr>
        <w:t xml:space="preserve">Vektene </w:t>
      </w:r>
      <w:r w:rsidRPr="000A032A">
        <w:t>gjelder</w:t>
      </w:r>
      <w:r w:rsidRPr="00C83549">
        <w:rPr>
          <w:rFonts w:ascii="Times New Roman" w:hAnsi="Times New Roman"/>
        </w:rPr>
        <w:t xml:space="preserve"> fra januar 201</w:t>
      </w:r>
      <w:r>
        <w:rPr>
          <w:rFonts w:ascii="Times New Roman" w:hAnsi="Times New Roman"/>
        </w:rPr>
        <w:t>6</w:t>
      </w:r>
      <w:r w:rsidRPr="00C83549">
        <w:rPr>
          <w:rFonts w:ascii="Times New Roman" w:hAnsi="Times New Roman"/>
        </w:rPr>
        <w:t xml:space="preserve"> til desember 201</w:t>
      </w:r>
      <w:r>
        <w:rPr>
          <w:rFonts w:ascii="Times New Roman" w:hAnsi="Times New Roman"/>
        </w:rPr>
        <w:t>6</w:t>
      </w:r>
      <w:r w:rsidRPr="00C83549">
        <w:rPr>
          <w:rFonts w:ascii="Times New Roman" w:hAnsi="Times New Roman"/>
        </w:rPr>
        <w:t xml:space="preserve">. </w:t>
      </w:r>
    </w:p>
    <w:p w14:paraId="73408030" w14:textId="77777777" w:rsidR="00FD6507" w:rsidRDefault="00FD6507" w:rsidP="00FD6507">
      <w:pPr>
        <w:pStyle w:val="Kilde"/>
        <w:spacing w:before="120"/>
        <w:rPr>
          <w:rFonts w:ascii="Times New Roman" w:hAnsi="Times New Roman"/>
        </w:rPr>
      </w:pPr>
      <w:r w:rsidRPr="00C83549">
        <w:rPr>
          <w:rFonts w:ascii="Times New Roman" w:hAnsi="Times New Roman"/>
        </w:rPr>
        <w:t>Kilde: Statistisk sentralbyrå.</w:t>
      </w:r>
    </w:p>
    <w:p w14:paraId="0C829FCF" w14:textId="65645D58" w:rsidR="00FD6507" w:rsidRPr="00C83549" w:rsidRDefault="00FD6507" w:rsidP="00FD6507">
      <w:pPr>
        <w:rPr>
          <w:rFonts w:ascii="Times New Roman" w:hAnsi="Times New Roman"/>
        </w:rPr>
      </w:pPr>
      <w:r w:rsidRPr="00C83549">
        <w:rPr>
          <w:rFonts w:ascii="Times New Roman" w:hAnsi="Times New Roman"/>
        </w:rPr>
        <w:t xml:space="preserve">Prisene på </w:t>
      </w:r>
      <w:r w:rsidRPr="00C83549">
        <w:rPr>
          <w:rFonts w:ascii="Times New Roman" w:hAnsi="Times New Roman"/>
          <w:i/>
        </w:rPr>
        <w:t xml:space="preserve">møbler og husholdningsartikler </w:t>
      </w:r>
      <w:r>
        <w:rPr>
          <w:rFonts w:ascii="Times New Roman" w:hAnsi="Times New Roman"/>
        </w:rPr>
        <w:t>økte med 5,2</w:t>
      </w:r>
      <w:r w:rsidRPr="00C83549">
        <w:rPr>
          <w:rFonts w:ascii="Times New Roman" w:hAnsi="Times New Roman"/>
        </w:rPr>
        <w:t xml:space="preserve"> pro</w:t>
      </w:r>
      <w:r>
        <w:rPr>
          <w:rFonts w:ascii="Times New Roman" w:hAnsi="Times New Roman"/>
        </w:rPr>
        <w:t>sent i 2015, etter en vekst på 3,2 prosent i 2014</w:t>
      </w:r>
      <w:r w:rsidRPr="00C83549">
        <w:rPr>
          <w:rFonts w:ascii="Times New Roman" w:hAnsi="Times New Roman"/>
        </w:rPr>
        <w:t xml:space="preserve">. </w:t>
      </w:r>
      <w:r>
        <w:rPr>
          <w:rFonts w:ascii="Times New Roman" w:hAnsi="Times New Roman"/>
        </w:rPr>
        <w:t xml:space="preserve">For andre året på rad har dermed prisveksten på denne gruppen tatt seg opp. Prisoppgangen var klart større for møbler og innrednings- og dekorasjonsartikler med en økning på 9,5 prosent enn for husholdningsapparater hvor prisene økte med 2,4 prosent. </w:t>
      </w:r>
      <w:r w:rsidRPr="00C83549">
        <w:rPr>
          <w:rFonts w:ascii="Times New Roman" w:hAnsi="Times New Roman"/>
        </w:rPr>
        <w:t>Møbler er i stor grad importert og en svakere krone ha</w:t>
      </w:r>
      <w:r>
        <w:rPr>
          <w:rFonts w:ascii="Times New Roman" w:hAnsi="Times New Roman"/>
        </w:rPr>
        <w:t>r</w:t>
      </w:r>
      <w:r w:rsidRPr="00C83549">
        <w:rPr>
          <w:rFonts w:ascii="Times New Roman" w:hAnsi="Times New Roman"/>
        </w:rPr>
        <w:t xml:space="preserve"> bi</w:t>
      </w:r>
      <w:r>
        <w:rPr>
          <w:rFonts w:ascii="Times New Roman" w:hAnsi="Times New Roman"/>
        </w:rPr>
        <w:t>dratt til at prisveksten på denne varegruppen har tiltatt de</w:t>
      </w:r>
      <w:r w:rsidR="00311CAA">
        <w:rPr>
          <w:rFonts w:ascii="Times New Roman" w:hAnsi="Times New Roman"/>
        </w:rPr>
        <w:t>t</w:t>
      </w:r>
      <w:r>
        <w:rPr>
          <w:rFonts w:ascii="Times New Roman" w:hAnsi="Times New Roman"/>
        </w:rPr>
        <w:t xml:space="preserve"> siste par årene. </w:t>
      </w:r>
    </w:p>
    <w:p w14:paraId="0A39911C" w14:textId="77777777" w:rsidR="00FD6507" w:rsidRPr="00C83549" w:rsidRDefault="00FD6507" w:rsidP="00FD6507">
      <w:pPr>
        <w:rPr>
          <w:rFonts w:ascii="Times New Roman" w:hAnsi="Times New Roman"/>
        </w:rPr>
      </w:pPr>
      <w:r w:rsidRPr="00C83549">
        <w:rPr>
          <w:rFonts w:ascii="Times New Roman" w:hAnsi="Times New Roman"/>
        </w:rPr>
        <w:t xml:space="preserve">For konsumgruppen </w:t>
      </w:r>
      <w:r>
        <w:rPr>
          <w:rFonts w:ascii="Times New Roman" w:hAnsi="Times New Roman"/>
          <w:i/>
        </w:rPr>
        <w:t>transport</w:t>
      </w:r>
      <w:r w:rsidRPr="00C83549">
        <w:rPr>
          <w:rFonts w:ascii="Times New Roman" w:hAnsi="Times New Roman"/>
          <w:i/>
        </w:rPr>
        <w:t xml:space="preserve"> </w:t>
      </w:r>
      <w:r>
        <w:rPr>
          <w:rFonts w:ascii="Times New Roman" w:hAnsi="Times New Roman"/>
        </w:rPr>
        <w:t>økte prisene med 1,3 prosent i 2015 etter en vekst på 2,3 prosent i 2014</w:t>
      </w:r>
      <w:r w:rsidRPr="00C83549">
        <w:rPr>
          <w:rFonts w:ascii="Times New Roman" w:hAnsi="Times New Roman"/>
        </w:rPr>
        <w:t xml:space="preserve">. </w:t>
      </w:r>
      <w:r>
        <w:rPr>
          <w:rFonts w:ascii="Times New Roman" w:hAnsi="Times New Roman"/>
        </w:rPr>
        <w:t>Et fall i prisene på drivstoff og smøremidler på 5,4 prosent bidro til nedgangen, mens en oppgang i p</w:t>
      </w:r>
      <w:r w:rsidRPr="00C83549">
        <w:rPr>
          <w:rFonts w:ascii="Times New Roman" w:hAnsi="Times New Roman"/>
        </w:rPr>
        <w:t>risene på pas</w:t>
      </w:r>
      <w:r>
        <w:rPr>
          <w:rFonts w:ascii="Times New Roman" w:hAnsi="Times New Roman"/>
        </w:rPr>
        <w:t xml:space="preserve">sasjertransport på 5,7 prosent bidro til å trekke opp.  </w:t>
      </w:r>
    </w:p>
    <w:p w14:paraId="5D808888" w14:textId="77777777" w:rsidR="00FD6507" w:rsidRPr="00C83549" w:rsidRDefault="00FD6507" w:rsidP="00FD6507">
      <w:pPr>
        <w:rPr>
          <w:rFonts w:ascii="Times New Roman" w:hAnsi="Times New Roman"/>
        </w:rPr>
      </w:pPr>
      <w:r w:rsidRPr="00C83549">
        <w:rPr>
          <w:rFonts w:ascii="Times New Roman" w:hAnsi="Times New Roman"/>
        </w:rPr>
        <w:t xml:space="preserve">Prisene på </w:t>
      </w:r>
      <w:r w:rsidRPr="00C83549">
        <w:rPr>
          <w:rFonts w:ascii="Times New Roman" w:hAnsi="Times New Roman"/>
          <w:i/>
        </w:rPr>
        <w:t>post og teletjenester</w:t>
      </w:r>
      <w:r w:rsidRPr="00C83549">
        <w:rPr>
          <w:rFonts w:ascii="Times New Roman" w:hAnsi="Times New Roman"/>
        </w:rPr>
        <w:t xml:space="preserve"> </w:t>
      </w:r>
      <w:r>
        <w:rPr>
          <w:rFonts w:ascii="Times New Roman" w:hAnsi="Times New Roman"/>
        </w:rPr>
        <w:t xml:space="preserve">steg med 1,1 prosent i 2015. Det er første gang siden 2006 at prisene på denne konsumgruppen stiger. Utviklingen i prisene på teleutstyr bidro sterkt til denne oppgangen med en vekst på 16,2 prosent i fjor. Teleutstyr er i stor grad importert og utviklingen i kronekursen bidro til den sterke prisveksten i fjor. </w:t>
      </w:r>
      <w:r w:rsidRPr="00C83549">
        <w:rPr>
          <w:rFonts w:ascii="Times New Roman" w:hAnsi="Times New Roman"/>
        </w:rPr>
        <w:t>Prisene på teletjenester, som utgjør 85 pros</w:t>
      </w:r>
      <w:r>
        <w:rPr>
          <w:rFonts w:ascii="Times New Roman" w:hAnsi="Times New Roman"/>
        </w:rPr>
        <w:t xml:space="preserve">ent av konsumgruppen, falt med 1,7 prosent og trakk dermed i motsatt retning. </w:t>
      </w:r>
    </w:p>
    <w:p w14:paraId="2702AD70" w14:textId="77777777" w:rsidR="00FD6507" w:rsidRPr="00C83549" w:rsidRDefault="00FD6507" w:rsidP="00FD6507">
      <w:pPr>
        <w:rPr>
          <w:rFonts w:ascii="Times New Roman" w:hAnsi="Times New Roman"/>
        </w:rPr>
      </w:pPr>
      <w:r w:rsidRPr="00C83549">
        <w:rPr>
          <w:rFonts w:ascii="Times New Roman" w:hAnsi="Times New Roman"/>
        </w:rPr>
        <w:t xml:space="preserve">Konsumgruppen </w:t>
      </w:r>
      <w:r w:rsidRPr="00C83549">
        <w:rPr>
          <w:rFonts w:ascii="Times New Roman" w:hAnsi="Times New Roman"/>
          <w:i/>
        </w:rPr>
        <w:t xml:space="preserve">kultur og fritid </w:t>
      </w:r>
      <w:r>
        <w:rPr>
          <w:rFonts w:ascii="Times New Roman" w:hAnsi="Times New Roman"/>
        </w:rPr>
        <w:t>hadde en prisvekst på 3,4 prosent i 2015 etter en vekst på 2,1</w:t>
      </w:r>
      <w:r w:rsidRPr="00C83549">
        <w:rPr>
          <w:rFonts w:ascii="Times New Roman" w:hAnsi="Times New Roman"/>
        </w:rPr>
        <w:t xml:space="preserve"> prosent året </w:t>
      </w:r>
      <w:r>
        <w:rPr>
          <w:rFonts w:ascii="Times New Roman" w:hAnsi="Times New Roman"/>
        </w:rPr>
        <w:t xml:space="preserve">før. Prisene på bøker steg med 5 prosent etter et fall på 0,7 prosent i 2014 og bidro til å trekke endringen i prisveksten opp. I 2015 steg prisene på audiovisuelt utstyr for første gang siden 1993. Også her har den svake kronen trolig bidratt til utviklingen. </w:t>
      </w:r>
    </w:p>
    <w:p w14:paraId="2CC467F9" w14:textId="77777777" w:rsidR="00FD6507" w:rsidRDefault="00FD6507" w:rsidP="00FD6507">
      <w:pPr>
        <w:pStyle w:val="Overskrift2"/>
      </w:pPr>
      <w:bookmarkStart w:id="170" w:name="_Toc443998971"/>
      <w:r>
        <w:t>Anslag på konsumprisutviklingen i 2016</w:t>
      </w:r>
      <w:bookmarkEnd w:id="170"/>
    </w:p>
    <w:p w14:paraId="05D57D79" w14:textId="77777777" w:rsidR="00FD6507" w:rsidRDefault="00FD6507" w:rsidP="00FD6507">
      <w:r w:rsidRPr="00FE3E7F">
        <w:t xml:space="preserve">For å anslå prisutviklingen framover har </w:t>
      </w:r>
      <w:r>
        <w:t>Beregnings</w:t>
      </w:r>
      <w:r w:rsidRPr="00FE3E7F">
        <w:t>utvalget som vanlig gjennomført beregninger med Statistisk sentralbyrås makroøkonomiske modell Kvarts. Resultatene er vist i ta</w:t>
      </w:r>
      <w:r>
        <w:t>bell 2.5</w:t>
      </w:r>
      <w:r w:rsidRPr="00FE3E7F">
        <w:t>.</w:t>
      </w:r>
    </w:p>
    <w:p w14:paraId="6A3B3F68" w14:textId="77777777" w:rsidR="00FD6507" w:rsidRPr="00E50C75" w:rsidRDefault="00FD6507" w:rsidP="00FD6507">
      <w:pPr>
        <w:pStyle w:val="Overskrift3"/>
      </w:pPr>
      <w:bookmarkStart w:id="171" w:name="_Toc443998972"/>
      <w:r>
        <w:t>Forutsetninger for modellberegningene</w:t>
      </w:r>
      <w:bookmarkEnd w:id="171"/>
    </w:p>
    <w:p w14:paraId="7DFC5850" w14:textId="77777777" w:rsidR="00FD6507" w:rsidRDefault="00FD6507" w:rsidP="00FD6507">
      <w:pPr>
        <w:rPr>
          <w:rFonts w:eastAsia="Calibri"/>
          <w:szCs w:val="22"/>
          <w:lang w:eastAsia="en-US"/>
        </w:rPr>
      </w:pPr>
      <w:r w:rsidRPr="00EB6E0A">
        <w:rPr>
          <w:rFonts w:eastAsia="Calibri"/>
          <w:szCs w:val="22"/>
          <w:lang w:eastAsia="en-US"/>
        </w:rPr>
        <w:t>De viktigste størrelsene som anslås utenfor modellen og som anslaget for KPI bygger</w:t>
      </w:r>
      <w:r>
        <w:rPr>
          <w:rFonts w:eastAsia="Calibri"/>
          <w:szCs w:val="22"/>
          <w:lang w:eastAsia="en-US"/>
        </w:rPr>
        <w:t xml:space="preserve"> på, er summert opp i tabell 2.4</w:t>
      </w:r>
      <w:r w:rsidRPr="00EB6E0A">
        <w:rPr>
          <w:rFonts w:eastAsia="Calibri"/>
          <w:szCs w:val="22"/>
          <w:lang w:eastAsia="en-US"/>
        </w:rPr>
        <w:t xml:space="preserve">. Utviklingen i </w:t>
      </w:r>
      <w:r w:rsidRPr="00EB6E0A">
        <w:rPr>
          <w:rFonts w:eastAsia="Calibri"/>
          <w:i/>
          <w:szCs w:val="22"/>
          <w:lang w:eastAsia="en-US"/>
        </w:rPr>
        <w:t>importprisene</w:t>
      </w:r>
      <w:r w:rsidRPr="00EB6E0A">
        <w:rPr>
          <w:rFonts w:eastAsia="Calibri"/>
          <w:szCs w:val="22"/>
          <w:lang w:eastAsia="en-US"/>
        </w:rPr>
        <w:t xml:space="preserve"> er viktig for prisutviklingen i Norge. Konsumprisindeksen definerer rundt 30 prosent av produktene som importerte konsumvarer. Prisene på disse varene inneholder imidlertid også betydelige hjemmekostnadselementer </w:t>
      </w:r>
      <w:r>
        <w:rPr>
          <w:rFonts w:eastAsia="Calibri"/>
          <w:szCs w:val="22"/>
          <w:lang w:eastAsia="en-US"/>
        </w:rPr>
        <w:t xml:space="preserve">i form av varehandelsavanser </w:t>
      </w:r>
      <w:r w:rsidRPr="00EB6E0A">
        <w:rPr>
          <w:rFonts w:eastAsia="Calibri"/>
          <w:szCs w:val="22"/>
          <w:lang w:eastAsia="en-US"/>
        </w:rPr>
        <w:t>og avgifter. Samtidig er det direkte og indirekte import knyttet til produktinnsatsen i produksjonen av varer og tjenester som leveres fra norske næringer, slik at priser på importert produktinnsats også har betydning for norske konsumpriser.</w:t>
      </w:r>
      <w:r>
        <w:rPr>
          <w:rFonts w:eastAsia="Calibri"/>
          <w:szCs w:val="22"/>
          <w:lang w:eastAsia="en-US"/>
        </w:rPr>
        <w:t xml:space="preserve"> </w:t>
      </w:r>
    </w:p>
    <w:p w14:paraId="54D4E59B" w14:textId="77777777" w:rsidR="00FD6507" w:rsidRDefault="00FD6507" w:rsidP="00FD6507">
      <w:pPr>
        <w:rPr>
          <w:rFonts w:eastAsia="Calibri"/>
          <w:szCs w:val="22"/>
          <w:lang w:eastAsia="en-US"/>
        </w:rPr>
      </w:pPr>
      <w:r w:rsidRPr="00EB6E0A">
        <w:rPr>
          <w:rFonts w:eastAsia="Calibri"/>
          <w:szCs w:val="22"/>
          <w:lang w:eastAsia="en-US"/>
        </w:rPr>
        <w:t>Importprisforløpet påvirkes blant annet av utviklingen i kronekursen, verdensmarkedsprisene på råvarer, prisstigningen hos handelspartnere, vridninger i importen i retning lavkostland og trendmessig nedgang i prisene på enkelte var</w:t>
      </w:r>
      <w:r>
        <w:rPr>
          <w:rFonts w:eastAsia="Calibri"/>
          <w:szCs w:val="22"/>
          <w:lang w:eastAsia="en-US"/>
        </w:rPr>
        <w:t xml:space="preserve">egrupper (audiovisuelt utstyr). </w:t>
      </w:r>
    </w:p>
    <w:p w14:paraId="06793E8F" w14:textId="77777777" w:rsidR="00FD6507" w:rsidRDefault="00FD6507" w:rsidP="00FD6507">
      <w:pPr>
        <w:rPr>
          <w:rFonts w:eastAsia="Calibri"/>
          <w:szCs w:val="22"/>
          <w:lang w:eastAsia="en-US"/>
        </w:rPr>
      </w:pPr>
      <w:r>
        <w:rPr>
          <w:rFonts w:eastAsia="Calibri"/>
          <w:szCs w:val="22"/>
          <w:lang w:eastAsia="en-US"/>
        </w:rPr>
        <w:t>Usikkerheten om</w:t>
      </w:r>
      <w:r w:rsidRPr="00EB6E0A">
        <w:rPr>
          <w:rFonts w:eastAsia="Calibri"/>
          <w:szCs w:val="22"/>
          <w:lang w:eastAsia="en-US"/>
        </w:rPr>
        <w:t xml:space="preserve"> utviklingen i valutakursen er stor. Målt ved den importveide kursindeksen</w:t>
      </w:r>
      <w:r>
        <w:rPr>
          <w:rFonts w:eastAsia="Calibri"/>
          <w:szCs w:val="22"/>
          <w:lang w:eastAsia="en-US"/>
        </w:rPr>
        <w:t xml:space="preserve"> svekket kronen seg betydelig gjennom andre halvdel av 2015. Ved siste årsskiftet var kronen 6,5 prosent svakere enn gjennomsnittet for 2015. Kronen har styrket seg litt så langt i 2016 og var 10. februar 4,4 prosent svakere enn gjennomsnittet for 2015. </w:t>
      </w:r>
      <w:r w:rsidRPr="00EB6E0A">
        <w:rPr>
          <w:rFonts w:eastAsia="Calibri"/>
          <w:szCs w:val="22"/>
          <w:lang w:eastAsia="en-US"/>
        </w:rPr>
        <w:t>Det legges teknisk til grunn for beregningene at kronen, målt ved den importveide kronekursen, på årsbasis vil svekke s</w:t>
      </w:r>
      <w:r>
        <w:rPr>
          <w:rFonts w:eastAsia="Calibri"/>
          <w:szCs w:val="22"/>
          <w:lang w:eastAsia="en-US"/>
        </w:rPr>
        <w:t>eg med 5 prosent fra 2015 til 2016</w:t>
      </w:r>
      <w:r w:rsidRPr="00EB6E0A">
        <w:rPr>
          <w:rFonts w:eastAsia="Calibri"/>
          <w:szCs w:val="22"/>
          <w:lang w:eastAsia="en-US"/>
        </w:rPr>
        <w:t>.</w:t>
      </w:r>
      <w:r>
        <w:rPr>
          <w:rFonts w:eastAsia="Calibri"/>
          <w:szCs w:val="22"/>
          <w:lang w:eastAsia="en-US"/>
        </w:rPr>
        <w:t xml:space="preserve"> Det innebærer at kronekursen holder seg om lag på samme nivå som gjennomsnittet hittil i år. </w:t>
      </w:r>
      <w:r w:rsidRPr="00EB6E0A">
        <w:rPr>
          <w:rFonts w:eastAsia="Calibri"/>
          <w:szCs w:val="22"/>
          <w:lang w:eastAsia="en-US"/>
        </w:rPr>
        <w:t>I modellberegningene er gjennomsnittlig oppgang i importprisene på konsumrelaterte var</w:t>
      </w:r>
      <w:r>
        <w:rPr>
          <w:rFonts w:eastAsia="Calibri"/>
          <w:szCs w:val="22"/>
          <w:lang w:eastAsia="en-US"/>
        </w:rPr>
        <w:t xml:space="preserve">er (regnet i norske </w:t>
      </w:r>
      <w:r w:rsidRPr="00F2542E">
        <w:rPr>
          <w:rFonts w:eastAsia="Calibri"/>
          <w:szCs w:val="22"/>
          <w:lang w:eastAsia="en-US"/>
        </w:rPr>
        <w:t xml:space="preserve">kroner) på </w:t>
      </w:r>
      <w:r>
        <w:rPr>
          <w:rFonts w:eastAsia="Calibri"/>
          <w:szCs w:val="22"/>
          <w:lang w:eastAsia="en-US"/>
        </w:rPr>
        <w:t xml:space="preserve">4,7 </w:t>
      </w:r>
      <w:r w:rsidRPr="00F2542E">
        <w:rPr>
          <w:rFonts w:eastAsia="Calibri"/>
          <w:szCs w:val="22"/>
          <w:lang w:eastAsia="en-US"/>
        </w:rPr>
        <w:t>prosent</w:t>
      </w:r>
      <w:r>
        <w:rPr>
          <w:rFonts w:eastAsia="Calibri"/>
          <w:szCs w:val="22"/>
          <w:lang w:eastAsia="en-US"/>
        </w:rPr>
        <w:t xml:space="preserve"> fra 2015 til 2016</w:t>
      </w:r>
      <w:r w:rsidRPr="00EB6E0A">
        <w:rPr>
          <w:rFonts w:eastAsia="Calibri"/>
          <w:szCs w:val="22"/>
          <w:lang w:eastAsia="en-US"/>
        </w:rPr>
        <w:t>. Dersom de</w:t>
      </w:r>
      <w:r>
        <w:rPr>
          <w:rFonts w:eastAsia="Calibri"/>
          <w:szCs w:val="22"/>
          <w:lang w:eastAsia="en-US"/>
        </w:rPr>
        <w:t>n importveide kronekursen blir 4</w:t>
      </w:r>
      <w:r w:rsidRPr="00EB6E0A">
        <w:rPr>
          <w:rFonts w:eastAsia="Calibri"/>
          <w:szCs w:val="22"/>
          <w:lang w:eastAsia="en-US"/>
        </w:rPr>
        <w:t xml:space="preserve"> prosent sterkere eller svakere</w:t>
      </w:r>
      <w:r>
        <w:rPr>
          <w:rFonts w:eastAsia="Calibri"/>
          <w:szCs w:val="22"/>
          <w:lang w:eastAsia="en-US"/>
        </w:rPr>
        <w:t xml:space="preserve"> i hvert kvartal</w:t>
      </w:r>
      <w:r w:rsidRPr="00EB6E0A">
        <w:rPr>
          <w:rFonts w:eastAsia="Calibri"/>
          <w:szCs w:val="22"/>
          <w:lang w:eastAsia="en-US"/>
        </w:rPr>
        <w:t xml:space="preserve"> enn det som er lagt til grunn, vil det bidra ti</w:t>
      </w:r>
      <w:r>
        <w:rPr>
          <w:rFonts w:eastAsia="Calibri"/>
          <w:szCs w:val="22"/>
          <w:lang w:eastAsia="en-US"/>
        </w:rPr>
        <w:t>l å endre samlet prisvekst med 0,5 prosentpoeng i 2016 jf. tabell 2.5</w:t>
      </w:r>
      <w:r w:rsidRPr="00EB6E0A">
        <w:rPr>
          <w:rFonts w:eastAsia="Calibri"/>
          <w:szCs w:val="22"/>
          <w:lang w:eastAsia="en-US"/>
        </w:rPr>
        <w:t>.</w:t>
      </w:r>
    </w:p>
    <w:p w14:paraId="74619FDB" w14:textId="33D3A634" w:rsidR="00FD6507" w:rsidRPr="00CC222F" w:rsidRDefault="00FD6507" w:rsidP="00FD6507">
      <w:pPr>
        <w:rPr>
          <w:rFonts w:eastAsia="Calibri"/>
          <w:szCs w:val="22"/>
          <w:lang w:eastAsia="en-US"/>
        </w:rPr>
      </w:pPr>
      <w:r w:rsidRPr="00CC222F">
        <w:rPr>
          <w:rFonts w:eastAsia="Calibri"/>
          <w:szCs w:val="22"/>
          <w:lang w:eastAsia="en-US"/>
        </w:rPr>
        <w:t xml:space="preserve">Anslag </w:t>
      </w:r>
      <w:r>
        <w:rPr>
          <w:rFonts w:eastAsia="Calibri"/>
          <w:szCs w:val="22"/>
          <w:lang w:eastAsia="en-US"/>
        </w:rPr>
        <w:t>samlet inn av Consensus Forecasts</w:t>
      </w:r>
      <w:r w:rsidRPr="00CC222F">
        <w:rPr>
          <w:rFonts w:eastAsia="Calibri"/>
          <w:szCs w:val="22"/>
          <w:lang w:eastAsia="en-US"/>
        </w:rPr>
        <w:t xml:space="preserve"> viser en moderat styrking av krona i tiden framover slik at den importveide valutakursen i slutten av mars 2017 er om lag 3 prosent sterkere enn</w:t>
      </w:r>
      <w:r>
        <w:rPr>
          <w:rFonts w:eastAsia="Calibri"/>
          <w:szCs w:val="22"/>
          <w:lang w:eastAsia="en-US"/>
        </w:rPr>
        <w:t xml:space="preserve"> </w:t>
      </w:r>
      <w:r w:rsidRPr="00CC222F">
        <w:rPr>
          <w:rFonts w:eastAsia="Calibri"/>
          <w:szCs w:val="22"/>
          <w:lang w:eastAsia="en-US"/>
        </w:rPr>
        <w:t>midt</w:t>
      </w:r>
      <w:r>
        <w:rPr>
          <w:rFonts w:eastAsia="Calibri"/>
          <w:szCs w:val="22"/>
          <w:lang w:eastAsia="en-US"/>
        </w:rPr>
        <w:t xml:space="preserve"> i </w:t>
      </w:r>
      <w:r w:rsidRPr="00CC222F">
        <w:rPr>
          <w:rFonts w:eastAsia="Calibri"/>
          <w:szCs w:val="22"/>
          <w:lang w:eastAsia="en-US"/>
        </w:rPr>
        <w:t>februar 2016. En modellberegning med K</w:t>
      </w:r>
      <w:r>
        <w:rPr>
          <w:rFonts w:eastAsia="Calibri"/>
          <w:szCs w:val="22"/>
          <w:lang w:eastAsia="en-US"/>
        </w:rPr>
        <w:t>varts</w:t>
      </w:r>
      <w:r w:rsidRPr="00CC222F">
        <w:rPr>
          <w:rFonts w:eastAsia="Calibri"/>
          <w:szCs w:val="22"/>
          <w:lang w:eastAsia="en-US"/>
        </w:rPr>
        <w:t xml:space="preserve"> viser at en gradvis kronestyrking i tråd med dette vil føre til at KPI-veksten blir knappe 0,2 prosentpoeng lavere enn med den forutsetningen som </w:t>
      </w:r>
      <w:r>
        <w:rPr>
          <w:rFonts w:eastAsia="Calibri"/>
          <w:szCs w:val="22"/>
          <w:lang w:eastAsia="en-US"/>
        </w:rPr>
        <w:t>ligger til grunn</w:t>
      </w:r>
      <w:r w:rsidRPr="00CC222F">
        <w:rPr>
          <w:rFonts w:eastAsia="Calibri"/>
          <w:szCs w:val="22"/>
          <w:lang w:eastAsia="en-US"/>
        </w:rPr>
        <w:t xml:space="preserve"> for utvalgets hovedberegning. Forskjellen øker over tid og i 4. kvartal vil</w:t>
      </w:r>
      <w:r>
        <w:rPr>
          <w:rFonts w:eastAsia="Calibri"/>
          <w:szCs w:val="22"/>
          <w:lang w:eastAsia="en-US"/>
        </w:rPr>
        <w:t xml:space="preserve"> en slik forutsetning trekke KPI</w:t>
      </w:r>
      <w:r w:rsidRPr="00CC222F">
        <w:rPr>
          <w:rFonts w:eastAsia="Calibri"/>
          <w:szCs w:val="22"/>
          <w:lang w:eastAsia="en-US"/>
        </w:rPr>
        <w:t xml:space="preserve">-veksten ned med 0,3 prosentpoeng. </w:t>
      </w:r>
    </w:p>
    <w:p w14:paraId="603E7F54" w14:textId="4B6BC7C2" w:rsidR="00FD6507" w:rsidRDefault="00FD6507" w:rsidP="00FD6507">
      <w:pPr>
        <w:rPr>
          <w:rFonts w:eastAsia="Calibri"/>
          <w:szCs w:val="22"/>
          <w:lang w:eastAsia="en-US"/>
        </w:rPr>
      </w:pPr>
      <w:r w:rsidRPr="00EB6E0A">
        <w:rPr>
          <w:rFonts w:eastAsia="Calibri"/>
          <w:i/>
          <w:szCs w:val="22"/>
          <w:lang w:eastAsia="en-US"/>
        </w:rPr>
        <w:t xml:space="preserve">Spotprisen på råolje </w:t>
      </w:r>
      <w:r w:rsidRPr="00EB6E0A">
        <w:rPr>
          <w:rFonts w:eastAsia="Calibri"/>
          <w:szCs w:val="22"/>
          <w:lang w:eastAsia="en-US"/>
        </w:rPr>
        <w:t xml:space="preserve">(Brent Blend) </w:t>
      </w:r>
      <w:r>
        <w:rPr>
          <w:rFonts w:eastAsia="Calibri"/>
          <w:szCs w:val="22"/>
          <w:lang w:eastAsia="en-US"/>
        </w:rPr>
        <w:t>har falt markert siden toppen sommeren 2014 og som årsgjennomsnitt endte oljeprisen på 332 kroner per fat i 2015.  I første uke i februar svingte prisen i området 264-306 kroner eller 31-35 dollar per fat.</w:t>
      </w:r>
      <w:r w:rsidRPr="00EB6E0A">
        <w:rPr>
          <w:rFonts w:eastAsia="Calibri"/>
          <w:szCs w:val="22"/>
          <w:lang w:eastAsia="en-US"/>
        </w:rPr>
        <w:t xml:space="preserve"> Markedet for fremtidspriser indikerer </w:t>
      </w:r>
      <w:r>
        <w:rPr>
          <w:rFonts w:eastAsia="Calibri"/>
          <w:szCs w:val="22"/>
          <w:lang w:eastAsia="en-US"/>
        </w:rPr>
        <w:t>at oljeprisen skal ta seg noe opp igjen framover</w:t>
      </w:r>
      <w:r w:rsidRPr="00EB6E0A">
        <w:rPr>
          <w:rFonts w:eastAsia="Calibri"/>
          <w:szCs w:val="22"/>
          <w:lang w:eastAsia="en-US"/>
        </w:rPr>
        <w:t>. Utvalget har i modellberegningene lagt til grunn en gjenno</w:t>
      </w:r>
      <w:r>
        <w:rPr>
          <w:rFonts w:eastAsia="Calibri"/>
          <w:szCs w:val="22"/>
          <w:lang w:eastAsia="en-US"/>
        </w:rPr>
        <w:t xml:space="preserve">msnittlig oljepris i 2016 </w:t>
      </w:r>
      <w:r w:rsidRPr="00B6533B">
        <w:rPr>
          <w:rFonts w:eastAsia="Calibri"/>
          <w:szCs w:val="22"/>
          <w:lang w:eastAsia="en-US"/>
        </w:rPr>
        <w:t xml:space="preserve">på 300 kroner </w:t>
      </w:r>
      <w:r>
        <w:rPr>
          <w:rFonts w:eastAsia="Calibri"/>
          <w:szCs w:val="22"/>
          <w:lang w:eastAsia="en-US"/>
        </w:rPr>
        <w:t>per</w:t>
      </w:r>
      <w:r w:rsidRPr="00B6533B">
        <w:rPr>
          <w:rFonts w:eastAsia="Calibri"/>
          <w:szCs w:val="22"/>
          <w:lang w:eastAsia="en-US"/>
        </w:rPr>
        <w:t xml:space="preserve"> fat, noe som innebærer en nedgang på </w:t>
      </w:r>
      <w:r>
        <w:rPr>
          <w:rFonts w:eastAsia="Calibri"/>
          <w:szCs w:val="22"/>
          <w:lang w:eastAsia="en-US"/>
        </w:rPr>
        <w:t>8</w:t>
      </w:r>
      <w:r w:rsidRPr="00B6533B">
        <w:rPr>
          <w:rFonts w:eastAsia="Calibri"/>
          <w:szCs w:val="22"/>
          <w:lang w:eastAsia="en-US"/>
        </w:rPr>
        <w:t xml:space="preserve"> prosent fra 2015. Oljeprisforutsetningen er forenlig med en oljepris på 35 </w:t>
      </w:r>
      <w:r>
        <w:rPr>
          <w:rFonts w:eastAsia="Calibri"/>
          <w:szCs w:val="22"/>
          <w:lang w:eastAsia="en-US"/>
        </w:rPr>
        <w:t>dollar</w:t>
      </w:r>
      <w:r w:rsidRPr="00B6533B">
        <w:rPr>
          <w:rFonts w:eastAsia="Calibri"/>
          <w:szCs w:val="22"/>
          <w:lang w:eastAsia="en-US"/>
        </w:rPr>
        <w:t xml:space="preserve"> </w:t>
      </w:r>
      <w:r>
        <w:rPr>
          <w:rFonts w:eastAsia="Calibri"/>
          <w:szCs w:val="22"/>
          <w:lang w:eastAsia="en-US"/>
        </w:rPr>
        <w:t>per</w:t>
      </w:r>
      <w:r w:rsidRPr="00B6533B">
        <w:rPr>
          <w:rFonts w:eastAsia="Calibri"/>
          <w:szCs w:val="22"/>
          <w:lang w:eastAsia="en-US"/>
        </w:rPr>
        <w:t xml:space="preserve"> fat og en dollarkurs på 8,6 kroner som gjennomsnitt for 2016.</w:t>
      </w:r>
      <w:r w:rsidRPr="00EB6E0A">
        <w:rPr>
          <w:rFonts w:eastAsia="Calibri"/>
          <w:szCs w:val="22"/>
          <w:lang w:eastAsia="en-US"/>
        </w:rPr>
        <w:t xml:space="preserve"> Endringer i oljeprisen slår ut i konsumprisene først og fremst gjennom bensinprisene, andre transportkostnader og prisene på fyringsolje. Reduserte bensinpriser reduserer også produksjo</w:t>
      </w:r>
      <w:r>
        <w:rPr>
          <w:rFonts w:eastAsia="Calibri"/>
          <w:szCs w:val="22"/>
          <w:lang w:eastAsia="en-US"/>
        </w:rPr>
        <w:t>nskostnadene i annen norsk vare-</w:t>
      </w:r>
      <w:r w:rsidRPr="00EB6E0A">
        <w:rPr>
          <w:rFonts w:eastAsia="Calibri"/>
          <w:szCs w:val="22"/>
          <w:lang w:eastAsia="en-US"/>
        </w:rPr>
        <w:t xml:space="preserve"> og tjenesteproduksjon, noe som bidrar til lavere priser</w:t>
      </w:r>
      <w:r>
        <w:rPr>
          <w:rFonts w:eastAsia="Calibri"/>
          <w:szCs w:val="22"/>
          <w:lang w:eastAsia="en-US"/>
        </w:rPr>
        <w:t xml:space="preserve"> generelt. Dersom oljeprisen per </w:t>
      </w:r>
      <w:r w:rsidRPr="00EB6E0A">
        <w:rPr>
          <w:rFonts w:eastAsia="Calibri"/>
          <w:szCs w:val="22"/>
          <w:lang w:eastAsia="en-US"/>
        </w:rPr>
        <w:t xml:space="preserve">fat blir 100 kroner høyere eller lavere enn lagt til grunn </w:t>
      </w:r>
      <w:r>
        <w:rPr>
          <w:rFonts w:eastAsia="Calibri"/>
          <w:szCs w:val="22"/>
          <w:lang w:eastAsia="en-US"/>
        </w:rPr>
        <w:t xml:space="preserve">viser beregninger at </w:t>
      </w:r>
      <w:r w:rsidRPr="00EB6E0A">
        <w:rPr>
          <w:rFonts w:eastAsia="Calibri"/>
          <w:szCs w:val="22"/>
          <w:lang w:eastAsia="en-US"/>
        </w:rPr>
        <w:t xml:space="preserve">det </w:t>
      </w:r>
      <w:r>
        <w:rPr>
          <w:rFonts w:eastAsia="Calibri"/>
          <w:szCs w:val="22"/>
          <w:lang w:eastAsia="en-US"/>
        </w:rPr>
        <w:t xml:space="preserve">vil </w:t>
      </w:r>
      <w:r w:rsidRPr="00EB6E0A">
        <w:rPr>
          <w:rFonts w:eastAsia="Calibri"/>
          <w:szCs w:val="22"/>
          <w:lang w:eastAsia="en-US"/>
        </w:rPr>
        <w:t>endre den samlede prisstigningen med</w:t>
      </w:r>
      <w:r>
        <w:rPr>
          <w:rFonts w:eastAsia="Calibri"/>
          <w:szCs w:val="22"/>
          <w:lang w:eastAsia="en-US"/>
        </w:rPr>
        <w:t xml:space="preserve"> 0,2 prosentpoeng, jf. tabell. 2.5</w:t>
      </w:r>
      <w:r w:rsidRPr="00EB6E0A">
        <w:rPr>
          <w:rFonts w:eastAsia="Calibri"/>
          <w:szCs w:val="22"/>
          <w:lang w:eastAsia="en-US"/>
        </w:rPr>
        <w:t>.</w:t>
      </w:r>
    </w:p>
    <w:p w14:paraId="58A7B393" w14:textId="77777777" w:rsidR="00FD6507" w:rsidRDefault="00FD6507" w:rsidP="00FD6507">
      <w:pPr>
        <w:rPr>
          <w:rFonts w:eastAsia="Calibri"/>
          <w:szCs w:val="22"/>
          <w:lang w:eastAsia="en-US"/>
        </w:rPr>
      </w:pPr>
      <w:r>
        <w:rPr>
          <w:rFonts w:eastAsia="Calibri"/>
          <w:szCs w:val="22"/>
          <w:lang w:eastAsia="en-US"/>
        </w:rPr>
        <w:t>Som årsgjennomsnitt falt</w:t>
      </w:r>
      <w:r w:rsidRPr="00EB6E0A">
        <w:rPr>
          <w:rFonts w:eastAsia="Calibri"/>
          <w:szCs w:val="22"/>
          <w:lang w:eastAsia="en-US"/>
        </w:rPr>
        <w:t xml:space="preserve"> </w:t>
      </w:r>
      <w:r w:rsidRPr="00EB6E0A">
        <w:rPr>
          <w:rFonts w:eastAsia="Calibri"/>
          <w:i/>
          <w:szCs w:val="22"/>
          <w:lang w:eastAsia="en-US"/>
        </w:rPr>
        <w:t>elektrisitetsprisene</w:t>
      </w:r>
      <w:r>
        <w:rPr>
          <w:rFonts w:eastAsia="Calibri"/>
          <w:i/>
          <w:szCs w:val="22"/>
          <w:lang w:eastAsia="en-US"/>
        </w:rPr>
        <w:t xml:space="preserve"> </w:t>
      </w:r>
      <w:r>
        <w:rPr>
          <w:rFonts w:eastAsia="Calibri"/>
          <w:szCs w:val="22"/>
          <w:lang w:eastAsia="en-US"/>
        </w:rPr>
        <w:t>med 3,7 prosent fra 2014 til 2015</w:t>
      </w:r>
      <w:r w:rsidRPr="00EB6E0A">
        <w:rPr>
          <w:rFonts w:eastAsia="Calibri"/>
          <w:szCs w:val="22"/>
          <w:lang w:eastAsia="en-US"/>
        </w:rPr>
        <w:t xml:space="preserve">. </w:t>
      </w:r>
      <w:r>
        <w:rPr>
          <w:rFonts w:eastAsia="Calibri"/>
          <w:szCs w:val="22"/>
          <w:lang w:eastAsia="en-US"/>
        </w:rPr>
        <w:t xml:space="preserve">To tredjedeler av husholdningene har kraftpriskontrakter knyttet til spotpris, mens de resterende er fordelt på fastpriskontrakter og såkalte variabelpriskontrakter som endres langsommere enn spotprisen. </w:t>
      </w:r>
      <w:r w:rsidRPr="00EB6E0A">
        <w:rPr>
          <w:rFonts w:eastAsia="Calibri"/>
          <w:szCs w:val="22"/>
          <w:lang w:eastAsia="en-US"/>
        </w:rPr>
        <w:t>Systemprisene hittil i år sammen med terminprise</w:t>
      </w:r>
      <w:r>
        <w:rPr>
          <w:rFonts w:eastAsia="Calibri"/>
          <w:szCs w:val="22"/>
          <w:lang w:eastAsia="en-US"/>
        </w:rPr>
        <w:t>ne for elektrisitet i 2016 per 10</w:t>
      </w:r>
      <w:r w:rsidRPr="00EB6E0A">
        <w:rPr>
          <w:rFonts w:eastAsia="Calibri"/>
          <w:szCs w:val="22"/>
          <w:lang w:eastAsia="en-US"/>
        </w:rPr>
        <w:t>. februar gir en gjennomsnittlig s</w:t>
      </w:r>
      <w:r>
        <w:rPr>
          <w:rFonts w:eastAsia="Calibri"/>
          <w:szCs w:val="22"/>
          <w:lang w:eastAsia="en-US"/>
        </w:rPr>
        <w:t>ystempris på rundt 17</w:t>
      </w:r>
      <w:r w:rsidRPr="00EB6E0A">
        <w:rPr>
          <w:rFonts w:eastAsia="Calibri"/>
          <w:szCs w:val="22"/>
          <w:lang w:eastAsia="en-US"/>
        </w:rPr>
        <w:t xml:space="preserve"> øre </w:t>
      </w:r>
      <w:r>
        <w:rPr>
          <w:rFonts w:eastAsia="Calibri"/>
          <w:szCs w:val="22"/>
          <w:lang w:eastAsia="en-US"/>
        </w:rPr>
        <w:t>per</w:t>
      </w:r>
      <w:r w:rsidRPr="00EB6E0A">
        <w:rPr>
          <w:rFonts w:eastAsia="Calibri"/>
          <w:szCs w:val="22"/>
          <w:lang w:eastAsia="en-US"/>
        </w:rPr>
        <w:t xml:space="preserve"> KWh i år, mot en gjenno</w:t>
      </w:r>
      <w:r>
        <w:rPr>
          <w:rFonts w:eastAsia="Calibri"/>
          <w:szCs w:val="22"/>
          <w:lang w:eastAsia="en-US"/>
        </w:rPr>
        <w:t>msnittlig systempris på 18,8</w:t>
      </w:r>
      <w:r w:rsidRPr="00EB6E0A">
        <w:rPr>
          <w:rFonts w:eastAsia="Calibri"/>
          <w:szCs w:val="22"/>
          <w:lang w:eastAsia="en-US"/>
        </w:rPr>
        <w:t xml:space="preserve"> øre </w:t>
      </w:r>
      <w:r>
        <w:rPr>
          <w:rFonts w:eastAsia="Calibri"/>
          <w:szCs w:val="22"/>
          <w:lang w:eastAsia="en-US"/>
        </w:rPr>
        <w:t>per</w:t>
      </w:r>
      <w:r w:rsidRPr="00EB6E0A">
        <w:rPr>
          <w:rFonts w:eastAsia="Calibri"/>
          <w:szCs w:val="22"/>
          <w:lang w:eastAsia="en-US"/>
        </w:rPr>
        <w:t xml:space="preserve"> KWh i fjor. Gjennomsnittlig nettle</w:t>
      </w:r>
      <w:r>
        <w:rPr>
          <w:rFonts w:eastAsia="Calibri"/>
          <w:szCs w:val="22"/>
          <w:lang w:eastAsia="en-US"/>
        </w:rPr>
        <w:t>ie inkludert avgifter økte med 6,0 prosent ved inngangen av 2016</w:t>
      </w:r>
      <w:r w:rsidRPr="00EB6E0A">
        <w:rPr>
          <w:rFonts w:eastAsia="Calibri"/>
          <w:szCs w:val="22"/>
          <w:lang w:eastAsia="en-US"/>
        </w:rPr>
        <w:t xml:space="preserve">. Det legges til grunn at nettleien ikke endres gjennom året. På denne bakgrunn legger utvalget til grunn at elektrisitetsprisene inkludert nettleie vil </w:t>
      </w:r>
      <w:r>
        <w:rPr>
          <w:rFonts w:eastAsia="Calibri"/>
          <w:szCs w:val="22"/>
          <w:lang w:eastAsia="en-US"/>
        </w:rPr>
        <w:t xml:space="preserve">stige med 4 prosent fra 2015 til 2016. </w:t>
      </w:r>
      <w:r w:rsidRPr="00EB6E0A">
        <w:rPr>
          <w:rFonts w:eastAsia="Calibri"/>
          <w:szCs w:val="22"/>
          <w:lang w:eastAsia="en-US"/>
        </w:rPr>
        <w:t>Usikkerheten knyttet til utviklingen framover er im</w:t>
      </w:r>
      <w:r>
        <w:rPr>
          <w:rFonts w:eastAsia="Calibri"/>
          <w:szCs w:val="22"/>
          <w:lang w:eastAsia="en-US"/>
        </w:rPr>
        <w:t>idlertid betydelig. I tabell 2.5</w:t>
      </w:r>
      <w:r w:rsidRPr="00EB6E0A">
        <w:rPr>
          <w:rFonts w:eastAsia="Calibri"/>
          <w:szCs w:val="22"/>
          <w:lang w:eastAsia="en-US"/>
        </w:rPr>
        <w:t xml:space="preserve"> er det gjengitt m</w:t>
      </w:r>
      <w:r>
        <w:rPr>
          <w:rFonts w:eastAsia="Calibri"/>
          <w:szCs w:val="22"/>
          <w:lang w:eastAsia="en-US"/>
        </w:rPr>
        <w:t>odellberegninger som viser at 10</w:t>
      </w:r>
      <w:r w:rsidRPr="00EB6E0A">
        <w:rPr>
          <w:rFonts w:eastAsia="Calibri"/>
          <w:szCs w:val="22"/>
          <w:lang w:eastAsia="en-US"/>
        </w:rPr>
        <w:t xml:space="preserve"> prosentpoeng høyere eller lavere vekst i elektrisitetsprise</w:t>
      </w:r>
      <w:r>
        <w:rPr>
          <w:rFonts w:eastAsia="Calibri"/>
          <w:szCs w:val="22"/>
          <w:lang w:eastAsia="en-US"/>
        </w:rPr>
        <w:t>ne vil endre prisveksten med 0,4</w:t>
      </w:r>
      <w:r w:rsidRPr="00EB6E0A">
        <w:rPr>
          <w:rFonts w:eastAsia="Calibri"/>
          <w:szCs w:val="22"/>
          <w:lang w:eastAsia="en-US"/>
        </w:rPr>
        <w:t xml:space="preserve"> prosentpoeng i forhold til referansebanen.</w:t>
      </w:r>
    </w:p>
    <w:p w14:paraId="34A0E41F" w14:textId="77777777" w:rsidR="00FD6507" w:rsidRPr="000C67D9" w:rsidRDefault="00FD6507" w:rsidP="00FD6507">
      <w:pPr>
        <w:rPr>
          <w:rFonts w:eastAsia="Calibri"/>
          <w:szCs w:val="22"/>
          <w:lang w:eastAsia="en-US"/>
        </w:rPr>
      </w:pPr>
      <w:r w:rsidRPr="00EB6E0A">
        <w:rPr>
          <w:rFonts w:eastAsia="Calibri"/>
          <w:szCs w:val="22"/>
          <w:lang w:eastAsia="en-US"/>
        </w:rPr>
        <w:t xml:space="preserve">Prisene på varer til konsum påvirkes av </w:t>
      </w:r>
      <w:r w:rsidRPr="00EB6E0A">
        <w:rPr>
          <w:rFonts w:eastAsia="Calibri"/>
          <w:i/>
          <w:szCs w:val="22"/>
          <w:lang w:eastAsia="en-US"/>
        </w:rPr>
        <w:t xml:space="preserve">avgiftsopplegget </w:t>
      </w:r>
      <w:r w:rsidRPr="00EB6E0A">
        <w:rPr>
          <w:rFonts w:eastAsia="Calibri"/>
          <w:szCs w:val="22"/>
          <w:lang w:eastAsia="en-US"/>
        </w:rPr>
        <w:t>som Stortinget v</w:t>
      </w:r>
      <w:r>
        <w:rPr>
          <w:rFonts w:eastAsia="Calibri"/>
          <w:szCs w:val="22"/>
          <w:lang w:eastAsia="en-US"/>
        </w:rPr>
        <w:t>edtar. Avgiftsopplegget for 2016 er isolert sett ventet å bidra til å trekke prisveksten i 2016 opp med 0,1 prosentpoeng.</w:t>
      </w:r>
    </w:p>
    <w:p w14:paraId="1B5C4B50" w14:textId="77777777" w:rsidR="00FD6507" w:rsidRDefault="00FD6507" w:rsidP="00FD6507">
      <w:pPr>
        <w:pStyle w:val="tabell-tittel"/>
        <w:spacing w:before="120" w:after="0"/>
        <w:rPr>
          <w:lang w:eastAsia="en-US"/>
        </w:rPr>
      </w:pPr>
      <w:r w:rsidRPr="00EB6E0A">
        <w:rPr>
          <w:lang w:eastAsia="en-US"/>
        </w:rPr>
        <w:t>Viktige forutsetninger for Kvarts-beregni</w:t>
      </w:r>
      <w:r>
        <w:rPr>
          <w:lang w:eastAsia="en-US"/>
        </w:rPr>
        <w:t>ngen av konsumprisvekst fra 2014 til 2015</w:t>
      </w:r>
      <w:r w:rsidRPr="00EB6E0A">
        <w:rPr>
          <w:lang w:eastAsia="en-US"/>
        </w:rPr>
        <w:t>. Prosentvis vekst fra året før</w:t>
      </w:r>
    </w:p>
    <w:tbl>
      <w:tblPr>
        <w:tblW w:w="4860" w:type="pct"/>
        <w:tblCellMar>
          <w:top w:w="60" w:type="dxa"/>
          <w:left w:w="60" w:type="dxa"/>
          <w:bottom w:w="60" w:type="dxa"/>
          <w:right w:w="60" w:type="dxa"/>
        </w:tblCellMar>
        <w:tblLook w:val="00A0" w:firstRow="1" w:lastRow="0" w:firstColumn="1" w:lastColumn="0" w:noHBand="0" w:noVBand="0"/>
      </w:tblPr>
      <w:tblGrid>
        <w:gridCol w:w="6270"/>
        <w:gridCol w:w="1273"/>
        <w:gridCol w:w="1273"/>
      </w:tblGrid>
      <w:tr w:rsidR="00FD6507" w14:paraId="4B0C1E8C" w14:textId="77777777" w:rsidTr="00846451">
        <w:trPr>
          <w:trHeight w:val="227"/>
        </w:trPr>
        <w:tc>
          <w:tcPr>
            <w:tcW w:w="3556" w:type="pct"/>
            <w:tcBorders>
              <w:top w:val="single" w:sz="4" w:space="0" w:color="auto"/>
              <w:left w:val="nil"/>
              <w:bottom w:val="single" w:sz="4" w:space="0" w:color="auto"/>
              <w:right w:val="nil"/>
            </w:tcBorders>
            <w:vAlign w:val="center"/>
          </w:tcPr>
          <w:p w14:paraId="3EC1EB91" w14:textId="77777777" w:rsidR="00FD6507" w:rsidRDefault="00FD6507" w:rsidP="00846451">
            <w:pPr>
              <w:spacing w:after="0"/>
              <w:rPr>
                <w:rFonts w:cs="Arial"/>
              </w:rPr>
            </w:pPr>
          </w:p>
        </w:tc>
        <w:tc>
          <w:tcPr>
            <w:tcW w:w="722" w:type="pct"/>
            <w:tcBorders>
              <w:top w:val="single" w:sz="4" w:space="0" w:color="auto"/>
              <w:left w:val="nil"/>
              <w:bottom w:val="single" w:sz="4" w:space="0" w:color="auto"/>
              <w:right w:val="nil"/>
            </w:tcBorders>
            <w:vAlign w:val="center"/>
            <w:hideMark/>
          </w:tcPr>
          <w:p w14:paraId="3076F9A9" w14:textId="77777777" w:rsidR="00FD6507" w:rsidRDefault="00FD6507" w:rsidP="00846451">
            <w:pPr>
              <w:spacing w:after="0"/>
              <w:jc w:val="right"/>
              <w:rPr>
                <w:rFonts w:cs="Arial"/>
              </w:rPr>
            </w:pPr>
            <w:r>
              <w:rPr>
                <w:rFonts w:cs="Arial"/>
              </w:rPr>
              <w:t>2015</w:t>
            </w:r>
          </w:p>
        </w:tc>
        <w:tc>
          <w:tcPr>
            <w:tcW w:w="722" w:type="pct"/>
            <w:tcBorders>
              <w:top w:val="single" w:sz="4" w:space="0" w:color="auto"/>
              <w:left w:val="nil"/>
              <w:bottom w:val="single" w:sz="4" w:space="0" w:color="auto"/>
              <w:right w:val="nil"/>
            </w:tcBorders>
            <w:vAlign w:val="center"/>
            <w:hideMark/>
          </w:tcPr>
          <w:p w14:paraId="5F549605" w14:textId="77777777" w:rsidR="00FD6507" w:rsidRDefault="00FD6507" w:rsidP="00846451">
            <w:pPr>
              <w:spacing w:after="0"/>
              <w:jc w:val="right"/>
              <w:rPr>
                <w:rFonts w:cs="Arial"/>
              </w:rPr>
            </w:pPr>
            <w:r>
              <w:rPr>
                <w:rFonts w:cs="Arial"/>
              </w:rPr>
              <w:t>2016</w:t>
            </w:r>
          </w:p>
        </w:tc>
      </w:tr>
      <w:tr w:rsidR="00FD6507" w14:paraId="2D859CCE" w14:textId="77777777" w:rsidTr="00846451">
        <w:trPr>
          <w:trHeight w:val="227"/>
        </w:trPr>
        <w:tc>
          <w:tcPr>
            <w:tcW w:w="3556" w:type="pct"/>
            <w:tcBorders>
              <w:top w:val="single" w:sz="4" w:space="0" w:color="auto"/>
              <w:left w:val="nil"/>
              <w:bottom w:val="nil"/>
              <w:right w:val="nil"/>
            </w:tcBorders>
            <w:hideMark/>
          </w:tcPr>
          <w:p w14:paraId="2AFCCDCF" w14:textId="77777777" w:rsidR="00FD6507" w:rsidRDefault="00FD6507" w:rsidP="00846451">
            <w:pPr>
              <w:rPr>
                <w:rFonts w:cs="Arial"/>
                <w:vertAlign w:val="superscript"/>
              </w:rPr>
            </w:pPr>
            <w:r>
              <w:rPr>
                <w:rFonts w:cs="Arial"/>
              </w:rPr>
              <w:t>Importveid valutakurs</w:t>
            </w:r>
            <w:r>
              <w:rPr>
                <w:rFonts w:cs="Arial"/>
                <w:vertAlign w:val="superscript"/>
              </w:rPr>
              <w:t>1</w:t>
            </w:r>
          </w:p>
        </w:tc>
        <w:tc>
          <w:tcPr>
            <w:tcW w:w="722" w:type="pct"/>
            <w:tcBorders>
              <w:top w:val="single" w:sz="4" w:space="0" w:color="auto"/>
              <w:left w:val="nil"/>
              <w:bottom w:val="nil"/>
              <w:right w:val="nil"/>
            </w:tcBorders>
            <w:vAlign w:val="bottom"/>
            <w:hideMark/>
          </w:tcPr>
          <w:p w14:paraId="3F7035B9" w14:textId="77777777" w:rsidR="00FD6507" w:rsidRDefault="00FD6507" w:rsidP="00846451">
            <w:pPr>
              <w:jc w:val="right"/>
              <w:rPr>
                <w:rFonts w:cs="Arial"/>
              </w:rPr>
            </w:pPr>
            <w:r>
              <w:rPr>
                <w:rFonts w:cs="Arial"/>
              </w:rPr>
              <w:t>10,5</w:t>
            </w:r>
          </w:p>
        </w:tc>
        <w:tc>
          <w:tcPr>
            <w:tcW w:w="722" w:type="pct"/>
            <w:tcBorders>
              <w:top w:val="single" w:sz="4" w:space="0" w:color="auto"/>
              <w:left w:val="nil"/>
              <w:bottom w:val="nil"/>
              <w:right w:val="nil"/>
            </w:tcBorders>
            <w:vAlign w:val="bottom"/>
            <w:hideMark/>
          </w:tcPr>
          <w:p w14:paraId="4EC9C489" w14:textId="77777777" w:rsidR="00FD6507" w:rsidRDefault="00FD6507" w:rsidP="00846451">
            <w:pPr>
              <w:jc w:val="right"/>
              <w:rPr>
                <w:rFonts w:cs="Arial"/>
              </w:rPr>
            </w:pPr>
            <w:r>
              <w:rPr>
                <w:rFonts w:cs="Arial"/>
              </w:rPr>
              <w:t>5,0</w:t>
            </w:r>
          </w:p>
        </w:tc>
      </w:tr>
      <w:tr w:rsidR="00FD6507" w14:paraId="2768DA5A" w14:textId="77777777" w:rsidTr="00846451">
        <w:trPr>
          <w:trHeight w:val="227"/>
        </w:trPr>
        <w:tc>
          <w:tcPr>
            <w:tcW w:w="3556" w:type="pct"/>
            <w:hideMark/>
          </w:tcPr>
          <w:p w14:paraId="79DD46ED" w14:textId="77777777" w:rsidR="00FD6507" w:rsidRDefault="00FD6507" w:rsidP="00846451">
            <w:pPr>
              <w:rPr>
                <w:rFonts w:cs="Arial"/>
              </w:rPr>
            </w:pPr>
            <w:r>
              <w:rPr>
                <w:rFonts w:cs="Arial"/>
              </w:rPr>
              <w:t>Importpriser, tradisjonelle varer</w:t>
            </w:r>
          </w:p>
        </w:tc>
        <w:tc>
          <w:tcPr>
            <w:tcW w:w="722" w:type="pct"/>
            <w:vAlign w:val="bottom"/>
            <w:hideMark/>
          </w:tcPr>
          <w:p w14:paraId="38F6E5DD" w14:textId="77777777" w:rsidR="00FD6507" w:rsidRPr="00977A1A" w:rsidRDefault="00FD6507" w:rsidP="00846451">
            <w:pPr>
              <w:jc w:val="right"/>
              <w:rPr>
                <w:rFonts w:cs="Arial"/>
              </w:rPr>
            </w:pPr>
            <w:r>
              <w:rPr>
                <w:rFonts w:cs="Arial"/>
              </w:rPr>
              <w:t>5,5</w:t>
            </w:r>
          </w:p>
        </w:tc>
        <w:tc>
          <w:tcPr>
            <w:tcW w:w="722" w:type="pct"/>
            <w:vAlign w:val="bottom"/>
            <w:hideMark/>
          </w:tcPr>
          <w:p w14:paraId="72DD1B2F" w14:textId="77777777" w:rsidR="00FD6507" w:rsidRPr="00977A1A" w:rsidRDefault="00FD6507" w:rsidP="00846451">
            <w:pPr>
              <w:jc w:val="right"/>
              <w:rPr>
                <w:rFonts w:cs="Arial"/>
              </w:rPr>
            </w:pPr>
            <w:r>
              <w:rPr>
                <w:rFonts w:cs="Arial"/>
              </w:rPr>
              <w:t>2,6</w:t>
            </w:r>
          </w:p>
        </w:tc>
      </w:tr>
      <w:tr w:rsidR="00FD6507" w14:paraId="17C7AAC7" w14:textId="77777777" w:rsidTr="00846451">
        <w:trPr>
          <w:trHeight w:val="227"/>
        </w:trPr>
        <w:tc>
          <w:tcPr>
            <w:tcW w:w="3556" w:type="pct"/>
            <w:hideMark/>
          </w:tcPr>
          <w:p w14:paraId="7C8D8755" w14:textId="77777777" w:rsidR="00FD6507" w:rsidRDefault="00FD6507" w:rsidP="00846451">
            <w:pPr>
              <w:rPr>
                <w:rFonts w:cs="Arial"/>
                <w:vertAlign w:val="superscript"/>
              </w:rPr>
            </w:pPr>
            <w:r>
              <w:rPr>
                <w:rFonts w:cs="Arial"/>
              </w:rPr>
              <w:t xml:space="preserve">Konsumrelaterte varer </w:t>
            </w:r>
            <w:r>
              <w:rPr>
                <w:rFonts w:cs="Arial"/>
                <w:vertAlign w:val="superscript"/>
              </w:rPr>
              <w:t>2</w:t>
            </w:r>
          </w:p>
        </w:tc>
        <w:tc>
          <w:tcPr>
            <w:tcW w:w="722" w:type="pct"/>
            <w:vAlign w:val="bottom"/>
            <w:hideMark/>
          </w:tcPr>
          <w:p w14:paraId="5C8DC382" w14:textId="77777777" w:rsidR="00FD6507" w:rsidRPr="00977A1A" w:rsidRDefault="00FD6507" w:rsidP="00846451">
            <w:pPr>
              <w:jc w:val="right"/>
              <w:rPr>
                <w:rFonts w:cs="Arial"/>
              </w:rPr>
            </w:pPr>
            <w:r>
              <w:rPr>
                <w:rFonts w:cs="Arial"/>
              </w:rPr>
              <w:t>7,2</w:t>
            </w:r>
          </w:p>
        </w:tc>
        <w:tc>
          <w:tcPr>
            <w:tcW w:w="722" w:type="pct"/>
            <w:vAlign w:val="bottom"/>
            <w:hideMark/>
          </w:tcPr>
          <w:p w14:paraId="45924757" w14:textId="77777777" w:rsidR="00FD6507" w:rsidRPr="00977A1A" w:rsidRDefault="00FD6507" w:rsidP="00846451">
            <w:pPr>
              <w:jc w:val="right"/>
              <w:rPr>
                <w:rFonts w:cs="Arial"/>
              </w:rPr>
            </w:pPr>
            <w:r>
              <w:rPr>
                <w:rFonts w:cs="Arial"/>
              </w:rPr>
              <w:t>4,7</w:t>
            </w:r>
          </w:p>
        </w:tc>
      </w:tr>
      <w:tr w:rsidR="00FD6507" w14:paraId="54005EB0" w14:textId="77777777" w:rsidTr="00846451">
        <w:trPr>
          <w:trHeight w:val="227"/>
        </w:trPr>
        <w:tc>
          <w:tcPr>
            <w:tcW w:w="3556" w:type="pct"/>
            <w:hideMark/>
          </w:tcPr>
          <w:p w14:paraId="61EF436C" w14:textId="77777777" w:rsidR="00FD6507" w:rsidRDefault="00FD6507" w:rsidP="00846451">
            <w:pPr>
              <w:rPr>
                <w:rFonts w:cs="Arial"/>
              </w:rPr>
            </w:pPr>
            <w:r>
              <w:rPr>
                <w:rFonts w:cs="Arial"/>
              </w:rPr>
              <w:t>Øvrige varer</w:t>
            </w:r>
          </w:p>
        </w:tc>
        <w:tc>
          <w:tcPr>
            <w:tcW w:w="722" w:type="pct"/>
            <w:vAlign w:val="bottom"/>
            <w:hideMark/>
          </w:tcPr>
          <w:p w14:paraId="32FA69BE" w14:textId="77777777" w:rsidR="00FD6507" w:rsidRPr="00977A1A" w:rsidRDefault="00FD6507" w:rsidP="00846451">
            <w:pPr>
              <w:jc w:val="right"/>
              <w:rPr>
                <w:rFonts w:cs="Arial"/>
              </w:rPr>
            </w:pPr>
            <w:r>
              <w:rPr>
                <w:rFonts w:cs="Arial"/>
              </w:rPr>
              <w:t>-2,5</w:t>
            </w:r>
          </w:p>
        </w:tc>
        <w:tc>
          <w:tcPr>
            <w:tcW w:w="722" w:type="pct"/>
            <w:vAlign w:val="bottom"/>
            <w:hideMark/>
          </w:tcPr>
          <w:p w14:paraId="4BB759E4" w14:textId="77777777" w:rsidR="00FD6507" w:rsidRPr="00977A1A" w:rsidRDefault="00FD6507" w:rsidP="00846451">
            <w:pPr>
              <w:jc w:val="right"/>
              <w:rPr>
                <w:rFonts w:cs="Arial"/>
              </w:rPr>
            </w:pPr>
            <w:r>
              <w:rPr>
                <w:rFonts w:cs="Arial"/>
              </w:rPr>
              <w:t>-7,1</w:t>
            </w:r>
          </w:p>
        </w:tc>
      </w:tr>
      <w:tr w:rsidR="00FD6507" w14:paraId="27A9AE07" w14:textId="77777777" w:rsidTr="00846451">
        <w:trPr>
          <w:trHeight w:val="227"/>
        </w:trPr>
        <w:tc>
          <w:tcPr>
            <w:tcW w:w="3556" w:type="pct"/>
            <w:hideMark/>
          </w:tcPr>
          <w:p w14:paraId="2D3D5E21" w14:textId="77777777" w:rsidR="00FD6507" w:rsidRDefault="00FD6507" w:rsidP="00846451">
            <w:pPr>
              <w:rPr>
                <w:rFonts w:cs="Arial"/>
              </w:rPr>
            </w:pPr>
            <w:r>
              <w:rPr>
                <w:rFonts w:cs="Arial"/>
              </w:rPr>
              <w:t>Råolje i NOK</w:t>
            </w:r>
          </w:p>
        </w:tc>
        <w:tc>
          <w:tcPr>
            <w:tcW w:w="722" w:type="pct"/>
            <w:vAlign w:val="bottom"/>
            <w:hideMark/>
          </w:tcPr>
          <w:p w14:paraId="2650E9D0" w14:textId="77777777" w:rsidR="00FD6507" w:rsidRDefault="00FD6507" w:rsidP="00846451">
            <w:pPr>
              <w:jc w:val="right"/>
              <w:rPr>
                <w:rFonts w:cs="Arial"/>
              </w:rPr>
            </w:pPr>
            <w:r>
              <w:rPr>
                <w:rFonts w:cs="Arial"/>
              </w:rPr>
              <w:t>-30,8</w:t>
            </w:r>
          </w:p>
        </w:tc>
        <w:tc>
          <w:tcPr>
            <w:tcW w:w="722" w:type="pct"/>
            <w:vAlign w:val="bottom"/>
            <w:hideMark/>
          </w:tcPr>
          <w:p w14:paraId="09269187" w14:textId="77777777" w:rsidR="00FD6507" w:rsidRDefault="00FD6507" w:rsidP="00846451">
            <w:pPr>
              <w:jc w:val="right"/>
              <w:rPr>
                <w:rFonts w:cs="Arial"/>
              </w:rPr>
            </w:pPr>
            <w:r>
              <w:rPr>
                <w:rFonts w:cs="Arial"/>
              </w:rPr>
              <w:t>-30,3</w:t>
            </w:r>
          </w:p>
        </w:tc>
      </w:tr>
      <w:tr w:rsidR="00FD6507" w14:paraId="4FAE956C" w14:textId="77777777" w:rsidTr="00846451">
        <w:trPr>
          <w:trHeight w:val="227"/>
        </w:trPr>
        <w:tc>
          <w:tcPr>
            <w:tcW w:w="3556" w:type="pct"/>
            <w:tcBorders>
              <w:top w:val="nil"/>
              <w:left w:val="nil"/>
              <w:bottom w:val="single" w:sz="4" w:space="0" w:color="auto"/>
              <w:right w:val="nil"/>
            </w:tcBorders>
            <w:hideMark/>
          </w:tcPr>
          <w:p w14:paraId="33860F0C" w14:textId="77777777" w:rsidR="00FD6507" w:rsidRDefault="00FD6507" w:rsidP="00846451">
            <w:pPr>
              <w:rPr>
                <w:rFonts w:cs="Arial"/>
                <w:vertAlign w:val="superscript"/>
              </w:rPr>
            </w:pPr>
            <w:r>
              <w:rPr>
                <w:rFonts w:cs="Arial"/>
              </w:rPr>
              <w:t>Elektrisitetspris</w:t>
            </w:r>
            <w:r>
              <w:rPr>
                <w:rFonts w:cs="Arial"/>
                <w:vertAlign w:val="superscript"/>
              </w:rPr>
              <w:t>3</w:t>
            </w:r>
          </w:p>
        </w:tc>
        <w:tc>
          <w:tcPr>
            <w:tcW w:w="722" w:type="pct"/>
            <w:tcBorders>
              <w:top w:val="nil"/>
              <w:left w:val="nil"/>
              <w:bottom w:val="single" w:sz="4" w:space="0" w:color="auto"/>
              <w:right w:val="nil"/>
            </w:tcBorders>
            <w:vAlign w:val="bottom"/>
            <w:hideMark/>
          </w:tcPr>
          <w:p w14:paraId="38FC044B" w14:textId="77777777" w:rsidR="00FD6507" w:rsidRDefault="00FD6507" w:rsidP="00846451">
            <w:pPr>
              <w:jc w:val="right"/>
              <w:rPr>
                <w:rFonts w:cs="Arial"/>
              </w:rPr>
            </w:pPr>
            <w:r>
              <w:rPr>
                <w:rFonts w:cs="Arial"/>
              </w:rPr>
              <w:t>-3,6</w:t>
            </w:r>
          </w:p>
        </w:tc>
        <w:tc>
          <w:tcPr>
            <w:tcW w:w="722" w:type="pct"/>
            <w:tcBorders>
              <w:top w:val="nil"/>
              <w:left w:val="nil"/>
              <w:bottom w:val="single" w:sz="4" w:space="0" w:color="auto"/>
              <w:right w:val="nil"/>
            </w:tcBorders>
            <w:vAlign w:val="bottom"/>
            <w:hideMark/>
          </w:tcPr>
          <w:p w14:paraId="373D8F48" w14:textId="77777777" w:rsidR="00FD6507" w:rsidRDefault="00FD6507" w:rsidP="00846451">
            <w:pPr>
              <w:jc w:val="right"/>
              <w:rPr>
                <w:rFonts w:cs="Arial"/>
              </w:rPr>
            </w:pPr>
            <w:r>
              <w:rPr>
                <w:rFonts w:cs="Arial"/>
              </w:rPr>
              <w:t>4,0</w:t>
            </w:r>
          </w:p>
        </w:tc>
      </w:tr>
    </w:tbl>
    <w:p w14:paraId="77A72905" w14:textId="531D3CCF" w:rsidR="00FD6507" w:rsidRPr="000A032A" w:rsidRDefault="00FD6507" w:rsidP="001B0045">
      <w:pPr>
        <w:pStyle w:val="tabell-noter"/>
        <w:numPr>
          <w:ilvl w:val="0"/>
          <w:numId w:val="97"/>
        </w:numPr>
        <w:tabs>
          <w:tab w:val="clear" w:pos="284"/>
        </w:tabs>
        <w:spacing w:before="0" w:after="0"/>
        <w:ind w:left="142" w:hanging="142"/>
        <w:rPr>
          <w:rFonts w:ascii="Times New Roman" w:hAnsi="Times New Roman"/>
        </w:rPr>
      </w:pPr>
      <w:r w:rsidRPr="000A032A">
        <w:rPr>
          <w:rFonts w:ascii="Times New Roman" w:hAnsi="Times New Roman"/>
        </w:rPr>
        <w:t>Positiv endring betyr depresiering av norske kroner.</w:t>
      </w:r>
    </w:p>
    <w:p w14:paraId="62DDAE62" w14:textId="1B57EDC7" w:rsidR="00FD6507" w:rsidRPr="000A032A" w:rsidRDefault="00FD6507" w:rsidP="001B0045">
      <w:pPr>
        <w:pStyle w:val="tabell-noter"/>
        <w:numPr>
          <w:ilvl w:val="0"/>
          <w:numId w:val="97"/>
        </w:numPr>
        <w:tabs>
          <w:tab w:val="clear" w:pos="284"/>
        </w:tabs>
        <w:spacing w:before="0" w:after="0"/>
        <w:ind w:left="142" w:hanging="142"/>
        <w:rPr>
          <w:rFonts w:ascii="Times New Roman" w:hAnsi="Times New Roman"/>
        </w:rPr>
      </w:pPr>
      <w:r w:rsidRPr="000A032A">
        <w:rPr>
          <w:rFonts w:ascii="Times New Roman" w:hAnsi="Times New Roman"/>
        </w:rPr>
        <w:t>Foredlede jordbruks- og fiskeprodukter, drikkevarer og tobakk, tekstil- og bekledningsprodukter, diverse industriprodukter, verkstedprodukter, biler mv. og matvarer og råvarer.</w:t>
      </w:r>
    </w:p>
    <w:p w14:paraId="6D77D252" w14:textId="002008F0" w:rsidR="00FD6507" w:rsidRPr="000A032A" w:rsidRDefault="00FD6507" w:rsidP="001B0045">
      <w:pPr>
        <w:pStyle w:val="tabell-noter"/>
        <w:numPr>
          <w:ilvl w:val="0"/>
          <w:numId w:val="97"/>
        </w:numPr>
        <w:tabs>
          <w:tab w:val="clear" w:pos="284"/>
        </w:tabs>
        <w:spacing w:before="0" w:after="0"/>
        <w:ind w:left="142" w:hanging="142"/>
        <w:rPr>
          <w:rFonts w:ascii="Times New Roman" w:hAnsi="Times New Roman"/>
        </w:rPr>
      </w:pPr>
      <w:r w:rsidRPr="000A032A">
        <w:rPr>
          <w:rFonts w:ascii="Times New Roman" w:hAnsi="Times New Roman"/>
        </w:rPr>
        <w:t>Prisen på elektrisk kraft som husholdningene betaler ifølge KPI.</w:t>
      </w:r>
    </w:p>
    <w:p w14:paraId="28CC8322" w14:textId="77777777" w:rsidR="00FD6507" w:rsidRPr="000A032A" w:rsidRDefault="00FD6507" w:rsidP="000A032A">
      <w:pPr>
        <w:spacing w:before="120" w:after="240" w:line="276" w:lineRule="auto"/>
        <w:rPr>
          <w:rFonts w:eastAsia="Calibri"/>
          <w:sz w:val="20"/>
          <w:lang w:eastAsia="en-US"/>
        </w:rPr>
      </w:pPr>
      <w:r w:rsidRPr="000A032A">
        <w:rPr>
          <w:rFonts w:eastAsia="Calibri"/>
          <w:sz w:val="20"/>
          <w:lang w:eastAsia="en-US"/>
        </w:rPr>
        <w:t>Kilde: Beregningsutvalget</w:t>
      </w:r>
    </w:p>
    <w:p w14:paraId="48CF8631" w14:textId="77777777" w:rsidR="00FD6507" w:rsidRDefault="00FD6507" w:rsidP="00FD6507">
      <w:pPr>
        <w:pStyle w:val="Overskrift3"/>
      </w:pPr>
      <w:bookmarkStart w:id="172" w:name="_Toc443998973"/>
      <w:r w:rsidRPr="00EB6E0A">
        <w:t>Modellresultater</w:t>
      </w:r>
      <w:bookmarkEnd w:id="172"/>
    </w:p>
    <w:p w14:paraId="5C5BF3A5" w14:textId="77777777" w:rsidR="00FD6507" w:rsidRPr="00EB6E0A" w:rsidRDefault="00FD6507" w:rsidP="00FD6507">
      <w:r w:rsidRPr="00EB6E0A">
        <w:t>Beregningene som er blitt gjennomført med Kvarts gir en økning</w:t>
      </w:r>
      <w:r>
        <w:t xml:space="preserve"> i </w:t>
      </w:r>
      <w:r w:rsidRPr="000F347C">
        <w:t>KPI på 2,</w:t>
      </w:r>
      <w:r>
        <w:t>5</w:t>
      </w:r>
      <w:r w:rsidRPr="000F347C">
        <w:t xml:space="preserve"> prosent fra 2015 til 2016. Dette innebærer </w:t>
      </w:r>
      <w:r>
        <w:t>noe høyere</w:t>
      </w:r>
      <w:r w:rsidRPr="000F347C">
        <w:t xml:space="preserve"> prisstigning</w:t>
      </w:r>
      <w:r>
        <w:t xml:space="preserve"> enn </w:t>
      </w:r>
      <w:r w:rsidRPr="000F347C">
        <w:t>i fjor. Den underliggende prisveksten, målt ved KPI-JAE, er i modellberegningen 2,</w:t>
      </w:r>
      <w:r>
        <w:t xml:space="preserve">7 </w:t>
      </w:r>
      <w:r w:rsidRPr="000F347C">
        <w:t>prosent</w:t>
      </w:r>
      <w:r>
        <w:t xml:space="preserve">, det samme som i fjor. </w:t>
      </w:r>
      <w:r w:rsidRPr="00EB6E0A">
        <w:t xml:space="preserve"> </w:t>
      </w:r>
    </w:p>
    <w:p w14:paraId="4E9EE5B8" w14:textId="77777777" w:rsidR="00FD6507" w:rsidRPr="00B17A1D" w:rsidRDefault="00FD6507" w:rsidP="00FD6507">
      <w:r w:rsidRPr="00B17A1D">
        <w:t xml:space="preserve">Målt som vekst over fire kvartaler indikerer modellberegningen at den underliggende prisveksten, målt ved KPI-JAE, vil avta gjennom året, fra 3,0 prosent i 1. kvartal til </w:t>
      </w:r>
      <w:r>
        <w:t>2,4</w:t>
      </w:r>
      <w:r w:rsidRPr="00B17A1D">
        <w:t xml:space="preserve"> prosent i 4. kvartal. Også prisveksten målt ved KPI antas å avta gjennom året, fra 2,</w:t>
      </w:r>
      <w:r>
        <w:t>8</w:t>
      </w:r>
      <w:r w:rsidRPr="00B17A1D">
        <w:t xml:space="preserve"> p</w:t>
      </w:r>
      <w:r>
        <w:t>rosent</w:t>
      </w:r>
      <w:r w:rsidRPr="00B17A1D">
        <w:t xml:space="preserve"> i 1. kvartal til </w:t>
      </w:r>
      <w:r>
        <w:t>2,3</w:t>
      </w:r>
      <w:r w:rsidRPr="00B17A1D">
        <w:t xml:space="preserve"> p</w:t>
      </w:r>
      <w:r>
        <w:t>rosent</w:t>
      </w:r>
      <w:r w:rsidRPr="00B17A1D">
        <w:t xml:space="preserve">. i 4. kvartal. </w:t>
      </w:r>
    </w:p>
    <w:p w14:paraId="40DFA972" w14:textId="77777777" w:rsidR="00FD6507" w:rsidRDefault="00FD6507" w:rsidP="00FD6507">
      <w:r w:rsidRPr="00342AA7">
        <w:t>Et anslag på KPI-veksten på 2,</w:t>
      </w:r>
      <w:r>
        <w:t>5</w:t>
      </w:r>
      <w:r w:rsidRPr="00342AA7">
        <w:t xml:space="preserve"> prosent </w:t>
      </w:r>
      <w:r>
        <w:t>er likt med</w:t>
      </w:r>
      <w:r w:rsidRPr="00342AA7">
        <w:t xml:space="preserve"> Finansdepartementets anslag fra oktober i fjor</w:t>
      </w:r>
      <w:r>
        <w:t>, men noe lavere enn</w:t>
      </w:r>
      <w:r w:rsidRPr="00342AA7">
        <w:t xml:space="preserve"> Norges Banks og Statistisk sentralbyrås anslag fra desember i fjor på 2,8, jf. tabell 3.</w:t>
      </w:r>
      <w:r>
        <w:t>6</w:t>
      </w:r>
      <w:r w:rsidRPr="00342AA7">
        <w:t xml:space="preserve"> i kapittel 3. Forskjellene kan i stor grad føres tilbake til forutsetningene om oljepris, elektrisitetspris og valutakurs.</w:t>
      </w:r>
      <w:r>
        <w:t xml:space="preserve"> </w:t>
      </w:r>
    </w:p>
    <w:p w14:paraId="5F745FF1" w14:textId="77777777" w:rsidR="00FD6507" w:rsidRPr="001316D7" w:rsidRDefault="00FD6507" w:rsidP="00FD6507">
      <w:pPr>
        <w:pStyle w:val="tabell-tittel"/>
      </w:pPr>
      <w:r w:rsidRPr="009F696D">
        <w:t>Modellresultater. Beregnet vekst i KPI og KPI-JAE i 201</w:t>
      </w:r>
      <w:r>
        <w:t>6</w:t>
      </w:r>
      <w:r w:rsidRPr="009F696D">
        <w:t xml:space="preserve"> og virkninger av enkelte endringer i noen sentrale forutsetninger. Vekst i prosent fra samme periode året før og virkninger i prosent av prognosebanen.</w:t>
      </w:r>
    </w:p>
    <w:tbl>
      <w:tblPr>
        <w:tblW w:w="5000" w:type="pct"/>
        <w:tblCellMar>
          <w:top w:w="60" w:type="dxa"/>
          <w:left w:w="60" w:type="dxa"/>
          <w:bottom w:w="60" w:type="dxa"/>
          <w:right w:w="60" w:type="dxa"/>
        </w:tblCellMar>
        <w:tblLook w:val="00A0" w:firstRow="1" w:lastRow="0" w:firstColumn="1" w:lastColumn="0" w:noHBand="0" w:noVBand="0"/>
      </w:tblPr>
      <w:tblGrid>
        <w:gridCol w:w="4747"/>
        <w:gridCol w:w="934"/>
        <w:gridCol w:w="782"/>
        <w:gridCol w:w="780"/>
        <w:gridCol w:w="876"/>
        <w:gridCol w:w="951"/>
      </w:tblGrid>
      <w:tr w:rsidR="00FD6507" w14:paraId="5B8885BE" w14:textId="77777777" w:rsidTr="00846451">
        <w:tc>
          <w:tcPr>
            <w:tcW w:w="2617" w:type="pct"/>
            <w:tcBorders>
              <w:top w:val="single" w:sz="4" w:space="0" w:color="auto"/>
              <w:left w:val="nil"/>
              <w:bottom w:val="single" w:sz="4" w:space="0" w:color="auto"/>
              <w:right w:val="nil"/>
            </w:tcBorders>
            <w:vAlign w:val="bottom"/>
            <w:hideMark/>
          </w:tcPr>
          <w:p w14:paraId="0E917F1D" w14:textId="77777777" w:rsidR="00FD6507" w:rsidRDefault="00FD6507" w:rsidP="00846451">
            <w:pPr>
              <w:spacing w:line="276" w:lineRule="auto"/>
              <w:rPr>
                <w:rFonts w:asciiTheme="minorHAnsi" w:eastAsiaTheme="minorHAnsi" w:hAnsiTheme="minorHAnsi" w:cstheme="minorBidi"/>
                <w:lang w:eastAsia="en-US"/>
              </w:rPr>
            </w:pPr>
            <w:r>
              <w:t> </w:t>
            </w:r>
          </w:p>
        </w:tc>
        <w:tc>
          <w:tcPr>
            <w:tcW w:w="515" w:type="pct"/>
            <w:tcBorders>
              <w:top w:val="single" w:sz="4" w:space="0" w:color="auto"/>
              <w:left w:val="nil"/>
              <w:bottom w:val="single" w:sz="4" w:space="0" w:color="auto"/>
              <w:right w:val="nil"/>
            </w:tcBorders>
            <w:vAlign w:val="bottom"/>
            <w:hideMark/>
          </w:tcPr>
          <w:p w14:paraId="7EC637D9" w14:textId="77777777" w:rsidR="00FD6507" w:rsidRDefault="00FD6507" w:rsidP="00846451">
            <w:pPr>
              <w:spacing w:line="276" w:lineRule="auto"/>
              <w:jc w:val="right"/>
              <w:rPr>
                <w:rFonts w:asciiTheme="minorHAnsi" w:eastAsiaTheme="minorHAnsi" w:hAnsiTheme="minorHAnsi" w:cstheme="minorBidi"/>
                <w:lang w:eastAsia="en-US"/>
              </w:rPr>
            </w:pPr>
            <w:r>
              <w:t>1. kv</w:t>
            </w:r>
          </w:p>
        </w:tc>
        <w:tc>
          <w:tcPr>
            <w:tcW w:w="431" w:type="pct"/>
            <w:tcBorders>
              <w:top w:val="single" w:sz="4" w:space="0" w:color="auto"/>
              <w:left w:val="nil"/>
              <w:bottom w:val="single" w:sz="4" w:space="0" w:color="auto"/>
              <w:right w:val="nil"/>
            </w:tcBorders>
            <w:vAlign w:val="bottom"/>
            <w:hideMark/>
          </w:tcPr>
          <w:p w14:paraId="15598881" w14:textId="77777777" w:rsidR="00FD6507" w:rsidRDefault="00FD6507" w:rsidP="00846451">
            <w:pPr>
              <w:spacing w:line="276" w:lineRule="auto"/>
              <w:jc w:val="right"/>
              <w:rPr>
                <w:rFonts w:asciiTheme="minorHAnsi" w:eastAsiaTheme="minorHAnsi" w:hAnsiTheme="minorHAnsi" w:cstheme="minorBidi"/>
                <w:lang w:eastAsia="en-US"/>
              </w:rPr>
            </w:pPr>
            <w:r>
              <w:t>2. kv</w:t>
            </w:r>
          </w:p>
        </w:tc>
        <w:tc>
          <w:tcPr>
            <w:tcW w:w="430" w:type="pct"/>
            <w:tcBorders>
              <w:top w:val="single" w:sz="4" w:space="0" w:color="auto"/>
              <w:left w:val="nil"/>
              <w:bottom w:val="single" w:sz="4" w:space="0" w:color="auto"/>
              <w:right w:val="nil"/>
            </w:tcBorders>
            <w:vAlign w:val="bottom"/>
            <w:hideMark/>
          </w:tcPr>
          <w:p w14:paraId="26D67C54" w14:textId="77777777" w:rsidR="00FD6507" w:rsidRDefault="00FD6507" w:rsidP="00846451">
            <w:pPr>
              <w:spacing w:line="276" w:lineRule="auto"/>
              <w:jc w:val="right"/>
              <w:rPr>
                <w:rFonts w:asciiTheme="minorHAnsi" w:eastAsiaTheme="minorHAnsi" w:hAnsiTheme="minorHAnsi" w:cstheme="minorBidi"/>
                <w:lang w:eastAsia="en-US"/>
              </w:rPr>
            </w:pPr>
            <w:r>
              <w:t>3. kv</w:t>
            </w:r>
          </w:p>
        </w:tc>
        <w:tc>
          <w:tcPr>
            <w:tcW w:w="483" w:type="pct"/>
            <w:tcBorders>
              <w:top w:val="single" w:sz="4" w:space="0" w:color="auto"/>
              <w:left w:val="nil"/>
              <w:bottom w:val="single" w:sz="4" w:space="0" w:color="auto"/>
              <w:right w:val="nil"/>
            </w:tcBorders>
            <w:vAlign w:val="bottom"/>
            <w:hideMark/>
          </w:tcPr>
          <w:p w14:paraId="0D6C7697" w14:textId="77777777" w:rsidR="00FD6507" w:rsidRDefault="00FD6507" w:rsidP="00846451">
            <w:pPr>
              <w:spacing w:line="276" w:lineRule="auto"/>
              <w:jc w:val="right"/>
              <w:rPr>
                <w:rFonts w:asciiTheme="minorHAnsi" w:eastAsiaTheme="minorHAnsi" w:hAnsiTheme="minorHAnsi" w:cstheme="minorBidi"/>
                <w:lang w:eastAsia="en-US"/>
              </w:rPr>
            </w:pPr>
            <w:r>
              <w:t>4. kv</w:t>
            </w:r>
          </w:p>
        </w:tc>
        <w:tc>
          <w:tcPr>
            <w:tcW w:w="524" w:type="pct"/>
            <w:tcBorders>
              <w:top w:val="single" w:sz="4" w:space="0" w:color="auto"/>
              <w:left w:val="nil"/>
              <w:bottom w:val="single" w:sz="4" w:space="0" w:color="auto"/>
              <w:right w:val="nil"/>
            </w:tcBorders>
            <w:vAlign w:val="bottom"/>
            <w:hideMark/>
          </w:tcPr>
          <w:p w14:paraId="150E2AB1" w14:textId="77777777" w:rsidR="00FD6507" w:rsidRDefault="00FD6507" w:rsidP="00846451">
            <w:pPr>
              <w:spacing w:line="276" w:lineRule="auto"/>
              <w:jc w:val="right"/>
              <w:rPr>
                <w:rFonts w:asciiTheme="minorHAnsi" w:eastAsiaTheme="minorHAnsi" w:hAnsiTheme="minorHAnsi" w:cstheme="minorBidi"/>
                <w:lang w:eastAsia="en-US"/>
              </w:rPr>
            </w:pPr>
            <w:r>
              <w:t xml:space="preserve">Året </w:t>
            </w:r>
          </w:p>
        </w:tc>
      </w:tr>
      <w:tr w:rsidR="00FD6507" w14:paraId="3F45E4B5" w14:textId="77777777" w:rsidTr="00846451">
        <w:tc>
          <w:tcPr>
            <w:tcW w:w="2617" w:type="pct"/>
            <w:tcBorders>
              <w:top w:val="single" w:sz="4" w:space="0" w:color="auto"/>
              <w:left w:val="nil"/>
              <w:bottom w:val="nil"/>
              <w:right w:val="nil"/>
            </w:tcBorders>
            <w:vAlign w:val="bottom"/>
            <w:hideMark/>
          </w:tcPr>
          <w:p w14:paraId="1F7FA1C4" w14:textId="77777777" w:rsidR="00FD6507" w:rsidRDefault="00FD6507" w:rsidP="00846451">
            <w:pPr>
              <w:spacing w:line="276" w:lineRule="auto"/>
              <w:rPr>
                <w:rFonts w:asciiTheme="minorHAnsi" w:eastAsiaTheme="minorHAnsi" w:hAnsiTheme="minorHAnsi" w:cstheme="minorBidi"/>
                <w:lang w:eastAsia="en-US"/>
              </w:rPr>
            </w:pPr>
            <w:r>
              <w:t>KPI</w:t>
            </w:r>
          </w:p>
        </w:tc>
        <w:tc>
          <w:tcPr>
            <w:tcW w:w="515" w:type="pct"/>
            <w:tcBorders>
              <w:top w:val="single" w:sz="4" w:space="0" w:color="auto"/>
              <w:left w:val="nil"/>
              <w:bottom w:val="nil"/>
              <w:right w:val="nil"/>
            </w:tcBorders>
            <w:hideMark/>
          </w:tcPr>
          <w:p w14:paraId="7E6DAA93" w14:textId="77777777" w:rsidR="00FD6507" w:rsidRPr="00AF51F0" w:rsidRDefault="00FD6507" w:rsidP="00846451">
            <w:pPr>
              <w:spacing w:line="276" w:lineRule="auto"/>
              <w:jc w:val="right"/>
              <w:rPr>
                <w:rFonts w:eastAsiaTheme="minorHAnsi"/>
                <w:lang w:eastAsia="en-US"/>
              </w:rPr>
            </w:pPr>
            <w:r>
              <w:rPr>
                <w:rFonts w:eastAsiaTheme="minorHAnsi"/>
                <w:lang w:eastAsia="en-US"/>
              </w:rPr>
              <w:t>2,8</w:t>
            </w:r>
          </w:p>
        </w:tc>
        <w:tc>
          <w:tcPr>
            <w:tcW w:w="431" w:type="pct"/>
            <w:tcBorders>
              <w:top w:val="single" w:sz="4" w:space="0" w:color="auto"/>
              <w:left w:val="nil"/>
              <w:bottom w:val="nil"/>
              <w:right w:val="nil"/>
            </w:tcBorders>
            <w:hideMark/>
          </w:tcPr>
          <w:p w14:paraId="5035C974" w14:textId="77777777" w:rsidR="00FD6507" w:rsidRDefault="00FD6507" w:rsidP="00846451">
            <w:pPr>
              <w:spacing w:line="276" w:lineRule="auto"/>
              <w:jc w:val="right"/>
              <w:rPr>
                <w:rFonts w:asciiTheme="minorHAnsi" w:eastAsiaTheme="minorHAnsi" w:hAnsiTheme="minorHAnsi" w:cstheme="minorBidi"/>
                <w:lang w:eastAsia="en-US"/>
              </w:rPr>
            </w:pPr>
            <w:r>
              <w:t>2,3</w:t>
            </w:r>
          </w:p>
        </w:tc>
        <w:tc>
          <w:tcPr>
            <w:tcW w:w="430" w:type="pct"/>
            <w:tcBorders>
              <w:top w:val="single" w:sz="4" w:space="0" w:color="auto"/>
              <w:left w:val="nil"/>
              <w:bottom w:val="nil"/>
              <w:right w:val="nil"/>
            </w:tcBorders>
            <w:hideMark/>
          </w:tcPr>
          <w:p w14:paraId="3A7E5151" w14:textId="77777777" w:rsidR="00FD6507" w:rsidRDefault="00FD6507" w:rsidP="00846451">
            <w:pPr>
              <w:spacing w:line="276" w:lineRule="auto"/>
              <w:jc w:val="right"/>
              <w:rPr>
                <w:rFonts w:asciiTheme="minorHAnsi" w:eastAsiaTheme="minorHAnsi" w:hAnsiTheme="minorHAnsi" w:cstheme="minorBidi"/>
                <w:lang w:eastAsia="en-US"/>
              </w:rPr>
            </w:pPr>
            <w:r>
              <w:t>2,6</w:t>
            </w:r>
          </w:p>
        </w:tc>
        <w:tc>
          <w:tcPr>
            <w:tcW w:w="483" w:type="pct"/>
            <w:tcBorders>
              <w:top w:val="single" w:sz="4" w:space="0" w:color="auto"/>
              <w:left w:val="nil"/>
              <w:bottom w:val="nil"/>
              <w:right w:val="nil"/>
            </w:tcBorders>
            <w:hideMark/>
          </w:tcPr>
          <w:p w14:paraId="1B0252AA" w14:textId="77777777" w:rsidR="00FD6507" w:rsidRDefault="00FD6507" w:rsidP="00846451">
            <w:pPr>
              <w:spacing w:line="276" w:lineRule="auto"/>
              <w:jc w:val="right"/>
              <w:rPr>
                <w:rFonts w:asciiTheme="minorHAnsi" w:eastAsiaTheme="minorHAnsi" w:hAnsiTheme="minorHAnsi" w:cstheme="minorBidi"/>
                <w:lang w:eastAsia="en-US"/>
              </w:rPr>
            </w:pPr>
            <w:r>
              <w:t>2,3</w:t>
            </w:r>
          </w:p>
        </w:tc>
        <w:tc>
          <w:tcPr>
            <w:tcW w:w="524" w:type="pct"/>
            <w:tcBorders>
              <w:top w:val="single" w:sz="4" w:space="0" w:color="auto"/>
              <w:left w:val="nil"/>
              <w:bottom w:val="nil"/>
              <w:right w:val="nil"/>
            </w:tcBorders>
            <w:hideMark/>
          </w:tcPr>
          <w:p w14:paraId="432A0D1D" w14:textId="77777777" w:rsidR="00FD6507" w:rsidRDefault="00FD6507" w:rsidP="00846451">
            <w:pPr>
              <w:spacing w:line="276" w:lineRule="auto"/>
              <w:jc w:val="right"/>
              <w:rPr>
                <w:rFonts w:asciiTheme="minorHAnsi" w:eastAsiaTheme="minorHAnsi" w:hAnsiTheme="minorHAnsi" w:cstheme="minorBidi"/>
                <w:lang w:eastAsia="en-US"/>
              </w:rPr>
            </w:pPr>
            <w:r>
              <w:t>2,5</w:t>
            </w:r>
          </w:p>
        </w:tc>
      </w:tr>
      <w:tr w:rsidR="00FD6507" w14:paraId="15DBFE21" w14:textId="77777777" w:rsidTr="00846451">
        <w:tc>
          <w:tcPr>
            <w:tcW w:w="2617" w:type="pct"/>
            <w:vAlign w:val="bottom"/>
            <w:hideMark/>
          </w:tcPr>
          <w:p w14:paraId="7763BF0E" w14:textId="77777777" w:rsidR="00FD6507" w:rsidRDefault="00FD6507" w:rsidP="00846451">
            <w:pPr>
              <w:spacing w:line="276" w:lineRule="auto"/>
              <w:rPr>
                <w:rFonts w:asciiTheme="minorHAnsi" w:eastAsiaTheme="minorHAnsi" w:hAnsiTheme="minorHAnsi" w:cstheme="minorBidi"/>
                <w:lang w:eastAsia="en-US"/>
              </w:rPr>
            </w:pPr>
            <w:r>
              <w:t>KPI-JAE</w:t>
            </w:r>
          </w:p>
        </w:tc>
        <w:tc>
          <w:tcPr>
            <w:tcW w:w="515" w:type="pct"/>
            <w:hideMark/>
          </w:tcPr>
          <w:p w14:paraId="48A56AFB" w14:textId="77777777" w:rsidR="00FD6507" w:rsidRDefault="00FD6507" w:rsidP="00846451">
            <w:pPr>
              <w:spacing w:line="276" w:lineRule="auto"/>
              <w:jc w:val="right"/>
              <w:rPr>
                <w:rFonts w:asciiTheme="minorHAnsi" w:eastAsiaTheme="minorHAnsi" w:hAnsiTheme="minorHAnsi" w:cstheme="minorBidi"/>
                <w:lang w:eastAsia="en-US"/>
              </w:rPr>
            </w:pPr>
            <w:r>
              <w:t>3,0</w:t>
            </w:r>
          </w:p>
        </w:tc>
        <w:tc>
          <w:tcPr>
            <w:tcW w:w="431" w:type="pct"/>
            <w:hideMark/>
          </w:tcPr>
          <w:p w14:paraId="0D05F26F" w14:textId="77777777" w:rsidR="00FD6507" w:rsidRDefault="00FD6507" w:rsidP="00846451">
            <w:pPr>
              <w:spacing w:line="276" w:lineRule="auto"/>
              <w:jc w:val="right"/>
              <w:rPr>
                <w:rFonts w:asciiTheme="minorHAnsi" w:eastAsiaTheme="minorHAnsi" w:hAnsiTheme="minorHAnsi" w:cstheme="minorBidi"/>
                <w:lang w:eastAsia="en-US"/>
              </w:rPr>
            </w:pPr>
            <w:r>
              <w:t>2,6</w:t>
            </w:r>
          </w:p>
        </w:tc>
        <w:tc>
          <w:tcPr>
            <w:tcW w:w="430" w:type="pct"/>
            <w:hideMark/>
          </w:tcPr>
          <w:p w14:paraId="3832383C" w14:textId="77777777" w:rsidR="00FD6507" w:rsidRPr="00FB7A3F" w:rsidRDefault="00FD6507" w:rsidP="00846451">
            <w:pPr>
              <w:spacing w:line="276" w:lineRule="auto"/>
              <w:jc w:val="right"/>
              <w:rPr>
                <w:rFonts w:eastAsiaTheme="minorHAnsi"/>
                <w:lang w:eastAsia="en-US"/>
              </w:rPr>
            </w:pPr>
            <w:r>
              <w:rPr>
                <w:rFonts w:eastAsiaTheme="minorHAnsi"/>
                <w:lang w:eastAsia="en-US"/>
              </w:rPr>
              <w:t>2,6</w:t>
            </w:r>
          </w:p>
        </w:tc>
        <w:tc>
          <w:tcPr>
            <w:tcW w:w="483" w:type="pct"/>
            <w:hideMark/>
          </w:tcPr>
          <w:p w14:paraId="79A41A34" w14:textId="77777777" w:rsidR="00FD6507" w:rsidRPr="00FB7A3F" w:rsidRDefault="00FD6507" w:rsidP="00846451">
            <w:pPr>
              <w:spacing w:line="276" w:lineRule="auto"/>
              <w:jc w:val="right"/>
              <w:rPr>
                <w:rFonts w:eastAsiaTheme="minorHAnsi"/>
                <w:lang w:eastAsia="en-US"/>
              </w:rPr>
            </w:pPr>
            <w:r>
              <w:rPr>
                <w:rFonts w:eastAsiaTheme="minorHAnsi"/>
                <w:lang w:eastAsia="en-US"/>
              </w:rPr>
              <w:t>2,4</w:t>
            </w:r>
          </w:p>
        </w:tc>
        <w:tc>
          <w:tcPr>
            <w:tcW w:w="524" w:type="pct"/>
            <w:hideMark/>
          </w:tcPr>
          <w:p w14:paraId="278E36E0" w14:textId="77777777" w:rsidR="00FD6507" w:rsidRDefault="00FD6507" w:rsidP="00846451">
            <w:pPr>
              <w:spacing w:line="276" w:lineRule="auto"/>
              <w:jc w:val="right"/>
              <w:rPr>
                <w:rFonts w:asciiTheme="minorHAnsi" w:eastAsiaTheme="minorHAnsi" w:hAnsiTheme="minorHAnsi" w:cstheme="minorBidi"/>
                <w:lang w:eastAsia="en-US"/>
              </w:rPr>
            </w:pPr>
            <w:r>
              <w:t>2,7</w:t>
            </w:r>
          </w:p>
        </w:tc>
      </w:tr>
      <w:tr w:rsidR="00FD6507" w14:paraId="7F8B592F" w14:textId="77777777" w:rsidTr="00846451">
        <w:trPr>
          <w:trHeight w:val="227"/>
        </w:trPr>
        <w:tc>
          <w:tcPr>
            <w:tcW w:w="2617" w:type="pct"/>
            <w:vAlign w:val="bottom"/>
            <w:hideMark/>
          </w:tcPr>
          <w:p w14:paraId="33B0E7CB" w14:textId="77777777" w:rsidR="00FD6507" w:rsidRDefault="00FD6507" w:rsidP="00846451">
            <w:pPr>
              <w:spacing w:line="276" w:lineRule="auto"/>
              <w:rPr>
                <w:rFonts w:asciiTheme="minorHAnsi" w:eastAsiaTheme="minorHAnsi" w:hAnsiTheme="minorHAnsi" w:cstheme="minorBidi"/>
                <w:i/>
                <w:iCs/>
                <w:lang w:eastAsia="en-US"/>
              </w:rPr>
            </w:pPr>
            <w:r>
              <w:rPr>
                <w:i/>
                <w:iCs/>
              </w:rPr>
              <w:t>Virkninger på KPI av:</w:t>
            </w:r>
          </w:p>
        </w:tc>
        <w:tc>
          <w:tcPr>
            <w:tcW w:w="515" w:type="pct"/>
            <w:vAlign w:val="bottom"/>
            <w:hideMark/>
          </w:tcPr>
          <w:p w14:paraId="24B92C3E" w14:textId="77777777" w:rsidR="00FD6507" w:rsidRDefault="00FD6507" w:rsidP="00846451">
            <w:pPr>
              <w:spacing w:line="276" w:lineRule="auto"/>
              <w:jc w:val="right"/>
              <w:rPr>
                <w:rFonts w:asciiTheme="minorHAnsi" w:eastAsiaTheme="minorHAnsi" w:hAnsiTheme="minorHAnsi" w:cstheme="minorBidi"/>
                <w:lang w:eastAsia="en-US"/>
              </w:rPr>
            </w:pPr>
            <w:r>
              <w:t> </w:t>
            </w:r>
          </w:p>
        </w:tc>
        <w:tc>
          <w:tcPr>
            <w:tcW w:w="431" w:type="pct"/>
            <w:vAlign w:val="bottom"/>
            <w:hideMark/>
          </w:tcPr>
          <w:p w14:paraId="6EE303AA" w14:textId="77777777" w:rsidR="00FD6507" w:rsidRDefault="00FD6507" w:rsidP="00846451">
            <w:pPr>
              <w:spacing w:line="276" w:lineRule="auto"/>
              <w:jc w:val="right"/>
              <w:rPr>
                <w:rFonts w:asciiTheme="minorHAnsi" w:eastAsiaTheme="minorHAnsi" w:hAnsiTheme="minorHAnsi" w:cstheme="minorBidi"/>
                <w:lang w:eastAsia="en-US"/>
              </w:rPr>
            </w:pPr>
            <w:r>
              <w:t> </w:t>
            </w:r>
          </w:p>
        </w:tc>
        <w:tc>
          <w:tcPr>
            <w:tcW w:w="430" w:type="pct"/>
            <w:vAlign w:val="bottom"/>
            <w:hideMark/>
          </w:tcPr>
          <w:p w14:paraId="161072FE" w14:textId="77777777" w:rsidR="00FD6507" w:rsidRDefault="00FD6507" w:rsidP="00846451">
            <w:pPr>
              <w:spacing w:line="276" w:lineRule="auto"/>
              <w:jc w:val="right"/>
              <w:rPr>
                <w:rFonts w:asciiTheme="minorHAnsi" w:eastAsiaTheme="minorHAnsi" w:hAnsiTheme="minorHAnsi" w:cstheme="minorBidi"/>
                <w:lang w:eastAsia="en-US"/>
              </w:rPr>
            </w:pPr>
            <w:r>
              <w:t> </w:t>
            </w:r>
          </w:p>
        </w:tc>
        <w:tc>
          <w:tcPr>
            <w:tcW w:w="483" w:type="pct"/>
            <w:vAlign w:val="bottom"/>
            <w:hideMark/>
          </w:tcPr>
          <w:p w14:paraId="101832D9" w14:textId="77777777" w:rsidR="00FD6507" w:rsidRDefault="00FD6507" w:rsidP="00846451">
            <w:pPr>
              <w:spacing w:line="276" w:lineRule="auto"/>
              <w:jc w:val="right"/>
              <w:rPr>
                <w:rFonts w:asciiTheme="minorHAnsi" w:eastAsiaTheme="minorHAnsi" w:hAnsiTheme="minorHAnsi" w:cstheme="minorBidi"/>
                <w:lang w:eastAsia="en-US"/>
              </w:rPr>
            </w:pPr>
            <w:r>
              <w:t> </w:t>
            </w:r>
          </w:p>
        </w:tc>
        <w:tc>
          <w:tcPr>
            <w:tcW w:w="524" w:type="pct"/>
            <w:vAlign w:val="bottom"/>
            <w:hideMark/>
          </w:tcPr>
          <w:p w14:paraId="0B6367A2" w14:textId="77777777" w:rsidR="00FD6507" w:rsidRDefault="00FD6507" w:rsidP="00846451">
            <w:pPr>
              <w:spacing w:line="276" w:lineRule="auto"/>
              <w:jc w:val="right"/>
              <w:rPr>
                <w:rFonts w:asciiTheme="minorHAnsi" w:eastAsiaTheme="minorHAnsi" w:hAnsiTheme="minorHAnsi" w:cstheme="minorBidi"/>
                <w:lang w:eastAsia="en-US"/>
              </w:rPr>
            </w:pPr>
            <w:r>
              <w:t> </w:t>
            </w:r>
          </w:p>
        </w:tc>
      </w:tr>
      <w:tr w:rsidR="00FD6507" w14:paraId="72B8FBC0" w14:textId="77777777" w:rsidTr="00846451">
        <w:trPr>
          <w:trHeight w:val="284"/>
        </w:trPr>
        <w:tc>
          <w:tcPr>
            <w:tcW w:w="2617" w:type="pct"/>
            <w:vAlign w:val="bottom"/>
            <w:hideMark/>
          </w:tcPr>
          <w:p w14:paraId="1FE96E24" w14:textId="77777777" w:rsidR="00FD6507" w:rsidRPr="00DE56F7" w:rsidRDefault="00FD6507" w:rsidP="00846451">
            <w:pPr>
              <w:spacing w:line="276" w:lineRule="auto"/>
              <w:rPr>
                <w:rFonts w:asciiTheme="minorHAnsi" w:eastAsiaTheme="minorHAnsi" w:hAnsiTheme="minorHAnsi" w:cstheme="minorBidi"/>
                <w:lang w:eastAsia="en-US"/>
              </w:rPr>
            </w:pPr>
            <w:r w:rsidRPr="00DE56F7">
              <w:t>10 prosentpoeng høyere/lavere elektrisitetsprisvekst</w:t>
            </w:r>
          </w:p>
        </w:tc>
        <w:tc>
          <w:tcPr>
            <w:tcW w:w="515" w:type="pct"/>
            <w:vAlign w:val="bottom"/>
          </w:tcPr>
          <w:p w14:paraId="59331D8A"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3</w:t>
            </w:r>
          </w:p>
        </w:tc>
        <w:tc>
          <w:tcPr>
            <w:tcW w:w="431" w:type="pct"/>
            <w:vAlign w:val="bottom"/>
          </w:tcPr>
          <w:p w14:paraId="19011565"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+/-0,4</w:t>
            </w:r>
          </w:p>
        </w:tc>
        <w:tc>
          <w:tcPr>
            <w:tcW w:w="430" w:type="pct"/>
            <w:vAlign w:val="bottom"/>
          </w:tcPr>
          <w:p w14:paraId="599E8A7F"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4</w:t>
            </w:r>
          </w:p>
        </w:tc>
        <w:tc>
          <w:tcPr>
            <w:tcW w:w="483" w:type="pct"/>
            <w:vAlign w:val="bottom"/>
          </w:tcPr>
          <w:p w14:paraId="32341CEE"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4</w:t>
            </w:r>
          </w:p>
        </w:tc>
        <w:tc>
          <w:tcPr>
            <w:tcW w:w="524" w:type="pct"/>
            <w:vAlign w:val="bottom"/>
          </w:tcPr>
          <w:p w14:paraId="1446946E" w14:textId="77777777" w:rsidR="00FD6507" w:rsidRPr="00DE56F7" w:rsidRDefault="00FD6507" w:rsidP="00846451">
            <w:pPr>
              <w:spacing w:line="276" w:lineRule="auto"/>
              <w:jc w:val="right"/>
              <w:rPr>
                <w:rFonts w:asciiTheme="minorHAnsi" w:eastAsiaTheme="minorHAnsi" w:hAnsiTheme="minorHAnsi" w:cstheme="minorBidi"/>
                <w:lang w:eastAsia="en-US"/>
              </w:rPr>
            </w:pPr>
            <w:r>
              <w:t>+/-0,4</w:t>
            </w:r>
          </w:p>
        </w:tc>
      </w:tr>
      <w:tr w:rsidR="00FD6507" w14:paraId="526DF2F7" w14:textId="77777777" w:rsidTr="00846451">
        <w:trPr>
          <w:trHeight w:val="326"/>
        </w:trPr>
        <w:tc>
          <w:tcPr>
            <w:tcW w:w="2617" w:type="pct"/>
            <w:vAlign w:val="bottom"/>
            <w:hideMark/>
          </w:tcPr>
          <w:p w14:paraId="3D9EF301" w14:textId="77777777" w:rsidR="00FD6507" w:rsidRPr="00DE56F7" w:rsidRDefault="00FD6507" w:rsidP="00846451">
            <w:pPr>
              <w:spacing w:line="276" w:lineRule="auto"/>
              <w:rPr>
                <w:rFonts w:asciiTheme="minorHAnsi" w:eastAsiaTheme="minorHAnsi" w:hAnsiTheme="minorHAnsi" w:cstheme="minorBidi"/>
                <w:lang w:eastAsia="en-US"/>
              </w:rPr>
            </w:pPr>
            <w:r w:rsidRPr="00DE56F7">
              <w:t xml:space="preserve">4 prosent svakere/sterkere krone </w:t>
            </w:r>
          </w:p>
        </w:tc>
        <w:tc>
          <w:tcPr>
            <w:tcW w:w="515" w:type="pct"/>
            <w:vAlign w:val="bottom"/>
          </w:tcPr>
          <w:p w14:paraId="15DD49C1"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+/-0,4</w:t>
            </w:r>
          </w:p>
        </w:tc>
        <w:tc>
          <w:tcPr>
            <w:tcW w:w="431" w:type="pct"/>
            <w:vAlign w:val="bottom"/>
          </w:tcPr>
          <w:p w14:paraId="6563232A"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+/-0,6</w:t>
            </w:r>
          </w:p>
        </w:tc>
        <w:tc>
          <w:tcPr>
            <w:tcW w:w="430" w:type="pct"/>
            <w:vAlign w:val="bottom"/>
          </w:tcPr>
          <w:p w14:paraId="2748E8FD"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5</w:t>
            </w:r>
          </w:p>
        </w:tc>
        <w:tc>
          <w:tcPr>
            <w:tcW w:w="483" w:type="pct"/>
            <w:vAlign w:val="bottom"/>
          </w:tcPr>
          <w:p w14:paraId="331EE683"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6</w:t>
            </w:r>
          </w:p>
        </w:tc>
        <w:tc>
          <w:tcPr>
            <w:tcW w:w="524" w:type="pct"/>
            <w:vAlign w:val="bottom"/>
          </w:tcPr>
          <w:p w14:paraId="437DF6B2"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w:t>
            </w:r>
            <w:r>
              <w:t>5</w:t>
            </w:r>
          </w:p>
        </w:tc>
      </w:tr>
      <w:tr w:rsidR="00FD6507" w14:paraId="06C91927" w14:textId="77777777" w:rsidTr="00846451">
        <w:tc>
          <w:tcPr>
            <w:tcW w:w="2617" w:type="pct"/>
            <w:tcBorders>
              <w:top w:val="nil"/>
              <w:left w:val="nil"/>
              <w:bottom w:val="single" w:sz="4" w:space="0" w:color="auto"/>
              <w:right w:val="nil"/>
            </w:tcBorders>
            <w:vAlign w:val="bottom"/>
            <w:hideMark/>
          </w:tcPr>
          <w:p w14:paraId="5F0EC193" w14:textId="77777777" w:rsidR="00FD6507" w:rsidRPr="00DE56F7" w:rsidRDefault="00FD6507" w:rsidP="00846451">
            <w:pPr>
              <w:spacing w:line="276" w:lineRule="auto"/>
              <w:rPr>
                <w:rFonts w:asciiTheme="minorHAnsi" w:eastAsiaTheme="minorHAnsi" w:hAnsiTheme="minorHAnsi" w:cstheme="minorBidi"/>
                <w:lang w:eastAsia="en-US"/>
              </w:rPr>
            </w:pPr>
            <w:r w:rsidRPr="00DE56F7">
              <w:t xml:space="preserve">100 kroner høyere/lavere oljepris </w:t>
            </w:r>
          </w:p>
        </w:tc>
        <w:tc>
          <w:tcPr>
            <w:tcW w:w="515" w:type="pct"/>
            <w:tcBorders>
              <w:top w:val="nil"/>
              <w:left w:val="nil"/>
              <w:bottom w:val="single" w:sz="4" w:space="0" w:color="auto"/>
              <w:right w:val="nil"/>
            </w:tcBorders>
            <w:vAlign w:val="bottom"/>
          </w:tcPr>
          <w:p w14:paraId="5425080E"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+/-0,2</w:t>
            </w:r>
          </w:p>
        </w:tc>
        <w:tc>
          <w:tcPr>
            <w:tcW w:w="431" w:type="pct"/>
            <w:tcBorders>
              <w:top w:val="nil"/>
              <w:left w:val="nil"/>
              <w:bottom w:val="single" w:sz="4" w:space="0" w:color="auto"/>
              <w:right w:val="nil"/>
            </w:tcBorders>
            <w:vAlign w:val="bottom"/>
          </w:tcPr>
          <w:p w14:paraId="2BB2F141"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+/-0,2</w:t>
            </w:r>
          </w:p>
        </w:tc>
        <w:tc>
          <w:tcPr>
            <w:tcW w:w="430" w:type="pct"/>
            <w:tcBorders>
              <w:top w:val="nil"/>
              <w:left w:val="nil"/>
              <w:bottom w:val="single" w:sz="4" w:space="0" w:color="auto"/>
              <w:right w:val="nil"/>
            </w:tcBorders>
            <w:vAlign w:val="bottom"/>
          </w:tcPr>
          <w:p w14:paraId="0ADE213C"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+/-0,3</w:t>
            </w:r>
          </w:p>
        </w:tc>
        <w:tc>
          <w:tcPr>
            <w:tcW w:w="483" w:type="pct"/>
            <w:tcBorders>
              <w:top w:val="nil"/>
              <w:left w:val="nil"/>
              <w:bottom w:val="single" w:sz="4" w:space="0" w:color="auto"/>
              <w:right w:val="nil"/>
            </w:tcBorders>
            <w:vAlign w:val="bottom"/>
          </w:tcPr>
          <w:p w14:paraId="06ADAD61"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+/-0,3</w:t>
            </w:r>
          </w:p>
        </w:tc>
        <w:tc>
          <w:tcPr>
            <w:tcW w:w="524" w:type="pct"/>
            <w:tcBorders>
              <w:top w:val="nil"/>
              <w:left w:val="nil"/>
              <w:bottom w:val="single" w:sz="4" w:space="0" w:color="auto"/>
              <w:right w:val="nil"/>
            </w:tcBorders>
            <w:vAlign w:val="bottom"/>
          </w:tcPr>
          <w:p w14:paraId="4FE106A7" w14:textId="77777777" w:rsidR="00FD6507" w:rsidRPr="00DE56F7" w:rsidRDefault="00FD6507" w:rsidP="00846451">
            <w:pPr>
              <w:spacing w:line="276" w:lineRule="auto"/>
              <w:jc w:val="right"/>
              <w:rPr>
                <w:rFonts w:asciiTheme="minorHAnsi" w:eastAsiaTheme="minorHAnsi" w:hAnsiTheme="minorHAnsi" w:cstheme="minorBidi"/>
                <w:lang w:eastAsia="en-US"/>
              </w:rPr>
            </w:pPr>
            <w:r w:rsidRPr="00DE56F7">
              <w:t>+/-0,2</w:t>
            </w:r>
          </w:p>
        </w:tc>
      </w:tr>
    </w:tbl>
    <w:p w14:paraId="6BD69088" w14:textId="77777777" w:rsidR="00FD6507" w:rsidRDefault="00FD6507" w:rsidP="00FD6507">
      <w:pPr>
        <w:rPr>
          <w:rFonts w:asciiTheme="minorHAnsi" w:eastAsiaTheme="minorHAnsi" w:hAnsiTheme="minorHAnsi" w:cstheme="minorBidi"/>
          <w:noProof/>
          <w:sz w:val="22"/>
          <w:szCs w:val="22"/>
          <w:lang w:eastAsia="en-US"/>
        </w:rPr>
      </w:pPr>
    </w:p>
    <w:p w14:paraId="2173A76C" w14:textId="77777777" w:rsidR="00FD6507" w:rsidRDefault="00FD6507" w:rsidP="00FD6507">
      <w:r w:rsidRPr="00FB7A3F">
        <w:t xml:space="preserve"> </w:t>
      </w:r>
      <w:r>
        <w:rPr>
          <w:noProof/>
        </w:rPr>
        <w:drawing>
          <wp:inline distT="0" distB="0" distL="0" distR="0" wp14:anchorId="60B958AD" wp14:editId="64DD3397">
            <wp:extent cx="2671638" cy="2018966"/>
            <wp:effectExtent l="0" t="0" r="0" b="635"/>
            <wp:docPr id="92" name="Bilde 92" descr="C:\Users\aka\AppData\Local\Microsoft\Windows\Temporary Internet Files\Content.Outlook\PT0CSEUM\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AppData\Local\Microsoft\Windows\Temporary Internet Files\Content.Outlook\PT0CSEUM\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521" cy="2042304"/>
                    </a:xfrm>
                    <a:prstGeom prst="rect">
                      <a:avLst/>
                    </a:prstGeom>
                    <a:noFill/>
                    <a:ln>
                      <a:noFill/>
                    </a:ln>
                  </pic:spPr>
                </pic:pic>
              </a:graphicData>
            </a:graphic>
          </wp:inline>
        </w:drawing>
      </w:r>
    </w:p>
    <w:p w14:paraId="6CEA9101" w14:textId="77777777" w:rsidR="00FD6507" w:rsidRDefault="00FD6507" w:rsidP="00FD6507">
      <w:pPr>
        <w:pStyle w:val="Figur"/>
        <w:spacing w:before="120" w:after="120"/>
        <w:jc w:val="left"/>
        <w:rPr>
          <w:rFonts w:ascii="Arial" w:hAnsi="Arial" w:cs="Arial"/>
          <w:b w:val="0"/>
          <w:color w:val="auto"/>
          <w:vertAlign w:val="superscript"/>
        </w:rPr>
      </w:pPr>
      <w:r>
        <w:rPr>
          <w:rFonts w:ascii="Arial" w:hAnsi="Arial" w:cs="Arial"/>
          <w:b w:val="0"/>
          <w:color w:val="auto"/>
        </w:rPr>
        <w:t>Figur 2.5 KPI og KPI-JAE. Prosentvis vekst fra samme kvartal året før</w:t>
      </w:r>
      <w:r>
        <w:rPr>
          <w:rFonts w:ascii="Arial" w:hAnsi="Arial" w:cs="Arial"/>
          <w:b w:val="0"/>
          <w:color w:val="auto"/>
          <w:vertAlign w:val="superscript"/>
        </w:rPr>
        <w:t>1</w:t>
      </w:r>
    </w:p>
    <w:p w14:paraId="7DC9CB18" w14:textId="77777777" w:rsidR="00FD6507" w:rsidRDefault="00FD6507" w:rsidP="00FD6507">
      <w:pPr>
        <w:rPr>
          <w:rFonts w:asciiTheme="minorHAnsi" w:hAnsiTheme="minorHAnsi" w:cstheme="minorBidi"/>
          <w:sz w:val="20"/>
        </w:rPr>
      </w:pPr>
      <w:r>
        <w:rPr>
          <w:sz w:val="20"/>
          <w:vertAlign w:val="superscript"/>
        </w:rPr>
        <w:t xml:space="preserve">1 </w:t>
      </w:r>
      <w:r>
        <w:rPr>
          <w:sz w:val="20"/>
        </w:rPr>
        <w:t>Den heltrukne linjen illustrerer faktisk utvikling, mens stiplet linje er prognose.</w:t>
      </w:r>
    </w:p>
    <w:p w14:paraId="4181621D" w14:textId="77777777" w:rsidR="00FD6507" w:rsidRDefault="00FD6507" w:rsidP="00FD6507">
      <w:pPr>
        <w:pStyle w:val="Kilde"/>
      </w:pPr>
      <w:r>
        <w:t>Kilder: Statistisk sentralbyrå og Beregningsutvalget</w:t>
      </w:r>
    </w:p>
    <w:p w14:paraId="1B9DB8E5" w14:textId="77777777" w:rsidR="00FD6507" w:rsidRDefault="00FD6507" w:rsidP="00FD6507">
      <w:pPr>
        <w:pStyle w:val="Overskrift3"/>
      </w:pPr>
      <w:bookmarkStart w:id="173" w:name="_Toc443998974"/>
      <w:r>
        <w:t>Utvalgets anslag på konsumprisveksten i 2016</w:t>
      </w:r>
      <w:bookmarkEnd w:id="173"/>
    </w:p>
    <w:p w14:paraId="36F7A4A8" w14:textId="0CCAF22D" w:rsidR="007113FE" w:rsidRDefault="00FD6507" w:rsidP="00FD6507">
      <w:r>
        <w:t xml:space="preserve">Basert på forutsetningene omtalt ovenfor, gir beregningen på Kvarts-modellen en vekst i KPI </w:t>
      </w:r>
      <w:r w:rsidRPr="00CA4D01">
        <w:t>på 2,</w:t>
      </w:r>
      <w:r>
        <w:t>5</w:t>
      </w:r>
      <w:r w:rsidRPr="00CA4D01">
        <w:t xml:space="preserve"> prosent</w:t>
      </w:r>
      <w:r>
        <w:t xml:space="preserve"> fra 2015 til 2016. Slike modellbaserte beregninger vil alltid være usikre. Usikkerheten i prisvekstanslaget for 2016 er spesielt knyttet til utviklingen i kronekursen og energiprisene fremover. Tabell 2.5 gjengir modellberegninger som viser hvordan endrede forutsetninger for disse størrelsene påvirker den samlede prisveksten i forhold til referansebanen. Med bakgrunn i de beregningene som er foretatt og ovennevnte vurderinger, anslår Beregningsutvalget en gjennomsnittlig vekst i KPI på </w:t>
      </w:r>
      <w:r w:rsidRPr="002104CC">
        <w:rPr>
          <w:i/>
        </w:rPr>
        <w:t>om lag 2½ prosent</w:t>
      </w:r>
      <w:r>
        <w:t xml:space="preserve"> fra 2015 til 2016.</w:t>
      </w:r>
    </w:p>
    <w:p w14:paraId="1BEE705B" w14:textId="77777777" w:rsidR="00282CD8" w:rsidRDefault="00282CD8" w:rsidP="00FD6507">
      <w:pPr>
        <w:rPr>
          <w:rFonts w:ascii="Times New Roman" w:hAnsi="Times New Roman"/>
        </w:rPr>
      </w:pPr>
    </w:p>
    <w:p w14:paraId="04A93674" w14:textId="5ECB32B5" w:rsidR="000A6853" w:rsidRPr="00C61E88" w:rsidRDefault="00147B70" w:rsidP="000A6853">
      <w:pPr>
        <w:rPr>
          <w:rFonts w:ascii="Times New Roman" w:hAnsi="Times New Roman"/>
        </w:rPr>
      </w:pPr>
      <w:r>
        <w:rPr>
          <w:noProof/>
          <w:sz w:val="20"/>
        </w:rPr>
        <mc:AlternateContent>
          <mc:Choice Requires="wps">
            <w:drawing>
              <wp:anchor distT="0" distB="0" distL="114300" distR="114300" simplePos="0" relativeHeight="251660288" behindDoc="0" locked="0" layoutInCell="1" allowOverlap="0" wp14:anchorId="577EF555" wp14:editId="2B482DB4">
                <wp:simplePos x="0" y="0"/>
                <wp:positionH relativeFrom="margin">
                  <wp:posOffset>-2540</wp:posOffset>
                </wp:positionH>
                <wp:positionV relativeFrom="paragraph">
                  <wp:posOffset>0</wp:posOffset>
                </wp:positionV>
                <wp:extent cx="5741670" cy="8682355"/>
                <wp:effectExtent l="0" t="0" r="11430" b="23495"/>
                <wp:wrapTopAndBottom/>
                <wp:docPr id="24"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8682355"/>
                        </a:xfrm>
                        <a:prstGeom prst="rect">
                          <a:avLst/>
                        </a:prstGeom>
                        <a:solidFill>
                          <a:srgbClr val="FFFFFF"/>
                        </a:solidFill>
                        <a:ln w="9525">
                          <a:solidFill>
                            <a:srgbClr val="000000"/>
                          </a:solidFill>
                          <a:miter lim="800000"/>
                          <a:headEnd/>
                          <a:tailEnd/>
                        </a:ln>
                      </wps:spPr>
                      <wps:txbx>
                        <w:txbxContent>
                          <w:p w14:paraId="71113410" w14:textId="41366272" w:rsidR="003D053D" w:rsidRPr="00147B70" w:rsidRDefault="003D053D" w:rsidP="00147B70">
                            <w:pPr>
                              <w:pStyle w:val="tittel-ramme"/>
                              <w:numPr>
                                <w:ilvl w:val="0"/>
                                <w:numId w:val="0"/>
                              </w:numPr>
                              <w:spacing w:before="120"/>
                              <w:rPr>
                                <w:rFonts w:cs="Arial"/>
                              </w:rPr>
                            </w:pPr>
                            <w:r w:rsidRPr="00147B70">
                              <w:rPr>
                                <w:rFonts w:cs="Arial"/>
                              </w:rPr>
                              <w:t xml:space="preserve">Boks 2.1 </w:t>
                            </w:r>
                            <w:r w:rsidRPr="00147B70">
                              <w:rPr>
                                <w:rFonts w:cs="Arial"/>
                                <w:szCs w:val="24"/>
                              </w:rPr>
                              <w:t>Kronesvekkelse og inflasjon</w:t>
                            </w:r>
                          </w:p>
                          <w:p w14:paraId="39C0375F" w14:textId="77777777" w:rsidR="003D053D" w:rsidRPr="00AE53DE" w:rsidRDefault="003D053D" w:rsidP="00147B70">
                            <w:pPr>
                              <w:rPr>
                                <w:rFonts w:ascii="Times New Roman" w:hAnsi="Times New Roman"/>
                                <w:szCs w:val="24"/>
                              </w:rPr>
                            </w:pPr>
                            <w:r w:rsidRPr="00AE53DE">
                              <w:rPr>
                                <w:rFonts w:ascii="Times New Roman" w:hAnsi="Times New Roman"/>
                                <w:szCs w:val="24"/>
                              </w:rPr>
                              <w:t>Fra januar 2013 til januar 2016 har krona importveid svekket seg med vel 28 prosent. Inflasjonen målt med KPI-JAE har i samme tidsrom gradvis økt fra 1,2 prosent til 3,0 prosent. Ettersom vekten på importerte konsumvarer i KPI er om lag 30 prosent, kan en lure på hvorfor inflasjonen ikke har økt mer. Utvalget vil peke på tre områder med momenter som kan bidra til å forklare dette; selve KPI-statistikken, tregheter i aktørenes tilpasning og utviklingen i andre forhold av betydning for inflasjonen.</w:t>
                            </w:r>
                          </w:p>
                          <w:p w14:paraId="1E1901D8" w14:textId="77777777" w:rsidR="003D053D" w:rsidRPr="00147B70" w:rsidRDefault="003D053D" w:rsidP="00147B70">
                            <w:pPr>
                              <w:pStyle w:val="Def"/>
                              <w:spacing w:after="0"/>
                              <w:rPr>
                                <w:i/>
                              </w:rPr>
                            </w:pPr>
                            <w:r w:rsidRPr="00147B70">
                              <w:rPr>
                                <w:i/>
                              </w:rPr>
                              <w:t>KPI</w:t>
                            </w:r>
                          </w:p>
                          <w:p w14:paraId="40687623" w14:textId="3E815856" w:rsidR="003D053D" w:rsidRPr="00AE53DE" w:rsidRDefault="003D053D" w:rsidP="00147B70">
                            <w:pPr>
                              <w:rPr>
                                <w:rFonts w:ascii="Times New Roman" w:hAnsi="Times New Roman"/>
                                <w:szCs w:val="24"/>
                              </w:rPr>
                            </w:pPr>
                            <w:r w:rsidRPr="00AE53DE">
                              <w:rPr>
                                <w:rFonts w:ascii="Times New Roman" w:hAnsi="Times New Roman"/>
                                <w:szCs w:val="24"/>
                              </w:rPr>
                              <w:t>Det er store innenlandske kostnadskomponenter knyttet til distribusjon av importerte varer. For noen varegrupper utgjør særavgifter en stor andel av kjøperprisen. En økning i importprisen på personbiler på 10 prosent vil således isolert sett bare slå ut med 1/3 av dette for biler med normalt drivstoff. Videre vil importert produktinnsats i norsk produksjon gjøre at prisene trekkes opp av kostnadsøkninger i norsk produksjon. Dette medfører i sin tur imidlertid at bruken av importert produktinnsats reduseres, noe som igjen demper den inflasjonsdrivende effekten.</w:t>
                            </w:r>
                          </w:p>
                          <w:p w14:paraId="0288FF2D" w14:textId="77777777" w:rsidR="003D053D" w:rsidRPr="00AE53DE" w:rsidRDefault="003D053D" w:rsidP="00147B70">
                            <w:pPr>
                              <w:rPr>
                                <w:rFonts w:ascii="Times New Roman" w:hAnsi="Times New Roman"/>
                                <w:szCs w:val="24"/>
                              </w:rPr>
                            </w:pPr>
                            <w:r w:rsidRPr="00AE53DE">
                              <w:rPr>
                                <w:rFonts w:ascii="Times New Roman" w:hAnsi="Times New Roman"/>
                                <w:szCs w:val="24"/>
                              </w:rPr>
                              <w:t xml:space="preserve">Prisutviklingen for varer og tjenester nordmenn selv kjøper i utlandet inngår ikke i KPI (men i nasjonalregnskapets prisindeks for konsum). Prisutviklingen for slikt konsum påvirkes nærmest umiddelbart av skiftninger av kronens verdi og fraværet av dette demper følsomheten i KPI overfor valutakursendringer. </w:t>
                            </w:r>
                          </w:p>
                          <w:p w14:paraId="5CB20862" w14:textId="77777777" w:rsidR="003D053D" w:rsidRPr="00147B70" w:rsidRDefault="003D053D" w:rsidP="00147B70">
                            <w:pPr>
                              <w:pStyle w:val="Def"/>
                              <w:spacing w:after="0"/>
                              <w:rPr>
                                <w:i/>
                              </w:rPr>
                            </w:pPr>
                            <w:r w:rsidRPr="00147B70">
                              <w:rPr>
                                <w:i/>
                              </w:rPr>
                              <w:t>Tregheter i aktørenes tilpasning</w:t>
                            </w:r>
                          </w:p>
                          <w:p w14:paraId="34F889CC" w14:textId="3ECB39CF" w:rsidR="003D053D" w:rsidRPr="00AE53DE" w:rsidRDefault="00610F5D" w:rsidP="00147B70">
                            <w:pPr>
                              <w:rPr>
                                <w:rFonts w:ascii="Times New Roman" w:hAnsi="Times New Roman"/>
                                <w:szCs w:val="24"/>
                              </w:rPr>
                            </w:pPr>
                            <w:r>
                              <w:rPr>
                                <w:rFonts w:ascii="Times New Roman" w:hAnsi="Times New Roman"/>
                                <w:szCs w:val="24"/>
                              </w:rPr>
                              <w:t>Beregninger med Kvarts</w:t>
                            </w:r>
                            <w:r w:rsidR="003D053D" w:rsidRPr="00AE53DE">
                              <w:rPr>
                                <w:rFonts w:ascii="Times New Roman" w:hAnsi="Times New Roman"/>
                                <w:szCs w:val="24"/>
                              </w:rPr>
                              <w:t xml:space="preserve"> viser at det er en betydelig forsinkelse før virkningene av en endring i valutakursen er fullført, og det tar mer enn ti år. I følge Boug m.fl. (2013) vil en 10 prosents svekkelse av kronekursen etter 4 år føre til en økning i KPI på 3,8 prosent og 5,8 prosent etter ti år. Det betyr en gjennomsnittlig årlig økning i KPI-veksten i tiårsperioden på 0,6 prosentpoeng. </w:t>
                            </w:r>
                          </w:p>
                          <w:p w14:paraId="3DCB1AB2" w14:textId="77777777" w:rsidR="003D053D" w:rsidRDefault="003D053D" w:rsidP="00147B70">
                            <w:r>
                              <w:rPr>
                                <w:noProof/>
                              </w:rPr>
                              <w:drawing>
                                <wp:inline distT="0" distB="0" distL="0" distR="0" wp14:anchorId="12A2DFBB" wp14:editId="0D6DD417">
                                  <wp:extent cx="2667000" cy="2659380"/>
                                  <wp:effectExtent l="0" t="0" r="0" b="7620"/>
                                  <wp:docPr id="25" name="Bilde 25" descr="C:\Users\asd1745\AppData\Local\Microsoft\Windows\Temporary Internet Files\Content.Word\boxfig-k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1745\AppData\Local\Microsoft\Windows\Temporary Internet Files\Content.Word\boxfig-kap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659380"/>
                                          </a:xfrm>
                                          <a:prstGeom prst="rect">
                                            <a:avLst/>
                                          </a:prstGeom>
                                          <a:noFill/>
                                          <a:ln>
                                            <a:noFill/>
                                          </a:ln>
                                        </pic:spPr>
                                      </pic:pic>
                                    </a:graphicData>
                                  </a:graphic>
                                </wp:inline>
                              </w:drawing>
                            </w:r>
                          </w:p>
                          <w:p w14:paraId="33CBF25C" w14:textId="77777777" w:rsidR="003D053D" w:rsidRDefault="003D053D" w:rsidP="00147B70">
                            <w:pPr>
                              <w:rPr>
                                <w:rFonts w:ascii="Arial" w:hAnsi="Arial" w:cs="Arial"/>
                                <w:szCs w:val="24"/>
                              </w:rPr>
                            </w:pPr>
                            <w:r w:rsidRPr="00AE53DE">
                              <w:rPr>
                                <w:rFonts w:ascii="Arial" w:hAnsi="Arial" w:cs="Arial"/>
                                <w:szCs w:val="24"/>
                              </w:rPr>
                              <w:t>Figur 2.b1 Vekst i KPI fra samme kvartal året før i prosent, faktisk og kontrafaktisk med uendret kronekurs fra og med 1. kvartal 2013</w:t>
                            </w:r>
                          </w:p>
                          <w:p w14:paraId="0CCB46E4" w14:textId="77777777" w:rsidR="003D053D" w:rsidRDefault="003D053D" w:rsidP="00F124D6">
                            <w:pPr>
                              <w:pStyle w:val="Def"/>
                            </w:pPr>
                          </w:p>
                          <w:p w14:paraId="6D6B507F" w14:textId="48FC16C4" w:rsidR="003D053D" w:rsidRPr="00F124D6" w:rsidRDefault="003D053D" w:rsidP="00F124D6">
                            <w:pPr>
                              <w:pStyle w:val="Def"/>
                              <w:rPr>
                                <w:i/>
                              </w:rPr>
                            </w:pPr>
                            <w:r w:rsidRPr="00F124D6">
                              <w:rPr>
                                <w:i/>
                              </w:rPr>
                              <w:t>Boksen fortsetter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EF555" id="Tekstboks 24" o:spid="_x0000_s1028" type="#_x0000_t202" style="position:absolute;margin-left:-.2pt;margin-top:0;width:452.1pt;height:68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" o:allowoverlap="f">
                <v:textbox>
                  <w:txbxContent>
                    <w:p w14:paraId="71113410" w14:textId="41366272" w:rsidR="003D053D" w:rsidRPr="00147B70" w:rsidRDefault="003D053D" w:rsidP="00147B70">
                      <w:pPr>
                        <w:pStyle w:val="tittel-ramme"/>
                        <w:numPr>
                          <w:ilvl w:val="0"/>
                          <w:numId w:val="0"/>
                        </w:numPr>
                        <w:spacing w:before="120"/>
                        <w:rPr>
                          <w:rFonts w:cs="Arial"/>
                        </w:rPr>
                      </w:pPr>
                      <w:r w:rsidRPr="00147B70">
                        <w:rPr>
                          <w:rFonts w:cs="Arial"/>
                        </w:rPr>
                        <w:t xml:space="preserve">Boks 2.1 </w:t>
                      </w:r>
                      <w:r w:rsidRPr="00147B70">
                        <w:rPr>
                          <w:rFonts w:cs="Arial"/>
                          <w:szCs w:val="24"/>
                        </w:rPr>
                        <w:t>Kronesvekkelse og inflasjon</w:t>
                      </w:r>
                    </w:p>
                    <w:p w14:paraId="39C0375F" w14:textId="77777777" w:rsidR="003D053D" w:rsidRPr="00AE53DE" w:rsidRDefault="003D053D" w:rsidP="00147B70">
                      <w:pPr>
                        <w:rPr>
                          <w:rFonts w:ascii="Times New Roman" w:hAnsi="Times New Roman"/>
                          <w:szCs w:val="24"/>
                        </w:rPr>
                      </w:pPr>
                      <w:r w:rsidRPr="00AE53DE">
                        <w:rPr>
                          <w:rFonts w:ascii="Times New Roman" w:hAnsi="Times New Roman"/>
                          <w:szCs w:val="24"/>
                        </w:rPr>
                        <w:t>Fra januar 2013 til januar 2016 har krona importveid svekket seg med vel 28 prosent. Inflasjonen målt med KPI-JAE har i samme tidsrom gradvis økt fra 1,2 prosent til 3,0 prosent. Ettersom vekten på importerte konsumvarer i KPI er om lag 30 prosent, kan en lure på hvorfor inflasjonen ikke har økt mer. Utvalget vil peke på tre områder med momenter som kan bidra til å forklare dette; selve KPI-statistikken, tregheter i aktørenes tilpasning og utviklingen i andre forhold av betydning for inflasjonen.</w:t>
                      </w:r>
                    </w:p>
                    <w:p w14:paraId="1E1901D8" w14:textId="77777777" w:rsidR="003D053D" w:rsidRPr="00147B70" w:rsidRDefault="003D053D" w:rsidP="00147B70">
                      <w:pPr>
                        <w:pStyle w:val="Def"/>
                        <w:spacing w:after="0"/>
                        <w:rPr>
                          <w:i/>
                        </w:rPr>
                      </w:pPr>
                      <w:r w:rsidRPr="00147B70">
                        <w:rPr>
                          <w:i/>
                        </w:rPr>
                        <w:t>KPI</w:t>
                      </w:r>
                    </w:p>
                    <w:p w14:paraId="40687623" w14:textId="3E815856" w:rsidR="003D053D" w:rsidRPr="00AE53DE" w:rsidRDefault="003D053D" w:rsidP="00147B70">
                      <w:pPr>
                        <w:rPr>
                          <w:rFonts w:ascii="Times New Roman" w:hAnsi="Times New Roman"/>
                          <w:szCs w:val="24"/>
                        </w:rPr>
                      </w:pPr>
                      <w:r w:rsidRPr="00AE53DE">
                        <w:rPr>
                          <w:rFonts w:ascii="Times New Roman" w:hAnsi="Times New Roman"/>
                          <w:szCs w:val="24"/>
                        </w:rPr>
                        <w:t>Det er store innenlandske kostnadskomponenter knyttet til distribusjon av importerte varer. For noen varegrupper utgjør særavgifter en stor andel av kjøperprisen. En økning i importprisen på personbiler på 10 prosent vil således isolert sett bare slå ut med 1/3 av dette for biler med normalt drivstoff. Videre vil importert produktinnsats i norsk produksjon gjøre at prisene trekkes opp av kostnadsøkninger i norsk produksjon. Dette medfører i sin tur imidlertid at bruken av importert produktinnsats reduseres, noe som igjen demper den inflasjonsdrivende effekten.</w:t>
                      </w:r>
                    </w:p>
                    <w:p w14:paraId="0288FF2D" w14:textId="77777777" w:rsidR="003D053D" w:rsidRPr="00AE53DE" w:rsidRDefault="003D053D" w:rsidP="00147B70">
                      <w:pPr>
                        <w:rPr>
                          <w:rFonts w:ascii="Times New Roman" w:hAnsi="Times New Roman"/>
                          <w:szCs w:val="24"/>
                        </w:rPr>
                      </w:pPr>
                      <w:r w:rsidRPr="00AE53DE">
                        <w:rPr>
                          <w:rFonts w:ascii="Times New Roman" w:hAnsi="Times New Roman"/>
                          <w:szCs w:val="24"/>
                        </w:rPr>
                        <w:t xml:space="preserve">Prisutviklingen for varer og tjenester nordmenn selv kjøper i utlandet inngår ikke i KPI (men i nasjonalregnskapets prisindeks for konsum). Prisutviklingen for slikt konsum påvirkes nærmest umiddelbart av skiftninger av kronens verdi og fraværet av dette demper følsomheten i KPI overfor valutakursendringer. </w:t>
                      </w:r>
                    </w:p>
                    <w:p w14:paraId="5CB20862" w14:textId="77777777" w:rsidR="003D053D" w:rsidRPr="00147B70" w:rsidRDefault="003D053D" w:rsidP="00147B70">
                      <w:pPr>
                        <w:pStyle w:val="Def"/>
                        <w:spacing w:after="0"/>
                        <w:rPr>
                          <w:i/>
                        </w:rPr>
                      </w:pPr>
                      <w:r w:rsidRPr="00147B70">
                        <w:rPr>
                          <w:i/>
                        </w:rPr>
                        <w:t>Tregheter i aktørenes tilpasning</w:t>
                      </w:r>
                    </w:p>
                    <w:p w14:paraId="34F889CC" w14:textId="3ECB39CF" w:rsidR="003D053D" w:rsidRPr="00AE53DE" w:rsidRDefault="00610F5D" w:rsidP="00147B70">
                      <w:pPr>
                        <w:rPr>
                          <w:rFonts w:ascii="Times New Roman" w:hAnsi="Times New Roman"/>
                          <w:szCs w:val="24"/>
                        </w:rPr>
                      </w:pPr>
                      <w:r>
                        <w:rPr>
                          <w:rFonts w:ascii="Times New Roman" w:hAnsi="Times New Roman"/>
                          <w:szCs w:val="24"/>
                        </w:rPr>
                        <w:t>Beregninger med Kvarts</w:t>
                      </w:r>
                      <w:r w:rsidR="003D053D" w:rsidRPr="00AE53DE">
                        <w:rPr>
                          <w:rFonts w:ascii="Times New Roman" w:hAnsi="Times New Roman"/>
                          <w:szCs w:val="24"/>
                        </w:rPr>
                        <w:t xml:space="preserve"> viser at det er en betydelig forsinkelse før virkningene av en endring i valutakursen er fullført, og det tar mer enn ti år. I følge Boug m.fl. (2013) vil en 10 prosents svekkelse av kronekursen etter 4 år føre til en økning i KPI på 3,8 prosent og 5,8 prosent etter ti år. Det betyr en gjennomsnittlig årlig økning i KPI-veksten i tiårsperioden på 0,6 prosentpoeng. </w:t>
                      </w:r>
                    </w:p>
                    <w:p w14:paraId="3DCB1AB2" w14:textId="77777777" w:rsidR="003D053D" w:rsidRDefault="003D053D" w:rsidP="00147B70">
                      <w:r>
                        <w:rPr>
                          <w:noProof/>
                        </w:rPr>
                        <w:drawing>
                          <wp:inline distT="0" distB="0" distL="0" distR="0" wp14:anchorId="12A2DFBB" wp14:editId="0D6DD417">
                            <wp:extent cx="2667000" cy="2659380"/>
                            <wp:effectExtent l="0" t="0" r="0" b="7620"/>
                            <wp:docPr id="25" name="Bilde 25" descr="C:\Users\asd1745\AppData\Local\Microsoft\Windows\Temporary Internet Files\Content.Word\boxfig-k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1745\AppData\Local\Microsoft\Windows\Temporary Internet Files\Content.Word\boxfig-kap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659380"/>
                                    </a:xfrm>
                                    <a:prstGeom prst="rect">
                                      <a:avLst/>
                                    </a:prstGeom>
                                    <a:noFill/>
                                    <a:ln>
                                      <a:noFill/>
                                    </a:ln>
                                  </pic:spPr>
                                </pic:pic>
                              </a:graphicData>
                            </a:graphic>
                          </wp:inline>
                        </w:drawing>
                      </w:r>
                    </w:p>
                    <w:p w14:paraId="33CBF25C" w14:textId="77777777" w:rsidR="003D053D" w:rsidRDefault="003D053D" w:rsidP="00147B70">
                      <w:pPr>
                        <w:rPr>
                          <w:rFonts w:ascii="Arial" w:hAnsi="Arial" w:cs="Arial"/>
                          <w:szCs w:val="24"/>
                        </w:rPr>
                      </w:pPr>
                      <w:r w:rsidRPr="00AE53DE">
                        <w:rPr>
                          <w:rFonts w:ascii="Arial" w:hAnsi="Arial" w:cs="Arial"/>
                          <w:szCs w:val="24"/>
                        </w:rPr>
                        <w:t>Figur 2.b1 Vekst i KPI fra samme kvartal året før i prosent, faktisk og kontrafaktisk med uendret kronekurs fra og med 1. kvartal 2013</w:t>
                      </w:r>
                    </w:p>
                    <w:p w14:paraId="0CCB46E4" w14:textId="77777777" w:rsidR="003D053D" w:rsidRDefault="003D053D" w:rsidP="00F124D6">
                      <w:pPr>
                        <w:pStyle w:val="Def"/>
                      </w:pPr>
                    </w:p>
                    <w:p w14:paraId="6D6B507F" w14:textId="48FC16C4" w:rsidR="003D053D" w:rsidRPr="00F124D6" w:rsidRDefault="003D053D" w:rsidP="00F124D6">
                      <w:pPr>
                        <w:pStyle w:val="Def"/>
                        <w:rPr>
                          <w:i/>
                        </w:rPr>
                      </w:pPr>
                      <w:r w:rsidRPr="00F124D6">
                        <w:rPr>
                          <w:i/>
                        </w:rPr>
                        <w:t>Boksen fortsetter</w:t>
                      </w:r>
                    </w:p>
                  </w:txbxContent>
                </v:textbox>
                <w10:wrap type="topAndBottom" anchorx="margin"/>
              </v:shape>
            </w:pict>
          </mc:Fallback>
        </mc:AlternateContent>
      </w:r>
    </w:p>
    <w:p w14:paraId="4629BCEF" w14:textId="69191031" w:rsidR="00447614" w:rsidRDefault="00102335" w:rsidP="00BD5695">
      <w:r>
        <w:rPr>
          <w:noProof/>
          <w:sz w:val="20"/>
        </w:rPr>
        <mc:AlternateContent>
          <mc:Choice Requires="wps">
            <w:drawing>
              <wp:anchor distT="0" distB="0" distL="114300" distR="114300" simplePos="0" relativeHeight="251662336" behindDoc="0" locked="0" layoutInCell="1" allowOverlap="0" wp14:anchorId="6D88F738" wp14:editId="0965233F">
                <wp:simplePos x="0" y="0"/>
                <wp:positionH relativeFrom="margin">
                  <wp:align>right</wp:align>
                </wp:positionH>
                <wp:positionV relativeFrom="paragraph">
                  <wp:posOffset>0</wp:posOffset>
                </wp:positionV>
                <wp:extent cx="5741670" cy="6675120"/>
                <wp:effectExtent l="0" t="0" r="12700" b="11430"/>
                <wp:wrapTopAndBottom/>
                <wp:docPr id="26"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6675120"/>
                        </a:xfrm>
                        <a:prstGeom prst="rect">
                          <a:avLst/>
                        </a:prstGeom>
                        <a:solidFill>
                          <a:srgbClr val="FFFFFF"/>
                        </a:solidFill>
                        <a:ln w="9525">
                          <a:solidFill>
                            <a:srgbClr val="000000"/>
                          </a:solidFill>
                          <a:miter lim="800000"/>
                          <a:headEnd/>
                          <a:tailEnd/>
                        </a:ln>
                      </wps:spPr>
                      <wps:txbx>
                        <w:txbxContent>
                          <w:p w14:paraId="18B4B80D" w14:textId="09668476" w:rsidR="003D053D" w:rsidRPr="00102335" w:rsidRDefault="003D053D" w:rsidP="00102335">
                            <w:pPr>
                              <w:rPr>
                                <w:rFonts w:ascii="Times New Roman" w:hAnsi="Times New Roman"/>
                                <w:i/>
                                <w:szCs w:val="24"/>
                              </w:rPr>
                            </w:pPr>
                            <w:r w:rsidRPr="00102335">
                              <w:rPr>
                                <w:rFonts w:ascii="Times New Roman" w:hAnsi="Times New Roman"/>
                                <w:i/>
                                <w:szCs w:val="24"/>
                              </w:rPr>
                              <w:t>Boks forts</w:t>
                            </w:r>
                            <w:r>
                              <w:rPr>
                                <w:rFonts w:ascii="Times New Roman" w:hAnsi="Times New Roman"/>
                                <w:i/>
                                <w:szCs w:val="24"/>
                              </w:rPr>
                              <w:t>.</w:t>
                            </w:r>
                          </w:p>
                          <w:p w14:paraId="24F60284" w14:textId="00BB4442" w:rsidR="003D053D" w:rsidRDefault="003D053D" w:rsidP="00F124D6">
                            <w:r w:rsidRPr="00AE53DE">
                              <w:rPr>
                                <w:rFonts w:ascii="Times New Roman" w:hAnsi="Times New Roman"/>
                                <w:szCs w:val="24"/>
                              </w:rPr>
                              <w:t>Forsinkelse i gjennomslaget fra valutakurs til KPI betyr også at inflasjonen i 2016 er påvirket av valutakursutviklingen før januar 2013. Gjennom de fire årene fra slutten av 2008 styrket krona seg med 13 prosent. Samtidig med inflasjonsdrivende impulser fra den mer umiddelbare valutakursutviklingen var det altså motvirkende tidsforsinke</w:t>
                            </w:r>
                            <w:r>
                              <w:rPr>
                                <w:rFonts w:ascii="Times New Roman" w:hAnsi="Times New Roman"/>
                                <w:szCs w:val="24"/>
                              </w:rPr>
                              <w:t>d</w:t>
                            </w:r>
                            <w:r w:rsidRPr="00AE53DE">
                              <w:rPr>
                                <w:rFonts w:ascii="Times New Roman" w:hAnsi="Times New Roman"/>
                                <w:szCs w:val="24"/>
                              </w:rPr>
                              <w:t>e effekter av tidligere styrking.</w:t>
                            </w:r>
                          </w:p>
                          <w:p w14:paraId="578339DA" w14:textId="5819A215" w:rsidR="003D053D" w:rsidRPr="00AE53DE" w:rsidRDefault="003D053D" w:rsidP="00102335">
                            <w:pPr>
                              <w:rPr>
                                <w:rFonts w:ascii="Times New Roman" w:hAnsi="Times New Roman"/>
                                <w:szCs w:val="24"/>
                              </w:rPr>
                            </w:pPr>
                            <w:r w:rsidRPr="00AE53DE">
                              <w:rPr>
                                <w:rFonts w:ascii="Times New Roman" w:hAnsi="Times New Roman"/>
                                <w:szCs w:val="24"/>
                              </w:rPr>
                              <w:t>En k</w:t>
                            </w:r>
                            <w:r w:rsidR="00610F5D">
                              <w:rPr>
                                <w:rFonts w:ascii="Times New Roman" w:hAnsi="Times New Roman"/>
                                <w:szCs w:val="24"/>
                              </w:rPr>
                              <w:t>ontrafaktisk beregning med Kvarts</w:t>
                            </w:r>
                            <w:r w:rsidRPr="00AE53DE">
                              <w:rPr>
                                <w:rFonts w:ascii="Times New Roman" w:hAnsi="Times New Roman"/>
                                <w:szCs w:val="24"/>
                              </w:rPr>
                              <w:t xml:space="preserve"> hvor kronekursen er holdt på det sterke nivået 4. kvartal 2012 ut 2015 viser at KPI-veksten da gradvis hadde blitt mindre enn den faktiske. I 2015 ville KPI-veksten ifølge beregningen vært 0,2 prosent, altså </w:t>
                            </w:r>
                            <w:r w:rsidR="00610F5D">
                              <w:rPr>
                                <w:rFonts w:ascii="Times New Roman" w:hAnsi="Times New Roman"/>
                                <w:szCs w:val="24"/>
                              </w:rPr>
                              <w:t>2</w:t>
                            </w:r>
                            <w:r w:rsidRPr="00AE53DE">
                              <w:rPr>
                                <w:rFonts w:ascii="Times New Roman" w:hAnsi="Times New Roman"/>
                                <w:szCs w:val="24"/>
                              </w:rPr>
                              <w:t xml:space="preserve"> prosentpoeng </w:t>
                            </w:r>
                            <w:r>
                              <w:rPr>
                                <w:rFonts w:ascii="Times New Roman" w:hAnsi="Times New Roman"/>
                                <w:szCs w:val="24"/>
                              </w:rPr>
                              <w:t>lavere enn det den faktisk var.</w:t>
                            </w:r>
                            <w:r w:rsidRPr="00AE53DE">
                              <w:rPr>
                                <w:rFonts w:ascii="Times New Roman" w:hAnsi="Times New Roman"/>
                                <w:szCs w:val="24"/>
                              </w:rPr>
                              <w:t xml:space="preserve"> En så lav inflasjon er på linje med hva vi kan observere i land rundt oss.</w:t>
                            </w:r>
                          </w:p>
                          <w:p w14:paraId="604F3D8E" w14:textId="77777777" w:rsidR="003D053D" w:rsidRPr="00AE53DE" w:rsidRDefault="003D053D" w:rsidP="00102335">
                            <w:pPr>
                              <w:rPr>
                                <w:rFonts w:ascii="Times New Roman" w:hAnsi="Times New Roman"/>
                                <w:szCs w:val="24"/>
                              </w:rPr>
                            </w:pPr>
                            <w:r w:rsidRPr="00AE53DE">
                              <w:rPr>
                                <w:rFonts w:ascii="Times New Roman" w:hAnsi="Times New Roman"/>
                                <w:szCs w:val="24"/>
                              </w:rPr>
                              <w:t>En så lav kontrafaktisk vekst i KPI i 2015 henger også sammen med fallet i olje- og elektrisitetspris. Med en prisutvikling på energivarer mer i tråd med den generelle prisstigningen ville KPI-veksten vært anslagvis 0,6 prosentpoeng høyere i 2015.</w:t>
                            </w:r>
                          </w:p>
                          <w:p w14:paraId="5AF956DD" w14:textId="0DCF43BF" w:rsidR="003D053D" w:rsidRPr="00083940" w:rsidRDefault="003D053D" w:rsidP="00083940">
                            <w:pPr>
                              <w:spacing w:after="0"/>
                              <w:rPr>
                                <w:b/>
                                <w:i/>
                              </w:rPr>
                            </w:pPr>
                            <w:r>
                              <w:br/>
                            </w:r>
                            <w:r w:rsidRPr="00083940">
                              <w:rPr>
                                <w:i/>
                              </w:rPr>
                              <w:t xml:space="preserve">Andre forhold </w:t>
                            </w:r>
                          </w:p>
                          <w:p w14:paraId="2A8633CE" w14:textId="007693AB" w:rsidR="003D053D" w:rsidRPr="00AE53DE" w:rsidRDefault="003D053D" w:rsidP="00102335">
                            <w:pPr>
                              <w:rPr>
                                <w:rFonts w:ascii="Times New Roman" w:hAnsi="Times New Roman"/>
                                <w:szCs w:val="24"/>
                              </w:rPr>
                            </w:pPr>
                            <w:r w:rsidRPr="00AE53DE">
                              <w:rPr>
                                <w:rFonts w:ascii="Times New Roman" w:hAnsi="Times New Roman"/>
                                <w:szCs w:val="24"/>
                              </w:rPr>
                              <w:t>Den internasjonale lavkonjunkturen har bidratt til lav lønns- og kostnadsvekst i mange land. I de senere å</w:t>
                            </w:r>
                            <w:r>
                              <w:rPr>
                                <w:rFonts w:ascii="Times New Roman" w:hAnsi="Times New Roman"/>
                                <w:szCs w:val="24"/>
                              </w:rPr>
                              <w:t>r</w:t>
                            </w:r>
                            <w:r w:rsidRPr="00AE53DE">
                              <w:rPr>
                                <w:rFonts w:ascii="Times New Roman" w:hAnsi="Times New Roman"/>
                                <w:szCs w:val="24"/>
                              </w:rPr>
                              <w:t xml:space="preserve">ene har det også vært et klart fall i mange råvarepriser i tillegg til råolje. Dette kommer på toppen av den såkalte Kina-effekten: En stadig flytting av produksjon av ferdigvarer til land med lavt kostnadsnivå, og demper prisveksten. </w:t>
                            </w:r>
                          </w:p>
                          <w:p w14:paraId="797E1F4E" w14:textId="77777777" w:rsidR="003D053D" w:rsidRPr="00AE53DE" w:rsidRDefault="003D053D" w:rsidP="00102335">
                            <w:pPr>
                              <w:rPr>
                                <w:rFonts w:ascii="Times New Roman" w:hAnsi="Times New Roman"/>
                                <w:szCs w:val="24"/>
                              </w:rPr>
                            </w:pPr>
                            <w:r w:rsidRPr="00AE53DE">
                              <w:rPr>
                                <w:rFonts w:ascii="Times New Roman" w:hAnsi="Times New Roman"/>
                                <w:szCs w:val="24"/>
                              </w:rPr>
                              <w:t xml:space="preserve">Også norsk økonomi er inne i en lavkonjunktur og det kan nok også trekke i retning av at marginene i mange bransjer av betydning for konsumprisindeksen krymper. I tråd med konjunktursituasjonen er lønnsveksten i Norge klart redusert. Selv om våre analyser viser at det på kort sikt er et begrenset gjennomslag fra lønninger til priser, er det av betydning og særlig på litt lengre sikt. Lønnsveksten har kommet betydelig ned sammenliknet med situasjonen før finanskrisen og heller ikke da var KPI-veksten særlig høy. </w:t>
                            </w:r>
                          </w:p>
                          <w:p w14:paraId="7683D963" w14:textId="77777777" w:rsidR="003D053D" w:rsidRPr="00AE53DE" w:rsidRDefault="003D053D" w:rsidP="00102335">
                            <w:pPr>
                              <w:rPr>
                                <w:rFonts w:ascii="Times New Roman" w:hAnsi="Times New Roman"/>
                                <w:szCs w:val="24"/>
                              </w:rPr>
                            </w:pPr>
                            <w:r w:rsidRPr="00AE53DE">
                              <w:rPr>
                                <w:rFonts w:ascii="Times New Roman" w:hAnsi="Times New Roman"/>
                                <w:szCs w:val="24"/>
                              </w:rPr>
                              <w:t xml:space="preserve">Elektrisitetsprisene har etter svært høye nivåer vinteren 2011, gjennomgående falt. Dette bidrar i seg selv til lavere prisvekst, men også gjennom å være en kostnadskomponent i produksjonen av de fleste varer og tjenester.  </w:t>
                            </w:r>
                          </w:p>
                          <w:p w14:paraId="3B379417" w14:textId="77777777" w:rsidR="003D053D" w:rsidRPr="00AE53DE" w:rsidRDefault="003D053D" w:rsidP="00102335">
                            <w:pPr>
                              <w:autoSpaceDE w:val="0"/>
                              <w:autoSpaceDN w:val="0"/>
                              <w:adjustRightInd w:val="0"/>
                              <w:spacing w:before="100" w:after="100"/>
                              <w:rPr>
                                <w:rFonts w:ascii="Times New Roman" w:hAnsi="Times New Roman"/>
                                <w:szCs w:val="24"/>
                                <w:lang w:val="en-US"/>
                              </w:rPr>
                            </w:pPr>
                            <w:r w:rsidRPr="00AE53DE">
                              <w:rPr>
                                <w:rFonts w:ascii="Times New Roman" w:hAnsi="Times New Roman"/>
                                <w:szCs w:val="24"/>
                                <w:lang w:val="en-US"/>
                              </w:rPr>
                              <w:t xml:space="preserve">Referanse: </w:t>
                            </w:r>
                          </w:p>
                          <w:p w14:paraId="5E390A33" w14:textId="77777777" w:rsidR="003D053D" w:rsidRPr="0001259F" w:rsidRDefault="003D053D" w:rsidP="00102335">
                            <w:pPr>
                              <w:autoSpaceDE w:val="0"/>
                              <w:autoSpaceDN w:val="0"/>
                              <w:adjustRightInd w:val="0"/>
                              <w:spacing w:before="100" w:after="100"/>
                              <w:rPr>
                                <w:rFonts w:ascii="Times New Roman" w:eastAsia="Times New Roman" w:hAnsi="Times New Roman"/>
                                <w:b/>
                                <w:iCs/>
                                <w:szCs w:val="24"/>
                                <w:lang w:val="en-GB"/>
                              </w:rPr>
                            </w:pPr>
                            <w:r w:rsidRPr="0001259F">
                              <w:rPr>
                                <w:rFonts w:ascii="Times New Roman" w:eastAsia="Times New Roman" w:hAnsi="Times New Roman"/>
                                <w:iCs/>
                                <w:szCs w:val="24"/>
                                <w:lang w:val="en-GB"/>
                              </w:rPr>
                              <w:t>Boug, P., Å. Cappelen and T. Eika (2013):</w:t>
                            </w:r>
                            <w:r w:rsidRPr="0001259F">
                              <w:rPr>
                                <w:rFonts w:ascii="Arial" w:eastAsia="Times New Roman" w:hAnsi="Arial" w:cs="Arial"/>
                                <w:sz w:val="20"/>
                                <w:lang w:val="en-GB"/>
                              </w:rPr>
                              <w:t xml:space="preserve"> </w:t>
                            </w:r>
                            <w:r w:rsidRPr="0001259F">
                              <w:rPr>
                                <w:rFonts w:ascii="Times New Roman" w:eastAsia="Times New Roman" w:hAnsi="Times New Roman"/>
                                <w:i/>
                                <w:iCs/>
                                <w:szCs w:val="24"/>
                                <w:lang w:val="en-GB"/>
                              </w:rPr>
                              <w:t>Exchange rate pass-through in a small open economy: the importance of the distribution sector</w:t>
                            </w:r>
                            <w:r w:rsidRPr="0001259F">
                              <w:rPr>
                                <w:rFonts w:ascii="Arial" w:eastAsia="Times New Roman" w:hAnsi="Arial" w:cs="Arial"/>
                                <w:sz w:val="20"/>
                                <w:lang w:val="en-GB"/>
                              </w:rPr>
                              <w:t xml:space="preserve">, </w:t>
                            </w:r>
                            <w:r w:rsidRPr="0001259F">
                              <w:rPr>
                                <w:rFonts w:ascii="Times New Roman" w:eastAsia="Times New Roman" w:hAnsi="Times New Roman"/>
                                <w:iCs/>
                                <w:szCs w:val="24"/>
                                <w:lang w:val="en-GB"/>
                              </w:rPr>
                              <w:t>Open Economies Review,</w:t>
                            </w:r>
                            <w:r>
                              <w:rPr>
                                <w:rFonts w:ascii="Times New Roman" w:eastAsia="Times New Roman" w:hAnsi="Times New Roman"/>
                                <w:iCs/>
                                <w:szCs w:val="24"/>
                                <w:lang w:val="en-GB"/>
                              </w:rPr>
                              <w:t xml:space="preserve"> Vol. 24, No. 5, 853-879. </w:t>
                            </w:r>
                            <w:r w:rsidRPr="0001259F">
                              <w:rPr>
                                <w:rFonts w:ascii="Arial" w:eastAsia="Times New Roman" w:hAnsi="Arial" w:cs="Arial"/>
                                <w:sz w:val="20"/>
                                <w:lang w:val="en-GB"/>
                              </w:rPr>
                              <w:t xml:space="preserve"> </w:t>
                            </w:r>
                            <w:hyperlink r:id="rId21" w:history="1">
                              <w:r w:rsidRPr="0001259F">
                                <w:rPr>
                                  <w:rFonts w:ascii="Arial" w:eastAsia="Times New Roman" w:hAnsi="Arial" w:cs="Arial"/>
                                  <w:color w:val="0000FF"/>
                                  <w:sz w:val="20"/>
                                  <w:u w:val="single"/>
                                  <w:lang w:val="en-GB"/>
                                </w:rPr>
                                <w:t>http://www.springer.com/alert/urltracking.do?id=Lfa15cbMbd943bSb044edc</w:t>
                              </w:r>
                            </w:hyperlink>
                            <w:r w:rsidRPr="0001259F">
                              <w:rPr>
                                <w:rFonts w:ascii="Arial" w:eastAsia="Times New Roman" w:hAnsi="Arial" w:cs="Arial"/>
                                <w:sz w:val="20"/>
                                <w:lang w:val="en-GB"/>
                              </w:rPr>
                              <w:t xml:space="preserve">   </w:t>
                            </w:r>
                          </w:p>
                        </w:txbxContent>
                      </wps:txbx>
                      <wps:bodyPr rot="0" vert="horz" wrap="square" lIns="91440" tIns="45720" rIns="91440" bIns="45720" anchor="t" anchorCtr="0" upright="1">
                        <a:noAutofit/>
                      </wps:bodyPr>
                    </wps:wsp>
                  </a:graphicData>
                </a:graphic>
                <wp14:sizeRelH relativeFrom="margin">
                  <wp14:pctWidth>100000</wp14:pctWidth>
                </wp14:sizeRelH>
                <wp14:sizeRelV relativeFrom="insideMargin">
                  <wp14:pctHeight>0</wp14:pctHeight>
                </wp14:sizeRelV>
              </wp:anchor>
            </w:drawing>
          </mc:Choice>
          <mc:Fallback>
            <w:pict>
              <v:shape w14:anchorId="6D88F738" id="Tekstboks 26" o:spid="_x0000_s1029" type="#_x0000_t202" style="position:absolute;margin-left:400.9pt;margin-top:0;width:452.1pt;height:525.6pt;z-index:251662336;visibility:visible;mso-wrap-style:square;mso-width-percent:1000;mso-height-percent:0;mso-wrap-distance-left:9pt;mso-wrap-distance-top:0;mso-wrap-distance-right:9pt;mso-wrap-distance-bottom:0;mso-position-horizontal:right;mso-position-horizontal-relative:margin;mso-position-vertical:absolute;mso-position-vertical-relative:text;mso-width-percent:1000;mso-height-percent:0;mso-width-relative:margin;mso-height-relative:inner-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" o:allowoverlap="f">
                <v:textbox>
                  <w:txbxContent>
                    <w:p w14:paraId="18B4B80D" w14:textId="09668476" w:rsidR="003D053D" w:rsidRPr="00102335" w:rsidRDefault="003D053D" w:rsidP="00102335">
                      <w:pPr>
                        <w:rPr>
                          <w:rFonts w:ascii="Times New Roman" w:hAnsi="Times New Roman"/>
                          <w:i/>
                          <w:szCs w:val="24"/>
                        </w:rPr>
                      </w:pPr>
                      <w:r w:rsidRPr="00102335">
                        <w:rPr>
                          <w:rFonts w:ascii="Times New Roman" w:hAnsi="Times New Roman"/>
                          <w:i/>
                          <w:szCs w:val="24"/>
                        </w:rPr>
                        <w:t>Boks forts</w:t>
                      </w:r>
                      <w:r>
                        <w:rPr>
                          <w:rFonts w:ascii="Times New Roman" w:hAnsi="Times New Roman"/>
                          <w:i/>
                          <w:szCs w:val="24"/>
                        </w:rPr>
                        <w:t>.</w:t>
                      </w:r>
                    </w:p>
                    <w:p w14:paraId="24F60284" w14:textId="00BB4442" w:rsidR="003D053D" w:rsidRDefault="003D053D" w:rsidP="00F124D6">
                      <w:r w:rsidRPr="00AE53DE">
                        <w:rPr>
                          <w:rFonts w:ascii="Times New Roman" w:hAnsi="Times New Roman"/>
                          <w:szCs w:val="24"/>
                        </w:rPr>
                        <w:t>Forsinkelse i gjennomslaget fra valutakurs til KPI betyr også at inflasjonen i 2016 er påvirket av valutakursutviklingen før januar 2013. Gjennom de fire årene fra slutten av 2008 styrket krona seg med 13 prosent. Samtidig med inflasjonsdrivende impulser fra den mer umiddelbare valutakursutviklingen var det altså motvirkende tidsforsinke</w:t>
                      </w:r>
                      <w:r>
                        <w:rPr>
                          <w:rFonts w:ascii="Times New Roman" w:hAnsi="Times New Roman"/>
                          <w:szCs w:val="24"/>
                        </w:rPr>
                        <w:t>d</w:t>
                      </w:r>
                      <w:r w:rsidRPr="00AE53DE">
                        <w:rPr>
                          <w:rFonts w:ascii="Times New Roman" w:hAnsi="Times New Roman"/>
                          <w:szCs w:val="24"/>
                        </w:rPr>
                        <w:t>e effekter av tidligere styrking.</w:t>
                      </w:r>
                    </w:p>
                    <w:p w14:paraId="578339DA" w14:textId="5819A215" w:rsidR="003D053D" w:rsidRPr="00AE53DE" w:rsidRDefault="003D053D" w:rsidP="00102335">
                      <w:pPr>
                        <w:rPr>
                          <w:rFonts w:ascii="Times New Roman" w:hAnsi="Times New Roman"/>
                          <w:szCs w:val="24"/>
                        </w:rPr>
                      </w:pPr>
                      <w:r w:rsidRPr="00AE53DE">
                        <w:rPr>
                          <w:rFonts w:ascii="Times New Roman" w:hAnsi="Times New Roman"/>
                          <w:szCs w:val="24"/>
                        </w:rPr>
                        <w:t>En k</w:t>
                      </w:r>
                      <w:r w:rsidR="00610F5D">
                        <w:rPr>
                          <w:rFonts w:ascii="Times New Roman" w:hAnsi="Times New Roman"/>
                          <w:szCs w:val="24"/>
                        </w:rPr>
                        <w:t>ontrafaktisk beregning med Kvarts</w:t>
                      </w:r>
                      <w:r w:rsidRPr="00AE53DE">
                        <w:rPr>
                          <w:rFonts w:ascii="Times New Roman" w:hAnsi="Times New Roman"/>
                          <w:szCs w:val="24"/>
                        </w:rPr>
                        <w:t xml:space="preserve"> hvor kronekursen er holdt på det sterke nivået 4. kvartal 2012 ut 2015 viser at KPI-veksten da gradvis hadde blitt mindre enn den faktiske. I 2015 ville KPI-veksten ifølge beregningen vært 0,2 prosent, altså </w:t>
                      </w:r>
                      <w:r w:rsidR="00610F5D">
                        <w:rPr>
                          <w:rFonts w:ascii="Times New Roman" w:hAnsi="Times New Roman"/>
                          <w:szCs w:val="24"/>
                        </w:rPr>
                        <w:t>2</w:t>
                      </w:r>
                      <w:r w:rsidRPr="00AE53DE">
                        <w:rPr>
                          <w:rFonts w:ascii="Times New Roman" w:hAnsi="Times New Roman"/>
                          <w:szCs w:val="24"/>
                        </w:rPr>
                        <w:t xml:space="preserve"> prosentpoeng </w:t>
                      </w:r>
                      <w:r>
                        <w:rPr>
                          <w:rFonts w:ascii="Times New Roman" w:hAnsi="Times New Roman"/>
                          <w:szCs w:val="24"/>
                        </w:rPr>
                        <w:t>lavere enn det den faktisk var.</w:t>
                      </w:r>
                      <w:r w:rsidRPr="00AE53DE">
                        <w:rPr>
                          <w:rFonts w:ascii="Times New Roman" w:hAnsi="Times New Roman"/>
                          <w:szCs w:val="24"/>
                        </w:rPr>
                        <w:t xml:space="preserve"> En så lav inflasjon er på linje med hva vi kan observere i land rundt oss.</w:t>
                      </w:r>
                    </w:p>
                    <w:p w14:paraId="604F3D8E" w14:textId="77777777" w:rsidR="003D053D" w:rsidRPr="00AE53DE" w:rsidRDefault="003D053D" w:rsidP="00102335">
                      <w:pPr>
                        <w:rPr>
                          <w:rFonts w:ascii="Times New Roman" w:hAnsi="Times New Roman"/>
                          <w:szCs w:val="24"/>
                        </w:rPr>
                      </w:pPr>
                      <w:r w:rsidRPr="00AE53DE">
                        <w:rPr>
                          <w:rFonts w:ascii="Times New Roman" w:hAnsi="Times New Roman"/>
                          <w:szCs w:val="24"/>
                        </w:rPr>
                        <w:t>En så lav kontrafaktisk vekst i KPI i 2015 henger også sammen med fallet i olje- og elektrisitetspris. Med en prisutvikling på energivarer mer i tråd med den generelle prisstigningen ville KPI-veksten vært anslagvis 0,6 prosentpoeng høyere i 2015.</w:t>
                      </w:r>
                    </w:p>
                    <w:p w14:paraId="5AF956DD" w14:textId="0DCF43BF" w:rsidR="003D053D" w:rsidRPr="00083940" w:rsidRDefault="003D053D" w:rsidP="00083940">
                      <w:pPr>
                        <w:spacing w:after="0"/>
                        <w:rPr>
                          <w:b/>
                          <w:i/>
                        </w:rPr>
                      </w:pPr>
                      <w:r>
                        <w:br/>
                      </w:r>
                      <w:r w:rsidRPr="00083940">
                        <w:rPr>
                          <w:i/>
                        </w:rPr>
                        <w:t xml:space="preserve">Andre forhold </w:t>
                      </w:r>
                    </w:p>
                    <w:p w14:paraId="2A8633CE" w14:textId="007693AB" w:rsidR="003D053D" w:rsidRPr="00AE53DE" w:rsidRDefault="003D053D" w:rsidP="00102335">
                      <w:pPr>
                        <w:rPr>
                          <w:rFonts w:ascii="Times New Roman" w:hAnsi="Times New Roman"/>
                          <w:szCs w:val="24"/>
                        </w:rPr>
                      </w:pPr>
                      <w:r w:rsidRPr="00AE53DE">
                        <w:rPr>
                          <w:rFonts w:ascii="Times New Roman" w:hAnsi="Times New Roman"/>
                          <w:szCs w:val="24"/>
                        </w:rPr>
                        <w:t>Den internasjonale lavkonjunkturen har bidratt til lav lønns- og kostnadsvekst i mange land. I de senere å</w:t>
                      </w:r>
                      <w:r>
                        <w:rPr>
                          <w:rFonts w:ascii="Times New Roman" w:hAnsi="Times New Roman"/>
                          <w:szCs w:val="24"/>
                        </w:rPr>
                        <w:t>r</w:t>
                      </w:r>
                      <w:r w:rsidRPr="00AE53DE">
                        <w:rPr>
                          <w:rFonts w:ascii="Times New Roman" w:hAnsi="Times New Roman"/>
                          <w:szCs w:val="24"/>
                        </w:rPr>
                        <w:t xml:space="preserve">ene har det også vært et klart fall i mange råvarepriser i tillegg til råolje. Dette kommer på toppen av den såkalte Kina-effekten: En stadig flytting av produksjon av ferdigvarer til land med lavt kostnadsnivå, og demper prisveksten. </w:t>
                      </w:r>
                    </w:p>
                    <w:p w14:paraId="797E1F4E" w14:textId="77777777" w:rsidR="003D053D" w:rsidRPr="00AE53DE" w:rsidRDefault="003D053D" w:rsidP="00102335">
                      <w:pPr>
                        <w:rPr>
                          <w:rFonts w:ascii="Times New Roman" w:hAnsi="Times New Roman"/>
                          <w:szCs w:val="24"/>
                        </w:rPr>
                      </w:pPr>
                      <w:r w:rsidRPr="00AE53DE">
                        <w:rPr>
                          <w:rFonts w:ascii="Times New Roman" w:hAnsi="Times New Roman"/>
                          <w:szCs w:val="24"/>
                        </w:rPr>
                        <w:t xml:space="preserve">Også norsk økonomi er inne i en lavkonjunktur og det kan nok også trekke i retning av at marginene i mange bransjer av betydning for konsumprisindeksen krymper. I tråd med konjunktursituasjonen er lønnsveksten i Norge klart redusert. Selv om våre analyser viser at det på kort sikt er et begrenset gjennomslag fra lønninger til priser, er det av betydning og særlig på litt lengre sikt. Lønnsveksten har kommet betydelig ned sammenliknet med situasjonen før finanskrisen og heller ikke da var KPI-veksten særlig høy. </w:t>
                      </w:r>
                    </w:p>
                    <w:p w14:paraId="7683D963" w14:textId="77777777" w:rsidR="003D053D" w:rsidRPr="00AE53DE" w:rsidRDefault="003D053D" w:rsidP="00102335">
                      <w:pPr>
                        <w:rPr>
                          <w:rFonts w:ascii="Times New Roman" w:hAnsi="Times New Roman"/>
                          <w:szCs w:val="24"/>
                        </w:rPr>
                      </w:pPr>
                      <w:r w:rsidRPr="00AE53DE">
                        <w:rPr>
                          <w:rFonts w:ascii="Times New Roman" w:hAnsi="Times New Roman"/>
                          <w:szCs w:val="24"/>
                        </w:rPr>
                        <w:t xml:space="preserve">Elektrisitetsprisene har etter svært høye nivåer vinteren 2011, gjennomgående falt. Dette bidrar i seg selv til lavere prisvekst, men også gjennom å være en kostnadskomponent i produksjonen av de fleste varer og tjenester.  </w:t>
                      </w:r>
                    </w:p>
                    <w:p w14:paraId="3B379417" w14:textId="77777777" w:rsidR="003D053D" w:rsidRPr="00AE53DE" w:rsidRDefault="003D053D" w:rsidP="00102335">
                      <w:pPr>
                        <w:autoSpaceDE w:val="0"/>
                        <w:autoSpaceDN w:val="0"/>
                        <w:adjustRightInd w:val="0"/>
                        <w:spacing w:before="100" w:after="100"/>
                        <w:rPr>
                          <w:rFonts w:ascii="Times New Roman" w:hAnsi="Times New Roman"/>
                          <w:szCs w:val="24"/>
                          <w:lang w:val="en-US"/>
                        </w:rPr>
                      </w:pPr>
                      <w:r w:rsidRPr="00AE53DE">
                        <w:rPr>
                          <w:rFonts w:ascii="Times New Roman" w:hAnsi="Times New Roman"/>
                          <w:szCs w:val="24"/>
                          <w:lang w:val="en-US"/>
                        </w:rPr>
                        <w:t xml:space="preserve">Referanse: </w:t>
                      </w:r>
                    </w:p>
                    <w:p w14:paraId="5E390A33" w14:textId="77777777" w:rsidR="003D053D" w:rsidRPr="0001259F" w:rsidRDefault="003D053D" w:rsidP="00102335">
                      <w:pPr>
                        <w:autoSpaceDE w:val="0"/>
                        <w:autoSpaceDN w:val="0"/>
                        <w:adjustRightInd w:val="0"/>
                        <w:spacing w:before="100" w:after="100"/>
                        <w:rPr>
                          <w:rFonts w:ascii="Times New Roman" w:eastAsia="Times New Roman" w:hAnsi="Times New Roman"/>
                          <w:b/>
                          <w:iCs/>
                          <w:szCs w:val="24"/>
                          <w:lang w:val="en-GB"/>
                        </w:rPr>
                      </w:pPr>
                      <w:r w:rsidRPr="0001259F">
                        <w:rPr>
                          <w:rFonts w:ascii="Times New Roman" w:eastAsia="Times New Roman" w:hAnsi="Times New Roman"/>
                          <w:iCs/>
                          <w:szCs w:val="24"/>
                          <w:lang w:val="en-GB"/>
                        </w:rPr>
                        <w:t>Boug, P., Å. Cappelen and T. Eika (2013):</w:t>
                      </w:r>
                      <w:r w:rsidRPr="0001259F">
                        <w:rPr>
                          <w:rFonts w:ascii="Arial" w:eastAsia="Times New Roman" w:hAnsi="Arial" w:cs="Arial"/>
                          <w:sz w:val="20"/>
                          <w:lang w:val="en-GB"/>
                        </w:rPr>
                        <w:t xml:space="preserve"> </w:t>
                      </w:r>
                      <w:r w:rsidRPr="0001259F">
                        <w:rPr>
                          <w:rFonts w:ascii="Times New Roman" w:eastAsia="Times New Roman" w:hAnsi="Times New Roman"/>
                          <w:i/>
                          <w:iCs/>
                          <w:szCs w:val="24"/>
                          <w:lang w:val="en-GB"/>
                        </w:rPr>
                        <w:t>Exchange rate pass-through in a small open economy: the importance of the distribution sector</w:t>
                      </w:r>
                      <w:r w:rsidRPr="0001259F">
                        <w:rPr>
                          <w:rFonts w:ascii="Arial" w:eastAsia="Times New Roman" w:hAnsi="Arial" w:cs="Arial"/>
                          <w:sz w:val="20"/>
                          <w:lang w:val="en-GB"/>
                        </w:rPr>
                        <w:t xml:space="preserve">, </w:t>
                      </w:r>
                      <w:r w:rsidRPr="0001259F">
                        <w:rPr>
                          <w:rFonts w:ascii="Times New Roman" w:eastAsia="Times New Roman" w:hAnsi="Times New Roman"/>
                          <w:iCs/>
                          <w:szCs w:val="24"/>
                          <w:lang w:val="en-GB"/>
                        </w:rPr>
                        <w:t>Open Economies Review,</w:t>
                      </w:r>
                      <w:r>
                        <w:rPr>
                          <w:rFonts w:ascii="Times New Roman" w:eastAsia="Times New Roman" w:hAnsi="Times New Roman"/>
                          <w:iCs/>
                          <w:szCs w:val="24"/>
                          <w:lang w:val="en-GB"/>
                        </w:rPr>
                        <w:t xml:space="preserve"> Vol. 24, No. 5, 853-879. </w:t>
                      </w:r>
                      <w:r w:rsidRPr="0001259F">
                        <w:rPr>
                          <w:rFonts w:ascii="Arial" w:eastAsia="Times New Roman" w:hAnsi="Arial" w:cs="Arial"/>
                          <w:sz w:val="20"/>
                          <w:lang w:val="en-GB"/>
                        </w:rPr>
                        <w:t xml:space="preserve"> </w:t>
                      </w:r>
                      <w:hyperlink r:id="rId22" w:history="1">
                        <w:r w:rsidRPr="0001259F">
                          <w:rPr>
                            <w:rFonts w:ascii="Arial" w:eastAsia="Times New Roman" w:hAnsi="Arial" w:cs="Arial"/>
                            <w:color w:val="0000FF"/>
                            <w:sz w:val="20"/>
                            <w:u w:val="single"/>
                            <w:lang w:val="en-GB"/>
                          </w:rPr>
                          <w:t>http://www.springer.com/alert/urltracking.do?id=Lfa15cbMbd943bSb044edc</w:t>
                        </w:r>
                      </w:hyperlink>
                      <w:r w:rsidRPr="0001259F">
                        <w:rPr>
                          <w:rFonts w:ascii="Arial" w:eastAsia="Times New Roman" w:hAnsi="Arial" w:cs="Arial"/>
                          <w:sz w:val="20"/>
                          <w:lang w:val="en-GB"/>
                        </w:rPr>
                        <w:t xml:space="preserve">   </w:t>
                      </w:r>
                    </w:p>
                  </w:txbxContent>
                </v:textbox>
                <w10:wrap type="topAndBottom" anchorx="margin"/>
              </v:shape>
            </w:pict>
          </mc:Fallback>
        </mc:AlternateContent>
      </w:r>
      <w:r w:rsidR="00447614">
        <w:br w:type="page"/>
      </w:r>
    </w:p>
    <w:p w14:paraId="7D96F94F" w14:textId="628D34B5" w:rsidR="00AC48AF" w:rsidRDefault="00AC48AF" w:rsidP="00AC48AF">
      <w:pPr>
        <w:jc w:val="center"/>
        <w:rPr>
          <w:rFonts w:asciiTheme="majorHAnsi" w:hAnsiTheme="majorHAnsi"/>
          <w:sz w:val="52"/>
          <w:szCs w:val="52"/>
        </w:rPr>
      </w:pPr>
      <w:r w:rsidRPr="00B12041">
        <w:rPr>
          <w:rFonts w:asciiTheme="majorHAnsi" w:hAnsiTheme="majorHAnsi"/>
          <w:sz w:val="52"/>
          <w:szCs w:val="52"/>
        </w:rPr>
        <w:t xml:space="preserve">Kapittel </w:t>
      </w:r>
      <w:r>
        <w:rPr>
          <w:rFonts w:asciiTheme="majorHAnsi" w:hAnsiTheme="majorHAnsi"/>
          <w:sz w:val="52"/>
          <w:szCs w:val="52"/>
        </w:rPr>
        <w:t>3</w:t>
      </w:r>
    </w:p>
    <w:p w14:paraId="23E736D9" w14:textId="77777777" w:rsidR="00AC48AF" w:rsidRPr="00FE1400" w:rsidRDefault="00AC48AF" w:rsidP="00AC48AF">
      <w:pPr>
        <w:jc w:val="center"/>
        <w:rPr>
          <w:rFonts w:asciiTheme="majorHAnsi" w:hAnsiTheme="majorHAnsi"/>
          <w:sz w:val="32"/>
          <w:szCs w:val="32"/>
        </w:rPr>
      </w:pPr>
    </w:p>
    <w:p w14:paraId="5C3AC9C5" w14:textId="77777777" w:rsidR="006F55F8" w:rsidRDefault="006F55F8" w:rsidP="006F55F8">
      <w:pPr>
        <w:pStyle w:val="Overskrift1"/>
        <w:jc w:val="center"/>
      </w:pPr>
      <w:bookmarkStart w:id="174" w:name="_Toc443998975"/>
      <w:r>
        <w:t>Makroøkonomisk utvikling</w:t>
      </w:r>
      <w:bookmarkEnd w:id="174"/>
    </w:p>
    <w:p w14:paraId="565B7E54" w14:textId="77777777" w:rsidR="006F55F8" w:rsidRDefault="006F55F8" w:rsidP="006F55F8">
      <w:pPr>
        <w:pStyle w:val="avsnitt-under-undertittel"/>
      </w:pPr>
      <w:r w:rsidRPr="002B2E9A">
        <w:t>Internasjonal økonomi</w:t>
      </w:r>
    </w:p>
    <w:p w14:paraId="25F990DE" w14:textId="77777777" w:rsidR="00E326F3" w:rsidRDefault="00E326F3" w:rsidP="004779A9">
      <w:pPr>
        <w:pStyle w:val="Liste"/>
        <w:numPr>
          <w:ilvl w:val="0"/>
          <w:numId w:val="26"/>
        </w:numPr>
        <w:spacing w:before="60"/>
        <w:ind w:left="714" w:hanging="357"/>
        <w:contextualSpacing w:val="0"/>
      </w:pPr>
      <w:r>
        <w:t xml:space="preserve">Lavere vekst i framvoksende økonomier trakk veksten i verdensøkonomien ned i 2015. Det skyldtes både økonomiske tilbakeslag hos råvareprodusenter som Russland og Brasil, og lavere vekst i Kina. Oppgangen i USA og Storbritannia fortsatte, og veksten i euroområdet tiltok moderat. Økt vekst i Sverige og flere andre europeiske land som Norge handler mye med, gjorde at veksten for våre handelspartnere samlet gikk opp fra 2,2 prosent i 2014 til 2,4 prosent i fjor. </w:t>
      </w:r>
    </w:p>
    <w:p w14:paraId="72375562" w14:textId="04BFC9AF" w:rsidR="00E326F3" w:rsidRDefault="00E326F3" w:rsidP="004779A9">
      <w:pPr>
        <w:pStyle w:val="Liste"/>
        <w:numPr>
          <w:ilvl w:val="0"/>
          <w:numId w:val="26"/>
        </w:numPr>
        <w:spacing w:before="60"/>
        <w:ind w:left="714" w:hanging="357"/>
        <w:contextualSpacing w:val="0"/>
      </w:pPr>
      <w:r>
        <w:t xml:space="preserve">IMF anslo i januar 2016 at veksten i verdensøkonomien vil bli 3,4 prosent i 2016, opp fra 3,1 prosent i 2015. Det ventes økt vekst både i framvoksende økonomier og i industrilandene. Anslaget for 2016 er justert litt ned siden IMFs anslag i oktober 2015. </w:t>
      </w:r>
    </w:p>
    <w:p w14:paraId="4FD38E68" w14:textId="77777777" w:rsidR="00E326F3" w:rsidRDefault="00E326F3" w:rsidP="004779A9">
      <w:pPr>
        <w:pStyle w:val="Liste"/>
        <w:numPr>
          <w:ilvl w:val="0"/>
          <w:numId w:val="26"/>
        </w:numPr>
        <w:spacing w:before="60"/>
        <w:ind w:left="714" w:hanging="357"/>
        <w:contextualSpacing w:val="0"/>
      </w:pPr>
      <w:r>
        <w:t xml:space="preserve">Arbeidsledigheten synker, men er fortsatt høy i mange land. I USA falt arbeidsledigheten fra 5,6 prosent i desember 2014 til 5,0 prosent i desember 2015. Andelen av befolkningen som er i jobb er likevel klart lavere enn før finanskrisen. I euroområdet var arbeidsledigheten 10,4 prosent i desember i fjor, mot 11,4 prosent ett år tidligere. </w:t>
      </w:r>
    </w:p>
    <w:p w14:paraId="020B04BA" w14:textId="77777777" w:rsidR="00E326F3" w:rsidRDefault="00E326F3" w:rsidP="004779A9">
      <w:pPr>
        <w:pStyle w:val="Liste"/>
        <w:numPr>
          <w:ilvl w:val="0"/>
          <w:numId w:val="26"/>
        </w:numPr>
        <w:spacing w:before="60"/>
        <w:ind w:left="714" w:hanging="357"/>
        <w:contextualSpacing w:val="0"/>
      </w:pPr>
      <w:r>
        <w:t xml:space="preserve">Oljeprisen falt videre i 2015. Det må bl.a. ses i sammenheng med økt produksjon i OPEC, og særlig i land som Saudi Arabia og Irak. Lavere oljepris øker kjøpekraften i oljeimporterende land og kan støtte opp under veksten i verdensøkonomien framover. </w:t>
      </w:r>
      <w:r w:rsidRPr="00784C06">
        <w:t>Forverringen av bytteforholdet og lavere investeringer i petroleumssektoren vil trolig bidra til lavere vekst hos nettoeksportører av olje.</w:t>
      </w:r>
    </w:p>
    <w:p w14:paraId="65618352" w14:textId="3CB3054C" w:rsidR="006F55F8" w:rsidRPr="00E326F3" w:rsidRDefault="00E326F3" w:rsidP="004779A9">
      <w:pPr>
        <w:pStyle w:val="Listeavsnitt"/>
        <w:numPr>
          <w:ilvl w:val="0"/>
          <w:numId w:val="26"/>
        </w:numPr>
        <w:spacing w:after="120" w:line="240" w:lineRule="auto"/>
        <w:ind w:left="714" w:hanging="357"/>
        <w:rPr>
          <w:i/>
        </w:rPr>
      </w:pPr>
      <w:r>
        <w:t>Usikkerheten om utviklingen framover er betydelig og bidrar til ustabilitet i finansmarkedene.</w:t>
      </w:r>
      <w:r w:rsidDel="00DB1663">
        <w:t xml:space="preserve"> </w:t>
      </w:r>
      <w:r>
        <w:t>Særlig har usikkerhet om kinesisk økonomi fått mye oppmerksomhet. Et økonomisk tilbakeslag i Kina vil redusere veksten i verdensøkonomien og kan gi ytterligere fall i råvarepriser og uro i finansmarkedene. Også den spente geopolitiske situasjonen gir usikkerhet</w:t>
      </w:r>
      <w:r w:rsidR="006F55F8" w:rsidRPr="00E326F3">
        <w:rPr>
          <w:rFonts w:cs="Times New Roman"/>
          <w:i/>
        </w:rPr>
        <w:t>.</w:t>
      </w:r>
    </w:p>
    <w:p w14:paraId="0F0A4EB6" w14:textId="77777777" w:rsidR="006F55F8" w:rsidRPr="002A0B4B" w:rsidRDefault="006F55F8" w:rsidP="006F55F8">
      <w:pPr>
        <w:pStyle w:val="avsnitt-under-undertittel"/>
        <w:rPr>
          <w:rFonts w:cs="Times New Roman"/>
        </w:rPr>
      </w:pPr>
      <w:r w:rsidRPr="001177F3">
        <w:t xml:space="preserve">Norsk økonomi </w:t>
      </w:r>
    </w:p>
    <w:p w14:paraId="197A48B4" w14:textId="77777777" w:rsidR="006F55F8" w:rsidRPr="0097142C" w:rsidRDefault="006F55F8" w:rsidP="004779A9">
      <w:pPr>
        <w:pStyle w:val="Listeavsnitt"/>
        <w:numPr>
          <w:ilvl w:val="0"/>
          <w:numId w:val="26"/>
        </w:numPr>
        <w:spacing w:after="120" w:line="240" w:lineRule="auto"/>
        <w:ind w:left="714" w:hanging="357"/>
      </w:pPr>
      <w:r w:rsidRPr="0097142C">
        <w:rPr>
          <w:rFonts w:cs="Times New Roman"/>
        </w:rPr>
        <w:t>Kraftig fall i oljeprisen høsten 2014 og gjennom 2015 har forsterket fallet i etterspørselen fra petroleumsnæringen som startet i andre halvdel av 2013. Dette har bidratt til svak aktivitetsutvikling etter sommeren 2014, og veksten falt nærmest helt bort i andre halvår 2015. BNP Fastlands-Norge økte med 1,0 prosent i 2015, den laveste veksten siden finanskrisen i 2009 og 1¼ prosentpoeng under trendvekst.</w:t>
      </w:r>
    </w:p>
    <w:p w14:paraId="0343D7CB" w14:textId="77777777" w:rsidR="006F55F8" w:rsidRPr="0097142C" w:rsidRDefault="006F55F8" w:rsidP="004779A9">
      <w:pPr>
        <w:pStyle w:val="Listeavsnitt"/>
        <w:numPr>
          <w:ilvl w:val="0"/>
          <w:numId w:val="26"/>
        </w:numPr>
        <w:spacing w:after="120" w:line="240" w:lineRule="auto"/>
        <w:ind w:left="714" w:hanging="357"/>
      </w:pPr>
      <w:r w:rsidRPr="0097142C">
        <w:t>Virkningen av lavere etterspørsel fra petroleumsnæringen på norsk økonomi har blitt motvirket av svakere krone, lavere rente og ekspansiv finanspolitikk</w:t>
      </w:r>
      <w:r w:rsidRPr="0097142C">
        <w:rPr>
          <w:rFonts w:cs="Times New Roman"/>
        </w:rPr>
        <w:t>. Litt høyere vekst hos Norges viktigste handelspartnere har sammen med konkurranseevneforbedringen med bakgrunn i tre års kronesvekkelse bidratt til at tradisjonell vareeksport økte med 5,5 prosent i 2015. Investeringene i petroleumsnæringen falt med nær 15 prosent, mens næringsinvesteringene på fastlandet gikk ned med knappe 3 prosent. Konsumet i husholdningene økte med 2,0 prosent og boliginvesteringene økte med 1,6 prosent i 2015.</w:t>
      </w:r>
    </w:p>
    <w:p w14:paraId="40FEB713" w14:textId="20D68884" w:rsidR="009A1DCB" w:rsidRDefault="006F55F8" w:rsidP="004779A9">
      <w:pPr>
        <w:pStyle w:val="Listeavsnitt"/>
        <w:numPr>
          <w:ilvl w:val="0"/>
          <w:numId w:val="26"/>
        </w:numPr>
        <w:spacing w:after="120" w:line="240" w:lineRule="auto"/>
        <w:ind w:left="714" w:hanging="357"/>
      </w:pPr>
      <w:r w:rsidRPr="0097142C">
        <w:t xml:space="preserve">Arbeidsledigheten har økt gjennom fjoråret, mer ifølge arbeidskraftsundersøkelsen enn hva den registrerte arbeidsledigheten viser. Den registrerte arbeidsledigheten viser store regionale forskjeller. Arbeidsledigheten har økt mye i fylker som har nær tilknytning til petroleumsnæringen. </w:t>
      </w:r>
    </w:p>
    <w:p w14:paraId="406822D9" w14:textId="3CDA1311" w:rsidR="006F55F8" w:rsidRDefault="006F55F8" w:rsidP="004779A9">
      <w:pPr>
        <w:pStyle w:val="Listeavsnitt"/>
        <w:numPr>
          <w:ilvl w:val="0"/>
          <w:numId w:val="26"/>
        </w:numPr>
        <w:spacing w:after="120" w:line="240" w:lineRule="auto"/>
        <w:ind w:left="714" w:hanging="357"/>
      </w:pPr>
      <w:r w:rsidRPr="009A1DCB">
        <w:rPr>
          <w:rFonts w:cs="Times New Roman"/>
        </w:rPr>
        <w:t>Et fortsatt fall i oljeprisen gjennom 2015 og inn i 2016 bidrar til at etterspørselen fra petroleumsnæringen vil fortsette å falle markert framover. Prognosene for norsk økonomi peker mot en fortsatt konjunkturnedgang, men med mulighet for en moderat oppgang i andre halvår 2016. Ekspansiv finans- og pengepolitikk og økende internasjonal vekst og tidsforsinkede effekter av svak krone kan bidra til et slikt omslag. Anslagene for veksten i BNP Fastlands-Norge i 2016 ligger i området 1-2 prosent. Sysselsettingen er ventet å øke beskjedent i 2016 som i 2015. De store regionale variasjonene i arbeidsledighet ventes å fortsette også i 2016 og arbeidsledigheten målt med AKU øker til om lag 4,6 prosent som årsgjennomsnitt.</w:t>
      </w:r>
      <w:r w:rsidR="00AC48AF">
        <w:rPr>
          <w:rFonts w:cs="Times New Roman"/>
        </w:rPr>
        <w:br/>
      </w:r>
    </w:p>
    <w:p w14:paraId="2E67550B" w14:textId="04C90E47" w:rsidR="009A1DCB" w:rsidRDefault="009A1DCB" w:rsidP="004779A9">
      <w:pPr>
        <w:pStyle w:val="Listeavsnitt"/>
        <w:keepNext/>
        <w:keepLines/>
        <w:numPr>
          <w:ilvl w:val="1"/>
          <w:numId w:val="27"/>
        </w:numPr>
        <w:spacing w:before="360" w:after="80"/>
        <w:outlineLvl w:val="1"/>
        <w:rPr>
          <w:rFonts w:ascii="Arial" w:hAnsi="Arial"/>
          <w:b/>
          <w:vanish/>
          <w:spacing w:val="4"/>
          <w:sz w:val="28"/>
        </w:rPr>
      </w:pPr>
      <w:bookmarkStart w:id="175" w:name="_Toc415240773"/>
      <w:r>
        <w:rPr>
          <w:rFonts w:ascii="Arial" w:hAnsi="Arial"/>
          <w:b/>
          <w:vanish/>
          <w:spacing w:val="4"/>
          <w:sz w:val="28"/>
        </w:rPr>
        <w:t>Internasjonal økonomi</w:t>
      </w:r>
      <w:bookmarkStart w:id="176" w:name="_Toc443758416"/>
      <w:bookmarkStart w:id="177" w:name="_Toc443829046"/>
      <w:bookmarkStart w:id="178" w:name="_Toc443843363"/>
      <w:bookmarkStart w:id="179" w:name="_Toc443843516"/>
      <w:bookmarkStart w:id="180" w:name="_Toc443843703"/>
      <w:bookmarkStart w:id="181" w:name="_Toc443844235"/>
      <w:bookmarkStart w:id="182" w:name="_Toc443942998"/>
      <w:bookmarkStart w:id="183" w:name="_Toc443943125"/>
      <w:bookmarkStart w:id="184" w:name="_Toc443943373"/>
      <w:bookmarkStart w:id="185" w:name="_Toc443943502"/>
      <w:bookmarkStart w:id="186" w:name="_Toc443987873"/>
      <w:bookmarkStart w:id="187" w:name="_Toc443996269"/>
      <w:bookmarkStart w:id="188" w:name="_Toc443996353"/>
      <w:bookmarkStart w:id="189" w:name="_Toc443998976"/>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6C06274" w14:textId="77777777" w:rsidR="00846451" w:rsidRPr="00CE3DC7" w:rsidRDefault="00846451" w:rsidP="00846451">
      <w:pPr>
        <w:pStyle w:val="avsnitt-under-undertittel"/>
      </w:pPr>
      <w:r>
        <w:t>Veksten i verdensøkonomien i 2015 var den laveste siden finanskrisen</w:t>
      </w:r>
    </w:p>
    <w:p w14:paraId="4D8DE2A4" w14:textId="77777777" w:rsidR="00846451" w:rsidRDefault="00846451" w:rsidP="00846451">
      <w:pPr>
        <w:shd w:val="clear" w:color="auto" w:fill="FFFFFF"/>
        <w:rPr>
          <w:rFonts w:ascii="Times New Roman" w:eastAsia="Times New Roman" w:hAnsi="Times New Roman"/>
          <w:szCs w:val="24"/>
        </w:rPr>
      </w:pPr>
      <w:r>
        <w:rPr>
          <w:rFonts w:ascii="Times New Roman" w:eastAsia="Times New Roman" w:hAnsi="Times New Roman"/>
          <w:szCs w:val="24"/>
        </w:rPr>
        <w:t>Veksten i verdensøkonomien falt i 2015. Verdens BNP økte med 3,1 prosent, etter tre år med vekst på rundt 3,4 prosent. Framvoksende økonomier stod for 70 prosent av veksten, selv om veksttakten i disse landene avtok for femte år på rad. Lavere råvarepriser har bidratt til økonomiske tilbakeslag i land som Brasil og Russland. Veksten i Kina har samtidig avtatt og drives i større grad enn før av konsum med lavere import- og råvareintensitet enn investering. Denne dreiningen har bidratt til lavere vekst i handel mellom land, og spesielt i Sørøst-Asia. I de tradisjonelle industrilandene økte veksten i fjor, fra 1,8 prosent til 1,9 prosent. Oppgangen i industrilandene er moderat og ujevn. Høyere vekst i euroområdet og Japan trakk veksten opp, mens lavere vekst i Storbritannia og Canada trakk ned. Veksten i USA holdt seg om lag uendret. Økt vekst i Sverige og flere andre europeiske land førte til at veksten hos Norges handelspartnere økte,</w:t>
      </w:r>
      <w:r>
        <w:t xml:space="preserve"> fra 2,2 prosent i 2014 til 2,4 prosent i 2015.</w:t>
      </w:r>
    </w:p>
    <w:p w14:paraId="573C9A00" w14:textId="77777777" w:rsidR="00846451" w:rsidRDefault="00846451" w:rsidP="00846451">
      <w:pPr>
        <w:shd w:val="clear" w:color="auto" w:fill="FFFFFF"/>
        <w:rPr>
          <w:rFonts w:ascii="Times New Roman" w:eastAsia="Times New Roman" w:hAnsi="Times New Roman"/>
          <w:szCs w:val="24"/>
        </w:rPr>
      </w:pPr>
      <w:r>
        <w:rPr>
          <w:rFonts w:ascii="Times New Roman" w:eastAsia="Times New Roman" w:hAnsi="Times New Roman"/>
          <w:szCs w:val="24"/>
        </w:rPr>
        <w:t xml:space="preserve">Verden var preget av krig og uro også i fjor. Konfliktene i Syria og andre deler av Midtøsten og Afrika har vedvart. Flere mennesker har søkt om asyl i Europa, og det er innført grensekontroller innenfor EU for å få kontroll med menneskestrømmer. Det har vist seg krevende å fordele kostnader mellom land. Beregninger fra Europakommisjonen og OECD indikerer at konsekvensene av tilstrømmingen for økonomisk aktivitet og offentlige budsjetter er begrenset, men det er forskjeller mellom land. Utslagene avhenger bl.a. av antall flyktninger, størrelsen på velferdsordninger og hvor lett det er å integrere de som kommer i arbeidsmarkedet. Konflikten </w:t>
      </w:r>
      <w:r w:rsidRPr="00AB0515">
        <w:rPr>
          <w:rFonts w:ascii="Times New Roman" w:eastAsia="Times New Roman" w:hAnsi="Times New Roman"/>
          <w:szCs w:val="24"/>
        </w:rPr>
        <w:t>i</w:t>
      </w:r>
      <w:r>
        <w:rPr>
          <w:rFonts w:ascii="Times New Roman" w:eastAsia="Times New Roman" w:hAnsi="Times New Roman"/>
          <w:szCs w:val="24"/>
        </w:rPr>
        <w:t xml:space="preserve"> </w:t>
      </w:r>
      <w:r w:rsidRPr="00AB0515">
        <w:rPr>
          <w:rFonts w:ascii="Times New Roman" w:eastAsia="Times New Roman" w:hAnsi="Times New Roman"/>
          <w:szCs w:val="24"/>
        </w:rPr>
        <w:t>Ukraina</w:t>
      </w:r>
      <w:r>
        <w:rPr>
          <w:rFonts w:ascii="Times New Roman" w:eastAsia="Times New Roman" w:hAnsi="Times New Roman"/>
          <w:szCs w:val="24"/>
        </w:rPr>
        <w:t xml:space="preserve"> fortsetter. Også i 2015 var det mange terroranslag. Konflikter og uro fører til usikkerhet og påvirker den økonomiske aktiviteten negativt.  </w:t>
      </w:r>
    </w:p>
    <w:p w14:paraId="4AECC578" w14:textId="2BD5D1F7" w:rsidR="00846451" w:rsidRDefault="00846451" w:rsidP="00846451">
      <w:pPr>
        <w:shd w:val="clear" w:color="auto" w:fill="FFFFFF"/>
      </w:pPr>
      <w:r>
        <w:rPr>
          <w:rFonts w:ascii="Times New Roman" w:eastAsia="Times New Roman" w:hAnsi="Times New Roman"/>
          <w:szCs w:val="24"/>
        </w:rPr>
        <w:t xml:space="preserve">Det har vært store fall i prisene på råvarer siden sommeren 2014. Oljeprisen startet å falle sommeren 2014, og avtok videre i fjor. Veksten i konsumet av olje økte i 2015, men økningen i produksjonen var større. Det har dels slått ut i lavere priser, dels i økte lagerbeholdninger. Det er særlig i OPEC-land som Saudi-Arabia og Irak at produksjonen har økt den siste tiden. Etter hvert er også mer olje fra Iran blitt tilgjengelig på markedet. </w:t>
      </w:r>
      <w:r>
        <w:t>Hos Norges viktigste handelspartnere har oljeprisfallet gjennomgående stimulert veksten det siste året</w:t>
      </w:r>
      <w:r w:rsidR="00311CAA">
        <w:t>.</w:t>
      </w:r>
      <w:r>
        <w:t xml:space="preserve"> Samtidig har prisfallet trukket aktiviteten i oljeindustrien ned. </w:t>
      </w:r>
    </w:p>
    <w:p w14:paraId="786073C4" w14:textId="77777777" w:rsidR="00846451" w:rsidRDefault="00846451" w:rsidP="00846451">
      <w:pPr>
        <w:shd w:val="clear" w:color="auto" w:fill="FFFFFF"/>
        <w:rPr>
          <w:rFonts w:ascii="Times New Roman" w:eastAsia="Times New Roman" w:hAnsi="Times New Roman"/>
          <w:szCs w:val="24"/>
        </w:rPr>
      </w:pPr>
      <w:r>
        <w:rPr>
          <w:rFonts w:ascii="Times New Roman" w:eastAsia="Times New Roman" w:hAnsi="Times New Roman"/>
          <w:szCs w:val="24"/>
        </w:rPr>
        <w:t xml:space="preserve">I euroområdet økte BNP-veksten i fjor, men oppgangen er fortsatt moderat. Privat konsum var den viktigste drivkraften. Veksten i investeringene tok seg litt opp, fra et svært lavt nivå. Eksporten økte også, men bidraget fra nettoeksporten var begrenset. </w:t>
      </w:r>
      <w:r w:rsidRPr="00CF7C89">
        <w:rPr>
          <w:rFonts w:ascii="Times New Roman" w:eastAsia="Times New Roman" w:hAnsi="Times New Roman"/>
          <w:szCs w:val="24"/>
        </w:rPr>
        <w:t>Tilgjengelig korttidsstatistikk tyder på at</w:t>
      </w:r>
      <w:r>
        <w:rPr>
          <w:rFonts w:ascii="Times New Roman" w:eastAsia="Times New Roman" w:hAnsi="Times New Roman"/>
          <w:szCs w:val="24"/>
        </w:rPr>
        <w:t xml:space="preserve"> den moderate veksten har fortsatt.</w:t>
      </w:r>
      <w:r w:rsidRPr="00CF7C89">
        <w:rPr>
          <w:rFonts w:ascii="Times New Roman" w:eastAsia="Times New Roman" w:hAnsi="Times New Roman"/>
          <w:szCs w:val="24"/>
        </w:rPr>
        <w:t xml:space="preserve"> Det er store forskjeller mellom landene. </w:t>
      </w:r>
      <w:r>
        <w:rPr>
          <w:rFonts w:ascii="Times New Roman" w:eastAsia="Times New Roman" w:hAnsi="Times New Roman"/>
          <w:szCs w:val="24"/>
        </w:rPr>
        <w:t>Flere</w:t>
      </w:r>
      <w:r w:rsidRPr="00CF7C89">
        <w:rPr>
          <w:rFonts w:ascii="Times New Roman" w:eastAsia="Times New Roman" w:hAnsi="Times New Roman"/>
          <w:szCs w:val="24"/>
        </w:rPr>
        <w:t xml:space="preserve"> steder dempes oppgangen av høy privat og offentlig gjeld</w:t>
      </w:r>
      <w:r>
        <w:rPr>
          <w:rFonts w:ascii="Times New Roman" w:eastAsia="Times New Roman" w:hAnsi="Times New Roman"/>
          <w:szCs w:val="24"/>
        </w:rPr>
        <w:t>, og i noen land er</w:t>
      </w:r>
      <w:r w:rsidRPr="00CF7C89">
        <w:rPr>
          <w:rFonts w:ascii="Times New Roman" w:eastAsia="Times New Roman" w:hAnsi="Times New Roman"/>
          <w:szCs w:val="24"/>
        </w:rPr>
        <w:t xml:space="preserve"> tilgangen på kreditt for bedrifter og husholdninger </w:t>
      </w:r>
      <w:r>
        <w:rPr>
          <w:rFonts w:ascii="Times New Roman" w:eastAsia="Times New Roman" w:hAnsi="Times New Roman"/>
          <w:szCs w:val="24"/>
        </w:rPr>
        <w:t xml:space="preserve">fortsatt </w:t>
      </w:r>
      <w:r w:rsidRPr="00CF7C89">
        <w:rPr>
          <w:rFonts w:ascii="Times New Roman" w:eastAsia="Times New Roman" w:hAnsi="Times New Roman"/>
          <w:szCs w:val="24"/>
        </w:rPr>
        <w:t xml:space="preserve">svak. </w:t>
      </w:r>
    </w:p>
    <w:p w14:paraId="27462AFA" w14:textId="188D7126" w:rsidR="00846451" w:rsidRDefault="00846451" w:rsidP="00846451">
      <w:pPr>
        <w:shd w:val="clear" w:color="auto" w:fill="FFFFFF"/>
        <w:rPr>
          <w:rFonts w:ascii="Times New Roman" w:eastAsia="Times New Roman" w:hAnsi="Times New Roman"/>
          <w:szCs w:val="24"/>
        </w:rPr>
      </w:pPr>
      <w:r>
        <w:rPr>
          <w:rFonts w:ascii="Times New Roman" w:eastAsia="Times New Roman" w:hAnsi="Times New Roman"/>
          <w:szCs w:val="24"/>
        </w:rPr>
        <w:t>Pengepolitikken er svært ekspansiv i de tradisjonelle industrilandene. Signalrentene er nær null, og sentralbankene i Japan, euroområdet og Sverige har trappet opp kjøp av obligasjoner (kvantitative lettelser). Renter på finansinstitusjoners innskudd i disse sentralbankene er negative. I USA har sentralbanken sluttet å kjøpe obligasjoner og økte i desember i fjor signalrenten med ¼ prosentenhet. Det var den amerikanske sentralbankens første renteendring siden desember 2008, og første renteøkning siden sommeren 2006.</w:t>
      </w:r>
    </w:p>
    <w:p w14:paraId="49EB8D90" w14:textId="77777777" w:rsidR="00846451" w:rsidRDefault="00846451" w:rsidP="00846451">
      <w:r>
        <w:t>Det er nå vekst i de fleste tradisjonelle industrilandene, men utviklingen etter finanskrisen har vært svært ulik. Mens a</w:t>
      </w:r>
      <w:r w:rsidRPr="00620E4A">
        <w:t xml:space="preserve">ktivitetsnivået i </w:t>
      </w:r>
      <w:r>
        <w:t>euroområdet bare er litt høyere enn før finanskrisen, har verdiskapingen i USA, Sverige og Storbritannia økt til klart høyere nivåer. Også innenfor euroområdet er det store forskjeller. Mens verdiskapingen i land som Spania og Hellas har avtatt, har veksten i Tyskland vært god, jf. figur 3.1.</w:t>
      </w:r>
      <w:r w:rsidRPr="00620E4A" w:rsidDel="001D61EE">
        <w:t xml:space="preserve"> </w:t>
      </w:r>
    </w:p>
    <w:p w14:paraId="6CA2B7DC" w14:textId="77777777" w:rsidR="00846451" w:rsidRDefault="00846451" w:rsidP="00846451">
      <w:r>
        <w:rPr>
          <w:noProof/>
        </w:rPr>
        <w:drawing>
          <wp:inline distT="0" distB="0" distL="0" distR="0" wp14:anchorId="18DA28ED" wp14:editId="0460CD5D">
            <wp:extent cx="2855595" cy="2545080"/>
            <wp:effectExtent l="0" t="0" r="1905" b="7620"/>
            <wp:docPr id="93" name="Bilde 93" descr="C:\Users\fej\AppData\Local\Microsoft\Windows\Temporary Internet Files\Content.Outlook\UMNX1XY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j\AppData\Local\Microsoft\Windows\Temporary Internet Files\Content.Outlook\UMNX1XYB\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5595" cy="2545080"/>
                    </a:xfrm>
                    <a:prstGeom prst="rect">
                      <a:avLst/>
                    </a:prstGeom>
                    <a:noFill/>
                    <a:ln>
                      <a:noFill/>
                    </a:ln>
                  </pic:spPr>
                </pic:pic>
              </a:graphicData>
            </a:graphic>
          </wp:inline>
        </w:drawing>
      </w:r>
    </w:p>
    <w:p w14:paraId="39745800" w14:textId="77777777" w:rsidR="00846451" w:rsidRPr="002511D0" w:rsidRDefault="00846451" w:rsidP="00846451">
      <w:pPr>
        <w:pStyle w:val="figur-tittel"/>
        <w:ind w:left="284"/>
      </w:pPr>
      <w:r w:rsidRPr="002511D0">
        <w:t>BNP, sesongjusterte volumindekser, 1. kvartal 2008 = 100</w:t>
      </w:r>
    </w:p>
    <w:p w14:paraId="3F60D330" w14:textId="77777777" w:rsidR="00846451" w:rsidRDefault="00846451" w:rsidP="00846451">
      <w:pPr>
        <w:pStyle w:val="Kilde"/>
      </w:pPr>
      <w:r>
        <w:t>Kilde: Macrobond</w:t>
      </w:r>
    </w:p>
    <w:p w14:paraId="0092B474" w14:textId="77777777" w:rsidR="00846451" w:rsidRDefault="00846451" w:rsidP="00846451">
      <w:pPr>
        <w:rPr>
          <w:rFonts w:ascii="Times New Roman" w:eastAsia="Times New Roman" w:hAnsi="Times New Roman"/>
          <w:szCs w:val="24"/>
        </w:rPr>
      </w:pPr>
      <w:r>
        <w:t>Store fall i råvarepriser har bidratt til at valutaene til land som Russland og Brasil har svekket seg kraftig siden sommeren 2014. Samtidig har den økonomiske veksten i USA vært sterkere enn i andre land. Det har bidratt til at valutaene til de fleste tradisjonelle industriland har svekket seg mot amerikanske dollar.</w:t>
      </w:r>
      <w:r w:rsidDel="001D61EE">
        <w:t xml:space="preserve"> </w:t>
      </w:r>
      <w:r>
        <w:rPr>
          <w:rFonts w:ascii="Times New Roman" w:eastAsia="Times New Roman" w:hAnsi="Times New Roman"/>
          <w:szCs w:val="24"/>
        </w:rPr>
        <w:t xml:space="preserve">Denne utviklingen er blitt forsterket av at Federal Reserve har tatt de første skrittene mot en normalisering av pengepolitikken samtidig som bl.a. Den europeiske sentralbanken, Bank of Japan og Riksbanken i Sverige fører en enda mer ekspansiv pengepolitikk. Utviklingen har bidratt til å bedre den kostnadsmessige konkurranseevnen i råvareproduserende land, i euroområdet og Japan, mens eksportrettet næringsliv i USA har fått det tøffere, jf. figur 3.2. </w:t>
      </w:r>
    </w:p>
    <w:p w14:paraId="17217BB8" w14:textId="77777777" w:rsidR="00846451" w:rsidRDefault="00846451" w:rsidP="00846451">
      <w:pPr>
        <w:rPr>
          <w:rFonts w:ascii="Times New Roman" w:eastAsia="Times New Roman" w:hAnsi="Times New Roman"/>
          <w:szCs w:val="24"/>
        </w:rPr>
      </w:pPr>
      <w:r>
        <w:rPr>
          <w:rFonts w:ascii="Times New Roman" w:eastAsia="Times New Roman" w:hAnsi="Times New Roman"/>
          <w:noProof/>
          <w:szCs w:val="24"/>
        </w:rPr>
        <w:drawing>
          <wp:inline distT="0" distB="0" distL="0" distR="0" wp14:anchorId="10B32448" wp14:editId="43839A2D">
            <wp:extent cx="2915920" cy="2545080"/>
            <wp:effectExtent l="0" t="0" r="0" b="7620"/>
            <wp:docPr id="94" name="Bilde 94" descr="C:\Users\fej\AppData\Local\Microsoft\Windows\Temporary Internet Files\Content.Outlook\UMNX1XYB\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j\AppData\Local\Microsoft\Windows\Temporary Internet Files\Content.Outlook\UMNX1XYB\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2545080"/>
                    </a:xfrm>
                    <a:prstGeom prst="rect">
                      <a:avLst/>
                    </a:prstGeom>
                    <a:noFill/>
                    <a:ln>
                      <a:noFill/>
                    </a:ln>
                  </pic:spPr>
                </pic:pic>
              </a:graphicData>
            </a:graphic>
          </wp:inline>
        </w:drawing>
      </w:r>
    </w:p>
    <w:p w14:paraId="7A93F072" w14:textId="053A74D5" w:rsidR="00846451" w:rsidRPr="002511D0" w:rsidRDefault="00846451" w:rsidP="00846451">
      <w:pPr>
        <w:pStyle w:val="figur-tittel"/>
        <w:ind w:left="284"/>
      </w:pPr>
      <w:r w:rsidRPr="002511D0">
        <w:t>Nasjonal valuta mot USD i utvalgte land</w:t>
      </w:r>
      <w:r w:rsidR="005408AA">
        <w:t>.</w:t>
      </w:r>
      <w:r w:rsidRPr="002511D0">
        <w:t xml:space="preserve"> Indeks, januar 2008 = 100. Stigende kurve betyr svekket valuta </w:t>
      </w:r>
    </w:p>
    <w:p w14:paraId="187C505F" w14:textId="77777777" w:rsidR="00846451" w:rsidRDefault="00846451" w:rsidP="00846451">
      <w:pPr>
        <w:pStyle w:val="Kilde"/>
      </w:pPr>
      <w:r w:rsidRPr="00615F78">
        <w:t>Kilde: Macrobond</w:t>
      </w:r>
    </w:p>
    <w:p w14:paraId="74240D9F" w14:textId="2EA0C16F" w:rsidR="00846451" w:rsidRDefault="00846451" w:rsidP="00846451">
      <w:pPr>
        <w:shd w:val="clear" w:color="auto" w:fill="FFFFFF"/>
      </w:pPr>
      <w:r>
        <w:rPr>
          <w:rFonts w:ascii="Times New Roman" w:eastAsia="Times New Roman" w:hAnsi="Times New Roman"/>
          <w:szCs w:val="24"/>
        </w:rPr>
        <w:t>Det er forsiktig bedring i arbeidsmarkedene i flere OECD-land. I USA har sysselsettingen fortsatt å øke</w:t>
      </w:r>
      <w:r>
        <w:t>, og arbeidsledigheten er kommet ned på nivåer vi så før finanskrisen. Andre mål på utnyttelsen av arbeidskraften moderer</w:t>
      </w:r>
      <w:r w:rsidR="005408AA">
        <w:t>er</w:t>
      </w:r>
      <w:r>
        <w:t xml:space="preserve"> bildet. Sysselsettingsraten er langt lavere enn før finanskrisen, og både antall langtidsledige og undersysselsatte er høyere. I euroområdet er arbeidsledigheten fortsatt høy, men den går ned. Det er store forskjeller internt i valutaområdet. Mens arbeidsledigheten i Tyskland var nede i 4,5 prosent i desember 2015, utgjorde antall ledige personer over 20 prosent av arbeidsstyrken i Spania, jf. figur 3.3. Lønnsveksten har holdt seg lav både i USA og Europa. Det demper den private etterspørselen, men bidrar isolert sett til å bedre konkurranseevnen. </w:t>
      </w:r>
    </w:p>
    <w:p w14:paraId="262B870C" w14:textId="77777777" w:rsidR="00846451" w:rsidRDefault="00846451" w:rsidP="00846451">
      <w:pPr>
        <w:shd w:val="clear" w:color="auto" w:fill="FFFFFF"/>
      </w:pPr>
      <w:r>
        <w:rPr>
          <w:noProof/>
        </w:rPr>
        <w:drawing>
          <wp:inline distT="0" distB="0" distL="0" distR="0" wp14:anchorId="2ABE76C8" wp14:editId="67DFA69A">
            <wp:extent cx="2898775" cy="2587625"/>
            <wp:effectExtent l="0" t="0" r="0" b="3175"/>
            <wp:docPr id="5" name="Bilde 5" descr="C:\Users\fej\AppData\Local\Microsoft\Windows\Temporary Internet Files\Content.Outlook\UMNX1XYB\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j\AppData\Local\Microsoft\Windows\Temporary Internet Files\Content.Outlook\UMNX1XYB\3-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8775" cy="2587625"/>
                    </a:xfrm>
                    <a:prstGeom prst="rect">
                      <a:avLst/>
                    </a:prstGeom>
                    <a:noFill/>
                    <a:ln>
                      <a:noFill/>
                    </a:ln>
                  </pic:spPr>
                </pic:pic>
              </a:graphicData>
            </a:graphic>
          </wp:inline>
        </w:drawing>
      </w:r>
    </w:p>
    <w:p w14:paraId="6EE89B9E" w14:textId="77777777" w:rsidR="00846451" w:rsidRPr="002511D0" w:rsidRDefault="00846451" w:rsidP="00846451">
      <w:pPr>
        <w:pStyle w:val="figur-tittel"/>
      </w:pPr>
      <w:r w:rsidRPr="002511D0">
        <w:t xml:space="preserve">Arbeidsledighet i prosent av arbeidsstyrken </w:t>
      </w:r>
    </w:p>
    <w:p w14:paraId="6CA6E871" w14:textId="77777777" w:rsidR="00846451" w:rsidRDefault="00846451" w:rsidP="00846451">
      <w:pPr>
        <w:pStyle w:val="Kilde"/>
      </w:pPr>
      <w:r w:rsidRPr="00FD3731">
        <w:t>Kilde: Macrobond</w:t>
      </w:r>
    </w:p>
    <w:p w14:paraId="5A30348E" w14:textId="77777777" w:rsidR="00846451" w:rsidRPr="00FD3731" w:rsidRDefault="00846451" w:rsidP="00846451">
      <w:pPr>
        <w:pStyle w:val="avsnitt-under-undertittel"/>
      </w:pPr>
      <w:r>
        <w:t>Veksten kan ta seg gradvis opp framover</w:t>
      </w:r>
      <w:r w:rsidRPr="00FD3731">
        <w:t xml:space="preserve"> </w:t>
      </w:r>
    </w:p>
    <w:p w14:paraId="065D0F05" w14:textId="613FF243" w:rsidR="00846451" w:rsidRDefault="00846451" w:rsidP="00846451">
      <w:pPr>
        <w:shd w:val="clear" w:color="auto" w:fill="FFFFFF"/>
      </w:pPr>
      <w:r w:rsidRPr="00610827">
        <w:t>IMF anslår i sin World Economic Outlook Update</w:t>
      </w:r>
      <w:r w:rsidRPr="00620E4A">
        <w:t xml:space="preserve"> fra januar 201</w:t>
      </w:r>
      <w:r>
        <w:t>6</w:t>
      </w:r>
      <w:r w:rsidRPr="00620E4A">
        <w:t xml:space="preserve"> </w:t>
      </w:r>
      <w:r>
        <w:t xml:space="preserve">at </w:t>
      </w:r>
      <w:r w:rsidRPr="00620E4A">
        <w:t>vekst</w:t>
      </w:r>
      <w:r>
        <w:t>en</w:t>
      </w:r>
      <w:r w:rsidRPr="00620E4A">
        <w:t xml:space="preserve"> i verdensøkonomien </w:t>
      </w:r>
      <w:r>
        <w:t xml:space="preserve">vil ta seg opp til </w:t>
      </w:r>
      <w:r w:rsidRPr="00620E4A">
        <w:t>3</w:t>
      </w:r>
      <w:r>
        <w:t xml:space="preserve">,4 </w:t>
      </w:r>
      <w:r w:rsidRPr="00620E4A">
        <w:t>prosent i 201</w:t>
      </w:r>
      <w:r>
        <w:t>6</w:t>
      </w:r>
      <w:r w:rsidRPr="00620E4A">
        <w:t xml:space="preserve">. </w:t>
      </w:r>
      <w:r>
        <w:t>For de tradisjonelle industrilandene anslås v</w:t>
      </w:r>
      <w:r w:rsidRPr="00620E4A">
        <w:t xml:space="preserve">eksten </w:t>
      </w:r>
      <w:r>
        <w:t>å øke fra 1,9 prosent i 2015 til 2,1 prosent i 2016, mens veksttakten i f</w:t>
      </w:r>
      <w:r w:rsidRPr="00620E4A">
        <w:t>ramvoksende økonomier</w:t>
      </w:r>
      <w:r>
        <w:t xml:space="preserve"> og utviklingsland anslås å øke fra 4,0 til 4,3 prosent</w:t>
      </w:r>
      <w:r w:rsidRPr="00620E4A">
        <w:t xml:space="preserve">. </w:t>
      </w:r>
      <w:r>
        <w:t>IMF venter at utviklingen vil bedre seg i flere land som er rammet av lavere råvarepriser. Det gjelder særlig Russland, men også land i Midtøsten og Afrika. Veksten i Kina ventes å avta videre, fra 6,9 prosent i 2015 til 6,3 prosent i 2016</w:t>
      </w:r>
      <w:r w:rsidR="005408AA">
        <w:t>, jf. tabell 3.1</w:t>
      </w:r>
      <w:r>
        <w:t>. OECD kom med oppdaterte anslag for verdensøkonomien 18. februar. Der anslås veksten i verdensøkonomien til 3 p</w:t>
      </w:r>
      <w:r w:rsidR="005408AA">
        <w:t>rosent</w:t>
      </w:r>
      <w:r>
        <w:t xml:space="preserve"> i 2016.</w:t>
      </w:r>
    </w:p>
    <w:p w14:paraId="42AC0D6C" w14:textId="77777777" w:rsidR="0037143F" w:rsidRPr="00846451" w:rsidRDefault="0037143F" w:rsidP="0037143F">
      <w:pPr>
        <w:pStyle w:val="tabell-tittel"/>
        <w:numPr>
          <w:ilvl w:val="6"/>
          <w:numId w:val="27"/>
        </w:numPr>
        <w:rPr>
          <w:szCs w:val="24"/>
        </w:rPr>
      </w:pPr>
      <w:r>
        <w:rPr>
          <w:szCs w:val="24"/>
        </w:rPr>
        <w:t xml:space="preserve"> </w:t>
      </w:r>
      <w:r w:rsidRPr="00846451">
        <w:rPr>
          <w:szCs w:val="24"/>
        </w:rPr>
        <w:t xml:space="preserve">Internasjonale hovedtall. Prosentvis endring fra året før </w:t>
      </w:r>
    </w:p>
    <w:p w14:paraId="56591C4C" w14:textId="6E75AC89" w:rsidR="0037143F" w:rsidRPr="007E0639" w:rsidRDefault="0037143F" w:rsidP="00BD5695">
      <w:pPr>
        <w:spacing w:after="0"/>
        <w:contextualSpacing/>
        <w:rPr>
          <w:rFonts w:ascii="Times New Roman" w:eastAsia="Times New Roman" w:hAnsi="Times New Roman"/>
          <w:color w:val="000000"/>
          <w:sz w:val="20"/>
        </w:rPr>
      </w:pPr>
      <w:r w:rsidRPr="005702EC">
        <w:rPr>
          <w:noProof/>
        </w:rPr>
        <w:drawing>
          <wp:inline distT="0" distB="0" distL="0" distR="0" wp14:anchorId="7FBBF0DB" wp14:editId="68140116">
            <wp:extent cx="5761990" cy="1840865"/>
            <wp:effectExtent l="0" t="0" r="0" b="6985"/>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5159" cy="1845072"/>
                    </a:xfrm>
                    <a:prstGeom prst="rect">
                      <a:avLst/>
                    </a:prstGeom>
                    <a:noFill/>
                    <a:ln>
                      <a:noFill/>
                    </a:ln>
                  </pic:spPr>
                </pic:pic>
              </a:graphicData>
            </a:graphic>
          </wp:inline>
        </w:drawing>
      </w:r>
      <w:r w:rsidRPr="007E0639">
        <w:rPr>
          <w:rFonts w:ascii="Times New Roman" w:eastAsia="Times New Roman" w:hAnsi="Times New Roman"/>
          <w:color w:val="000000"/>
          <w:sz w:val="20"/>
        </w:rPr>
        <w:t>*Consensus Forecasts gir ikke anslag for alle handelspartnerne. Der det mangler anslag er det brukt siste anslag fra OECD. For prisveksten i Sverige er det seneste anslaget for vekst i KPIF fra Sveriges Riksbank lagt til grunn.</w:t>
      </w:r>
    </w:p>
    <w:p w14:paraId="339F6DCC" w14:textId="7C2470B0" w:rsidR="0037143F" w:rsidRPr="00BD5695" w:rsidRDefault="0037143F" w:rsidP="008643D6">
      <w:pPr>
        <w:pStyle w:val="tabell-noter"/>
        <w:numPr>
          <w:ilvl w:val="0"/>
          <w:numId w:val="84"/>
        </w:numPr>
        <w:tabs>
          <w:tab w:val="clear" w:pos="284"/>
        </w:tabs>
        <w:spacing w:before="0" w:after="0"/>
        <w:ind w:left="142" w:hanging="142"/>
      </w:pPr>
      <w:r w:rsidRPr="00BD5695">
        <w:t>OECD Interim Economic Assessment, februar 2016</w:t>
      </w:r>
    </w:p>
    <w:p w14:paraId="0643EAF4" w14:textId="419B336D" w:rsidR="0037143F" w:rsidRPr="00BD5695" w:rsidRDefault="0037143F" w:rsidP="008643D6">
      <w:pPr>
        <w:pStyle w:val="tabell-noter"/>
        <w:numPr>
          <w:ilvl w:val="0"/>
          <w:numId w:val="84"/>
        </w:numPr>
        <w:tabs>
          <w:tab w:val="clear" w:pos="284"/>
        </w:tabs>
        <w:spacing w:before="0" w:after="0"/>
        <w:ind w:left="142" w:hanging="142"/>
      </w:pPr>
      <w:r w:rsidRPr="00BD5695">
        <w:t>IMF World Economic Outlook Update, januar 2016</w:t>
      </w:r>
    </w:p>
    <w:p w14:paraId="76993CD2" w14:textId="6E87149B" w:rsidR="0037143F" w:rsidRPr="00BD5695" w:rsidRDefault="0037143F" w:rsidP="008643D6">
      <w:pPr>
        <w:pStyle w:val="tabell-noter"/>
        <w:numPr>
          <w:ilvl w:val="0"/>
          <w:numId w:val="84"/>
        </w:numPr>
        <w:tabs>
          <w:tab w:val="clear" w:pos="284"/>
        </w:tabs>
        <w:spacing w:before="0" w:after="0"/>
        <w:ind w:left="142" w:hanging="142"/>
      </w:pPr>
      <w:r w:rsidRPr="00BD5695">
        <w:t>Consensus Forecasts, februar 2016</w:t>
      </w:r>
    </w:p>
    <w:p w14:paraId="6FBF4E9B" w14:textId="4500419D" w:rsidR="0037143F" w:rsidRPr="00BD5695" w:rsidRDefault="0037143F" w:rsidP="008643D6">
      <w:pPr>
        <w:pStyle w:val="tabell-noter"/>
        <w:numPr>
          <w:ilvl w:val="0"/>
          <w:numId w:val="84"/>
        </w:numPr>
        <w:tabs>
          <w:tab w:val="clear" w:pos="284"/>
        </w:tabs>
        <w:spacing w:before="0" w:after="0"/>
        <w:ind w:left="142" w:hanging="142"/>
      </w:pPr>
      <w:r w:rsidRPr="00BD5695">
        <w:t>Europakommisjonens vinterprognoser, februar 2016</w:t>
      </w:r>
    </w:p>
    <w:p w14:paraId="19377624" w14:textId="77777777" w:rsidR="0037143F" w:rsidRPr="007E0639" w:rsidRDefault="0037143F" w:rsidP="0037143F">
      <w:pPr>
        <w:rPr>
          <w:rFonts w:ascii="Times New Roman" w:hAnsi="Times New Roman"/>
          <w:sz w:val="20"/>
        </w:rPr>
      </w:pPr>
      <w:r w:rsidRPr="007E0639">
        <w:rPr>
          <w:rFonts w:ascii="Times New Roman" w:hAnsi="Times New Roman"/>
          <w:sz w:val="20"/>
        </w:rPr>
        <w:t>Kilder: IMF, OECD, Consensus Forecasts og Finansdepartementet</w:t>
      </w:r>
    </w:p>
    <w:p w14:paraId="3B15E7B7" w14:textId="77777777" w:rsidR="00846451" w:rsidRDefault="00846451" w:rsidP="00846451">
      <w:pPr>
        <w:shd w:val="clear" w:color="auto" w:fill="FFFFFF"/>
      </w:pPr>
      <w:r>
        <w:t xml:space="preserve">Lavere oljepris ventes å støtte opp under veksten i verdensøkonomien framover. </w:t>
      </w:r>
      <w:r>
        <w:rPr>
          <w:rFonts w:ascii="Times New Roman" w:eastAsia="Times New Roman" w:hAnsi="Times New Roman"/>
          <w:szCs w:val="24"/>
        </w:rPr>
        <w:t>I oljeimporterende land gir l</w:t>
      </w:r>
      <w:r>
        <w:t xml:space="preserve">avere oljepris økt kjøpekraft og høyere privat etterspørsel.  På den annen side har fallet i oljeprisen gitt store utslag i investeringene i energisektoren, bl.a. i USA. Det gjør at effekten på veksten i verdensøkonomien på kort sikt kan bli mindre enn det vi har sett historisk. I framvoksende økonomier og utviklingsland tilfaller gevinsten av lavere oljepris i større grad det offentlige, for eksempel i form av reduserte subsidier. Forverringen av bytteforholdet og lavere investeringer i petroleumssektoren vil trolig bidra til lavere vekst hos nettoeksportører av olje framover. </w:t>
      </w:r>
    </w:p>
    <w:p w14:paraId="52673A76" w14:textId="77777777" w:rsidR="00846451" w:rsidRDefault="00846451" w:rsidP="00846451">
      <w:pPr>
        <w:shd w:val="clear" w:color="auto" w:fill="FFFFFF"/>
      </w:pPr>
      <w:r>
        <w:t xml:space="preserve">Veksten globalt blir også støttet av en fortsatt ekspansiv pengepolitikk. Prisingen i markedet tyder på at den forventede renteoppgangen i USA og Storbritannia er skjøvet noe ut i tid. I Japan og Euroområdet ventes det at pengepolitikken holdes ekspansiv i en lang periode framover. IMF la i sine prognoser fra oktober i fjor til grunn at konsolideringen av offentlige finanser vil avta i de tradisjonelle industrilandene, mens finanspolitikken vil legges om i en mer ekspansiv retning i framvoksende økonomier. </w:t>
      </w:r>
    </w:p>
    <w:p w14:paraId="5D3A98AF" w14:textId="6E297C27" w:rsidR="00846451" w:rsidRPr="00466B37" w:rsidRDefault="00846451" w:rsidP="00846451">
      <w:pPr>
        <w:shd w:val="clear" w:color="auto" w:fill="FFFFFF"/>
      </w:pPr>
      <w:r>
        <w:t>Lavere energipriser trekker prisveksten ned i industrilandene. I de siste månedene har inflasjonen i flere land vært nær null. Samtidig har veksten i inflasjonen utenom energi- og matvarer tatt seg noe opp det siste året. I USA var tolvmånedersveksten 2,1 prosent i desember i fjor, mot 1,6 prosent på samme tidspunkt for ett år siden. I euroområdet var tolvmånedersveksten i KPI utenom mat- og energivarer 1 prosent i januar i år, mot 0,6 prosent i januar 2015.</w:t>
      </w:r>
      <w:r w:rsidRPr="00103522">
        <w:t xml:space="preserve"> I Kina </w:t>
      </w:r>
      <w:r>
        <w:t xml:space="preserve">økte inflasjonen fra 0,8 prosent i januar 2015 til 1,8 prosent i januar 2016. </w:t>
      </w:r>
      <w:r w:rsidRPr="00103522">
        <w:t xml:space="preserve">I samme periode </w:t>
      </w:r>
      <w:r>
        <w:t>økte den</w:t>
      </w:r>
      <w:r w:rsidRPr="00103522">
        <w:t xml:space="preserve"> fra </w:t>
      </w:r>
      <w:r>
        <w:t>5,2</w:t>
      </w:r>
      <w:r w:rsidRPr="00103522">
        <w:t xml:space="preserve"> til 5,</w:t>
      </w:r>
      <w:r>
        <w:t>7</w:t>
      </w:r>
      <w:r w:rsidRPr="00103522">
        <w:t xml:space="preserve"> p</w:t>
      </w:r>
      <w:r>
        <w:t>rosent</w:t>
      </w:r>
      <w:r w:rsidRPr="00103522">
        <w:t xml:space="preserve"> i India. </w:t>
      </w:r>
      <w:r>
        <w:t xml:space="preserve">Store valutakurssvekkelser har dratt opp prisveksten i Brasil, fra 7,1 prosent i januar i fjor til 10,7 prosent i januar i år. </w:t>
      </w:r>
      <w:r w:rsidRPr="00610827">
        <w:t>IMF anslår</w:t>
      </w:r>
      <w:r>
        <w:t xml:space="preserve"> en vekst i konsumprisene i industrilandene på 1,1 prosent i 2016, </w:t>
      </w:r>
      <w:r w:rsidRPr="006139FF">
        <w:t xml:space="preserve">mot </w:t>
      </w:r>
      <w:r>
        <w:t>0,3</w:t>
      </w:r>
      <w:r w:rsidRPr="006139FF">
        <w:t xml:space="preserve"> prosent i 201</w:t>
      </w:r>
      <w:r>
        <w:t>5</w:t>
      </w:r>
      <w:r w:rsidRPr="006139FF">
        <w:t>. I framvoksende økonomier anslås inflasjonen å bli 5,</w:t>
      </w:r>
      <w:r>
        <w:t>6</w:t>
      </w:r>
      <w:r w:rsidRPr="006139FF">
        <w:t xml:space="preserve"> prosent i 201</w:t>
      </w:r>
      <w:r>
        <w:t>6</w:t>
      </w:r>
      <w:r w:rsidRPr="006139FF">
        <w:t>, opp fra 5,</w:t>
      </w:r>
      <w:r>
        <w:t>5</w:t>
      </w:r>
      <w:r w:rsidRPr="006139FF">
        <w:t xml:space="preserve"> prosent i 201</w:t>
      </w:r>
      <w:r>
        <w:t>5</w:t>
      </w:r>
      <w:r w:rsidRPr="00103522">
        <w:t>.</w:t>
      </w:r>
      <w:r>
        <w:t xml:space="preserve"> </w:t>
      </w:r>
    </w:p>
    <w:p w14:paraId="2C0046EB" w14:textId="77777777" w:rsidR="00846451" w:rsidRDefault="00846451" w:rsidP="00846451">
      <w:pPr>
        <w:spacing w:after="240"/>
      </w:pPr>
      <w:r>
        <w:t>I løpet av vinteren har oljeprisen gått videre ned. Målt i dollar er oljeprisen nå 70 prosent lavere enn før den begynte å falle sommeren 2014. Mens lavere vekst i etterspørselen var viktig for nedgangen i oljeprisen i 2014, kom forbruksveksten i fjor opp på det høyeste nivået på 5 år. Veksten i produksjonen var likevel større, og lagerbeholdningene økte videre. Det er i OPEC, og særlig i Saudi Arabia og Irak og etter hvert også Iran etter opphevelsen av økonomiske sanksjoner mot landet at produksjonen har økt den siste tiden. I USA faller produksjonen av skiferolje, etter flere år med sterk vekst. IEA anslår en viss nedgang i tilbudet av olje fra land utenfor OPEC i 2016. Samtidig peker de i sin siste markedsrapport fra februar på at produksjonen i store OPEC-land økte videre i januar. Etterspørselsveksten ventes å bli ganske høy også i år, men litt lavere enn i fjor. Usikkerheten om utviklingen videre er stor både på tilbuds- og etterspørselssiden.</w:t>
      </w:r>
    </w:p>
    <w:p w14:paraId="21AD7AF1" w14:textId="77777777" w:rsidR="00846451" w:rsidRDefault="00846451" w:rsidP="00846451">
      <w:r>
        <w:rPr>
          <w:noProof/>
        </w:rPr>
        <w:drawing>
          <wp:inline distT="0" distB="0" distL="0" distR="0" wp14:anchorId="0A075AE2" wp14:editId="3EE556D0">
            <wp:extent cx="2837815" cy="2456953"/>
            <wp:effectExtent l="0" t="0" r="635" b="635"/>
            <wp:docPr id="6" name="Bilde 6" descr="C:\Users\fej\AppData\Local\Microsoft\Windows\Temporary Internet Files\Content.Outlook\UMNX1XY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j\AppData\Local\Microsoft\Windows\Temporary Internet Files\Content.Outlook\UMNX1XYB\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122" cy="2458950"/>
                    </a:xfrm>
                    <a:prstGeom prst="rect">
                      <a:avLst/>
                    </a:prstGeom>
                    <a:noFill/>
                    <a:ln>
                      <a:noFill/>
                    </a:ln>
                  </pic:spPr>
                </pic:pic>
              </a:graphicData>
            </a:graphic>
          </wp:inline>
        </w:drawing>
      </w:r>
    </w:p>
    <w:p w14:paraId="175233AA" w14:textId="77777777" w:rsidR="00846451" w:rsidRPr="002511D0" w:rsidRDefault="00846451" w:rsidP="00846451">
      <w:pPr>
        <w:pStyle w:val="figur-tittel"/>
      </w:pPr>
      <w:r w:rsidRPr="002511D0">
        <w:t>Utviklingen i oljepris og terminpriser framover. Brent Blend, USD/fat</w:t>
      </w:r>
    </w:p>
    <w:p w14:paraId="4794B881" w14:textId="77777777" w:rsidR="00846451" w:rsidRDefault="00846451" w:rsidP="00846451">
      <w:pPr>
        <w:pStyle w:val="Kilde"/>
      </w:pPr>
      <w:r w:rsidRPr="00FD3731">
        <w:t>Kilde: </w:t>
      </w:r>
      <w:r>
        <w:t>Macrobond, ICE og Finansdepartementet</w:t>
      </w:r>
    </w:p>
    <w:p w14:paraId="2F770C19" w14:textId="77777777" w:rsidR="00846451" w:rsidRDefault="00846451" w:rsidP="00846451">
      <w:pPr>
        <w:spacing w:after="240"/>
      </w:pPr>
      <w:r w:rsidRPr="00265255">
        <w:t xml:space="preserve">Internasjonale priser på matvarer </w:t>
      </w:r>
      <w:r>
        <w:t>har falt kraftig gjennom de to siste årene. FAOs prisindeks for matvarer var 19 prosent lavere i 2015 enn i 2014. Alle varetypene i indeksen falt i fjor. Prisen på meieriprodukter falt mest, med nesten 30 prosent. Ifølge FAO skyldes prisnedgangen bl.a. gode avlinger, lavere etterspørsel i framvoksende økonomier og sterkere amerikanske dollar. Prisene på matvarer falt videre i januar i år, og er nå på sitt laveste nivå siden 2009.</w:t>
      </w:r>
      <w:r w:rsidRPr="00265255" w:rsidDel="004A5D6F">
        <w:t xml:space="preserve"> </w:t>
      </w:r>
      <w:r w:rsidRPr="006C0ABE">
        <w:t xml:space="preserve"> </w:t>
      </w:r>
    </w:p>
    <w:p w14:paraId="0517EFC1" w14:textId="77777777" w:rsidR="00846451" w:rsidRPr="00FD3731" w:rsidRDefault="00846451" w:rsidP="00846451">
      <w:pPr>
        <w:pStyle w:val="avsnitt-under-undertittel"/>
      </w:pPr>
      <w:r w:rsidRPr="00FD3731">
        <w:t>Fortsatt fare for svakere utvikling</w:t>
      </w:r>
      <w:r>
        <w:t xml:space="preserve"> i verdensøkonomien </w:t>
      </w:r>
    </w:p>
    <w:p w14:paraId="02557C55" w14:textId="77777777" w:rsidR="00846451" w:rsidRDefault="00846451" w:rsidP="00846451">
      <w:r>
        <w:t xml:space="preserve">Det er usikkerhet om det videre forløpet for internasjonal økonomi. Nedsiderisikoen er særlig knyttet til utviklingen i framvoksende økonomier. </w:t>
      </w:r>
    </w:p>
    <w:p w14:paraId="248F8BB8" w14:textId="77777777" w:rsidR="00846451" w:rsidRDefault="00846451" w:rsidP="00846451">
      <w:r>
        <w:t>Usikkerhet om utsiktene for kinesisk økonomi har bidratt til ustabilitet i finansmarkedene det siste året. Økonomien er inne i en omstilling fra eksport- og investeringsdrevet vekst, til konsumledet vekst. Det er samtidig uro knyttet til den høye gjelden i privat sektor og svakheter i eiendomsmarkedene. Et økonomisk tilbakeslag i Kina vil redusere veksten i verdensøkonomien og kan gi ytterligere fall i råvarepriser og uro i finansmarkedene.</w:t>
      </w:r>
    </w:p>
    <w:p w14:paraId="31EFC639" w14:textId="488CC606" w:rsidR="00846451" w:rsidRDefault="00846451" w:rsidP="00846451">
      <w:r>
        <w:t>Finansmarkedene har vist seg skjøre de senere årene. Den siste tiden har det vært betydelige fall i bankaksjer</w:t>
      </w:r>
      <w:r w:rsidR="007E0639">
        <w:t>.</w:t>
      </w:r>
      <w:r>
        <w:t xml:space="preserve"> Om den økonomiske veksten uteblir eller faller, kan det slå ut i økt mistillit og store svingninger i finansmarkedene. Finansiell ustabilitet kan igjen bremse produksjon og sysselsetting. </w:t>
      </w:r>
    </w:p>
    <w:p w14:paraId="569441E9" w14:textId="77777777" w:rsidR="00846451" w:rsidRDefault="00846451" w:rsidP="00846451">
      <w:r>
        <w:t>Pengepolitikken er svært ekspansiv flere steder i verden. Det er usikkerhet knyttet til hvordan det over tid påvirker verdensøkonomien, og om det kan gi grobunn for finansiell ustabilitet. Det er også usikkert hvordan finansmarkedet vil reagere etter hvert som pengepolitikken i enkeltland normaliseres.</w:t>
      </w:r>
    </w:p>
    <w:p w14:paraId="10B1733F" w14:textId="77777777" w:rsidR="00846451" w:rsidRDefault="00846451" w:rsidP="00846451">
      <w:r>
        <w:t>Den geopolitiske situasjonen er spent flere steder og kan gi opphav til økt usikkerhet også andre steder i verden.</w:t>
      </w:r>
    </w:p>
    <w:p w14:paraId="029EE513" w14:textId="77777777" w:rsidR="00846451" w:rsidRDefault="00846451" w:rsidP="00846451"/>
    <w:p w14:paraId="24C6AB53" w14:textId="77777777" w:rsidR="00846451" w:rsidRPr="00AD69B7" w:rsidRDefault="00846451" w:rsidP="00846451">
      <w:r w:rsidRPr="00515D4A">
        <w:rPr>
          <w:i/>
        </w:rPr>
        <w:t>Den økonomiske utviklingen i noen land og regioner</w:t>
      </w:r>
    </w:p>
    <w:p w14:paraId="74A74314" w14:textId="77777777" w:rsidR="00846451" w:rsidRDefault="00846451" w:rsidP="00846451">
      <w:r>
        <w:t>I USA økte BNP med 2,4 prosent i 2015, det samme som året før.</w:t>
      </w:r>
      <w:r w:rsidRPr="00466B37">
        <w:t xml:space="preserve"> </w:t>
      </w:r>
      <w:r>
        <w:t xml:space="preserve">Økt privat konsum var den viktigste driveren på etterspørselssiden. Oppgangen må ses i sammenheng med økt realdisponibel inntekt, både som følge av vekst i lønningene og lavere energipriser. Høyere boligpriser kan også ha trukket opp forbruket. Investeringene i oljesektoren falt, men i andre sektorer var det oppgang. Sterkere dollar trakk ned nettoeksporten. IMF venter at vekstbildet vil være nokså likt i 2016 som i 2015, og anslår en vekst i BNP på 2,6 prosent. I lys av bedringen i økonomien økte den amerikanske sentralbanken renten i desember 2015. </w:t>
      </w:r>
    </w:p>
    <w:p w14:paraId="4FC54263" w14:textId="77777777" w:rsidR="00846451" w:rsidRDefault="00846451" w:rsidP="00846451">
      <w:r>
        <w:t>I arbeidsmarkedet gikk sysselsettingen videre opp i fjor. Arbeidsledigheten falt fra 5,7 prosent av arbeidsstyrken i januar 2015 til 4,9 prosent i januar i år. Sysselsettingsraten er svært lav sammenliknet med før finanskrisen.</w:t>
      </w:r>
    </w:p>
    <w:p w14:paraId="5D90AE00" w14:textId="77777777" w:rsidR="00846451" w:rsidRDefault="00846451" w:rsidP="00846451">
      <w:r>
        <w:t xml:space="preserve">Det moderate oppsvinget i euroområdet fortsatte i fjor. BNP økte med 1,5 prosent i 2015, etter en vekst på 0,9 prosent i 2014. Veksten understøttes av lave renter og lave energipriser. Privat konsum var den viktigste driveren. Samtidig bidro en svak euro til høyere eksport. Fall i kredittgivingen snudde til vekst mot slutten av fjoråret. Det må ses i sammenheng med tiltak fra Den europeiske sentralbanken (ESB). I flere land bidrar fortsatt stram tilgang på kreditt for bedrifter og husholdninger til lavere vekst. Utviklingen i bedriftsinvesteringene er svak. </w:t>
      </w:r>
    </w:p>
    <w:p w14:paraId="12700E45" w14:textId="5B95B6B6" w:rsidR="00846451" w:rsidRPr="00515D4A" w:rsidRDefault="00846451" w:rsidP="00846451">
      <w:pPr>
        <w:rPr>
          <w:highlight w:val="yellow"/>
        </w:rPr>
      </w:pPr>
      <w:r>
        <w:t>I arbeidsmarkedet har ledigheten falt videre, fra 11,4 prosent av arbeidsstyrken i desember 2014 til 10,4 prosent i desember 2015. Sysselsettingen var 1,1 prosent høyere i 3. kvartal i fjor enn ett år tidligere. Sysselsettingsraten i euroområdet er nå nær nivåene fra før finanskrisen. Igjennom fjoråret gikk arbeidsledigheten opp i Finland og Østerrike, mens den falt i de andre landene i valutaområdet.</w:t>
      </w:r>
      <w:r w:rsidDel="00823219">
        <w:t xml:space="preserve"> </w:t>
      </w:r>
      <w:r>
        <w:t xml:space="preserve">Pengepolitikken i euroområdet er svært ekspansiv. Det må ses i sammenheng med lav inflasjon og frykt for at forventningene til framtidig prisvekst skal bite seg fast på lave nivåer. Inflasjonen i januar i år er estimert til 0,4 prosent, opp fra -0,6 prosent i januar i fjor. En viktig grunn for den lave prisveksten er lave energipriser, men også lønnsveksten er lav. Mål for underliggende inflasjon ligger likevel høyere enn den samlede inflasjonen. </w:t>
      </w:r>
    </w:p>
    <w:p w14:paraId="6FE01F7E" w14:textId="5A8CFA95" w:rsidR="00846451" w:rsidRPr="007165D1" w:rsidRDefault="00846451" w:rsidP="00846451">
      <w:r w:rsidRPr="007165D1">
        <w:t>ESB holdt styringsrenten uendret på 0,05 p</w:t>
      </w:r>
      <w:r>
        <w:t>rosent</w:t>
      </w:r>
      <w:r w:rsidRPr="007165D1">
        <w:t xml:space="preserve"> i hele fjor. I desember ble renten på </w:t>
      </w:r>
      <w:r>
        <w:t>finansinstitusjonenes</w:t>
      </w:r>
      <w:r w:rsidRPr="007165D1">
        <w:t xml:space="preserve"> innskudd i sentralbanken </w:t>
      </w:r>
      <w:r>
        <w:t>redusert med 0,10 prosentenheter,</w:t>
      </w:r>
      <w:r w:rsidRPr="007165D1">
        <w:t xml:space="preserve"> til -0,30 prosent. </w:t>
      </w:r>
      <w:r>
        <w:t xml:space="preserve">ESB har også videreført sine ekstraordinære likviditetstiltak der finansinstitusjonene i euroområdet gjennom auksjoner </w:t>
      </w:r>
      <w:r w:rsidRPr="007165D1">
        <w:t xml:space="preserve">kan låne ubegrenset </w:t>
      </w:r>
      <w:r>
        <w:t>til styrings</w:t>
      </w:r>
      <w:r w:rsidRPr="007165D1">
        <w:t xml:space="preserve">renten. </w:t>
      </w:r>
      <w:r>
        <w:t xml:space="preserve">ESB har siden høsten 2014 kjøpt obligasjoner med fortrinnsrett og obligasjoner med pant fra privat sektor. I mars i fjor utvidet </w:t>
      </w:r>
      <w:r w:rsidRPr="00082808">
        <w:t>E</w:t>
      </w:r>
      <w:r>
        <w:t>S</w:t>
      </w:r>
      <w:r w:rsidRPr="00082808">
        <w:t xml:space="preserve">B </w:t>
      </w:r>
      <w:r>
        <w:t xml:space="preserve">kjøpene til også å inkludere statsobligasjoner. Samlet sett beløper ESBs verdipapirkjøp seg til </w:t>
      </w:r>
      <w:r w:rsidRPr="00082808">
        <w:t>60</w:t>
      </w:r>
      <w:r>
        <w:t xml:space="preserve"> mrd. euro per måned.</w:t>
      </w:r>
      <w:r w:rsidRPr="00082808">
        <w:t xml:space="preserve"> E</w:t>
      </w:r>
      <w:r>
        <w:t>S</w:t>
      </w:r>
      <w:r w:rsidRPr="00082808">
        <w:t xml:space="preserve">B har varslet at de vil </w:t>
      </w:r>
      <w:r>
        <w:t xml:space="preserve">holde fram med kjøpene </w:t>
      </w:r>
      <w:r w:rsidRPr="00082808">
        <w:t>til og med 1. kvartal 2017, eller lenge</w:t>
      </w:r>
      <w:r w:rsidR="007E0639">
        <w:t>r</w:t>
      </w:r>
      <w:r w:rsidRPr="00082808">
        <w:t xml:space="preserve"> dersom det er nødvendig.</w:t>
      </w:r>
    </w:p>
    <w:p w14:paraId="042507FC" w14:textId="6D760CC7" w:rsidR="00846451" w:rsidRDefault="00846451" w:rsidP="00846451">
      <w:r>
        <w:t xml:space="preserve">I Tyskland </w:t>
      </w:r>
      <w:r w:rsidRPr="00103522">
        <w:t>økte</w:t>
      </w:r>
      <w:r>
        <w:t xml:space="preserve"> veksten i BNP fra 1,6 prosent i 2014 til 1,7 prosent i 2015.</w:t>
      </w:r>
      <w:r w:rsidRPr="00103522">
        <w:t xml:space="preserve"> Arbeidsledigheten falt, </w:t>
      </w:r>
      <w:r>
        <w:t>fra 5,0 prosent i 2014 til 4,6 prosent av arbeidsstyrken i 2015</w:t>
      </w:r>
      <w:r w:rsidRPr="00103522">
        <w:t>.</w:t>
      </w:r>
      <w:r>
        <w:t xml:space="preserve"> Det er det klart laveste nivået siden gjenforeningen. Bedringen i arbeidsmarkedet har sammen med lav inflasjon og økt lønnsvekst bidratt til høy vekst i privat konsum. Også høyere offentlig konsum trakk veksten opp i fjor. Bidraget fra nettoeksporten var svakt som følge av lavere etterspørsel fra framvoksende økonomier. Utviklingen i investeringene trakk BNP-veksten ned i fjor. </w:t>
      </w:r>
      <w:r w:rsidRPr="00FC6DAF">
        <w:t>IMF</w:t>
      </w:r>
      <w:r w:rsidRPr="00103522">
        <w:t xml:space="preserve"> anslår</w:t>
      </w:r>
      <w:r>
        <w:t xml:space="preserve"> en vekst på 1,7 prosent i Tyskland neste år.</w:t>
      </w:r>
    </w:p>
    <w:p w14:paraId="1BAFEE8B" w14:textId="64D528A6" w:rsidR="00846451" w:rsidRPr="00466B37" w:rsidRDefault="00846451" w:rsidP="00846451">
      <w:r w:rsidRPr="00466B37">
        <w:t xml:space="preserve">Veksten i </w:t>
      </w:r>
      <w:r w:rsidRPr="003B4E86">
        <w:rPr>
          <w:i/>
        </w:rPr>
        <w:t>Storbritannia</w:t>
      </w:r>
      <w:r w:rsidRPr="00466B37">
        <w:t xml:space="preserve"> </w:t>
      </w:r>
      <w:r>
        <w:t xml:space="preserve">avtok fra 2,9 prosent i 2014 til 2,2 prosent i 2015. BNP-veksten var med det likevel høyere enn gjennomsnittet for de foregående årene. Økt lønnsvekst og vekst i sysselsettingen bidro til høyere privat konsum. Det var også vekst i investeringene i næringslivet. Eksportveksten økte i fjor til tross for sterkere pund og lavere vekst i framvoksende økonomier. Økt import gjorde at bidraget fra nettoeksporten var negativt. Oppgangen i Storbritannia har vært hjulpet av en ekspansiv pengepolitikk, mens finanspolitikken har vært kontraktiv de siste årene. Veksten i sysselsettingen har fortsatt, og arbeidsledigheten var 5,1 prosent i desember i fjor. IMF anslår at veksten i BNP vil bli 2,2 prosent i 2016. </w:t>
      </w:r>
    </w:p>
    <w:p w14:paraId="475F137A" w14:textId="608559F8" w:rsidR="00846451" w:rsidRDefault="00846451" w:rsidP="00846451">
      <w:r>
        <w:t>Veksten i Sverige er høy. BNP var 3,9 prosent høyere i 3. kvartal i fjor enn ett år tidligere. Til sammenlikning økte BNP med 2,3 prosent i 2014. Det var særlig økte investeringer og høyere konsum som trakk opp veksten. Tilstrømmingen av asylsøkere til Sverige har vært stor, og underskuddet på offentlige finanser har økt. Arbeidsledigheten har falt videre, og var 7,2 prosent i desember i fjor. Riksbanken har redusert styringsrenten til -0,5 prosent som følge av lav inflasjon. I tillegg har sentralbanken trappet opp sine kjøp av statsobligasjoner (kvantitative lettelser). Riksbanken har dessuten uttalt at den er rede til å intervenere i valutamarkedet dersom kronen blir for sterk.</w:t>
      </w:r>
    </w:p>
    <w:p w14:paraId="257B0604" w14:textId="1EE08F2E" w:rsidR="00846451" w:rsidRDefault="00846451" w:rsidP="00846451">
      <w:pPr>
        <w:shd w:val="clear" w:color="auto" w:fill="FFFFFF"/>
      </w:pPr>
      <w:r>
        <w:t xml:space="preserve">BNP i </w:t>
      </w:r>
      <w:r w:rsidRPr="00C3748B">
        <w:rPr>
          <w:i/>
        </w:rPr>
        <w:t>Japan</w:t>
      </w:r>
      <w:r>
        <w:rPr>
          <w:i/>
        </w:rPr>
        <w:t xml:space="preserve"> </w:t>
      </w:r>
      <w:r>
        <w:t xml:space="preserve">økte med 0,5 </w:t>
      </w:r>
      <w:r w:rsidR="007E0639">
        <w:t>prosent</w:t>
      </w:r>
      <w:r>
        <w:t xml:space="preserve"> i fjor, etter at BNP holdt seg uendret fra 2013 til 2014. </w:t>
      </w:r>
      <w:r w:rsidRPr="00C3748B">
        <w:t>Økt eksport og høyere investeringer i privat sektor trakk veksten opp</w:t>
      </w:r>
      <w:r w:rsidRPr="0098713C">
        <w:t>.</w:t>
      </w:r>
      <w:r>
        <w:t xml:space="preserve"> Arbeidsledigheten falt fra 3,4 prosent i desember 2014 til 3,3 prosent i desember 2015. Etter å ha svekket seg betydelig mot slutten av 2014, holdt valutakursen seg nokså stabil i 2015. I begynnelsen av 2016 har det vært en styrking av yen mot andre valutaer. Etter at inflasjonen tok seg opp i 2013 og 2014, har prisstigningen igjen kommet ned og var i desember på 0,2 prosent. Bank of Japan fører en svært ekspansiv pengepolitikk, og offentliggjorde i slutten av januar at de vil sette ned renten på nye innskudd i sentralbanken til -0,1 prosent. Banken vil fortsette med å kjøpe verdipapirer i markedet. I tillegg til den ekspansive pengepolitikken vil trolig lav oljepris bidra til økt vekst framover. </w:t>
      </w:r>
      <w:r w:rsidRPr="00FC6DAF">
        <w:t>IMF</w:t>
      </w:r>
      <w:r>
        <w:t xml:space="preserve"> anslår en vekst i Japan på 1,0 prosent i 2016.</w:t>
      </w:r>
    </w:p>
    <w:p w14:paraId="7BA280FF" w14:textId="27E1AA5C" w:rsidR="00846451" w:rsidRDefault="00846451" w:rsidP="00846451">
      <w:r>
        <w:t xml:space="preserve">I </w:t>
      </w:r>
      <w:r w:rsidRPr="00103522">
        <w:rPr>
          <w:i/>
        </w:rPr>
        <w:t>framvoksende økonomier</w:t>
      </w:r>
      <w:r>
        <w:t xml:space="preserve"> gikk veksten ned fra 4,6 prosent i 2014 til 4,0 prosent i fjor. Det var særlig råvareproduserende økonomier som trakk veksten ned. Russland og Brasil er begge gått inn i dype økonomiske tilbakeslag. Veksten i Russland trekkes ned av lavere priser på olje og gass og økonomiske sanksjoner mot landet. Rubelen har svekket seg kraftig. Det har redusert fallet i eksportinntekter målt i innenlandsk valuta, og trukket prisene på utenlandske varer og tjenester opp. Økonomien i landet preges også av konfliktene i Ukraina og Syria. IMF venter at falltakten i russisk økonomi vil avta fra -3,7 prosent i 2015 til -1,0 prosent i 2016. Lavere priser på olje og metaller, og lavere etterspørsel fra Kina har bidratt til å trekke ned den økonomiske aktiviteten i Brasil. Kontraktiv finanspolitikk har dratt i samme retning. I tillegg har korrupsjonsskandaler bidratt til utsettelser av investeringsprosjekter i petroleumssektoren. IMF venter at falltakten i økonomien vil avta litt, fra -3,8 prosent i 2015 til -3,5 prosent i 2016. </w:t>
      </w:r>
    </w:p>
    <w:p w14:paraId="5A1B3AB6" w14:textId="2E4CA835" w:rsidR="001F6B94" w:rsidRDefault="00846451" w:rsidP="0037143F">
      <w:r w:rsidRPr="00466B37">
        <w:t>Veksten i Asia v</w:t>
      </w:r>
      <w:r>
        <w:t>ar</w:t>
      </w:r>
      <w:r w:rsidRPr="00466B37">
        <w:t xml:space="preserve"> fortsatt høy</w:t>
      </w:r>
      <w:r>
        <w:t xml:space="preserve"> i 2015</w:t>
      </w:r>
      <w:r w:rsidRPr="00466B37">
        <w:t xml:space="preserve">, </w:t>
      </w:r>
      <w:r>
        <w:t>med 6,9 prosent i Kina og 7,3 prosent i India. Mens veksten i Kina avtar, er den på ve</w:t>
      </w:r>
      <w:r w:rsidR="007E0639">
        <w:t>i</w:t>
      </w:r>
      <w:r>
        <w:t xml:space="preserve"> opp i India. Det er hovedsakelig svakere investeringstall som har trukket ned veksten i Kina. Omstillingen mot en vekstmodell som baserer seg mer på innenlandsk konsum har trolig bidratt til å redusere Kinas handel med andre land. Det har trukket ned veksten i andre land i regionen. Lav rente og fallende råvarepriser bidrar til høyere vekst i India. Veksten i fjor var den høyeste siden 2011. Inflasjonen er kommet ned fra høye nivåer, og lå rundt 5 prosent i fjor. Sentralbanken har redusert signalrenten flere ganger det siste året.</w:t>
      </w:r>
      <w:r w:rsidRPr="00377F4B">
        <w:t xml:space="preserve"> </w:t>
      </w:r>
      <w:r w:rsidRPr="006139FF">
        <w:t>I afrikanske land sør for Sahara anslås veksten å</w:t>
      </w:r>
      <w:r>
        <w:t xml:space="preserve"> falle til 3,5 prosent i 2015, ned fra 5,0 prosent i 2014. Det må trolig ses i sammenheng med lavere etterspørselsvekst fra Kina og fall i råvarepriser. I Sør-Amerika anslås det et fall i BNP på 0,3 prosent i år, etter et tilsvarende fall i fjor.</w:t>
      </w:r>
    </w:p>
    <w:p w14:paraId="0669FC0F" w14:textId="77777777" w:rsidR="006F55F8" w:rsidRPr="006B38D0" w:rsidRDefault="006F55F8" w:rsidP="004779A9">
      <w:pPr>
        <w:pStyle w:val="Overskrift2"/>
        <w:numPr>
          <w:ilvl w:val="1"/>
          <w:numId w:val="27"/>
        </w:numPr>
      </w:pPr>
      <w:bookmarkStart w:id="190" w:name="_Toc443998977"/>
      <w:r w:rsidRPr="006B38D0">
        <w:t>Norsk økonomi</w:t>
      </w:r>
      <w:bookmarkEnd w:id="175"/>
      <w:bookmarkEnd w:id="190"/>
      <w:r w:rsidRPr="006B38D0">
        <w:t xml:space="preserve"> </w:t>
      </w:r>
    </w:p>
    <w:p w14:paraId="2AF77A22" w14:textId="0B30691C" w:rsidR="006F55F8" w:rsidRPr="006B38D0" w:rsidRDefault="006F55F8" w:rsidP="006F55F8">
      <w:pPr>
        <w:rPr>
          <w:bCs/>
          <w:szCs w:val="24"/>
        </w:rPr>
      </w:pPr>
      <w:r>
        <w:rPr>
          <w:rFonts w:ascii="Times New Roman" w:hAnsi="Times New Roman"/>
        </w:rPr>
        <w:t>I</w:t>
      </w:r>
      <w:r w:rsidRPr="00C63321">
        <w:rPr>
          <w:rFonts w:ascii="Times New Roman" w:hAnsi="Times New Roman"/>
        </w:rPr>
        <w:t>mpulser fra utlandet</w:t>
      </w:r>
      <w:r>
        <w:rPr>
          <w:rFonts w:ascii="Times New Roman" w:hAnsi="Times New Roman"/>
        </w:rPr>
        <w:t xml:space="preserve"> får effekter på utviklingen i norsk økonomi </w:t>
      </w:r>
      <w:r w:rsidRPr="00C63321">
        <w:rPr>
          <w:rFonts w:ascii="Times New Roman" w:hAnsi="Times New Roman"/>
        </w:rPr>
        <w:t xml:space="preserve">gjennom en rekke kanaler. Aktivitetsutviklingen ute påvirker sammen med norske kostnadsforhold og valutakursen norsk eksport. Verdensmarkedsprisene på en rekke råvarer, aller viktigst råolje, har konsekvenser for lønnsomhet og investeringer. Valutakurs og renter bestemmes i et samspill mellom norske og utenlandske faktorer. Arbeidsmarkedet i EØS-området påvirker det norske arbeidsmarkedet gjennom å påvirke arbeidsinnvandring og </w:t>
      </w:r>
      <w:r w:rsidR="009D49B9">
        <w:rPr>
          <w:rFonts w:ascii="Times New Roman" w:hAnsi="Times New Roman"/>
        </w:rPr>
        <w:t>-</w:t>
      </w:r>
      <w:r w:rsidRPr="00C63321">
        <w:rPr>
          <w:rFonts w:ascii="Times New Roman" w:hAnsi="Times New Roman"/>
        </w:rPr>
        <w:t>utvandring.</w:t>
      </w:r>
    </w:p>
    <w:p w14:paraId="7315240B" w14:textId="77777777" w:rsidR="006F55F8" w:rsidRDefault="006F55F8" w:rsidP="004779A9">
      <w:pPr>
        <w:pStyle w:val="Overskrift3"/>
        <w:numPr>
          <w:ilvl w:val="2"/>
          <w:numId w:val="25"/>
        </w:numPr>
      </w:pPr>
      <w:bookmarkStart w:id="191" w:name="_Toc443998978"/>
      <w:r w:rsidRPr="00F601E6">
        <w:t>Den senere tids makroøkonomiske</w:t>
      </w:r>
      <w:r>
        <w:t xml:space="preserve"> utvikling</w:t>
      </w:r>
      <w:bookmarkEnd w:id="191"/>
      <w:r w:rsidRPr="00F601E6">
        <w:t xml:space="preserve"> </w:t>
      </w:r>
    </w:p>
    <w:p w14:paraId="0D14B4F5" w14:textId="43F4AB41" w:rsidR="006F55F8" w:rsidRDefault="006F55F8" w:rsidP="006F55F8">
      <w:pPr>
        <w:rPr>
          <w:rFonts w:ascii="Times New Roman" w:hAnsi="Times New Roman"/>
        </w:rPr>
      </w:pPr>
      <w:r w:rsidRPr="00D721B1">
        <w:rPr>
          <w:rFonts w:ascii="Times New Roman" w:hAnsi="Times New Roman"/>
        </w:rPr>
        <w:t>Etterspørselen fra petroleumsnæringen</w:t>
      </w:r>
      <w:r>
        <w:rPr>
          <w:rFonts w:ascii="Times New Roman" w:hAnsi="Times New Roman"/>
        </w:rPr>
        <w:t>,</w:t>
      </w:r>
      <w:r w:rsidRPr="00D721B1">
        <w:rPr>
          <w:rFonts w:ascii="Times New Roman" w:hAnsi="Times New Roman"/>
        </w:rPr>
        <w:t xml:space="preserve"> som lenge </w:t>
      </w:r>
      <w:r>
        <w:rPr>
          <w:rFonts w:ascii="Times New Roman" w:hAnsi="Times New Roman"/>
        </w:rPr>
        <w:t>h</w:t>
      </w:r>
      <w:r w:rsidRPr="00D721B1">
        <w:rPr>
          <w:rFonts w:ascii="Times New Roman" w:hAnsi="Times New Roman"/>
        </w:rPr>
        <w:t>adde stimulert aktivitetsutviklingen i Norge</w:t>
      </w:r>
      <w:r>
        <w:rPr>
          <w:rFonts w:ascii="Times New Roman" w:hAnsi="Times New Roman"/>
        </w:rPr>
        <w:t>,</w:t>
      </w:r>
      <w:r w:rsidRPr="00D721B1">
        <w:rPr>
          <w:rFonts w:ascii="Times New Roman" w:hAnsi="Times New Roman"/>
        </w:rPr>
        <w:t xml:space="preserve"> slo i midten av 2013 om til nedgang</w:t>
      </w:r>
      <w:r>
        <w:rPr>
          <w:rFonts w:ascii="Times New Roman" w:hAnsi="Times New Roman"/>
        </w:rPr>
        <w:t>. F</w:t>
      </w:r>
      <w:r w:rsidRPr="00D721B1">
        <w:rPr>
          <w:rFonts w:ascii="Times New Roman" w:hAnsi="Times New Roman"/>
        </w:rPr>
        <w:t>ra sommeren 2014 har denne utviklingen blitt forsterket av et kraftig fall i oljeprisen</w:t>
      </w:r>
      <w:r>
        <w:rPr>
          <w:rFonts w:ascii="Times New Roman" w:hAnsi="Times New Roman"/>
        </w:rPr>
        <w:t xml:space="preserve">. Dette har bidratt til at veksten i BNP Fastlands-Norge deretter har vært lavere enn SSBs anslåtte trendvekst på </w:t>
      </w:r>
      <w:r w:rsidRPr="00D721B1">
        <w:rPr>
          <w:rFonts w:ascii="Times New Roman" w:hAnsi="Times New Roman"/>
        </w:rPr>
        <w:t>2</w:t>
      </w:r>
      <w:r>
        <w:rPr>
          <w:rFonts w:ascii="Times New Roman" w:hAnsi="Times New Roman"/>
        </w:rPr>
        <w:t xml:space="preserve"> </w:t>
      </w:r>
      <w:r w:rsidRPr="00D721B1">
        <w:rPr>
          <w:rFonts w:ascii="Times New Roman" w:hAnsi="Times New Roman"/>
        </w:rPr>
        <w:t>¼ prosent</w:t>
      </w:r>
      <w:r>
        <w:rPr>
          <w:rFonts w:ascii="Times New Roman" w:hAnsi="Times New Roman"/>
        </w:rPr>
        <w:t>. Spesielt kraftig nedgang i petroleumsinvesteringene i 3. kvartal 2015 bidro til at veksten i BNP Fastlands-Norge falt ytterligere i andre halvår i fjor. S</w:t>
      </w:r>
      <w:r w:rsidRPr="00D721B1">
        <w:rPr>
          <w:rFonts w:ascii="Times New Roman" w:hAnsi="Times New Roman"/>
        </w:rPr>
        <w:t>o</w:t>
      </w:r>
      <w:r>
        <w:rPr>
          <w:rFonts w:ascii="Times New Roman" w:hAnsi="Times New Roman"/>
        </w:rPr>
        <w:t>m årsgjennomsnitt økte BNP Fastlands-Norge i 2015 med bare 1,0</w:t>
      </w:r>
      <w:r w:rsidRPr="00D721B1">
        <w:rPr>
          <w:rFonts w:ascii="Times New Roman" w:hAnsi="Times New Roman"/>
        </w:rPr>
        <w:t xml:space="preserve"> prosent</w:t>
      </w:r>
      <w:r>
        <w:rPr>
          <w:rFonts w:ascii="Times New Roman" w:hAnsi="Times New Roman"/>
        </w:rPr>
        <w:t xml:space="preserve"> etter nær nullvekst gjennom andre halvår</w:t>
      </w:r>
      <w:r w:rsidR="008D32BA">
        <w:rPr>
          <w:rFonts w:ascii="Times New Roman" w:hAnsi="Times New Roman"/>
        </w:rPr>
        <w:t xml:space="preserve">. </w:t>
      </w:r>
      <w:r w:rsidR="00221970">
        <w:rPr>
          <w:rFonts w:ascii="Times New Roman" w:hAnsi="Times New Roman"/>
        </w:rPr>
        <w:t xml:space="preserve">Figur 3.5 </w:t>
      </w:r>
      <w:r>
        <w:rPr>
          <w:rFonts w:ascii="Times New Roman" w:hAnsi="Times New Roman"/>
        </w:rPr>
        <w:t>viser utviklingen i BNP Fastlands-Norge og noen andre nasjonalregnskapsstørrelser i de fire siste årene.</w:t>
      </w:r>
    </w:p>
    <w:p w14:paraId="4D25998B" w14:textId="77777777" w:rsidR="00DD5117" w:rsidRPr="00D721B1" w:rsidRDefault="00DD5117" w:rsidP="00DD5117">
      <w:pPr>
        <w:rPr>
          <w:rFonts w:ascii="Times New Roman" w:hAnsi="Times New Roman"/>
        </w:rPr>
      </w:pPr>
      <w:r w:rsidRPr="00D721B1" w:rsidDel="004060A8">
        <w:rPr>
          <w:rFonts w:ascii="Times New Roman" w:hAnsi="Times New Roman"/>
        </w:rPr>
        <w:t xml:space="preserve">Ekspansiv finanspolitikk, lavere rente og svakere krone </w:t>
      </w:r>
      <w:r>
        <w:rPr>
          <w:rFonts w:ascii="Times New Roman" w:hAnsi="Times New Roman"/>
        </w:rPr>
        <w:t>har dempet konjunkturnedgangen</w:t>
      </w:r>
      <w:r w:rsidRPr="00D721B1" w:rsidDel="004060A8">
        <w:rPr>
          <w:rFonts w:ascii="Times New Roman" w:hAnsi="Times New Roman"/>
        </w:rPr>
        <w:t>.</w:t>
      </w:r>
      <w:r w:rsidRPr="00D721B1" w:rsidDel="004060A8">
        <w:rPr>
          <w:rFonts w:ascii="Times New Roman" w:hAnsi="Times New Roman"/>
          <w:i/>
        </w:rPr>
        <w:t xml:space="preserve"> </w:t>
      </w:r>
      <w:r w:rsidRPr="00D721B1" w:rsidDel="004060A8">
        <w:rPr>
          <w:rFonts w:ascii="Times New Roman" w:hAnsi="Times New Roman"/>
        </w:rPr>
        <w:t xml:space="preserve">Etterspørselen fra Fastlands-Norge har utviklet seg ganske moderat, med en nedgang i næringsinvesteringene på fastlandet og med vekst </w:t>
      </w:r>
      <w:r w:rsidDel="004060A8">
        <w:rPr>
          <w:rFonts w:ascii="Times New Roman" w:hAnsi="Times New Roman"/>
        </w:rPr>
        <w:t>i</w:t>
      </w:r>
      <w:r w:rsidRPr="00D721B1" w:rsidDel="004060A8">
        <w:rPr>
          <w:rFonts w:ascii="Times New Roman" w:hAnsi="Times New Roman"/>
        </w:rPr>
        <w:t xml:space="preserve"> </w:t>
      </w:r>
      <w:r w:rsidDel="004060A8">
        <w:rPr>
          <w:rFonts w:ascii="Times New Roman" w:hAnsi="Times New Roman"/>
        </w:rPr>
        <w:t xml:space="preserve">konsumet i </w:t>
      </w:r>
      <w:r w:rsidRPr="00D721B1" w:rsidDel="004060A8">
        <w:rPr>
          <w:rFonts w:ascii="Times New Roman" w:hAnsi="Times New Roman"/>
        </w:rPr>
        <w:t xml:space="preserve">husholdningene </w:t>
      </w:r>
      <w:r w:rsidDel="004060A8">
        <w:rPr>
          <w:rFonts w:ascii="Times New Roman" w:hAnsi="Times New Roman"/>
        </w:rPr>
        <w:t>og i offentlig forvaltning</w:t>
      </w:r>
      <w:r w:rsidRPr="00D721B1" w:rsidDel="004060A8">
        <w:rPr>
          <w:rFonts w:ascii="Times New Roman" w:hAnsi="Times New Roman"/>
        </w:rPr>
        <w:t xml:space="preserve"> </w:t>
      </w:r>
      <w:r w:rsidDel="004060A8">
        <w:rPr>
          <w:rFonts w:ascii="Times New Roman" w:hAnsi="Times New Roman"/>
        </w:rPr>
        <w:t>samt boliginvesteringene</w:t>
      </w:r>
      <w:r w:rsidRPr="00D721B1" w:rsidDel="004060A8">
        <w:rPr>
          <w:rFonts w:ascii="Times New Roman" w:hAnsi="Times New Roman"/>
        </w:rPr>
        <w:t xml:space="preserve"> litt </w:t>
      </w:r>
      <w:r>
        <w:rPr>
          <w:rFonts w:ascii="Times New Roman" w:hAnsi="Times New Roman"/>
        </w:rPr>
        <w:t>und</w:t>
      </w:r>
      <w:r w:rsidRPr="00D721B1" w:rsidDel="004060A8">
        <w:rPr>
          <w:rFonts w:ascii="Times New Roman" w:hAnsi="Times New Roman"/>
        </w:rPr>
        <w:t>er trendveksten for BNP Fastlands-Norge.</w:t>
      </w:r>
      <w:r w:rsidDel="004060A8">
        <w:rPr>
          <w:rFonts w:ascii="Times New Roman" w:hAnsi="Times New Roman"/>
        </w:rPr>
        <w:t xml:space="preserve"> Investeringene i</w:t>
      </w:r>
      <w:r w:rsidRPr="00D721B1" w:rsidDel="004060A8">
        <w:rPr>
          <w:rFonts w:ascii="Times New Roman" w:hAnsi="Times New Roman"/>
        </w:rPr>
        <w:t xml:space="preserve"> offentlig forvaltning </w:t>
      </w:r>
      <w:r w:rsidDel="004060A8">
        <w:rPr>
          <w:rFonts w:ascii="Times New Roman" w:hAnsi="Times New Roman"/>
        </w:rPr>
        <w:t>økte litt mer enn denne trendveksten.</w:t>
      </w:r>
      <w:r w:rsidRPr="00D721B1" w:rsidDel="004060A8">
        <w:rPr>
          <w:rFonts w:ascii="Times New Roman" w:hAnsi="Times New Roman"/>
        </w:rPr>
        <w:t xml:space="preserve"> Aktivitets</w:t>
      </w:r>
      <w:r>
        <w:rPr>
          <w:rFonts w:ascii="Times New Roman" w:hAnsi="Times New Roman"/>
        </w:rPr>
        <w:t>veksten</w:t>
      </w:r>
      <w:r w:rsidRPr="00D721B1" w:rsidDel="004060A8">
        <w:rPr>
          <w:rFonts w:ascii="Times New Roman" w:hAnsi="Times New Roman"/>
        </w:rPr>
        <w:t xml:space="preserve"> hos Norges viktigste handelspartnere </w:t>
      </w:r>
      <w:r w:rsidDel="004060A8">
        <w:rPr>
          <w:rFonts w:ascii="Times New Roman" w:hAnsi="Times New Roman"/>
        </w:rPr>
        <w:t>økte litt i 2015</w:t>
      </w:r>
      <w:r w:rsidRPr="00D721B1" w:rsidDel="004060A8">
        <w:rPr>
          <w:rFonts w:ascii="Times New Roman" w:hAnsi="Times New Roman"/>
        </w:rPr>
        <w:t>. Den kraftige svekkelsen av krona som startet tidlig i 2013 og fortsatt</w:t>
      </w:r>
      <w:r>
        <w:rPr>
          <w:rFonts w:ascii="Times New Roman" w:hAnsi="Times New Roman"/>
        </w:rPr>
        <w:t>e</w:t>
      </w:r>
      <w:r w:rsidRPr="00D721B1" w:rsidDel="004060A8">
        <w:rPr>
          <w:rFonts w:ascii="Times New Roman" w:hAnsi="Times New Roman"/>
        </w:rPr>
        <w:t xml:space="preserve"> </w:t>
      </w:r>
      <w:r>
        <w:rPr>
          <w:rFonts w:ascii="Times New Roman" w:hAnsi="Times New Roman"/>
        </w:rPr>
        <w:t xml:space="preserve">i 2015 </w:t>
      </w:r>
      <w:r w:rsidRPr="00D721B1" w:rsidDel="004060A8">
        <w:rPr>
          <w:rFonts w:ascii="Times New Roman" w:hAnsi="Times New Roman"/>
        </w:rPr>
        <w:t xml:space="preserve">har bidratt til en kraftig bedring av den kostnadsmessige konkurranseevnen og til at veksten i tradisjonell vareeksport kom opp </w:t>
      </w:r>
      <w:r w:rsidRPr="00A418A1" w:rsidDel="004060A8">
        <w:rPr>
          <w:rFonts w:ascii="Times New Roman" w:hAnsi="Times New Roman"/>
        </w:rPr>
        <w:t>i 5,5 prosent</w:t>
      </w:r>
      <w:r w:rsidRPr="00D721B1" w:rsidDel="004060A8">
        <w:rPr>
          <w:rFonts w:ascii="Times New Roman" w:hAnsi="Times New Roman"/>
        </w:rPr>
        <w:t xml:space="preserve"> i 2015. Kronesvekkelsen har </w:t>
      </w:r>
      <w:r>
        <w:rPr>
          <w:rFonts w:ascii="Times New Roman" w:hAnsi="Times New Roman"/>
        </w:rPr>
        <w:t xml:space="preserve">også </w:t>
      </w:r>
      <w:r w:rsidRPr="00D721B1" w:rsidDel="004060A8">
        <w:rPr>
          <w:rFonts w:ascii="Times New Roman" w:hAnsi="Times New Roman"/>
        </w:rPr>
        <w:t>stimulert norsk produksjon gjennom å dempe importen.</w:t>
      </w:r>
    </w:p>
    <w:p w14:paraId="36803660" w14:textId="77777777" w:rsidR="00DD5117" w:rsidRPr="00D721B1" w:rsidRDefault="00DD5117" w:rsidP="00DD5117">
      <w:pPr>
        <w:rPr>
          <w:rFonts w:ascii="Times New Roman" w:hAnsi="Times New Roman"/>
        </w:rPr>
      </w:pPr>
      <w:r w:rsidRPr="00D721B1">
        <w:rPr>
          <w:rFonts w:ascii="Times New Roman" w:hAnsi="Times New Roman"/>
        </w:rPr>
        <w:t xml:space="preserve">Det er betydelige ringvirkninger av petroleumsnæringen slik at fallet i etterspørselen </w:t>
      </w:r>
      <w:r>
        <w:rPr>
          <w:rFonts w:ascii="Times New Roman" w:hAnsi="Times New Roman"/>
        </w:rPr>
        <w:t>der</w:t>
      </w:r>
      <w:r w:rsidRPr="00D721B1">
        <w:rPr>
          <w:rFonts w:ascii="Times New Roman" w:hAnsi="Times New Roman"/>
        </w:rPr>
        <w:t>fra innebærer negativ</w:t>
      </w:r>
      <w:r>
        <w:rPr>
          <w:rFonts w:ascii="Times New Roman" w:hAnsi="Times New Roman"/>
        </w:rPr>
        <w:t>e</w:t>
      </w:r>
      <w:r w:rsidRPr="00D721B1">
        <w:rPr>
          <w:rFonts w:ascii="Times New Roman" w:hAnsi="Times New Roman"/>
        </w:rPr>
        <w:t xml:space="preserve"> impuls</w:t>
      </w:r>
      <w:r>
        <w:rPr>
          <w:rFonts w:ascii="Times New Roman" w:hAnsi="Times New Roman"/>
        </w:rPr>
        <w:t>er</w:t>
      </w:r>
      <w:r w:rsidRPr="00D721B1">
        <w:rPr>
          <w:rFonts w:ascii="Times New Roman" w:hAnsi="Times New Roman"/>
        </w:rPr>
        <w:t xml:space="preserve"> mot de fleste næringer. Industrien merker oljenedturen klart kraftigst og der falt bruttoproduktet med </w:t>
      </w:r>
      <w:r>
        <w:rPr>
          <w:rFonts w:ascii="Times New Roman" w:hAnsi="Times New Roman"/>
        </w:rPr>
        <w:t>3,3</w:t>
      </w:r>
      <w:r w:rsidRPr="00D721B1">
        <w:rPr>
          <w:rFonts w:ascii="Times New Roman" w:hAnsi="Times New Roman"/>
        </w:rPr>
        <w:t xml:space="preserve"> prosent</w:t>
      </w:r>
      <w:r>
        <w:rPr>
          <w:rFonts w:ascii="Times New Roman" w:hAnsi="Times New Roman"/>
        </w:rPr>
        <w:t xml:space="preserve"> i 2015</w:t>
      </w:r>
      <w:r w:rsidRPr="00D721B1">
        <w:rPr>
          <w:rFonts w:ascii="Times New Roman" w:hAnsi="Times New Roman"/>
        </w:rPr>
        <w:t xml:space="preserve">. Utviklingen var imidlertid svak også i andre </w:t>
      </w:r>
      <w:r>
        <w:rPr>
          <w:rFonts w:ascii="Times New Roman" w:hAnsi="Times New Roman"/>
        </w:rPr>
        <w:t>industri</w:t>
      </w:r>
      <w:r w:rsidRPr="00D721B1">
        <w:rPr>
          <w:rFonts w:ascii="Times New Roman" w:hAnsi="Times New Roman"/>
        </w:rPr>
        <w:t>næringer enn de oljerelaterte. To markerte unntak var næringen</w:t>
      </w:r>
      <w:r>
        <w:rPr>
          <w:rFonts w:ascii="Times New Roman" w:hAnsi="Times New Roman"/>
        </w:rPr>
        <w:t>e</w:t>
      </w:r>
      <w:r w:rsidRPr="00D721B1">
        <w:rPr>
          <w:rFonts w:ascii="Times New Roman" w:hAnsi="Times New Roman"/>
        </w:rPr>
        <w:t xml:space="preserve"> oljeraffinering, kjemisk og farmasøytisk industri samt trelast- og trevareindustri unntatt møbler </w:t>
      </w:r>
      <w:r>
        <w:rPr>
          <w:rFonts w:ascii="Times New Roman" w:hAnsi="Times New Roman"/>
        </w:rPr>
        <w:t>hvor bruttoproduktet har økt i 2015</w:t>
      </w:r>
      <w:r w:rsidRPr="00D721B1">
        <w:rPr>
          <w:rFonts w:ascii="Times New Roman" w:hAnsi="Times New Roman"/>
        </w:rPr>
        <w:t xml:space="preserve">. </w:t>
      </w:r>
      <w:r>
        <w:rPr>
          <w:rFonts w:ascii="Times New Roman" w:hAnsi="Times New Roman"/>
        </w:rPr>
        <w:t>I a</w:t>
      </w:r>
      <w:r w:rsidRPr="00D721B1">
        <w:rPr>
          <w:rFonts w:ascii="Times New Roman" w:hAnsi="Times New Roman"/>
        </w:rPr>
        <w:t xml:space="preserve">nnen vareproduksjon </w:t>
      </w:r>
      <w:r>
        <w:rPr>
          <w:rFonts w:ascii="Times New Roman" w:hAnsi="Times New Roman"/>
        </w:rPr>
        <w:t>økte bruttoproduktet</w:t>
      </w:r>
      <w:r w:rsidRPr="00D721B1">
        <w:rPr>
          <w:rFonts w:ascii="Times New Roman" w:hAnsi="Times New Roman"/>
        </w:rPr>
        <w:t xml:space="preserve"> </w:t>
      </w:r>
      <w:r>
        <w:rPr>
          <w:rFonts w:ascii="Times New Roman" w:hAnsi="Times New Roman"/>
        </w:rPr>
        <w:t>med</w:t>
      </w:r>
      <w:r w:rsidRPr="00D721B1">
        <w:rPr>
          <w:rFonts w:ascii="Times New Roman" w:hAnsi="Times New Roman"/>
        </w:rPr>
        <w:t xml:space="preserve"> </w:t>
      </w:r>
      <w:r>
        <w:rPr>
          <w:rFonts w:ascii="Times New Roman" w:hAnsi="Times New Roman"/>
        </w:rPr>
        <w:t>2,6</w:t>
      </w:r>
      <w:r w:rsidRPr="00D721B1">
        <w:rPr>
          <w:rFonts w:ascii="Times New Roman" w:hAnsi="Times New Roman"/>
        </w:rPr>
        <w:t xml:space="preserve"> prosent, </w:t>
      </w:r>
      <w:r>
        <w:rPr>
          <w:rFonts w:ascii="Times New Roman" w:hAnsi="Times New Roman"/>
        </w:rPr>
        <w:t xml:space="preserve">og det var særlig god vekst i </w:t>
      </w:r>
      <w:r w:rsidRPr="00D721B1">
        <w:rPr>
          <w:rFonts w:ascii="Times New Roman" w:hAnsi="Times New Roman"/>
        </w:rPr>
        <w:t>bygg og anlegg,</w:t>
      </w:r>
      <w:r>
        <w:rPr>
          <w:rFonts w:ascii="Times New Roman" w:hAnsi="Times New Roman"/>
        </w:rPr>
        <w:t xml:space="preserve"> mens</w:t>
      </w:r>
      <w:r w:rsidRPr="00D721B1">
        <w:rPr>
          <w:rFonts w:ascii="Times New Roman" w:hAnsi="Times New Roman"/>
        </w:rPr>
        <w:t xml:space="preserve"> fiske og akvakultur samt kraftforsyning</w:t>
      </w:r>
      <w:r>
        <w:rPr>
          <w:rFonts w:ascii="Times New Roman" w:hAnsi="Times New Roman"/>
        </w:rPr>
        <w:t xml:space="preserve"> vokste litt mindre enn trendvekst i 2015</w:t>
      </w:r>
      <w:r w:rsidRPr="00D721B1">
        <w:rPr>
          <w:rFonts w:ascii="Times New Roman" w:hAnsi="Times New Roman"/>
        </w:rPr>
        <w:t xml:space="preserve">. I offentlig forvaltning var veksten med </w:t>
      </w:r>
      <w:r>
        <w:rPr>
          <w:rFonts w:ascii="Times New Roman" w:hAnsi="Times New Roman"/>
        </w:rPr>
        <w:t>1,7</w:t>
      </w:r>
      <w:r w:rsidRPr="00D721B1">
        <w:rPr>
          <w:rFonts w:ascii="Times New Roman" w:hAnsi="Times New Roman"/>
        </w:rPr>
        <w:t xml:space="preserve"> prosent litt høyre enn veksten i BNP Fastlands-Norge. Bruttoproduktet i øvrig fastlandsbasert tjenesteyting økte </w:t>
      </w:r>
      <w:r>
        <w:rPr>
          <w:rFonts w:ascii="Times New Roman" w:hAnsi="Times New Roman"/>
        </w:rPr>
        <w:t>i takt med</w:t>
      </w:r>
      <w:r w:rsidRPr="00D721B1">
        <w:rPr>
          <w:rFonts w:ascii="Times New Roman" w:hAnsi="Times New Roman"/>
        </w:rPr>
        <w:t xml:space="preserve"> BNP Fastlands-Norge. Innen denne gruppen er det imidlertid svært store forskjeller i utvikling. </w:t>
      </w:r>
      <w:r>
        <w:rPr>
          <w:rFonts w:ascii="Times New Roman" w:hAnsi="Times New Roman"/>
        </w:rPr>
        <w:t xml:space="preserve">I </w:t>
      </w:r>
      <w:r w:rsidRPr="00D721B1">
        <w:rPr>
          <w:rFonts w:ascii="Times New Roman" w:hAnsi="Times New Roman"/>
        </w:rPr>
        <w:t>tjenester i tilknytning til utvinning</w:t>
      </w:r>
      <w:r>
        <w:rPr>
          <w:rFonts w:ascii="Times New Roman" w:hAnsi="Times New Roman"/>
        </w:rPr>
        <w:t xml:space="preserve"> falt bruttoproduktet med hele 12,5 prosent</w:t>
      </w:r>
      <w:r w:rsidRPr="00D721B1">
        <w:rPr>
          <w:rFonts w:ascii="Times New Roman" w:hAnsi="Times New Roman"/>
        </w:rPr>
        <w:t>,</w:t>
      </w:r>
      <w:r>
        <w:rPr>
          <w:rFonts w:ascii="Times New Roman" w:hAnsi="Times New Roman"/>
        </w:rPr>
        <w:t xml:space="preserve"> </w:t>
      </w:r>
      <w:r w:rsidRPr="00D721B1">
        <w:rPr>
          <w:rFonts w:ascii="Times New Roman" w:hAnsi="Times New Roman"/>
        </w:rPr>
        <w:t xml:space="preserve">og </w:t>
      </w:r>
      <w:r>
        <w:rPr>
          <w:rFonts w:ascii="Times New Roman" w:hAnsi="Times New Roman"/>
        </w:rPr>
        <w:t xml:space="preserve">det var også </w:t>
      </w:r>
      <w:r w:rsidRPr="00D721B1">
        <w:rPr>
          <w:rFonts w:ascii="Times New Roman" w:hAnsi="Times New Roman"/>
        </w:rPr>
        <w:t>klar nedgang i</w:t>
      </w:r>
      <w:r>
        <w:rPr>
          <w:rFonts w:ascii="Times New Roman" w:hAnsi="Times New Roman"/>
        </w:rPr>
        <w:t xml:space="preserve"> post og distribusjon samt</w:t>
      </w:r>
      <w:r w:rsidRPr="00D721B1">
        <w:rPr>
          <w:rFonts w:ascii="Times New Roman" w:hAnsi="Times New Roman"/>
        </w:rPr>
        <w:t xml:space="preserve"> faglig, vitenskap</w:t>
      </w:r>
      <w:r>
        <w:rPr>
          <w:rFonts w:ascii="Times New Roman" w:hAnsi="Times New Roman"/>
        </w:rPr>
        <w:t>elig og teknisk tjenesteyting</w:t>
      </w:r>
      <w:r w:rsidRPr="00D721B1">
        <w:rPr>
          <w:rFonts w:ascii="Times New Roman" w:hAnsi="Times New Roman"/>
        </w:rPr>
        <w:t xml:space="preserve">. På den annen side </w:t>
      </w:r>
      <w:r>
        <w:rPr>
          <w:rFonts w:ascii="Times New Roman" w:hAnsi="Times New Roman"/>
        </w:rPr>
        <w:t xml:space="preserve">økte bruttoproduktet i </w:t>
      </w:r>
      <w:r w:rsidRPr="00D721B1">
        <w:rPr>
          <w:rFonts w:ascii="Times New Roman" w:hAnsi="Times New Roman"/>
        </w:rPr>
        <w:t>overnatting og serveringsvirksomhet</w:t>
      </w:r>
      <w:r>
        <w:rPr>
          <w:rFonts w:ascii="Times New Roman" w:hAnsi="Times New Roman"/>
        </w:rPr>
        <w:t xml:space="preserve"> med hele 7,5 prosent i 2015</w:t>
      </w:r>
      <w:r w:rsidRPr="00D721B1">
        <w:rPr>
          <w:rFonts w:ascii="Times New Roman" w:hAnsi="Times New Roman"/>
        </w:rPr>
        <w:t xml:space="preserve">, </w:t>
      </w:r>
      <w:r>
        <w:rPr>
          <w:rFonts w:ascii="Times New Roman" w:hAnsi="Times New Roman"/>
        </w:rPr>
        <w:t>og det var relativt høy vekst i</w:t>
      </w:r>
      <w:r w:rsidRPr="00D721B1">
        <w:rPr>
          <w:rFonts w:ascii="Times New Roman" w:hAnsi="Times New Roman"/>
        </w:rPr>
        <w:t xml:space="preserve"> informasjon og kommunikasjon samt finansierings- og forsikringsvirksomhet.</w:t>
      </w:r>
    </w:p>
    <w:p w14:paraId="053E578B" w14:textId="77777777" w:rsidR="009D49B9" w:rsidRPr="00D721B1" w:rsidRDefault="009D49B9" w:rsidP="009D49B9">
      <w:pPr>
        <w:spacing w:after="0"/>
        <w:rPr>
          <w:rFonts w:ascii="Times New Roman" w:hAnsi="Times New Roman"/>
          <w:highlight w:val="yellow"/>
        </w:rPr>
      </w:pPr>
      <w:r>
        <w:rPr>
          <w:rFonts w:ascii="Times New Roman" w:hAnsi="Times New Roman"/>
          <w:noProof/>
        </w:rPr>
        <w:drawing>
          <wp:inline distT="0" distB="0" distL="0" distR="0" wp14:anchorId="041CDC03" wp14:editId="623107A0">
            <wp:extent cx="2907552" cy="2541822"/>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2).png"/>
                    <pic:cNvPicPr/>
                  </pic:nvPicPr>
                  <pic:blipFill>
                    <a:blip r:embed="rId28">
                      <a:extLst>
                        <a:ext uri="{28A0092B-C50C-407E-A947-70E740481C1C}">
                          <a14:useLocalDpi xmlns:a14="http://schemas.microsoft.com/office/drawing/2010/main" val="0"/>
                        </a:ext>
                      </a:extLst>
                    </a:blip>
                    <a:stretch>
                      <a:fillRect/>
                    </a:stretch>
                  </pic:blipFill>
                  <pic:spPr>
                    <a:xfrm>
                      <a:off x="0" y="0"/>
                      <a:ext cx="2907552" cy="2541822"/>
                    </a:xfrm>
                    <a:prstGeom prst="rect">
                      <a:avLst/>
                    </a:prstGeom>
                  </pic:spPr>
                </pic:pic>
              </a:graphicData>
            </a:graphic>
          </wp:inline>
        </w:drawing>
      </w:r>
      <w:r w:rsidRPr="00E33070">
        <w:rPr>
          <w:rFonts w:ascii="Times New Roman" w:hAnsi="Times New Roman"/>
        </w:rPr>
        <w:t xml:space="preserve"> </w:t>
      </w:r>
    </w:p>
    <w:p w14:paraId="43B12AC4" w14:textId="77777777" w:rsidR="009D49B9" w:rsidRPr="004F124E" w:rsidRDefault="009D49B9" w:rsidP="009D49B9">
      <w:pPr>
        <w:pStyle w:val="figur-tittel"/>
        <w:rPr>
          <w:rFonts w:cs="Arial"/>
        </w:rPr>
      </w:pPr>
      <w:r w:rsidRPr="004F124E">
        <w:rPr>
          <w:rFonts w:cs="Arial"/>
        </w:rPr>
        <w:t>Sesongjusterte nasjonalregnskapstall i faste priser, 1. kvartal 2012 = 100</w:t>
      </w:r>
    </w:p>
    <w:p w14:paraId="7EC26EAD" w14:textId="77777777" w:rsidR="009D49B9" w:rsidRPr="006F55F8" w:rsidRDefault="009D49B9" w:rsidP="009D49B9">
      <w:pPr>
        <w:rPr>
          <w:rFonts w:ascii="Times New Roman" w:hAnsi="Times New Roman"/>
          <w:sz w:val="20"/>
        </w:rPr>
      </w:pPr>
      <w:r w:rsidRPr="006F55F8">
        <w:rPr>
          <w:rFonts w:ascii="Times New Roman" w:eastAsiaTheme="minorHAnsi" w:hAnsi="Times New Roman"/>
          <w:noProof/>
          <w:sz w:val="20"/>
        </w:rPr>
        <w:t>Kilde: Statistisk sentralbyrå</w:t>
      </w:r>
    </w:p>
    <w:p w14:paraId="2C7E324B" w14:textId="77777777" w:rsidR="006F55F8" w:rsidRPr="00D721B1" w:rsidRDefault="006F55F8" w:rsidP="006F55F8">
      <w:pPr>
        <w:rPr>
          <w:rFonts w:ascii="Times New Roman" w:hAnsi="Times New Roman"/>
        </w:rPr>
      </w:pPr>
      <w:r w:rsidRPr="00D721B1">
        <w:rPr>
          <w:rFonts w:ascii="Times New Roman" w:hAnsi="Times New Roman"/>
        </w:rPr>
        <w:t xml:space="preserve">Det føres for tiden en ekspansiv finanspolitikk. I nysalderingen av statsbudsjettet ble det strukturelle oljekorrigerte budsjettunderskuddet (SOBU) anslått til vel 168 milliarder kroner i 2015 som tilsvarer </w:t>
      </w:r>
      <w:r w:rsidRPr="007C1202">
        <w:rPr>
          <w:rFonts w:ascii="Times New Roman" w:hAnsi="Times New Roman"/>
        </w:rPr>
        <w:t>6,4</w:t>
      </w:r>
      <w:r w:rsidRPr="00D721B1">
        <w:rPr>
          <w:rFonts w:ascii="Times New Roman" w:hAnsi="Times New Roman"/>
        </w:rPr>
        <w:t xml:space="preserve"> prosent av BNP Fastlands-Norge og 2,6 prosent av pensjonsfondet ved inngangen til budsjettåret. Budsjettimpulsen, økningen i SOBU som andel av trenden til BNP Fastlands-Norge, er beregnet til ½ prosentpoeng</w:t>
      </w:r>
      <w:r>
        <w:rPr>
          <w:rFonts w:ascii="Times New Roman" w:hAnsi="Times New Roman"/>
        </w:rPr>
        <w:t xml:space="preserve"> i 2015</w:t>
      </w:r>
      <w:r w:rsidRPr="00D721B1">
        <w:rPr>
          <w:rFonts w:ascii="Times New Roman" w:hAnsi="Times New Roman"/>
        </w:rPr>
        <w:t>, og 0,7 prosentpoeng året før. I 2015 økte konsumet i offentlig forvaltning med</w:t>
      </w:r>
      <w:r>
        <w:rPr>
          <w:rFonts w:ascii="Times New Roman" w:hAnsi="Times New Roman"/>
        </w:rPr>
        <w:t xml:space="preserve"> 1,8 </w:t>
      </w:r>
      <w:r w:rsidRPr="00D721B1">
        <w:rPr>
          <w:rFonts w:ascii="Times New Roman" w:hAnsi="Times New Roman"/>
        </w:rPr>
        <w:t>prosent og investeringene med</w:t>
      </w:r>
      <w:r>
        <w:rPr>
          <w:rFonts w:ascii="Times New Roman" w:hAnsi="Times New Roman"/>
        </w:rPr>
        <w:t xml:space="preserve"> 3,2 </w:t>
      </w:r>
      <w:r w:rsidRPr="00D721B1">
        <w:rPr>
          <w:rFonts w:ascii="Times New Roman" w:hAnsi="Times New Roman"/>
        </w:rPr>
        <w:t xml:space="preserve">prosent. Veksten i stønadene til husholdningene kan anslås til reelt å ha økt med om lag 2 prosent når det tas hensyn til endringen av beskatningen av uførepensjonister. Reelle lettelser i beskatningen på om lag 5 milliarder kroner tilsvarer om lag 0,2 prosentpoeng av BNP Fastlands-Norge. </w:t>
      </w:r>
    </w:p>
    <w:p w14:paraId="4F37AFBB" w14:textId="77777777" w:rsidR="006F55F8" w:rsidRPr="00D721B1" w:rsidRDefault="006F55F8" w:rsidP="006F55F8">
      <w:pPr>
        <w:rPr>
          <w:rFonts w:ascii="Times New Roman" w:hAnsi="Times New Roman"/>
          <w:highlight w:val="yellow"/>
        </w:rPr>
      </w:pPr>
      <w:r>
        <w:rPr>
          <w:rFonts w:ascii="Times New Roman" w:hAnsi="Times New Roman"/>
          <w:noProof/>
        </w:rPr>
        <w:drawing>
          <wp:inline distT="0" distB="0" distL="0" distR="0" wp14:anchorId="33F9E882" wp14:editId="4E865A23">
            <wp:extent cx="2647950" cy="2226278"/>
            <wp:effectExtent l="0" t="0" r="0" b="317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29">
                      <a:extLst>
                        <a:ext uri="{28A0092B-C50C-407E-A947-70E740481C1C}">
                          <a14:useLocalDpi xmlns:a14="http://schemas.microsoft.com/office/drawing/2010/main" val="0"/>
                        </a:ext>
                      </a:extLst>
                    </a:blip>
                    <a:stretch>
                      <a:fillRect/>
                    </a:stretch>
                  </pic:blipFill>
                  <pic:spPr>
                    <a:xfrm>
                      <a:off x="0" y="0"/>
                      <a:ext cx="2687604" cy="2259617"/>
                    </a:xfrm>
                    <a:prstGeom prst="rect">
                      <a:avLst/>
                    </a:prstGeom>
                  </pic:spPr>
                </pic:pic>
              </a:graphicData>
            </a:graphic>
          </wp:inline>
        </w:drawing>
      </w:r>
    </w:p>
    <w:p w14:paraId="265D795E" w14:textId="77777777" w:rsidR="006F55F8" w:rsidRPr="004F124E" w:rsidRDefault="006F55F8" w:rsidP="001F6B94">
      <w:pPr>
        <w:pStyle w:val="figur-tittel"/>
        <w:spacing w:after="0"/>
        <w:rPr>
          <w:rFonts w:cs="Arial"/>
        </w:rPr>
      </w:pPr>
      <w:bookmarkStart w:id="192" w:name="_Ref443471438"/>
      <w:r w:rsidRPr="004F124E">
        <w:rPr>
          <w:rFonts w:cs="Arial"/>
        </w:rPr>
        <w:t>Norske renter</w:t>
      </w:r>
      <w:bookmarkEnd w:id="192"/>
    </w:p>
    <w:p w14:paraId="6B05DC38" w14:textId="60120079" w:rsidR="006F55F8" w:rsidRDefault="006F55F8" w:rsidP="006F55F8">
      <w:pPr>
        <w:rPr>
          <w:noProof/>
        </w:rPr>
      </w:pPr>
      <w:r w:rsidRPr="006F55F8">
        <w:rPr>
          <w:noProof/>
          <w:vertAlign w:val="superscript"/>
        </w:rPr>
        <w:t>1</w:t>
      </w:r>
      <w:r>
        <w:rPr>
          <w:noProof/>
        </w:rPr>
        <w:t xml:space="preserve"> </w:t>
      </w:r>
      <w:r w:rsidR="004F124E" w:rsidRPr="004F124E">
        <w:rPr>
          <w:noProof/>
          <w:sz w:val="20"/>
        </w:rPr>
        <w:t>R</w:t>
      </w:r>
      <w:r w:rsidRPr="004F124E">
        <w:rPr>
          <w:noProof/>
          <w:sz w:val="20"/>
        </w:rPr>
        <w:t>ammelån med pant i bolig</w:t>
      </w:r>
    </w:p>
    <w:p w14:paraId="5ADE3EB6" w14:textId="77777777" w:rsidR="006F55F8" w:rsidRPr="006F55F8" w:rsidRDefault="006F55F8" w:rsidP="006F55F8">
      <w:pPr>
        <w:rPr>
          <w:noProof/>
          <w:sz w:val="20"/>
        </w:rPr>
      </w:pPr>
      <w:r w:rsidRPr="006F55F8">
        <w:rPr>
          <w:noProof/>
          <w:sz w:val="20"/>
        </w:rPr>
        <w:t>Kilde: Norges Bank og Statistisk sentralbyrå</w:t>
      </w:r>
    </w:p>
    <w:p w14:paraId="73AE38A4" w14:textId="7DBFE5C8" w:rsidR="009D49B9" w:rsidRDefault="009D49B9" w:rsidP="006F55F8">
      <w:pPr>
        <w:rPr>
          <w:rFonts w:ascii="Times New Roman" w:hAnsi="Times New Roman"/>
        </w:rPr>
      </w:pPr>
      <w:r w:rsidRPr="00D721B1">
        <w:rPr>
          <w:rFonts w:ascii="Times New Roman" w:hAnsi="Times New Roman"/>
        </w:rPr>
        <w:t xml:space="preserve">Inflasjonen har siden omleggingen av pengepolitikken i 2001 stort sett ligget noe under inflasjonsmålet på 2,5 prosent, men </w:t>
      </w:r>
      <w:r>
        <w:rPr>
          <w:rFonts w:ascii="Times New Roman" w:hAnsi="Times New Roman"/>
        </w:rPr>
        <w:t>var</w:t>
      </w:r>
      <w:r w:rsidRPr="00D721B1">
        <w:rPr>
          <w:rFonts w:ascii="Times New Roman" w:hAnsi="Times New Roman"/>
        </w:rPr>
        <w:t xml:space="preserve"> nær målet gjennom 2014 og 2015. Etter å ha vært holdt uforandret siden mars 2012 har utsiktene til en svak utvikling i norsk økonomi bidratt til at Norges Bank har satt ned styringsrenta med ¼ prosentpoeng tre ganger. Første rentenedsettelse kom i desember 2014 og neste i juni 2015. I september 2015 ble den satt ned for foreløpig siste gang til rekordlav</w:t>
      </w:r>
      <w:r>
        <w:rPr>
          <w:rFonts w:ascii="Times New Roman" w:hAnsi="Times New Roman"/>
        </w:rPr>
        <w:t>e 0,75 prosent. Ved</w:t>
      </w:r>
      <w:r w:rsidRPr="00D721B1">
        <w:rPr>
          <w:rFonts w:ascii="Times New Roman" w:hAnsi="Times New Roman"/>
        </w:rPr>
        <w:t xml:space="preserve"> framleggelse</w:t>
      </w:r>
      <w:r>
        <w:rPr>
          <w:rFonts w:ascii="Times New Roman" w:hAnsi="Times New Roman"/>
        </w:rPr>
        <w:t>n</w:t>
      </w:r>
      <w:r w:rsidRPr="00D721B1">
        <w:rPr>
          <w:rFonts w:ascii="Times New Roman" w:hAnsi="Times New Roman"/>
        </w:rPr>
        <w:t xml:space="preserve"> av Norges Banks siste prognoser i desember 2015, ble styringsrenta ikke endret, men det </w:t>
      </w:r>
      <w:r>
        <w:rPr>
          <w:rFonts w:ascii="Times New Roman" w:hAnsi="Times New Roman"/>
        </w:rPr>
        <w:t xml:space="preserve">ble </w:t>
      </w:r>
      <w:r w:rsidRPr="00D721B1">
        <w:rPr>
          <w:rFonts w:ascii="Times New Roman" w:hAnsi="Times New Roman"/>
        </w:rPr>
        <w:t>signaliser</w:t>
      </w:r>
      <w:r>
        <w:rPr>
          <w:rFonts w:ascii="Times New Roman" w:hAnsi="Times New Roman"/>
        </w:rPr>
        <w:t>t</w:t>
      </w:r>
      <w:r w:rsidRPr="00D721B1">
        <w:rPr>
          <w:rFonts w:ascii="Times New Roman" w:hAnsi="Times New Roman"/>
        </w:rPr>
        <w:t xml:space="preserve"> at den vil bli satt ytterligere ned i løpet av </w:t>
      </w:r>
      <w:r>
        <w:rPr>
          <w:rFonts w:ascii="Times New Roman" w:hAnsi="Times New Roman"/>
        </w:rPr>
        <w:t>2016</w:t>
      </w:r>
      <w:r w:rsidRPr="00D721B1">
        <w:rPr>
          <w:rFonts w:ascii="Times New Roman" w:hAnsi="Times New Roman"/>
        </w:rPr>
        <w:t xml:space="preserve"> og at den ikke vil komme over 1 prosent før etter 2018.</w:t>
      </w:r>
    </w:p>
    <w:p w14:paraId="1ED994B1" w14:textId="77777777" w:rsidR="006F55F8" w:rsidRDefault="006F55F8" w:rsidP="006F55F8">
      <w:pPr>
        <w:rPr>
          <w:rFonts w:ascii="Times New Roman" w:hAnsi="Times New Roman"/>
          <w:highlight w:val="yellow"/>
        </w:rPr>
      </w:pPr>
    </w:p>
    <w:p w14:paraId="1C2A07F8" w14:textId="77777777" w:rsidR="006F55F8" w:rsidRPr="00D721B1" w:rsidRDefault="006F55F8" w:rsidP="006F55F8">
      <w:pPr>
        <w:rPr>
          <w:rFonts w:ascii="Times New Roman" w:hAnsi="Times New Roman"/>
          <w:highlight w:val="yellow"/>
        </w:rPr>
      </w:pPr>
      <w:r>
        <w:rPr>
          <w:rFonts w:ascii="Times New Roman" w:hAnsi="Times New Roman"/>
          <w:noProof/>
        </w:rPr>
        <w:drawing>
          <wp:inline distT="0" distB="0" distL="0" distR="0" wp14:anchorId="2A64216B" wp14:editId="4032D855">
            <wp:extent cx="2852072" cy="2449002"/>
            <wp:effectExtent l="0" t="0" r="5715" b="889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30">
                      <a:extLst>
                        <a:ext uri="{28A0092B-C50C-407E-A947-70E740481C1C}">
                          <a14:useLocalDpi xmlns:a14="http://schemas.microsoft.com/office/drawing/2010/main" val="0"/>
                        </a:ext>
                      </a:extLst>
                    </a:blip>
                    <a:stretch>
                      <a:fillRect/>
                    </a:stretch>
                  </pic:blipFill>
                  <pic:spPr>
                    <a:xfrm>
                      <a:off x="0" y="0"/>
                      <a:ext cx="2855012" cy="2451526"/>
                    </a:xfrm>
                    <a:prstGeom prst="rect">
                      <a:avLst/>
                    </a:prstGeom>
                  </pic:spPr>
                </pic:pic>
              </a:graphicData>
            </a:graphic>
          </wp:inline>
        </w:drawing>
      </w:r>
    </w:p>
    <w:p w14:paraId="13807B61" w14:textId="77777777" w:rsidR="006F55F8" w:rsidRPr="004F124E" w:rsidRDefault="006F55F8" w:rsidP="006F55F8">
      <w:pPr>
        <w:pStyle w:val="figur-tittel"/>
        <w:rPr>
          <w:rFonts w:cs="Arial"/>
        </w:rPr>
      </w:pPr>
      <w:bookmarkStart w:id="193" w:name="_Ref443471358"/>
      <w:r w:rsidRPr="004F124E">
        <w:rPr>
          <w:rFonts w:cs="Arial"/>
        </w:rPr>
        <w:t>Kronekurser</w:t>
      </w:r>
      <w:bookmarkEnd w:id="193"/>
    </w:p>
    <w:p w14:paraId="4309FA40" w14:textId="77777777" w:rsidR="006F55F8" w:rsidRPr="006F55F8" w:rsidRDefault="006F55F8" w:rsidP="006F55F8">
      <w:pPr>
        <w:rPr>
          <w:rFonts w:ascii="Times New Roman" w:hAnsi="Times New Roman"/>
          <w:sz w:val="20"/>
        </w:rPr>
      </w:pPr>
      <w:r w:rsidRPr="006F55F8">
        <w:rPr>
          <w:rFonts w:ascii="Times New Roman" w:hAnsi="Times New Roman"/>
          <w:sz w:val="20"/>
        </w:rPr>
        <w:t>Kilde: Norges Bank</w:t>
      </w:r>
    </w:p>
    <w:p w14:paraId="30E63CCF" w14:textId="4F0DBCA4" w:rsidR="00DD5117" w:rsidRPr="00D721B1" w:rsidRDefault="00DD5117" w:rsidP="00DD5117">
      <w:pPr>
        <w:rPr>
          <w:rFonts w:ascii="Times New Roman" w:hAnsi="Times New Roman"/>
        </w:rPr>
      </w:pPr>
      <w:r w:rsidRPr="00D721B1">
        <w:rPr>
          <w:rFonts w:ascii="Times New Roman" w:hAnsi="Times New Roman"/>
        </w:rPr>
        <w:t>Pengemarkedsrenta har kommet ned fra 1,6 før rentemøtet i desember 2014 til 1,</w:t>
      </w:r>
      <w:r>
        <w:rPr>
          <w:rFonts w:ascii="Times New Roman" w:hAnsi="Times New Roman"/>
        </w:rPr>
        <w:t>1</w:t>
      </w:r>
      <w:r w:rsidRPr="00D721B1">
        <w:rPr>
          <w:rFonts w:ascii="Times New Roman" w:hAnsi="Times New Roman"/>
        </w:rPr>
        <w:t xml:space="preserve"> prosent i</w:t>
      </w:r>
      <w:r>
        <w:rPr>
          <w:rFonts w:ascii="Times New Roman" w:hAnsi="Times New Roman"/>
        </w:rPr>
        <w:t xml:space="preserve"> midten av februar</w:t>
      </w:r>
      <w:r w:rsidRPr="00D721B1">
        <w:rPr>
          <w:rFonts w:ascii="Times New Roman" w:hAnsi="Times New Roman"/>
        </w:rPr>
        <w:t xml:space="preserve"> 2016</w:t>
      </w:r>
      <w:r>
        <w:rPr>
          <w:rFonts w:ascii="Times New Roman" w:hAnsi="Times New Roman"/>
        </w:rPr>
        <w:t>, se utvikling over norske renter i figur 3.6</w:t>
      </w:r>
      <w:r w:rsidRPr="00D721B1">
        <w:rPr>
          <w:rFonts w:ascii="Times New Roman" w:hAnsi="Times New Roman"/>
        </w:rPr>
        <w:t xml:space="preserve">. Disse markedsrentene har således gått noe mindre ned enn styringsrenta. Utlånsrentene i bankene følger normalt bevegelsene i pengemarkedsrenta med et tidsetterslep. Gjennomsnittlig rammelånsrente med pant i bolig, en typisk boliglånsrente, lå i 2014 rundt 4 prosent med en nedadgående tendens. Fra utgangen av </w:t>
      </w:r>
      <w:r>
        <w:rPr>
          <w:rFonts w:ascii="Times New Roman" w:hAnsi="Times New Roman"/>
        </w:rPr>
        <w:t>dese</w:t>
      </w:r>
      <w:r w:rsidRPr="00D721B1">
        <w:rPr>
          <w:rFonts w:ascii="Times New Roman" w:hAnsi="Times New Roman"/>
        </w:rPr>
        <w:t xml:space="preserve">mber 2014 til </w:t>
      </w:r>
      <w:r>
        <w:rPr>
          <w:rFonts w:ascii="Times New Roman" w:hAnsi="Times New Roman"/>
        </w:rPr>
        <w:t>des</w:t>
      </w:r>
      <w:r w:rsidRPr="00D721B1">
        <w:rPr>
          <w:rFonts w:ascii="Times New Roman" w:hAnsi="Times New Roman"/>
        </w:rPr>
        <w:t>ember 2015 har renta gått ned med 1,0 prosentpoeng og er med det kommet ned i 2,</w:t>
      </w:r>
      <w:r>
        <w:rPr>
          <w:rFonts w:ascii="Times New Roman" w:hAnsi="Times New Roman"/>
        </w:rPr>
        <w:t>7</w:t>
      </w:r>
      <w:r w:rsidRPr="00D721B1">
        <w:rPr>
          <w:rFonts w:ascii="Times New Roman" w:hAnsi="Times New Roman"/>
        </w:rPr>
        <w:t xml:space="preserve"> prosent. Rentesatsen for nye utlån var da kommet ned i 2,5 prosent, noe som peker i retning av et ytterligere fall i gjennomsnittsrentene.</w:t>
      </w:r>
    </w:p>
    <w:p w14:paraId="0BB7A0ED" w14:textId="5D0AC089" w:rsidR="00DD5117" w:rsidRPr="00D721B1" w:rsidRDefault="00DD5117" w:rsidP="00DD5117">
      <w:pPr>
        <w:rPr>
          <w:rFonts w:ascii="Times New Roman" w:hAnsi="Times New Roman"/>
        </w:rPr>
      </w:pPr>
      <w:r>
        <w:rPr>
          <w:rFonts w:ascii="Times New Roman" w:hAnsi="Times New Roman"/>
        </w:rPr>
        <w:fldChar w:fldCharType="begin"/>
      </w:r>
      <w:r>
        <w:rPr>
          <w:rFonts w:ascii="Times New Roman" w:hAnsi="Times New Roman"/>
        </w:rPr>
        <w:instrText xml:space="preserve"> REF _Ref443471358 \r \h </w:instrText>
      </w:r>
      <w:r>
        <w:rPr>
          <w:rFonts w:ascii="Times New Roman" w:hAnsi="Times New Roman"/>
        </w:rPr>
      </w:r>
      <w:r>
        <w:rPr>
          <w:rFonts w:ascii="Times New Roman" w:hAnsi="Times New Roman"/>
        </w:rPr>
        <w:fldChar w:fldCharType="separate"/>
      </w:r>
      <w:r w:rsidR="000903B7">
        <w:rPr>
          <w:rFonts w:ascii="Times New Roman" w:hAnsi="Times New Roman"/>
        </w:rPr>
        <w:t xml:space="preserve">Figur 3.7 </w:t>
      </w:r>
      <w:r>
        <w:rPr>
          <w:rFonts w:ascii="Times New Roman" w:hAnsi="Times New Roman"/>
        </w:rPr>
        <w:fldChar w:fldCharType="end"/>
      </w:r>
      <w:r w:rsidRPr="00D721B1">
        <w:rPr>
          <w:rFonts w:ascii="Times New Roman" w:hAnsi="Times New Roman"/>
        </w:rPr>
        <w:t xml:space="preserve">viser at kronekursen har svingt betydelig de siste 10 årene, og svekket seg kraftig siste </w:t>
      </w:r>
      <w:r>
        <w:rPr>
          <w:rFonts w:ascii="Times New Roman" w:hAnsi="Times New Roman"/>
        </w:rPr>
        <w:t>tre</w:t>
      </w:r>
      <w:r w:rsidRPr="00D721B1">
        <w:rPr>
          <w:rFonts w:ascii="Times New Roman" w:hAnsi="Times New Roman"/>
        </w:rPr>
        <w:t xml:space="preserve"> år. Målt med den importveide kronekursen svekket den seg med vel 28 prosent fra januar 2013 til januar 2016. Bevegelsene i oljeprisen er </w:t>
      </w:r>
      <w:r>
        <w:rPr>
          <w:rFonts w:ascii="Times New Roman" w:hAnsi="Times New Roman"/>
        </w:rPr>
        <w:t>en viktig</w:t>
      </w:r>
      <w:r w:rsidRPr="00D721B1">
        <w:rPr>
          <w:rFonts w:ascii="Times New Roman" w:hAnsi="Times New Roman"/>
        </w:rPr>
        <w:t xml:space="preserve"> faktor bak utviklingen ved at krona gjerne svekkes når oljeprisen går ned og vise versa. Noe av svingningene </w:t>
      </w:r>
      <w:r>
        <w:rPr>
          <w:rFonts w:ascii="Times New Roman" w:hAnsi="Times New Roman"/>
        </w:rPr>
        <w:t xml:space="preserve">i de siste 10 årene </w:t>
      </w:r>
      <w:r w:rsidRPr="00D721B1">
        <w:rPr>
          <w:rFonts w:ascii="Times New Roman" w:hAnsi="Times New Roman"/>
        </w:rPr>
        <w:t>kan også forklares av at kronemarkedet er relativt lite likvid sammenlignet med andre valutamarkeder, og det kan føre til kraftig kronesvekkelse i perioder med finansiell uro.</w:t>
      </w:r>
      <w:r>
        <w:rPr>
          <w:rFonts w:ascii="Times New Roman" w:hAnsi="Times New Roman"/>
        </w:rPr>
        <w:t xml:space="preserve"> </w:t>
      </w:r>
      <w:r w:rsidRPr="00D721B1">
        <w:rPr>
          <w:rFonts w:ascii="Times New Roman" w:hAnsi="Times New Roman"/>
        </w:rPr>
        <w:t>Som årsgjennomsnitt falt den importveide verdien av norske kroner med 10,5 prosent fra 2014 til 2015. De kortsiktige svingningene er imidlertid store. Bare i januar 2016 har kronesvekkelsen regnet i forhold til gjennomsnittet for 2015, vært i området 3,6-6,7 prosent målt med den importveide kronekursen. I vedlegg 3 er det redegjort nærmere for valutakursutviklingen.</w:t>
      </w:r>
    </w:p>
    <w:p w14:paraId="4D89F958" w14:textId="77777777" w:rsidR="006F55F8" w:rsidRPr="00D721B1" w:rsidRDefault="006F55F8" w:rsidP="006F55F8">
      <w:pPr>
        <w:rPr>
          <w:rFonts w:ascii="Times New Roman" w:hAnsi="Times New Roman"/>
        </w:rPr>
      </w:pPr>
      <w:r w:rsidRPr="00D721B1">
        <w:rPr>
          <w:rFonts w:ascii="Times New Roman" w:hAnsi="Times New Roman"/>
        </w:rPr>
        <w:t xml:space="preserve">Svak kronekurs innebærer en stimulans til den delen av næringslivet som er utsatt for konkurranse fra utlandet, men bidrar til økt inflasjon og trekker dermed isolert sett den realdisponible inntekten i husholdningene ned. Dermed dempes også husholdningenes konsum. </w:t>
      </w:r>
      <w:r>
        <w:rPr>
          <w:rFonts w:ascii="Times New Roman" w:hAnsi="Times New Roman"/>
        </w:rPr>
        <w:t>M</w:t>
      </w:r>
      <w:r w:rsidRPr="00D721B1">
        <w:rPr>
          <w:rFonts w:ascii="Times New Roman" w:hAnsi="Times New Roman"/>
        </w:rPr>
        <w:t xml:space="preserve">odellberegninger </w:t>
      </w:r>
      <w:r>
        <w:rPr>
          <w:rFonts w:ascii="Times New Roman" w:hAnsi="Times New Roman"/>
        </w:rPr>
        <w:t xml:space="preserve">viser </w:t>
      </w:r>
      <w:r w:rsidRPr="00D721B1">
        <w:rPr>
          <w:rFonts w:ascii="Times New Roman" w:hAnsi="Times New Roman"/>
        </w:rPr>
        <w:t xml:space="preserve">at BNP Fastlands-Norge øker og arbeidsledigheten faller som følge av en kronesvekkelse.  </w:t>
      </w:r>
    </w:p>
    <w:p w14:paraId="412F9596" w14:textId="77777777" w:rsidR="006F55F8" w:rsidRPr="00D721B1" w:rsidRDefault="006F55F8" w:rsidP="006F55F8">
      <w:pPr>
        <w:rPr>
          <w:rFonts w:ascii="Times New Roman" w:hAnsi="Times New Roman"/>
        </w:rPr>
      </w:pPr>
      <w:r w:rsidRPr="00D721B1">
        <w:rPr>
          <w:rFonts w:ascii="Times New Roman" w:hAnsi="Times New Roman"/>
        </w:rPr>
        <w:t xml:space="preserve">Disponibel realinntekt i husholdningene </w:t>
      </w:r>
      <w:r>
        <w:rPr>
          <w:rFonts w:ascii="Times New Roman" w:hAnsi="Times New Roman"/>
        </w:rPr>
        <w:t xml:space="preserve">er anslått å ha </w:t>
      </w:r>
      <w:r w:rsidRPr="00D721B1">
        <w:rPr>
          <w:rFonts w:ascii="Times New Roman" w:hAnsi="Times New Roman"/>
        </w:rPr>
        <w:t>steg</w:t>
      </w:r>
      <w:r>
        <w:rPr>
          <w:rFonts w:ascii="Times New Roman" w:hAnsi="Times New Roman"/>
        </w:rPr>
        <w:t>et</w:t>
      </w:r>
      <w:r w:rsidRPr="00D721B1">
        <w:rPr>
          <w:rFonts w:ascii="Times New Roman" w:hAnsi="Times New Roman"/>
        </w:rPr>
        <w:t xml:space="preserve"> </w:t>
      </w:r>
      <w:r w:rsidRPr="00DF12A6">
        <w:rPr>
          <w:rFonts w:ascii="Times New Roman" w:hAnsi="Times New Roman"/>
        </w:rPr>
        <w:t xml:space="preserve">med </w:t>
      </w:r>
      <w:r>
        <w:rPr>
          <w:rFonts w:ascii="Times New Roman" w:hAnsi="Times New Roman"/>
        </w:rPr>
        <w:t>2</w:t>
      </w:r>
      <w:r w:rsidRPr="00DF12A6">
        <w:rPr>
          <w:rFonts w:ascii="Times New Roman" w:hAnsi="Times New Roman"/>
        </w:rPr>
        <w:t>,2 prosent i 2015. Inntektsutviklingen i husholdningene er nærmere beskrevet i kapittel 5</w:t>
      </w:r>
      <w:r w:rsidRPr="00D721B1">
        <w:rPr>
          <w:rFonts w:ascii="Times New Roman" w:hAnsi="Times New Roman"/>
        </w:rPr>
        <w:t xml:space="preserve">. Lønn utgjør den største delen av husholdningenes inntekter og reallønnsveksten gikk ned til 0,7 prosent i 2015, fra 1,1 prosent året før. </w:t>
      </w:r>
    </w:p>
    <w:p w14:paraId="598A758E" w14:textId="45DF33C0" w:rsidR="006F55F8" w:rsidRPr="00D721B1" w:rsidRDefault="006F55F8" w:rsidP="006F55F8">
      <w:pPr>
        <w:rPr>
          <w:rFonts w:ascii="Times New Roman" w:hAnsi="Times New Roman"/>
        </w:rPr>
      </w:pPr>
      <w:r w:rsidRPr="00D721B1">
        <w:rPr>
          <w:rFonts w:ascii="Times New Roman" w:hAnsi="Times New Roman"/>
        </w:rPr>
        <w:t>Utviklingen i konsumet følger i stor grad med utviklingen i husholdningenes inntekter og formue. Erfaringsmessig skulle imidlertid utviklingen i disse faktorene gitt høyere konsum i de senere årene enn man har observert. I 2015 økte konsumet i husholdningene med 2,</w:t>
      </w:r>
      <w:r>
        <w:rPr>
          <w:rFonts w:ascii="Times New Roman" w:hAnsi="Times New Roman"/>
        </w:rPr>
        <w:t>0</w:t>
      </w:r>
      <w:r w:rsidRPr="00D721B1">
        <w:rPr>
          <w:rFonts w:ascii="Times New Roman" w:hAnsi="Times New Roman"/>
        </w:rPr>
        <w:t xml:space="preserve"> prosent, mens sparingen som andel av disponibel inntekt (spareraten)</w:t>
      </w:r>
      <w:r>
        <w:rPr>
          <w:rFonts w:ascii="Times New Roman" w:hAnsi="Times New Roman"/>
        </w:rPr>
        <w:t xml:space="preserve"> er anslått å ha </w:t>
      </w:r>
      <w:r w:rsidRPr="00D721B1">
        <w:rPr>
          <w:rFonts w:ascii="Times New Roman" w:hAnsi="Times New Roman"/>
        </w:rPr>
        <w:t xml:space="preserve">økt </w:t>
      </w:r>
      <w:r>
        <w:rPr>
          <w:rFonts w:ascii="Times New Roman" w:hAnsi="Times New Roman"/>
        </w:rPr>
        <w:t>med 1 prosentpoeng</w:t>
      </w:r>
      <w:r w:rsidRPr="00D721B1">
        <w:rPr>
          <w:rFonts w:ascii="Times New Roman" w:hAnsi="Times New Roman"/>
        </w:rPr>
        <w:t xml:space="preserve">. </w:t>
      </w:r>
      <w:r>
        <w:rPr>
          <w:rFonts w:ascii="Times New Roman" w:hAnsi="Times New Roman"/>
        </w:rPr>
        <w:t>Dette kan i noen grad</w:t>
      </w:r>
      <w:r w:rsidRPr="00D721B1">
        <w:rPr>
          <w:rFonts w:ascii="Times New Roman" w:hAnsi="Times New Roman"/>
        </w:rPr>
        <w:t xml:space="preserve"> skyldes stor usikkerhet omkring</w:t>
      </w:r>
      <w:r>
        <w:rPr>
          <w:rFonts w:ascii="Times New Roman" w:hAnsi="Times New Roman"/>
        </w:rPr>
        <w:t xml:space="preserve"> norsk og</w:t>
      </w:r>
      <w:r w:rsidRPr="00D721B1">
        <w:rPr>
          <w:rFonts w:ascii="Times New Roman" w:hAnsi="Times New Roman"/>
        </w:rPr>
        <w:t xml:space="preserve"> internasjonal økonomi og en forsiktighetsmotivert sparing hos husholdningene. I tillegg kan endringer i pensjonssystemet og demografiske endringer i retning av flere personer i alder</w:t>
      </w:r>
      <w:r w:rsidR="009D49B9">
        <w:rPr>
          <w:rFonts w:ascii="Times New Roman" w:hAnsi="Times New Roman"/>
        </w:rPr>
        <w:t>s</w:t>
      </w:r>
      <w:r w:rsidRPr="00D721B1">
        <w:rPr>
          <w:rFonts w:ascii="Times New Roman" w:hAnsi="Times New Roman"/>
        </w:rPr>
        <w:t xml:space="preserve">grupper som normalt sparer mye, trekke konsumveksten ned. </w:t>
      </w:r>
    </w:p>
    <w:p w14:paraId="2FCCAF2A" w14:textId="1F063607" w:rsidR="006F55F8" w:rsidRPr="00D721B1" w:rsidRDefault="006F55F8" w:rsidP="006F55F8">
      <w:pPr>
        <w:rPr>
          <w:rFonts w:ascii="Times New Roman" w:hAnsi="Times New Roman"/>
          <w:highlight w:val="yellow"/>
        </w:rPr>
      </w:pPr>
      <w:r w:rsidRPr="00D721B1">
        <w:rPr>
          <w:rFonts w:ascii="Times New Roman" w:hAnsi="Times New Roman"/>
        </w:rPr>
        <w:t xml:space="preserve">De samlede investeringene i realkapital gikk ned </w:t>
      </w:r>
      <w:r>
        <w:rPr>
          <w:rFonts w:ascii="Times New Roman" w:hAnsi="Times New Roman"/>
        </w:rPr>
        <w:t>4</w:t>
      </w:r>
      <w:r w:rsidRPr="00D721B1">
        <w:rPr>
          <w:rFonts w:ascii="Times New Roman" w:hAnsi="Times New Roman"/>
        </w:rPr>
        <w:t xml:space="preserve"> prosent fra 2014 til 2015. Investeringene i utvinning og rørtransport falt med </w:t>
      </w:r>
      <w:r>
        <w:rPr>
          <w:rFonts w:ascii="Times New Roman" w:hAnsi="Times New Roman"/>
        </w:rPr>
        <w:t xml:space="preserve">nær </w:t>
      </w:r>
      <w:r w:rsidRPr="00D721B1">
        <w:rPr>
          <w:rFonts w:ascii="Times New Roman" w:hAnsi="Times New Roman"/>
        </w:rPr>
        <w:t>1</w:t>
      </w:r>
      <w:r>
        <w:rPr>
          <w:rFonts w:ascii="Times New Roman" w:hAnsi="Times New Roman"/>
        </w:rPr>
        <w:t>5</w:t>
      </w:r>
      <w:r w:rsidRPr="00D721B1">
        <w:rPr>
          <w:rFonts w:ascii="Times New Roman" w:hAnsi="Times New Roman"/>
        </w:rPr>
        <w:t xml:space="preserve"> prosent. Høy kostnadsvekst og relativt svak lønnsomhet bidro til at nedgang</w:t>
      </w:r>
      <w:r w:rsidR="006E5163">
        <w:rPr>
          <w:rFonts w:ascii="Times New Roman" w:hAnsi="Times New Roman"/>
        </w:rPr>
        <w:t>en</w:t>
      </w:r>
      <w:r w:rsidRPr="00D721B1">
        <w:rPr>
          <w:rFonts w:ascii="Times New Roman" w:hAnsi="Times New Roman"/>
        </w:rPr>
        <w:t xml:space="preserve"> alt startet i an</w:t>
      </w:r>
      <w:r>
        <w:rPr>
          <w:rFonts w:ascii="Times New Roman" w:hAnsi="Times New Roman"/>
        </w:rPr>
        <w:t>dre</w:t>
      </w:r>
      <w:r w:rsidRPr="00D721B1">
        <w:rPr>
          <w:rFonts w:ascii="Times New Roman" w:hAnsi="Times New Roman"/>
        </w:rPr>
        <w:t xml:space="preserve"> halvår 2013, </w:t>
      </w:r>
      <w:r>
        <w:rPr>
          <w:rFonts w:ascii="Times New Roman" w:hAnsi="Times New Roman"/>
        </w:rPr>
        <w:t>og</w:t>
      </w:r>
      <w:r w:rsidRPr="00D721B1">
        <w:rPr>
          <w:rFonts w:ascii="Times New Roman" w:hAnsi="Times New Roman"/>
        </w:rPr>
        <w:t xml:space="preserve"> denne utviklingen er blitt forsterket av det kraftige fallet i oljeprisene. I fastlandsnæringene (bedriftene) </w:t>
      </w:r>
      <w:r>
        <w:rPr>
          <w:rFonts w:ascii="Times New Roman" w:hAnsi="Times New Roman"/>
        </w:rPr>
        <w:t>falt</w:t>
      </w:r>
      <w:r w:rsidRPr="00D721B1">
        <w:rPr>
          <w:rFonts w:ascii="Times New Roman" w:hAnsi="Times New Roman"/>
        </w:rPr>
        <w:t xml:space="preserve"> investeringene i 2015</w:t>
      </w:r>
      <w:r>
        <w:rPr>
          <w:rFonts w:ascii="Times New Roman" w:hAnsi="Times New Roman"/>
        </w:rPr>
        <w:t xml:space="preserve"> med knappe 3 prosent</w:t>
      </w:r>
      <w:r w:rsidRPr="00D721B1">
        <w:rPr>
          <w:rFonts w:ascii="Times New Roman" w:hAnsi="Times New Roman"/>
        </w:rPr>
        <w:t xml:space="preserve">, etter en </w:t>
      </w:r>
      <w:r>
        <w:rPr>
          <w:rFonts w:ascii="Times New Roman" w:hAnsi="Times New Roman"/>
        </w:rPr>
        <w:t xml:space="preserve">liten </w:t>
      </w:r>
      <w:r w:rsidRPr="00D721B1">
        <w:rPr>
          <w:rFonts w:ascii="Times New Roman" w:hAnsi="Times New Roman"/>
        </w:rPr>
        <w:t xml:space="preserve">nedgang året før. Mens investeringer i industri og bergverk </w:t>
      </w:r>
      <w:r>
        <w:rPr>
          <w:rFonts w:ascii="Times New Roman" w:hAnsi="Times New Roman"/>
        </w:rPr>
        <w:t>gikk ned</w:t>
      </w:r>
      <w:r w:rsidRPr="00D721B1">
        <w:rPr>
          <w:rFonts w:ascii="Times New Roman" w:hAnsi="Times New Roman"/>
        </w:rPr>
        <w:t xml:space="preserve"> med om lag </w:t>
      </w:r>
      <w:r>
        <w:rPr>
          <w:rFonts w:ascii="Times New Roman" w:hAnsi="Times New Roman"/>
        </w:rPr>
        <w:t>9</w:t>
      </w:r>
      <w:r w:rsidRPr="00D721B1">
        <w:rPr>
          <w:rFonts w:ascii="Times New Roman" w:hAnsi="Times New Roman"/>
        </w:rPr>
        <w:t xml:space="preserve"> prosent i 2015, økte de i annen vareproduksjon </w:t>
      </w:r>
      <w:r>
        <w:rPr>
          <w:rFonts w:ascii="Times New Roman" w:hAnsi="Times New Roman"/>
        </w:rPr>
        <w:t>med 1,5 prosent. I</w:t>
      </w:r>
      <w:r w:rsidRPr="00D721B1">
        <w:rPr>
          <w:rFonts w:ascii="Times New Roman" w:hAnsi="Times New Roman"/>
        </w:rPr>
        <w:t xml:space="preserve"> tjenestenæringene</w:t>
      </w:r>
      <w:r>
        <w:rPr>
          <w:rFonts w:ascii="Times New Roman" w:hAnsi="Times New Roman"/>
        </w:rPr>
        <w:t xml:space="preserve"> på fastlandet, som står for nær 2/3 av bedriftenes investeringer på fastlandet, viser de foreløpige nasjonalregnskapstallene en nedgang på 2,7 prosent. </w:t>
      </w:r>
      <w:r w:rsidRPr="00D721B1">
        <w:rPr>
          <w:rFonts w:ascii="Times New Roman" w:hAnsi="Times New Roman"/>
        </w:rPr>
        <w:t xml:space="preserve">Boliginvesteringene økte med </w:t>
      </w:r>
      <w:r>
        <w:rPr>
          <w:rFonts w:ascii="Times New Roman" w:hAnsi="Times New Roman"/>
        </w:rPr>
        <w:t>1,6</w:t>
      </w:r>
      <w:r w:rsidRPr="00D721B1">
        <w:rPr>
          <w:rFonts w:ascii="Times New Roman" w:hAnsi="Times New Roman"/>
        </w:rPr>
        <w:t xml:space="preserve"> prosent i fjor,</w:t>
      </w:r>
      <w:r>
        <w:rPr>
          <w:rFonts w:ascii="Times New Roman" w:hAnsi="Times New Roman"/>
        </w:rPr>
        <w:t xml:space="preserve"> men det var en markert vekst gjennom året. Denne utviklingen gjenspeiler d</w:t>
      </w:r>
      <w:r w:rsidRPr="00D721B1">
        <w:rPr>
          <w:rFonts w:ascii="Times New Roman" w:hAnsi="Times New Roman"/>
        </w:rPr>
        <w:t>en kraftige prisøkningen på bruktboliger</w:t>
      </w:r>
      <w:r>
        <w:rPr>
          <w:rFonts w:ascii="Times New Roman" w:hAnsi="Times New Roman"/>
        </w:rPr>
        <w:t xml:space="preserve"> man har sett en tid som igjen i stor grad kan føres tilbake til lave renter</w:t>
      </w:r>
      <w:r w:rsidRPr="00D721B1">
        <w:rPr>
          <w:rFonts w:ascii="Times New Roman" w:hAnsi="Times New Roman"/>
        </w:rPr>
        <w:t xml:space="preserve">. Investeringene i offentlig forvaltning økte i fjor med </w:t>
      </w:r>
      <w:r>
        <w:rPr>
          <w:rFonts w:ascii="Times New Roman" w:hAnsi="Times New Roman"/>
        </w:rPr>
        <w:t>3,2</w:t>
      </w:r>
      <w:r w:rsidRPr="00D721B1">
        <w:rPr>
          <w:rFonts w:ascii="Times New Roman" w:hAnsi="Times New Roman"/>
        </w:rPr>
        <w:t xml:space="preserve"> prosent, etter svært høye</w:t>
      </w:r>
      <w:r>
        <w:rPr>
          <w:rFonts w:ascii="Times New Roman" w:hAnsi="Times New Roman"/>
        </w:rPr>
        <w:t xml:space="preserve"> vekst i</w:t>
      </w:r>
      <w:r w:rsidRPr="00D721B1">
        <w:rPr>
          <w:rFonts w:ascii="Times New Roman" w:hAnsi="Times New Roman"/>
        </w:rPr>
        <w:t xml:space="preserve"> investeringer i de to foregående årene</w:t>
      </w:r>
      <w:r>
        <w:rPr>
          <w:rFonts w:ascii="Times New Roman" w:hAnsi="Times New Roman"/>
        </w:rPr>
        <w:t>.</w:t>
      </w:r>
    </w:p>
    <w:p w14:paraId="5A68AB48" w14:textId="40D031E8" w:rsidR="006F55F8" w:rsidRPr="00D721B1" w:rsidRDefault="006F55F8" w:rsidP="006F55F8">
      <w:pPr>
        <w:rPr>
          <w:rFonts w:ascii="Times New Roman" w:hAnsi="Times New Roman"/>
        </w:rPr>
      </w:pPr>
      <w:r w:rsidRPr="00D721B1">
        <w:rPr>
          <w:rFonts w:ascii="Times New Roman" w:hAnsi="Times New Roman"/>
        </w:rPr>
        <w:t>Den internasjonale konjunkturnedgangen og svekket konkurranseevne bidr</w:t>
      </w:r>
      <w:r w:rsidRPr="002032EC">
        <w:rPr>
          <w:rFonts w:ascii="Times New Roman" w:hAnsi="Times New Roman"/>
        </w:rPr>
        <w:t>o</w:t>
      </w:r>
      <w:r w:rsidRPr="00D721B1">
        <w:rPr>
          <w:rFonts w:ascii="Times New Roman" w:hAnsi="Times New Roman"/>
        </w:rPr>
        <w:t xml:space="preserve"> til at tradisjonell vareeksport i flere år utviklet seg svakt. Litt høyere </w:t>
      </w:r>
      <w:r w:rsidRPr="002032EC">
        <w:rPr>
          <w:rFonts w:ascii="Times New Roman" w:hAnsi="Times New Roman"/>
        </w:rPr>
        <w:t>aktivitets</w:t>
      </w:r>
      <w:r w:rsidRPr="00D721B1">
        <w:rPr>
          <w:rFonts w:ascii="Times New Roman" w:hAnsi="Times New Roman"/>
        </w:rPr>
        <w:t xml:space="preserve">vekst </w:t>
      </w:r>
      <w:r>
        <w:rPr>
          <w:rFonts w:ascii="Times New Roman" w:hAnsi="Times New Roman"/>
        </w:rPr>
        <w:t xml:space="preserve">hos våre handelspartnere </w:t>
      </w:r>
      <w:r w:rsidRPr="00D721B1">
        <w:rPr>
          <w:rFonts w:ascii="Times New Roman" w:hAnsi="Times New Roman"/>
        </w:rPr>
        <w:t>og bedret kostnadsmessig konkurranseevne</w:t>
      </w:r>
      <w:r w:rsidRPr="002032EC">
        <w:rPr>
          <w:rFonts w:ascii="Times New Roman" w:hAnsi="Times New Roman"/>
        </w:rPr>
        <w:t xml:space="preserve"> har</w:t>
      </w:r>
      <w:r w:rsidRPr="00D721B1">
        <w:rPr>
          <w:rFonts w:ascii="Times New Roman" w:hAnsi="Times New Roman"/>
        </w:rPr>
        <w:t xml:space="preserve"> bidr</w:t>
      </w:r>
      <w:r w:rsidRPr="002032EC">
        <w:rPr>
          <w:rFonts w:ascii="Times New Roman" w:hAnsi="Times New Roman"/>
        </w:rPr>
        <w:t xml:space="preserve">att til at veksten i den </w:t>
      </w:r>
      <w:r w:rsidRPr="00D721B1">
        <w:rPr>
          <w:rFonts w:ascii="Times New Roman" w:hAnsi="Times New Roman"/>
        </w:rPr>
        <w:t>tradisjonell</w:t>
      </w:r>
      <w:r w:rsidRPr="002032EC">
        <w:rPr>
          <w:rFonts w:ascii="Times New Roman" w:hAnsi="Times New Roman"/>
        </w:rPr>
        <w:t>e</w:t>
      </w:r>
      <w:r w:rsidRPr="00D721B1">
        <w:rPr>
          <w:rFonts w:ascii="Times New Roman" w:hAnsi="Times New Roman"/>
        </w:rPr>
        <w:t xml:space="preserve"> vareeksport</w:t>
      </w:r>
      <w:r w:rsidRPr="002032EC">
        <w:rPr>
          <w:rFonts w:ascii="Times New Roman" w:hAnsi="Times New Roman"/>
        </w:rPr>
        <w:t>en gradvis har tatt seg opp gjennom de tre siste årene og økte med 5,5 prosent i 2015</w:t>
      </w:r>
      <w:r w:rsidRPr="00D721B1">
        <w:rPr>
          <w:rFonts w:ascii="Times New Roman" w:hAnsi="Times New Roman"/>
        </w:rPr>
        <w:t>.</w:t>
      </w:r>
      <w:r w:rsidRPr="007D7C6F">
        <w:rPr>
          <w:rFonts w:ascii="Times New Roman" w:hAnsi="Times New Roman"/>
        </w:rPr>
        <w:t xml:space="preserve"> </w:t>
      </w:r>
      <w:r>
        <w:rPr>
          <w:rFonts w:ascii="Times New Roman" w:hAnsi="Times New Roman"/>
        </w:rPr>
        <w:t xml:space="preserve">Eksporten av verkstedprodukter og kjemikaler, kjemiske og mineralske produkter økte klart. Eksporten av raffinerte oljeprodukter, økte imidlertid spesielt mye, og tradisjonell eksport uten raffinerte oljeprodukter økte 3,5 prosent. </w:t>
      </w:r>
      <w:r w:rsidRPr="00D721B1">
        <w:rPr>
          <w:rFonts w:ascii="Times New Roman" w:hAnsi="Times New Roman"/>
        </w:rPr>
        <w:t>Eksportvolumet av råolje og naturgass gikk opp med 0,</w:t>
      </w:r>
      <w:r>
        <w:rPr>
          <w:rFonts w:ascii="Times New Roman" w:hAnsi="Times New Roman"/>
        </w:rPr>
        <w:t>9</w:t>
      </w:r>
      <w:r w:rsidRPr="00D721B1">
        <w:rPr>
          <w:rFonts w:ascii="Times New Roman" w:hAnsi="Times New Roman"/>
        </w:rPr>
        <w:t xml:space="preserve"> prosent. Samlet</w:t>
      </w:r>
      <w:r w:rsidRPr="002032EC">
        <w:rPr>
          <w:rFonts w:ascii="Times New Roman" w:hAnsi="Times New Roman"/>
        </w:rPr>
        <w:t xml:space="preserve"> sett økte </w:t>
      </w:r>
      <w:r w:rsidRPr="00D721B1">
        <w:rPr>
          <w:rFonts w:ascii="Times New Roman" w:hAnsi="Times New Roman"/>
        </w:rPr>
        <w:t>eksport</w:t>
      </w:r>
      <w:r w:rsidRPr="002032EC">
        <w:rPr>
          <w:rFonts w:ascii="Times New Roman" w:hAnsi="Times New Roman"/>
        </w:rPr>
        <w:t>en i 2015 med</w:t>
      </w:r>
      <w:r>
        <w:rPr>
          <w:rFonts w:ascii="Times New Roman" w:hAnsi="Times New Roman"/>
        </w:rPr>
        <w:t xml:space="preserve"> 2,3</w:t>
      </w:r>
      <w:r w:rsidRPr="00D721B1">
        <w:rPr>
          <w:rFonts w:ascii="Times New Roman" w:hAnsi="Times New Roman"/>
        </w:rPr>
        <w:t xml:space="preserve"> prosent</w:t>
      </w:r>
      <w:r w:rsidRPr="002032EC">
        <w:rPr>
          <w:rFonts w:ascii="Times New Roman" w:hAnsi="Times New Roman"/>
        </w:rPr>
        <w:t>. På grunn av globalisering og spesialisering øker eksport og import normal</w:t>
      </w:r>
      <w:r w:rsidR="006E5163">
        <w:rPr>
          <w:rFonts w:ascii="Times New Roman" w:hAnsi="Times New Roman"/>
        </w:rPr>
        <w:t>t</w:t>
      </w:r>
      <w:r w:rsidRPr="002032EC">
        <w:rPr>
          <w:rFonts w:ascii="Times New Roman" w:hAnsi="Times New Roman"/>
        </w:rPr>
        <w:t xml:space="preserve"> mer enn BNP. Importen økte imidlertid bare med 0,</w:t>
      </w:r>
      <w:r>
        <w:rPr>
          <w:rFonts w:ascii="Times New Roman" w:hAnsi="Times New Roman"/>
        </w:rPr>
        <w:t>6</w:t>
      </w:r>
      <w:r w:rsidRPr="00D721B1">
        <w:rPr>
          <w:rFonts w:ascii="Times New Roman" w:hAnsi="Times New Roman"/>
        </w:rPr>
        <w:t xml:space="preserve"> prosent i 201</w:t>
      </w:r>
      <w:r w:rsidRPr="002032EC">
        <w:rPr>
          <w:rFonts w:ascii="Times New Roman" w:hAnsi="Times New Roman"/>
        </w:rPr>
        <w:t>5. Dette er en følge av bedret kostnadsmessig konkurranseevne, men reflekterer også endringer i sammensetningen av norsk etterspørsel</w:t>
      </w:r>
      <w:r>
        <w:rPr>
          <w:rFonts w:ascii="Times New Roman" w:hAnsi="Times New Roman"/>
        </w:rPr>
        <w:t xml:space="preserve"> med blant annet den kraftige </w:t>
      </w:r>
      <w:r w:rsidRPr="005B10FE">
        <w:rPr>
          <w:rFonts w:ascii="Times New Roman" w:hAnsi="Times New Roman"/>
        </w:rPr>
        <w:t>nedgangen i petroleumsinvesteringene hvor normalt mye importeres</w:t>
      </w:r>
      <w:r w:rsidRPr="00D721B1">
        <w:rPr>
          <w:rFonts w:ascii="Times New Roman" w:hAnsi="Times New Roman"/>
        </w:rPr>
        <w:t>.</w:t>
      </w:r>
    </w:p>
    <w:p w14:paraId="7C7FDEDD" w14:textId="77777777" w:rsidR="006F55F8" w:rsidRPr="00E24D5B" w:rsidRDefault="006F55F8" w:rsidP="006F55F8">
      <w:r w:rsidRPr="00D721B1">
        <w:rPr>
          <w:rFonts w:ascii="Times New Roman" w:hAnsi="Times New Roman"/>
        </w:rPr>
        <w:t xml:space="preserve">Overskuddet på driftsbalansen overfor utlandet endres i stor grad i takt med oljeprisen. </w:t>
      </w:r>
      <w:r>
        <w:rPr>
          <w:rFonts w:ascii="Times New Roman" w:hAnsi="Times New Roman"/>
        </w:rPr>
        <w:t>Oljeprisfallet</w:t>
      </w:r>
      <w:r w:rsidRPr="00D721B1">
        <w:rPr>
          <w:rFonts w:ascii="Times New Roman" w:hAnsi="Times New Roman"/>
        </w:rPr>
        <w:t xml:space="preserve"> </w:t>
      </w:r>
      <w:r w:rsidRPr="005B10FE">
        <w:rPr>
          <w:rFonts w:ascii="Times New Roman" w:hAnsi="Times New Roman"/>
        </w:rPr>
        <w:t>h</w:t>
      </w:r>
      <w:r w:rsidRPr="00D721B1">
        <w:rPr>
          <w:rFonts w:ascii="Times New Roman" w:hAnsi="Times New Roman"/>
        </w:rPr>
        <w:t>ar bidratt til at overskuddet i driftsbalansen gr</w:t>
      </w:r>
      <w:r w:rsidRPr="005B10FE">
        <w:rPr>
          <w:rFonts w:ascii="Times New Roman" w:hAnsi="Times New Roman"/>
        </w:rPr>
        <w:t>advis har gått ned fra 314</w:t>
      </w:r>
      <w:r w:rsidRPr="00D721B1">
        <w:rPr>
          <w:rFonts w:ascii="Times New Roman" w:hAnsi="Times New Roman"/>
        </w:rPr>
        <w:t xml:space="preserve"> milliarder kroner i 201</w:t>
      </w:r>
      <w:r w:rsidRPr="005B10FE">
        <w:rPr>
          <w:rFonts w:ascii="Times New Roman" w:hAnsi="Times New Roman"/>
        </w:rPr>
        <w:t>3</w:t>
      </w:r>
      <w:r w:rsidRPr="00D721B1">
        <w:rPr>
          <w:rFonts w:ascii="Times New Roman" w:hAnsi="Times New Roman"/>
        </w:rPr>
        <w:t xml:space="preserve"> til </w:t>
      </w:r>
      <w:r w:rsidRPr="00554F3F">
        <w:rPr>
          <w:rFonts w:ascii="Times New Roman" w:hAnsi="Times New Roman"/>
        </w:rPr>
        <w:t xml:space="preserve">anslagsvis </w:t>
      </w:r>
      <w:r w:rsidRPr="007747DC">
        <w:rPr>
          <w:rFonts w:ascii="Times New Roman" w:hAnsi="Times New Roman"/>
        </w:rPr>
        <w:t>250</w:t>
      </w:r>
      <w:r w:rsidRPr="00D721B1">
        <w:rPr>
          <w:rFonts w:ascii="Times New Roman" w:hAnsi="Times New Roman"/>
        </w:rPr>
        <w:t xml:space="preserve"> milliarder kroner i 201</w:t>
      </w:r>
      <w:r w:rsidRPr="005B10FE">
        <w:rPr>
          <w:rFonts w:ascii="Times New Roman" w:hAnsi="Times New Roman"/>
        </w:rPr>
        <w:t>5</w:t>
      </w:r>
      <w:r w:rsidRPr="00D721B1">
        <w:rPr>
          <w:rFonts w:ascii="Times New Roman" w:hAnsi="Times New Roman"/>
        </w:rPr>
        <w:t xml:space="preserve">. </w:t>
      </w:r>
    </w:p>
    <w:p w14:paraId="5095D233" w14:textId="192D7199" w:rsidR="006F55F8" w:rsidRPr="00057AE9" w:rsidRDefault="006F55F8" w:rsidP="004779A9">
      <w:pPr>
        <w:pStyle w:val="Overskrift3"/>
        <w:numPr>
          <w:ilvl w:val="2"/>
          <w:numId w:val="25"/>
        </w:numPr>
      </w:pPr>
      <w:bookmarkStart w:id="194" w:name="_Toc411849476"/>
      <w:bookmarkStart w:id="195" w:name="_Toc415240774"/>
      <w:bookmarkStart w:id="196" w:name="_Toc443998979"/>
      <w:r w:rsidRPr="006B38D0">
        <w:t>Arbeidsmarkedet</w:t>
      </w:r>
      <w:bookmarkEnd w:id="194"/>
      <w:bookmarkEnd w:id="195"/>
      <w:bookmarkEnd w:id="196"/>
    </w:p>
    <w:p w14:paraId="1EADC991" w14:textId="00892343" w:rsidR="006F55F8" w:rsidRPr="007D3844" w:rsidRDefault="006F55F8" w:rsidP="006F55F8">
      <w:r w:rsidRPr="007D3844">
        <w:t xml:space="preserve">Den svake produksjonsutviklingen har bidratt til sysselsettingsvekst </w:t>
      </w:r>
      <w:r>
        <w:t xml:space="preserve">på 0,6 prosent </w:t>
      </w:r>
      <w:r w:rsidRPr="007D3844">
        <w:t xml:space="preserve">i 2015. Sysselsettingsveksten </w:t>
      </w:r>
      <w:r>
        <w:t>var</w:t>
      </w:r>
      <w:r w:rsidRPr="007D3844">
        <w:t xml:space="preserve"> lavere enn den årlige gjennomsnittlige veksten på vel én prosent i 2013 og 2014.</w:t>
      </w:r>
      <w:r w:rsidRPr="00CD094E">
        <w:t xml:space="preserve"> </w:t>
      </w:r>
      <w:r>
        <w:t>Gjennom året økte sysselsettingen moderat de tre første kvartalene, mens den falt noe i 4. kvartal</w:t>
      </w:r>
      <w:r w:rsidRPr="00CD094E">
        <w:t>.</w:t>
      </w:r>
      <w:r w:rsidRPr="007D3844">
        <w:t xml:space="preserve"> Arbeidsstyrken har økt mer slik at arbeidsledigheten har gått opp. Ifølge Arbeidskraftsundersøkelsen (AKU) har antall arbeidsledige som andel av arbeidsstyrken </w:t>
      </w:r>
      <w:r>
        <w:t>økt</w:t>
      </w:r>
      <w:r w:rsidRPr="007D3844">
        <w:t xml:space="preserve"> fra 3,2 prosent i 2. kvartal 2014 til 4,6 prosent i 4. kvartal 2015. </w:t>
      </w:r>
      <w:r>
        <w:t>Samlet har den registrerte arbeidsledigheten økt mindre i denne perioden, men viser store regionale forskjeller. Forskjellene i de to måtene å måle arbeidsledighet på er nærmere omtalt i Økonomiske analyser 5/2012.</w:t>
      </w:r>
    </w:p>
    <w:p w14:paraId="0C1A8DC1" w14:textId="7B5C0B64" w:rsidR="006F55F8" w:rsidRDefault="006F55F8" w:rsidP="006F55F8"/>
    <w:p w14:paraId="71BCE2ED" w14:textId="77777777" w:rsidR="006F55F8" w:rsidRDefault="006F55F8" w:rsidP="006F55F8">
      <w:r>
        <w:rPr>
          <w:noProof/>
        </w:rPr>
        <w:drawing>
          <wp:inline distT="0" distB="0" distL="0" distR="0" wp14:anchorId="0F2ABD74" wp14:editId="75B2B612">
            <wp:extent cx="2633254" cy="255401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png"/>
                    <pic:cNvPicPr/>
                  </pic:nvPicPr>
                  <pic:blipFill>
                    <a:blip r:embed="rId31">
                      <a:extLst>
                        <a:ext uri="{28A0092B-C50C-407E-A947-70E740481C1C}">
                          <a14:useLocalDpi xmlns:a14="http://schemas.microsoft.com/office/drawing/2010/main" val="0"/>
                        </a:ext>
                      </a:extLst>
                    </a:blip>
                    <a:stretch>
                      <a:fillRect/>
                    </a:stretch>
                  </pic:blipFill>
                  <pic:spPr>
                    <a:xfrm>
                      <a:off x="0" y="0"/>
                      <a:ext cx="2633254" cy="2554013"/>
                    </a:xfrm>
                    <a:prstGeom prst="rect">
                      <a:avLst/>
                    </a:prstGeom>
                  </pic:spPr>
                </pic:pic>
              </a:graphicData>
            </a:graphic>
          </wp:inline>
        </w:drawing>
      </w:r>
    </w:p>
    <w:p w14:paraId="765A98AD" w14:textId="77777777" w:rsidR="006F55F8" w:rsidRPr="00646766" w:rsidRDefault="006F55F8" w:rsidP="006F55F8">
      <w:pPr>
        <w:pStyle w:val="figur-tittel"/>
      </w:pPr>
      <w:bookmarkStart w:id="197" w:name="_Ref443637300"/>
      <w:r w:rsidRPr="00010B1D">
        <w:t>Sysselsatte etter næring. Sesongjustert endring fra 1. kvartal 2010. 1000 personer</w:t>
      </w:r>
      <w:r w:rsidRPr="006B38D0">
        <w:t>.</w:t>
      </w:r>
      <w:bookmarkEnd w:id="197"/>
    </w:p>
    <w:p w14:paraId="0CA02B59" w14:textId="77777777" w:rsidR="006F55F8" w:rsidRPr="00D53D73" w:rsidRDefault="006F55F8" w:rsidP="00015DF1">
      <w:pPr>
        <w:spacing w:after="240"/>
        <w:rPr>
          <w:sz w:val="20"/>
        </w:rPr>
      </w:pPr>
      <w:r w:rsidRPr="00D53D73">
        <w:rPr>
          <w:sz w:val="20"/>
        </w:rPr>
        <w:t xml:space="preserve">Kilder: Finansdepartementet og Statistisk sentralbyrå </w:t>
      </w:r>
    </w:p>
    <w:p w14:paraId="77ABAA9A" w14:textId="710D4610" w:rsidR="006F55F8" w:rsidRPr="00127B94" w:rsidRDefault="00015DF1" w:rsidP="006F55F8">
      <w:r w:rsidRPr="007D3844">
        <w:t xml:space="preserve">De siste årene har det vært betydelige forskjeller i </w:t>
      </w:r>
      <w:r w:rsidRPr="007D3844">
        <w:rPr>
          <w:i/>
        </w:rPr>
        <w:t>sysselsettingsutviklingen mellom næringene</w:t>
      </w:r>
      <w:r w:rsidRPr="007D3844">
        <w:t>, se tabe</w:t>
      </w:r>
      <w:r>
        <w:t>l</w:t>
      </w:r>
      <w:r w:rsidRPr="007D3844">
        <w:t>l 3.2</w:t>
      </w:r>
      <w:r>
        <w:t xml:space="preserve"> og </w:t>
      </w:r>
      <w:r>
        <w:rPr>
          <w:rFonts w:ascii="Times New Roman" w:hAnsi="Times New Roman"/>
        </w:rPr>
        <w:t>figur</w:t>
      </w:r>
      <w:r w:rsidRPr="00054222">
        <w:rPr>
          <w:rFonts w:ascii="Times New Roman" w:hAnsi="Times New Roman"/>
        </w:rPr>
        <w:t xml:space="preserve"> 3.</w:t>
      </w:r>
      <w:r w:rsidR="00CF62B4">
        <w:rPr>
          <w:rFonts w:ascii="Times New Roman" w:hAnsi="Times New Roman"/>
        </w:rPr>
        <w:t>8</w:t>
      </w:r>
      <w:r w:rsidRPr="00054222">
        <w:rPr>
          <w:rFonts w:ascii="Times New Roman" w:hAnsi="Times New Roman"/>
        </w:rPr>
        <w:t>.</w:t>
      </w:r>
      <w:r w:rsidRPr="007D3844">
        <w:t xml:space="preserve"> Sysselsettingsmønsteret det siste året står i kontrast til utviklingen de senere årene. Det var lenge en særlig sterk sysselsettingsvekst i tjenester tilknyttet utvinning av råolje og naturgass. I løpet av det siste året har sysselsettingen i denne næringen falt </w:t>
      </w:r>
      <w:r>
        <w:t>betydelig med vel 6</w:t>
      </w:r>
      <w:r w:rsidRPr="002B3C9A">
        <w:t xml:space="preserve"> prosent.</w:t>
      </w:r>
      <w:r w:rsidRPr="007D3844">
        <w:t xml:space="preserve"> Sysselsettingen i industri som primært leverer til petroleumsnæringen, som verfts- og transportmiddelindustri samt reparasjon og installasjon av maskiner og utstyr, har også falt det siste året. Samlet er sysselsettingen i industrien redusert med </w:t>
      </w:r>
      <w:r>
        <w:t>vel 2</w:t>
      </w:r>
      <w:r w:rsidRPr="007D3844">
        <w:t xml:space="preserve"> prosent fra </w:t>
      </w:r>
      <w:r>
        <w:t>2014 til 2015</w:t>
      </w:r>
      <w:r w:rsidRPr="002B3C9A">
        <w:t>.</w:t>
      </w:r>
      <w:r w:rsidRPr="007D3844">
        <w:t xml:space="preserve"> Sysselsettingen i bygg og anlegg økte med </w:t>
      </w:r>
      <w:r>
        <w:t>2,6</w:t>
      </w:r>
      <w:r w:rsidRPr="007D3844">
        <w:t xml:space="preserve"> prosent fra </w:t>
      </w:r>
      <w:r>
        <w:t>2014</w:t>
      </w:r>
      <w:r w:rsidRPr="007D3844">
        <w:t xml:space="preserve"> til </w:t>
      </w:r>
      <w:r>
        <w:t>2015</w:t>
      </w:r>
      <w:r w:rsidRPr="007D3844">
        <w:t xml:space="preserve">. Gjennom de siste tre-fire årene har det vært stabil vekst i bygg og anlegg. I stats- og kommuneforvaltningen økte sysselsettingen med henholdsvis </w:t>
      </w:r>
      <w:r>
        <w:t>1,2</w:t>
      </w:r>
      <w:r w:rsidRPr="002B3C9A">
        <w:t xml:space="preserve"> og 0,</w:t>
      </w:r>
      <w:r>
        <w:t>7</w:t>
      </w:r>
      <w:r w:rsidRPr="002B3C9A">
        <w:t xml:space="preserve"> prosent</w:t>
      </w:r>
      <w:r w:rsidRPr="007D3844">
        <w:t>.</w:t>
      </w:r>
    </w:p>
    <w:p w14:paraId="5B47D7ED" w14:textId="03210162" w:rsidR="008B27AF" w:rsidRDefault="006F55F8" w:rsidP="00D53D73">
      <w:r w:rsidRPr="007D3844">
        <w:t xml:space="preserve">Veksten i utførte timeverk var </w:t>
      </w:r>
      <w:r>
        <w:t>om lag på nivå med</w:t>
      </w:r>
      <w:r w:rsidRPr="007D3844">
        <w:t xml:space="preserve"> sysselsettingsveksten i fjor. Normalt øker utførte timeverk mer enn sysselsettingen i en konjunkturoppgang og faller tilsvarende i en konjunkturnedgang. </w:t>
      </w:r>
      <w:r>
        <w:t>Også utviklingen i timeverk støtter opp om lav aktivitet i</w:t>
      </w:r>
      <w:r w:rsidRPr="007D3844">
        <w:t xml:space="preserve"> næringer knyttet til petroleumsvirksomhet</w:t>
      </w:r>
      <w:r>
        <w:t>. Timeverkene falt klart mer</w:t>
      </w:r>
      <w:r w:rsidRPr="007D3844">
        <w:t xml:space="preserve"> enn </w:t>
      </w:r>
      <w:r>
        <w:t>sysselsettingen i industrien samlet og innen verftsindustri, reparasjon av installasjon av maskiner og utstyr samt innen produksjon av</w:t>
      </w:r>
      <w:r w:rsidRPr="002B3C9A">
        <w:t xml:space="preserve"> metallvarer, elektrisk utstyr og maskiner</w:t>
      </w:r>
      <w:r w:rsidR="00D53D73">
        <w:t>.</w:t>
      </w:r>
    </w:p>
    <w:p w14:paraId="2397C21A" w14:textId="77777777" w:rsidR="008B348E" w:rsidRDefault="008B348E">
      <w:pPr>
        <w:spacing w:after="0"/>
        <w:rPr>
          <w:rFonts w:ascii="Arial" w:eastAsia="Times New Roman" w:hAnsi="Arial" w:cstheme="minorBidi"/>
          <w:spacing w:val="4"/>
          <w:szCs w:val="22"/>
        </w:rPr>
      </w:pPr>
      <w:r>
        <w:br w:type="page"/>
      </w:r>
    </w:p>
    <w:p w14:paraId="6E338440" w14:textId="66AD5B63" w:rsidR="006F55F8" w:rsidRPr="008B6A44" w:rsidRDefault="006F55F8" w:rsidP="004779A9">
      <w:pPr>
        <w:pStyle w:val="tabell-tittel"/>
        <w:numPr>
          <w:ilvl w:val="6"/>
          <w:numId w:val="27"/>
        </w:numPr>
        <w:rPr>
          <w:szCs w:val="24"/>
        </w:rPr>
      </w:pPr>
      <w:r w:rsidRPr="006B38D0">
        <w:t>Sysselsatte og timeverk ifølge nasjonalregnskapet</w:t>
      </w:r>
      <w:r w:rsidRPr="008B6A44">
        <w:rPr>
          <w:vertAlign w:val="superscript"/>
        </w:rPr>
        <w:t>1</w:t>
      </w:r>
      <w:r w:rsidRPr="006B38D0">
        <w:t xml:space="preserve"> </w:t>
      </w:r>
    </w:p>
    <w:tbl>
      <w:tblPr>
        <w:tblW w:w="0" w:type="auto"/>
        <w:tblLayout w:type="fixed"/>
        <w:tblLook w:val="0000" w:firstRow="0" w:lastRow="0" w:firstColumn="0" w:lastColumn="0" w:noHBand="0" w:noVBand="0"/>
      </w:tblPr>
      <w:tblGrid>
        <w:gridCol w:w="3510"/>
        <w:gridCol w:w="851"/>
        <w:gridCol w:w="567"/>
        <w:gridCol w:w="709"/>
        <w:gridCol w:w="708"/>
        <w:gridCol w:w="620"/>
        <w:gridCol w:w="773"/>
        <w:gridCol w:w="774"/>
        <w:gridCol w:w="774"/>
      </w:tblGrid>
      <w:tr w:rsidR="006F55F8" w:rsidRPr="00DE5275" w14:paraId="0A90F245" w14:textId="77777777" w:rsidTr="006F55F8">
        <w:trPr>
          <w:trHeight w:val="255"/>
        </w:trPr>
        <w:tc>
          <w:tcPr>
            <w:tcW w:w="3510" w:type="dxa"/>
            <w:tcBorders>
              <w:top w:val="single" w:sz="4" w:space="0" w:color="auto"/>
            </w:tcBorders>
            <w:noWrap/>
          </w:tcPr>
          <w:p w14:paraId="49656D55" w14:textId="77777777" w:rsidR="006F55F8" w:rsidRPr="00DE5275" w:rsidRDefault="006F55F8" w:rsidP="006F55F8">
            <w:pPr>
              <w:spacing w:after="0"/>
              <w:rPr>
                <w:rFonts w:ascii="Times New Roman" w:hAnsi="Times New Roman"/>
                <w:sz w:val="20"/>
              </w:rPr>
            </w:pPr>
          </w:p>
        </w:tc>
        <w:tc>
          <w:tcPr>
            <w:tcW w:w="851" w:type="dxa"/>
            <w:tcBorders>
              <w:top w:val="single" w:sz="4" w:space="0" w:color="auto"/>
            </w:tcBorders>
            <w:noWrap/>
          </w:tcPr>
          <w:p w14:paraId="532026E0"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Nivå</w:t>
            </w:r>
          </w:p>
        </w:tc>
        <w:tc>
          <w:tcPr>
            <w:tcW w:w="567" w:type="dxa"/>
            <w:tcBorders>
              <w:top w:val="single" w:sz="4" w:space="0" w:color="auto"/>
            </w:tcBorders>
            <w:noWrap/>
          </w:tcPr>
          <w:p w14:paraId="138046C7" w14:textId="77777777" w:rsidR="006F55F8" w:rsidRPr="00DE5275" w:rsidRDefault="006F55F8" w:rsidP="006F55F8">
            <w:pPr>
              <w:spacing w:after="0"/>
              <w:jc w:val="center"/>
              <w:rPr>
                <w:rFonts w:ascii="Times New Roman" w:hAnsi="Times New Roman"/>
                <w:sz w:val="20"/>
              </w:rPr>
            </w:pPr>
          </w:p>
        </w:tc>
        <w:tc>
          <w:tcPr>
            <w:tcW w:w="4358" w:type="dxa"/>
            <w:gridSpan w:val="6"/>
            <w:tcBorders>
              <w:top w:val="single" w:sz="4" w:space="0" w:color="auto"/>
            </w:tcBorders>
            <w:noWrap/>
          </w:tcPr>
          <w:p w14:paraId="3B280D3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Endring fra året før i prosent</w:t>
            </w:r>
          </w:p>
        </w:tc>
      </w:tr>
      <w:tr w:rsidR="006F55F8" w:rsidRPr="00DE5275" w14:paraId="15CC5A22" w14:textId="77777777" w:rsidTr="006F55F8">
        <w:trPr>
          <w:trHeight w:val="255"/>
        </w:trPr>
        <w:tc>
          <w:tcPr>
            <w:tcW w:w="3510" w:type="dxa"/>
            <w:tcBorders>
              <w:bottom w:val="single" w:sz="4" w:space="0" w:color="auto"/>
            </w:tcBorders>
            <w:noWrap/>
          </w:tcPr>
          <w:p w14:paraId="75AB065F" w14:textId="77777777" w:rsidR="006F55F8" w:rsidRPr="00DE5275" w:rsidRDefault="006F55F8" w:rsidP="006F55F8">
            <w:pPr>
              <w:spacing w:after="0"/>
              <w:rPr>
                <w:rFonts w:ascii="Times New Roman" w:hAnsi="Times New Roman"/>
                <w:sz w:val="20"/>
              </w:rPr>
            </w:pPr>
          </w:p>
        </w:tc>
        <w:tc>
          <w:tcPr>
            <w:tcW w:w="851" w:type="dxa"/>
            <w:tcBorders>
              <w:bottom w:val="single" w:sz="4" w:space="0" w:color="auto"/>
            </w:tcBorders>
            <w:noWrap/>
          </w:tcPr>
          <w:p w14:paraId="3D206B64"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2015*</w:t>
            </w:r>
          </w:p>
        </w:tc>
        <w:tc>
          <w:tcPr>
            <w:tcW w:w="567" w:type="dxa"/>
            <w:tcBorders>
              <w:bottom w:val="single" w:sz="4" w:space="0" w:color="auto"/>
            </w:tcBorders>
            <w:noWrap/>
          </w:tcPr>
          <w:p w14:paraId="1FC49EFE"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w:t>
            </w:r>
          </w:p>
        </w:tc>
        <w:tc>
          <w:tcPr>
            <w:tcW w:w="709" w:type="dxa"/>
            <w:tcBorders>
              <w:bottom w:val="single" w:sz="4" w:space="0" w:color="auto"/>
            </w:tcBorders>
            <w:noWrap/>
          </w:tcPr>
          <w:p w14:paraId="55142A9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2010</w:t>
            </w:r>
          </w:p>
        </w:tc>
        <w:tc>
          <w:tcPr>
            <w:tcW w:w="708" w:type="dxa"/>
            <w:tcBorders>
              <w:bottom w:val="single" w:sz="4" w:space="0" w:color="auto"/>
            </w:tcBorders>
            <w:noWrap/>
          </w:tcPr>
          <w:p w14:paraId="01B21B01"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2011</w:t>
            </w:r>
          </w:p>
        </w:tc>
        <w:tc>
          <w:tcPr>
            <w:tcW w:w="620" w:type="dxa"/>
            <w:tcBorders>
              <w:bottom w:val="single" w:sz="4" w:space="0" w:color="auto"/>
            </w:tcBorders>
            <w:noWrap/>
          </w:tcPr>
          <w:p w14:paraId="28C2A16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2012</w:t>
            </w:r>
          </w:p>
        </w:tc>
        <w:tc>
          <w:tcPr>
            <w:tcW w:w="773" w:type="dxa"/>
            <w:tcBorders>
              <w:bottom w:val="single" w:sz="4" w:space="0" w:color="auto"/>
            </w:tcBorders>
            <w:noWrap/>
          </w:tcPr>
          <w:p w14:paraId="4DB77E9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2013</w:t>
            </w:r>
          </w:p>
        </w:tc>
        <w:tc>
          <w:tcPr>
            <w:tcW w:w="774" w:type="dxa"/>
            <w:tcBorders>
              <w:bottom w:val="single" w:sz="4" w:space="0" w:color="auto"/>
            </w:tcBorders>
            <w:noWrap/>
          </w:tcPr>
          <w:p w14:paraId="137FFC8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2014*</w:t>
            </w:r>
          </w:p>
        </w:tc>
        <w:tc>
          <w:tcPr>
            <w:tcW w:w="774" w:type="dxa"/>
            <w:tcBorders>
              <w:bottom w:val="single" w:sz="4" w:space="0" w:color="auto"/>
            </w:tcBorders>
            <w:noWrap/>
          </w:tcPr>
          <w:p w14:paraId="3006F40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2015*</w:t>
            </w:r>
          </w:p>
        </w:tc>
      </w:tr>
      <w:tr w:rsidR="006F55F8" w:rsidRPr="00DE5275" w14:paraId="610DCF62" w14:textId="77777777" w:rsidTr="006F55F8">
        <w:trPr>
          <w:trHeight w:val="255"/>
        </w:trPr>
        <w:tc>
          <w:tcPr>
            <w:tcW w:w="3510" w:type="dxa"/>
            <w:tcBorders>
              <w:top w:val="single" w:sz="4" w:space="0" w:color="auto"/>
            </w:tcBorders>
            <w:noWrap/>
          </w:tcPr>
          <w:p w14:paraId="5BAA768F"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Timeverk Fastlands-Norge </w:t>
            </w:r>
          </w:p>
          <w:p w14:paraId="35932C3C" w14:textId="77777777" w:rsidR="006F55F8" w:rsidRPr="00DE5275" w:rsidDel="00D212E3" w:rsidRDefault="006F55F8" w:rsidP="006F55F8">
            <w:pPr>
              <w:spacing w:after="0"/>
              <w:rPr>
                <w:rFonts w:ascii="Times New Roman" w:hAnsi="Times New Roman"/>
                <w:sz w:val="20"/>
              </w:rPr>
            </w:pPr>
            <w:r w:rsidRPr="00DE5275">
              <w:rPr>
                <w:rFonts w:ascii="Times New Roman" w:hAnsi="Times New Roman"/>
                <w:sz w:val="20"/>
              </w:rPr>
              <w:t>i alt. Mill. timer</w:t>
            </w:r>
          </w:p>
        </w:tc>
        <w:tc>
          <w:tcPr>
            <w:tcW w:w="851" w:type="dxa"/>
            <w:tcBorders>
              <w:top w:val="single" w:sz="4" w:space="0" w:color="auto"/>
            </w:tcBorders>
            <w:noWrap/>
          </w:tcPr>
          <w:p w14:paraId="6A14BCEE" w14:textId="77777777" w:rsidR="006F55F8" w:rsidRPr="00DE5275" w:rsidRDefault="006F55F8" w:rsidP="00DE5275">
            <w:pPr>
              <w:spacing w:after="0"/>
              <w:jc w:val="right"/>
              <w:rPr>
                <w:rFonts w:ascii="Times New Roman" w:hAnsi="Times New Roman"/>
                <w:sz w:val="20"/>
              </w:rPr>
            </w:pPr>
          </w:p>
          <w:p w14:paraId="38A0ED13"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3811,5</w:t>
            </w:r>
          </w:p>
        </w:tc>
        <w:tc>
          <w:tcPr>
            <w:tcW w:w="567" w:type="dxa"/>
            <w:tcBorders>
              <w:top w:val="single" w:sz="4" w:space="0" w:color="auto"/>
            </w:tcBorders>
            <w:noWrap/>
          </w:tcPr>
          <w:p w14:paraId="10B3B9FD" w14:textId="77777777" w:rsidR="006F55F8" w:rsidRPr="00DE5275" w:rsidRDefault="006F55F8" w:rsidP="006F55F8">
            <w:pPr>
              <w:spacing w:after="0"/>
              <w:jc w:val="right"/>
              <w:rPr>
                <w:rFonts w:ascii="Times New Roman" w:hAnsi="Times New Roman"/>
                <w:sz w:val="20"/>
              </w:rPr>
            </w:pPr>
          </w:p>
        </w:tc>
        <w:tc>
          <w:tcPr>
            <w:tcW w:w="709" w:type="dxa"/>
            <w:tcBorders>
              <w:top w:val="single" w:sz="4" w:space="0" w:color="auto"/>
            </w:tcBorders>
            <w:noWrap/>
            <w:vAlign w:val="bottom"/>
          </w:tcPr>
          <w:p w14:paraId="59F2C85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0,2</w:t>
            </w:r>
          </w:p>
        </w:tc>
        <w:tc>
          <w:tcPr>
            <w:tcW w:w="708" w:type="dxa"/>
            <w:tcBorders>
              <w:top w:val="single" w:sz="4" w:space="0" w:color="auto"/>
            </w:tcBorders>
            <w:noWrap/>
            <w:vAlign w:val="bottom"/>
          </w:tcPr>
          <w:p w14:paraId="51FCC2F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1,7</w:t>
            </w:r>
          </w:p>
        </w:tc>
        <w:tc>
          <w:tcPr>
            <w:tcW w:w="620" w:type="dxa"/>
            <w:tcBorders>
              <w:top w:val="single" w:sz="4" w:space="0" w:color="auto"/>
            </w:tcBorders>
            <w:noWrap/>
            <w:vAlign w:val="bottom"/>
          </w:tcPr>
          <w:p w14:paraId="68D06641"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1,8</w:t>
            </w:r>
          </w:p>
        </w:tc>
        <w:tc>
          <w:tcPr>
            <w:tcW w:w="773" w:type="dxa"/>
            <w:tcBorders>
              <w:top w:val="single" w:sz="4" w:space="0" w:color="auto"/>
            </w:tcBorders>
            <w:noWrap/>
          </w:tcPr>
          <w:p w14:paraId="1DEFB45E" w14:textId="77777777" w:rsidR="006F55F8" w:rsidRPr="00DE5275" w:rsidRDefault="006F55F8" w:rsidP="006F55F8">
            <w:pPr>
              <w:spacing w:after="0"/>
              <w:jc w:val="center"/>
              <w:rPr>
                <w:rFonts w:ascii="Times New Roman" w:hAnsi="Times New Roman"/>
                <w:sz w:val="20"/>
              </w:rPr>
            </w:pPr>
          </w:p>
          <w:p w14:paraId="0FE72B14"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0,3</w:t>
            </w:r>
          </w:p>
        </w:tc>
        <w:tc>
          <w:tcPr>
            <w:tcW w:w="774" w:type="dxa"/>
            <w:tcBorders>
              <w:top w:val="single" w:sz="4" w:space="0" w:color="auto"/>
            </w:tcBorders>
            <w:noWrap/>
          </w:tcPr>
          <w:p w14:paraId="326C6932" w14:textId="77777777" w:rsidR="006F55F8" w:rsidRPr="00DE5275" w:rsidRDefault="006F55F8" w:rsidP="006F55F8">
            <w:pPr>
              <w:spacing w:after="0"/>
              <w:jc w:val="center"/>
              <w:rPr>
                <w:rFonts w:ascii="Times New Roman" w:hAnsi="Times New Roman"/>
                <w:sz w:val="20"/>
              </w:rPr>
            </w:pPr>
          </w:p>
          <w:p w14:paraId="040C6F3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4" w:type="dxa"/>
            <w:tcBorders>
              <w:top w:val="single" w:sz="4" w:space="0" w:color="auto"/>
            </w:tcBorders>
            <w:noWrap/>
          </w:tcPr>
          <w:p w14:paraId="6C1378D4" w14:textId="77777777" w:rsidR="006F55F8" w:rsidRPr="00DE5275" w:rsidRDefault="006F55F8" w:rsidP="006F55F8">
            <w:pPr>
              <w:spacing w:after="0"/>
              <w:jc w:val="center"/>
              <w:rPr>
                <w:rFonts w:ascii="Times New Roman" w:hAnsi="Times New Roman"/>
                <w:sz w:val="20"/>
              </w:rPr>
            </w:pPr>
          </w:p>
          <w:p w14:paraId="420F53C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r>
      <w:tr w:rsidR="006F55F8" w:rsidRPr="00DE5275" w14:paraId="43073EAC" w14:textId="77777777" w:rsidTr="006F55F8">
        <w:trPr>
          <w:trHeight w:val="255"/>
        </w:trPr>
        <w:tc>
          <w:tcPr>
            <w:tcW w:w="3510" w:type="dxa"/>
            <w:noWrap/>
          </w:tcPr>
          <w:p w14:paraId="69D9D77D" w14:textId="77777777" w:rsidR="006F55F8" w:rsidRPr="00DE5275" w:rsidRDefault="006F55F8" w:rsidP="006F55F8">
            <w:pPr>
              <w:spacing w:after="0"/>
              <w:rPr>
                <w:rFonts w:ascii="Times New Roman" w:hAnsi="Times New Roman"/>
                <w:sz w:val="20"/>
              </w:rPr>
            </w:pPr>
          </w:p>
        </w:tc>
        <w:tc>
          <w:tcPr>
            <w:tcW w:w="851" w:type="dxa"/>
            <w:noWrap/>
          </w:tcPr>
          <w:p w14:paraId="652CBE09" w14:textId="77777777" w:rsidR="006F55F8" w:rsidRPr="00DE5275" w:rsidRDefault="006F55F8" w:rsidP="00DE5275">
            <w:pPr>
              <w:spacing w:after="0"/>
              <w:jc w:val="right"/>
              <w:rPr>
                <w:rFonts w:ascii="Times New Roman" w:hAnsi="Times New Roman"/>
                <w:sz w:val="20"/>
              </w:rPr>
            </w:pPr>
          </w:p>
        </w:tc>
        <w:tc>
          <w:tcPr>
            <w:tcW w:w="567" w:type="dxa"/>
            <w:noWrap/>
          </w:tcPr>
          <w:p w14:paraId="00834121"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46664B01" w14:textId="77777777" w:rsidR="006F55F8" w:rsidRPr="00DE5275" w:rsidRDefault="006F55F8" w:rsidP="006F55F8">
            <w:pPr>
              <w:spacing w:after="0"/>
              <w:jc w:val="center"/>
              <w:rPr>
                <w:rFonts w:ascii="Times New Roman" w:hAnsi="Times New Roman"/>
                <w:sz w:val="20"/>
              </w:rPr>
            </w:pPr>
          </w:p>
        </w:tc>
        <w:tc>
          <w:tcPr>
            <w:tcW w:w="708" w:type="dxa"/>
            <w:noWrap/>
            <w:vAlign w:val="bottom"/>
          </w:tcPr>
          <w:p w14:paraId="5D585229" w14:textId="77777777" w:rsidR="006F55F8" w:rsidRPr="00DE5275" w:rsidRDefault="006F55F8" w:rsidP="006F55F8">
            <w:pPr>
              <w:spacing w:after="0"/>
              <w:jc w:val="center"/>
              <w:rPr>
                <w:rFonts w:ascii="Times New Roman" w:hAnsi="Times New Roman"/>
                <w:sz w:val="20"/>
              </w:rPr>
            </w:pPr>
          </w:p>
        </w:tc>
        <w:tc>
          <w:tcPr>
            <w:tcW w:w="620" w:type="dxa"/>
            <w:noWrap/>
            <w:vAlign w:val="bottom"/>
          </w:tcPr>
          <w:p w14:paraId="2054CA4F" w14:textId="77777777" w:rsidR="006F55F8" w:rsidRPr="00DE5275" w:rsidRDefault="006F55F8" w:rsidP="006F55F8">
            <w:pPr>
              <w:spacing w:after="0"/>
              <w:jc w:val="center"/>
              <w:rPr>
                <w:rFonts w:ascii="Times New Roman" w:hAnsi="Times New Roman"/>
                <w:sz w:val="20"/>
              </w:rPr>
            </w:pPr>
          </w:p>
        </w:tc>
        <w:tc>
          <w:tcPr>
            <w:tcW w:w="773" w:type="dxa"/>
            <w:noWrap/>
            <w:vAlign w:val="bottom"/>
          </w:tcPr>
          <w:p w14:paraId="6FE20340" w14:textId="77777777" w:rsidR="006F55F8" w:rsidRPr="00DE5275" w:rsidRDefault="006F55F8" w:rsidP="006F55F8">
            <w:pPr>
              <w:spacing w:after="0"/>
              <w:jc w:val="center"/>
              <w:rPr>
                <w:rFonts w:ascii="Times New Roman" w:hAnsi="Times New Roman"/>
                <w:sz w:val="20"/>
              </w:rPr>
            </w:pPr>
          </w:p>
        </w:tc>
        <w:tc>
          <w:tcPr>
            <w:tcW w:w="774" w:type="dxa"/>
            <w:noWrap/>
            <w:vAlign w:val="bottom"/>
          </w:tcPr>
          <w:p w14:paraId="4CA3A430" w14:textId="77777777" w:rsidR="006F55F8" w:rsidRPr="00DE5275" w:rsidRDefault="006F55F8" w:rsidP="006F55F8">
            <w:pPr>
              <w:spacing w:after="0"/>
              <w:jc w:val="center"/>
              <w:rPr>
                <w:rFonts w:ascii="Times New Roman" w:hAnsi="Times New Roman"/>
                <w:sz w:val="20"/>
              </w:rPr>
            </w:pPr>
          </w:p>
        </w:tc>
        <w:tc>
          <w:tcPr>
            <w:tcW w:w="774" w:type="dxa"/>
            <w:noWrap/>
            <w:vAlign w:val="bottom"/>
          </w:tcPr>
          <w:p w14:paraId="3CDE9BAE" w14:textId="77777777" w:rsidR="006F55F8" w:rsidRPr="00DE5275" w:rsidRDefault="006F55F8" w:rsidP="006F55F8">
            <w:pPr>
              <w:spacing w:after="0"/>
              <w:jc w:val="center"/>
              <w:rPr>
                <w:rFonts w:ascii="Times New Roman" w:hAnsi="Times New Roman"/>
                <w:sz w:val="20"/>
              </w:rPr>
            </w:pPr>
          </w:p>
        </w:tc>
      </w:tr>
      <w:tr w:rsidR="006F55F8" w:rsidRPr="00DE5275" w14:paraId="02700E7D" w14:textId="77777777" w:rsidTr="006F55F8">
        <w:trPr>
          <w:trHeight w:val="255"/>
        </w:trPr>
        <w:tc>
          <w:tcPr>
            <w:tcW w:w="3510" w:type="dxa"/>
            <w:noWrap/>
          </w:tcPr>
          <w:p w14:paraId="07FC2BDF"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Sysselsetting i alt</w:t>
            </w:r>
          </w:p>
        </w:tc>
        <w:tc>
          <w:tcPr>
            <w:tcW w:w="851" w:type="dxa"/>
            <w:noWrap/>
            <w:vAlign w:val="bottom"/>
          </w:tcPr>
          <w:p w14:paraId="702BC640"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2759,4</w:t>
            </w:r>
          </w:p>
        </w:tc>
        <w:tc>
          <w:tcPr>
            <w:tcW w:w="567" w:type="dxa"/>
            <w:noWrap/>
          </w:tcPr>
          <w:p w14:paraId="5A6186F3"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6A83024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-0,5</w:t>
            </w:r>
          </w:p>
        </w:tc>
        <w:tc>
          <w:tcPr>
            <w:tcW w:w="708" w:type="dxa"/>
            <w:noWrap/>
            <w:vAlign w:val="bottom"/>
          </w:tcPr>
          <w:p w14:paraId="3EFC1EA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1,5</w:t>
            </w:r>
          </w:p>
        </w:tc>
        <w:tc>
          <w:tcPr>
            <w:tcW w:w="620" w:type="dxa"/>
            <w:noWrap/>
            <w:vAlign w:val="bottom"/>
          </w:tcPr>
          <w:p w14:paraId="693024C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2,1</w:t>
            </w:r>
          </w:p>
        </w:tc>
        <w:tc>
          <w:tcPr>
            <w:tcW w:w="773" w:type="dxa"/>
            <w:noWrap/>
            <w:vAlign w:val="bottom"/>
          </w:tcPr>
          <w:p w14:paraId="770111F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c>
          <w:tcPr>
            <w:tcW w:w="774" w:type="dxa"/>
            <w:noWrap/>
            <w:vAlign w:val="bottom"/>
          </w:tcPr>
          <w:p w14:paraId="7F1BC2E4"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c>
          <w:tcPr>
            <w:tcW w:w="774" w:type="dxa"/>
            <w:noWrap/>
            <w:vAlign w:val="bottom"/>
          </w:tcPr>
          <w:p w14:paraId="671096A4"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0,6</w:t>
            </w:r>
          </w:p>
        </w:tc>
      </w:tr>
      <w:tr w:rsidR="006F55F8" w:rsidRPr="00DE5275" w14:paraId="11D55883" w14:textId="77777777" w:rsidTr="006F55F8">
        <w:trPr>
          <w:trHeight w:val="255"/>
        </w:trPr>
        <w:tc>
          <w:tcPr>
            <w:tcW w:w="3510" w:type="dxa"/>
            <w:noWrap/>
          </w:tcPr>
          <w:p w14:paraId="1FE87D05"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Olje og utenriks sjøfart</w:t>
            </w:r>
          </w:p>
        </w:tc>
        <w:tc>
          <w:tcPr>
            <w:tcW w:w="851" w:type="dxa"/>
            <w:noWrap/>
            <w:vAlign w:val="bottom"/>
          </w:tcPr>
          <w:p w14:paraId="3510F7B8"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65,5</w:t>
            </w:r>
          </w:p>
        </w:tc>
        <w:tc>
          <w:tcPr>
            <w:tcW w:w="567" w:type="dxa"/>
            <w:noWrap/>
          </w:tcPr>
          <w:p w14:paraId="66FC2296" w14:textId="77777777" w:rsidR="006F55F8" w:rsidRPr="00DE5275" w:rsidRDefault="006F55F8" w:rsidP="006F55F8">
            <w:pPr>
              <w:spacing w:after="0"/>
              <w:jc w:val="right"/>
              <w:rPr>
                <w:rFonts w:ascii="Times New Roman" w:hAnsi="Times New Roman"/>
                <w:sz w:val="20"/>
              </w:rPr>
            </w:pPr>
          </w:p>
        </w:tc>
        <w:tc>
          <w:tcPr>
            <w:tcW w:w="709" w:type="dxa"/>
            <w:noWrap/>
          </w:tcPr>
          <w:p w14:paraId="71C7BF0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-1,7</w:t>
            </w:r>
          </w:p>
        </w:tc>
        <w:tc>
          <w:tcPr>
            <w:tcW w:w="708" w:type="dxa"/>
            <w:noWrap/>
          </w:tcPr>
          <w:p w14:paraId="16F8C7B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4,2</w:t>
            </w:r>
          </w:p>
        </w:tc>
        <w:tc>
          <w:tcPr>
            <w:tcW w:w="620" w:type="dxa"/>
            <w:noWrap/>
          </w:tcPr>
          <w:p w14:paraId="61126C4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6,4</w:t>
            </w:r>
          </w:p>
        </w:tc>
        <w:tc>
          <w:tcPr>
            <w:tcW w:w="773" w:type="dxa"/>
            <w:noWrap/>
          </w:tcPr>
          <w:p w14:paraId="1AD1C85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2,1</w:t>
            </w:r>
          </w:p>
        </w:tc>
        <w:tc>
          <w:tcPr>
            <w:tcW w:w="774" w:type="dxa"/>
            <w:noWrap/>
          </w:tcPr>
          <w:p w14:paraId="7CFFDA44"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-0,3</w:t>
            </w:r>
          </w:p>
        </w:tc>
        <w:tc>
          <w:tcPr>
            <w:tcW w:w="774" w:type="dxa"/>
            <w:noWrap/>
          </w:tcPr>
          <w:p w14:paraId="7E655E0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-2,7</w:t>
            </w:r>
          </w:p>
        </w:tc>
      </w:tr>
      <w:tr w:rsidR="006F55F8" w:rsidRPr="00DE5275" w14:paraId="4B1672CF" w14:textId="77777777" w:rsidTr="006F55F8">
        <w:trPr>
          <w:trHeight w:val="255"/>
        </w:trPr>
        <w:tc>
          <w:tcPr>
            <w:tcW w:w="3510" w:type="dxa"/>
            <w:noWrap/>
          </w:tcPr>
          <w:p w14:paraId="40B159F4" w14:textId="77777777" w:rsidR="006F55F8" w:rsidRPr="00DE5275" w:rsidRDefault="006F55F8" w:rsidP="006F55F8">
            <w:pPr>
              <w:spacing w:after="0"/>
              <w:rPr>
                <w:rFonts w:ascii="Times New Roman" w:hAnsi="Times New Roman"/>
                <w:sz w:val="20"/>
              </w:rPr>
            </w:pPr>
          </w:p>
        </w:tc>
        <w:tc>
          <w:tcPr>
            <w:tcW w:w="851" w:type="dxa"/>
            <w:noWrap/>
            <w:vAlign w:val="bottom"/>
          </w:tcPr>
          <w:p w14:paraId="6ED4C09A" w14:textId="77777777" w:rsidR="006F55F8" w:rsidRPr="00DE5275" w:rsidRDefault="006F55F8" w:rsidP="00DE5275">
            <w:pPr>
              <w:spacing w:after="0"/>
              <w:jc w:val="right"/>
              <w:rPr>
                <w:rFonts w:ascii="Times New Roman" w:hAnsi="Times New Roman"/>
                <w:sz w:val="20"/>
              </w:rPr>
            </w:pPr>
          </w:p>
        </w:tc>
        <w:tc>
          <w:tcPr>
            <w:tcW w:w="567" w:type="dxa"/>
            <w:noWrap/>
          </w:tcPr>
          <w:p w14:paraId="72EDC16A"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2621E7E3" w14:textId="77777777" w:rsidR="006F55F8" w:rsidRPr="00DE5275" w:rsidRDefault="006F55F8" w:rsidP="006F55F8">
            <w:pPr>
              <w:spacing w:after="0"/>
              <w:jc w:val="center"/>
              <w:rPr>
                <w:rFonts w:ascii="Times New Roman" w:hAnsi="Times New Roman"/>
                <w:sz w:val="20"/>
              </w:rPr>
            </w:pPr>
          </w:p>
        </w:tc>
        <w:tc>
          <w:tcPr>
            <w:tcW w:w="708" w:type="dxa"/>
            <w:noWrap/>
            <w:vAlign w:val="bottom"/>
          </w:tcPr>
          <w:p w14:paraId="7DC9A3FC" w14:textId="77777777" w:rsidR="006F55F8" w:rsidRPr="00DE5275" w:rsidRDefault="006F55F8" w:rsidP="006F55F8">
            <w:pPr>
              <w:spacing w:after="0"/>
              <w:jc w:val="center"/>
              <w:rPr>
                <w:rFonts w:ascii="Times New Roman" w:hAnsi="Times New Roman"/>
                <w:sz w:val="20"/>
              </w:rPr>
            </w:pPr>
          </w:p>
        </w:tc>
        <w:tc>
          <w:tcPr>
            <w:tcW w:w="620" w:type="dxa"/>
            <w:noWrap/>
            <w:vAlign w:val="bottom"/>
          </w:tcPr>
          <w:p w14:paraId="3BA5076A" w14:textId="77777777" w:rsidR="006F55F8" w:rsidRPr="00DE5275" w:rsidRDefault="006F55F8" w:rsidP="006F55F8">
            <w:pPr>
              <w:spacing w:after="0"/>
              <w:jc w:val="center"/>
              <w:rPr>
                <w:rFonts w:ascii="Times New Roman" w:hAnsi="Times New Roman"/>
                <w:sz w:val="20"/>
              </w:rPr>
            </w:pPr>
          </w:p>
        </w:tc>
        <w:tc>
          <w:tcPr>
            <w:tcW w:w="773" w:type="dxa"/>
            <w:noWrap/>
            <w:vAlign w:val="bottom"/>
          </w:tcPr>
          <w:p w14:paraId="451A3391" w14:textId="77777777" w:rsidR="006F55F8" w:rsidRPr="00DE5275" w:rsidRDefault="006F55F8" w:rsidP="006F55F8">
            <w:pPr>
              <w:spacing w:after="0"/>
              <w:jc w:val="center"/>
              <w:rPr>
                <w:rFonts w:ascii="Times New Roman" w:hAnsi="Times New Roman"/>
                <w:sz w:val="20"/>
              </w:rPr>
            </w:pPr>
          </w:p>
        </w:tc>
        <w:tc>
          <w:tcPr>
            <w:tcW w:w="774" w:type="dxa"/>
            <w:noWrap/>
            <w:vAlign w:val="bottom"/>
          </w:tcPr>
          <w:p w14:paraId="19391526" w14:textId="77777777" w:rsidR="006F55F8" w:rsidRPr="00DE5275" w:rsidRDefault="006F55F8" w:rsidP="006F55F8">
            <w:pPr>
              <w:spacing w:after="0"/>
              <w:jc w:val="center"/>
              <w:rPr>
                <w:rFonts w:ascii="Times New Roman" w:hAnsi="Times New Roman"/>
                <w:sz w:val="20"/>
              </w:rPr>
            </w:pPr>
          </w:p>
        </w:tc>
        <w:tc>
          <w:tcPr>
            <w:tcW w:w="774" w:type="dxa"/>
            <w:noWrap/>
            <w:vAlign w:val="bottom"/>
          </w:tcPr>
          <w:p w14:paraId="3DED139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 </w:t>
            </w:r>
          </w:p>
        </w:tc>
      </w:tr>
      <w:tr w:rsidR="006F55F8" w:rsidRPr="00DE5275" w14:paraId="4835081F" w14:textId="77777777" w:rsidTr="006F55F8">
        <w:trPr>
          <w:trHeight w:val="255"/>
        </w:trPr>
        <w:tc>
          <w:tcPr>
            <w:tcW w:w="3510" w:type="dxa"/>
            <w:noWrap/>
          </w:tcPr>
          <w:p w14:paraId="373F43F2"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Fastlands-Norge</w:t>
            </w:r>
          </w:p>
        </w:tc>
        <w:tc>
          <w:tcPr>
            <w:tcW w:w="851" w:type="dxa"/>
            <w:noWrap/>
            <w:vAlign w:val="bottom"/>
          </w:tcPr>
          <w:p w14:paraId="111E5F1A"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2693,9</w:t>
            </w:r>
          </w:p>
        </w:tc>
        <w:tc>
          <w:tcPr>
            <w:tcW w:w="567" w:type="dxa"/>
            <w:noWrap/>
          </w:tcPr>
          <w:p w14:paraId="55332729"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26722B02"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-0,5</w:t>
            </w:r>
          </w:p>
        </w:tc>
        <w:tc>
          <w:tcPr>
            <w:tcW w:w="708" w:type="dxa"/>
            <w:noWrap/>
            <w:vAlign w:val="bottom"/>
          </w:tcPr>
          <w:p w14:paraId="04E8C0C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1,4</w:t>
            </w:r>
          </w:p>
        </w:tc>
        <w:tc>
          <w:tcPr>
            <w:tcW w:w="620" w:type="dxa"/>
            <w:noWrap/>
            <w:vAlign w:val="bottom"/>
          </w:tcPr>
          <w:p w14:paraId="7038259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2,0</w:t>
            </w:r>
          </w:p>
        </w:tc>
        <w:tc>
          <w:tcPr>
            <w:tcW w:w="773" w:type="dxa"/>
            <w:noWrap/>
            <w:vAlign w:val="bottom"/>
          </w:tcPr>
          <w:p w14:paraId="35083FB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1,0</w:t>
            </w:r>
          </w:p>
        </w:tc>
        <w:tc>
          <w:tcPr>
            <w:tcW w:w="774" w:type="dxa"/>
            <w:noWrap/>
            <w:vAlign w:val="bottom"/>
          </w:tcPr>
          <w:p w14:paraId="1881528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1,2</w:t>
            </w:r>
          </w:p>
        </w:tc>
        <w:tc>
          <w:tcPr>
            <w:tcW w:w="774" w:type="dxa"/>
            <w:noWrap/>
            <w:vAlign w:val="bottom"/>
          </w:tcPr>
          <w:p w14:paraId="3447F95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r>
      <w:tr w:rsidR="006F55F8" w:rsidRPr="00DE5275" w14:paraId="78241102" w14:textId="77777777" w:rsidTr="006F55F8">
        <w:trPr>
          <w:trHeight w:val="255"/>
        </w:trPr>
        <w:tc>
          <w:tcPr>
            <w:tcW w:w="3510" w:type="dxa"/>
            <w:noWrap/>
          </w:tcPr>
          <w:p w14:paraId="358569B9"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Industri og bergverksdrift</w:t>
            </w:r>
          </w:p>
        </w:tc>
        <w:tc>
          <w:tcPr>
            <w:tcW w:w="851" w:type="dxa"/>
            <w:noWrap/>
            <w:vAlign w:val="bottom"/>
          </w:tcPr>
          <w:p w14:paraId="5A35BD97"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251,9</w:t>
            </w:r>
          </w:p>
        </w:tc>
        <w:tc>
          <w:tcPr>
            <w:tcW w:w="567" w:type="dxa"/>
            <w:noWrap/>
          </w:tcPr>
          <w:p w14:paraId="5AB72C76"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4031863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-4,2</w:t>
            </w:r>
          </w:p>
        </w:tc>
        <w:tc>
          <w:tcPr>
            <w:tcW w:w="708" w:type="dxa"/>
            <w:noWrap/>
            <w:vAlign w:val="bottom"/>
          </w:tcPr>
          <w:p w14:paraId="46F662D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-0,4</w:t>
            </w:r>
          </w:p>
        </w:tc>
        <w:tc>
          <w:tcPr>
            <w:tcW w:w="620" w:type="dxa"/>
            <w:noWrap/>
            <w:vAlign w:val="bottom"/>
          </w:tcPr>
          <w:p w14:paraId="753AA5C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1,2</w:t>
            </w:r>
          </w:p>
        </w:tc>
        <w:tc>
          <w:tcPr>
            <w:tcW w:w="773" w:type="dxa"/>
            <w:noWrap/>
            <w:vAlign w:val="bottom"/>
          </w:tcPr>
          <w:p w14:paraId="65F77F30"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0,9</w:t>
            </w:r>
          </w:p>
        </w:tc>
        <w:tc>
          <w:tcPr>
            <w:tcW w:w="774" w:type="dxa"/>
            <w:noWrap/>
            <w:vAlign w:val="bottom"/>
          </w:tcPr>
          <w:p w14:paraId="62D74CD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0,5</w:t>
            </w:r>
          </w:p>
        </w:tc>
        <w:tc>
          <w:tcPr>
            <w:tcW w:w="774" w:type="dxa"/>
            <w:noWrap/>
            <w:vAlign w:val="bottom"/>
          </w:tcPr>
          <w:p w14:paraId="78ABF6B2"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-2,1</w:t>
            </w:r>
          </w:p>
        </w:tc>
      </w:tr>
      <w:tr w:rsidR="006F55F8" w:rsidRPr="00DE5275" w14:paraId="4A37AEAB" w14:textId="77777777" w:rsidTr="006F55F8">
        <w:trPr>
          <w:trHeight w:val="255"/>
        </w:trPr>
        <w:tc>
          <w:tcPr>
            <w:tcW w:w="3510" w:type="dxa"/>
            <w:noWrap/>
          </w:tcPr>
          <w:p w14:paraId="1AAD6DCB"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Annen vareproduksjon</w:t>
            </w:r>
          </w:p>
        </w:tc>
        <w:tc>
          <w:tcPr>
            <w:tcW w:w="851" w:type="dxa"/>
            <w:noWrap/>
            <w:vAlign w:val="bottom"/>
          </w:tcPr>
          <w:p w14:paraId="0A59C629"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304,6</w:t>
            </w:r>
          </w:p>
        </w:tc>
        <w:tc>
          <w:tcPr>
            <w:tcW w:w="567" w:type="dxa"/>
            <w:noWrap/>
          </w:tcPr>
          <w:p w14:paraId="3113DC53"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61F8364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-0,9</w:t>
            </w:r>
          </w:p>
        </w:tc>
        <w:tc>
          <w:tcPr>
            <w:tcW w:w="708" w:type="dxa"/>
            <w:noWrap/>
            <w:vAlign w:val="bottom"/>
          </w:tcPr>
          <w:p w14:paraId="0A47A26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2,7</w:t>
            </w:r>
          </w:p>
        </w:tc>
        <w:tc>
          <w:tcPr>
            <w:tcW w:w="620" w:type="dxa"/>
            <w:noWrap/>
            <w:vAlign w:val="bottom"/>
          </w:tcPr>
          <w:p w14:paraId="792F1EDD"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3,8</w:t>
            </w:r>
          </w:p>
        </w:tc>
        <w:tc>
          <w:tcPr>
            <w:tcW w:w="773" w:type="dxa"/>
            <w:noWrap/>
            <w:vAlign w:val="bottom"/>
          </w:tcPr>
          <w:p w14:paraId="1FBFFA60"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1,7</w:t>
            </w:r>
          </w:p>
        </w:tc>
        <w:tc>
          <w:tcPr>
            <w:tcW w:w="774" w:type="dxa"/>
            <w:noWrap/>
            <w:vAlign w:val="bottom"/>
          </w:tcPr>
          <w:p w14:paraId="22F4F28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4" w:type="dxa"/>
            <w:noWrap/>
            <w:vAlign w:val="bottom"/>
          </w:tcPr>
          <w:p w14:paraId="2A0984C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2,3</w:t>
            </w:r>
          </w:p>
        </w:tc>
      </w:tr>
      <w:tr w:rsidR="006F55F8" w:rsidRPr="00DE5275" w14:paraId="319091D8" w14:textId="77777777" w:rsidTr="006F55F8">
        <w:trPr>
          <w:trHeight w:val="255"/>
        </w:trPr>
        <w:tc>
          <w:tcPr>
            <w:tcW w:w="3510" w:type="dxa"/>
            <w:noWrap/>
          </w:tcPr>
          <w:p w14:paraId="5534B0EF"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Primærnæringer </w:t>
            </w:r>
          </w:p>
        </w:tc>
        <w:tc>
          <w:tcPr>
            <w:tcW w:w="851" w:type="dxa"/>
            <w:noWrap/>
            <w:vAlign w:val="bottom"/>
          </w:tcPr>
          <w:p w14:paraId="6174A05B"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70,8</w:t>
            </w:r>
          </w:p>
        </w:tc>
        <w:tc>
          <w:tcPr>
            <w:tcW w:w="567" w:type="dxa"/>
            <w:noWrap/>
          </w:tcPr>
          <w:p w14:paraId="5238B39A"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644EEE0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0,6</w:t>
            </w:r>
          </w:p>
        </w:tc>
        <w:tc>
          <w:tcPr>
            <w:tcW w:w="708" w:type="dxa"/>
            <w:noWrap/>
            <w:vAlign w:val="bottom"/>
          </w:tcPr>
          <w:p w14:paraId="430EE05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0,6</w:t>
            </w:r>
          </w:p>
        </w:tc>
        <w:tc>
          <w:tcPr>
            <w:tcW w:w="620" w:type="dxa"/>
            <w:noWrap/>
            <w:vAlign w:val="bottom"/>
          </w:tcPr>
          <w:p w14:paraId="2CC0E98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-0,8</w:t>
            </w:r>
          </w:p>
        </w:tc>
        <w:tc>
          <w:tcPr>
            <w:tcW w:w="773" w:type="dxa"/>
            <w:noWrap/>
            <w:vAlign w:val="bottom"/>
          </w:tcPr>
          <w:p w14:paraId="7FCBD94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4" w:type="dxa"/>
            <w:noWrap/>
            <w:vAlign w:val="bottom"/>
          </w:tcPr>
          <w:p w14:paraId="4A5B4E9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0,6</w:t>
            </w:r>
          </w:p>
        </w:tc>
        <w:tc>
          <w:tcPr>
            <w:tcW w:w="774" w:type="dxa"/>
            <w:noWrap/>
            <w:vAlign w:val="bottom"/>
          </w:tcPr>
          <w:p w14:paraId="2BE2A99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1,9</w:t>
            </w:r>
          </w:p>
        </w:tc>
      </w:tr>
      <w:tr w:rsidR="006F55F8" w:rsidRPr="00DE5275" w14:paraId="324F9AD5" w14:textId="77777777" w:rsidTr="006F55F8">
        <w:trPr>
          <w:trHeight w:val="255"/>
        </w:trPr>
        <w:tc>
          <w:tcPr>
            <w:tcW w:w="3510" w:type="dxa"/>
            <w:noWrap/>
          </w:tcPr>
          <w:p w14:paraId="1237E7B5"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Elektrisitetsforsyning</w:t>
            </w:r>
          </w:p>
        </w:tc>
        <w:tc>
          <w:tcPr>
            <w:tcW w:w="851" w:type="dxa"/>
            <w:noWrap/>
            <w:vAlign w:val="bottom"/>
          </w:tcPr>
          <w:p w14:paraId="05C0D53D"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13,0</w:t>
            </w:r>
          </w:p>
        </w:tc>
        <w:tc>
          <w:tcPr>
            <w:tcW w:w="567" w:type="dxa"/>
            <w:noWrap/>
          </w:tcPr>
          <w:p w14:paraId="51C12767"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7A1174A1"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-0,8</w:t>
            </w:r>
          </w:p>
        </w:tc>
        <w:tc>
          <w:tcPr>
            <w:tcW w:w="708" w:type="dxa"/>
            <w:noWrap/>
            <w:vAlign w:val="bottom"/>
          </w:tcPr>
          <w:p w14:paraId="0AB43901"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0,8</w:t>
            </w:r>
          </w:p>
        </w:tc>
        <w:tc>
          <w:tcPr>
            <w:tcW w:w="620" w:type="dxa"/>
            <w:noWrap/>
            <w:vAlign w:val="bottom"/>
          </w:tcPr>
          <w:p w14:paraId="3EFBA039"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2,4</w:t>
            </w:r>
          </w:p>
        </w:tc>
        <w:tc>
          <w:tcPr>
            <w:tcW w:w="773" w:type="dxa"/>
            <w:noWrap/>
            <w:vAlign w:val="bottom"/>
          </w:tcPr>
          <w:p w14:paraId="563E81C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0,0</w:t>
            </w:r>
          </w:p>
        </w:tc>
        <w:tc>
          <w:tcPr>
            <w:tcW w:w="774" w:type="dxa"/>
            <w:noWrap/>
            <w:vAlign w:val="bottom"/>
          </w:tcPr>
          <w:p w14:paraId="37056551"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0,8</w:t>
            </w:r>
          </w:p>
        </w:tc>
        <w:tc>
          <w:tcPr>
            <w:tcW w:w="774" w:type="dxa"/>
            <w:noWrap/>
            <w:vAlign w:val="bottom"/>
          </w:tcPr>
          <w:p w14:paraId="650CACD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0,8</w:t>
            </w:r>
          </w:p>
        </w:tc>
      </w:tr>
      <w:tr w:rsidR="006F55F8" w:rsidRPr="00DE5275" w14:paraId="2436928B" w14:textId="77777777" w:rsidTr="006F55F8">
        <w:trPr>
          <w:trHeight w:val="255"/>
        </w:trPr>
        <w:tc>
          <w:tcPr>
            <w:tcW w:w="3510" w:type="dxa"/>
            <w:noWrap/>
          </w:tcPr>
          <w:p w14:paraId="32F3B858"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Bygge- og anleggsvirksomhet</w:t>
            </w:r>
          </w:p>
        </w:tc>
        <w:tc>
          <w:tcPr>
            <w:tcW w:w="851" w:type="dxa"/>
            <w:noWrap/>
            <w:vAlign w:val="bottom"/>
          </w:tcPr>
          <w:p w14:paraId="4AF3CF13"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220,8</w:t>
            </w:r>
          </w:p>
        </w:tc>
        <w:tc>
          <w:tcPr>
            <w:tcW w:w="567" w:type="dxa"/>
            <w:noWrap/>
          </w:tcPr>
          <w:p w14:paraId="065BF435"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10B442BD"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-1,5</w:t>
            </w:r>
          </w:p>
        </w:tc>
        <w:tc>
          <w:tcPr>
            <w:tcW w:w="708" w:type="dxa"/>
            <w:noWrap/>
            <w:vAlign w:val="bottom"/>
          </w:tcPr>
          <w:p w14:paraId="6E7109F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3,7</w:t>
            </w:r>
          </w:p>
        </w:tc>
        <w:tc>
          <w:tcPr>
            <w:tcW w:w="620" w:type="dxa"/>
            <w:noWrap/>
            <w:vAlign w:val="bottom"/>
          </w:tcPr>
          <w:p w14:paraId="01979F7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5,6</w:t>
            </w:r>
          </w:p>
        </w:tc>
        <w:tc>
          <w:tcPr>
            <w:tcW w:w="773" w:type="dxa"/>
            <w:noWrap/>
            <w:vAlign w:val="bottom"/>
          </w:tcPr>
          <w:p w14:paraId="30CCAF1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2,9</w:t>
            </w:r>
          </w:p>
        </w:tc>
        <w:tc>
          <w:tcPr>
            <w:tcW w:w="774" w:type="dxa"/>
            <w:noWrap/>
            <w:vAlign w:val="bottom"/>
          </w:tcPr>
          <w:p w14:paraId="37667EB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1,9</w:t>
            </w:r>
          </w:p>
        </w:tc>
        <w:tc>
          <w:tcPr>
            <w:tcW w:w="774" w:type="dxa"/>
            <w:noWrap/>
            <w:vAlign w:val="bottom"/>
          </w:tcPr>
          <w:p w14:paraId="72182B00"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2,6</w:t>
            </w:r>
          </w:p>
        </w:tc>
      </w:tr>
      <w:tr w:rsidR="006F55F8" w:rsidRPr="00DE5275" w14:paraId="498A1521" w14:textId="77777777" w:rsidTr="006F55F8">
        <w:trPr>
          <w:trHeight w:val="255"/>
        </w:trPr>
        <w:tc>
          <w:tcPr>
            <w:tcW w:w="3510" w:type="dxa"/>
            <w:noWrap/>
          </w:tcPr>
          <w:p w14:paraId="5CA09591"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Tjenesteytende næringer ekskl. off.</w:t>
            </w:r>
          </w:p>
          <w:p w14:paraId="1796C8ED"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forvaltning</w:t>
            </w:r>
          </w:p>
        </w:tc>
        <w:tc>
          <w:tcPr>
            <w:tcW w:w="851" w:type="dxa"/>
            <w:noWrap/>
            <w:vAlign w:val="bottom"/>
          </w:tcPr>
          <w:p w14:paraId="0EA6D922"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1309,4</w:t>
            </w:r>
          </w:p>
        </w:tc>
        <w:tc>
          <w:tcPr>
            <w:tcW w:w="567" w:type="dxa"/>
            <w:noWrap/>
          </w:tcPr>
          <w:p w14:paraId="31E4A733"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2BEF0BB2"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c>
          <w:tcPr>
            <w:tcW w:w="708" w:type="dxa"/>
            <w:noWrap/>
            <w:vAlign w:val="bottom"/>
          </w:tcPr>
          <w:p w14:paraId="0CA08009"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1,2</w:t>
            </w:r>
          </w:p>
        </w:tc>
        <w:tc>
          <w:tcPr>
            <w:tcW w:w="620" w:type="dxa"/>
            <w:noWrap/>
            <w:vAlign w:val="bottom"/>
          </w:tcPr>
          <w:p w14:paraId="045CA0F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1,9</w:t>
            </w:r>
          </w:p>
        </w:tc>
        <w:tc>
          <w:tcPr>
            <w:tcW w:w="773" w:type="dxa"/>
            <w:noWrap/>
            <w:vAlign w:val="bottom"/>
          </w:tcPr>
          <w:p w14:paraId="70986A2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c>
          <w:tcPr>
            <w:tcW w:w="774" w:type="dxa"/>
            <w:noWrap/>
            <w:vAlign w:val="bottom"/>
          </w:tcPr>
          <w:p w14:paraId="222CC052"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c>
          <w:tcPr>
            <w:tcW w:w="774" w:type="dxa"/>
            <w:noWrap/>
            <w:vAlign w:val="bottom"/>
          </w:tcPr>
          <w:p w14:paraId="29DACA2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r>
      <w:tr w:rsidR="006F55F8" w:rsidRPr="00DE5275" w14:paraId="2B2FAE7A" w14:textId="77777777" w:rsidTr="006F55F8">
        <w:trPr>
          <w:trHeight w:val="255"/>
        </w:trPr>
        <w:tc>
          <w:tcPr>
            <w:tcW w:w="3510" w:type="dxa"/>
            <w:noWrap/>
          </w:tcPr>
          <w:p w14:paraId="51598075"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Tjenester tilknyttet utvinning av </w:t>
            </w:r>
          </w:p>
          <w:p w14:paraId="71A1F0CD"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råolje og naturgass</w:t>
            </w:r>
          </w:p>
        </w:tc>
        <w:tc>
          <w:tcPr>
            <w:tcW w:w="851" w:type="dxa"/>
            <w:noWrap/>
            <w:vAlign w:val="bottom"/>
          </w:tcPr>
          <w:p w14:paraId="6C9FE2AE"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30,7</w:t>
            </w:r>
          </w:p>
        </w:tc>
        <w:tc>
          <w:tcPr>
            <w:tcW w:w="567" w:type="dxa"/>
            <w:noWrap/>
          </w:tcPr>
          <w:p w14:paraId="4CC810F1"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323EBE6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3,2</w:t>
            </w:r>
          </w:p>
        </w:tc>
        <w:tc>
          <w:tcPr>
            <w:tcW w:w="708" w:type="dxa"/>
            <w:noWrap/>
            <w:vAlign w:val="bottom"/>
          </w:tcPr>
          <w:p w14:paraId="2C1B288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3,8</w:t>
            </w:r>
          </w:p>
        </w:tc>
        <w:tc>
          <w:tcPr>
            <w:tcW w:w="620" w:type="dxa"/>
            <w:noWrap/>
            <w:vAlign w:val="bottom"/>
          </w:tcPr>
          <w:p w14:paraId="28EE4B8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10,7</w:t>
            </w:r>
          </w:p>
        </w:tc>
        <w:tc>
          <w:tcPr>
            <w:tcW w:w="773" w:type="dxa"/>
            <w:noWrap/>
            <w:vAlign w:val="bottom"/>
          </w:tcPr>
          <w:p w14:paraId="58D3A83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8,4</w:t>
            </w:r>
          </w:p>
        </w:tc>
        <w:tc>
          <w:tcPr>
            <w:tcW w:w="774" w:type="dxa"/>
            <w:noWrap/>
            <w:vAlign w:val="bottom"/>
          </w:tcPr>
          <w:p w14:paraId="4AE95F0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0,9</w:t>
            </w:r>
          </w:p>
        </w:tc>
        <w:tc>
          <w:tcPr>
            <w:tcW w:w="774" w:type="dxa"/>
            <w:noWrap/>
            <w:vAlign w:val="bottom"/>
          </w:tcPr>
          <w:p w14:paraId="75F09FC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-6,1</w:t>
            </w:r>
          </w:p>
        </w:tc>
      </w:tr>
      <w:tr w:rsidR="006F55F8" w:rsidRPr="00DE5275" w14:paraId="501C419E" w14:textId="77777777" w:rsidTr="006F55F8">
        <w:trPr>
          <w:trHeight w:val="255"/>
        </w:trPr>
        <w:tc>
          <w:tcPr>
            <w:tcW w:w="3510" w:type="dxa"/>
            <w:noWrap/>
          </w:tcPr>
          <w:p w14:paraId="5F4555E9"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Varehandel</w:t>
            </w:r>
          </w:p>
        </w:tc>
        <w:tc>
          <w:tcPr>
            <w:tcW w:w="851" w:type="dxa"/>
            <w:noWrap/>
            <w:vAlign w:val="bottom"/>
          </w:tcPr>
          <w:p w14:paraId="01FDB273"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371,8</w:t>
            </w:r>
          </w:p>
        </w:tc>
        <w:tc>
          <w:tcPr>
            <w:tcW w:w="567" w:type="dxa"/>
            <w:noWrap/>
          </w:tcPr>
          <w:p w14:paraId="7CB3A158"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1241965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-1,8</w:t>
            </w:r>
          </w:p>
        </w:tc>
        <w:tc>
          <w:tcPr>
            <w:tcW w:w="708" w:type="dxa"/>
            <w:noWrap/>
            <w:vAlign w:val="bottom"/>
          </w:tcPr>
          <w:p w14:paraId="7930A12D"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c>
          <w:tcPr>
            <w:tcW w:w="620" w:type="dxa"/>
            <w:noWrap/>
            <w:vAlign w:val="bottom"/>
          </w:tcPr>
          <w:p w14:paraId="59A42FE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1,3</w:t>
            </w:r>
          </w:p>
        </w:tc>
        <w:tc>
          <w:tcPr>
            <w:tcW w:w="773" w:type="dxa"/>
            <w:noWrap/>
            <w:vAlign w:val="bottom"/>
          </w:tcPr>
          <w:p w14:paraId="0ACFD5F2"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-0,2</w:t>
            </w:r>
          </w:p>
        </w:tc>
        <w:tc>
          <w:tcPr>
            <w:tcW w:w="774" w:type="dxa"/>
            <w:noWrap/>
            <w:vAlign w:val="bottom"/>
          </w:tcPr>
          <w:p w14:paraId="624F4A8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0,0</w:t>
            </w:r>
          </w:p>
        </w:tc>
        <w:tc>
          <w:tcPr>
            <w:tcW w:w="774" w:type="dxa"/>
            <w:noWrap/>
            <w:vAlign w:val="bottom"/>
          </w:tcPr>
          <w:p w14:paraId="16EAFDE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0,4</w:t>
            </w:r>
          </w:p>
        </w:tc>
      </w:tr>
      <w:tr w:rsidR="006F55F8" w:rsidRPr="00DE5275" w14:paraId="4D1AEDBA" w14:textId="77777777" w:rsidTr="006F55F8">
        <w:trPr>
          <w:trHeight w:val="255"/>
        </w:trPr>
        <w:tc>
          <w:tcPr>
            <w:tcW w:w="3510" w:type="dxa"/>
            <w:noWrap/>
          </w:tcPr>
          <w:p w14:paraId="670E200A"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Samferdsel (eks. utenriks sjøfart)</w:t>
            </w:r>
          </w:p>
        </w:tc>
        <w:tc>
          <w:tcPr>
            <w:tcW w:w="851" w:type="dxa"/>
            <w:noWrap/>
            <w:vAlign w:val="bottom"/>
          </w:tcPr>
          <w:p w14:paraId="23F01114"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120,9</w:t>
            </w:r>
          </w:p>
        </w:tc>
        <w:tc>
          <w:tcPr>
            <w:tcW w:w="567" w:type="dxa"/>
            <w:noWrap/>
          </w:tcPr>
          <w:p w14:paraId="4BCBDFE4"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67590D6F"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0,6</w:t>
            </w:r>
          </w:p>
        </w:tc>
        <w:tc>
          <w:tcPr>
            <w:tcW w:w="708" w:type="dxa"/>
            <w:noWrap/>
            <w:vAlign w:val="bottom"/>
          </w:tcPr>
          <w:p w14:paraId="5E6552D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-0,5</w:t>
            </w:r>
          </w:p>
        </w:tc>
        <w:tc>
          <w:tcPr>
            <w:tcW w:w="620" w:type="dxa"/>
            <w:noWrap/>
            <w:vAlign w:val="bottom"/>
          </w:tcPr>
          <w:p w14:paraId="7027AAB7"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0,3</w:t>
            </w:r>
          </w:p>
        </w:tc>
        <w:tc>
          <w:tcPr>
            <w:tcW w:w="773" w:type="dxa"/>
            <w:noWrap/>
            <w:vAlign w:val="bottom"/>
          </w:tcPr>
          <w:p w14:paraId="3CCD198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1,0</w:t>
            </w:r>
          </w:p>
        </w:tc>
        <w:tc>
          <w:tcPr>
            <w:tcW w:w="774" w:type="dxa"/>
            <w:noWrap/>
            <w:vAlign w:val="bottom"/>
          </w:tcPr>
          <w:p w14:paraId="235A25C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c>
          <w:tcPr>
            <w:tcW w:w="774" w:type="dxa"/>
            <w:noWrap/>
            <w:vAlign w:val="bottom"/>
          </w:tcPr>
          <w:p w14:paraId="5468A1F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r>
      <w:tr w:rsidR="006F55F8" w:rsidRPr="00DE5275" w14:paraId="6309DEC8" w14:textId="77777777" w:rsidTr="006F55F8">
        <w:trPr>
          <w:trHeight w:val="255"/>
        </w:trPr>
        <w:tc>
          <w:tcPr>
            <w:tcW w:w="3510" w:type="dxa"/>
            <w:noWrap/>
          </w:tcPr>
          <w:p w14:paraId="1D1EE6B8"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Annen tjenesteyting</w:t>
            </w:r>
          </w:p>
        </w:tc>
        <w:tc>
          <w:tcPr>
            <w:tcW w:w="851" w:type="dxa"/>
            <w:noWrap/>
            <w:vAlign w:val="bottom"/>
          </w:tcPr>
          <w:p w14:paraId="4585D4C5"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816,7</w:t>
            </w:r>
          </w:p>
        </w:tc>
        <w:tc>
          <w:tcPr>
            <w:tcW w:w="567" w:type="dxa"/>
            <w:noWrap/>
          </w:tcPr>
          <w:p w14:paraId="3A405EB0"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527D469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-0,3</w:t>
            </w:r>
          </w:p>
        </w:tc>
        <w:tc>
          <w:tcPr>
            <w:tcW w:w="708" w:type="dxa"/>
            <w:noWrap/>
            <w:vAlign w:val="bottom"/>
          </w:tcPr>
          <w:p w14:paraId="2B0A526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2,4</w:t>
            </w:r>
          </w:p>
        </w:tc>
        <w:tc>
          <w:tcPr>
            <w:tcW w:w="620" w:type="dxa"/>
            <w:noWrap/>
            <w:vAlign w:val="bottom"/>
          </w:tcPr>
          <w:p w14:paraId="4608AFD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2,5</w:t>
            </w:r>
          </w:p>
        </w:tc>
        <w:tc>
          <w:tcPr>
            <w:tcW w:w="773" w:type="dxa"/>
            <w:noWrap/>
            <w:vAlign w:val="bottom"/>
          </w:tcPr>
          <w:p w14:paraId="564F4E5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c>
          <w:tcPr>
            <w:tcW w:w="774" w:type="dxa"/>
            <w:noWrap/>
            <w:vAlign w:val="bottom"/>
          </w:tcPr>
          <w:p w14:paraId="3B7DE52E"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4" w:type="dxa"/>
            <w:noWrap/>
            <w:vAlign w:val="bottom"/>
          </w:tcPr>
          <w:p w14:paraId="67CDF3A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r>
      <w:tr w:rsidR="006F55F8" w:rsidRPr="00DE5275" w14:paraId="6E538E74" w14:textId="77777777" w:rsidTr="006F55F8">
        <w:trPr>
          <w:trHeight w:val="255"/>
        </w:trPr>
        <w:tc>
          <w:tcPr>
            <w:tcW w:w="3510" w:type="dxa"/>
            <w:noWrap/>
          </w:tcPr>
          <w:p w14:paraId="0CB47B92"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Offentlig forvaltning</w:t>
            </w:r>
          </w:p>
        </w:tc>
        <w:tc>
          <w:tcPr>
            <w:tcW w:w="851" w:type="dxa"/>
            <w:noWrap/>
            <w:vAlign w:val="bottom"/>
          </w:tcPr>
          <w:p w14:paraId="02F54C83"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828,0</w:t>
            </w:r>
          </w:p>
        </w:tc>
        <w:tc>
          <w:tcPr>
            <w:tcW w:w="567" w:type="dxa"/>
            <w:noWrap/>
          </w:tcPr>
          <w:p w14:paraId="1784E11C"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5FBCA665"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1,3</w:t>
            </w:r>
          </w:p>
        </w:tc>
        <w:tc>
          <w:tcPr>
            <w:tcW w:w="708" w:type="dxa"/>
            <w:noWrap/>
            <w:vAlign w:val="bottom"/>
          </w:tcPr>
          <w:p w14:paraId="63485C83"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1,9</w:t>
            </w:r>
          </w:p>
        </w:tc>
        <w:tc>
          <w:tcPr>
            <w:tcW w:w="620" w:type="dxa"/>
            <w:noWrap/>
            <w:vAlign w:val="bottom"/>
          </w:tcPr>
          <w:p w14:paraId="6A11F60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3" w:type="dxa"/>
            <w:noWrap/>
            <w:vAlign w:val="bottom"/>
          </w:tcPr>
          <w:p w14:paraId="4E18BF6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1,3</w:t>
            </w:r>
          </w:p>
        </w:tc>
        <w:tc>
          <w:tcPr>
            <w:tcW w:w="774" w:type="dxa"/>
            <w:noWrap/>
            <w:vAlign w:val="bottom"/>
          </w:tcPr>
          <w:p w14:paraId="267420E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1,4</w:t>
            </w:r>
          </w:p>
        </w:tc>
        <w:tc>
          <w:tcPr>
            <w:tcW w:w="774" w:type="dxa"/>
            <w:noWrap/>
            <w:vAlign w:val="bottom"/>
          </w:tcPr>
          <w:p w14:paraId="501FC84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0,9</w:t>
            </w:r>
          </w:p>
        </w:tc>
      </w:tr>
      <w:tr w:rsidR="006F55F8" w:rsidRPr="00DE5275" w14:paraId="37275F62" w14:textId="77777777" w:rsidTr="006F55F8">
        <w:trPr>
          <w:trHeight w:val="255"/>
        </w:trPr>
        <w:tc>
          <w:tcPr>
            <w:tcW w:w="3510" w:type="dxa"/>
            <w:noWrap/>
          </w:tcPr>
          <w:p w14:paraId="168CF499"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Statsforvaltningen (inklusiv</w:t>
            </w:r>
          </w:p>
          <w:p w14:paraId="3890602F"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helseforetakene)</w:t>
            </w:r>
          </w:p>
        </w:tc>
        <w:tc>
          <w:tcPr>
            <w:tcW w:w="851" w:type="dxa"/>
            <w:noWrap/>
            <w:vAlign w:val="bottom"/>
          </w:tcPr>
          <w:p w14:paraId="15C6B34F"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306,4</w:t>
            </w:r>
          </w:p>
        </w:tc>
        <w:tc>
          <w:tcPr>
            <w:tcW w:w="567" w:type="dxa"/>
            <w:noWrap/>
          </w:tcPr>
          <w:p w14:paraId="02D99513" w14:textId="77777777" w:rsidR="006F55F8" w:rsidRPr="00DE5275" w:rsidRDefault="006F55F8" w:rsidP="006F55F8">
            <w:pPr>
              <w:spacing w:after="0"/>
              <w:jc w:val="right"/>
              <w:rPr>
                <w:rFonts w:ascii="Times New Roman" w:hAnsi="Times New Roman"/>
                <w:sz w:val="20"/>
              </w:rPr>
            </w:pPr>
          </w:p>
        </w:tc>
        <w:tc>
          <w:tcPr>
            <w:tcW w:w="709" w:type="dxa"/>
            <w:noWrap/>
            <w:vAlign w:val="bottom"/>
          </w:tcPr>
          <w:p w14:paraId="7038B64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1,1</w:t>
            </w:r>
          </w:p>
        </w:tc>
        <w:tc>
          <w:tcPr>
            <w:tcW w:w="708" w:type="dxa"/>
            <w:noWrap/>
            <w:vAlign w:val="bottom"/>
          </w:tcPr>
          <w:p w14:paraId="4AB6448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620" w:type="dxa"/>
            <w:noWrap/>
            <w:vAlign w:val="bottom"/>
          </w:tcPr>
          <w:p w14:paraId="4D6F9B06"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1,5</w:t>
            </w:r>
          </w:p>
        </w:tc>
        <w:tc>
          <w:tcPr>
            <w:tcW w:w="773" w:type="dxa"/>
            <w:noWrap/>
            <w:vAlign w:val="bottom"/>
          </w:tcPr>
          <w:p w14:paraId="4D9B26E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1,2</w:t>
            </w:r>
          </w:p>
        </w:tc>
        <w:tc>
          <w:tcPr>
            <w:tcW w:w="774" w:type="dxa"/>
            <w:noWrap/>
            <w:vAlign w:val="bottom"/>
          </w:tcPr>
          <w:p w14:paraId="5430FB3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2,1</w:t>
            </w:r>
          </w:p>
        </w:tc>
        <w:tc>
          <w:tcPr>
            <w:tcW w:w="774" w:type="dxa"/>
            <w:noWrap/>
            <w:vAlign w:val="bottom"/>
          </w:tcPr>
          <w:p w14:paraId="7622FBE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1,2</w:t>
            </w:r>
          </w:p>
        </w:tc>
      </w:tr>
      <w:tr w:rsidR="006F55F8" w:rsidRPr="00DE5275" w14:paraId="6BCC8361" w14:textId="77777777" w:rsidTr="006F55F8">
        <w:trPr>
          <w:trHeight w:val="255"/>
        </w:trPr>
        <w:tc>
          <w:tcPr>
            <w:tcW w:w="3510" w:type="dxa"/>
            <w:tcBorders>
              <w:bottom w:val="single" w:sz="4" w:space="0" w:color="auto"/>
            </w:tcBorders>
            <w:noWrap/>
          </w:tcPr>
          <w:p w14:paraId="7C82F390" w14:textId="77777777" w:rsidR="006F55F8" w:rsidRPr="00DE5275" w:rsidRDefault="006F55F8" w:rsidP="006F55F8">
            <w:pPr>
              <w:spacing w:after="0"/>
              <w:rPr>
                <w:rFonts w:ascii="Times New Roman" w:hAnsi="Times New Roman"/>
                <w:sz w:val="20"/>
              </w:rPr>
            </w:pPr>
            <w:r w:rsidRPr="00DE5275">
              <w:rPr>
                <w:rFonts w:ascii="Times New Roman" w:hAnsi="Times New Roman"/>
                <w:sz w:val="20"/>
              </w:rPr>
              <w:t xml:space="preserve">      - Kommuneforvaltningen</w:t>
            </w:r>
          </w:p>
        </w:tc>
        <w:tc>
          <w:tcPr>
            <w:tcW w:w="851" w:type="dxa"/>
            <w:tcBorders>
              <w:bottom w:val="single" w:sz="4" w:space="0" w:color="auto"/>
            </w:tcBorders>
            <w:noWrap/>
            <w:vAlign w:val="bottom"/>
          </w:tcPr>
          <w:p w14:paraId="46C6C7A9" w14:textId="77777777" w:rsidR="006F55F8" w:rsidRPr="00DE5275" w:rsidRDefault="006F55F8" w:rsidP="00DE5275">
            <w:pPr>
              <w:spacing w:after="0"/>
              <w:jc w:val="right"/>
              <w:rPr>
                <w:rFonts w:ascii="Times New Roman" w:hAnsi="Times New Roman"/>
                <w:sz w:val="20"/>
              </w:rPr>
            </w:pPr>
            <w:r w:rsidRPr="00DE5275">
              <w:rPr>
                <w:rFonts w:ascii="Times New Roman" w:hAnsi="Times New Roman"/>
                <w:sz w:val="20"/>
              </w:rPr>
              <w:t>521,5</w:t>
            </w:r>
          </w:p>
        </w:tc>
        <w:tc>
          <w:tcPr>
            <w:tcW w:w="567" w:type="dxa"/>
            <w:tcBorders>
              <w:bottom w:val="single" w:sz="4" w:space="0" w:color="auto"/>
            </w:tcBorders>
            <w:noWrap/>
          </w:tcPr>
          <w:p w14:paraId="52E66B0C" w14:textId="77777777" w:rsidR="006F55F8" w:rsidRPr="00DE5275" w:rsidRDefault="006F55F8" w:rsidP="006F55F8">
            <w:pPr>
              <w:spacing w:after="0"/>
              <w:jc w:val="right"/>
              <w:rPr>
                <w:rFonts w:ascii="Times New Roman" w:hAnsi="Times New Roman"/>
                <w:sz w:val="20"/>
              </w:rPr>
            </w:pPr>
            <w:r w:rsidRPr="00DE5275">
              <w:rPr>
                <w:rFonts w:ascii="Times New Roman" w:hAnsi="Times New Roman"/>
                <w:sz w:val="20"/>
              </w:rPr>
              <w:t> </w:t>
            </w:r>
          </w:p>
        </w:tc>
        <w:tc>
          <w:tcPr>
            <w:tcW w:w="709" w:type="dxa"/>
            <w:tcBorders>
              <w:bottom w:val="single" w:sz="4" w:space="0" w:color="auto"/>
            </w:tcBorders>
            <w:noWrap/>
            <w:vAlign w:val="bottom"/>
          </w:tcPr>
          <w:p w14:paraId="6CA57E3A"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1,4</w:t>
            </w:r>
          </w:p>
        </w:tc>
        <w:tc>
          <w:tcPr>
            <w:tcW w:w="708" w:type="dxa"/>
            <w:tcBorders>
              <w:bottom w:val="single" w:sz="4" w:space="0" w:color="auto"/>
            </w:tcBorders>
            <w:noWrap/>
            <w:vAlign w:val="bottom"/>
          </w:tcPr>
          <w:p w14:paraId="23E8733B"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2,1</w:t>
            </w:r>
          </w:p>
        </w:tc>
        <w:tc>
          <w:tcPr>
            <w:tcW w:w="620" w:type="dxa"/>
            <w:tcBorders>
              <w:bottom w:val="single" w:sz="4" w:space="0" w:color="auto"/>
            </w:tcBorders>
            <w:noWrap/>
            <w:vAlign w:val="bottom"/>
          </w:tcPr>
          <w:p w14:paraId="27995129"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1,6</w:t>
            </w:r>
          </w:p>
        </w:tc>
        <w:tc>
          <w:tcPr>
            <w:tcW w:w="773" w:type="dxa"/>
            <w:tcBorders>
              <w:bottom w:val="single" w:sz="4" w:space="0" w:color="auto"/>
            </w:tcBorders>
            <w:noWrap/>
            <w:vAlign w:val="bottom"/>
          </w:tcPr>
          <w:p w14:paraId="3FCB6A9C"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1,4</w:t>
            </w:r>
          </w:p>
        </w:tc>
        <w:tc>
          <w:tcPr>
            <w:tcW w:w="774" w:type="dxa"/>
            <w:tcBorders>
              <w:bottom w:val="single" w:sz="4" w:space="0" w:color="auto"/>
            </w:tcBorders>
            <w:noWrap/>
            <w:vAlign w:val="bottom"/>
          </w:tcPr>
          <w:p w14:paraId="79C5BEE8"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1,0</w:t>
            </w:r>
          </w:p>
        </w:tc>
        <w:tc>
          <w:tcPr>
            <w:tcW w:w="774" w:type="dxa"/>
            <w:tcBorders>
              <w:bottom w:val="single" w:sz="4" w:space="0" w:color="auto"/>
            </w:tcBorders>
            <w:noWrap/>
            <w:vAlign w:val="bottom"/>
          </w:tcPr>
          <w:p w14:paraId="3239BB20" w14:textId="77777777" w:rsidR="006F55F8" w:rsidRPr="00DE5275" w:rsidRDefault="006F55F8" w:rsidP="006F55F8">
            <w:pPr>
              <w:spacing w:after="0"/>
              <w:jc w:val="center"/>
              <w:rPr>
                <w:rFonts w:ascii="Times New Roman" w:hAnsi="Times New Roman"/>
                <w:sz w:val="20"/>
              </w:rPr>
            </w:pPr>
            <w:r w:rsidRPr="00DE5275">
              <w:rPr>
                <w:rFonts w:ascii="Times New Roman" w:hAnsi="Times New Roman"/>
                <w:sz w:val="20"/>
              </w:rPr>
              <w:t>0,7</w:t>
            </w:r>
          </w:p>
        </w:tc>
      </w:tr>
    </w:tbl>
    <w:p w14:paraId="1FD90864" w14:textId="77777777" w:rsidR="006F55F8" w:rsidRPr="006B38D0" w:rsidRDefault="006F55F8" w:rsidP="00A52FC8">
      <w:pPr>
        <w:pStyle w:val="tabell-noter"/>
        <w:spacing w:before="0"/>
      </w:pPr>
      <w:r w:rsidRPr="006B38D0">
        <w:t>* Foreløpige tall</w:t>
      </w:r>
    </w:p>
    <w:p w14:paraId="6423AA62" w14:textId="2B72DA6B" w:rsidR="006F55F8" w:rsidRPr="006B38D0" w:rsidRDefault="006F55F8" w:rsidP="008643D6">
      <w:pPr>
        <w:pStyle w:val="tabell-noter"/>
        <w:numPr>
          <w:ilvl w:val="0"/>
          <w:numId w:val="85"/>
        </w:numPr>
        <w:tabs>
          <w:tab w:val="clear" w:pos="284"/>
        </w:tabs>
        <w:spacing w:before="0" w:after="0"/>
        <w:ind w:left="142" w:hanging="142"/>
      </w:pPr>
      <w:r w:rsidRPr="006B38D0">
        <w:t>Nasjonalregnskapstallene (NR) avviker noe fra AKU, bl.a. ved at NR inkluderer utenlandske sjøfolk på norske skip og arbeidsinnvandrere på korttidsopphold (ikke-bosatte).</w:t>
      </w:r>
    </w:p>
    <w:p w14:paraId="474C6B6F" w14:textId="77777777" w:rsidR="006F55F8" w:rsidRPr="006B38D0" w:rsidRDefault="006F55F8" w:rsidP="00D92057">
      <w:pPr>
        <w:pStyle w:val="Kilde"/>
        <w:spacing w:before="120"/>
      </w:pPr>
      <w:r w:rsidRPr="006B38D0">
        <w:t>Kilde: Statistisk sentralbyrå</w:t>
      </w:r>
    </w:p>
    <w:p w14:paraId="59C26880" w14:textId="77777777" w:rsidR="006F55F8" w:rsidRPr="006B38D0" w:rsidRDefault="006F55F8" w:rsidP="006F55F8">
      <w:pPr>
        <w:pStyle w:val="avsnitt-under-undertittel"/>
      </w:pPr>
      <w:r w:rsidRPr="006B38D0">
        <w:t>Befolkningsutvikling og innvandring</w:t>
      </w:r>
    </w:p>
    <w:p w14:paraId="122FD4EA" w14:textId="4E5E1929" w:rsidR="006F55F8" w:rsidRDefault="006F55F8" w:rsidP="006F55F8">
      <w:r w:rsidRPr="00E40592">
        <w:t>Befolkningens størrelse og sammensetning endres på to måter: Ved at folk fødes og dør og ved at de flytter inn og ut av landet.</w:t>
      </w:r>
      <w:r>
        <w:t xml:space="preserve"> Den beregnede folketilveksten var 0,95 prosent i 2015.</w:t>
      </w:r>
      <w:r w:rsidRPr="00E40592">
        <w:t xml:space="preserve"> </w:t>
      </w:r>
      <w:r>
        <w:t xml:space="preserve">AKU viser imidlertid en sterkere økning i antallet personer i arbeidsfør alder i 2015. Veksten i antallet personer i aldersgruppen 15-74 år var 1,2 prosent, mens veksten i arbeidsstyrken var 1,4 prosent. Utviklingen i arbeidsstyrken er vist i </w:t>
      </w:r>
      <w:r w:rsidR="00415816">
        <w:t>figur 3.9.</w:t>
      </w:r>
    </w:p>
    <w:p w14:paraId="5007C363" w14:textId="68A435C7" w:rsidR="006F55F8" w:rsidRDefault="006F55F8" w:rsidP="006F55F8">
      <w:r w:rsidRPr="006B38D0">
        <w:t>Utvidelsen av EU med nye medlemsland fra Øst-Europa 1. mai 2004 har ført til økt arbeidsinnvandring til Norge</w:t>
      </w:r>
      <w:r w:rsidR="00415816">
        <w:t>, jf. figur 3.10</w:t>
      </w:r>
      <w:r w:rsidRPr="006B38D0">
        <w:t>. Dette har hatt stor virkning for arbeidsmarkedet, men denne avspeiles i varierende og noe usikker grad i offisiell statistikk. Se boks 3.1 for en oversikt over hvordan arbeidsinnvandringen fanges opp i ulike statistikker.</w:t>
      </w:r>
      <w:r>
        <w:t xml:space="preserve"> Nettoinnvandringen i 2015 var imidlertid mer moderat sammenlignet med de seneste årene. I 3. kvartal i 2015 var det en lavere innvandring og en høyere utvandring enn i 3. kvartal 2014 (asylsøker</w:t>
      </w:r>
      <w:r w:rsidR="00415816">
        <w:t>e</w:t>
      </w:r>
      <w:r>
        <w:t xml:space="preserve"> uten oppholdstillatelse er ikke med i denne statistikken). Det må ses i sammenheng med at jobbutsiktene var noe dårligere sammenlignet med tidligere år. Fallet i kronekursen har redusert lønnsforskjellene til andre land.</w:t>
      </w:r>
    </w:p>
    <w:p w14:paraId="0FD00E39" w14:textId="77777777" w:rsidR="00CF62B4" w:rsidRPr="006B38D0" w:rsidRDefault="00CF62B4" w:rsidP="006F55F8"/>
    <w:p w14:paraId="06E346EE" w14:textId="77777777" w:rsidR="00325077" w:rsidRDefault="00325077" w:rsidP="00CF62B4">
      <w:pPr>
        <w:rPr>
          <w:szCs w:val="24"/>
        </w:rPr>
        <w:sectPr w:rsidR="00325077" w:rsidSect="00A41346">
          <w:headerReference w:type="default" r:id="rId32"/>
          <w:footerReference w:type="even" r:id="rId33"/>
          <w:footerReference w:type="default" r:id="rId34"/>
          <w:pgSz w:w="11906" w:h="16838"/>
          <w:pgMar w:top="1418" w:right="1418" w:bottom="1418" w:left="1418" w:header="709" w:footer="709" w:gutter="0"/>
          <w:cols w:space="708"/>
          <w:docGrid w:linePitch="360"/>
        </w:sectPr>
      </w:pPr>
    </w:p>
    <w:p w14:paraId="330B8B47" w14:textId="1A35477C" w:rsidR="00CF62B4" w:rsidRPr="006B38D0" w:rsidRDefault="00CF62B4" w:rsidP="00CF62B4">
      <w:pPr>
        <w:rPr>
          <w:szCs w:val="24"/>
        </w:rPr>
      </w:pPr>
      <w:r>
        <w:rPr>
          <w:noProof/>
          <w:szCs w:val="24"/>
        </w:rPr>
        <w:drawing>
          <wp:inline distT="0" distB="0" distL="0" distR="0" wp14:anchorId="1129AE4A" wp14:editId="07101A5D">
            <wp:extent cx="2771775" cy="2562225"/>
            <wp:effectExtent l="0" t="0" r="9525" b="9525"/>
            <wp:docPr id="13" name="Bilde 13" descr="C:\Users\tea\AppData\Local\Microsoft\Windows\Temporary Internet Files\Content.Outlook\V08JYQG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AppData\Local\Microsoft\Windows\Temporary Internet Files\Content.Outlook\V08JYQG1\3-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2562225"/>
                    </a:xfrm>
                    <a:prstGeom prst="rect">
                      <a:avLst/>
                    </a:prstGeom>
                    <a:noFill/>
                    <a:ln>
                      <a:noFill/>
                    </a:ln>
                  </pic:spPr>
                </pic:pic>
              </a:graphicData>
            </a:graphic>
          </wp:inline>
        </w:drawing>
      </w:r>
    </w:p>
    <w:p w14:paraId="5CEAFC7B" w14:textId="77777777" w:rsidR="00CF62B4" w:rsidRDefault="00CF62B4" w:rsidP="00CF62B4">
      <w:pPr>
        <w:pStyle w:val="figur-tittel"/>
      </w:pPr>
      <w:bookmarkStart w:id="198" w:name="_Ref443327940"/>
      <w:r w:rsidRPr="006B38D0">
        <w:t xml:space="preserve">Sysselsetting </w:t>
      </w:r>
      <w:r>
        <w:t xml:space="preserve">og arbeidsstyrken </w:t>
      </w:r>
      <w:r w:rsidRPr="006B38D0">
        <w:t>fra AKU som andel av antall personer i alderen 15 til 74 år.</w:t>
      </w:r>
      <w:bookmarkEnd w:id="198"/>
    </w:p>
    <w:p w14:paraId="3DE4E4C8" w14:textId="77777777" w:rsidR="00CF62B4" w:rsidRDefault="00CF62B4" w:rsidP="00CF62B4">
      <w:pPr>
        <w:rPr>
          <w:sz w:val="20"/>
        </w:rPr>
      </w:pPr>
      <w:r w:rsidRPr="00D53D73">
        <w:rPr>
          <w:sz w:val="20"/>
        </w:rPr>
        <w:t>Kilde: Statistisk sentralbyrå</w:t>
      </w:r>
    </w:p>
    <w:p w14:paraId="09041194" w14:textId="3C342805" w:rsidR="00325077" w:rsidRDefault="00325077" w:rsidP="00CF62B4">
      <w:pPr>
        <w:rPr>
          <w:sz w:val="20"/>
        </w:rPr>
      </w:pPr>
      <w:r>
        <w:rPr>
          <w:noProof/>
          <w:szCs w:val="24"/>
        </w:rPr>
        <w:drawing>
          <wp:inline distT="0" distB="0" distL="0" distR="0" wp14:anchorId="37F02960" wp14:editId="3122C89F">
            <wp:extent cx="2825983" cy="256222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png"/>
                    <pic:cNvPicPr/>
                  </pic:nvPicPr>
                  <pic:blipFill>
                    <a:blip r:embed="rId36">
                      <a:extLst>
                        <a:ext uri="{28A0092B-C50C-407E-A947-70E740481C1C}">
                          <a14:useLocalDpi xmlns:a14="http://schemas.microsoft.com/office/drawing/2010/main" val="0"/>
                        </a:ext>
                      </a:extLst>
                    </a:blip>
                    <a:stretch>
                      <a:fillRect/>
                    </a:stretch>
                  </pic:blipFill>
                  <pic:spPr>
                    <a:xfrm>
                      <a:off x="0" y="0"/>
                      <a:ext cx="2834382" cy="2569840"/>
                    </a:xfrm>
                    <a:prstGeom prst="rect">
                      <a:avLst/>
                    </a:prstGeom>
                  </pic:spPr>
                </pic:pic>
              </a:graphicData>
            </a:graphic>
          </wp:inline>
        </w:drawing>
      </w:r>
    </w:p>
    <w:p w14:paraId="41898C4A" w14:textId="77777777" w:rsidR="00325077" w:rsidRPr="00646766" w:rsidRDefault="00325077" w:rsidP="00325077">
      <w:pPr>
        <w:pStyle w:val="figur-tittel"/>
      </w:pPr>
      <w:r w:rsidRPr="006B38D0">
        <w:t>Sysselsatte personer etter bostatus. Akkumulert vekst fra 2004 (4. kvartal hvert år) inkluderer nordmenn bosatt i utlandet men som jobber i Norge på korttidsopphold.</w:t>
      </w:r>
    </w:p>
    <w:p w14:paraId="54D7D856" w14:textId="77777777" w:rsidR="00325077" w:rsidRPr="006B38D0" w:rsidRDefault="00325077" w:rsidP="00325077">
      <w:pPr>
        <w:pStyle w:val="Kilde"/>
      </w:pPr>
      <w:r w:rsidRPr="006B38D0">
        <w:t>Kilde</w:t>
      </w:r>
      <w:r>
        <w:t>r</w:t>
      </w:r>
      <w:r w:rsidRPr="006B38D0">
        <w:t>: Finansdepartementet og Statistisk sentralbyrå</w:t>
      </w:r>
    </w:p>
    <w:p w14:paraId="18EF6DFF" w14:textId="77777777" w:rsidR="00325077" w:rsidRDefault="00325077" w:rsidP="00CF62B4">
      <w:pPr>
        <w:rPr>
          <w:sz w:val="20"/>
        </w:rPr>
        <w:sectPr w:rsidR="00325077" w:rsidSect="00325077">
          <w:type w:val="continuous"/>
          <w:pgSz w:w="11906" w:h="16838"/>
          <w:pgMar w:top="1418" w:right="1418" w:bottom="1418" w:left="1418" w:header="709" w:footer="709" w:gutter="0"/>
          <w:cols w:num="2" w:space="708"/>
          <w:docGrid w:linePitch="360"/>
        </w:sectPr>
      </w:pPr>
    </w:p>
    <w:p w14:paraId="54DF9783" w14:textId="77777777" w:rsidR="006F55F8" w:rsidRDefault="006F55F8" w:rsidP="006F55F8">
      <w:r w:rsidRPr="006B38D0">
        <w:t>Arbeidsinnvandrere som kommer til Norge, er gjerne i de mest yrkesaktive aldersgruppene. Imidlertid er sysselsettingsandelene blant bosatte innvandrere fra EØS-landene i Sentral- og Øst-Europa</w:t>
      </w:r>
      <w:r w:rsidRPr="006B38D0">
        <w:rPr>
          <w:vertAlign w:val="superscript"/>
        </w:rPr>
        <w:footnoteReference w:id="4"/>
      </w:r>
      <w:r w:rsidRPr="006B38D0">
        <w:t xml:space="preserve"> lavere enn for samme aldersgrupper i resten av befolkningen. </w:t>
      </w:r>
    </w:p>
    <w:p w14:paraId="00B177BF" w14:textId="281A6C80" w:rsidR="00325077" w:rsidRDefault="00325077" w:rsidP="006F55F8">
      <w:r>
        <w:t>Arbeidsmarkedet påvirkes også av hvor mange flyktninger som får opphold i Norge og deretter hvor raskt de integreres i arbeidsmarkedet. Tilstrømningen av flykninger tiltok sterkt utover høsten i fjor. I tilleggsproposisjonen la regjeringen til grunn at det skulle komme om lag 33 000 personer til Norge i hvert av årene 2015 og 2016. I perioden januar til november 2015 fikk om lag 7 300 tredjelandsborgere (personer med statsborgerskap utenfor EU/EØS området)</w:t>
      </w:r>
      <w:r w:rsidR="008B27AF">
        <w:t xml:space="preserve"> </w:t>
      </w:r>
      <w:r>
        <w:t>innvilget arbeidstillatelser. Det er 1 100 færre personer enn i 2014. Flyktningene som kom i 2015 og som kommer i 2016, vil trolig i begrenset omfang bli integrert i det norske arbeidsmarkedet i løpet av 2016, men i større grad påvirke arbeidstilbudet i 2017.</w:t>
      </w:r>
    </w:p>
    <w:p w14:paraId="28E3B83C" w14:textId="77777777" w:rsidR="006F55F8" w:rsidRDefault="006F55F8" w:rsidP="006F55F8">
      <w:pPr>
        <w:rPr>
          <w:rFonts w:eastAsia="Times New Roman"/>
          <w:snapToGrid w:val="0"/>
          <w:color w:val="000000"/>
          <w:w w:val="0"/>
          <w:sz w:val="0"/>
          <w:szCs w:val="0"/>
          <w:u w:color="000000"/>
          <w:bdr w:val="none" w:sz="0" w:space="0" w:color="000000"/>
          <w:shd w:val="clear" w:color="000000" w:fill="000000"/>
        </w:rPr>
      </w:pPr>
    </w:p>
    <w:p w14:paraId="7B47F4CE" w14:textId="77777777" w:rsidR="006F55F8" w:rsidRPr="006B38D0" w:rsidRDefault="006F55F8" w:rsidP="006F55F8">
      <w:pPr>
        <w:pStyle w:val="avsnitt-under-undertittel"/>
      </w:pPr>
      <w:r w:rsidRPr="006B38D0">
        <w:t>Sysselsettingsrate</w:t>
      </w:r>
    </w:p>
    <w:p w14:paraId="12877029" w14:textId="77777777" w:rsidR="006F55F8" w:rsidRPr="006B38D0" w:rsidRDefault="006F55F8" w:rsidP="006F55F8">
      <w:pPr>
        <w:rPr>
          <w:bCs/>
          <w:szCs w:val="24"/>
        </w:rPr>
      </w:pPr>
      <w:r w:rsidRPr="006B38D0">
        <w:rPr>
          <w:bCs/>
          <w:i/>
          <w:szCs w:val="24"/>
        </w:rPr>
        <w:t>Sysselsettingsraten</w:t>
      </w:r>
      <w:r w:rsidRPr="006B38D0">
        <w:rPr>
          <w:bCs/>
          <w:szCs w:val="24"/>
        </w:rPr>
        <w:t xml:space="preserve"> kan si noe om</w:t>
      </w:r>
      <w:r>
        <w:rPr>
          <w:bCs/>
          <w:szCs w:val="24"/>
        </w:rPr>
        <w:t xml:space="preserve"> strukturelle endringer i arbeidsmarkedet. S</w:t>
      </w:r>
      <w:r w:rsidRPr="006B38D0">
        <w:rPr>
          <w:bCs/>
          <w:szCs w:val="24"/>
        </w:rPr>
        <w:t xml:space="preserve">ysselsettingsraten </w:t>
      </w:r>
      <w:r>
        <w:rPr>
          <w:bCs/>
          <w:szCs w:val="24"/>
        </w:rPr>
        <w:t xml:space="preserve">påvirkes </w:t>
      </w:r>
      <w:r w:rsidRPr="006B38D0">
        <w:rPr>
          <w:bCs/>
          <w:szCs w:val="24"/>
        </w:rPr>
        <w:t xml:space="preserve">av demografiske forhold, som endringer i befolkningens størrelse og sammensetning (inkludert innvandring), men også av atferdsendringer. </w:t>
      </w:r>
      <w:r>
        <w:rPr>
          <w:bCs/>
          <w:szCs w:val="24"/>
        </w:rPr>
        <w:t>K</w:t>
      </w:r>
      <w:r w:rsidRPr="006B38D0">
        <w:rPr>
          <w:bCs/>
          <w:szCs w:val="24"/>
        </w:rPr>
        <w:t xml:space="preserve">onjunktursituasjonen </w:t>
      </w:r>
      <w:r>
        <w:rPr>
          <w:bCs/>
          <w:szCs w:val="24"/>
        </w:rPr>
        <w:t xml:space="preserve">vil også påvirke sysselsettingsraten </w:t>
      </w:r>
      <w:r w:rsidRPr="006B38D0">
        <w:rPr>
          <w:bCs/>
          <w:szCs w:val="24"/>
        </w:rPr>
        <w:t xml:space="preserve">fordi etterspørselen etter arbeidskraft </w:t>
      </w:r>
      <w:r>
        <w:rPr>
          <w:bCs/>
          <w:szCs w:val="24"/>
        </w:rPr>
        <w:t>endres</w:t>
      </w:r>
      <w:r w:rsidRPr="006B38D0">
        <w:rPr>
          <w:bCs/>
          <w:szCs w:val="24"/>
        </w:rPr>
        <w:t>.</w:t>
      </w:r>
    </w:p>
    <w:p w14:paraId="70E688F8" w14:textId="5555AF13" w:rsidR="006F55F8" w:rsidRDefault="006F55F8" w:rsidP="006F55F8">
      <w:r w:rsidRPr="006B38D0">
        <w:rPr>
          <w:bCs/>
          <w:szCs w:val="24"/>
        </w:rPr>
        <w:t xml:space="preserve">Utviklingen i sysselsettingsrater (sysselsatte som andel av </w:t>
      </w:r>
      <w:r>
        <w:rPr>
          <w:bCs/>
          <w:szCs w:val="24"/>
        </w:rPr>
        <w:t>befolkningen</w:t>
      </w:r>
      <w:r w:rsidRPr="006B38D0">
        <w:rPr>
          <w:bCs/>
          <w:szCs w:val="24"/>
        </w:rPr>
        <w:t xml:space="preserve"> mellom 15 og 74 år) </w:t>
      </w:r>
      <w:r>
        <w:rPr>
          <w:bCs/>
          <w:szCs w:val="24"/>
        </w:rPr>
        <w:t>er vist sammen med tilsvarende rate for arbeidsstyrken (</w:t>
      </w:r>
      <w:r w:rsidR="008D32BA">
        <w:rPr>
          <w:bCs/>
          <w:szCs w:val="24"/>
        </w:rPr>
        <w:t>ifølge</w:t>
      </w:r>
      <w:r>
        <w:rPr>
          <w:bCs/>
          <w:szCs w:val="24"/>
        </w:rPr>
        <w:t xml:space="preserve"> AKU) i figur 3.</w:t>
      </w:r>
      <w:r w:rsidR="00C87792">
        <w:rPr>
          <w:bCs/>
          <w:szCs w:val="24"/>
        </w:rPr>
        <w:t>9</w:t>
      </w:r>
      <w:r>
        <w:rPr>
          <w:bCs/>
          <w:szCs w:val="24"/>
        </w:rPr>
        <w:t xml:space="preserve">. Sysselsettingsraten kan </w:t>
      </w:r>
      <w:r>
        <w:t xml:space="preserve">måles </w:t>
      </w:r>
      <w:r w:rsidRPr="006B38D0">
        <w:t xml:space="preserve">ved AKU </w:t>
      </w:r>
      <w:r>
        <w:t xml:space="preserve">som </w:t>
      </w:r>
      <w:r w:rsidRPr="006B38D0">
        <w:t>baserer seg på registrer</w:t>
      </w:r>
      <w:r>
        <w:t>te</w:t>
      </w:r>
      <w:r w:rsidRPr="006B38D0">
        <w:t xml:space="preserve"> bosatte </w:t>
      </w:r>
      <w:r>
        <w:t>eller ved NR som også inkluderer</w:t>
      </w:r>
      <w:r w:rsidRPr="006B38D0">
        <w:t xml:space="preserve"> sysselsatte på korttidsopphold i Norge og </w:t>
      </w:r>
      <w:r>
        <w:t xml:space="preserve">personer som er </w:t>
      </w:r>
      <w:r w:rsidRPr="006B38D0">
        <w:t xml:space="preserve">i uformelle arbeidsforhold. </w:t>
      </w:r>
      <w:r>
        <w:t xml:space="preserve">Dersom en skal benytte sistnevnte som indikator for utviklingen i sysselsettingsraten bør en imidlertid justere befolkningen tilsvarende. </w:t>
      </w:r>
    </w:p>
    <w:p w14:paraId="57217526" w14:textId="1D683031" w:rsidR="006F55F8" w:rsidRDefault="006F55F8" w:rsidP="006F55F8">
      <w:r w:rsidRPr="006B38D0">
        <w:t>Nivået på sysselsettingsraten</w:t>
      </w:r>
      <w:r>
        <w:t xml:space="preserve"> ifølge AKU</w:t>
      </w:r>
      <w:r w:rsidRPr="006B38D0">
        <w:t xml:space="preserve"> er klart lavere enn før finanskrisen. </w:t>
      </w:r>
      <w:r>
        <w:t xml:space="preserve">Sysselsettingsraten er redusert </w:t>
      </w:r>
      <w:r w:rsidRPr="006B38D0">
        <w:t>fra 72 prosent</w:t>
      </w:r>
      <w:r>
        <w:t xml:space="preserve"> i 2008 til 68 prosent i 2015. Det var imidlertid høykonjunktur i 2008 slik at dersom en sammenligner med årene før 2008 er nedgangen mindre</w:t>
      </w:r>
      <w:r w:rsidRPr="006B38D0">
        <w:t xml:space="preserve">. </w:t>
      </w:r>
      <w:r>
        <w:t>Forskjellen i sysselsettingsrate fra 2008 til 2015 påvirkes også av at alderssammensetningen har endret seg. De relativt sett flere eldre i arbeidsstyrken bidrar til å trekke ned sysselsettingsraten i denne perioden.</w:t>
      </w:r>
    </w:p>
    <w:p w14:paraId="10B89B66" w14:textId="6F61C77A" w:rsidR="006F55F8" w:rsidRPr="006B38D0" w:rsidRDefault="006F55F8" w:rsidP="006F55F8">
      <w:pPr>
        <w:rPr>
          <w:bCs/>
          <w:szCs w:val="24"/>
        </w:rPr>
      </w:pPr>
    </w:p>
    <w:p w14:paraId="152E5F04" w14:textId="225A8210" w:rsidR="006F55F8" w:rsidRDefault="006F55F8" w:rsidP="006F55F8">
      <w:r>
        <w:rPr>
          <w:noProof/>
        </w:rPr>
        <w:drawing>
          <wp:inline distT="0" distB="0" distL="0" distR="0" wp14:anchorId="07ACA9F3" wp14:editId="5912C3CE">
            <wp:extent cx="2834406" cy="2560109"/>
            <wp:effectExtent l="0" t="0" r="444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png"/>
                    <pic:cNvPicPr/>
                  </pic:nvPicPr>
                  <pic:blipFill>
                    <a:blip r:embed="rId37">
                      <a:extLst>
                        <a:ext uri="{28A0092B-C50C-407E-A947-70E740481C1C}">
                          <a14:useLocalDpi xmlns:a14="http://schemas.microsoft.com/office/drawing/2010/main" val="0"/>
                        </a:ext>
                      </a:extLst>
                    </a:blip>
                    <a:stretch>
                      <a:fillRect/>
                    </a:stretch>
                  </pic:blipFill>
                  <pic:spPr>
                    <a:xfrm>
                      <a:off x="0" y="0"/>
                      <a:ext cx="2834406" cy="2560109"/>
                    </a:xfrm>
                    <a:prstGeom prst="rect">
                      <a:avLst/>
                    </a:prstGeom>
                  </pic:spPr>
                </pic:pic>
              </a:graphicData>
            </a:graphic>
          </wp:inline>
        </w:drawing>
      </w:r>
      <w:r w:rsidR="004F124E">
        <w:rPr>
          <w:noProof/>
        </w:rPr>
        <w:drawing>
          <wp:inline distT="0" distB="0" distL="0" distR="0" wp14:anchorId="053C6DF7" wp14:editId="28BE1F7A">
            <wp:extent cx="2773451" cy="2560109"/>
            <wp:effectExtent l="0" t="0" r="825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png"/>
                    <pic:cNvPicPr/>
                  </pic:nvPicPr>
                  <pic:blipFill>
                    <a:blip r:embed="rId38">
                      <a:extLst>
                        <a:ext uri="{28A0092B-C50C-407E-A947-70E740481C1C}">
                          <a14:useLocalDpi xmlns:a14="http://schemas.microsoft.com/office/drawing/2010/main" val="0"/>
                        </a:ext>
                      </a:extLst>
                    </a:blip>
                    <a:stretch>
                      <a:fillRect/>
                    </a:stretch>
                  </pic:blipFill>
                  <pic:spPr>
                    <a:xfrm>
                      <a:off x="0" y="0"/>
                      <a:ext cx="2773451" cy="2560109"/>
                    </a:xfrm>
                    <a:prstGeom prst="rect">
                      <a:avLst/>
                    </a:prstGeom>
                  </pic:spPr>
                </pic:pic>
              </a:graphicData>
            </a:graphic>
          </wp:inline>
        </w:drawing>
      </w:r>
    </w:p>
    <w:p w14:paraId="0629BCF8" w14:textId="77777777" w:rsidR="004F124E" w:rsidRDefault="004F124E" w:rsidP="006F55F8">
      <w:pPr>
        <w:pStyle w:val="figur-tittel"/>
        <w:sectPr w:rsidR="004F124E" w:rsidSect="00325077">
          <w:type w:val="continuous"/>
          <w:pgSz w:w="11906" w:h="16838"/>
          <w:pgMar w:top="1418" w:right="1418" w:bottom="1418" w:left="1418" w:header="709" w:footer="709" w:gutter="0"/>
          <w:cols w:space="708"/>
          <w:docGrid w:linePitch="360"/>
        </w:sectPr>
      </w:pPr>
      <w:bookmarkStart w:id="199" w:name="_Ref443402035"/>
    </w:p>
    <w:p w14:paraId="72E6270B" w14:textId="5D1BE3CF" w:rsidR="006E5163" w:rsidRPr="006B38D0" w:rsidRDefault="006F55F8" w:rsidP="00306E9C">
      <w:pPr>
        <w:pStyle w:val="figur-tittel"/>
        <w:spacing w:after="240"/>
      </w:pPr>
      <w:r>
        <w:t xml:space="preserve">Sysselsettingsraten i 2010 </w:t>
      </w:r>
      <w:bookmarkStart w:id="200" w:name="_Ref443402037"/>
      <w:r w:rsidR="006E5163">
        <w:t>til 2015, fordelt på aldersgrupper samlet og fordelt på kvinner og menn.</w:t>
      </w:r>
      <w:bookmarkEnd w:id="200"/>
      <w:r w:rsidR="006E5163">
        <w:br/>
      </w:r>
    </w:p>
    <w:p w14:paraId="470F358F" w14:textId="7C5828A3" w:rsidR="006E5163" w:rsidRPr="006E5163" w:rsidRDefault="00306E9C" w:rsidP="006E5163">
      <w:pPr>
        <w:pStyle w:val="figur-tittel"/>
        <w:numPr>
          <w:ilvl w:val="0"/>
          <w:numId w:val="0"/>
        </w:numPr>
      </w:pPr>
      <w:r w:rsidRPr="00DD1986">
        <w:rPr>
          <w:rFonts w:ascii="Times New Roman" w:hAnsi="Times New Roman" w:cs="Times New Roman"/>
          <w:sz w:val="20"/>
        </w:rPr>
        <w:t>Kilde: Statistisk sentralbyrå</w:t>
      </w:r>
    </w:p>
    <w:p w14:paraId="26ECCE3B" w14:textId="5F77AC21" w:rsidR="006F55F8" w:rsidRPr="006B38D0" w:rsidRDefault="006E5163" w:rsidP="00306E9C">
      <w:pPr>
        <w:pStyle w:val="figur-tittel"/>
        <w:spacing w:after="240"/>
      </w:pPr>
      <w:r>
        <w:t xml:space="preserve">Endring i sysselsettingsraten fra 2006 til </w:t>
      </w:r>
      <w:r w:rsidR="006F55F8">
        <w:t>2015, fordelt på aldersgrupper samlet og fordelt på kvinner og menn.</w:t>
      </w:r>
      <w:bookmarkEnd w:id="199"/>
    </w:p>
    <w:p w14:paraId="65B069F9" w14:textId="77777777" w:rsidR="006F55F8" w:rsidRDefault="006F55F8" w:rsidP="006E5163">
      <w:pPr>
        <w:rPr>
          <w:sz w:val="20"/>
        </w:rPr>
      </w:pPr>
      <w:r w:rsidRPr="00D53D73">
        <w:rPr>
          <w:sz w:val="20"/>
        </w:rPr>
        <w:t>Kilde: Statistisk sentralbyrå</w:t>
      </w:r>
    </w:p>
    <w:p w14:paraId="797210AF" w14:textId="01AE3A69" w:rsidR="006F55F8" w:rsidRPr="00D53D73" w:rsidRDefault="006F55F8" w:rsidP="006F55F8">
      <w:pPr>
        <w:rPr>
          <w:sz w:val="20"/>
        </w:rPr>
      </w:pPr>
    </w:p>
    <w:p w14:paraId="505078AC" w14:textId="77777777" w:rsidR="004F124E" w:rsidRDefault="004F124E" w:rsidP="006F55F8">
      <w:pPr>
        <w:sectPr w:rsidR="004F124E" w:rsidSect="004F124E">
          <w:type w:val="continuous"/>
          <w:pgSz w:w="11906" w:h="16838"/>
          <w:pgMar w:top="1418" w:right="1418" w:bottom="1418" w:left="1418" w:header="709" w:footer="709" w:gutter="0"/>
          <w:cols w:num="2" w:space="708"/>
          <w:docGrid w:linePitch="360"/>
        </w:sectPr>
      </w:pPr>
    </w:p>
    <w:p w14:paraId="35969C2C" w14:textId="257A55EA" w:rsidR="00325077" w:rsidRPr="00325077" w:rsidRDefault="00325077" w:rsidP="004104FE">
      <w:pPr>
        <w:pStyle w:val="Def"/>
      </w:pPr>
      <w:r w:rsidRPr="00325077">
        <w:t xml:space="preserve">I </w:t>
      </w:r>
      <w:r w:rsidR="00AB276F">
        <w:t>figur 3.11</w:t>
      </w:r>
      <w:r w:rsidR="00AA5543">
        <w:t xml:space="preserve"> </w:t>
      </w:r>
      <w:r w:rsidRPr="00325077">
        <w:t>og i</w:t>
      </w:r>
      <w:r w:rsidR="00AB276F">
        <w:t xml:space="preserve"> figur 3.12</w:t>
      </w:r>
      <w:r w:rsidRPr="00325077">
        <w:t xml:space="preserve"> </w:t>
      </w:r>
      <w:r w:rsidR="00AB276F">
        <w:t xml:space="preserve">er </w:t>
      </w:r>
      <w:r w:rsidRPr="00325077">
        <w:t>sysselsettingsraten basert på AKU fordelt på kjønn og aldersgrupper.</w:t>
      </w:r>
      <w:r w:rsidR="00415816">
        <w:t xml:space="preserve"> Figur 3.1</w:t>
      </w:r>
      <w:r w:rsidR="009762A9">
        <w:t xml:space="preserve">1 </w:t>
      </w:r>
      <w:r w:rsidRPr="00325077">
        <w:t xml:space="preserve">viser at sysselsettingsraten er noe høyere for menn enn for kvinner, og at sysselsettingsraten i alle aldersgrupper mellom 30 og 54 år har gått ned fra 2010. I 2015 fortsatte nedgangen i sysselsettingsratene i aldersgruppene 25 til 54 år og 55-59 år for både menn og kvinner, se </w:t>
      </w:r>
      <w:r w:rsidR="00AB276F">
        <w:t>figur 3.12</w:t>
      </w:r>
      <w:r w:rsidRPr="00325077">
        <w:t>. Der</w:t>
      </w:r>
      <w:r w:rsidR="00AB276F">
        <w:t>i</w:t>
      </w:r>
      <w:r w:rsidRPr="00325077">
        <w:t xml:space="preserve">mot øker sysselsettingsratene i de eldste aldersgruppene. Det er en fortsettelse av en lengre tids underliggende tendens til økning. Dette reflekterer trolig et økt utdanningsnivå og bedre helse blant eldre, virkninger av pensjonsreformen, og arbeidet for et inkluderende arbeidsliv. For disse gruppene har de strukturelle effektene altså vært sterkere enn de konjunkturelle. Blant de yngre aldersgruppene, med unntak av kvinner i aldergruppen 15-19 år, ser det ut som om fallet i sysselsettingsraten har stoppet opp i 2015. Det kan blant annet ha sammenheng med at disse gruppene </w:t>
      </w:r>
      <w:r w:rsidR="00AB276F">
        <w:t xml:space="preserve">hadde </w:t>
      </w:r>
      <w:r w:rsidRPr="00325077">
        <w:t>det største fallet i sysselsettingsraten i etterkant av finanskrisen. Flere studier viser at flere unge velger utdanning når konjunktursituasjonen tilsier at det blir færre jobber å velge mellom.</w:t>
      </w:r>
    </w:p>
    <w:p w14:paraId="47DDA8FE" w14:textId="6DF2076B" w:rsidR="006F55F8" w:rsidRPr="006B38D0" w:rsidRDefault="006F55F8" w:rsidP="00430DF7">
      <w:pPr>
        <w:pStyle w:val="avsnitt-under-undertittel"/>
        <w:spacing w:before="240" w:after="60"/>
      </w:pPr>
      <w:r w:rsidRPr="006B38D0">
        <w:t>Arbeidsledighet</w:t>
      </w:r>
    </w:p>
    <w:p w14:paraId="1DA8E993" w14:textId="28CC3E04" w:rsidR="006F55F8" w:rsidRDefault="006F55F8" w:rsidP="006F55F8">
      <w:r>
        <w:t>A</w:t>
      </w:r>
      <w:r w:rsidRPr="006B38D0">
        <w:t xml:space="preserve">rbeidsledigheten </w:t>
      </w:r>
      <w:r>
        <w:t xml:space="preserve">har ifølge AKU økt etter 2. kvartal 2014, se </w:t>
      </w:r>
      <w:r w:rsidR="00AB276F">
        <w:t>figur 3.13</w:t>
      </w:r>
      <w:r>
        <w:t>. A</w:t>
      </w:r>
      <w:r w:rsidRPr="006B38D0">
        <w:t>rbeidsledighet</w:t>
      </w:r>
      <w:r>
        <w:t>srat</w:t>
      </w:r>
      <w:r w:rsidRPr="006B38D0">
        <w:t xml:space="preserve">en i </w:t>
      </w:r>
      <w:r>
        <w:t>4. kvartal i 2015 var</w:t>
      </w:r>
      <w:r w:rsidRPr="006B38D0">
        <w:t xml:space="preserve"> </w:t>
      </w:r>
      <w:r>
        <w:t>4,6</w:t>
      </w:r>
      <w:r w:rsidRPr="006B38D0">
        <w:t xml:space="preserve"> prosent</w:t>
      </w:r>
      <w:r>
        <w:t xml:space="preserve"> og gjennomsnittet for året var 4,4. Det er en oppgang fra 3,5 prosent året før</w:t>
      </w:r>
      <w:r w:rsidRPr="006B38D0">
        <w:t>.</w:t>
      </w:r>
      <w:r>
        <w:t xml:space="preserve"> Det var i gjennomsnitt 53 000 arbeidsledige kvinner og 68 000 arbeidsledige menn i 2015.</w:t>
      </w:r>
    </w:p>
    <w:p w14:paraId="11130337" w14:textId="77777777" w:rsidR="00B027EB" w:rsidRPr="006A2A5E" w:rsidRDefault="00B027EB" w:rsidP="00B027EB">
      <w:r>
        <w:rPr>
          <w:noProof/>
        </w:rPr>
        <w:drawing>
          <wp:inline distT="0" distB="0" distL="0" distR="0" wp14:anchorId="205A3C1E" wp14:editId="25E66E8E">
            <wp:extent cx="2819028" cy="2401294"/>
            <wp:effectExtent l="0" t="0" r="635" b="0"/>
            <wp:docPr id="16" name="Bilde 16" descr="C:\Users\tea\AppData\Local\Microsoft\Windows\Temporary Internet Files\Content.Outlook\V08JYQG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AppData\Local\Microsoft\Windows\Temporary Internet Files\Content.Outlook\V08JYQG1\3-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413" cy="2414399"/>
                    </a:xfrm>
                    <a:prstGeom prst="rect">
                      <a:avLst/>
                    </a:prstGeom>
                    <a:noFill/>
                    <a:ln>
                      <a:noFill/>
                    </a:ln>
                  </pic:spPr>
                </pic:pic>
              </a:graphicData>
            </a:graphic>
          </wp:inline>
        </w:drawing>
      </w:r>
    </w:p>
    <w:p w14:paraId="216F198B" w14:textId="77777777" w:rsidR="00B027EB" w:rsidRPr="006B38D0" w:rsidRDefault="00B027EB" w:rsidP="00B027EB">
      <w:pPr>
        <w:rPr>
          <w:rFonts w:eastAsia="Times New Roman"/>
          <w:snapToGrid w:val="0"/>
          <w:color w:val="000000"/>
          <w:w w:val="0"/>
          <w:sz w:val="0"/>
          <w:szCs w:val="0"/>
          <w:u w:color="000000"/>
          <w:bdr w:val="none" w:sz="0" w:space="0" w:color="000000"/>
          <w:shd w:val="clear" w:color="000000" w:fill="000000"/>
        </w:rPr>
      </w:pPr>
      <w:r w:rsidRPr="006B38D0">
        <w:rPr>
          <w:rFonts w:eastAsia="Times New Roman"/>
          <w:snapToGrid w:val="0"/>
          <w:color w:val="000000"/>
          <w:w w:val="0"/>
          <w:sz w:val="0"/>
          <w:szCs w:val="0"/>
          <w:u w:color="000000"/>
          <w:bdr w:val="none" w:sz="0" w:space="0" w:color="000000"/>
          <w:shd w:val="clear" w:color="000000" w:fill="000000"/>
        </w:rPr>
        <w:t xml:space="preserve"> </w:t>
      </w:r>
    </w:p>
    <w:p w14:paraId="3E33A4B1" w14:textId="77777777" w:rsidR="00B027EB" w:rsidRPr="006B38D0" w:rsidRDefault="00B027EB" w:rsidP="00B027EB">
      <w:pPr>
        <w:pStyle w:val="figur-tittel"/>
      </w:pPr>
      <w:bookmarkStart w:id="201" w:name="_Ref443321055"/>
      <w:r w:rsidRPr="006B38D0">
        <w:t>Antall arbeidsledige i 1000. Sesongjustert.</w:t>
      </w:r>
      <w:bookmarkEnd w:id="201"/>
      <w:r w:rsidRPr="006B38D0">
        <w:t xml:space="preserve"> </w:t>
      </w:r>
    </w:p>
    <w:p w14:paraId="5E41E0CF" w14:textId="77777777" w:rsidR="00B027EB" w:rsidRPr="006B38D0" w:rsidRDefault="00B027EB" w:rsidP="00B027EB">
      <w:pPr>
        <w:pStyle w:val="Kilde"/>
      </w:pPr>
      <w:r w:rsidRPr="006B38D0">
        <w:t>Kilder: Statistisk sentralbyrå og Arbeids- og velferdsetaten</w:t>
      </w:r>
    </w:p>
    <w:p w14:paraId="0E39727E" w14:textId="77777777" w:rsidR="004F124E" w:rsidRPr="006B38D0" w:rsidRDefault="004F124E" w:rsidP="004104FE">
      <w:pPr>
        <w:pStyle w:val="tabell-tittel"/>
      </w:pPr>
      <w:r w:rsidRPr="006B38D0">
        <w:t>Arbeidsledige, deltidssysselsatte og midlertidig ansatte, ifølge arbeidskraftsundersøkelsen (AKU)</w:t>
      </w:r>
      <w:r w:rsidRPr="006B38D0">
        <w:rPr>
          <w:vertAlign w:val="superscript"/>
        </w:rPr>
        <w:t xml:space="preserve">1 </w:t>
      </w:r>
    </w:p>
    <w:tbl>
      <w:tblPr>
        <w:tblW w:w="5000" w:type="pct"/>
        <w:tblLayout w:type="fixed"/>
        <w:tblCellMar>
          <w:left w:w="70" w:type="dxa"/>
          <w:right w:w="70" w:type="dxa"/>
        </w:tblCellMar>
        <w:tblLook w:val="04A0" w:firstRow="1" w:lastRow="0" w:firstColumn="1" w:lastColumn="0" w:noHBand="0" w:noVBand="1"/>
      </w:tblPr>
      <w:tblGrid>
        <w:gridCol w:w="3071"/>
        <w:gridCol w:w="1024"/>
        <w:gridCol w:w="1025"/>
        <w:gridCol w:w="1025"/>
        <w:gridCol w:w="1025"/>
        <w:gridCol w:w="1025"/>
        <w:gridCol w:w="1019"/>
      </w:tblGrid>
      <w:tr w:rsidR="004F124E" w:rsidRPr="006B38D0" w14:paraId="2A99C8F1" w14:textId="77777777" w:rsidTr="00D8463F">
        <w:trPr>
          <w:trHeight w:val="270"/>
        </w:trPr>
        <w:tc>
          <w:tcPr>
            <w:tcW w:w="1667" w:type="pct"/>
            <w:tcBorders>
              <w:top w:val="single" w:sz="4" w:space="0" w:color="auto"/>
              <w:left w:val="nil"/>
              <w:bottom w:val="nil"/>
              <w:right w:val="nil"/>
            </w:tcBorders>
            <w:shd w:val="clear" w:color="auto" w:fill="auto"/>
            <w:noWrap/>
            <w:vAlign w:val="bottom"/>
            <w:hideMark/>
          </w:tcPr>
          <w:p w14:paraId="4CEA174D" w14:textId="77777777" w:rsidR="004F124E" w:rsidRPr="00BE1326" w:rsidRDefault="004F124E" w:rsidP="00D8463F">
            <w:pPr>
              <w:spacing w:after="0"/>
              <w:rPr>
                <w:rFonts w:ascii="Times New Roman" w:eastAsia="Times New Roman" w:hAnsi="Times New Roman"/>
                <w:szCs w:val="24"/>
              </w:rPr>
            </w:pPr>
          </w:p>
        </w:tc>
        <w:tc>
          <w:tcPr>
            <w:tcW w:w="556" w:type="pct"/>
            <w:tcBorders>
              <w:top w:val="single" w:sz="4" w:space="0" w:color="auto"/>
              <w:left w:val="nil"/>
              <w:right w:val="nil"/>
            </w:tcBorders>
            <w:shd w:val="clear" w:color="auto" w:fill="auto"/>
            <w:noWrap/>
            <w:vAlign w:val="bottom"/>
            <w:hideMark/>
          </w:tcPr>
          <w:p w14:paraId="4B8CC268"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 xml:space="preserve">Nivå </w:t>
            </w:r>
          </w:p>
        </w:tc>
        <w:tc>
          <w:tcPr>
            <w:tcW w:w="2777" w:type="pct"/>
            <w:gridSpan w:val="5"/>
            <w:tcBorders>
              <w:top w:val="single" w:sz="4" w:space="0" w:color="auto"/>
              <w:left w:val="nil"/>
              <w:bottom w:val="single" w:sz="8" w:space="0" w:color="auto"/>
              <w:right w:val="nil"/>
            </w:tcBorders>
            <w:shd w:val="clear" w:color="auto" w:fill="auto"/>
            <w:noWrap/>
            <w:vAlign w:val="bottom"/>
            <w:hideMark/>
          </w:tcPr>
          <w:p w14:paraId="720AFD06" w14:textId="77777777" w:rsidR="004F124E" w:rsidRPr="00BE1326" w:rsidRDefault="004F124E" w:rsidP="00D8463F">
            <w:pPr>
              <w:spacing w:after="0"/>
              <w:jc w:val="center"/>
              <w:rPr>
                <w:rFonts w:ascii="Times New Roman" w:eastAsia="Times New Roman" w:hAnsi="Times New Roman"/>
                <w:szCs w:val="24"/>
              </w:rPr>
            </w:pPr>
            <w:r w:rsidRPr="00BE1326">
              <w:rPr>
                <w:rFonts w:ascii="Times New Roman" w:eastAsia="Times New Roman" w:hAnsi="Times New Roman"/>
                <w:szCs w:val="24"/>
              </w:rPr>
              <w:t>Endring fra året før i tusen personer</w:t>
            </w:r>
          </w:p>
        </w:tc>
      </w:tr>
      <w:tr w:rsidR="004F124E" w:rsidRPr="006B38D0" w14:paraId="194E32BD" w14:textId="77777777" w:rsidTr="00D8463F">
        <w:trPr>
          <w:trHeight w:val="270"/>
        </w:trPr>
        <w:tc>
          <w:tcPr>
            <w:tcW w:w="1667" w:type="pct"/>
            <w:tcBorders>
              <w:top w:val="nil"/>
              <w:left w:val="nil"/>
              <w:bottom w:val="single" w:sz="8" w:space="0" w:color="auto"/>
              <w:right w:val="nil"/>
            </w:tcBorders>
            <w:shd w:val="clear" w:color="auto" w:fill="auto"/>
            <w:noWrap/>
            <w:vAlign w:val="bottom"/>
            <w:hideMark/>
          </w:tcPr>
          <w:p w14:paraId="68BE7F78"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 </w:t>
            </w:r>
          </w:p>
        </w:tc>
        <w:tc>
          <w:tcPr>
            <w:tcW w:w="556" w:type="pct"/>
            <w:tcBorders>
              <w:left w:val="nil"/>
              <w:bottom w:val="single" w:sz="8" w:space="0" w:color="auto"/>
              <w:right w:val="nil"/>
            </w:tcBorders>
            <w:shd w:val="clear" w:color="auto" w:fill="auto"/>
            <w:noWrap/>
            <w:vAlign w:val="bottom"/>
            <w:hideMark/>
          </w:tcPr>
          <w:p w14:paraId="6F2D0817"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2015</w:t>
            </w:r>
          </w:p>
        </w:tc>
        <w:tc>
          <w:tcPr>
            <w:tcW w:w="556" w:type="pct"/>
            <w:tcBorders>
              <w:top w:val="nil"/>
              <w:left w:val="nil"/>
              <w:bottom w:val="single" w:sz="8" w:space="0" w:color="auto"/>
              <w:right w:val="nil"/>
            </w:tcBorders>
            <w:shd w:val="clear" w:color="auto" w:fill="auto"/>
            <w:noWrap/>
            <w:vAlign w:val="bottom"/>
            <w:hideMark/>
          </w:tcPr>
          <w:p w14:paraId="2D9C50F8"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2011</w:t>
            </w:r>
          </w:p>
        </w:tc>
        <w:tc>
          <w:tcPr>
            <w:tcW w:w="556" w:type="pct"/>
            <w:tcBorders>
              <w:top w:val="nil"/>
              <w:left w:val="nil"/>
              <w:bottom w:val="single" w:sz="8" w:space="0" w:color="auto"/>
              <w:right w:val="nil"/>
            </w:tcBorders>
            <w:shd w:val="clear" w:color="auto" w:fill="auto"/>
            <w:noWrap/>
            <w:vAlign w:val="bottom"/>
            <w:hideMark/>
          </w:tcPr>
          <w:p w14:paraId="60DB023F"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2012</w:t>
            </w:r>
          </w:p>
        </w:tc>
        <w:tc>
          <w:tcPr>
            <w:tcW w:w="556" w:type="pct"/>
            <w:tcBorders>
              <w:top w:val="nil"/>
              <w:left w:val="nil"/>
              <w:bottom w:val="single" w:sz="8" w:space="0" w:color="auto"/>
              <w:right w:val="nil"/>
            </w:tcBorders>
            <w:shd w:val="clear" w:color="auto" w:fill="auto"/>
            <w:vAlign w:val="bottom"/>
            <w:hideMark/>
          </w:tcPr>
          <w:p w14:paraId="4CF22804"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2013</w:t>
            </w:r>
          </w:p>
        </w:tc>
        <w:tc>
          <w:tcPr>
            <w:tcW w:w="556" w:type="pct"/>
            <w:tcBorders>
              <w:top w:val="nil"/>
              <w:left w:val="nil"/>
              <w:bottom w:val="single" w:sz="8" w:space="0" w:color="auto"/>
              <w:right w:val="nil"/>
            </w:tcBorders>
            <w:shd w:val="clear" w:color="auto" w:fill="auto"/>
            <w:vAlign w:val="bottom"/>
            <w:hideMark/>
          </w:tcPr>
          <w:p w14:paraId="00F60855"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2014</w:t>
            </w:r>
          </w:p>
        </w:tc>
        <w:tc>
          <w:tcPr>
            <w:tcW w:w="553" w:type="pct"/>
            <w:tcBorders>
              <w:top w:val="nil"/>
              <w:left w:val="nil"/>
              <w:bottom w:val="single" w:sz="8" w:space="0" w:color="auto"/>
              <w:right w:val="nil"/>
            </w:tcBorders>
            <w:shd w:val="clear" w:color="auto" w:fill="auto"/>
            <w:vAlign w:val="bottom"/>
            <w:hideMark/>
          </w:tcPr>
          <w:p w14:paraId="79AA6769" w14:textId="77777777" w:rsidR="004F124E" w:rsidRPr="00BE1326" w:rsidRDefault="004F124E" w:rsidP="00D8463F">
            <w:pPr>
              <w:spacing w:after="0"/>
              <w:jc w:val="right"/>
              <w:rPr>
                <w:rFonts w:ascii="Times New Roman" w:eastAsia="Times New Roman" w:hAnsi="Times New Roman"/>
                <w:szCs w:val="24"/>
              </w:rPr>
            </w:pPr>
            <w:r w:rsidRPr="00BE1326">
              <w:rPr>
                <w:rFonts w:ascii="Times New Roman" w:eastAsia="Times New Roman" w:hAnsi="Times New Roman"/>
                <w:szCs w:val="24"/>
              </w:rPr>
              <w:t>2015</w:t>
            </w:r>
          </w:p>
        </w:tc>
      </w:tr>
      <w:tr w:rsidR="004F124E" w:rsidRPr="006B38D0" w14:paraId="2E9C971E" w14:textId="77777777" w:rsidTr="00D8463F">
        <w:trPr>
          <w:trHeight w:val="255"/>
        </w:trPr>
        <w:tc>
          <w:tcPr>
            <w:tcW w:w="1667" w:type="pct"/>
            <w:tcBorders>
              <w:top w:val="nil"/>
              <w:left w:val="nil"/>
              <w:bottom w:val="nil"/>
              <w:right w:val="nil"/>
            </w:tcBorders>
            <w:shd w:val="clear" w:color="auto" w:fill="auto"/>
            <w:noWrap/>
            <w:vAlign w:val="center"/>
          </w:tcPr>
          <w:p w14:paraId="67FD4AF5"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Arbeidsledige i alt, 1000 personer</w:t>
            </w:r>
          </w:p>
        </w:tc>
        <w:tc>
          <w:tcPr>
            <w:tcW w:w="556" w:type="pct"/>
            <w:tcBorders>
              <w:top w:val="nil"/>
              <w:left w:val="nil"/>
              <w:bottom w:val="nil"/>
              <w:right w:val="nil"/>
            </w:tcBorders>
            <w:shd w:val="clear" w:color="auto" w:fill="auto"/>
            <w:noWrap/>
            <w:vAlign w:val="center"/>
          </w:tcPr>
          <w:p w14:paraId="7B319216" w14:textId="77777777" w:rsidR="004F124E" w:rsidRPr="00BE1326" w:rsidRDefault="004F124E" w:rsidP="00D8463F">
            <w:pPr>
              <w:spacing w:after="0"/>
              <w:jc w:val="right"/>
              <w:rPr>
                <w:szCs w:val="24"/>
              </w:rPr>
            </w:pPr>
            <w:r w:rsidRPr="00BE1326">
              <w:rPr>
                <w:szCs w:val="24"/>
              </w:rPr>
              <w:t>121</w:t>
            </w:r>
          </w:p>
        </w:tc>
        <w:tc>
          <w:tcPr>
            <w:tcW w:w="556" w:type="pct"/>
            <w:tcBorders>
              <w:top w:val="nil"/>
              <w:left w:val="nil"/>
              <w:bottom w:val="nil"/>
              <w:right w:val="nil"/>
            </w:tcBorders>
            <w:shd w:val="clear" w:color="auto" w:fill="auto"/>
            <w:noWrap/>
            <w:vAlign w:val="center"/>
          </w:tcPr>
          <w:p w14:paraId="37BE4436" w14:textId="77777777" w:rsidR="004F124E" w:rsidRPr="00BE1326" w:rsidRDefault="004F124E" w:rsidP="00D8463F">
            <w:pPr>
              <w:spacing w:after="0"/>
              <w:jc w:val="right"/>
              <w:rPr>
                <w:szCs w:val="24"/>
              </w:rPr>
            </w:pPr>
            <w:r w:rsidRPr="00BE1326">
              <w:rPr>
                <w:szCs w:val="24"/>
              </w:rPr>
              <w:t>-8</w:t>
            </w:r>
          </w:p>
        </w:tc>
        <w:tc>
          <w:tcPr>
            <w:tcW w:w="556" w:type="pct"/>
            <w:tcBorders>
              <w:top w:val="nil"/>
              <w:left w:val="nil"/>
              <w:bottom w:val="nil"/>
              <w:right w:val="nil"/>
            </w:tcBorders>
            <w:shd w:val="clear" w:color="auto" w:fill="auto"/>
            <w:noWrap/>
            <w:vAlign w:val="center"/>
          </w:tcPr>
          <w:p w14:paraId="194BACF4" w14:textId="77777777" w:rsidR="004F124E" w:rsidRPr="00BE1326" w:rsidRDefault="004F124E" w:rsidP="00D8463F">
            <w:pPr>
              <w:spacing w:after="0"/>
              <w:jc w:val="right"/>
              <w:rPr>
                <w:szCs w:val="24"/>
              </w:rPr>
            </w:pPr>
            <w:r w:rsidRPr="00BE1326">
              <w:rPr>
                <w:szCs w:val="24"/>
              </w:rPr>
              <w:t>0</w:t>
            </w:r>
          </w:p>
        </w:tc>
        <w:tc>
          <w:tcPr>
            <w:tcW w:w="556" w:type="pct"/>
            <w:tcBorders>
              <w:top w:val="nil"/>
              <w:left w:val="nil"/>
              <w:bottom w:val="nil"/>
              <w:right w:val="nil"/>
            </w:tcBorders>
            <w:shd w:val="clear" w:color="auto" w:fill="auto"/>
            <w:noWrap/>
            <w:vAlign w:val="center"/>
          </w:tcPr>
          <w:p w14:paraId="0736BE3F" w14:textId="77777777" w:rsidR="004F124E" w:rsidRPr="00BE1326" w:rsidRDefault="004F124E" w:rsidP="00D8463F">
            <w:pPr>
              <w:spacing w:after="0"/>
              <w:jc w:val="right"/>
              <w:rPr>
                <w:szCs w:val="24"/>
              </w:rPr>
            </w:pPr>
            <w:r w:rsidRPr="00BE1326">
              <w:rPr>
                <w:szCs w:val="24"/>
              </w:rPr>
              <w:t>9</w:t>
            </w:r>
          </w:p>
        </w:tc>
        <w:tc>
          <w:tcPr>
            <w:tcW w:w="556" w:type="pct"/>
            <w:tcBorders>
              <w:top w:val="nil"/>
              <w:left w:val="nil"/>
              <w:bottom w:val="nil"/>
              <w:right w:val="nil"/>
            </w:tcBorders>
            <w:shd w:val="clear" w:color="auto" w:fill="auto"/>
            <w:noWrap/>
            <w:vAlign w:val="center"/>
          </w:tcPr>
          <w:p w14:paraId="5A2D33CD" w14:textId="77777777" w:rsidR="004F124E" w:rsidRPr="00BE1326" w:rsidRDefault="004F124E" w:rsidP="00D8463F">
            <w:pPr>
              <w:spacing w:after="0"/>
              <w:jc w:val="right"/>
              <w:rPr>
                <w:szCs w:val="24"/>
              </w:rPr>
            </w:pPr>
            <w:r w:rsidRPr="00BE1326">
              <w:rPr>
                <w:szCs w:val="24"/>
              </w:rPr>
              <w:t>1</w:t>
            </w:r>
          </w:p>
        </w:tc>
        <w:tc>
          <w:tcPr>
            <w:tcW w:w="553" w:type="pct"/>
            <w:tcBorders>
              <w:top w:val="nil"/>
              <w:left w:val="nil"/>
              <w:bottom w:val="nil"/>
              <w:right w:val="nil"/>
            </w:tcBorders>
            <w:shd w:val="clear" w:color="auto" w:fill="auto"/>
            <w:noWrap/>
            <w:vAlign w:val="center"/>
          </w:tcPr>
          <w:p w14:paraId="1329332A" w14:textId="77777777" w:rsidR="004F124E" w:rsidRPr="00BE1326" w:rsidRDefault="004F124E" w:rsidP="00D8463F">
            <w:pPr>
              <w:spacing w:after="0"/>
              <w:jc w:val="right"/>
              <w:rPr>
                <w:szCs w:val="24"/>
              </w:rPr>
            </w:pPr>
            <w:r w:rsidRPr="00BE1326">
              <w:rPr>
                <w:szCs w:val="24"/>
              </w:rPr>
              <w:t>25</w:t>
            </w:r>
          </w:p>
        </w:tc>
      </w:tr>
      <w:tr w:rsidR="004F124E" w:rsidRPr="006B38D0" w14:paraId="25DDC0C2" w14:textId="77777777" w:rsidTr="00D8463F">
        <w:trPr>
          <w:trHeight w:val="255"/>
        </w:trPr>
        <w:tc>
          <w:tcPr>
            <w:tcW w:w="1667" w:type="pct"/>
            <w:tcBorders>
              <w:top w:val="nil"/>
              <w:left w:val="nil"/>
              <w:bottom w:val="nil"/>
              <w:right w:val="nil"/>
            </w:tcBorders>
            <w:shd w:val="clear" w:color="auto" w:fill="auto"/>
            <w:noWrap/>
            <w:vAlign w:val="center"/>
            <w:hideMark/>
          </w:tcPr>
          <w:p w14:paraId="485E30F7"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 Kvinner</w:t>
            </w:r>
          </w:p>
        </w:tc>
        <w:tc>
          <w:tcPr>
            <w:tcW w:w="556" w:type="pct"/>
            <w:tcBorders>
              <w:top w:val="nil"/>
              <w:left w:val="nil"/>
              <w:bottom w:val="nil"/>
              <w:right w:val="nil"/>
            </w:tcBorders>
            <w:shd w:val="clear" w:color="auto" w:fill="auto"/>
            <w:noWrap/>
            <w:vAlign w:val="center"/>
            <w:hideMark/>
          </w:tcPr>
          <w:p w14:paraId="6089501E" w14:textId="77777777" w:rsidR="004F124E" w:rsidRPr="00BE1326" w:rsidRDefault="004F124E" w:rsidP="00D8463F">
            <w:pPr>
              <w:spacing w:after="0"/>
              <w:jc w:val="right"/>
              <w:rPr>
                <w:szCs w:val="24"/>
              </w:rPr>
            </w:pPr>
            <w:r w:rsidRPr="00BE1326">
              <w:rPr>
                <w:szCs w:val="24"/>
              </w:rPr>
              <w:t>53</w:t>
            </w:r>
          </w:p>
        </w:tc>
        <w:tc>
          <w:tcPr>
            <w:tcW w:w="556" w:type="pct"/>
            <w:tcBorders>
              <w:top w:val="nil"/>
              <w:left w:val="nil"/>
              <w:bottom w:val="nil"/>
              <w:right w:val="nil"/>
            </w:tcBorders>
            <w:shd w:val="clear" w:color="auto" w:fill="auto"/>
            <w:noWrap/>
            <w:vAlign w:val="center"/>
            <w:hideMark/>
          </w:tcPr>
          <w:p w14:paraId="0ED36751" w14:textId="77777777" w:rsidR="004F124E" w:rsidRPr="00BE1326" w:rsidRDefault="004F124E" w:rsidP="00D8463F">
            <w:pPr>
              <w:spacing w:after="0"/>
              <w:jc w:val="right"/>
              <w:rPr>
                <w:szCs w:val="24"/>
              </w:rPr>
            </w:pPr>
            <w:r w:rsidRPr="00BE1326">
              <w:rPr>
                <w:szCs w:val="24"/>
              </w:rPr>
              <w:t>1</w:t>
            </w:r>
          </w:p>
        </w:tc>
        <w:tc>
          <w:tcPr>
            <w:tcW w:w="556" w:type="pct"/>
            <w:tcBorders>
              <w:top w:val="nil"/>
              <w:left w:val="nil"/>
              <w:bottom w:val="nil"/>
              <w:right w:val="nil"/>
            </w:tcBorders>
            <w:shd w:val="clear" w:color="auto" w:fill="auto"/>
            <w:noWrap/>
            <w:vAlign w:val="center"/>
            <w:hideMark/>
          </w:tcPr>
          <w:p w14:paraId="5F2F4ECA" w14:textId="77777777" w:rsidR="004F124E" w:rsidRPr="00BE1326" w:rsidRDefault="004F124E" w:rsidP="00D8463F">
            <w:pPr>
              <w:spacing w:after="0"/>
              <w:jc w:val="right"/>
              <w:rPr>
                <w:szCs w:val="24"/>
              </w:rPr>
            </w:pPr>
            <w:r w:rsidRPr="00BE1326">
              <w:rPr>
                <w:szCs w:val="24"/>
              </w:rPr>
              <w:t>-3</w:t>
            </w:r>
          </w:p>
        </w:tc>
        <w:tc>
          <w:tcPr>
            <w:tcW w:w="556" w:type="pct"/>
            <w:tcBorders>
              <w:top w:val="nil"/>
              <w:left w:val="nil"/>
              <w:bottom w:val="nil"/>
              <w:right w:val="nil"/>
            </w:tcBorders>
            <w:shd w:val="clear" w:color="auto" w:fill="auto"/>
            <w:noWrap/>
            <w:vAlign w:val="center"/>
            <w:hideMark/>
          </w:tcPr>
          <w:p w14:paraId="34EE7659" w14:textId="77777777" w:rsidR="004F124E" w:rsidRPr="00BE1326" w:rsidRDefault="004F124E" w:rsidP="00D8463F">
            <w:pPr>
              <w:spacing w:after="0"/>
              <w:jc w:val="right"/>
              <w:rPr>
                <w:szCs w:val="24"/>
              </w:rPr>
            </w:pPr>
            <w:r w:rsidRPr="00BE1326">
              <w:rPr>
                <w:szCs w:val="24"/>
              </w:rPr>
              <w:t>7</w:t>
            </w:r>
          </w:p>
        </w:tc>
        <w:tc>
          <w:tcPr>
            <w:tcW w:w="556" w:type="pct"/>
            <w:tcBorders>
              <w:top w:val="nil"/>
              <w:left w:val="nil"/>
              <w:bottom w:val="nil"/>
              <w:right w:val="nil"/>
            </w:tcBorders>
            <w:shd w:val="clear" w:color="auto" w:fill="auto"/>
            <w:noWrap/>
            <w:vAlign w:val="center"/>
            <w:hideMark/>
          </w:tcPr>
          <w:p w14:paraId="3B3EFB71" w14:textId="77777777" w:rsidR="004F124E" w:rsidRPr="00BE1326" w:rsidRDefault="004F124E" w:rsidP="00D8463F">
            <w:pPr>
              <w:spacing w:after="0"/>
              <w:jc w:val="right"/>
              <w:rPr>
                <w:szCs w:val="24"/>
              </w:rPr>
            </w:pPr>
            <w:r w:rsidRPr="00BE1326">
              <w:rPr>
                <w:szCs w:val="24"/>
              </w:rPr>
              <w:t>0</w:t>
            </w:r>
          </w:p>
        </w:tc>
        <w:tc>
          <w:tcPr>
            <w:tcW w:w="553" w:type="pct"/>
            <w:tcBorders>
              <w:top w:val="nil"/>
              <w:left w:val="nil"/>
              <w:bottom w:val="nil"/>
              <w:right w:val="nil"/>
            </w:tcBorders>
            <w:shd w:val="clear" w:color="auto" w:fill="auto"/>
            <w:noWrap/>
            <w:vAlign w:val="center"/>
            <w:hideMark/>
          </w:tcPr>
          <w:p w14:paraId="7A40DFFC" w14:textId="77777777" w:rsidR="004F124E" w:rsidRPr="00BE1326" w:rsidRDefault="004F124E" w:rsidP="00D8463F">
            <w:pPr>
              <w:spacing w:after="0"/>
              <w:jc w:val="right"/>
              <w:rPr>
                <w:szCs w:val="24"/>
              </w:rPr>
            </w:pPr>
            <w:r w:rsidRPr="00BE1326">
              <w:rPr>
                <w:szCs w:val="24"/>
              </w:rPr>
              <w:t>11</w:t>
            </w:r>
          </w:p>
        </w:tc>
      </w:tr>
      <w:tr w:rsidR="004F124E" w:rsidRPr="006B38D0" w14:paraId="53450A29" w14:textId="77777777" w:rsidTr="00D8463F">
        <w:trPr>
          <w:trHeight w:val="300"/>
        </w:trPr>
        <w:tc>
          <w:tcPr>
            <w:tcW w:w="1667" w:type="pct"/>
            <w:tcBorders>
              <w:top w:val="nil"/>
              <w:left w:val="nil"/>
              <w:bottom w:val="single" w:sz="8" w:space="0" w:color="auto"/>
              <w:right w:val="nil"/>
            </w:tcBorders>
            <w:shd w:val="clear" w:color="auto" w:fill="auto"/>
            <w:noWrap/>
            <w:vAlign w:val="center"/>
            <w:hideMark/>
          </w:tcPr>
          <w:p w14:paraId="47388FD8"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 Menn</w:t>
            </w:r>
          </w:p>
        </w:tc>
        <w:tc>
          <w:tcPr>
            <w:tcW w:w="556" w:type="pct"/>
            <w:tcBorders>
              <w:top w:val="nil"/>
              <w:left w:val="nil"/>
              <w:bottom w:val="single" w:sz="8" w:space="0" w:color="auto"/>
              <w:right w:val="nil"/>
            </w:tcBorders>
            <w:shd w:val="clear" w:color="auto" w:fill="auto"/>
            <w:noWrap/>
            <w:vAlign w:val="center"/>
            <w:hideMark/>
          </w:tcPr>
          <w:p w14:paraId="5FF3223D" w14:textId="77777777" w:rsidR="004F124E" w:rsidRPr="00BE1326" w:rsidRDefault="004F124E" w:rsidP="00D8463F">
            <w:pPr>
              <w:spacing w:after="0"/>
              <w:jc w:val="right"/>
              <w:rPr>
                <w:szCs w:val="24"/>
              </w:rPr>
            </w:pPr>
            <w:r w:rsidRPr="00BE1326">
              <w:rPr>
                <w:szCs w:val="24"/>
              </w:rPr>
              <w:t>68</w:t>
            </w:r>
          </w:p>
        </w:tc>
        <w:tc>
          <w:tcPr>
            <w:tcW w:w="556" w:type="pct"/>
            <w:tcBorders>
              <w:top w:val="nil"/>
              <w:left w:val="nil"/>
              <w:bottom w:val="single" w:sz="8" w:space="0" w:color="auto"/>
              <w:right w:val="nil"/>
            </w:tcBorders>
            <w:shd w:val="clear" w:color="auto" w:fill="auto"/>
            <w:noWrap/>
            <w:vAlign w:val="center"/>
            <w:hideMark/>
          </w:tcPr>
          <w:p w14:paraId="0D757706" w14:textId="77777777" w:rsidR="004F124E" w:rsidRPr="00BE1326" w:rsidRDefault="004F124E" w:rsidP="00D8463F">
            <w:pPr>
              <w:spacing w:after="0"/>
              <w:jc w:val="right"/>
              <w:rPr>
                <w:szCs w:val="24"/>
              </w:rPr>
            </w:pPr>
            <w:r w:rsidRPr="00BE1326">
              <w:rPr>
                <w:szCs w:val="24"/>
              </w:rPr>
              <w:t>-9</w:t>
            </w:r>
          </w:p>
        </w:tc>
        <w:tc>
          <w:tcPr>
            <w:tcW w:w="556" w:type="pct"/>
            <w:tcBorders>
              <w:top w:val="nil"/>
              <w:left w:val="nil"/>
              <w:bottom w:val="single" w:sz="8" w:space="0" w:color="auto"/>
              <w:right w:val="nil"/>
            </w:tcBorders>
            <w:shd w:val="clear" w:color="auto" w:fill="auto"/>
            <w:noWrap/>
            <w:vAlign w:val="center"/>
            <w:hideMark/>
          </w:tcPr>
          <w:p w14:paraId="6E63D421" w14:textId="77777777" w:rsidR="004F124E" w:rsidRPr="00BE1326" w:rsidRDefault="004F124E" w:rsidP="00D8463F">
            <w:pPr>
              <w:spacing w:after="0"/>
              <w:jc w:val="right"/>
              <w:rPr>
                <w:szCs w:val="24"/>
              </w:rPr>
            </w:pPr>
            <w:r w:rsidRPr="00BE1326">
              <w:rPr>
                <w:szCs w:val="24"/>
              </w:rPr>
              <w:t>3</w:t>
            </w:r>
          </w:p>
        </w:tc>
        <w:tc>
          <w:tcPr>
            <w:tcW w:w="556" w:type="pct"/>
            <w:tcBorders>
              <w:top w:val="nil"/>
              <w:left w:val="nil"/>
              <w:bottom w:val="single" w:sz="8" w:space="0" w:color="auto"/>
              <w:right w:val="nil"/>
            </w:tcBorders>
            <w:shd w:val="clear" w:color="auto" w:fill="auto"/>
            <w:noWrap/>
            <w:vAlign w:val="center"/>
            <w:hideMark/>
          </w:tcPr>
          <w:p w14:paraId="06CDE39D" w14:textId="77777777" w:rsidR="004F124E" w:rsidRPr="00BE1326" w:rsidRDefault="004F124E" w:rsidP="00D8463F">
            <w:pPr>
              <w:spacing w:after="0"/>
              <w:jc w:val="right"/>
              <w:rPr>
                <w:szCs w:val="24"/>
              </w:rPr>
            </w:pPr>
            <w:r w:rsidRPr="00BE1326">
              <w:rPr>
                <w:szCs w:val="24"/>
              </w:rPr>
              <w:t>2</w:t>
            </w:r>
          </w:p>
        </w:tc>
        <w:tc>
          <w:tcPr>
            <w:tcW w:w="556" w:type="pct"/>
            <w:tcBorders>
              <w:top w:val="nil"/>
              <w:left w:val="nil"/>
              <w:bottom w:val="single" w:sz="8" w:space="0" w:color="auto"/>
              <w:right w:val="nil"/>
            </w:tcBorders>
            <w:shd w:val="clear" w:color="auto" w:fill="auto"/>
            <w:noWrap/>
            <w:vAlign w:val="center"/>
            <w:hideMark/>
          </w:tcPr>
          <w:p w14:paraId="23A1A79F" w14:textId="77777777" w:rsidR="004F124E" w:rsidRPr="00BE1326" w:rsidRDefault="004F124E" w:rsidP="00D8463F">
            <w:pPr>
              <w:spacing w:after="0"/>
              <w:jc w:val="right"/>
              <w:rPr>
                <w:szCs w:val="24"/>
              </w:rPr>
            </w:pPr>
            <w:r w:rsidRPr="00BE1326">
              <w:rPr>
                <w:szCs w:val="24"/>
              </w:rPr>
              <w:t>1</w:t>
            </w:r>
          </w:p>
        </w:tc>
        <w:tc>
          <w:tcPr>
            <w:tcW w:w="553" w:type="pct"/>
            <w:tcBorders>
              <w:top w:val="nil"/>
              <w:left w:val="nil"/>
              <w:bottom w:val="single" w:sz="8" w:space="0" w:color="auto"/>
              <w:right w:val="nil"/>
            </w:tcBorders>
            <w:shd w:val="clear" w:color="auto" w:fill="auto"/>
            <w:noWrap/>
            <w:vAlign w:val="center"/>
            <w:hideMark/>
          </w:tcPr>
          <w:p w14:paraId="0BA85156" w14:textId="77777777" w:rsidR="004F124E" w:rsidRPr="00BE1326" w:rsidRDefault="004F124E" w:rsidP="00D8463F">
            <w:pPr>
              <w:spacing w:after="0"/>
              <w:jc w:val="right"/>
              <w:rPr>
                <w:szCs w:val="24"/>
              </w:rPr>
            </w:pPr>
            <w:r w:rsidRPr="00BE1326">
              <w:rPr>
                <w:szCs w:val="24"/>
              </w:rPr>
              <w:t>14</w:t>
            </w:r>
          </w:p>
        </w:tc>
      </w:tr>
      <w:tr w:rsidR="004F124E" w:rsidRPr="006B38D0" w14:paraId="49C28DC2" w14:textId="77777777" w:rsidTr="00D8463F">
        <w:trPr>
          <w:trHeight w:val="300"/>
        </w:trPr>
        <w:tc>
          <w:tcPr>
            <w:tcW w:w="1667" w:type="pct"/>
            <w:tcBorders>
              <w:top w:val="nil"/>
              <w:left w:val="nil"/>
              <w:bottom w:val="nil"/>
              <w:right w:val="nil"/>
            </w:tcBorders>
            <w:shd w:val="clear" w:color="auto" w:fill="auto"/>
            <w:noWrap/>
            <w:vAlign w:val="center"/>
            <w:hideMark/>
          </w:tcPr>
          <w:p w14:paraId="1AA3B065"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Deltidssysselsatte, 1000 personer</w:t>
            </w:r>
          </w:p>
        </w:tc>
        <w:tc>
          <w:tcPr>
            <w:tcW w:w="556" w:type="pct"/>
            <w:tcBorders>
              <w:top w:val="nil"/>
              <w:left w:val="nil"/>
              <w:bottom w:val="nil"/>
              <w:right w:val="nil"/>
            </w:tcBorders>
            <w:shd w:val="clear" w:color="auto" w:fill="auto"/>
            <w:noWrap/>
            <w:vAlign w:val="center"/>
            <w:hideMark/>
          </w:tcPr>
          <w:p w14:paraId="14B2E2F1" w14:textId="77777777" w:rsidR="004F124E" w:rsidRPr="00BE1326" w:rsidRDefault="004F124E" w:rsidP="00D8463F">
            <w:pPr>
              <w:spacing w:after="0"/>
              <w:jc w:val="right"/>
              <w:rPr>
                <w:szCs w:val="24"/>
              </w:rPr>
            </w:pPr>
            <w:r w:rsidRPr="00BE1326">
              <w:rPr>
                <w:szCs w:val="24"/>
              </w:rPr>
              <w:t>673</w:t>
            </w:r>
          </w:p>
        </w:tc>
        <w:tc>
          <w:tcPr>
            <w:tcW w:w="556" w:type="pct"/>
            <w:tcBorders>
              <w:top w:val="nil"/>
              <w:left w:val="nil"/>
              <w:bottom w:val="nil"/>
              <w:right w:val="nil"/>
            </w:tcBorders>
            <w:shd w:val="clear" w:color="auto" w:fill="auto"/>
            <w:noWrap/>
            <w:vAlign w:val="center"/>
            <w:hideMark/>
          </w:tcPr>
          <w:p w14:paraId="2DB8FFA2" w14:textId="77777777" w:rsidR="004F124E" w:rsidRPr="00BE1326" w:rsidRDefault="004F124E" w:rsidP="00D8463F">
            <w:pPr>
              <w:spacing w:after="0"/>
              <w:jc w:val="right"/>
              <w:rPr>
                <w:szCs w:val="24"/>
              </w:rPr>
            </w:pPr>
            <w:r w:rsidRPr="00BE1326">
              <w:rPr>
                <w:szCs w:val="24"/>
              </w:rPr>
              <w:t>4</w:t>
            </w:r>
          </w:p>
        </w:tc>
        <w:tc>
          <w:tcPr>
            <w:tcW w:w="556" w:type="pct"/>
            <w:tcBorders>
              <w:top w:val="nil"/>
              <w:left w:val="nil"/>
              <w:bottom w:val="nil"/>
              <w:right w:val="nil"/>
            </w:tcBorders>
            <w:shd w:val="clear" w:color="auto" w:fill="auto"/>
            <w:noWrap/>
            <w:vAlign w:val="center"/>
            <w:hideMark/>
          </w:tcPr>
          <w:p w14:paraId="2D33B9A7" w14:textId="77777777" w:rsidR="004F124E" w:rsidRPr="00BE1326" w:rsidRDefault="004F124E" w:rsidP="00D8463F">
            <w:pPr>
              <w:spacing w:after="0"/>
              <w:jc w:val="right"/>
              <w:rPr>
                <w:szCs w:val="24"/>
              </w:rPr>
            </w:pPr>
            <w:r w:rsidRPr="00BE1326">
              <w:rPr>
                <w:szCs w:val="24"/>
              </w:rPr>
              <w:t>12</w:t>
            </w:r>
          </w:p>
        </w:tc>
        <w:tc>
          <w:tcPr>
            <w:tcW w:w="556" w:type="pct"/>
            <w:tcBorders>
              <w:top w:val="nil"/>
              <w:left w:val="nil"/>
              <w:bottom w:val="nil"/>
              <w:right w:val="nil"/>
            </w:tcBorders>
            <w:shd w:val="clear" w:color="auto" w:fill="auto"/>
            <w:noWrap/>
            <w:vAlign w:val="center"/>
            <w:hideMark/>
          </w:tcPr>
          <w:p w14:paraId="3466004E" w14:textId="77777777" w:rsidR="004F124E" w:rsidRPr="00BE1326" w:rsidRDefault="004F124E" w:rsidP="00D8463F">
            <w:pPr>
              <w:spacing w:after="0"/>
              <w:jc w:val="right"/>
              <w:rPr>
                <w:szCs w:val="24"/>
              </w:rPr>
            </w:pPr>
            <w:r w:rsidRPr="00BE1326">
              <w:rPr>
                <w:szCs w:val="24"/>
              </w:rPr>
              <w:t>1</w:t>
            </w:r>
          </w:p>
        </w:tc>
        <w:tc>
          <w:tcPr>
            <w:tcW w:w="556" w:type="pct"/>
            <w:tcBorders>
              <w:top w:val="nil"/>
              <w:left w:val="nil"/>
              <w:bottom w:val="nil"/>
              <w:right w:val="nil"/>
            </w:tcBorders>
            <w:shd w:val="clear" w:color="auto" w:fill="auto"/>
            <w:noWrap/>
            <w:vAlign w:val="center"/>
            <w:hideMark/>
          </w:tcPr>
          <w:p w14:paraId="4826727F" w14:textId="77777777" w:rsidR="004F124E" w:rsidRPr="00BE1326" w:rsidRDefault="004F124E" w:rsidP="00D8463F">
            <w:pPr>
              <w:spacing w:after="0"/>
              <w:jc w:val="right"/>
              <w:rPr>
                <w:szCs w:val="24"/>
              </w:rPr>
            </w:pPr>
            <w:r w:rsidRPr="00BE1326">
              <w:rPr>
                <w:szCs w:val="24"/>
              </w:rPr>
              <w:t>-23</w:t>
            </w:r>
          </w:p>
        </w:tc>
        <w:tc>
          <w:tcPr>
            <w:tcW w:w="553" w:type="pct"/>
            <w:tcBorders>
              <w:top w:val="nil"/>
              <w:left w:val="nil"/>
              <w:bottom w:val="nil"/>
              <w:right w:val="nil"/>
            </w:tcBorders>
            <w:shd w:val="clear" w:color="auto" w:fill="auto"/>
            <w:noWrap/>
            <w:vAlign w:val="center"/>
            <w:hideMark/>
          </w:tcPr>
          <w:p w14:paraId="06035AE4" w14:textId="77777777" w:rsidR="004F124E" w:rsidRPr="00BE1326" w:rsidRDefault="004F124E" w:rsidP="00D8463F">
            <w:pPr>
              <w:spacing w:after="0"/>
              <w:jc w:val="right"/>
              <w:rPr>
                <w:szCs w:val="24"/>
              </w:rPr>
            </w:pPr>
            <w:r w:rsidRPr="00BE1326">
              <w:rPr>
                <w:szCs w:val="24"/>
              </w:rPr>
              <w:t>12</w:t>
            </w:r>
          </w:p>
        </w:tc>
      </w:tr>
      <w:tr w:rsidR="004F124E" w:rsidRPr="006B38D0" w14:paraId="6C7ECF4B" w14:textId="77777777" w:rsidTr="00D8463F">
        <w:trPr>
          <w:trHeight w:val="255"/>
        </w:trPr>
        <w:tc>
          <w:tcPr>
            <w:tcW w:w="1667" w:type="pct"/>
            <w:tcBorders>
              <w:top w:val="nil"/>
              <w:left w:val="nil"/>
              <w:bottom w:val="single" w:sz="8" w:space="0" w:color="auto"/>
              <w:right w:val="nil"/>
            </w:tcBorders>
            <w:shd w:val="clear" w:color="auto" w:fill="auto"/>
            <w:noWrap/>
            <w:vAlign w:val="center"/>
            <w:hideMark/>
          </w:tcPr>
          <w:p w14:paraId="47C51668"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 Undersysselsatte</w:t>
            </w:r>
            <w:r w:rsidRPr="00BE1326">
              <w:rPr>
                <w:rFonts w:ascii="Times New Roman" w:eastAsia="Times New Roman" w:hAnsi="Times New Roman"/>
                <w:szCs w:val="24"/>
                <w:vertAlign w:val="superscript"/>
              </w:rPr>
              <w:t>1</w:t>
            </w:r>
            <w:r w:rsidRPr="00BE1326">
              <w:rPr>
                <w:rFonts w:ascii="Times New Roman" w:eastAsia="Times New Roman" w:hAnsi="Times New Roman"/>
                <w:szCs w:val="24"/>
              </w:rPr>
              <w:t> </w:t>
            </w:r>
          </w:p>
        </w:tc>
        <w:tc>
          <w:tcPr>
            <w:tcW w:w="556" w:type="pct"/>
            <w:tcBorders>
              <w:top w:val="nil"/>
              <w:left w:val="nil"/>
              <w:bottom w:val="single" w:sz="8" w:space="0" w:color="auto"/>
              <w:right w:val="nil"/>
            </w:tcBorders>
            <w:shd w:val="clear" w:color="auto" w:fill="auto"/>
            <w:noWrap/>
            <w:vAlign w:val="center"/>
            <w:hideMark/>
          </w:tcPr>
          <w:p w14:paraId="6EF95FD5" w14:textId="77777777" w:rsidR="004F124E" w:rsidRPr="00BE1326" w:rsidRDefault="004F124E" w:rsidP="00D8463F">
            <w:pPr>
              <w:spacing w:after="0"/>
              <w:jc w:val="right"/>
              <w:rPr>
                <w:szCs w:val="24"/>
              </w:rPr>
            </w:pPr>
            <w:r w:rsidRPr="00BE1326">
              <w:rPr>
                <w:szCs w:val="24"/>
              </w:rPr>
              <w:t>71</w:t>
            </w:r>
          </w:p>
        </w:tc>
        <w:tc>
          <w:tcPr>
            <w:tcW w:w="556" w:type="pct"/>
            <w:tcBorders>
              <w:top w:val="nil"/>
              <w:left w:val="nil"/>
              <w:bottom w:val="single" w:sz="8" w:space="0" w:color="auto"/>
              <w:right w:val="nil"/>
            </w:tcBorders>
            <w:shd w:val="clear" w:color="auto" w:fill="auto"/>
            <w:noWrap/>
            <w:vAlign w:val="center"/>
            <w:hideMark/>
          </w:tcPr>
          <w:p w14:paraId="6FDE563A" w14:textId="77777777" w:rsidR="004F124E" w:rsidRPr="00BE1326" w:rsidRDefault="004F124E" w:rsidP="00D8463F">
            <w:pPr>
              <w:spacing w:after="0"/>
              <w:jc w:val="right"/>
              <w:rPr>
                <w:szCs w:val="24"/>
              </w:rPr>
            </w:pPr>
            <w:r w:rsidRPr="00BE1326">
              <w:rPr>
                <w:szCs w:val="24"/>
              </w:rPr>
              <w:t>3</w:t>
            </w:r>
          </w:p>
        </w:tc>
        <w:tc>
          <w:tcPr>
            <w:tcW w:w="556" w:type="pct"/>
            <w:tcBorders>
              <w:top w:val="nil"/>
              <w:left w:val="nil"/>
              <w:bottom w:val="single" w:sz="8" w:space="0" w:color="auto"/>
              <w:right w:val="nil"/>
            </w:tcBorders>
            <w:shd w:val="clear" w:color="auto" w:fill="auto"/>
            <w:noWrap/>
            <w:vAlign w:val="center"/>
            <w:hideMark/>
          </w:tcPr>
          <w:p w14:paraId="3F9EE5FB" w14:textId="77777777" w:rsidR="004F124E" w:rsidRPr="00BE1326" w:rsidRDefault="004F124E" w:rsidP="00D8463F">
            <w:pPr>
              <w:spacing w:after="0"/>
              <w:jc w:val="right"/>
              <w:rPr>
                <w:szCs w:val="24"/>
              </w:rPr>
            </w:pPr>
            <w:r w:rsidRPr="00BE1326">
              <w:rPr>
                <w:szCs w:val="24"/>
              </w:rPr>
              <w:t>-3</w:t>
            </w:r>
          </w:p>
        </w:tc>
        <w:tc>
          <w:tcPr>
            <w:tcW w:w="556" w:type="pct"/>
            <w:tcBorders>
              <w:top w:val="nil"/>
              <w:left w:val="nil"/>
              <w:bottom w:val="single" w:sz="8" w:space="0" w:color="auto"/>
              <w:right w:val="nil"/>
            </w:tcBorders>
            <w:shd w:val="clear" w:color="auto" w:fill="auto"/>
            <w:noWrap/>
            <w:vAlign w:val="center"/>
            <w:hideMark/>
          </w:tcPr>
          <w:p w14:paraId="4DE9B236" w14:textId="77777777" w:rsidR="004F124E" w:rsidRPr="00BE1326" w:rsidRDefault="004F124E" w:rsidP="00D8463F">
            <w:pPr>
              <w:spacing w:after="0"/>
              <w:jc w:val="right"/>
              <w:rPr>
                <w:szCs w:val="24"/>
              </w:rPr>
            </w:pPr>
            <w:r w:rsidRPr="00BE1326">
              <w:rPr>
                <w:szCs w:val="24"/>
              </w:rPr>
              <w:t>-1</w:t>
            </w:r>
          </w:p>
        </w:tc>
        <w:tc>
          <w:tcPr>
            <w:tcW w:w="556" w:type="pct"/>
            <w:tcBorders>
              <w:top w:val="nil"/>
              <w:left w:val="nil"/>
              <w:bottom w:val="single" w:sz="8" w:space="0" w:color="auto"/>
              <w:right w:val="nil"/>
            </w:tcBorders>
            <w:shd w:val="clear" w:color="auto" w:fill="auto"/>
            <w:noWrap/>
            <w:vAlign w:val="center"/>
            <w:hideMark/>
          </w:tcPr>
          <w:p w14:paraId="1966AE44" w14:textId="77777777" w:rsidR="004F124E" w:rsidRPr="00BE1326" w:rsidRDefault="004F124E" w:rsidP="00D8463F">
            <w:pPr>
              <w:spacing w:after="0"/>
              <w:jc w:val="right"/>
              <w:rPr>
                <w:szCs w:val="24"/>
              </w:rPr>
            </w:pPr>
            <w:r w:rsidRPr="00BE1326">
              <w:rPr>
                <w:szCs w:val="24"/>
              </w:rPr>
              <w:t>-4</w:t>
            </w:r>
          </w:p>
        </w:tc>
        <w:tc>
          <w:tcPr>
            <w:tcW w:w="553" w:type="pct"/>
            <w:tcBorders>
              <w:top w:val="nil"/>
              <w:left w:val="nil"/>
              <w:bottom w:val="single" w:sz="8" w:space="0" w:color="auto"/>
              <w:right w:val="nil"/>
            </w:tcBorders>
            <w:shd w:val="clear" w:color="auto" w:fill="auto"/>
            <w:noWrap/>
            <w:vAlign w:val="center"/>
            <w:hideMark/>
          </w:tcPr>
          <w:p w14:paraId="133828B8" w14:textId="77777777" w:rsidR="004F124E" w:rsidRPr="00BE1326" w:rsidRDefault="004F124E" w:rsidP="00D8463F">
            <w:pPr>
              <w:spacing w:after="0"/>
              <w:jc w:val="right"/>
              <w:rPr>
                <w:szCs w:val="24"/>
              </w:rPr>
            </w:pPr>
            <w:r w:rsidRPr="00BE1326">
              <w:rPr>
                <w:szCs w:val="24"/>
              </w:rPr>
              <w:t>9</w:t>
            </w:r>
          </w:p>
        </w:tc>
      </w:tr>
      <w:tr w:rsidR="004F124E" w:rsidRPr="006B38D0" w14:paraId="082E2186" w14:textId="77777777" w:rsidTr="00D8463F">
        <w:trPr>
          <w:trHeight w:val="255"/>
        </w:trPr>
        <w:tc>
          <w:tcPr>
            <w:tcW w:w="1667" w:type="pct"/>
            <w:tcBorders>
              <w:top w:val="nil"/>
              <w:left w:val="nil"/>
              <w:bottom w:val="single" w:sz="8" w:space="0" w:color="auto"/>
              <w:right w:val="nil"/>
            </w:tcBorders>
            <w:shd w:val="clear" w:color="auto" w:fill="auto"/>
            <w:noWrap/>
            <w:vAlign w:val="center"/>
            <w:hideMark/>
          </w:tcPr>
          <w:p w14:paraId="57E34FC7" w14:textId="77777777" w:rsidR="004F124E" w:rsidRPr="00BE1326" w:rsidRDefault="004F124E" w:rsidP="00D8463F">
            <w:pPr>
              <w:spacing w:after="0"/>
              <w:rPr>
                <w:rFonts w:ascii="Times New Roman" w:eastAsia="Times New Roman" w:hAnsi="Times New Roman"/>
                <w:szCs w:val="24"/>
              </w:rPr>
            </w:pPr>
            <w:r w:rsidRPr="00BE1326">
              <w:rPr>
                <w:rFonts w:ascii="Times New Roman" w:eastAsia="Times New Roman" w:hAnsi="Times New Roman"/>
                <w:szCs w:val="24"/>
              </w:rPr>
              <w:t>Midlertidig ansatte, 1000 personer</w:t>
            </w:r>
          </w:p>
        </w:tc>
        <w:tc>
          <w:tcPr>
            <w:tcW w:w="556" w:type="pct"/>
            <w:tcBorders>
              <w:top w:val="nil"/>
              <w:left w:val="nil"/>
              <w:bottom w:val="single" w:sz="8" w:space="0" w:color="auto"/>
              <w:right w:val="nil"/>
            </w:tcBorders>
            <w:shd w:val="clear" w:color="auto" w:fill="auto"/>
            <w:noWrap/>
            <w:vAlign w:val="center"/>
            <w:hideMark/>
          </w:tcPr>
          <w:p w14:paraId="467875E9" w14:textId="77777777" w:rsidR="004F124E" w:rsidRPr="00BE1326" w:rsidRDefault="004F124E" w:rsidP="00D8463F">
            <w:pPr>
              <w:spacing w:after="0"/>
              <w:jc w:val="right"/>
              <w:rPr>
                <w:szCs w:val="24"/>
              </w:rPr>
            </w:pPr>
            <w:r w:rsidRPr="00BE1326">
              <w:rPr>
                <w:szCs w:val="24"/>
              </w:rPr>
              <w:t>196</w:t>
            </w:r>
          </w:p>
        </w:tc>
        <w:tc>
          <w:tcPr>
            <w:tcW w:w="556" w:type="pct"/>
            <w:tcBorders>
              <w:top w:val="nil"/>
              <w:left w:val="nil"/>
              <w:bottom w:val="single" w:sz="8" w:space="0" w:color="auto"/>
              <w:right w:val="nil"/>
            </w:tcBorders>
            <w:shd w:val="clear" w:color="auto" w:fill="auto"/>
            <w:noWrap/>
            <w:vAlign w:val="center"/>
            <w:hideMark/>
          </w:tcPr>
          <w:p w14:paraId="165045B6" w14:textId="77777777" w:rsidR="004F124E" w:rsidRPr="00BE1326" w:rsidRDefault="004F124E" w:rsidP="00D8463F">
            <w:pPr>
              <w:spacing w:after="0"/>
              <w:jc w:val="right"/>
              <w:rPr>
                <w:szCs w:val="24"/>
              </w:rPr>
            </w:pPr>
            <w:r w:rsidRPr="00BE1326">
              <w:rPr>
                <w:szCs w:val="24"/>
              </w:rPr>
              <w:t>-5</w:t>
            </w:r>
          </w:p>
        </w:tc>
        <w:tc>
          <w:tcPr>
            <w:tcW w:w="556" w:type="pct"/>
            <w:tcBorders>
              <w:top w:val="nil"/>
              <w:left w:val="nil"/>
              <w:bottom w:val="single" w:sz="8" w:space="0" w:color="auto"/>
              <w:right w:val="nil"/>
            </w:tcBorders>
            <w:shd w:val="clear" w:color="auto" w:fill="auto"/>
            <w:noWrap/>
            <w:vAlign w:val="center"/>
            <w:hideMark/>
          </w:tcPr>
          <w:p w14:paraId="208F1755" w14:textId="77777777" w:rsidR="004F124E" w:rsidRPr="00BE1326" w:rsidRDefault="004F124E" w:rsidP="00D8463F">
            <w:pPr>
              <w:spacing w:after="0"/>
              <w:jc w:val="right"/>
              <w:rPr>
                <w:szCs w:val="24"/>
              </w:rPr>
            </w:pPr>
            <w:r w:rsidRPr="00BE1326">
              <w:rPr>
                <w:szCs w:val="24"/>
              </w:rPr>
              <w:t>15</w:t>
            </w:r>
          </w:p>
        </w:tc>
        <w:tc>
          <w:tcPr>
            <w:tcW w:w="556" w:type="pct"/>
            <w:tcBorders>
              <w:top w:val="nil"/>
              <w:left w:val="nil"/>
              <w:bottom w:val="single" w:sz="8" w:space="0" w:color="auto"/>
              <w:right w:val="nil"/>
            </w:tcBorders>
            <w:shd w:val="clear" w:color="auto" w:fill="auto"/>
            <w:noWrap/>
            <w:vAlign w:val="center"/>
            <w:hideMark/>
          </w:tcPr>
          <w:p w14:paraId="2C7EE4E8" w14:textId="77777777" w:rsidR="004F124E" w:rsidRPr="00BE1326" w:rsidRDefault="004F124E" w:rsidP="00D8463F">
            <w:pPr>
              <w:spacing w:after="0"/>
              <w:jc w:val="right"/>
              <w:rPr>
                <w:szCs w:val="24"/>
              </w:rPr>
            </w:pPr>
            <w:r w:rsidRPr="00BE1326">
              <w:rPr>
                <w:szCs w:val="24"/>
              </w:rPr>
              <w:t>-1</w:t>
            </w:r>
          </w:p>
        </w:tc>
        <w:tc>
          <w:tcPr>
            <w:tcW w:w="556" w:type="pct"/>
            <w:tcBorders>
              <w:top w:val="nil"/>
              <w:left w:val="nil"/>
              <w:bottom w:val="single" w:sz="8" w:space="0" w:color="auto"/>
              <w:right w:val="nil"/>
            </w:tcBorders>
            <w:shd w:val="clear" w:color="auto" w:fill="auto"/>
            <w:noWrap/>
            <w:vAlign w:val="center"/>
            <w:hideMark/>
          </w:tcPr>
          <w:p w14:paraId="1B2067A2" w14:textId="77777777" w:rsidR="004F124E" w:rsidRPr="00BE1326" w:rsidRDefault="004F124E" w:rsidP="00D8463F">
            <w:pPr>
              <w:spacing w:after="0"/>
              <w:jc w:val="right"/>
              <w:rPr>
                <w:szCs w:val="24"/>
              </w:rPr>
            </w:pPr>
            <w:r w:rsidRPr="00BE1326">
              <w:rPr>
                <w:szCs w:val="24"/>
              </w:rPr>
              <w:t>-10</w:t>
            </w:r>
          </w:p>
        </w:tc>
        <w:tc>
          <w:tcPr>
            <w:tcW w:w="553" w:type="pct"/>
            <w:tcBorders>
              <w:top w:val="nil"/>
              <w:left w:val="nil"/>
              <w:bottom w:val="single" w:sz="8" w:space="0" w:color="auto"/>
              <w:right w:val="nil"/>
            </w:tcBorders>
            <w:shd w:val="clear" w:color="auto" w:fill="auto"/>
            <w:noWrap/>
            <w:vAlign w:val="center"/>
            <w:hideMark/>
          </w:tcPr>
          <w:p w14:paraId="4534730A" w14:textId="77777777" w:rsidR="004F124E" w:rsidRPr="00BE1326" w:rsidRDefault="004F124E" w:rsidP="00D8463F">
            <w:pPr>
              <w:spacing w:after="0"/>
              <w:jc w:val="right"/>
              <w:rPr>
                <w:szCs w:val="24"/>
              </w:rPr>
            </w:pPr>
            <w:r w:rsidRPr="00BE1326">
              <w:rPr>
                <w:szCs w:val="24"/>
              </w:rPr>
              <w:t>5</w:t>
            </w:r>
          </w:p>
        </w:tc>
      </w:tr>
    </w:tbl>
    <w:p w14:paraId="6CC8D1D1" w14:textId="307F6266" w:rsidR="004F124E" w:rsidRPr="00D53D73" w:rsidRDefault="004F124E" w:rsidP="008643D6">
      <w:pPr>
        <w:pStyle w:val="tabell-noter"/>
        <w:numPr>
          <w:ilvl w:val="0"/>
          <w:numId w:val="85"/>
        </w:numPr>
        <w:tabs>
          <w:tab w:val="clear" w:pos="284"/>
        </w:tabs>
        <w:spacing w:before="0" w:after="0"/>
        <w:ind w:left="142" w:hanging="142"/>
      </w:pPr>
      <w:r w:rsidRPr="00D53D73">
        <w:t>Undersysselsatte er definert som deltidssysselsatte personer som har forsøkt å få lengre arbeidstid ved å kontakte NAV, annonsere selv, spørre nåværende arbeidsgiver e.l. De må kunne starte med økt arbeidstid innen en måned.</w:t>
      </w:r>
    </w:p>
    <w:p w14:paraId="6F262B58" w14:textId="77777777" w:rsidR="004F124E" w:rsidRDefault="004F124E" w:rsidP="004104FE">
      <w:pPr>
        <w:spacing w:before="120"/>
        <w:rPr>
          <w:sz w:val="20"/>
        </w:rPr>
      </w:pPr>
      <w:r w:rsidRPr="00C4715D">
        <w:rPr>
          <w:sz w:val="20"/>
        </w:rPr>
        <w:t>Kilde: Statistisk sentralbyrå</w:t>
      </w:r>
    </w:p>
    <w:p w14:paraId="7AACC991" w14:textId="77777777" w:rsidR="00ED226A" w:rsidRDefault="00ED226A" w:rsidP="00325077">
      <w:r w:rsidRPr="006B38D0">
        <w:t xml:space="preserve">I gjennomsnitt var det </w:t>
      </w:r>
      <w:r>
        <w:t>71</w:t>
      </w:r>
      <w:r w:rsidRPr="006B38D0">
        <w:t> 000 undersysselsatte personer i 201</w:t>
      </w:r>
      <w:r>
        <w:t>5</w:t>
      </w:r>
      <w:r w:rsidRPr="006B38D0">
        <w:t xml:space="preserve">. Det er </w:t>
      </w:r>
      <w:r>
        <w:t>en økning</w:t>
      </w:r>
      <w:r w:rsidRPr="006B38D0">
        <w:t xml:space="preserve"> på </w:t>
      </w:r>
      <w:r>
        <w:t>9</w:t>
      </w:r>
      <w:r w:rsidRPr="006B38D0">
        <w:t xml:space="preserve"> 000 personer sammenlignet med årsgjennomsnittet for 201</w:t>
      </w:r>
      <w:r>
        <w:t>4</w:t>
      </w:r>
      <w:r w:rsidRPr="006B38D0">
        <w:t xml:space="preserve">. </w:t>
      </w:r>
      <w:r>
        <w:t xml:space="preserve">Denne endringen er så stor at den er utenfor feilmarginen. Om lag halvparten av økningen var fra personer med videregående- eller grunnskoleutdanning, mens den andre halvparten hadde universitet- eller høyskoleutdanning. Siden andelen med videregående- eller grunnutdanning utgjør om lag 60 prosent av samlet sysselsetting, ble relativt sett flere med universitet- eller høyskoleutdanning undersysselsatte i fjor. I denne perioden var det 2 000 flere undersysselsatte kvinner og menn med universitet- eller høyskoleutdannelse, mens det var 4 000 flere undersysselsatte menn med kortere utdannelse. Endringene fordelt på ulike undergrupper øker imidlertid usikkerheten, slik at endringene nivåforskjellene i 2015 og 2015 ikke er signifikant forskjellige. Undersysselsatte kvinner med kortere utdannelse var uendret i denne perioden. </w:t>
      </w:r>
      <w:r w:rsidRPr="006B38D0">
        <w:t xml:space="preserve">Summen av alle </w:t>
      </w:r>
      <w:r>
        <w:t xml:space="preserve">urealiserte </w:t>
      </w:r>
      <w:r w:rsidRPr="006B38D0">
        <w:t>arbeidstime</w:t>
      </w:r>
      <w:r>
        <w:t>r</w:t>
      </w:r>
      <w:r w:rsidRPr="006B38D0">
        <w:t xml:space="preserve"> arbeidsledige og undersysselsatte ønsket å arbeide i 201</w:t>
      </w:r>
      <w:r>
        <w:t>5</w:t>
      </w:r>
      <w:r w:rsidRPr="006B38D0">
        <w:t xml:space="preserve"> svarer til </w:t>
      </w:r>
      <w:r>
        <w:t>131</w:t>
      </w:r>
      <w:r w:rsidRPr="006B38D0">
        <w:t xml:space="preserve"> 000 heltidsjobber, noe som er </w:t>
      </w:r>
      <w:r>
        <w:t>vel 22 prosent</w:t>
      </w:r>
      <w:r w:rsidRPr="006B38D0">
        <w:t xml:space="preserve"> høyere enn i 201</w:t>
      </w:r>
      <w:r>
        <w:t>4</w:t>
      </w:r>
      <w:r w:rsidRPr="006B38D0">
        <w:t>.</w:t>
      </w:r>
    </w:p>
    <w:p w14:paraId="5606C692" w14:textId="51BDC4AC" w:rsidR="00325077" w:rsidRDefault="00325077" w:rsidP="00325077">
      <w:r w:rsidRPr="006B38D0">
        <w:t xml:space="preserve">NAVs statistikk for </w:t>
      </w:r>
      <w:r w:rsidRPr="006B38D0">
        <w:rPr>
          <w:i/>
        </w:rPr>
        <w:t xml:space="preserve">registrerte </w:t>
      </w:r>
      <w:r>
        <w:rPr>
          <w:i/>
        </w:rPr>
        <w:t xml:space="preserve">helt </w:t>
      </w:r>
      <w:r w:rsidRPr="006B38D0">
        <w:rPr>
          <w:i/>
        </w:rPr>
        <w:t xml:space="preserve">ledige og summen av registrerte </w:t>
      </w:r>
      <w:r>
        <w:rPr>
          <w:i/>
        </w:rPr>
        <w:t xml:space="preserve">helt </w:t>
      </w:r>
      <w:r w:rsidRPr="006B38D0">
        <w:rPr>
          <w:i/>
        </w:rPr>
        <w:t>ledige og personer på tiltak</w:t>
      </w:r>
      <w:r w:rsidRPr="006B38D0">
        <w:t xml:space="preserve"> viser </w:t>
      </w:r>
      <w:r>
        <w:t>en økning i arbeidsledigheten gjennom 2015. Gjennomsnittlig antall helt ledige økte med 5 300 personer fra 2014 til 2015, se tabell 3.</w:t>
      </w:r>
      <w:r w:rsidR="00B027EB">
        <w:t>4</w:t>
      </w:r>
      <w:r>
        <w:t xml:space="preserve">. Økningen i registrerte arbeidsledige i prosentpoeng er imidlertid mindre enn økningen </w:t>
      </w:r>
      <w:r w:rsidR="009762A9">
        <w:t xml:space="preserve">i arbeidsledige </w:t>
      </w:r>
      <w:r>
        <w:t xml:space="preserve">i AKU. </w:t>
      </w:r>
      <w:r w:rsidRPr="006B38D0">
        <w:t xml:space="preserve">Ved utgangen av </w:t>
      </w:r>
      <w:r>
        <w:t>januar</w:t>
      </w:r>
      <w:r w:rsidRPr="006B38D0">
        <w:t xml:space="preserve"> 201</w:t>
      </w:r>
      <w:r>
        <w:t>6</w:t>
      </w:r>
      <w:r w:rsidRPr="006B38D0">
        <w:t xml:space="preserve"> var </w:t>
      </w:r>
      <w:r>
        <w:t>vel 109 000</w:t>
      </w:r>
      <w:r w:rsidRPr="006B38D0">
        <w:t xml:space="preserve"> personer enten på tiltak eller registrerte </w:t>
      </w:r>
      <w:r>
        <w:t xml:space="preserve">helt </w:t>
      </w:r>
      <w:r w:rsidRPr="006B38D0">
        <w:t xml:space="preserve">ledige. </w:t>
      </w:r>
      <w:r>
        <w:t>I tillegg var det 32 500 delvis ledige.</w:t>
      </w:r>
    </w:p>
    <w:p w14:paraId="614A2507" w14:textId="6E8CC008" w:rsidR="00B027EB" w:rsidRPr="004E3358" w:rsidRDefault="00B027EB" w:rsidP="004104FE">
      <w:pPr>
        <w:pStyle w:val="tabell-tittel"/>
        <w:spacing w:after="60"/>
      </w:pPr>
      <w:r w:rsidRPr="006B38D0">
        <w:t xml:space="preserve">Arbeidsmarkedstall fra Arbeids- og velferdsetaten, gjennomsnittlige månedstall i 1000 </w:t>
      </w:r>
      <w:r>
        <w:t>enheter</w:t>
      </w:r>
      <w:r w:rsidRPr="006B38D0">
        <w:t xml:space="preserve"> </w:t>
      </w:r>
    </w:p>
    <w:tbl>
      <w:tblPr>
        <w:tblW w:w="5113" w:type="pct"/>
        <w:tblLayout w:type="fixed"/>
        <w:tblCellMar>
          <w:left w:w="28" w:type="dxa"/>
          <w:right w:w="28" w:type="dxa"/>
        </w:tblCellMar>
        <w:tblLook w:val="04A0" w:firstRow="1" w:lastRow="0" w:firstColumn="1" w:lastColumn="0" w:noHBand="0" w:noVBand="1"/>
      </w:tblPr>
      <w:tblGrid>
        <w:gridCol w:w="195"/>
        <w:gridCol w:w="2941"/>
        <w:gridCol w:w="693"/>
        <w:gridCol w:w="709"/>
        <w:gridCol w:w="742"/>
        <w:gridCol w:w="742"/>
        <w:gridCol w:w="742"/>
        <w:gridCol w:w="742"/>
        <w:gridCol w:w="742"/>
        <w:gridCol w:w="1174"/>
      </w:tblGrid>
      <w:tr w:rsidR="00B027EB" w:rsidRPr="006B38D0" w14:paraId="4F015A49" w14:textId="77777777" w:rsidTr="007E262C">
        <w:trPr>
          <w:trHeight w:val="315"/>
        </w:trPr>
        <w:tc>
          <w:tcPr>
            <w:tcW w:w="1663" w:type="pct"/>
            <w:gridSpan w:val="2"/>
            <w:vMerge w:val="restart"/>
            <w:tcBorders>
              <w:top w:val="single" w:sz="8" w:space="0" w:color="auto"/>
              <w:left w:val="nil"/>
              <w:bottom w:val="single" w:sz="8" w:space="0" w:color="000000"/>
              <w:right w:val="nil"/>
            </w:tcBorders>
            <w:shd w:val="clear" w:color="auto" w:fill="auto"/>
            <w:noWrap/>
            <w:vAlign w:val="bottom"/>
            <w:hideMark/>
          </w:tcPr>
          <w:p w14:paraId="747B78A6" w14:textId="77777777" w:rsidR="00B027EB" w:rsidRPr="006B38D0" w:rsidRDefault="00B027EB" w:rsidP="00D8463F">
            <w:pPr>
              <w:spacing w:after="0"/>
              <w:rPr>
                <w:rFonts w:eastAsia="Times New Roman"/>
              </w:rPr>
            </w:pPr>
            <w:r w:rsidRPr="006B38D0">
              <w:rPr>
                <w:rFonts w:eastAsia="Times New Roman"/>
              </w:rPr>
              <w:t> </w:t>
            </w:r>
          </w:p>
        </w:tc>
        <w:tc>
          <w:tcPr>
            <w:tcW w:w="368" w:type="pct"/>
            <w:tcBorders>
              <w:top w:val="single" w:sz="8" w:space="0" w:color="auto"/>
              <w:left w:val="nil"/>
              <w:right w:val="nil"/>
            </w:tcBorders>
            <w:shd w:val="clear" w:color="auto" w:fill="auto"/>
            <w:noWrap/>
            <w:vAlign w:val="bottom"/>
            <w:hideMark/>
          </w:tcPr>
          <w:p w14:paraId="3FD062DA" w14:textId="77777777" w:rsidR="00B027EB" w:rsidRPr="006B38D0" w:rsidRDefault="00B027EB" w:rsidP="00D8463F">
            <w:pPr>
              <w:spacing w:after="0"/>
              <w:jc w:val="right"/>
              <w:rPr>
                <w:rFonts w:eastAsia="Times New Roman"/>
              </w:rPr>
            </w:pPr>
            <w:r w:rsidRPr="006B38D0">
              <w:rPr>
                <w:rFonts w:eastAsia="Times New Roman"/>
              </w:rPr>
              <w:t>Nivå</w:t>
            </w:r>
          </w:p>
        </w:tc>
        <w:tc>
          <w:tcPr>
            <w:tcW w:w="2969" w:type="pct"/>
            <w:gridSpan w:val="7"/>
            <w:tcBorders>
              <w:top w:val="single" w:sz="8" w:space="0" w:color="auto"/>
              <w:left w:val="nil"/>
              <w:bottom w:val="single" w:sz="8" w:space="0" w:color="auto"/>
              <w:right w:val="nil"/>
            </w:tcBorders>
            <w:shd w:val="clear" w:color="auto" w:fill="auto"/>
            <w:noWrap/>
            <w:vAlign w:val="bottom"/>
            <w:hideMark/>
          </w:tcPr>
          <w:p w14:paraId="386D2A6D" w14:textId="77777777" w:rsidR="00B027EB" w:rsidRPr="006B38D0" w:rsidRDefault="00B027EB" w:rsidP="00D8463F">
            <w:pPr>
              <w:spacing w:after="0"/>
              <w:jc w:val="center"/>
              <w:rPr>
                <w:rFonts w:eastAsia="Times New Roman"/>
              </w:rPr>
            </w:pPr>
            <w:r w:rsidRPr="006B38D0">
              <w:rPr>
                <w:rFonts w:eastAsia="Times New Roman"/>
              </w:rPr>
              <w:t>Endring fra året før</w:t>
            </w:r>
          </w:p>
        </w:tc>
      </w:tr>
      <w:tr w:rsidR="00B027EB" w:rsidRPr="006B38D0" w14:paraId="61D9214C" w14:textId="77777777" w:rsidTr="007E262C">
        <w:trPr>
          <w:trHeight w:val="531"/>
        </w:trPr>
        <w:tc>
          <w:tcPr>
            <w:tcW w:w="1663" w:type="pct"/>
            <w:gridSpan w:val="2"/>
            <w:vMerge/>
            <w:tcBorders>
              <w:top w:val="single" w:sz="8" w:space="0" w:color="auto"/>
              <w:left w:val="nil"/>
              <w:bottom w:val="single" w:sz="8" w:space="0" w:color="000000"/>
              <w:right w:val="nil"/>
            </w:tcBorders>
            <w:vAlign w:val="center"/>
            <w:hideMark/>
          </w:tcPr>
          <w:p w14:paraId="01F16F53" w14:textId="77777777" w:rsidR="00B027EB" w:rsidRPr="006B38D0" w:rsidRDefault="00B027EB" w:rsidP="00D8463F">
            <w:pPr>
              <w:spacing w:after="0"/>
              <w:rPr>
                <w:rFonts w:eastAsia="Times New Roman"/>
              </w:rPr>
            </w:pPr>
          </w:p>
        </w:tc>
        <w:tc>
          <w:tcPr>
            <w:tcW w:w="368" w:type="pct"/>
            <w:tcBorders>
              <w:left w:val="nil"/>
              <w:bottom w:val="single" w:sz="8" w:space="0" w:color="auto"/>
              <w:right w:val="nil"/>
            </w:tcBorders>
            <w:shd w:val="clear" w:color="auto" w:fill="auto"/>
            <w:noWrap/>
            <w:vAlign w:val="bottom"/>
            <w:hideMark/>
          </w:tcPr>
          <w:p w14:paraId="26487D99" w14:textId="77777777" w:rsidR="00B027EB" w:rsidRPr="006B38D0" w:rsidRDefault="00B027EB" w:rsidP="00D8463F">
            <w:pPr>
              <w:spacing w:after="0"/>
              <w:jc w:val="right"/>
              <w:rPr>
                <w:rFonts w:eastAsia="Times New Roman"/>
              </w:rPr>
            </w:pPr>
            <w:r w:rsidRPr="006B38D0">
              <w:rPr>
                <w:rFonts w:eastAsia="Times New Roman"/>
              </w:rPr>
              <w:t>201</w:t>
            </w:r>
            <w:r>
              <w:rPr>
                <w:rFonts w:eastAsia="Times New Roman"/>
              </w:rPr>
              <w:t>5</w:t>
            </w:r>
          </w:p>
        </w:tc>
        <w:tc>
          <w:tcPr>
            <w:tcW w:w="376" w:type="pct"/>
            <w:tcBorders>
              <w:top w:val="nil"/>
              <w:left w:val="nil"/>
              <w:bottom w:val="single" w:sz="8" w:space="0" w:color="auto"/>
              <w:right w:val="nil"/>
            </w:tcBorders>
            <w:shd w:val="clear" w:color="auto" w:fill="auto"/>
            <w:noWrap/>
            <w:vAlign w:val="bottom"/>
            <w:hideMark/>
          </w:tcPr>
          <w:p w14:paraId="46072423" w14:textId="77777777" w:rsidR="00B027EB" w:rsidRPr="006B38D0" w:rsidRDefault="00B027EB" w:rsidP="00D8463F">
            <w:pPr>
              <w:spacing w:after="0"/>
              <w:jc w:val="right"/>
              <w:rPr>
                <w:rFonts w:eastAsia="Times New Roman"/>
              </w:rPr>
            </w:pPr>
            <w:r w:rsidRPr="006B38D0">
              <w:rPr>
                <w:rFonts w:eastAsia="Times New Roman"/>
              </w:rPr>
              <w:t>2010</w:t>
            </w:r>
          </w:p>
        </w:tc>
        <w:tc>
          <w:tcPr>
            <w:tcW w:w="394" w:type="pct"/>
            <w:tcBorders>
              <w:top w:val="nil"/>
              <w:left w:val="nil"/>
              <w:bottom w:val="single" w:sz="8" w:space="0" w:color="auto"/>
              <w:right w:val="nil"/>
            </w:tcBorders>
            <w:shd w:val="clear" w:color="auto" w:fill="auto"/>
            <w:noWrap/>
            <w:vAlign w:val="bottom"/>
            <w:hideMark/>
          </w:tcPr>
          <w:p w14:paraId="1B021D1F" w14:textId="77777777" w:rsidR="00B027EB" w:rsidRPr="006B38D0" w:rsidRDefault="00B027EB" w:rsidP="00D8463F">
            <w:pPr>
              <w:spacing w:after="0"/>
              <w:jc w:val="right"/>
              <w:rPr>
                <w:rFonts w:eastAsia="Times New Roman"/>
              </w:rPr>
            </w:pPr>
            <w:r w:rsidRPr="006B38D0">
              <w:rPr>
                <w:rFonts w:eastAsia="Times New Roman"/>
              </w:rPr>
              <w:t>2011</w:t>
            </w:r>
          </w:p>
        </w:tc>
        <w:tc>
          <w:tcPr>
            <w:tcW w:w="394" w:type="pct"/>
            <w:tcBorders>
              <w:top w:val="nil"/>
              <w:left w:val="nil"/>
              <w:bottom w:val="single" w:sz="8" w:space="0" w:color="auto"/>
              <w:right w:val="nil"/>
            </w:tcBorders>
            <w:shd w:val="clear" w:color="auto" w:fill="auto"/>
            <w:noWrap/>
            <w:vAlign w:val="bottom"/>
            <w:hideMark/>
          </w:tcPr>
          <w:p w14:paraId="3B23EFE6" w14:textId="77777777" w:rsidR="00B027EB" w:rsidRPr="006B38D0" w:rsidRDefault="00B027EB" w:rsidP="00D8463F">
            <w:pPr>
              <w:spacing w:after="0"/>
              <w:jc w:val="right"/>
              <w:rPr>
                <w:rFonts w:eastAsia="Times New Roman"/>
              </w:rPr>
            </w:pPr>
            <w:r w:rsidRPr="006B38D0">
              <w:rPr>
                <w:rFonts w:eastAsia="Times New Roman"/>
              </w:rPr>
              <w:t>2012</w:t>
            </w:r>
          </w:p>
        </w:tc>
        <w:tc>
          <w:tcPr>
            <w:tcW w:w="394" w:type="pct"/>
            <w:tcBorders>
              <w:top w:val="nil"/>
              <w:left w:val="nil"/>
              <w:bottom w:val="single" w:sz="8" w:space="0" w:color="auto"/>
              <w:right w:val="nil"/>
            </w:tcBorders>
            <w:shd w:val="clear" w:color="auto" w:fill="auto"/>
            <w:vAlign w:val="bottom"/>
            <w:hideMark/>
          </w:tcPr>
          <w:p w14:paraId="6CB728E3" w14:textId="77777777" w:rsidR="00B027EB" w:rsidRPr="006B38D0" w:rsidRDefault="00B027EB" w:rsidP="00D8463F">
            <w:pPr>
              <w:spacing w:after="0"/>
              <w:jc w:val="right"/>
              <w:rPr>
                <w:rFonts w:eastAsia="Times New Roman"/>
              </w:rPr>
            </w:pPr>
            <w:r w:rsidRPr="006B38D0">
              <w:rPr>
                <w:rFonts w:eastAsia="Times New Roman"/>
              </w:rPr>
              <w:t>2013</w:t>
            </w:r>
          </w:p>
        </w:tc>
        <w:tc>
          <w:tcPr>
            <w:tcW w:w="394" w:type="pct"/>
            <w:tcBorders>
              <w:top w:val="nil"/>
              <w:left w:val="nil"/>
              <w:bottom w:val="single" w:sz="8" w:space="0" w:color="auto"/>
              <w:right w:val="nil"/>
            </w:tcBorders>
            <w:shd w:val="clear" w:color="auto" w:fill="auto"/>
            <w:vAlign w:val="bottom"/>
            <w:hideMark/>
          </w:tcPr>
          <w:p w14:paraId="49A8809A" w14:textId="77777777" w:rsidR="00B027EB" w:rsidRPr="006B38D0" w:rsidRDefault="00B027EB" w:rsidP="00D8463F">
            <w:pPr>
              <w:spacing w:after="0"/>
              <w:jc w:val="right"/>
              <w:rPr>
                <w:rFonts w:eastAsia="Times New Roman"/>
              </w:rPr>
            </w:pPr>
            <w:r w:rsidRPr="006B38D0">
              <w:rPr>
                <w:rFonts w:eastAsia="Times New Roman"/>
              </w:rPr>
              <w:t>2014</w:t>
            </w:r>
          </w:p>
        </w:tc>
        <w:tc>
          <w:tcPr>
            <w:tcW w:w="394" w:type="pct"/>
            <w:tcBorders>
              <w:top w:val="nil"/>
              <w:left w:val="nil"/>
              <w:bottom w:val="single" w:sz="8" w:space="0" w:color="auto"/>
              <w:right w:val="nil"/>
            </w:tcBorders>
            <w:shd w:val="clear" w:color="auto" w:fill="auto"/>
            <w:vAlign w:val="bottom"/>
            <w:hideMark/>
          </w:tcPr>
          <w:p w14:paraId="605A82C3" w14:textId="77777777" w:rsidR="00B027EB" w:rsidRPr="006B38D0" w:rsidRDefault="00B027EB" w:rsidP="00D8463F">
            <w:pPr>
              <w:spacing w:after="0"/>
              <w:jc w:val="right"/>
              <w:rPr>
                <w:rFonts w:eastAsia="Times New Roman"/>
              </w:rPr>
            </w:pPr>
            <w:r w:rsidRPr="006B38D0">
              <w:rPr>
                <w:rFonts w:eastAsia="Times New Roman"/>
              </w:rPr>
              <w:t>201</w:t>
            </w:r>
            <w:r>
              <w:rPr>
                <w:rFonts w:eastAsia="Times New Roman"/>
              </w:rPr>
              <w:t>5</w:t>
            </w:r>
          </w:p>
        </w:tc>
        <w:tc>
          <w:tcPr>
            <w:tcW w:w="621" w:type="pct"/>
            <w:tcBorders>
              <w:top w:val="nil"/>
              <w:left w:val="nil"/>
              <w:bottom w:val="single" w:sz="8" w:space="0" w:color="auto"/>
              <w:right w:val="nil"/>
            </w:tcBorders>
            <w:shd w:val="clear" w:color="auto" w:fill="auto"/>
            <w:vAlign w:val="bottom"/>
            <w:hideMark/>
          </w:tcPr>
          <w:p w14:paraId="32DCF614" w14:textId="42B92F8B" w:rsidR="00B027EB" w:rsidRPr="006B38D0" w:rsidRDefault="007E262C" w:rsidP="00D8463F">
            <w:pPr>
              <w:spacing w:after="0"/>
              <w:jc w:val="right"/>
              <w:rPr>
                <w:rFonts w:eastAsia="Times New Roman"/>
              </w:rPr>
            </w:pPr>
            <w:r>
              <w:rPr>
                <w:rFonts w:eastAsia="Times New Roman"/>
              </w:rPr>
              <w:t xml:space="preserve">Jan. </w:t>
            </w:r>
            <w:r w:rsidR="00B027EB">
              <w:rPr>
                <w:rFonts w:eastAsia="Times New Roman"/>
              </w:rPr>
              <w:t>20</w:t>
            </w:r>
            <w:r w:rsidR="00B027EB" w:rsidRPr="006B38D0">
              <w:rPr>
                <w:rFonts w:eastAsia="Times New Roman"/>
              </w:rPr>
              <w:t>1</w:t>
            </w:r>
            <w:r w:rsidR="00B027EB">
              <w:rPr>
                <w:rFonts w:eastAsia="Times New Roman"/>
              </w:rPr>
              <w:t>6</w:t>
            </w:r>
            <w:r w:rsidR="00B027EB" w:rsidRPr="006B38D0">
              <w:rPr>
                <w:rFonts w:eastAsia="Times New Roman"/>
                <w:vertAlign w:val="superscript"/>
              </w:rPr>
              <w:t>1</w:t>
            </w:r>
          </w:p>
        </w:tc>
      </w:tr>
      <w:tr w:rsidR="00B027EB" w:rsidRPr="006B38D0" w14:paraId="1895435E" w14:textId="77777777" w:rsidTr="007E262C">
        <w:trPr>
          <w:trHeight w:val="270"/>
        </w:trPr>
        <w:tc>
          <w:tcPr>
            <w:tcW w:w="1663" w:type="pct"/>
            <w:gridSpan w:val="2"/>
            <w:tcBorders>
              <w:top w:val="single" w:sz="8" w:space="0" w:color="000000"/>
              <w:left w:val="nil"/>
              <w:right w:val="nil"/>
            </w:tcBorders>
            <w:shd w:val="clear" w:color="auto" w:fill="auto"/>
            <w:noWrap/>
            <w:vAlign w:val="bottom"/>
            <w:hideMark/>
          </w:tcPr>
          <w:p w14:paraId="61DF5E1D" w14:textId="77777777" w:rsidR="00B027EB" w:rsidRPr="006B38D0" w:rsidRDefault="00B027EB" w:rsidP="00D8463F">
            <w:pPr>
              <w:spacing w:after="0"/>
              <w:rPr>
                <w:rFonts w:eastAsia="Times New Roman"/>
              </w:rPr>
            </w:pPr>
            <w:r w:rsidRPr="006B38D0">
              <w:rPr>
                <w:rFonts w:eastAsia="Times New Roman"/>
              </w:rPr>
              <w:t>Gjennomsnittlig registrert helt ledige</w:t>
            </w:r>
          </w:p>
        </w:tc>
        <w:tc>
          <w:tcPr>
            <w:tcW w:w="368" w:type="pct"/>
            <w:tcBorders>
              <w:top w:val="nil"/>
              <w:left w:val="nil"/>
              <w:right w:val="nil"/>
            </w:tcBorders>
            <w:shd w:val="clear" w:color="auto" w:fill="auto"/>
            <w:noWrap/>
            <w:vAlign w:val="bottom"/>
            <w:hideMark/>
          </w:tcPr>
          <w:p w14:paraId="512A61E4" w14:textId="77777777" w:rsidR="00B027EB" w:rsidRPr="006B38D0" w:rsidRDefault="00B027EB" w:rsidP="00D8463F">
            <w:pPr>
              <w:spacing w:after="0"/>
              <w:jc w:val="right"/>
              <w:rPr>
                <w:rFonts w:eastAsia="Times New Roman"/>
              </w:rPr>
            </w:pPr>
            <w:r>
              <w:rPr>
                <w:rFonts w:eastAsia="Times New Roman"/>
              </w:rPr>
              <w:t>80,6</w:t>
            </w:r>
          </w:p>
        </w:tc>
        <w:tc>
          <w:tcPr>
            <w:tcW w:w="376" w:type="pct"/>
            <w:tcBorders>
              <w:top w:val="nil"/>
              <w:left w:val="nil"/>
              <w:right w:val="nil"/>
            </w:tcBorders>
            <w:shd w:val="clear" w:color="auto" w:fill="auto"/>
            <w:noWrap/>
            <w:vAlign w:val="bottom"/>
            <w:hideMark/>
          </w:tcPr>
          <w:p w14:paraId="61FA3C1F" w14:textId="77777777" w:rsidR="00B027EB" w:rsidRPr="006B38D0" w:rsidRDefault="00B027EB" w:rsidP="00D8463F">
            <w:pPr>
              <w:spacing w:after="0"/>
              <w:jc w:val="right"/>
              <w:rPr>
                <w:rFonts w:eastAsia="Times New Roman"/>
              </w:rPr>
            </w:pPr>
            <w:r w:rsidRPr="006B38D0">
              <w:rPr>
                <w:rFonts w:eastAsia="Times New Roman"/>
              </w:rPr>
              <w:t>5,4</w:t>
            </w:r>
          </w:p>
        </w:tc>
        <w:tc>
          <w:tcPr>
            <w:tcW w:w="394" w:type="pct"/>
            <w:tcBorders>
              <w:top w:val="nil"/>
              <w:left w:val="nil"/>
              <w:right w:val="nil"/>
            </w:tcBorders>
            <w:shd w:val="clear" w:color="auto" w:fill="auto"/>
            <w:noWrap/>
            <w:vAlign w:val="bottom"/>
            <w:hideMark/>
          </w:tcPr>
          <w:p w14:paraId="57E1585D" w14:textId="77777777" w:rsidR="00B027EB" w:rsidRPr="006B38D0" w:rsidRDefault="00B027EB" w:rsidP="00D8463F">
            <w:pPr>
              <w:spacing w:after="0"/>
              <w:jc w:val="right"/>
              <w:rPr>
                <w:rFonts w:eastAsia="Times New Roman"/>
              </w:rPr>
            </w:pPr>
            <w:r w:rsidRPr="006B38D0">
              <w:rPr>
                <w:rFonts w:eastAsia="Times New Roman"/>
              </w:rPr>
              <w:t>-</w:t>
            </w:r>
            <w:r>
              <w:rPr>
                <w:rFonts w:eastAsia="Times New Roman"/>
              </w:rPr>
              <w:t>5,2</w:t>
            </w:r>
          </w:p>
        </w:tc>
        <w:tc>
          <w:tcPr>
            <w:tcW w:w="394" w:type="pct"/>
            <w:tcBorders>
              <w:top w:val="nil"/>
              <w:left w:val="nil"/>
              <w:right w:val="nil"/>
            </w:tcBorders>
            <w:shd w:val="clear" w:color="auto" w:fill="auto"/>
            <w:noWrap/>
            <w:vAlign w:val="bottom"/>
            <w:hideMark/>
          </w:tcPr>
          <w:p w14:paraId="7B07BF39" w14:textId="77777777" w:rsidR="00B027EB" w:rsidRPr="006B38D0" w:rsidRDefault="00B027EB" w:rsidP="00D8463F">
            <w:pPr>
              <w:spacing w:after="0"/>
              <w:jc w:val="right"/>
              <w:rPr>
                <w:rFonts w:eastAsia="Times New Roman"/>
              </w:rPr>
            </w:pPr>
            <w:r w:rsidRPr="006B38D0">
              <w:rPr>
                <w:rFonts w:eastAsia="Times New Roman"/>
              </w:rPr>
              <w:t>-3,7</w:t>
            </w:r>
          </w:p>
        </w:tc>
        <w:tc>
          <w:tcPr>
            <w:tcW w:w="394" w:type="pct"/>
            <w:tcBorders>
              <w:top w:val="nil"/>
              <w:left w:val="nil"/>
              <w:right w:val="nil"/>
            </w:tcBorders>
            <w:shd w:val="clear" w:color="auto" w:fill="auto"/>
            <w:vAlign w:val="bottom"/>
            <w:hideMark/>
          </w:tcPr>
          <w:p w14:paraId="733FECEF" w14:textId="77777777" w:rsidR="00B027EB" w:rsidRPr="006B38D0" w:rsidRDefault="00B027EB" w:rsidP="00D8463F">
            <w:pPr>
              <w:spacing w:after="0"/>
              <w:jc w:val="right"/>
              <w:rPr>
                <w:rFonts w:eastAsia="Times New Roman"/>
              </w:rPr>
            </w:pPr>
            <w:r w:rsidRPr="006B38D0">
              <w:rPr>
                <w:rFonts w:eastAsia="Times New Roman"/>
              </w:rPr>
              <w:t>4,0</w:t>
            </w:r>
          </w:p>
        </w:tc>
        <w:tc>
          <w:tcPr>
            <w:tcW w:w="394" w:type="pct"/>
            <w:tcBorders>
              <w:top w:val="nil"/>
              <w:left w:val="nil"/>
              <w:right w:val="nil"/>
            </w:tcBorders>
            <w:shd w:val="clear" w:color="auto" w:fill="auto"/>
            <w:vAlign w:val="bottom"/>
            <w:hideMark/>
          </w:tcPr>
          <w:p w14:paraId="76717725" w14:textId="77777777" w:rsidR="00B027EB" w:rsidRPr="006B38D0" w:rsidRDefault="00B027EB" w:rsidP="00D8463F">
            <w:pPr>
              <w:spacing w:after="0"/>
              <w:jc w:val="right"/>
              <w:rPr>
                <w:rFonts w:eastAsia="Times New Roman"/>
              </w:rPr>
            </w:pPr>
            <w:r w:rsidRPr="006B38D0">
              <w:rPr>
                <w:rFonts w:eastAsia="Times New Roman"/>
              </w:rPr>
              <w:t>5,5</w:t>
            </w:r>
          </w:p>
        </w:tc>
        <w:tc>
          <w:tcPr>
            <w:tcW w:w="394" w:type="pct"/>
            <w:tcBorders>
              <w:top w:val="nil"/>
              <w:left w:val="nil"/>
              <w:right w:val="nil"/>
            </w:tcBorders>
            <w:shd w:val="clear" w:color="auto" w:fill="auto"/>
            <w:vAlign w:val="bottom"/>
            <w:hideMark/>
          </w:tcPr>
          <w:p w14:paraId="79F4BD0D" w14:textId="77777777" w:rsidR="00B027EB" w:rsidRPr="006B38D0" w:rsidRDefault="00B027EB" w:rsidP="00D8463F">
            <w:pPr>
              <w:spacing w:after="0"/>
              <w:jc w:val="right"/>
              <w:rPr>
                <w:rFonts w:eastAsia="Times New Roman"/>
              </w:rPr>
            </w:pPr>
            <w:r>
              <w:rPr>
                <w:rFonts w:eastAsia="Times New Roman"/>
              </w:rPr>
              <w:t>5,3</w:t>
            </w:r>
          </w:p>
        </w:tc>
        <w:tc>
          <w:tcPr>
            <w:tcW w:w="621" w:type="pct"/>
            <w:tcBorders>
              <w:top w:val="nil"/>
              <w:left w:val="nil"/>
              <w:right w:val="nil"/>
            </w:tcBorders>
            <w:shd w:val="clear" w:color="auto" w:fill="auto"/>
            <w:vAlign w:val="bottom"/>
            <w:hideMark/>
          </w:tcPr>
          <w:p w14:paraId="3D058A3E" w14:textId="77777777" w:rsidR="00B027EB" w:rsidRPr="006B38D0" w:rsidRDefault="00B027EB" w:rsidP="00D8463F">
            <w:pPr>
              <w:spacing w:after="0"/>
              <w:jc w:val="right"/>
              <w:rPr>
                <w:rFonts w:eastAsia="Times New Roman"/>
              </w:rPr>
            </w:pPr>
            <w:r>
              <w:rPr>
                <w:rFonts w:eastAsia="Times New Roman"/>
              </w:rPr>
              <w:t>12,7</w:t>
            </w:r>
          </w:p>
        </w:tc>
      </w:tr>
      <w:tr w:rsidR="00B027EB" w:rsidRPr="006B38D0" w14:paraId="45D985BC" w14:textId="77777777" w:rsidTr="007E262C">
        <w:trPr>
          <w:trHeight w:val="270"/>
        </w:trPr>
        <w:tc>
          <w:tcPr>
            <w:tcW w:w="1663" w:type="pct"/>
            <w:gridSpan w:val="2"/>
            <w:tcBorders>
              <w:left w:val="nil"/>
              <w:bottom w:val="single" w:sz="4" w:space="0" w:color="auto"/>
              <w:right w:val="nil"/>
            </w:tcBorders>
            <w:shd w:val="clear" w:color="auto" w:fill="auto"/>
            <w:noWrap/>
            <w:vAlign w:val="bottom"/>
          </w:tcPr>
          <w:p w14:paraId="314634A2" w14:textId="77777777" w:rsidR="00B027EB" w:rsidRPr="004233B7" w:rsidRDefault="00B027EB" w:rsidP="00D8463F">
            <w:pPr>
              <w:spacing w:after="0"/>
              <w:rPr>
                <w:rFonts w:eastAsia="Times New Roman"/>
                <w:highlight w:val="yellow"/>
              </w:rPr>
            </w:pPr>
            <w:r w:rsidRPr="007D3844">
              <w:t xml:space="preserve">   Langtidsledige</w:t>
            </w:r>
            <w:r w:rsidRPr="007D3844">
              <w:rPr>
                <w:vertAlign w:val="superscript"/>
              </w:rPr>
              <w:t>2</w:t>
            </w:r>
          </w:p>
        </w:tc>
        <w:tc>
          <w:tcPr>
            <w:tcW w:w="368" w:type="pct"/>
            <w:tcBorders>
              <w:top w:val="nil"/>
              <w:left w:val="nil"/>
              <w:bottom w:val="single" w:sz="4" w:space="0" w:color="auto"/>
              <w:right w:val="nil"/>
            </w:tcBorders>
            <w:shd w:val="clear" w:color="auto" w:fill="auto"/>
            <w:noWrap/>
            <w:vAlign w:val="bottom"/>
          </w:tcPr>
          <w:p w14:paraId="6D5DE944" w14:textId="77777777" w:rsidR="00B027EB" w:rsidRPr="004233B7" w:rsidRDefault="00B027EB" w:rsidP="00D8463F">
            <w:pPr>
              <w:spacing w:after="0"/>
              <w:jc w:val="right"/>
              <w:rPr>
                <w:rFonts w:eastAsia="Times New Roman"/>
                <w:highlight w:val="yellow"/>
              </w:rPr>
            </w:pPr>
            <w:r w:rsidRPr="00D45A4C">
              <w:rPr>
                <w:rFonts w:eastAsia="Times New Roman"/>
              </w:rPr>
              <w:t>3</w:t>
            </w:r>
            <w:r>
              <w:rPr>
                <w:rFonts w:eastAsia="Times New Roman"/>
              </w:rPr>
              <w:t>2,5</w:t>
            </w:r>
          </w:p>
        </w:tc>
        <w:tc>
          <w:tcPr>
            <w:tcW w:w="376" w:type="pct"/>
            <w:tcBorders>
              <w:top w:val="nil"/>
              <w:left w:val="nil"/>
              <w:bottom w:val="single" w:sz="4" w:space="0" w:color="auto"/>
              <w:right w:val="nil"/>
            </w:tcBorders>
            <w:shd w:val="clear" w:color="auto" w:fill="auto"/>
            <w:noWrap/>
            <w:vAlign w:val="bottom"/>
          </w:tcPr>
          <w:p w14:paraId="46CABB4E" w14:textId="77777777" w:rsidR="00B027EB" w:rsidRPr="006B38D0" w:rsidRDefault="00B027EB" w:rsidP="00D8463F">
            <w:pPr>
              <w:spacing w:after="0"/>
              <w:jc w:val="right"/>
              <w:rPr>
                <w:rFonts w:eastAsia="Times New Roman"/>
              </w:rPr>
            </w:pPr>
          </w:p>
        </w:tc>
        <w:tc>
          <w:tcPr>
            <w:tcW w:w="394" w:type="pct"/>
            <w:tcBorders>
              <w:top w:val="nil"/>
              <w:left w:val="nil"/>
              <w:bottom w:val="single" w:sz="4" w:space="0" w:color="auto"/>
              <w:right w:val="nil"/>
            </w:tcBorders>
            <w:shd w:val="clear" w:color="auto" w:fill="auto"/>
            <w:noWrap/>
            <w:vAlign w:val="bottom"/>
          </w:tcPr>
          <w:p w14:paraId="6A8084DD" w14:textId="77777777" w:rsidR="00B027EB" w:rsidRPr="006B38D0" w:rsidRDefault="00B027EB" w:rsidP="00D8463F">
            <w:pPr>
              <w:spacing w:after="0"/>
              <w:jc w:val="right"/>
              <w:rPr>
                <w:rFonts w:eastAsia="Times New Roman"/>
              </w:rPr>
            </w:pPr>
          </w:p>
        </w:tc>
        <w:tc>
          <w:tcPr>
            <w:tcW w:w="394" w:type="pct"/>
            <w:tcBorders>
              <w:top w:val="nil"/>
              <w:left w:val="nil"/>
              <w:bottom w:val="single" w:sz="4" w:space="0" w:color="auto"/>
              <w:right w:val="nil"/>
            </w:tcBorders>
            <w:shd w:val="clear" w:color="auto" w:fill="auto"/>
            <w:noWrap/>
            <w:vAlign w:val="bottom"/>
          </w:tcPr>
          <w:p w14:paraId="5F75F0D8" w14:textId="77777777" w:rsidR="00B027EB" w:rsidRPr="006B38D0" w:rsidRDefault="00B027EB" w:rsidP="00D8463F">
            <w:pPr>
              <w:spacing w:after="0"/>
              <w:jc w:val="right"/>
              <w:rPr>
                <w:rFonts w:eastAsia="Times New Roman"/>
              </w:rPr>
            </w:pPr>
          </w:p>
        </w:tc>
        <w:tc>
          <w:tcPr>
            <w:tcW w:w="394" w:type="pct"/>
            <w:tcBorders>
              <w:top w:val="nil"/>
              <w:left w:val="nil"/>
              <w:bottom w:val="single" w:sz="4" w:space="0" w:color="auto"/>
              <w:right w:val="nil"/>
            </w:tcBorders>
            <w:shd w:val="clear" w:color="auto" w:fill="auto"/>
            <w:vAlign w:val="bottom"/>
          </w:tcPr>
          <w:p w14:paraId="4AA57126" w14:textId="77777777" w:rsidR="00B027EB" w:rsidRPr="006B38D0" w:rsidRDefault="00B027EB" w:rsidP="00D8463F">
            <w:pPr>
              <w:spacing w:after="0"/>
              <w:jc w:val="right"/>
              <w:rPr>
                <w:rFonts w:eastAsia="Times New Roman"/>
              </w:rPr>
            </w:pPr>
          </w:p>
        </w:tc>
        <w:tc>
          <w:tcPr>
            <w:tcW w:w="394" w:type="pct"/>
            <w:tcBorders>
              <w:top w:val="nil"/>
              <w:left w:val="nil"/>
              <w:bottom w:val="single" w:sz="4" w:space="0" w:color="auto"/>
              <w:right w:val="nil"/>
            </w:tcBorders>
            <w:shd w:val="clear" w:color="auto" w:fill="auto"/>
            <w:vAlign w:val="bottom"/>
          </w:tcPr>
          <w:p w14:paraId="47F2A11C" w14:textId="77777777" w:rsidR="00B027EB" w:rsidRPr="006B38D0" w:rsidRDefault="00B027EB" w:rsidP="00D8463F">
            <w:pPr>
              <w:spacing w:after="0"/>
              <w:jc w:val="right"/>
              <w:rPr>
                <w:rFonts w:eastAsia="Times New Roman"/>
              </w:rPr>
            </w:pPr>
          </w:p>
        </w:tc>
        <w:tc>
          <w:tcPr>
            <w:tcW w:w="394" w:type="pct"/>
            <w:tcBorders>
              <w:top w:val="nil"/>
              <w:left w:val="nil"/>
              <w:bottom w:val="single" w:sz="4" w:space="0" w:color="auto"/>
              <w:right w:val="nil"/>
            </w:tcBorders>
            <w:shd w:val="clear" w:color="auto" w:fill="auto"/>
            <w:vAlign w:val="bottom"/>
          </w:tcPr>
          <w:p w14:paraId="421B9500" w14:textId="77777777" w:rsidR="00B027EB" w:rsidRPr="006B38D0" w:rsidRDefault="00B027EB" w:rsidP="00D8463F">
            <w:pPr>
              <w:spacing w:after="0"/>
              <w:jc w:val="right"/>
              <w:rPr>
                <w:rFonts w:eastAsia="Times New Roman"/>
              </w:rPr>
            </w:pPr>
          </w:p>
        </w:tc>
        <w:tc>
          <w:tcPr>
            <w:tcW w:w="621" w:type="pct"/>
            <w:tcBorders>
              <w:top w:val="nil"/>
              <w:left w:val="nil"/>
              <w:bottom w:val="single" w:sz="4" w:space="0" w:color="auto"/>
              <w:right w:val="nil"/>
            </w:tcBorders>
            <w:shd w:val="clear" w:color="auto" w:fill="auto"/>
            <w:vAlign w:val="bottom"/>
          </w:tcPr>
          <w:p w14:paraId="372FF512" w14:textId="77777777" w:rsidR="00B027EB" w:rsidRPr="006B38D0" w:rsidRDefault="00B027EB" w:rsidP="00D8463F">
            <w:pPr>
              <w:spacing w:after="0"/>
              <w:jc w:val="right"/>
              <w:rPr>
                <w:rFonts w:eastAsia="Times New Roman"/>
              </w:rPr>
            </w:pPr>
          </w:p>
        </w:tc>
      </w:tr>
      <w:tr w:rsidR="00B027EB" w:rsidRPr="006B38D0" w14:paraId="497FEBF6" w14:textId="77777777" w:rsidTr="007E262C">
        <w:trPr>
          <w:trHeight w:val="270"/>
        </w:trPr>
        <w:tc>
          <w:tcPr>
            <w:tcW w:w="103" w:type="pct"/>
            <w:tcBorders>
              <w:top w:val="single" w:sz="4" w:space="0" w:color="auto"/>
              <w:left w:val="nil"/>
              <w:bottom w:val="nil"/>
              <w:right w:val="nil"/>
            </w:tcBorders>
            <w:shd w:val="clear" w:color="auto" w:fill="auto"/>
            <w:noWrap/>
            <w:vAlign w:val="bottom"/>
            <w:hideMark/>
          </w:tcPr>
          <w:p w14:paraId="44EC611A" w14:textId="77777777" w:rsidR="00B027EB" w:rsidRPr="006B38D0" w:rsidRDefault="00B027EB" w:rsidP="00D8463F">
            <w:pPr>
              <w:spacing w:after="0"/>
              <w:rPr>
                <w:rFonts w:eastAsia="Times New Roman"/>
              </w:rPr>
            </w:pPr>
          </w:p>
        </w:tc>
        <w:tc>
          <w:tcPr>
            <w:tcW w:w="1560" w:type="pct"/>
            <w:tcBorders>
              <w:top w:val="single" w:sz="4" w:space="0" w:color="auto"/>
              <w:left w:val="nil"/>
              <w:bottom w:val="nil"/>
              <w:right w:val="nil"/>
            </w:tcBorders>
            <w:shd w:val="clear" w:color="auto" w:fill="auto"/>
            <w:noWrap/>
            <w:vAlign w:val="bottom"/>
            <w:hideMark/>
          </w:tcPr>
          <w:p w14:paraId="3B55FA30" w14:textId="03BD7361" w:rsidR="00B027EB" w:rsidRPr="007E7984" w:rsidRDefault="00B027EB" w:rsidP="00D8463F">
            <w:pPr>
              <w:spacing w:after="0"/>
              <w:rPr>
                <w:rFonts w:eastAsia="Times New Roman"/>
              </w:rPr>
            </w:pPr>
            <w:r w:rsidRPr="007E7984">
              <w:rPr>
                <w:rFonts w:eastAsia="Times New Roman"/>
              </w:rPr>
              <w:t>Helt permitterte</w:t>
            </w:r>
            <w:r w:rsidR="007E262C">
              <w:rPr>
                <w:rFonts w:eastAsia="Times New Roman"/>
              </w:rPr>
              <w:t>,</w:t>
            </w:r>
            <w:r w:rsidRPr="007E7984">
              <w:rPr>
                <w:rFonts w:eastAsia="Times New Roman"/>
              </w:rPr>
              <w:t xml:space="preserve"> gjennomsnitt</w:t>
            </w:r>
          </w:p>
        </w:tc>
        <w:tc>
          <w:tcPr>
            <w:tcW w:w="368" w:type="pct"/>
            <w:tcBorders>
              <w:top w:val="single" w:sz="4" w:space="0" w:color="auto"/>
              <w:left w:val="nil"/>
              <w:bottom w:val="nil"/>
              <w:right w:val="nil"/>
            </w:tcBorders>
            <w:shd w:val="clear" w:color="auto" w:fill="auto"/>
            <w:noWrap/>
            <w:vAlign w:val="bottom"/>
            <w:hideMark/>
          </w:tcPr>
          <w:p w14:paraId="6C6BD1CF" w14:textId="77777777" w:rsidR="00B027EB" w:rsidRPr="007E7984" w:rsidRDefault="00B027EB" w:rsidP="00D8463F">
            <w:pPr>
              <w:spacing w:after="0"/>
              <w:jc w:val="right"/>
              <w:rPr>
                <w:rFonts w:eastAsia="Times New Roman"/>
              </w:rPr>
            </w:pPr>
            <w:r w:rsidRPr="007E7984">
              <w:rPr>
                <w:rFonts w:eastAsia="Times New Roman"/>
              </w:rPr>
              <w:t>3,1</w:t>
            </w:r>
          </w:p>
        </w:tc>
        <w:tc>
          <w:tcPr>
            <w:tcW w:w="376" w:type="pct"/>
            <w:tcBorders>
              <w:top w:val="single" w:sz="4" w:space="0" w:color="auto"/>
              <w:left w:val="nil"/>
              <w:bottom w:val="nil"/>
              <w:right w:val="nil"/>
            </w:tcBorders>
            <w:shd w:val="clear" w:color="auto" w:fill="auto"/>
            <w:noWrap/>
            <w:vAlign w:val="bottom"/>
            <w:hideMark/>
          </w:tcPr>
          <w:p w14:paraId="7F5CF240" w14:textId="77777777" w:rsidR="00B027EB" w:rsidRPr="007E7984" w:rsidRDefault="00B027EB" w:rsidP="00D8463F">
            <w:pPr>
              <w:spacing w:after="0"/>
              <w:jc w:val="right"/>
              <w:rPr>
                <w:rFonts w:eastAsia="Times New Roman"/>
              </w:rPr>
            </w:pPr>
            <w:r w:rsidRPr="007E7984">
              <w:rPr>
                <w:rFonts w:eastAsia="Times New Roman"/>
              </w:rPr>
              <w:t>-</w:t>
            </w:r>
            <w:r>
              <w:rPr>
                <w:rFonts w:eastAsia="Times New Roman"/>
              </w:rPr>
              <w:t>0,9</w:t>
            </w:r>
          </w:p>
        </w:tc>
        <w:tc>
          <w:tcPr>
            <w:tcW w:w="394" w:type="pct"/>
            <w:tcBorders>
              <w:top w:val="single" w:sz="4" w:space="0" w:color="auto"/>
              <w:left w:val="nil"/>
              <w:bottom w:val="nil"/>
              <w:right w:val="nil"/>
            </w:tcBorders>
            <w:shd w:val="clear" w:color="auto" w:fill="auto"/>
            <w:noWrap/>
            <w:vAlign w:val="bottom"/>
            <w:hideMark/>
          </w:tcPr>
          <w:p w14:paraId="2BC66B6D" w14:textId="77777777" w:rsidR="00B027EB" w:rsidRPr="007E7984" w:rsidRDefault="00B027EB" w:rsidP="00D8463F">
            <w:pPr>
              <w:spacing w:after="0"/>
              <w:jc w:val="right"/>
              <w:rPr>
                <w:rFonts w:eastAsia="Times New Roman"/>
              </w:rPr>
            </w:pPr>
            <w:r w:rsidRPr="007E7984">
              <w:rPr>
                <w:rFonts w:eastAsia="Times New Roman"/>
              </w:rPr>
              <w:t>-2</w:t>
            </w:r>
            <w:r>
              <w:rPr>
                <w:rFonts w:eastAsia="Times New Roman"/>
              </w:rPr>
              <w:t>,</w:t>
            </w:r>
            <w:r w:rsidRPr="007E7984">
              <w:rPr>
                <w:rFonts w:eastAsia="Times New Roman"/>
              </w:rPr>
              <w:t>4</w:t>
            </w:r>
          </w:p>
        </w:tc>
        <w:tc>
          <w:tcPr>
            <w:tcW w:w="394" w:type="pct"/>
            <w:tcBorders>
              <w:top w:val="single" w:sz="4" w:space="0" w:color="auto"/>
              <w:left w:val="nil"/>
              <w:bottom w:val="nil"/>
              <w:right w:val="nil"/>
            </w:tcBorders>
            <w:shd w:val="clear" w:color="auto" w:fill="auto"/>
            <w:noWrap/>
            <w:vAlign w:val="bottom"/>
            <w:hideMark/>
          </w:tcPr>
          <w:p w14:paraId="7613F6E8" w14:textId="77777777" w:rsidR="00B027EB" w:rsidRPr="007E7984" w:rsidRDefault="00B027EB" w:rsidP="00D8463F">
            <w:pPr>
              <w:spacing w:after="0"/>
              <w:jc w:val="right"/>
              <w:rPr>
                <w:rFonts w:eastAsia="Times New Roman"/>
              </w:rPr>
            </w:pPr>
            <w:r w:rsidRPr="007E7984">
              <w:rPr>
                <w:rFonts w:eastAsia="Times New Roman"/>
              </w:rPr>
              <w:t>-1</w:t>
            </w:r>
            <w:r>
              <w:rPr>
                <w:rFonts w:eastAsia="Times New Roman"/>
              </w:rPr>
              <w:t>,</w:t>
            </w:r>
            <w:r w:rsidRPr="007E7984">
              <w:rPr>
                <w:rFonts w:eastAsia="Times New Roman"/>
              </w:rPr>
              <w:t>6</w:t>
            </w:r>
          </w:p>
        </w:tc>
        <w:tc>
          <w:tcPr>
            <w:tcW w:w="394" w:type="pct"/>
            <w:tcBorders>
              <w:top w:val="single" w:sz="4" w:space="0" w:color="auto"/>
              <w:left w:val="nil"/>
              <w:bottom w:val="nil"/>
              <w:right w:val="nil"/>
            </w:tcBorders>
            <w:shd w:val="clear" w:color="auto" w:fill="auto"/>
            <w:vAlign w:val="bottom"/>
            <w:hideMark/>
          </w:tcPr>
          <w:p w14:paraId="76F418F7"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7</w:t>
            </w:r>
          </w:p>
        </w:tc>
        <w:tc>
          <w:tcPr>
            <w:tcW w:w="394" w:type="pct"/>
            <w:tcBorders>
              <w:top w:val="single" w:sz="4" w:space="0" w:color="auto"/>
              <w:left w:val="nil"/>
              <w:bottom w:val="nil"/>
              <w:right w:val="nil"/>
            </w:tcBorders>
            <w:shd w:val="clear" w:color="auto" w:fill="auto"/>
            <w:vAlign w:val="bottom"/>
            <w:hideMark/>
          </w:tcPr>
          <w:p w14:paraId="0D6EB126"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4</w:t>
            </w:r>
          </w:p>
        </w:tc>
        <w:tc>
          <w:tcPr>
            <w:tcW w:w="394" w:type="pct"/>
            <w:tcBorders>
              <w:top w:val="single" w:sz="4" w:space="0" w:color="auto"/>
              <w:left w:val="nil"/>
              <w:bottom w:val="nil"/>
              <w:right w:val="nil"/>
            </w:tcBorders>
            <w:shd w:val="clear" w:color="auto" w:fill="auto"/>
            <w:vAlign w:val="bottom"/>
            <w:hideMark/>
          </w:tcPr>
          <w:p w14:paraId="6A8EA431" w14:textId="77777777" w:rsidR="00B027EB" w:rsidRPr="007E7984" w:rsidRDefault="00B027EB" w:rsidP="00D8463F">
            <w:pPr>
              <w:spacing w:after="0"/>
              <w:jc w:val="right"/>
              <w:rPr>
                <w:rFonts w:eastAsia="Times New Roman"/>
              </w:rPr>
            </w:pPr>
            <w:r w:rsidRPr="007E7984">
              <w:rPr>
                <w:rFonts w:eastAsia="Times New Roman"/>
              </w:rPr>
              <w:t>1.3</w:t>
            </w:r>
          </w:p>
        </w:tc>
        <w:tc>
          <w:tcPr>
            <w:tcW w:w="621" w:type="pct"/>
            <w:tcBorders>
              <w:top w:val="single" w:sz="4" w:space="0" w:color="auto"/>
              <w:left w:val="nil"/>
              <w:bottom w:val="nil"/>
              <w:right w:val="nil"/>
            </w:tcBorders>
            <w:shd w:val="clear" w:color="auto" w:fill="auto"/>
            <w:vAlign w:val="bottom"/>
            <w:hideMark/>
          </w:tcPr>
          <w:p w14:paraId="7D3DDE23" w14:textId="77777777" w:rsidR="00B027EB" w:rsidRPr="006B38D0" w:rsidRDefault="00B027EB" w:rsidP="00D8463F">
            <w:pPr>
              <w:spacing w:after="0"/>
              <w:jc w:val="right"/>
              <w:rPr>
                <w:rFonts w:eastAsia="Times New Roman"/>
              </w:rPr>
            </w:pPr>
          </w:p>
        </w:tc>
      </w:tr>
      <w:tr w:rsidR="00B027EB" w:rsidRPr="006B38D0" w14:paraId="47EB050A" w14:textId="77777777" w:rsidTr="007E262C">
        <w:trPr>
          <w:trHeight w:val="270"/>
        </w:trPr>
        <w:tc>
          <w:tcPr>
            <w:tcW w:w="1663" w:type="pct"/>
            <w:gridSpan w:val="2"/>
            <w:tcBorders>
              <w:top w:val="nil"/>
              <w:left w:val="nil"/>
              <w:bottom w:val="nil"/>
              <w:right w:val="nil"/>
            </w:tcBorders>
            <w:shd w:val="clear" w:color="auto" w:fill="auto"/>
            <w:noWrap/>
            <w:vAlign w:val="bottom"/>
            <w:hideMark/>
          </w:tcPr>
          <w:p w14:paraId="4B8C10F6" w14:textId="77777777" w:rsidR="00B027EB" w:rsidRPr="007E7984" w:rsidRDefault="00B027EB" w:rsidP="00D8463F">
            <w:pPr>
              <w:spacing w:after="0"/>
              <w:rPr>
                <w:rFonts w:eastAsia="Times New Roman"/>
              </w:rPr>
            </w:pPr>
            <w:r w:rsidRPr="007E7984">
              <w:rPr>
                <w:rFonts w:eastAsia="Times New Roman"/>
              </w:rPr>
              <w:t>Ordinære tiltaksdeltakere, gjennomsnitt</w:t>
            </w:r>
          </w:p>
        </w:tc>
        <w:tc>
          <w:tcPr>
            <w:tcW w:w="368" w:type="pct"/>
            <w:tcBorders>
              <w:top w:val="nil"/>
              <w:left w:val="nil"/>
              <w:bottom w:val="nil"/>
              <w:right w:val="nil"/>
            </w:tcBorders>
            <w:shd w:val="clear" w:color="auto" w:fill="auto"/>
            <w:noWrap/>
            <w:vAlign w:val="bottom"/>
            <w:hideMark/>
          </w:tcPr>
          <w:p w14:paraId="577389FA" w14:textId="77777777" w:rsidR="00B027EB" w:rsidRPr="007E7984" w:rsidRDefault="00B027EB" w:rsidP="00D8463F">
            <w:pPr>
              <w:spacing w:after="0"/>
              <w:jc w:val="right"/>
              <w:rPr>
                <w:rFonts w:eastAsia="Times New Roman"/>
              </w:rPr>
            </w:pPr>
            <w:r w:rsidRPr="007E7984">
              <w:rPr>
                <w:rFonts w:eastAsia="Times New Roman"/>
              </w:rPr>
              <w:t>12,9</w:t>
            </w:r>
          </w:p>
        </w:tc>
        <w:tc>
          <w:tcPr>
            <w:tcW w:w="376" w:type="pct"/>
            <w:tcBorders>
              <w:top w:val="nil"/>
              <w:left w:val="nil"/>
              <w:bottom w:val="nil"/>
              <w:right w:val="nil"/>
            </w:tcBorders>
            <w:shd w:val="clear" w:color="auto" w:fill="auto"/>
            <w:noWrap/>
            <w:vAlign w:val="bottom"/>
            <w:hideMark/>
          </w:tcPr>
          <w:p w14:paraId="06812925"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2</w:t>
            </w:r>
          </w:p>
        </w:tc>
        <w:tc>
          <w:tcPr>
            <w:tcW w:w="394" w:type="pct"/>
            <w:tcBorders>
              <w:top w:val="nil"/>
              <w:left w:val="nil"/>
              <w:bottom w:val="nil"/>
              <w:right w:val="nil"/>
            </w:tcBorders>
            <w:shd w:val="clear" w:color="auto" w:fill="auto"/>
            <w:noWrap/>
            <w:vAlign w:val="bottom"/>
            <w:hideMark/>
          </w:tcPr>
          <w:p w14:paraId="24142472"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5</w:t>
            </w:r>
          </w:p>
        </w:tc>
        <w:tc>
          <w:tcPr>
            <w:tcW w:w="394" w:type="pct"/>
            <w:tcBorders>
              <w:top w:val="nil"/>
              <w:left w:val="nil"/>
              <w:bottom w:val="nil"/>
              <w:right w:val="nil"/>
            </w:tcBorders>
            <w:shd w:val="clear" w:color="auto" w:fill="auto"/>
            <w:noWrap/>
            <w:vAlign w:val="bottom"/>
            <w:hideMark/>
          </w:tcPr>
          <w:p w14:paraId="33C6DF24" w14:textId="77777777" w:rsidR="00B027EB" w:rsidRPr="007E7984" w:rsidRDefault="00B027EB" w:rsidP="00D8463F">
            <w:pPr>
              <w:spacing w:after="0"/>
              <w:jc w:val="right"/>
              <w:rPr>
                <w:rFonts w:eastAsia="Times New Roman"/>
              </w:rPr>
            </w:pPr>
            <w:r w:rsidRPr="007E7984">
              <w:rPr>
                <w:rFonts w:eastAsia="Times New Roman"/>
              </w:rPr>
              <w:t>1</w:t>
            </w:r>
            <w:r>
              <w:rPr>
                <w:rFonts w:eastAsia="Times New Roman"/>
              </w:rPr>
              <w:t>,</w:t>
            </w:r>
            <w:r w:rsidRPr="007E7984">
              <w:rPr>
                <w:rFonts w:eastAsia="Times New Roman"/>
              </w:rPr>
              <w:t>2</w:t>
            </w:r>
          </w:p>
        </w:tc>
        <w:tc>
          <w:tcPr>
            <w:tcW w:w="394" w:type="pct"/>
            <w:tcBorders>
              <w:top w:val="nil"/>
              <w:left w:val="nil"/>
              <w:bottom w:val="nil"/>
              <w:right w:val="nil"/>
            </w:tcBorders>
            <w:shd w:val="clear" w:color="auto" w:fill="auto"/>
            <w:vAlign w:val="bottom"/>
            <w:hideMark/>
          </w:tcPr>
          <w:p w14:paraId="6F6B249E"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5</w:t>
            </w:r>
          </w:p>
        </w:tc>
        <w:tc>
          <w:tcPr>
            <w:tcW w:w="394" w:type="pct"/>
            <w:tcBorders>
              <w:top w:val="nil"/>
              <w:left w:val="nil"/>
              <w:bottom w:val="nil"/>
              <w:right w:val="nil"/>
            </w:tcBorders>
            <w:shd w:val="clear" w:color="auto" w:fill="auto"/>
            <w:vAlign w:val="bottom"/>
            <w:hideMark/>
          </w:tcPr>
          <w:p w14:paraId="7C68B89B" w14:textId="77777777" w:rsidR="00B027EB" w:rsidRPr="007E7984" w:rsidRDefault="00B027EB" w:rsidP="00D8463F">
            <w:pPr>
              <w:spacing w:after="0"/>
              <w:jc w:val="right"/>
              <w:rPr>
                <w:rFonts w:eastAsia="Times New Roman"/>
              </w:rPr>
            </w:pPr>
            <w:r w:rsidRPr="007E7984">
              <w:rPr>
                <w:rFonts w:eastAsia="Times New Roman"/>
              </w:rPr>
              <w:t>-3</w:t>
            </w:r>
            <w:r>
              <w:rPr>
                <w:rFonts w:eastAsia="Times New Roman"/>
              </w:rPr>
              <w:t>,</w:t>
            </w:r>
            <w:r w:rsidRPr="007E7984">
              <w:rPr>
                <w:rFonts w:eastAsia="Times New Roman"/>
              </w:rPr>
              <w:t>6</w:t>
            </w:r>
          </w:p>
        </w:tc>
        <w:tc>
          <w:tcPr>
            <w:tcW w:w="394" w:type="pct"/>
            <w:tcBorders>
              <w:top w:val="nil"/>
              <w:left w:val="nil"/>
              <w:bottom w:val="nil"/>
              <w:right w:val="nil"/>
            </w:tcBorders>
            <w:shd w:val="clear" w:color="auto" w:fill="auto"/>
            <w:vAlign w:val="bottom"/>
            <w:hideMark/>
          </w:tcPr>
          <w:p w14:paraId="587F1236" w14:textId="77777777" w:rsidR="00B027EB" w:rsidRPr="007E7984" w:rsidRDefault="00B027EB" w:rsidP="00D8463F">
            <w:pPr>
              <w:spacing w:after="0"/>
              <w:jc w:val="right"/>
              <w:rPr>
                <w:rFonts w:eastAsia="Times New Roman"/>
              </w:rPr>
            </w:pPr>
            <w:r w:rsidRPr="007E7984">
              <w:rPr>
                <w:rFonts w:eastAsia="Times New Roman"/>
              </w:rPr>
              <w:t>0</w:t>
            </w:r>
            <w:r>
              <w:rPr>
                <w:rFonts w:eastAsia="Times New Roman"/>
              </w:rPr>
              <w:t>,</w:t>
            </w:r>
            <w:r w:rsidRPr="007E7984">
              <w:rPr>
                <w:rFonts w:eastAsia="Times New Roman"/>
              </w:rPr>
              <w:t>2</w:t>
            </w:r>
          </w:p>
        </w:tc>
        <w:tc>
          <w:tcPr>
            <w:tcW w:w="621" w:type="pct"/>
            <w:tcBorders>
              <w:top w:val="nil"/>
              <w:left w:val="nil"/>
              <w:bottom w:val="nil"/>
              <w:right w:val="nil"/>
            </w:tcBorders>
            <w:shd w:val="clear" w:color="auto" w:fill="auto"/>
            <w:vAlign w:val="bottom"/>
            <w:hideMark/>
          </w:tcPr>
          <w:p w14:paraId="1DEA7DDB" w14:textId="77777777" w:rsidR="00B027EB" w:rsidRPr="006B38D0" w:rsidRDefault="00B027EB" w:rsidP="00D8463F">
            <w:pPr>
              <w:spacing w:after="0"/>
              <w:jc w:val="right"/>
              <w:rPr>
                <w:rFonts w:eastAsia="Times New Roman"/>
              </w:rPr>
            </w:pPr>
          </w:p>
        </w:tc>
      </w:tr>
      <w:tr w:rsidR="00B027EB" w:rsidRPr="006B38D0" w14:paraId="297E0BC9" w14:textId="77777777" w:rsidTr="007E262C">
        <w:trPr>
          <w:trHeight w:val="270"/>
        </w:trPr>
        <w:tc>
          <w:tcPr>
            <w:tcW w:w="1663" w:type="pct"/>
            <w:gridSpan w:val="2"/>
            <w:tcBorders>
              <w:top w:val="nil"/>
              <w:left w:val="nil"/>
              <w:bottom w:val="single" w:sz="8" w:space="0" w:color="auto"/>
              <w:right w:val="nil"/>
            </w:tcBorders>
            <w:shd w:val="clear" w:color="auto" w:fill="auto"/>
            <w:noWrap/>
            <w:vAlign w:val="bottom"/>
            <w:hideMark/>
          </w:tcPr>
          <w:p w14:paraId="1E2D193E" w14:textId="77777777" w:rsidR="00B027EB" w:rsidRPr="007D3844" w:rsidRDefault="00B027EB" w:rsidP="00D8463F">
            <w:pPr>
              <w:spacing w:after="0"/>
            </w:pPr>
            <w:r w:rsidRPr="007D3844">
              <w:t>Delvis ledige, gjennomsnitt</w:t>
            </w:r>
          </w:p>
        </w:tc>
        <w:tc>
          <w:tcPr>
            <w:tcW w:w="368" w:type="pct"/>
            <w:tcBorders>
              <w:top w:val="nil"/>
              <w:left w:val="nil"/>
              <w:bottom w:val="single" w:sz="8" w:space="0" w:color="auto"/>
              <w:right w:val="nil"/>
            </w:tcBorders>
            <w:shd w:val="clear" w:color="auto" w:fill="auto"/>
            <w:noWrap/>
            <w:vAlign w:val="bottom"/>
            <w:hideMark/>
          </w:tcPr>
          <w:p w14:paraId="432E1360" w14:textId="77777777" w:rsidR="00B027EB" w:rsidRPr="007D3844" w:rsidRDefault="00B027EB" w:rsidP="00D8463F">
            <w:pPr>
              <w:spacing w:after="0"/>
              <w:jc w:val="right"/>
            </w:pPr>
            <w:r>
              <w:rPr>
                <w:rFonts w:eastAsia="Times New Roman"/>
              </w:rPr>
              <w:t>30,3</w:t>
            </w:r>
          </w:p>
        </w:tc>
        <w:tc>
          <w:tcPr>
            <w:tcW w:w="376" w:type="pct"/>
            <w:tcBorders>
              <w:top w:val="nil"/>
              <w:left w:val="nil"/>
              <w:bottom w:val="single" w:sz="8" w:space="0" w:color="auto"/>
              <w:right w:val="nil"/>
            </w:tcBorders>
            <w:shd w:val="clear" w:color="auto" w:fill="auto"/>
            <w:noWrap/>
            <w:vAlign w:val="bottom"/>
            <w:hideMark/>
          </w:tcPr>
          <w:p w14:paraId="59AA1806" w14:textId="77777777" w:rsidR="00B027EB" w:rsidRPr="007D3844" w:rsidRDefault="00B027EB" w:rsidP="00D8463F">
            <w:pPr>
              <w:spacing w:after="0"/>
              <w:jc w:val="right"/>
            </w:pPr>
            <w:r w:rsidRPr="007D3844">
              <w:t>1,3</w:t>
            </w:r>
          </w:p>
        </w:tc>
        <w:tc>
          <w:tcPr>
            <w:tcW w:w="394" w:type="pct"/>
            <w:tcBorders>
              <w:top w:val="nil"/>
              <w:left w:val="nil"/>
              <w:bottom w:val="single" w:sz="8" w:space="0" w:color="auto"/>
              <w:right w:val="nil"/>
            </w:tcBorders>
            <w:shd w:val="clear" w:color="auto" w:fill="auto"/>
            <w:noWrap/>
            <w:vAlign w:val="bottom"/>
            <w:hideMark/>
          </w:tcPr>
          <w:p w14:paraId="6D688953" w14:textId="77777777" w:rsidR="00B027EB" w:rsidRPr="007D3844" w:rsidRDefault="00B027EB" w:rsidP="00D8463F">
            <w:pPr>
              <w:spacing w:after="0"/>
              <w:jc w:val="right"/>
            </w:pPr>
            <w:r w:rsidRPr="007D3844">
              <w:t>-6,9</w:t>
            </w:r>
          </w:p>
        </w:tc>
        <w:tc>
          <w:tcPr>
            <w:tcW w:w="394" w:type="pct"/>
            <w:tcBorders>
              <w:top w:val="nil"/>
              <w:left w:val="nil"/>
              <w:bottom w:val="single" w:sz="8" w:space="0" w:color="auto"/>
              <w:right w:val="nil"/>
            </w:tcBorders>
            <w:shd w:val="clear" w:color="auto" w:fill="auto"/>
            <w:noWrap/>
            <w:vAlign w:val="bottom"/>
            <w:hideMark/>
          </w:tcPr>
          <w:p w14:paraId="5E692B9D" w14:textId="77777777" w:rsidR="00B027EB" w:rsidRPr="007D3844" w:rsidRDefault="00B027EB" w:rsidP="00D8463F">
            <w:pPr>
              <w:spacing w:after="0"/>
              <w:jc w:val="right"/>
            </w:pPr>
            <w:r w:rsidRPr="007D3844">
              <w:t>-2,6</w:t>
            </w:r>
          </w:p>
        </w:tc>
        <w:tc>
          <w:tcPr>
            <w:tcW w:w="394" w:type="pct"/>
            <w:tcBorders>
              <w:top w:val="nil"/>
              <w:left w:val="nil"/>
              <w:bottom w:val="single" w:sz="8" w:space="0" w:color="auto"/>
              <w:right w:val="nil"/>
            </w:tcBorders>
            <w:shd w:val="clear" w:color="auto" w:fill="auto"/>
            <w:vAlign w:val="bottom"/>
            <w:hideMark/>
          </w:tcPr>
          <w:p w14:paraId="03BB069F" w14:textId="77777777" w:rsidR="00B027EB" w:rsidRPr="007D3844" w:rsidRDefault="00B027EB" w:rsidP="00D8463F">
            <w:pPr>
              <w:spacing w:after="0"/>
              <w:jc w:val="right"/>
            </w:pPr>
            <w:r w:rsidRPr="007D3844">
              <w:t>0,4</w:t>
            </w:r>
          </w:p>
        </w:tc>
        <w:tc>
          <w:tcPr>
            <w:tcW w:w="394" w:type="pct"/>
            <w:tcBorders>
              <w:top w:val="nil"/>
              <w:left w:val="nil"/>
              <w:bottom w:val="single" w:sz="8" w:space="0" w:color="auto"/>
              <w:right w:val="nil"/>
            </w:tcBorders>
            <w:shd w:val="clear" w:color="auto" w:fill="auto"/>
            <w:vAlign w:val="bottom"/>
            <w:hideMark/>
          </w:tcPr>
          <w:p w14:paraId="38F9BA69" w14:textId="77777777" w:rsidR="00B027EB" w:rsidRPr="007D3844" w:rsidRDefault="00B027EB" w:rsidP="00D8463F">
            <w:pPr>
              <w:spacing w:after="0"/>
              <w:jc w:val="right"/>
            </w:pPr>
            <w:r w:rsidRPr="007D3844">
              <w:t>1,4</w:t>
            </w:r>
          </w:p>
        </w:tc>
        <w:tc>
          <w:tcPr>
            <w:tcW w:w="394" w:type="pct"/>
            <w:tcBorders>
              <w:top w:val="nil"/>
              <w:left w:val="nil"/>
              <w:bottom w:val="single" w:sz="8" w:space="0" w:color="auto"/>
              <w:right w:val="nil"/>
            </w:tcBorders>
            <w:shd w:val="clear" w:color="auto" w:fill="auto"/>
            <w:vAlign w:val="bottom"/>
            <w:hideMark/>
          </w:tcPr>
          <w:p w14:paraId="5F710DE8" w14:textId="77777777" w:rsidR="00B027EB" w:rsidRPr="007D3844" w:rsidRDefault="00B027EB" w:rsidP="00D8463F">
            <w:pPr>
              <w:spacing w:after="0"/>
              <w:jc w:val="right"/>
            </w:pPr>
            <w:r>
              <w:rPr>
                <w:rFonts w:eastAsia="Times New Roman"/>
              </w:rPr>
              <w:t>2,9</w:t>
            </w:r>
          </w:p>
        </w:tc>
        <w:tc>
          <w:tcPr>
            <w:tcW w:w="621" w:type="pct"/>
            <w:tcBorders>
              <w:top w:val="nil"/>
              <w:left w:val="nil"/>
              <w:bottom w:val="single" w:sz="8" w:space="0" w:color="auto"/>
              <w:right w:val="nil"/>
            </w:tcBorders>
            <w:shd w:val="clear" w:color="auto" w:fill="auto"/>
            <w:vAlign w:val="bottom"/>
            <w:hideMark/>
          </w:tcPr>
          <w:p w14:paraId="0F2F6D3A" w14:textId="77777777" w:rsidR="00B027EB" w:rsidRPr="006B38D0" w:rsidRDefault="00B027EB" w:rsidP="00D8463F">
            <w:pPr>
              <w:spacing w:after="0"/>
              <w:jc w:val="right"/>
              <w:rPr>
                <w:rFonts w:eastAsia="Times New Roman"/>
              </w:rPr>
            </w:pPr>
            <w:r w:rsidRPr="006B38D0">
              <w:rPr>
                <w:rFonts w:eastAsia="Times New Roman"/>
              </w:rPr>
              <w:t> </w:t>
            </w:r>
          </w:p>
        </w:tc>
      </w:tr>
      <w:tr w:rsidR="00B027EB" w:rsidRPr="006B38D0" w14:paraId="30383C6E" w14:textId="77777777" w:rsidTr="007E262C">
        <w:trPr>
          <w:trHeight w:val="270"/>
        </w:trPr>
        <w:tc>
          <w:tcPr>
            <w:tcW w:w="1663" w:type="pct"/>
            <w:gridSpan w:val="2"/>
            <w:tcBorders>
              <w:top w:val="nil"/>
              <w:left w:val="nil"/>
              <w:bottom w:val="nil"/>
              <w:right w:val="nil"/>
            </w:tcBorders>
            <w:shd w:val="clear" w:color="auto" w:fill="auto"/>
            <w:noWrap/>
            <w:vAlign w:val="bottom"/>
            <w:hideMark/>
          </w:tcPr>
          <w:p w14:paraId="6396DCF5" w14:textId="77777777" w:rsidR="00B027EB" w:rsidRPr="006B38D0" w:rsidRDefault="00B027EB" w:rsidP="00D8463F">
            <w:pPr>
              <w:spacing w:after="0"/>
              <w:rPr>
                <w:rFonts w:eastAsia="Times New Roman"/>
              </w:rPr>
            </w:pPr>
            <w:r w:rsidRPr="006B38D0">
              <w:rPr>
                <w:rFonts w:eastAsia="Times New Roman"/>
              </w:rPr>
              <w:t>Tilgang ledige stillinger</w:t>
            </w:r>
            <w:r w:rsidRPr="006B38D0">
              <w:rPr>
                <w:rFonts w:eastAsia="Times New Roman"/>
                <w:vertAlign w:val="superscript"/>
              </w:rPr>
              <w:t>3</w:t>
            </w:r>
          </w:p>
        </w:tc>
        <w:tc>
          <w:tcPr>
            <w:tcW w:w="368" w:type="pct"/>
            <w:tcBorders>
              <w:top w:val="nil"/>
              <w:left w:val="nil"/>
              <w:bottom w:val="nil"/>
              <w:right w:val="nil"/>
            </w:tcBorders>
            <w:shd w:val="clear" w:color="auto" w:fill="auto"/>
            <w:noWrap/>
            <w:vAlign w:val="bottom"/>
            <w:hideMark/>
          </w:tcPr>
          <w:p w14:paraId="2DA79306" w14:textId="77777777" w:rsidR="00B027EB" w:rsidRPr="006B38D0" w:rsidRDefault="00B027EB" w:rsidP="00D8463F">
            <w:pPr>
              <w:spacing w:after="0"/>
              <w:jc w:val="right"/>
              <w:rPr>
                <w:rFonts w:eastAsia="Times New Roman"/>
              </w:rPr>
            </w:pPr>
            <w:r>
              <w:rPr>
                <w:rFonts w:eastAsia="Times New Roman"/>
              </w:rPr>
              <w:t>202,2</w:t>
            </w:r>
          </w:p>
        </w:tc>
        <w:tc>
          <w:tcPr>
            <w:tcW w:w="376" w:type="pct"/>
            <w:tcBorders>
              <w:top w:val="nil"/>
              <w:left w:val="nil"/>
              <w:bottom w:val="nil"/>
              <w:right w:val="nil"/>
            </w:tcBorders>
            <w:shd w:val="clear" w:color="auto" w:fill="auto"/>
            <w:noWrap/>
            <w:vAlign w:val="bottom"/>
            <w:hideMark/>
          </w:tcPr>
          <w:p w14:paraId="10C015DD" w14:textId="77777777" w:rsidR="00B027EB" w:rsidRPr="006B38D0" w:rsidRDefault="00B027EB" w:rsidP="00D8463F">
            <w:pPr>
              <w:spacing w:after="0"/>
              <w:jc w:val="right"/>
              <w:rPr>
                <w:rFonts w:eastAsia="Times New Roman"/>
              </w:rPr>
            </w:pPr>
            <w:r w:rsidRPr="006B38D0">
              <w:rPr>
                <w:rFonts w:eastAsia="Times New Roman"/>
              </w:rPr>
              <w:t>-24,1</w:t>
            </w:r>
          </w:p>
        </w:tc>
        <w:tc>
          <w:tcPr>
            <w:tcW w:w="394" w:type="pct"/>
            <w:tcBorders>
              <w:top w:val="nil"/>
              <w:left w:val="nil"/>
              <w:bottom w:val="nil"/>
              <w:right w:val="nil"/>
            </w:tcBorders>
            <w:shd w:val="clear" w:color="auto" w:fill="auto"/>
            <w:noWrap/>
            <w:vAlign w:val="bottom"/>
            <w:hideMark/>
          </w:tcPr>
          <w:p w14:paraId="34137A1B" w14:textId="77777777" w:rsidR="00B027EB" w:rsidRPr="006B38D0" w:rsidRDefault="00B027EB" w:rsidP="00D8463F">
            <w:pPr>
              <w:spacing w:after="0"/>
              <w:jc w:val="right"/>
              <w:rPr>
                <w:rFonts w:eastAsia="Times New Roman"/>
              </w:rPr>
            </w:pPr>
            <w:r>
              <w:rPr>
                <w:rFonts w:eastAsia="Times New Roman"/>
              </w:rPr>
              <w:t>10,9</w:t>
            </w:r>
          </w:p>
        </w:tc>
        <w:tc>
          <w:tcPr>
            <w:tcW w:w="394" w:type="pct"/>
            <w:tcBorders>
              <w:top w:val="nil"/>
              <w:left w:val="nil"/>
              <w:bottom w:val="nil"/>
              <w:right w:val="nil"/>
            </w:tcBorders>
            <w:shd w:val="clear" w:color="auto" w:fill="auto"/>
            <w:noWrap/>
            <w:vAlign w:val="bottom"/>
            <w:hideMark/>
          </w:tcPr>
          <w:p w14:paraId="6A4027D6" w14:textId="77777777" w:rsidR="00B027EB" w:rsidRPr="006B38D0" w:rsidRDefault="00B027EB" w:rsidP="00D8463F">
            <w:pPr>
              <w:spacing w:after="0"/>
              <w:jc w:val="right"/>
              <w:rPr>
                <w:rFonts w:eastAsia="Times New Roman"/>
              </w:rPr>
            </w:pPr>
            <w:r w:rsidRPr="006B38D0">
              <w:rPr>
                <w:rFonts w:eastAsia="Times New Roman"/>
              </w:rPr>
              <w:t>-11,</w:t>
            </w:r>
            <w:r>
              <w:rPr>
                <w:rFonts w:eastAsia="Times New Roman"/>
              </w:rPr>
              <w:t>4</w:t>
            </w:r>
          </w:p>
        </w:tc>
        <w:tc>
          <w:tcPr>
            <w:tcW w:w="394" w:type="pct"/>
            <w:tcBorders>
              <w:top w:val="nil"/>
              <w:left w:val="nil"/>
              <w:bottom w:val="nil"/>
              <w:right w:val="nil"/>
            </w:tcBorders>
            <w:shd w:val="clear" w:color="auto" w:fill="auto"/>
            <w:noWrap/>
            <w:vAlign w:val="bottom"/>
            <w:hideMark/>
          </w:tcPr>
          <w:p w14:paraId="3A452844" w14:textId="77777777" w:rsidR="00B027EB" w:rsidRPr="006B38D0" w:rsidRDefault="00B027EB" w:rsidP="00D8463F">
            <w:pPr>
              <w:spacing w:after="0"/>
              <w:jc w:val="right"/>
              <w:rPr>
                <w:rFonts w:eastAsia="Times New Roman"/>
              </w:rPr>
            </w:pPr>
            <w:r w:rsidRPr="006B38D0">
              <w:rPr>
                <w:rFonts w:eastAsia="Times New Roman"/>
              </w:rPr>
              <w:t>-22,</w:t>
            </w:r>
            <w:r>
              <w:rPr>
                <w:rFonts w:eastAsia="Times New Roman"/>
              </w:rPr>
              <w:t>3</w:t>
            </w:r>
          </w:p>
        </w:tc>
        <w:tc>
          <w:tcPr>
            <w:tcW w:w="394" w:type="pct"/>
            <w:tcBorders>
              <w:top w:val="nil"/>
              <w:left w:val="nil"/>
              <w:bottom w:val="nil"/>
              <w:right w:val="nil"/>
            </w:tcBorders>
            <w:shd w:val="clear" w:color="auto" w:fill="auto"/>
            <w:vAlign w:val="bottom"/>
            <w:hideMark/>
          </w:tcPr>
          <w:p w14:paraId="0A268549" w14:textId="77777777" w:rsidR="00B027EB" w:rsidRPr="006B38D0" w:rsidRDefault="00B027EB" w:rsidP="00D8463F">
            <w:pPr>
              <w:spacing w:after="0"/>
              <w:jc w:val="right"/>
              <w:rPr>
                <w:rFonts w:eastAsia="Times New Roman"/>
              </w:rPr>
            </w:pPr>
            <w:r w:rsidRPr="006B38D0">
              <w:rPr>
                <w:rFonts w:eastAsia="Times New Roman"/>
              </w:rPr>
              <w:t>-15,5</w:t>
            </w:r>
          </w:p>
        </w:tc>
        <w:tc>
          <w:tcPr>
            <w:tcW w:w="394" w:type="pct"/>
            <w:tcBorders>
              <w:top w:val="nil"/>
              <w:left w:val="nil"/>
              <w:bottom w:val="nil"/>
              <w:right w:val="nil"/>
            </w:tcBorders>
            <w:shd w:val="clear" w:color="auto" w:fill="auto"/>
            <w:vAlign w:val="bottom"/>
            <w:hideMark/>
          </w:tcPr>
          <w:p w14:paraId="02D3E710" w14:textId="77777777" w:rsidR="00B027EB" w:rsidRPr="006B38D0" w:rsidRDefault="00B027EB" w:rsidP="00D8463F">
            <w:pPr>
              <w:spacing w:after="0"/>
              <w:jc w:val="right"/>
              <w:rPr>
                <w:rFonts w:eastAsia="Times New Roman"/>
              </w:rPr>
            </w:pPr>
            <w:r>
              <w:rPr>
                <w:rFonts w:eastAsia="Times New Roman"/>
              </w:rPr>
              <w:t>4,2</w:t>
            </w:r>
          </w:p>
        </w:tc>
        <w:tc>
          <w:tcPr>
            <w:tcW w:w="621" w:type="pct"/>
            <w:tcBorders>
              <w:top w:val="nil"/>
              <w:left w:val="nil"/>
              <w:bottom w:val="nil"/>
              <w:right w:val="nil"/>
            </w:tcBorders>
            <w:shd w:val="clear" w:color="auto" w:fill="auto"/>
            <w:vAlign w:val="bottom"/>
            <w:hideMark/>
          </w:tcPr>
          <w:p w14:paraId="1654045E" w14:textId="77777777" w:rsidR="00B027EB" w:rsidRPr="006B38D0" w:rsidRDefault="00B027EB" w:rsidP="00D8463F">
            <w:pPr>
              <w:spacing w:after="0"/>
              <w:jc w:val="right"/>
              <w:rPr>
                <w:rFonts w:eastAsia="Times New Roman"/>
              </w:rPr>
            </w:pPr>
          </w:p>
        </w:tc>
      </w:tr>
      <w:tr w:rsidR="00B027EB" w:rsidRPr="006B38D0" w14:paraId="05A8D779" w14:textId="77777777" w:rsidTr="007E262C">
        <w:trPr>
          <w:trHeight w:val="101"/>
        </w:trPr>
        <w:tc>
          <w:tcPr>
            <w:tcW w:w="1663" w:type="pct"/>
            <w:gridSpan w:val="2"/>
            <w:tcBorders>
              <w:top w:val="nil"/>
              <w:left w:val="nil"/>
              <w:bottom w:val="single" w:sz="8" w:space="0" w:color="auto"/>
              <w:right w:val="nil"/>
            </w:tcBorders>
            <w:shd w:val="clear" w:color="auto" w:fill="auto"/>
            <w:noWrap/>
            <w:vAlign w:val="bottom"/>
          </w:tcPr>
          <w:p w14:paraId="78730DDE" w14:textId="77777777" w:rsidR="00B027EB" w:rsidRPr="006B38D0" w:rsidRDefault="00B027EB" w:rsidP="00D8463F">
            <w:pPr>
              <w:spacing w:after="0"/>
              <w:rPr>
                <w:rFonts w:eastAsia="Times New Roman"/>
              </w:rPr>
            </w:pPr>
          </w:p>
        </w:tc>
        <w:tc>
          <w:tcPr>
            <w:tcW w:w="368" w:type="pct"/>
            <w:tcBorders>
              <w:top w:val="nil"/>
              <w:left w:val="nil"/>
              <w:bottom w:val="single" w:sz="8" w:space="0" w:color="auto"/>
              <w:right w:val="nil"/>
            </w:tcBorders>
            <w:shd w:val="clear" w:color="auto" w:fill="auto"/>
            <w:noWrap/>
            <w:vAlign w:val="bottom"/>
          </w:tcPr>
          <w:p w14:paraId="70E7E98B" w14:textId="77777777" w:rsidR="00B027EB" w:rsidRPr="004765C8" w:rsidRDefault="00B027EB" w:rsidP="00D8463F">
            <w:pPr>
              <w:spacing w:after="0"/>
              <w:jc w:val="right"/>
              <w:rPr>
                <w:rFonts w:eastAsia="Times New Roman"/>
              </w:rPr>
            </w:pPr>
          </w:p>
        </w:tc>
        <w:tc>
          <w:tcPr>
            <w:tcW w:w="376" w:type="pct"/>
            <w:tcBorders>
              <w:top w:val="nil"/>
              <w:left w:val="nil"/>
              <w:bottom w:val="single" w:sz="8" w:space="0" w:color="auto"/>
              <w:right w:val="nil"/>
            </w:tcBorders>
            <w:shd w:val="clear" w:color="auto" w:fill="auto"/>
            <w:noWrap/>
            <w:vAlign w:val="bottom"/>
          </w:tcPr>
          <w:p w14:paraId="0BF768EB" w14:textId="77777777" w:rsidR="00B027EB" w:rsidRPr="004765C8" w:rsidRDefault="00B027EB" w:rsidP="007E262C">
            <w:pPr>
              <w:spacing w:after="0"/>
              <w:jc w:val="center"/>
              <w:rPr>
                <w:rFonts w:eastAsia="Times New Roman"/>
              </w:rPr>
            </w:pPr>
          </w:p>
        </w:tc>
        <w:tc>
          <w:tcPr>
            <w:tcW w:w="394" w:type="pct"/>
            <w:tcBorders>
              <w:top w:val="nil"/>
              <w:left w:val="nil"/>
              <w:bottom w:val="single" w:sz="8" w:space="0" w:color="auto"/>
              <w:right w:val="nil"/>
            </w:tcBorders>
            <w:shd w:val="clear" w:color="auto" w:fill="auto"/>
            <w:noWrap/>
            <w:vAlign w:val="bottom"/>
          </w:tcPr>
          <w:p w14:paraId="2D80B6BF" w14:textId="77777777" w:rsidR="00B027EB" w:rsidRPr="004765C8" w:rsidRDefault="00B027EB" w:rsidP="00D8463F">
            <w:pPr>
              <w:spacing w:after="0"/>
              <w:jc w:val="right"/>
              <w:rPr>
                <w:rFonts w:eastAsia="Times New Roman"/>
              </w:rPr>
            </w:pPr>
          </w:p>
        </w:tc>
        <w:tc>
          <w:tcPr>
            <w:tcW w:w="394" w:type="pct"/>
            <w:tcBorders>
              <w:top w:val="nil"/>
              <w:left w:val="nil"/>
              <w:bottom w:val="single" w:sz="8" w:space="0" w:color="auto"/>
              <w:right w:val="nil"/>
            </w:tcBorders>
            <w:shd w:val="clear" w:color="auto" w:fill="auto"/>
            <w:noWrap/>
            <w:vAlign w:val="bottom"/>
          </w:tcPr>
          <w:p w14:paraId="3DEF79C8" w14:textId="77777777" w:rsidR="00B027EB" w:rsidRPr="004765C8" w:rsidRDefault="00B027EB" w:rsidP="00D8463F">
            <w:pPr>
              <w:spacing w:after="0"/>
              <w:jc w:val="right"/>
              <w:rPr>
                <w:rFonts w:eastAsia="Times New Roman"/>
              </w:rPr>
            </w:pPr>
          </w:p>
        </w:tc>
        <w:tc>
          <w:tcPr>
            <w:tcW w:w="394" w:type="pct"/>
            <w:tcBorders>
              <w:top w:val="nil"/>
              <w:left w:val="nil"/>
              <w:bottom w:val="single" w:sz="8" w:space="0" w:color="auto"/>
              <w:right w:val="nil"/>
            </w:tcBorders>
            <w:shd w:val="clear" w:color="auto" w:fill="auto"/>
            <w:noWrap/>
            <w:vAlign w:val="bottom"/>
          </w:tcPr>
          <w:p w14:paraId="271FB092" w14:textId="77777777" w:rsidR="00B027EB" w:rsidRPr="004765C8" w:rsidRDefault="00B027EB" w:rsidP="007E262C">
            <w:pPr>
              <w:spacing w:after="0"/>
              <w:jc w:val="center"/>
              <w:rPr>
                <w:rFonts w:eastAsia="Times New Roman"/>
              </w:rPr>
            </w:pPr>
          </w:p>
        </w:tc>
        <w:tc>
          <w:tcPr>
            <w:tcW w:w="394" w:type="pct"/>
            <w:tcBorders>
              <w:top w:val="nil"/>
              <w:left w:val="nil"/>
              <w:bottom w:val="single" w:sz="8" w:space="0" w:color="auto"/>
              <w:right w:val="nil"/>
            </w:tcBorders>
            <w:shd w:val="clear" w:color="auto" w:fill="auto"/>
            <w:vAlign w:val="bottom"/>
          </w:tcPr>
          <w:p w14:paraId="05C58C63" w14:textId="77777777" w:rsidR="00B027EB" w:rsidRPr="004765C8" w:rsidRDefault="00B027EB" w:rsidP="00D8463F">
            <w:pPr>
              <w:spacing w:after="0"/>
              <w:jc w:val="right"/>
              <w:rPr>
                <w:rFonts w:eastAsia="Times New Roman"/>
              </w:rPr>
            </w:pPr>
          </w:p>
        </w:tc>
        <w:tc>
          <w:tcPr>
            <w:tcW w:w="394" w:type="pct"/>
            <w:tcBorders>
              <w:top w:val="nil"/>
              <w:left w:val="nil"/>
              <w:bottom w:val="single" w:sz="8" w:space="0" w:color="auto"/>
              <w:right w:val="nil"/>
            </w:tcBorders>
            <w:shd w:val="clear" w:color="auto" w:fill="auto"/>
            <w:vAlign w:val="bottom"/>
          </w:tcPr>
          <w:p w14:paraId="06A7600D" w14:textId="77777777" w:rsidR="00B027EB" w:rsidRPr="004765C8" w:rsidRDefault="00B027EB" w:rsidP="007E262C">
            <w:pPr>
              <w:spacing w:after="0"/>
              <w:rPr>
                <w:rFonts w:eastAsia="Times New Roman"/>
              </w:rPr>
            </w:pPr>
          </w:p>
        </w:tc>
        <w:tc>
          <w:tcPr>
            <w:tcW w:w="621" w:type="pct"/>
            <w:tcBorders>
              <w:top w:val="nil"/>
              <w:left w:val="nil"/>
              <w:bottom w:val="single" w:sz="8" w:space="0" w:color="auto"/>
              <w:right w:val="nil"/>
            </w:tcBorders>
            <w:shd w:val="clear" w:color="auto" w:fill="auto"/>
            <w:vAlign w:val="bottom"/>
          </w:tcPr>
          <w:p w14:paraId="5E1C7B08" w14:textId="77777777" w:rsidR="00B027EB" w:rsidRPr="004765C8" w:rsidRDefault="00B027EB" w:rsidP="007E262C">
            <w:pPr>
              <w:spacing w:after="0"/>
              <w:rPr>
                <w:rFonts w:eastAsia="Times New Roman"/>
              </w:rPr>
            </w:pPr>
          </w:p>
        </w:tc>
      </w:tr>
    </w:tbl>
    <w:p w14:paraId="395EF035" w14:textId="2FCA7EAB" w:rsidR="00B027EB" w:rsidRPr="006B38D0" w:rsidRDefault="00B027EB" w:rsidP="008643D6">
      <w:pPr>
        <w:pStyle w:val="tabell-noter"/>
        <w:numPr>
          <w:ilvl w:val="0"/>
          <w:numId w:val="85"/>
        </w:numPr>
        <w:tabs>
          <w:tab w:val="clear" w:pos="284"/>
        </w:tabs>
        <w:spacing w:before="0" w:after="0"/>
        <w:ind w:left="142" w:hanging="142"/>
      </w:pPr>
      <w:r w:rsidRPr="006B38D0">
        <w:t xml:space="preserve">Sesongjusterte tall ved utgangen av </w:t>
      </w:r>
      <w:r>
        <w:t xml:space="preserve">januar </w:t>
      </w:r>
      <w:r w:rsidRPr="006B38D0">
        <w:t>201</w:t>
      </w:r>
      <w:r>
        <w:t>6</w:t>
      </w:r>
      <w:r w:rsidRPr="006B38D0">
        <w:t xml:space="preserve"> i forhold til årsgjennomsnittet for 201</w:t>
      </w:r>
      <w:r>
        <w:t>5</w:t>
      </w:r>
      <w:r w:rsidRPr="006B38D0">
        <w:t>.</w:t>
      </w:r>
    </w:p>
    <w:p w14:paraId="0A320463" w14:textId="32EE4B84" w:rsidR="00B027EB" w:rsidRPr="006B38D0" w:rsidRDefault="00B027EB" w:rsidP="008643D6">
      <w:pPr>
        <w:pStyle w:val="tabell-noter"/>
        <w:numPr>
          <w:ilvl w:val="0"/>
          <w:numId w:val="85"/>
        </w:numPr>
        <w:tabs>
          <w:tab w:val="clear" w:pos="284"/>
        </w:tabs>
        <w:spacing w:before="0" w:after="0"/>
        <w:ind w:left="142" w:hanging="142"/>
      </w:pPr>
      <w:r w:rsidRPr="006B38D0">
        <w:t>Alle arbeidsledige over 26 uker inklusive personer som har deltatt på arbeidsmarkedstiltak, men som fortsatt er arbeidsledige.</w:t>
      </w:r>
    </w:p>
    <w:p w14:paraId="3BDF095B" w14:textId="2E40F376" w:rsidR="00B027EB" w:rsidRPr="006B38D0" w:rsidRDefault="00B027EB" w:rsidP="008643D6">
      <w:pPr>
        <w:pStyle w:val="tabell-noter"/>
        <w:numPr>
          <w:ilvl w:val="0"/>
          <w:numId w:val="85"/>
        </w:numPr>
        <w:tabs>
          <w:tab w:val="clear" w:pos="284"/>
        </w:tabs>
        <w:spacing w:before="0" w:after="0"/>
        <w:ind w:left="142" w:hanging="142"/>
      </w:pPr>
      <w:r w:rsidRPr="006B38D0">
        <w:t>Total tilgang gjennom året, ikke gjennomsnitt per måned.</w:t>
      </w:r>
    </w:p>
    <w:p w14:paraId="7676B528" w14:textId="77777777" w:rsidR="00B027EB" w:rsidRDefault="00B027EB" w:rsidP="004104FE">
      <w:pPr>
        <w:pStyle w:val="Kilde"/>
        <w:spacing w:before="120"/>
      </w:pPr>
      <w:r w:rsidRPr="006B38D0">
        <w:t>Kilde: Arbeids- og velferdsetaten</w:t>
      </w:r>
    </w:p>
    <w:p w14:paraId="6B9C3977" w14:textId="77777777" w:rsidR="00ED226A" w:rsidRDefault="00ED226A" w:rsidP="00ED226A">
      <w:r w:rsidRPr="006B38D0">
        <w:t xml:space="preserve">Det er en oppgang i arbeidsledigheten for </w:t>
      </w:r>
      <w:r>
        <w:t>flere</w:t>
      </w:r>
      <w:r w:rsidRPr="006B38D0">
        <w:t xml:space="preserve"> yrkesgrupper, men det er ingeniør og ikt-fag som hadde den klart største prosentvise økningen i arbeidsledighet</w:t>
      </w:r>
      <w:r>
        <w:t xml:space="preserve">. Det har også vært en økning i arbeidsledigheten innen bygg og anlegg samt innen industriarbeid. </w:t>
      </w:r>
      <w:r w:rsidRPr="006B38D0">
        <w:t xml:space="preserve">NAVs tall viste en liten </w:t>
      </w:r>
      <w:r>
        <w:t>økning</w:t>
      </w:r>
      <w:r w:rsidRPr="006B38D0">
        <w:t xml:space="preserve"> i antall permitterte 201</w:t>
      </w:r>
      <w:r>
        <w:t>5</w:t>
      </w:r>
      <w:r w:rsidRPr="006B38D0">
        <w:t>.</w:t>
      </w:r>
      <w:r>
        <w:t xml:space="preserve"> </w:t>
      </w:r>
    </w:p>
    <w:p w14:paraId="649963F2" w14:textId="627903D5" w:rsidR="00ED226A" w:rsidRPr="00ED226A" w:rsidRDefault="00ED226A" w:rsidP="00ED226A">
      <w:r>
        <w:t>AKU viser at det i 4. kvartal i fjor var mange flere personer med svært lange arbeidsledighetsperioder. I dette kvartalet hadde 15 000 vært sammenhengende arbeidsledig over 1 år</w:t>
      </w:r>
      <w:r w:rsidRPr="003932D4">
        <w:t>.</w:t>
      </w:r>
      <w:r>
        <w:t xml:space="preserve"> I NAV regnes a</w:t>
      </w:r>
      <w:r w:rsidRPr="006B38D0">
        <w:t xml:space="preserve">rbeidsledige som ikke har vært i jobb eller på arbeidsmarkedstiltak på 26 uker eller lengre som </w:t>
      </w:r>
      <w:r w:rsidRPr="006B38D0">
        <w:rPr>
          <w:i/>
        </w:rPr>
        <w:t>langtidsledige</w:t>
      </w:r>
      <w:r w:rsidRPr="006B38D0">
        <w:t>. Denne definisjonen inkluderer ikke personer som i en periode har vært på arbeidsmarkedstiltak og som fortsatt er arbeidsledige etter at arbeidsmarkedstiltaket er over. Det kan dermed være vanskeligere å finne seg arbeid enn det langtidsledigheten i henhold til NAV sin definisjon kan tyde på. Alle arbeidsledige over 26 uker</w:t>
      </w:r>
      <w:r>
        <w:t>,</w:t>
      </w:r>
      <w:r w:rsidRPr="006B38D0">
        <w:t xml:space="preserve"> inklusive personer som har deltatt på arbeidsmarkedstiltak, men som fortsatt er arbeidsledige, utgjorde om lag 4</w:t>
      </w:r>
      <w:r>
        <w:t>1</w:t>
      </w:r>
      <w:r w:rsidRPr="006B38D0">
        <w:t xml:space="preserve"> prosent av de arbeidsledige i </w:t>
      </w:r>
      <w:r>
        <w:t>januar</w:t>
      </w:r>
      <w:r w:rsidRPr="006B38D0">
        <w:t xml:space="preserve"> 201</w:t>
      </w:r>
      <w:r>
        <w:t>6, ifølge statistikken fra NAV</w:t>
      </w:r>
      <w:r w:rsidRPr="006B38D0">
        <w:t>. Det er høyere enn på samme tid i fjor.</w:t>
      </w:r>
      <w:r>
        <w:t xml:space="preserve"> Det er en liten nedgang for de som har vært lengst arbeidsledig (dvs. 104 uker eller mer), men årsaken til nedgangen kan være at noen av disse har trukket seg ut av arbeidsmarkedet eller har sluttet å registrere seg som arbeidssøkere hos NAV.</w:t>
      </w:r>
    </w:p>
    <w:p w14:paraId="272C3358" w14:textId="7F6F4399" w:rsidR="006F55F8" w:rsidRDefault="006F55F8" w:rsidP="006F55F8">
      <w:pPr>
        <w:pStyle w:val="tabell-tittel"/>
      </w:pPr>
      <w:r>
        <w:t xml:space="preserve">Utvikling i registrert arbeidsledighet (helt ledige) og registrerte ledige stillinger fordelt på fylke </w:t>
      </w:r>
    </w:p>
    <w:tbl>
      <w:tblPr>
        <w:tblW w:w="9464" w:type="dxa"/>
        <w:tblInd w:w="-34" w:type="dxa"/>
        <w:tblLook w:val="04A0" w:firstRow="1" w:lastRow="0" w:firstColumn="1" w:lastColumn="0" w:noHBand="0" w:noVBand="1"/>
      </w:tblPr>
      <w:tblGrid>
        <w:gridCol w:w="1457"/>
        <w:gridCol w:w="528"/>
        <w:gridCol w:w="903"/>
        <w:gridCol w:w="1115"/>
        <w:gridCol w:w="782"/>
        <w:gridCol w:w="1292"/>
        <w:gridCol w:w="1427"/>
        <w:gridCol w:w="1002"/>
        <w:gridCol w:w="958"/>
      </w:tblGrid>
      <w:tr w:rsidR="006F55F8" w:rsidRPr="00AF266F" w14:paraId="5A11E76A" w14:textId="77777777" w:rsidTr="006F55F8">
        <w:trPr>
          <w:trHeight w:val="255"/>
        </w:trPr>
        <w:tc>
          <w:tcPr>
            <w:tcW w:w="1457" w:type="dxa"/>
            <w:tcBorders>
              <w:top w:val="single" w:sz="4" w:space="0" w:color="auto"/>
              <w:left w:val="nil"/>
              <w:right w:val="nil"/>
            </w:tcBorders>
            <w:shd w:val="clear" w:color="FFFFFF" w:fill="FFFFFF"/>
            <w:noWrap/>
            <w:vAlign w:val="bottom"/>
          </w:tcPr>
          <w:p w14:paraId="65BA9082" w14:textId="77777777" w:rsidR="006F55F8" w:rsidRDefault="006F55F8" w:rsidP="006F55F8">
            <w:pPr>
              <w:spacing w:after="0"/>
              <w:jc w:val="right"/>
              <w:rPr>
                <w:rFonts w:ascii="Arial" w:eastAsia="Times New Roman" w:hAnsi="Arial" w:cs="Arial"/>
                <w:b/>
                <w:bCs/>
                <w:color w:val="333333"/>
                <w:sz w:val="18"/>
                <w:szCs w:val="18"/>
                <w:lang w:eastAsia="en-US"/>
              </w:rPr>
            </w:pPr>
          </w:p>
        </w:tc>
        <w:tc>
          <w:tcPr>
            <w:tcW w:w="1431" w:type="dxa"/>
            <w:gridSpan w:val="2"/>
            <w:tcBorders>
              <w:top w:val="single" w:sz="4" w:space="0" w:color="auto"/>
              <w:left w:val="nil"/>
              <w:right w:val="nil"/>
            </w:tcBorders>
            <w:shd w:val="clear" w:color="FFFFFF" w:fill="FFFFFF"/>
            <w:noWrap/>
            <w:vAlign w:val="bottom"/>
          </w:tcPr>
          <w:p w14:paraId="4146A763" w14:textId="77777777" w:rsidR="006F55F8" w:rsidRPr="00803DAE" w:rsidRDefault="006F55F8" w:rsidP="006F55F8">
            <w:pPr>
              <w:spacing w:after="0"/>
              <w:contextualSpacing/>
              <w:jc w:val="right"/>
              <w:rPr>
                <w:rFonts w:ascii="Times New Roman" w:eastAsia="Times New Roman" w:hAnsi="Times New Roman"/>
                <w:sz w:val="18"/>
                <w:szCs w:val="18"/>
              </w:rPr>
            </w:pPr>
            <w:r w:rsidRPr="00803DAE">
              <w:rPr>
                <w:rFonts w:ascii="Times New Roman" w:eastAsia="Times New Roman" w:hAnsi="Times New Roman"/>
                <w:sz w:val="18"/>
                <w:szCs w:val="18"/>
              </w:rPr>
              <w:t>Arbeidsledige</w:t>
            </w:r>
          </w:p>
          <w:p w14:paraId="4E906AD7" w14:textId="77777777" w:rsidR="006F55F8" w:rsidRPr="00803DAE" w:rsidRDefault="006F55F8" w:rsidP="006F55F8">
            <w:pPr>
              <w:spacing w:after="0"/>
              <w:jc w:val="right"/>
              <w:rPr>
                <w:sz w:val="18"/>
                <w:szCs w:val="18"/>
              </w:rPr>
            </w:pPr>
            <w:r w:rsidRPr="00803DAE">
              <w:rPr>
                <w:rFonts w:ascii="Times New Roman" w:eastAsia="Times New Roman" w:hAnsi="Times New Roman"/>
                <w:sz w:val="18"/>
                <w:szCs w:val="18"/>
              </w:rPr>
              <w:t>(i prosent av arbeidsstyrken)</w:t>
            </w:r>
          </w:p>
        </w:tc>
        <w:tc>
          <w:tcPr>
            <w:tcW w:w="1897" w:type="dxa"/>
            <w:gridSpan w:val="2"/>
            <w:tcBorders>
              <w:top w:val="single" w:sz="4" w:space="0" w:color="auto"/>
              <w:left w:val="nil"/>
              <w:right w:val="nil"/>
            </w:tcBorders>
            <w:shd w:val="clear" w:color="FFFFFF" w:fill="FFFFFF"/>
            <w:noWrap/>
            <w:vAlign w:val="bottom"/>
          </w:tcPr>
          <w:p w14:paraId="155F86D6" w14:textId="77777777" w:rsidR="006F55F8" w:rsidRPr="00803DAE" w:rsidRDefault="006F55F8" w:rsidP="006F55F8">
            <w:pPr>
              <w:spacing w:after="0"/>
              <w:jc w:val="center"/>
              <w:rPr>
                <w:sz w:val="18"/>
                <w:szCs w:val="18"/>
              </w:rPr>
            </w:pPr>
            <w:r w:rsidRPr="00803DAE">
              <w:rPr>
                <w:rFonts w:ascii="Times New Roman" w:eastAsia="Times New Roman" w:hAnsi="Times New Roman"/>
                <w:sz w:val="18"/>
                <w:szCs w:val="18"/>
              </w:rPr>
              <w:t>Endring i arbeidsledige (prosentpoeng)</w:t>
            </w:r>
          </w:p>
        </w:tc>
        <w:tc>
          <w:tcPr>
            <w:tcW w:w="1292" w:type="dxa"/>
            <w:tcBorders>
              <w:top w:val="single" w:sz="4" w:space="0" w:color="auto"/>
              <w:left w:val="nil"/>
              <w:right w:val="nil"/>
            </w:tcBorders>
            <w:shd w:val="clear" w:color="FFFFFF" w:fill="FFFFFF"/>
            <w:noWrap/>
            <w:vAlign w:val="bottom"/>
          </w:tcPr>
          <w:p w14:paraId="0CC47339" w14:textId="77777777" w:rsidR="006F55F8" w:rsidRPr="00803DAE" w:rsidRDefault="006F55F8" w:rsidP="006F55F8">
            <w:pPr>
              <w:spacing w:after="0"/>
              <w:jc w:val="right"/>
              <w:rPr>
                <w:sz w:val="18"/>
                <w:szCs w:val="18"/>
              </w:rPr>
            </w:pPr>
            <w:r w:rsidRPr="00803DAE">
              <w:rPr>
                <w:rFonts w:ascii="Times New Roman" w:eastAsia="Times New Roman" w:hAnsi="Times New Roman"/>
                <w:sz w:val="18"/>
                <w:szCs w:val="18"/>
              </w:rPr>
              <w:t>Arbeidsledige</w:t>
            </w:r>
          </w:p>
        </w:tc>
        <w:tc>
          <w:tcPr>
            <w:tcW w:w="1427" w:type="dxa"/>
            <w:tcBorders>
              <w:top w:val="single" w:sz="4" w:space="0" w:color="auto"/>
              <w:left w:val="nil"/>
              <w:right w:val="nil"/>
            </w:tcBorders>
            <w:shd w:val="clear" w:color="FFFFFF" w:fill="FFFFFF"/>
            <w:noWrap/>
            <w:vAlign w:val="bottom"/>
          </w:tcPr>
          <w:p w14:paraId="6784FD03" w14:textId="77777777" w:rsidR="006F55F8" w:rsidRPr="00803DAE" w:rsidRDefault="006F55F8" w:rsidP="006F55F8">
            <w:pPr>
              <w:spacing w:after="0"/>
              <w:jc w:val="right"/>
              <w:rPr>
                <w:sz w:val="18"/>
                <w:szCs w:val="18"/>
              </w:rPr>
            </w:pPr>
            <w:r w:rsidRPr="00803DAE">
              <w:rPr>
                <w:rFonts w:ascii="Times New Roman" w:eastAsia="Times New Roman" w:hAnsi="Times New Roman"/>
                <w:sz w:val="18"/>
                <w:szCs w:val="18"/>
              </w:rPr>
              <w:t>Endring i arbeidsledige</w:t>
            </w:r>
          </w:p>
        </w:tc>
        <w:tc>
          <w:tcPr>
            <w:tcW w:w="1002" w:type="dxa"/>
            <w:tcBorders>
              <w:top w:val="single" w:sz="4" w:space="0" w:color="auto"/>
              <w:left w:val="nil"/>
              <w:right w:val="nil"/>
            </w:tcBorders>
            <w:shd w:val="clear" w:color="FFFFFF" w:fill="FFFFFF"/>
            <w:noWrap/>
            <w:vAlign w:val="bottom"/>
          </w:tcPr>
          <w:p w14:paraId="73EB5BD7" w14:textId="77777777" w:rsidR="006F55F8" w:rsidRPr="00803DAE" w:rsidRDefault="006F55F8" w:rsidP="006F55F8">
            <w:pPr>
              <w:spacing w:after="0"/>
              <w:jc w:val="right"/>
              <w:rPr>
                <w:sz w:val="18"/>
                <w:szCs w:val="18"/>
              </w:rPr>
            </w:pPr>
            <w:r w:rsidRPr="00803DAE">
              <w:rPr>
                <w:rFonts w:ascii="Times New Roman" w:eastAsia="Times New Roman" w:hAnsi="Times New Roman"/>
                <w:sz w:val="18"/>
                <w:szCs w:val="18"/>
              </w:rPr>
              <w:t>Ledige stillinger</w:t>
            </w:r>
          </w:p>
        </w:tc>
        <w:tc>
          <w:tcPr>
            <w:tcW w:w="958" w:type="dxa"/>
            <w:tcBorders>
              <w:top w:val="single" w:sz="4" w:space="0" w:color="auto"/>
              <w:left w:val="nil"/>
              <w:right w:val="nil"/>
            </w:tcBorders>
            <w:shd w:val="clear" w:color="FFFFFF" w:fill="FFFFFF"/>
            <w:noWrap/>
            <w:vAlign w:val="bottom"/>
          </w:tcPr>
          <w:p w14:paraId="272F3BB2" w14:textId="77777777" w:rsidR="006F55F8" w:rsidRPr="00803DAE" w:rsidRDefault="006F55F8" w:rsidP="006F55F8">
            <w:pPr>
              <w:spacing w:after="0"/>
              <w:jc w:val="right"/>
              <w:rPr>
                <w:sz w:val="18"/>
                <w:szCs w:val="18"/>
              </w:rPr>
            </w:pPr>
            <w:r w:rsidRPr="00803DAE">
              <w:rPr>
                <w:rFonts w:ascii="Times New Roman" w:eastAsia="Times New Roman" w:hAnsi="Times New Roman"/>
                <w:sz w:val="18"/>
                <w:szCs w:val="18"/>
              </w:rPr>
              <w:t>Endring i ledige stillinger</w:t>
            </w:r>
          </w:p>
        </w:tc>
      </w:tr>
      <w:tr w:rsidR="006F55F8" w:rsidRPr="00AF266F" w14:paraId="5E9D6371" w14:textId="77777777" w:rsidTr="006F55F8">
        <w:trPr>
          <w:trHeight w:val="255"/>
        </w:trPr>
        <w:tc>
          <w:tcPr>
            <w:tcW w:w="1457" w:type="dxa"/>
            <w:tcBorders>
              <w:left w:val="nil"/>
              <w:bottom w:val="single" w:sz="4" w:space="0" w:color="auto"/>
              <w:right w:val="nil"/>
            </w:tcBorders>
            <w:shd w:val="clear" w:color="FFFFFF" w:fill="FFFFFF"/>
            <w:noWrap/>
            <w:vAlign w:val="bottom"/>
          </w:tcPr>
          <w:p w14:paraId="7BE7BFD8" w14:textId="77777777" w:rsidR="006F55F8" w:rsidRDefault="006F55F8" w:rsidP="006F55F8">
            <w:pPr>
              <w:spacing w:after="0"/>
              <w:jc w:val="right"/>
              <w:rPr>
                <w:rFonts w:ascii="Arial" w:eastAsia="Times New Roman" w:hAnsi="Arial" w:cs="Arial"/>
                <w:b/>
                <w:bCs/>
                <w:color w:val="333333"/>
                <w:sz w:val="18"/>
                <w:szCs w:val="18"/>
                <w:lang w:eastAsia="en-US"/>
              </w:rPr>
            </w:pPr>
          </w:p>
        </w:tc>
        <w:tc>
          <w:tcPr>
            <w:tcW w:w="1431" w:type="dxa"/>
            <w:gridSpan w:val="2"/>
            <w:tcBorders>
              <w:left w:val="nil"/>
              <w:bottom w:val="single" w:sz="4" w:space="0" w:color="auto"/>
              <w:right w:val="nil"/>
            </w:tcBorders>
            <w:shd w:val="clear" w:color="FFFFFF" w:fill="FFFFFF"/>
            <w:noWrap/>
            <w:vAlign w:val="center"/>
          </w:tcPr>
          <w:p w14:paraId="04B7C8B8" w14:textId="77777777" w:rsidR="006F55F8" w:rsidRPr="00AA2C86" w:rsidRDefault="006F55F8" w:rsidP="006F55F8">
            <w:pPr>
              <w:spacing w:after="0"/>
              <w:jc w:val="right"/>
              <w:rPr>
                <w:sz w:val="20"/>
              </w:rPr>
            </w:pPr>
            <w:r>
              <w:rPr>
                <w:sz w:val="20"/>
              </w:rPr>
              <w:t>2015</w:t>
            </w:r>
          </w:p>
        </w:tc>
        <w:tc>
          <w:tcPr>
            <w:tcW w:w="1115" w:type="dxa"/>
            <w:tcBorders>
              <w:left w:val="nil"/>
              <w:bottom w:val="single" w:sz="4" w:space="0" w:color="auto"/>
              <w:right w:val="nil"/>
            </w:tcBorders>
            <w:shd w:val="clear" w:color="FFFFFF" w:fill="FFFFFF"/>
            <w:noWrap/>
            <w:vAlign w:val="center"/>
          </w:tcPr>
          <w:p w14:paraId="199BE914" w14:textId="77777777" w:rsidR="006F55F8" w:rsidRPr="00AA2C86" w:rsidRDefault="006F55F8" w:rsidP="006F55F8">
            <w:pPr>
              <w:spacing w:after="0"/>
              <w:jc w:val="center"/>
              <w:rPr>
                <w:sz w:val="20"/>
              </w:rPr>
            </w:pPr>
            <w:r>
              <w:rPr>
                <w:sz w:val="20"/>
              </w:rPr>
              <w:t>2014-15</w:t>
            </w:r>
          </w:p>
        </w:tc>
        <w:tc>
          <w:tcPr>
            <w:tcW w:w="782" w:type="dxa"/>
            <w:tcBorders>
              <w:left w:val="nil"/>
              <w:bottom w:val="single" w:sz="4" w:space="0" w:color="auto"/>
              <w:right w:val="nil"/>
            </w:tcBorders>
            <w:shd w:val="clear" w:color="FFFFFF" w:fill="FFFFFF"/>
            <w:vAlign w:val="center"/>
          </w:tcPr>
          <w:p w14:paraId="0D495A84" w14:textId="77777777" w:rsidR="006F55F8" w:rsidRPr="00AA2C86" w:rsidRDefault="006F55F8" w:rsidP="006F55F8">
            <w:pPr>
              <w:spacing w:after="0"/>
              <w:jc w:val="center"/>
              <w:rPr>
                <w:sz w:val="20"/>
              </w:rPr>
            </w:pPr>
            <w:r>
              <w:rPr>
                <w:sz w:val="20"/>
              </w:rPr>
              <w:t>Jan.16</w:t>
            </w:r>
          </w:p>
        </w:tc>
        <w:tc>
          <w:tcPr>
            <w:tcW w:w="1292" w:type="dxa"/>
            <w:tcBorders>
              <w:left w:val="nil"/>
              <w:bottom w:val="single" w:sz="4" w:space="0" w:color="auto"/>
              <w:right w:val="nil"/>
            </w:tcBorders>
            <w:shd w:val="clear" w:color="FFFFFF" w:fill="FFFFFF"/>
            <w:noWrap/>
            <w:vAlign w:val="center"/>
          </w:tcPr>
          <w:p w14:paraId="522240E9" w14:textId="77777777" w:rsidR="006F55F8" w:rsidRPr="00AA2C86" w:rsidRDefault="006F55F8" w:rsidP="006F55F8">
            <w:pPr>
              <w:spacing w:after="0"/>
              <w:jc w:val="right"/>
              <w:rPr>
                <w:sz w:val="20"/>
              </w:rPr>
            </w:pPr>
            <w:r>
              <w:rPr>
                <w:sz w:val="20"/>
              </w:rPr>
              <w:t>2015</w:t>
            </w:r>
          </w:p>
        </w:tc>
        <w:tc>
          <w:tcPr>
            <w:tcW w:w="1427" w:type="dxa"/>
            <w:tcBorders>
              <w:left w:val="nil"/>
              <w:bottom w:val="single" w:sz="4" w:space="0" w:color="auto"/>
              <w:right w:val="nil"/>
            </w:tcBorders>
            <w:shd w:val="clear" w:color="FFFFFF" w:fill="FFFFFF"/>
            <w:noWrap/>
            <w:vAlign w:val="center"/>
          </w:tcPr>
          <w:p w14:paraId="07210503" w14:textId="5718E9B1" w:rsidR="006F55F8" w:rsidRPr="00AA2C86" w:rsidRDefault="006F55F8" w:rsidP="00D53D73">
            <w:pPr>
              <w:spacing w:after="0"/>
              <w:jc w:val="right"/>
              <w:rPr>
                <w:sz w:val="20"/>
              </w:rPr>
            </w:pPr>
            <w:r>
              <w:rPr>
                <w:sz w:val="20"/>
              </w:rPr>
              <w:t>201</w:t>
            </w:r>
            <w:r w:rsidR="00D53D73">
              <w:rPr>
                <w:sz w:val="20"/>
              </w:rPr>
              <w:t>4</w:t>
            </w:r>
            <w:r>
              <w:rPr>
                <w:sz w:val="20"/>
              </w:rPr>
              <w:t>-1</w:t>
            </w:r>
            <w:r w:rsidR="00D53D73">
              <w:rPr>
                <w:sz w:val="20"/>
              </w:rPr>
              <w:t>5</w:t>
            </w:r>
          </w:p>
        </w:tc>
        <w:tc>
          <w:tcPr>
            <w:tcW w:w="1002" w:type="dxa"/>
            <w:tcBorders>
              <w:left w:val="nil"/>
              <w:bottom w:val="single" w:sz="4" w:space="0" w:color="auto"/>
              <w:right w:val="nil"/>
            </w:tcBorders>
            <w:shd w:val="clear" w:color="FFFFFF" w:fill="FFFFFF"/>
            <w:noWrap/>
            <w:vAlign w:val="center"/>
          </w:tcPr>
          <w:p w14:paraId="18C9F9D1" w14:textId="77777777" w:rsidR="006F55F8" w:rsidRPr="00AA2C86" w:rsidRDefault="006F55F8" w:rsidP="006F55F8">
            <w:pPr>
              <w:spacing w:after="0"/>
              <w:jc w:val="right"/>
              <w:rPr>
                <w:sz w:val="20"/>
              </w:rPr>
            </w:pPr>
            <w:r>
              <w:rPr>
                <w:sz w:val="20"/>
              </w:rPr>
              <w:t>2015</w:t>
            </w:r>
          </w:p>
        </w:tc>
        <w:tc>
          <w:tcPr>
            <w:tcW w:w="958" w:type="dxa"/>
            <w:tcBorders>
              <w:left w:val="nil"/>
              <w:bottom w:val="single" w:sz="4" w:space="0" w:color="auto"/>
              <w:right w:val="nil"/>
            </w:tcBorders>
            <w:shd w:val="clear" w:color="FFFFFF" w:fill="FFFFFF"/>
            <w:noWrap/>
            <w:vAlign w:val="center"/>
          </w:tcPr>
          <w:p w14:paraId="17818378" w14:textId="77777777" w:rsidR="006F55F8" w:rsidRPr="00AA2C86" w:rsidRDefault="006F55F8" w:rsidP="006F55F8">
            <w:pPr>
              <w:spacing w:after="0"/>
              <w:jc w:val="right"/>
              <w:rPr>
                <w:sz w:val="20"/>
              </w:rPr>
            </w:pPr>
            <w:r>
              <w:rPr>
                <w:sz w:val="20"/>
              </w:rPr>
              <w:t>2014-15</w:t>
            </w:r>
          </w:p>
        </w:tc>
      </w:tr>
      <w:tr w:rsidR="006F55F8" w:rsidRPr="00803DAE" w14:paraId="40CDCE20" w14:textId="77777777" w:rsidTr="006F55F8">
        <w:trPr>
          <w:trHeight w:val="255"/>
        </w:trPr>
        <w:tc>
          <w:tcPr>
            <w:tcW w:w="1985" w:type="dxa"/>
            <w:gridSpan w:val="2"/>
            <w:tcBorders>
              <w:top w:val="single" w:sz="4" w:space="0" w:color="auto"/>
              <w:left w:val="nil"/>
              <w:bottom w:val="single" w:sz="4" w:space="0" w:color="auto"/>
              <w:right w:val="nil"/>
            </w:tcBorders>
            <w:shd w:val="clear" w:color="FFFFFF" w:fill="FFFFFF"/>
            <w:noWrap/>
            <w:vAlign w:val="bottom"/>
            <w:hideMark/>
          </w:tcPr>
          <w:p w14:paraId="56FCBF84" w14:textId="77777777" w:rsidR="006F55F8" w:rsidRPr="00803DAE" w:rsidRDefault="006F55F8" w:rsidP="00FD7CA8">
            <w:pPr>
              <w:spacing w:after="0"/>
              <w:rPr>
                <w:rFonts w:ascii="Arial" w:eastAsia="Times New Roman" w:hAnsi="Arial" w:cs="Arial"/>
                <w:b/>
                <w:bCs/>
                <w:color w:val="333333"/>
                <w:sz w:val="18"/>
                <w:szCs w:val="18"/>
                <w:lang w:eastAsia="en-US"/>
              </w:rPr>
            </w:pPr>
            <w:r w:rsidRPr="00803DAE">
              <w:rPr>
                <w:rFonts w:ascii="Arial" w:eastAsia="Times New Roman" w:hAnsi="Arial" w:cs="Arial"/>
                <w:b/>
                <w:bCs/>
                <w:color w:val="333333"/>
                <w:sz w:val="18"/>
                <w:szCs w:val="18"/>
                <w:lang w:eastAsia="en-US"/>
              </w:rPr>
              <w:t>Hele landet </w:t>
            </w:r>
          </w:p>
        </w:tc>
        <w:tc>
          <w:tcPr>
            <w:tcW w:w="903" w:type="dxa"/>
            <w:tcBorders>
              <w:top w:val="single" w:sz="4" w:space="0" w:color="auto"/>
              <w:left w:val="nil"/>
              <w:bottom w:val="single" w:sz="4" w:space="0" w:color="auto"/>
              <w:right w:val="nil"/>
            </w:tcBorders>
            <w:shd w:val="clear" w:color="FFFFFF" w:fill="FFFFFF"/>
            <w:noWrap/>
            <w:vAlign w:val="center"/>
            <w:hideMark/>
          </w:tcPr>
          <w:p w14:paraId="394C0026" w14:textId="77777777" w:rsidR="006F55F8" w:rsidRPr="00803DAE" w:rsidRDefault="006F55F8" w:rsidP="006F55F8">
            <w:pPr>
              <w:spacing w:after="0"/>
              <w:jc w:val="right"/>
              <w:rPr>
                <w:b/>
                <w:sz w:val="20"/>
              </w:rPr>
            </w:pPr>
            <w:r w:rsidRPr="00803DAE">
              <w:rPr>
                <w:b/>
                <w:sz w:val="20"/>
              </w:rPr>
              <w:t>3,0</w:t>
            </w:r>
          </w:p>
        </w:tc>
        <w:tc>
          <w:tcPr>
            <w:tcW w:w="1115" w:type="dxa"/>
            <w:tcBorders>
              <w:top w:val="single" w:sz="4" w:space="0" w:color="auto"/>
              <w:left w:val="nil"/>
              <w:bottom w:val="single" w:sz="4" w:space="0" w:color="auto"/>
              <w:right w:val="nil"/>
            </w:tcBorders>
            <w:shd w:val="clear" w:color="FFFFFF" w:fill="FFFFFF"/>
            <w:noWrap/>
            <w:vAlign w:val="center"/>
            <w:hideMark/>
          </w:tcPr>
          <w:p w14:paraId="33AE7970" w14:textId="77777777" w:rsidR="006F55F8" w:rsidRPr="00803DAE" w:rsidRDefault="006F55F8" w:rsidP="006F55F8">
            <w:pPr>
              <w:spacing w:after="0"/>
              <w:jc w:val="center"/>
              <w:rPr>
                <w:b/>
                <w:sz w:val="20"/>
              </w:rPr>
            </w:pPr>
            <w:r w:rsidRPr="00803DAE">
              <w:rPr>
                <w:b/>
                <w:sz w:val="20"/>
              </w:rPr>
              <w:t>0,2</w:t>
            </w:r>
          </w:p>
        </w:tc>
        <w:tc>
          <w:tcPr>
            <w:tcW w:w="782" w:type="dxa"/>
            <w:tcBorders>
              <w:top w:val="single" w:sz="4" w:space="0" w:color="auto"/>
              <w:left w:val="nil"/>
              <w:bottom w:val="single" w:sz="4" w:space="0" w:color="auto"/>
              <w:right w:val="nil"/>
            </w:tcBorders>
            <w:shd w:val="clear" w:color="FFFFFF" w:fill="FFFFFF"/>
            <w:vAlign w:val="center"/>
          </w:tcPr>
          <w:p w14:paraId="47758A0A" w14:textId="77777777" w:rsidR="006F55F8" w:rsidRPr="00803DAE" w:rsidRDefault="006F55F8" w:rsidP="006F55F8">
            <w:pPr>
              <w:spacing w:after="0"/>
              <w:jc w:val="center"/>
              <w:rPr>
                <w:b/>
                <w:sz w:val="20"/>
              </w:rPr>
            </w:pPr>
            <w:r w:rsidRPr="00803DAE">
              <w:rPr>
                <w:b/>
                <w:sz w:val="20"/>
              </w:rPr>
              <w:t>0,4</w:t>
            </w:r>
          </w:p>
        </w:tc>
        <w:tc>
          <w:tcPr>
            <w:tcW w:w="1292" w:type="dxa"/>
            <w:tcBorders>
              <w:top w:val="single" w:sz="4" w:space="0" w:color="auto"/>
              <w:left w:val="nil"/>
              <w:bottom w:val="single" w:sz="4" w:space="0" w:color="auto"/>
              <w:right w:val="nil"/>
            </w:tcBorders>
            <w:shd w:val="clear" w:color="FFFFFF" w:fill="FFFFFF"/>
            <w:noWrap/>
            <w:vAlign w:val="center"/>
            <w:hideMark/>
          </w:tcPr>
          <w:p w14:paraId="033D7EFF" w14:textId="77777777" w:rsidR="006F55F8" w:rsidRPr="00803DAE" w:rsidRDefault="006F55F8" w:rsidP="006F55F8">
            <w:pPr>
              <w:spacing w:after="0"/>
              <w:jc w:val="right"/>
              <w:rPr>
                <w:b/>
                <w:sz w:val="20"/>
              </w:rPr>
            </w:pPr>
            <w:r w:rsidRPr="00803DAE">
              <w:rPr>
                <w:b/>
                <w:sz w:val="20"/>
              </w:rPr>
              <w:t>80 561</w:t>
            </w:r>
          </w:p>
        </w:tc>
        <w:tc>
          <w:tcPr>
            <w:tcW w:w="1427" w:type="dxa"/>
            <w:tcBorders>
              <w:top w:val="single" w:sz="4" w:space="0" w:color="auto"/>
              <w:left w:val="nil"/>
              <w:bottom w:val="single" w:sz="4" w:space="0" w:color="auto"/>
              <w:right w:val="nil"/>
            </w:tcBorders>
            <w:shd w:val="clear" w:color="FFFFFF" w:fill="FFFFFF"/>
            <w:noWrap/>
            <w:vAlign w:val="center"/>
            <w:hideMark/>
          </w:tcPr>
          <w:p w14:paraId="693DBC8C" w14:textId="77777777" w:rsidR="006F55F8" w:rsidRPr="00803DAE" w:rsidRDefault="006F55F8" w:rsidP="006F55F8">
            <w:pPr>
              <w:spacing w:after="0"/>
              <w:jc w:val="right"/>
              <w:rPr>
                <w:b/>
                <w:sz w:val="20"/>
              </w:rPr>
            </w:pPr>
            <w:r w:rsidRPr="00803DAE">
              <w:rPr>
                <w:b/>
                <w:sz w:val="20"/>
              </w:rPr>
              <w:t>5 307</w:t>
            </w:r>
          </w:p>
        </w:tc>
        <w:tc>
          <w:tcPr>
            <w:tcW w:w="1002" w:type="dxa"/>
            <w:tcBorders>
              <w:top w:val="single" w:sz="4" w:space="0" w:color="auto"/>
              <w:left w:val="nil"/>
              <w:bottom w:val="single" w:sz="4" w:space="0" w:color="auto"/>
              <w:right w:val="nil"/>
            </w:tcBorders>
            <w:shd w:val="clear" w:color="FFFFFF" w:fill="FFFFFF"/>
            <w:noWrap/>
            <w:vAlign w:val="center"/>
            <w:hideMark/>
          </w:tcPr>
          <w:p w14:paraId="007744BF" w14:textId="77777777" w:rsidR="006F55F8" w:rsidRPr="00803DAE" w:rsidRDefault="006F55F8" w:rsidP="006F55F8">
            <w:pPr>
              <w:spacing w:after="0"/>
              <w:jc w:val="right"/>
              <w:rPr>
                <w:b/>
                <w:sz w:val="20"/>
              </w:rPr>
            </w:pPr>
            <w:r w:rsidRPr="00803DAE">
              <w:rPr>
                <w:b/>
                <w:sz w:val="20"/>
              </w:rPr>
              <w:t>202 170</w:t>
            </w:r>
          </w:p>
        </w:tc>
        <w:tc>
          <w:tcPr>
            <w:tcW w:w="958" w:type="dxa"/>
            <w:tcBorders>
              <w:top w:val="single" w:sz="4" w:space="0" w:color="auto"/>
              <w:left w:val="nil"/>
              <w:bottom w:val="single" w:sz="4" w:space="0" w:color="auto"/>
              <w:right w:val="nil"/>
            </w:tcBorders>
            <w:shd w:val="clear" w:color="FFFFFF" w:fill="FFFFFF"/>
            <w:noWrap/>
            <w:vAlign w:val="center"/>
            <w:hideMark/>
          </w:tcPr>
          <w:p w14:paraId="7A94FD7E" w14:textId="77777777" w:rsidR="006F55F8" w:rsidRPr="00803DAE" w:rsidRDefault="006F55F8" w:rsidP="006F55F8">
            <w:pPr>
              <w:spacing w:after="0"/>
              <w:jc w:val="right"/>
              <w:rPr>
                <w:b/>
                <w:sz w:val="20"/>
              </w:rPr>
            </w:pPr>
            <w:r w:rsidRPr="00803DAE">
              <w:rPr>
                <w:b/>
                <w:sz w:val="20"/>
              </w:rPr>
              <w:t>4 228</w:t>
            </w:r>
          </w:p>
        </w:tc>
      </w:tr>
      <w:tr w:rsidR="006F55F8" w:rsidRPr="00AF266F" w14:paraId="43AB8F60" w14:textId="77777777" w:rsidTr="006F55F8">
        <w:trPr>
          <w:trHeight w:val="255"/>
        </w:trPr>
        <w:tc>
          <w:tcPr>
            <w:tcW w:w="1985" w:type="dxa"/>
            <w:gridSpan w:val="2"/>
            <w:tcBorders>
              <w:top w:val="single" w:sz="4" w:space="0" w:color="auto"/>
              <w:left w:val="nil"/>
              <w:right w:val="nil"/>
            </w:tcBorders>
            <w:shd w:val="clear" w:color="auto" w:fill="auto"/>
            <w:noWrap/>
            <w:vAlign w:val="bottom"/>
            <w:hideMark/>
          </w:tcPr>
          <w:p w14:paraId="326970AD" w14:textId="77777777" w:rsidR="006F55F8" w:rsidRPr="00AA2C86"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 </w:t>
            </w:r>
            <w:r w:rsidRPr="00AA2C86">
              <w:rPr>
                <w:rFonts w:ascii="Arial" w:eastAsia="Times New Roman" w:hAnsi="Arial" w:cs="Arial"/>
                <w:color w:val="333333"/>
                <w:sz w:val="18"/>
                <w:szCs w:val="18"/>
                <w:lang w:val="en-US" w:eastAsia="en-US"/>
              </w:rPr>
              <w:t>Rogaland</w:t>
            </w:r>
          </w:p>
        </w:tc>
        <w:tc>
          <w:tcPr>
            <w:tcW w:w="903" w:type="dxa"/>
            <w:tcBorders>
              <w:top w:val="single" w:sz="4" w:space="0" w:color="auto"/>
              <w:left w:val="nil"/>
              <w:bottom w:val="nil"/>
              <w:right w:val="nil"/>
            </w:tcBorders>
            <w:shd w:val="clear" w:color="FFFFFF" w:fill="FFFFFF"/>
            <w:noWrap/>
            <w:vAlign w:val="center"/>
            <w:hideMark/>
          </w:tcPr>
          <w:p w14:paraId="12146887" w14:textId="77777777" w:rsidR="006F55F8" w:rsidRPr="00AA2C86" w:rsidRDefault="006F55F8" w:rsidP="006F55F8">
            <w:pPr>
              <w:spacing w:after="0"/>
              <w:jc w:val="right"/>
              <w:rPr>
                <w:sz w:val="20"/>
              </w:rPr>
            </w:pPr>
            <w:r w:rsidRPr="00AA2C86">
              <w:rPr>
                <w:sz w:val="20"/>
              </w:rPr>
              <w:t>3</w:t>
            </w:r>
            <w:r>
              <w:rPr>
                <w:sz w:val="20"/>
              </w:rPr>
              <w:t>,</w:t>
            </w:r>
            <w:r w:rsidRPr="00AA2C86">
              <w:rPr>
                <w:sz w:val="20"/>
              </w:rPr>
              <w:t>4</w:t>
            </w:r>
          </w:p>
        </w:tc>
        <w:tc>
          <w:tcPr>
            <w:tcW w:w="1115" w:type="dxa"/>
            <w:tcBorders>
              <w:top w:val="single" w:sz="4" w:space="0" w:color="auto"/>
              <w:left w:val="nil"/>
              <w:bottom w:val="nil"/>
              <w:right w:val="nil"/>
            </w:tcBorders>
            <w:shd w:val="clear" w:color="FFFFFF" w:fill="FFFFFF"/>
            <w:noWrap/>
            <w:vAlign w:val="center"/>
            <w:hideMark/>
          </w:tcPr>
          <w:p w14:paraId="33FAC80E" w14:textId="77777777" w:rsidR="006F55F8" w:rsidRPr="00AA2C86" w:rsidRDefault="006F55F8" w:rsidP="006F55F8">
            <w:pPr>
              <w:spacing w:after="0"/>
              <w:jc w:val="center"/>
              <w:rPr>
                <w:sz w:val="20"/>
              </w:rPr>
            </w:pPr>
            <w:r w:rsidRPr="00AA2C86">
              <w:rPr>
                <w:sz w:val="20"/>
              </w:rPr>
              <w:t>1</w:t>
            </w:r>
            <w:r>
              <w:rPr>
                <w:sz w:val="20"/>
              </w:rPr>
              <w:t>,</w:t>
            </w:r>
            <w:r w:rsidRPr="00AA2C86">
              <w:rPr>
                <w:sz w:val="20"/>
              </w:rPr>
              <w:t>2</w:t>
            </w:r>
          </w:p>
        </w:tc>
        <w:tc>
          <w:tcPr>
            <w:tcW w:w="782" w:type="dxa"/>
            <w:tcBorders>
              <w:top w:val="single" w:sz="4" w:space="0" w:color="auto"/>
              <w:left w:val="nil"/>
              <w:bottom w:val="nil"/>
              <w:right w:val="nil"/>
            </w:tcBorders>
            <w:shd w:val="clear" w:color="FFFFFF" w:fill="FFFFFF"/>
            <w:vAlign w:val="center"/>
          </w:tcPr>
          <w:p w14:paraId="36D97FBA" w14:textId="77777777" w:rsidR="006F55F8" w:rsidRPr="00AA2C86" w:rsidRDefault="006F55F8" w:rsidP="006F55F8">
            <w:pPr>
              <w:spacing w:after="0"/>
              <w:jc w:val="center"/>
              <w:rPr>
                <w:sz w:val="20"/>
              </w:rPr>
            </w:pPr>
            <w:r>
              <w:rPr>
                <w:sz w:val="20"/>
              </w:rPr>
              <w:t>2,1</w:t>
            </w:r>
          </w:p>
        </w:tc>
        <w:tc>
          <w:tcPr>
            <w:tcW w:w="1292" w:type="dxa"/>
            <w:tcBorders>
              <w:top w:val="single" w:sz="4" w:space="0" w:color="auto"/>
              <w:left w:val="nil"/>
              <w:bottom w:val="nil"/>
              <w:right w:val="nil"/>
            </w:tcBorders>
            <w:shd w:val="clear" w:color="FFFFFF" w:fill="FFFFFF"/>
            <w:noWrap/>
            <w:vAlign w:val="center"/>
            <w:hideMark/>
          </w:tcPr>
          <w:p w14:paraId="5105D6B7" w14:textId="77777777" w:rsidR="006F55F8" w:rsidRPr="00AA2C86" w:rsidRDefault="006F55F8" w:rsidP="006F55F8">
            <w:pPr>
              <w:spacing w:after="0"/>
              <w:jc w:val="right"/>
              <w:rPr>
                <w:sz w:val="20"/>
              </w:rPr>
            </w:pPr>
            <w:r w:rsidRPr="00AA2C86">
              <w:rPr>
                <w:sz w:val="20"/>
              </w:rPr>
              <w:t>8</w:t>
            </w:r>
            <w:r>
              <w:rPr>
                <w:sz w:val="20"/>
              </w:rPr>
              <w:t xml:space="preserve"> </w:t>
            </w:r>
            <w:r w:rsidRPr="00AA2C86">
              <w:rPr>
                <w:sz w:val="20"/>
              </w:rPr>
              <w:t>793</w:t>
            </w:r>
          </w:p>
        </w:tc>
        <w:tc>
          <w:tcPr>
            <w:tcW w:w="1427" w:type="dxa"/>
            <w:tcBorders>
              <w:top w:val="single" w:sz="4" w:space="0" w:color="auto"/>
              <w:left w:val="nil"/>
              <w:bottom w:val="nil"/>
              <w:right w:val="nil"/>
            </w:tcBorders>
            <w:shd w:val="clear" w:color="FFFFFF" w:fill="FFFFFF"/>
            <w:noWrap/>
            <w:vAlign w:val="center"/>
            <w:hideMark/>
          </w:tcPr>
          <w:p w14:paraId="680B03A5"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284</w:t>
            </w:r>
          </w:p>
        </w:tc>
        <w:tc>
          <w:tcPr>
            <w:tcW w:w="1002" w:type="dxa"/>
            <w:tcBorders>
              <w:top w:val="single" w:sz="4" w:space="0" w:color="auto"/>
              <w:left w:val="nil"/>
              <w:bottom w:val="nil"/>
              <w:right w:val="nil"/>
            </w:tcBorders>
            <w:shd w:val="clear" w:color="FFFFFF" w:fill="FFFFFF"/>
            <w:noWrap/>
            <w:vAlign w:val="center"/>
            <w:hideMark/>
          </w:tcPr>
          <w:p w14:paraId="0997B0A1" w14:textId="77777777" w:rsidR="006F55F8" w:rsidRPr="00AA2C86" w:rsidRDefault="006F55F8" w:rsidP="006F55F8">
            <w:pPr>
              <w:spacing w:after="0"/>
              <w:jc w:val="right"/>
              <w:rPr>
                <w:sz w:val="20"/>
              </w:rPr>
            </w:pPr>
            <w:r w:rsidRPr="00AA2C86">
              <w:rPr>
                <w:sz w:val="20"/>
              </w:rPr>
              <w:t>15</w:t>
            </w:r>
            <w:r>
              <w:rPr>
                <w:sz w:val="20"/>
              </w:rPr>
              <w:t xml:space="preserve"> </w:t>
            </w:r>
            <w:r w:rsidRPr="00AA2C86">
              <w:rPr>
                <w:sz w:val="20"/>
              </w:rPr>
              <w:t>556</w:t>
            </w:r>
          </w:p>
        </w:tc>
        <w:tc>
          <w:tcPr>
            <w:tcW w:w="958" w:type="dxa"/>
            <w:tcBorders>
              <w:top w:val="single" w:sz="4" w:space="0" w:color="auto"/>
              <w:left w:val="nil"/>
              <w:bottom w:val="nil"/>
              <w:right w:val="nil"/>
            </w:tcBorders>
            <w:shd w:val="clear" w:color="FFFFFF" w:fill="FFFFFF"/>
            <w:noWrap/>
            <w:vAlign w:val="center"/>
            <w:hideMark/>
          </w:tcPr>
          <w:p w14:paraId="1B5FC23E" w14:textId="77777777" w:rsidR="006F55F8" w:rsidRPr="00AA2C86" w:rsidRDefault="006F55F8" w:rsidP="006F55F8">
            <w:pPr>
              <w:spacing w:after="0"/>
              <w:jc w:val="right"/>
              <w:rPr>
                <w:sz w:val="20"/>
              </w:rPr>
            </w:pPr>
            <w:r w:rsidRPr="00AA2C86">
              <w:rPr>
                <w:sz w:val="20"/>
              </w:rPr>
              <w:t>-2</w:t>
            </w:r>
            <w:r>
              <w:rPr>
                <w:sz w:val="20"/>
              </w:rPr>
              <w:t xml:space="preserve"> </w:t>
            </w:r>
            <w:r w:rsidRPr="00AA2C86">
              <w:rPr>
                <w:sz w:val="20"/>
              </w:rPr>
              <w:t>024</w:t>
            </w:r>
          </w:p>
        </w:tc>
      </w:tr>
      <w:tr w:rsidR="006F55F8" w:rsidRPr="00AF266F" w14:paraId="6A978126" w14:textId="77777777" w:rsidTr="006F55F8">
        <w:trPr>
          <w:trHeight w:val="255"/>
        </w:trPr>
        <w:tc>
          <w:tcPr>
            <w:tcW w:w="1985" w:type="dxa"/>
            <w:gridSpan w:val="2"/>
            <w:tcBorders>
              <w:top w:val="nil"/>
              <w:left w:val="nil"/>
              <w:right w:val="nil"/>
            </w:tcBorders>
            <w:shd w:val="clear" w:color="auto" w:fill="auto"/>
            <w:noWrap/>
            <w:vAlign w:val="bottom"/>
            <w:hideMark/>
          </w:tcPr>
          <w:p w14:paraId="27A84153" w14:textId="77777777" w:rsidR="006F55F8" w:rsidRPr="00A16BC7" w:rsidRDefault="006F55F8" w:rsidP="00FD7CA8">
            <w:pPr>
              <w:spacing w:after="0"/>
              <w:rPr>
                <w:rFonts w:ascii="Arial" w:eastAsia="Times New Roman" w:hAnsi="Arial" w:cs="Arial"/>
                <w:color w:val="333333"/>
                <w:sz w:val="18"/>
                <w:szCs w:val="18"/>
                <w:lang w:eastAsia="en-US"/>
              </w:rPr>
            </w:pPr>
            <w:r w:rsidRPr="00A16BC7">
              <w:rPr>
                <w:rFonts w:ascii="Arial" w:eastAsia="Times New Roman" w:hAnsi="Arial" w:cs="Arial"/>
                <w:color w:val="333333"/>
                <w:sz w:val="18"/>
                <w:szCs w:val="18"/>
                <w:lang w:eastAsia="en-US"/>
              </w:rPr>
              <w:t>2. Hordaland</w:t>
            </w:r>
          </w:p>
        </w:tc>
        <w:tc>
          <w:tcPr>
            <w:tcW w:w="903" w:type="dxa"/>
            <w:tcBorders>
              <w:top w:val="nil"/>
              <w:left w:val="nil"/>
              <w:bottom w:val="nil"/>
              <w:right w:val="nil"/>
            </w:tcBorders>
            <w:shd w:val="clear" w:color="FFFFFF" w:fill="FFFFFF"/>
            <w:noWrap/>
            <w:vAlign w:val="center"/>
            <w:hideMark/>
          </w:tcPr>
          <w:p w14:paraId="7CDED2C2" w14:textId="77777777" w:rsidR="006F55F8" w:rsidRPr="00AA2C86" w:rsidRDefault="006F55F8" w:rsidP="006F55F8">
            <w:pPr>
              <w:spacing w:after="0"/>
              <w:jc w:val="right"/>
              <w:rPr>
                <w:sz w:val="20"/>
              </w:rPr>
            </w:pPr>
            <w:r w:rsidRPr="00AA2C86">
              <w:rPr>
                <w:sz w:val="20"/>
              </w:rPr>
              <w:t>2</w:t>
            </w:r>
            <w:r>
              <w:rPr>
                <w:sz w:val="20"/>
              </w:rPr>
              <w:t>,</w:t>
            </w:r>
            <w:r w:rsidRPr="00AA2C86">
              <w:rPr>
                <w:sz w:val="20"/>
              </w:rPr>
              <w:t>8</w:t>
            </w:r>
          </w:p>
        </w:tc>
        <w:tc>
          <w:tcPr>
            <w:tcW w:w="1115" w:type="dxa"/>
            <w:tcBorders>
              <w:top w:val="nil"/>
              <w:left w:val="nil"/>
              <w:bottom w:val="nil"/>
              <w:right w:val="nil"/>
            </w:tcBorders>
            <w:shd w:val="clear" w:color="FFFFFF" w:fill="FFFFFF"/>
            <w:noWrap/>
            <w:vAlign w:val="center"/>
            <w:hideMark/>
          </w:tcPr>
          <w:p w14:paraId="0B4852DE" w14:textId="77777777" w:rsidR="006F55F8" w:rsidRPr="00AA2C86" w:rsidRDefault="006F55F8" w:rsidP="006F55F8">
            <w:pPr>
              <w:spacing w:after="0"/>
              <w:jc w:val="center"/>
              <w:rPr>
                <w:sz w:val="20"/>
              </w:rPr>
            </w:pPr>
            <w:r w:rsidRPr="00AA2C86">
              <w:rPr>
                <w:sz w:val="20"/>
              </w:rPr>
              <w:t>0</w:t>
            </w:r>
            <w:r>
              <w:rPr>
                <w:sz w:val="20"/>
              </w:rPr>
              <w:t>,</w:t>
            </w:r>
            <w:r w:rsidRPr="00AA2C86">
              <w:rPr>
                <w:sz w:val="20"/>
              </w:rPr>
              <w:t>5</w:t>
            </w:r>
          </w:p>
        </w:tc>
        <w:tc>
          <w:tcPr>
            <w:tcW w:w="782" w:type="dxa"/>
            <w:tcBorders>
              <w:top w:val="nil"/>
              <w:left w:val="nil"/>
              <w:bottom w:val="nil"/>
              <w:right w:val="nil"/>
            </w:tcBorders>
            <w:shd w:val="clear" w:color="FFFFFF" w:fill="FFFFFF"/>
            <w:vAlign w:val="center"/>
          </w:tcPr>
          <w:p w14:paraId="709FC1D2" w14:textId="77777777" w:rsidR="006F55F8" w:rsidRPr="00AA2C86" w:rsidRDefault="006F55F8" w:rsidP="006F55F8">
            <w:pPr>
              <w:spacing w:after="0"/>
              <w:jc w:val="center"/>
              <w:rPr>
                <w:sz w:val="20"/>
              </w:rPr>
            </w:pPr>
            <w:r>
              <w:rPr>
                <w:sz w:val="20"/>
              </w:rPr>
              <w:t>0,9</w:t>
            </w:r>
          </w:p>
        </w:tc>
        <w:tc>
          <w:tcPr>
            <w:tcW w:w="1292" w:type="dxa"/>
            <w:tcBorders>
              <w:top w:val="nil"/>
              <w:left w:val="nil"/>
              <w:bottom w:val="nil"/>
              <w:right w:val="nil"/>
            </w:tcBorders>
            <w:shd w:val="clear" w:color="FFFFFF" w:fill="FFFFFF"/>
            <w:noWrap/>
            <w:vAlign w:val="center"/>
            <w:hideMark/>
          </w:tcPr>
          <w:p w14:paraId="3BDB97D1" w14:textId="77777777" w:rsidR="006F55F8" w:rsidRPr="00AA2C86" w:rsidRDefault="006F55F8" w:rsidP="006F55F8">
            <w:pPr>
              <w:spacing w:after="0"/>
              <w:jc w:val="right"/>
              <w:rPr>
                <w:sz w:val="20"/>
              </w:rPr>
            </w:pPr>
            <w:r w:rsidRPr="00AA2C86">
              <w:rPr>
                <w:sz w:val="20"/>
              </w:rPr>
              <w:t>7</w:t>
            </w:r>
            <w:r>
              <w:rPr>
                <w:sz w:val="20"/>
              </w:rPr>
              <w:t xml:space="preserve"> </w:t>
            </w:r>
            <w:r w:rsidRPr="00AA2C86">
              <w:rPr>
                <w:sz w:val="20"/>
              </w:rPr>
              <w:t>659</w:t>
            </w:r>
          </w:p>
        </w:tc>
        <w:tc>
          <w:tcPr>
            <w:tcW w:w="1427" w:type="dxa"/>
            <w:tcBorders>
              <w:top w:val="nil"/>
              <w:left w:val="nil"/>
              <w:bottom w:val="nil"/>
              <w:right w:val="nil"/>
            </w:tcBorders>
            <w:shd w:val="clear" w:color="FFFFFF" w:fill="FFFFFF"/>
            <w:noWrap/>
            <w:vAlign w:val="center"/>
            <w:hideMark/>
          </w:tcPr>
          <w:p w14:paraId="725BF095"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392</w:t>
            </w:r>
          </w:p>
        </w:tc>
        <w:tc>
          <w:tcPr>
            <w:tcW w:w="1002" w:type="dxa"/>
            <w:tcBorders>
              <w:top w:val="nil"/>
              <w:left w:val="nil"/>
              <w:bottom w:val="nil"/>
              <w:right w:val="nil"/>
            </w:tcBorders>
            <w:shd w:val="clear" w:color="FFFFFF" w:fill="FFFFFF"/>
            <w:noWrap/>
            <w:vAlign w:val="center"/>
            <w:hideMark/>
          </w:tcPr>
          <w:p w14:paraId="4C298528" w14:textId="77777777" w:rsidR="006F55F8" w:rsidRPr="00AA2C86" w:rsidRDefault="006F55F8" w:rsidP="006F55F8">
            <w:pPr>
              <w:spacing w:after="0"/>
              <w:jc w:val="right"/>
              <w:rPr>
                <w:sz w:val="20"/>
              </w:rPr>
            </w:pPr>
            <w:r w:rsidRPr="00AA2C86">
              <w:rPr>
                <w:sz w:val="20"/>
              </w:rPr>
              <w:t>18</w:t>
            </w:r>
            <w:r>
              <w:rPr>
                <w:sz w:val="20"/>
              </w:rPr>
              <w:t xml:space="preserve"> </w:t>
            </w:r>
            <w:r w:rsidRPr="00AA2C86">
              <w:rPr>
                <w:sz w:val="20"/>
              </w:rPr>
              <w:t>818</w:t>
            </w:r>
          </w:p>
        </w:tc>
        <w:tc>
          <w:tcPr>
            <w:tcW w:w="958" w:type="dxa"/>
            <w:tcBorders>
              <w:top w:val="nil"/>
              <w:left w:val="nil"/>
              <w:bottom w:val="nil"/>
              <w:right w:val="nil"/>
            </w:tcBorders>
            <w:shd w:val="clear" w:color="FFFFFF" w:fill="FFFFFF"/>
            <w:noWrap/>
            <w:vAlign w:val="center"/>
            <w:hideMark/>
          </w:tcPr>
          <w:p w14:paraId="6FE62147"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956</w:t>
            </w:r>
          </w:p>
        </w:tc>
      </w:tr>
      <w:tr w:rsidR="006F55F8" w:rsidRPr="00AF266F" w14:paraId="12745B89" w14:textId="77777777" w:rsidTr="006F55F8">
        <w:trPr>
          <w:trHeight w:val="255"/>
        </w:trPr>
        <w:tc>
          <w:tcPr>
            <w:tcW w:w="1985" w:type="dxa"/>
            <w:gridSpan w:val="2"/>
            <w:tcBorders>
              <w:top w:val="nil"/>
              <w:left w:val="nil"/>
              <w:right w:val="nil"/>
            </w:tcBorders>
            <w:shd w:val="clear" w:color="auto" w:fill="auto"/>
            <w:noWrap/>
            <w:vAlign w:val="bottom"/>
            <w:hideMark/>
          </w:tcPr>
          <w:p w14:paraId="51427F6C"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3. </w:t>
            </w:r>
            <w:r w:rsidRPr="00A16BC7">
              <w:rPr>
                <w:rFonts w:ascii="Arial" w:eastAsia="Times New Roman" w:hAnsi="Arial" w:cs="Arial"/>
                <w:color w:val="333333"/>
                <w:sz w:val="18"/>
                <w:szCs w:val="18"/>
                <w:lang w:eastAsia="en-US"/>
              </w:rPr>
              <w:t>Aust-Agder</w:t>
            </w:r>
          </w:p>
        </w:tc>
        <w:tc>
          <w:tcPr>
            <w:tcW w:w="903" w:type="dxa"/>
            <w:tcBorders>
              <w:top w:val="nil"/>
              <w:left w:val="nil"/>
              <w:bottom w:val="nil"/>
              <w:right w:val="nil"/>
            </w:tcBorders>
            <w:shd w:val="clear" w:color="FFFFFF" w:fill="FFFFFF"/>
            <w:noWrap/>
            <w:vAlign w:val="center"/>
            <w:hideMark/>
          </w:tcPr>
          <w:p w14:paraId="7F1F2C4B" w14:textId="77777777" w:rsidR="006F55F8" w:rsidRPr="00AA2C86" w:rsidRDefault="006F55F8" w:rsidP="006F55F8">
            <w:pPr>
              <w:spacing w:after="0"/>
              <w:jc w:val="right"/>
              <w:rPr>
                <w:sz w:val="20"/>
              </w:rPr>
            </w:pPr>
            <w:r w:rsidRPr="00AA2C86">
              <w:rPr>
                <w:sz w:val="20"/>
              </w:rPr>
              <w:t>3</w:t>
            </w:r>
            <w:r>
              <w:rPr>
                <w:sz w:val="20"/>
              </w:rPr>
              <w:t>,</w:t>
            </w:r>
            <w:r w:rsidRPr="00AA2C86">
              <w:rPr>
                <w:sz w:val="20"/>
              </w:rPr>
              <w:t>8</w:t>
            </w:r>
          </w:p>
        </w:tc>
        <w:tc>
          <w:tcPr>
            <w:tcW w:w="1115" w:type="dxa"/>
            <w:tcBorders>
              <w:top w:val="nil"/>
              <w:left w:val="nil"/>
              <w:bottom w:val="nil"/>
              <w:right w:val="nil"/>
            </w:tcBorders>
            <w:shd w:val="clear" w:color="FFFFFF" w:fill="FFFFFF"/>
            <w:noWrap/>
            <w:vAlign w:val="center"/>
            <w:hideMark/>
          </w:tcPr>
          <w:p w14:paraId="69F3462F" w14:textId="77777777" w:rsidR="006F55F8" w:rsidRPr="00AA2C86" w:rsidRDefault="006F55F8" w:rsidP="006F55F8">
            <w:pPr>
              <w:spacing w:after="0"/>
              <w:jc w:val="center"/>
              <w:rPr>
                <w:sz w:val="20"/>
              </w:rPr>
            </w:pPr>
            <w:r w:rsidRPr="00AA2C86">
              <w:rPr>
                <w:sz w:val="20"/>
              </w:rPr>
              <w:t>0</w:t>
            </w:r>
            <w:r>
              <w:rPr>
                <w:sz w:val="20"/>
              </w:rPr>
              <w:t>,</w:t>
            </w:r>
            <w:r w:rsidRPr="00AA2C86">
              <w:rPr>
                <w:sz w:val="20"/>
              </w:rPr>
              <w:t>4</w:t>
            </w:r>
          </w:p>
        </w:tc>
        <w:tc>
          <w:tcPr>
            <w:tcW w:w="782" w:type="dxa"/>
            <w:tcBorders>
              <w:top w:val="nil"/>
              <w:left w:val="nil"/>
              <w:bottom w:val="nil"/>
              <w:right w:val="nil"/>
            </w:tcBorders>
            <w:shd w:val="clear" w:color="FFFFFF" w:fill="FFFFFF"/>
            <w:vAlign w:val="center"/>
          </w:tcPr>
          <w:p w14:paraId="34D86C8A" w14:textId="77777777" w:rsidR="006F55F8" w:rsidRPr="00AA2C86" w:rsidRDefault="006F55F8" w:rsidP="006F55F8">
            <w:pPr>
              <w:spacing w:after="0"/>
              <w:jc w:val="center"/>
              <w:rPr>
                <w:sz w:val="20"/>
              </w:rPr>
            </w:pPr>
            <w:r>
              <w:rPr>
                <w:sz w:val="20"/>
              </w:rPr>
              <w:t>1,0</w:t>
            </w:r>
          </w:p>
        </w:tc>
        <w:tc>
          <w:tcPr>
            <w:tcW w:w="1292" w:type="dxa"/>
            <w:tcBorders>
              <w:top w:val="nil"/>
              <w:left w:val="nil"/>
              <w:bottom w:val="nil"/>
              <w:right w:val="nil"/>
            </w:tcBorders>
            <w:shd w:val="clear" w:color="FFFFFF" w:fill="FFFFFF"/>
            <w:noWrap/>
            <w:vAlign w:val="center"/>
            <w:hideMark/>
          </w:tcPr>
          <w:p w14:paraId="6DC8C073" w14:textId="77777777" w:rsidR="006F55F8" w:rsidRPr="00AA2C86" w:rsidRDefault="006F55F8" w:rsidP="006F55F8">
            <w:pPr>
              <w:spacing w:after="0"/>
              <w:jc w:val="right"/>
              <w:rPr>
                <w:sz w:val="20"/>
              </w:rPr>
            </w:pPr>
            <w:r w:rsidRPr="00AA2C86">
              <w:rPr>
                <w:sz w:val="20"/>
              </w:rPr>
              <w:t>2</w:t>
            </w:r>
            <w:r>
              <w:rPr>
                <w:sz w:val="20"/>
              </w:rPr>
              <w:t xml:space="preserve"> </w:t>
            </w:r>
            <w:r w:rsidRPr="00AA2C86">
              <w:rPr>
                <w:sz w:val="20"/>
              </w:rPr>
              <w:t>167</w:t>
            </w:r>
          </w:p>
        </w:tc>
        <w:tc>
          <w:tcPr>
            <w:tcW w:w="1427" w:type="dxa"/>
            <w:tcBorders>
              <w:top w:val="nil"/>
              <w:left w:val="nil"/>
              <w:bottom w:val="nil"/>
              <w:right w:val="nil"/>
            </w:tcBorders>
            <w:shd w:val="clear" w:color="FFFFFF" w:fill="FFFFFF"/>
            <w:noWrap/>
            <w:vAlign w:val="center"/>
            <w:hideMark/>
          </w:tcPr>
          <w:p w14:paraId="498BDF35" w14:textId="77777777" w:rsidR="006F55F8" w:rsidRPr="00AA2C86" w:rsidRDefault="006F55F8" w:rsidP="006F55F8">
            <w:pPr>
              <w:spacing w:after="0"/>
              <w:jc w:val="right"/>
              <w:rPr>
                <w:sz w:val="20"/>
              </w:rPr>
            </w:pPr>
            <w:r w:rsidRPr="00AA2C86">
              <w:rPr>
                <w:sz w:val="20"/>
              </w:rPr>
              <w:t>194</w:t>
            </w:r>
          </w:p>
        </w:tc>
        <w:tc>
          <w:tcPr>
            <w:tcW w:w="1002" w:type="dxa"/>
            <w:tcBorders>
              <w:top w:val="nil"/>
              <w:left w:val="nil"/>
              <w:bottom w:val="nil"/>
              <w:right w:val="nil"/>
            </w:tcBorders>
            <w:shd w:val="clear" w:color="FFFFFF" w:fill="FFFFFF"/>
            <w:noWrap/>
            <w:vAlign w:val="center"/>
            <w:hideMark/>
          </w:tcPr>
          <w:p w14:paraId="15FECF98"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701</w:t>
            </w:r>
          </w:p>
        </w:tc>
        <w:tc>
          <w:tcPr>
            <w:tcW w:w="958" w:type="dxa"/>
            <w:tcBorders>
              <w:top w:val="nil"/>
              <w:left w:val="nil"/>
              <w:bottom w:val="nil"/>
              <w:right w:val="nil"/>
            </w:tcBorders>
            <w:shd w:val="clear" w:color="FFFFFF" w:fill="FFFFFF"/>
            <w:noWrap/>
            <w:vAlign w:val="center"/>
            <w:hideMark/>
          </w:tcPr>
          <w:p w14:paraId="6B6EBDCD" w14:textId="77777777" w:rsidR="006F55F8" w:rsidRPr="00AA2C86" w:rsidRDefault="006F55F8" w:rsidP="006F55F8">
            <w:pPr>
              <w:spacing w:after="0"/>
              <w:jc w:val="right"/>
              <w:rPr>
                <w:sz w:val="20"/>
              </w:rPr>
            </w:pPr>
            <w:r w:rsidRPr="00AA2C86">
              <w:rPr>
                <w:sz w:val="20"/>
              </w:rPr>
              <w:t>239</w:t>
            </w:r>
          </w:p>
        </w:tc>
      </w:tr>
      <w:tr w:rsidR="006F55F8" w:rsidRPr="00AF266F" w14:paraId="601804D5" w14:textId="77777777" w:rsidTr="006F55F8">
        <w:trPr>
          <w:trHeight w:val="255"/>
        </w:trPr>
        <w:tc>
          <w:tcPr>
            <w:tcW w:w="1985" w:type="dxa"/>
            <w:gridSpan w:val="2"/>
            <w:tcBorders>
              <w:top w:val="nil"/>
              <w:left w:val="nil"/>
              <w:right w:val="nil"/>
            </w:tcBorders>
            <w:shd w:val="clear" w:color="auto" w:fill="auto"/>
            <w:noWrap/>
            <w:vAlign w:val="bottom"/>
            <w:hideMark/>
          </w:tcPr>
          <w:p w14:paraId="14E84634"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4. </w:t>
            </w:r>
            <w:r w:rsidRPr="00A16BC7">
              <w:rPr>
                <w:rFonts w:ascii="Arial" w:eastAsia="Times New Roman" w:hAnsi="Arial" w:cs="Arial"/>
                <w:color w:val="333333"/>
                <w:sz w:val="18"/>
                <w:szCs w:val="18"/>
                <w:lang w:eastAsia="en-US"/>
              </w:rPr>
              <w:t>Vest-Agder</w:t>
            </w:r>
          </w:p>
        </w:tc>
        <w:tc>
          <w:tcPr>
            <w:tcW w:w="903" w:type="dxa"/>
            <w:tcBorders>
              <w:top w:val="nil"/>
              <w:left w:val="nil"/>
              <w:bottom w:val="nil"/>
              <w:right w:val="nil"/>
            </w:tcBorders>
            <w:shd w:val="clear" w:color="FFFFFF" w:fill="FFFFFF"/>
            <w:noWrap/>
            <w:vAlign w:val="center"/>
            <w:hideMark/>
          </w:tcPr>
          <w:p w14:paraId="2DD9EB8B" w14:textId="77777777" w:rsidR="006F55F8" w:rsidRPr="00AA2C86" w:rsidRDefault="006F55F8" w:rsidP="006F55F8">
            <w:pPr>
              <w:spacing w:after="0"/>
              <w:jc w:val="right"/>
              <w:rPr>
                <w:sz w:val="20"/>
              </w:rPr>
            </w:pPr>
            <w:r w:rsidRPr="00AA2C86">
              <w:rPr>
                <w:sz w:val="20"/>
              </w:rPr>
              <w:t>3</w:t>
            </w:r>
            <w:r>
              <w:rPr>
                <w:sz w:val="20"/>
              </w:rPr>
              <w:t>,</w:t>
            </w:r>
            <w:r w:rsidRPr="00AA2C86">
              <w:rPr>
                <w:sz w:val="20"/>
              </w:rPr>
              <w:t>4</w:t>
            </w:r>
          </w:p>
        </w:tc>
        <w:tc>
          <w:tcPr>
            <w:tcW w:w="1115" w:type="dxa"/>
            <w:tcBorders>
              <w:top w:val="nil"/>
              <w:left w:val="nil"/>
              <w:bottom w:val="nil"/>
              <w:right w:val="nil"/>
            </w:tcBorders>
            <w:shd w:val="clear" w:color="FFFFFF" w:fill="FFFFFF"/>
            <w:noWrap/>
            <w:vAlign w:val="center"/>
            <w:hideMark/>
          </w:tcPr>
          <w:p w14:paraId="1C2E053F" w14:textId="77777777" w:rsidR="006F55F8" w:rsidRPr="00AA2C86" w:rsidRDefault="006F55F8" w:rsidP="006F55F8">
            <w:pPr>
              <w:spacing w:after="0"/>
              <w:jc w:val="center"/>
              <w:rPr>
                <w:sz w:val="20"/>
              </w:rPr>
            </w:pPr>
            <w:r w:rsidRPr="00AA2C86">
              <w:rPr>
                <w:sz w:val="20"/>
              </w:rPr>
              <w:t>0</w:t>
            </w:r>
            <w:r>
              <w:rPr>
                <w:sz w:val="20"/>
              </w:rPr>
              <w:t>,</w:t>
            </w:r>
            <w:r w:rsidRPr="00AA2C86">
              <w:rPr>
                <w:sz w:val="20"/>
              </w:rPr>
              <w:t>4</w:t>
            </w:r>
          </w:p>
        </w:tc>
        <w:tc>
          <w:tcPr>
            <w:tcW w:w="782" w:type="dxa"/>
            <w:tcBorders>
              <w:top w:val="nil"/>
              <w:left w:val="nil"/>
              <w:bottom w:val="nil"/>
              <w:right w:val="nil"/>
            </w:tcBorders>
            <w:shd w:val="clear" w:color="FFFFFF" w:fill="FFFFFF"/>
            <w:vAlign w:val="center"/>
          </w:tcPr>
          <w:p w14:paraId="2C8BFBE2" w14:textId="77777777" w:rsidR="006F55F8" w:rsidRPr="00AA2C86" w:rsidRDefault="006F55F8" w:rsidP="006F55F8">
            <w:pPr>
              <w:spacing w:after="0"/>
              <w:jc w:val="center"/>
              <w:rPr>
                <w:sz w:val="20"/>
              </w:rPr>
            </w:pPr>
            <w:r>
              <w:rPr>
                <w:sz w:val="20"/>
              </w:rPr>
              <w:t>0,8</w:t>
            </w:r>
          </w:p>
        </w:tc>
        <w:tc>
          <w:tcPr>
            <w:tcW w:w="1292" w:type="dxa"/>
            <w:tcBorders>
              <w:top w:val="nil"/>
              <w:left w:val="nil"/>
              <w:bottom w:val="nil"/>
              <w:right w:val="nil"/>
            </w:tcBorders>
            <w:shd w:val="clear" w:color="FFFFFF" w:fill="FFFFFF"/>
            <w:noWrap/>
            <w:vAlign w:val="center"/>
            <w:hideMark/>
          </w:tcPr>
          <w:p w14:paraId="114AD735"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148</w:t>
            </w:r>
          </w:p>
        </w:tc>
        <w:tc>
          <w:tcPr>
            <w:tcW w:w="1427" w:type="dxa"/>
            <w:tcBorders>
              <w:top w:val="nil"/>
              <w:left w:val="nil"/>
              <w:bottom w:val="nil"/>
              <w:right w:val="nil"/>
            </w:tcBorders>
            <w:shd w:val="clear" w:color="FFFFFF" w:fill="FFFFFF"/>
            <w:noWrap/>
            <w:vAlign w:val="center"/>
            <w:hideMark/>
          </w:tcPr>
          <w:p w14:paraId="7F2ED861" w14:textId="77777777" w:rsidR="006F55F8" w:rsidRPr="00AA2C86" w:rsidRDefault="006F55F8" w:rsidP="006F55F8">
            <w:pPr>
              <w:spacing w:after="0"/>
              <w:jc w:val="right"/>
              <w:rPr>
                <w:sz w:val="20"/>
              </w:rPr>
            </w:pPr>
            <w:r w:rsidRPr="00AA2C86">
              <w:rPr>
                <w:sz w:val="20"/>
              </w:rPr>
              <w:t>423</w:t>
            </w:r>
          </w:p>
        </w:tc>
        <w:tc>
          <w:tcPr>
            <w:tcW w:w="1002" w:type="dxa"/>
            <w:tcBorders>
              <w:top w:val="nil"/>
              <w:left w:val="nil"/>
              <w:bottom w:val="nil"/>
              <w:right w:val="nil"/>
            </w:tcBorders>
            <w:shd w:val="clear" w:color="FFFFFF" w:fill="FFFFFF"/>
            <w:noWrap/>
            <w:vAlign w:val="center"/>
            <w:hideMark/>
          </w:tcPr>
          <w:p w14:paraId="432FF00F" w14:textId="77777777" w:rsidR="006F55F8" w:rsidRPr="00AA2C86" w:rsidRDefault="006F55F8" w:rsidP="006F55F8">
            <w:pPr>
              <w:spacing w:after="0"/>
              <w:jc w:val="right"/>
              <w:rPr>
                <w:sz w:val="20"/>
              </w:rPr>
            </w:pPr>
            <w:r w:rsidRPr="00AA2C86">
              <w:rPr>
                <w:sz w:val="20"/>
              </w:rPr>
              <w:t>6</w:t>
            </w:r>
            <w:r>
              <w:rPr>
                <w:sz w:val="20"/>
              </w:rPr>
              <w:t xml:space="preserve"> </w:t>
            </w:r>
            <w:r w:rsidRPr="00AA2C86">
              <w:rPr>
                <w:sz w:val="20"/>
              </w:rPr>
              <w:t>505</w:t>
            </w:r>
          </w:p>
        </w:tc>
        <w:tc>
          <w:tcPr>
            <w:tcW w:w="958" w:type="dxa"/>
            <w:tcBorders>
              <w:top w:val="nil"/>
              <w:left w:val="nil"/>
              <w:bottom w:val="nil"/>
              <w:right w:val="nil"/>
            </w:tcBorders>
            <w:shd w:val="clear" w:color="FFFFFF" w:fill="FFFFFF"/>
            <w:noWrap/>
            <w:vAlign w:val="center"/>
            <w:hideMark/>
          </w:tcPr>
          <w:p w14:paraId="21193BCE" w14:textId="77777777" w:rsidR="006F55F8" w:rsidRPr="00AA2C86" w:rsidRDefault="006F55F8" w:rsidP="006F55F8">
            <w:pPr>
              <w:spacing w:after="0"/>
              <w:jc w:val="right"/>
              <w:rPr>
                <w:sz w:val="20"/>
              </w:rPr>
            </w:pPr>
            <w:r w:rsidRPr="00AA2C86">
              <w:rPr>
                <w:sz w:val="20"/>
              </w:rPr>
              <w:t>-21</w:t>
            </w:r>
          </w:p>
        </w:tc>
      </w:tr>
      <w:tr w:rsidR="006F55F8" w:rsidRPr="00AF266F" w14:paraId="4A690315" w14:textId="77777777" w:rsidTr="006F55F8">
        <w:trPr>
          <w:trHeight w:val="255"/>
        </w:trPr>
        <w:tc>
          <w:tcPr>
            <w:tcW w:w="1985" w:type="dxa"/>
            <w:gridSpan w:val="2"/>
            <w:tcBorders>
              <w:top w:val="nil"/>
              <w:left w:val="nil"/>
              <w:right w:val="nil"/>
            </w:tcBorders>
            <w:shd w:val="clear" w:color="auto" w:fill="auto"/>
            <w:noWrap/>
            <w:vAlign w:val="bottom"/>
            <w:hideMark/>
          </w:tcPr>
          <w:p w14:paraId="147E45A9" w14:textId="77777777" w:rsidR="006F55F8" w:rsidRPr="00A16BC7" w:rsidRDefault="006F55F8" w:rsidP="00FD7CA8">
            <w:pPr>
              <w:spacing w:after="0"/>
              <w:rPr>
                <w:rFonts w:ascii="Arial" w:eastAsia="Times New Roman" w:hAnsi="Arial" w:cs="Arial"/>
                <w:color w:val="333333"/>
                <w:sz w:val="18"/>
                <w:szCs w:val="18"/>
                <w:lang w:eastAsia="en-US"/>
              </w:rPr>
            </w:pPr>
            <w:r w:rsidRPr="00A16BC7">
              <w:rPr>
                <w:rFonts w:ascii="Arial" w:eastAsia="Times New Roman" w:hAnsi="Arial" w:cs="Arial"/>
                <w:color w:val="333333"/>
                <w:sz w:val="18"/>
                <w:szCs w:val="18"/>
                <w:lang w:eastAsia="en-US"/>
              </w:rPr>
              <w:t>5. Møre og Romsdal</w:t>
            </w:r>
          </w:p>
        </w:tc>
        <w:tc>
          <w:tcPr>
            <w:tcW w:w="903" w:type="dxa"/>
            <w:tcBorders>
              <w:top w:val="nil"/>
              <w:left w:val="nil"/>
              <w:bottom w:val="nil"/>
              <w:right w:val="nil"/>
            </w:tcBorders>
            <w:shd w:val="clear" w:color="FFFFFF" w:fill="FFFFFF"/>
            <w:noWrap/>
            <w:vAlign w:val="center"/>
            <w:hideMark/>
          </w:tcPr>
          <w:p w14:paraId="4B43158C" w14:textId="77777777" w:rsidR="006F55F8" w:rsidRPr="00AA2C86" w:rsidRDefault="006F55F8" w:rsidP="006F55F8">
            <w:pPr>
              <w:spacing w:after="0"/>
              <w:jc w:val="right"/>
              <w:rPr>
                <w:sz w:val="20"/>
              </w:rPr>
            </w:pPr>
            <w:r w:rsidRPr="00AA2C86">
              <w:rPr>
                <w:sz w:val="20"/>
              </w:rPr>
              <w:t>2</w:t>
            </w:r>
            <w:r>
              <w:rPr>
                <w:sz w:val="20"/>
              </w:rPr>
              <w:t>,</w:t>
            </w:r>
            <w:r w:rsidRPr="00AA2C86">
              <w:rPr>
                <w:sz w:val="20"/>
              </w:rPr>
              <w:t>6</w:t>
            </w:r>
          </w:p>
        </w:tc>
        <w:tc>
          <w:tcPr>
            <w:tcW w:w="1115" w:type="dxa"/>
            <w:tcBorders>
              <w:top w:val="nil"/>
              <w:left w:val="nil"/>
              <w:bottom w:val="nil"/>
              <w:right w:val="nil"/>
            </w:tcBorders>
            <w:shd w:val="clear" w:color="FFFFFF" w:fill="FFFFFF"/>
            <w:noWrap/>
            <w:vAlign w:val="center"/>
            <w:hideMark/>
          </w:tcPr>
          <w:p w14:paraId="679E7BB1" w14:textId="77777777" w:rsidR="006F55F8" w:rsidRPr="00AA2C86" w:rsidRDefault="006F55F8" w:rsidP="006F55F8">
            <w:pPr>
              <w:spacing w:after="0"/>
              <w:jc w:val="center"/>
              <w:rPr>
                <w:sz w:val="20"/>
              </w:rPr>
            </w:pPr>
            <w:r w:rsidRPr="00AA2C86">
              <w:rPr>
                <w:sz w:val="20"/>
              </w:rPr>
              <w:t>0</w:t>
            </w:r>
            <w:r>
              <w:rPr>
                <w:sz w:val="20"/>
              </w:rPr>
              <w:t>,</w:t>
            </w:r>
            <w:r w:rsidRPr="00AA2C86">
              <w:rPr>
                <w:sz w:val="20"/>
              </w:rPr>
              <w:t>4</w:t>
            </w:r>
          </w:p>
        </w:tc>
        <w:tc>
          <w:tcPr>
            <w:tcW w:w="782" w:type="dxa"/>
            <w:tcBorders>
              <w:top w:val="nil"/>
              <w:left w:val="nil"/>
              <w:bottom w:val="nil"/>
              <w:right w:val="nil"/>
            </w:tcBorders>
            <w:shd w:val="clear" w:color="FFFFFF" w:fill="FFFFFF"/>
            <w:vAlign w:val="center"/>
          </w:tcPr>
          <w:p w14:paraId="45FC1B5A" w14:textId="77777777" w:rsidR="006F55F8" w:rsidRPr="00AA2C86" w:rsidRDefault="006F55F8" w:rsidP="006F55F8">
            <w:pPr>
              <w:spacing w:after="0"/>
              <w:jc w:val="center"/>
              <w:rPr>
                <w:sz w:val="20"/>
              </w:rPr>
            </w:pPr>
            <w:r>
              <w:rPr>
                <w:sz w:val="20"/>
              </w:rPr>
              <w:t>0,9</w:t>
            </w:r>
          </w:p>
        </w:tc>
        <w:tc>
          <w:tcPr>
            <w:tcW w:w="1292" w:type="dxa"/>
            <w:tcBorders>
              <w:top w:val="nil"/>
              <w:left w:val="nil"/>
              <w:bottom w:val="nil"/>
              <w:right w:val="nil"/>
            </w:tcBorders>
            <w:shd w:val="clear" w:color="FFFFFF" w:fill="FFFFFF"/>
            <w:noWrap/>
            <w:vAlign w:val="center"/>
            <w:hideMark/>
          </w:tcPr>
          <w:p w14:paraId="73B234AB"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625</w:t>
            </w:r>
          </w:p>
        </w:tc>
        <w:tc>
          <w:tcPr>
            <w:tcW w:w="1427" w:type="dxa"/>
            <w:tcBorders>
              <w:top w:val="nil"/>
              <w:left w:val="nil"/>
              <w:bottom w:val="nil"/>
              <w:right w:val="nil"/>
            </w:tcBorders>
            <w:shd w:val="clear" w:color="FFFFFF" w:fill="FFFFFF"/>
            <w:noWrap/>
            <w:vAlign w:val="center"/>
            <w:hideMark/>
          </w:tcPr>
          <w:p w14:paraId="169B7052" w14:textId="77777777" w:rsidR="006F55F8" w:rsidRPr="00AA2C86" w:rsidRDefault="006F55F8" w:rsidP="006F55F8">
            <w:pPr>
              <w:spacing w:after="0"/>
              <w:jc w:val="right"/>
              <w:rPr>
                <w:sz w:val="20"/>
              </w:rPr>
            </w:pPr>
            <w:r w:rsidRPr="00AA2C86">
              <w:rPr>
                <w:sz w:val="20"/>
              </w:rPr>
              <w:t>625</w:t>
            </w:r>
          </w:p>
        </w:tc>
        <w:tc>
          <w:tcPr>
            <w:tcW w:w="1002" w:type="dxa"/>
            <w:tcBorders>
              <w:top w:val="nil"/>
              <w:left w:val="nil"/>
              <w:bottom w:val="nil"/>
              <w:right w:val="nil"/>
            </w:tcBorders>
            <w:shd w:val="clear" w:color="FFFFFF" w:fill="FFFFFF"/>
            <w:noWrap/>
            <w:vAlign w:val="center"/>
            <w:hideMark/>
          </w:tcPr>
          <w:p w14:paraId="6430B85A" w14:textId="77777777" w:rsidR="006F55F8" w:rsidRPr="00AA2C86" w:rsidRDefault="006F55F8" w:rsidP="006F55F8">
            <w:pPr>
              <w:spacing w:after="0"/>
              <w:jc w:val="right"/>
              <w:rPr>
                <w:sz w:val="20"/>
              </w:rPr>
            </w:pPr>
            <w:r w:rsidRPr="00AA2C86">
              <w:rPr>
                <w:sz w:val="20"/>
              </w:rPr>
              <w:t>10</w:t>
            </w:r>
            <w:r>
              <w:rPr>
                <w:sz w:val="20"/>
              </w:rPr>
              <w:t xml:space="preserve"> </w:t>
            </w:r>
            <w:r w:rsidRPr="00AA2C86">
              <w:rPr>
                <w:sz w:val="20"/>
              </w:rPr>
              <w:t>740</w:t>
            </w:r>
          </w:p>
        </w:tc>
        <w:tc>
          <w:tcPr>
            <w:tcW w:w="958" w:type="dxa"/>
            <w:tcBorders>
              <w:top w:val="nil"/>
              <w:left w:val="nil"/>
              <w:bottom w:val="nil"/>
              <w:right w:val="nil"/>
            </w:tcBorders>
            <w:shd w:val="clear" w:color="FFFFFF" w:fill="FFFFFF"/>
            <w:noWrap/>
            <w:vAlign w:val="center"/>
            <w:hideMark/>
          </w:tcPr>
          <w:p w14:paraId="3C1D483C" w14:textId="77777777" w:rsidR="006F55F8" w:rsidRPr="00AA2C86" w:rsidRDefault="006F55F8" w:rsidP="006F55F8">
            <w:pPr>
              <w:spacing w:after="0"/>
              <w:jc w:val="right"/>
              <w:rPr>
                <w:sz w:val="20"/>
              </w:rPr>
            </w:pPr>
            <w:r w:rsidRPr="00AA2C86">
              <w:rPr>
                <w:sz w:val="20"/>
              </w:rPr>
              <w:t>-820</w:t>
            </w:r>
          </w:p>
        </w:tc>
      </w:tr>
      <w:tr w:rsidR="006F55F8" w:rsidRPr="00AF266F" w14:paraId="477EDCE3" w14:textId="77777777" w:rsidTr="006F55F8">
        <w:trPr>
          <w:trHeight w:val="255"/>
        </w:trPr>
        <w:tc>
          <w:tcPr>
            <w:tcW w:w="1985" w:type="dxa"/>
            <w:gridSpan w:val="2"/>
            <w:tcBorders>
              <w:top w:val="nil"/>
              <w:left w:val="nil"/>
              <w:right w:val="nil"/>
            </w:tcBorders>
            <w:shd w:val="clear" w:color="auto" w:fill="auto"/>
            <w:noWrap/>
            <w:vAlign w:val="bottom"/>
            <w:hideMark/>
          </w:tcPr>
          <w:p w14:paraId="39A81BF0"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6. </w:t>
            </w:r>
            <w:r w:rsidRPr="00A16BC7">
              <w:rPr>
                <w:rFonts w:ascii="Arial" w:eastAsia="Times New Roman" w:hAnsi="Arial" w:cs="Arial"/>
                <w:color w:val="333333"/>
                <w:sz w:val="18"/>
                <w:szCs w:val="18"/>
                <w:lang w:eastAsia="en-US"/>
              </w:rPr>
              <w:t>Akershus</w:t>
            </w:r>
          </w:p>
        </w:tc>
        <w:tc>
          <w:tcPr>
            <w:tcW w:w="903" w:type="dxa"/>
            <w:tcBorders>
              <w:top w:val="nil"/>
              <w:left w:val="nil"/>
              <w:bottom w:val="nil"/>
              <w:right w:val="nil"/>
            </w:tcBorders>
            <w:shd w:val="clear" w:color="FFFFFF" w:fill="FFFFFF"/>
            <w:noWrap/>
            <w:vAlign w:val="center"/>
            <w:hideMark/>
          </w:tcPr>
          <w:p w14:paraId="0144A1D4" w14:textId="77777777" w:rsidR="006F55F8" w:rsidRPr="00AA2C86" w:rsidRDefault="006F55F8" w:rsidP="006F55F8">
            <w:pPr>
              <w:spacing w:after="0"/>
              <w:jc w:val="right"/>
              <w:rPr>
                <w:sz w:val="20"/>
              </w:rPr>
            </w:pPr>
            <w:r w:rsidRPr="00AA2C86">
              <w:rPr>
                <w:sz w:val="20"/>
              </w:rPr>
              <w:t>2</w:t>
            </w:r>
            <w:r>
              <w:rPr>
                <w:sz w:val="20"/>
              </w:rPr>
              <w:t>,</w:t>
            </w:r>
            <w:r w:rsidRPr="00AA2C86">
              <w:rPr>
                <w:sz w:val="20"/>
              </w:rPr>
              <w:t>6</w:t>
            </w:r>
          </w:p>
        </w:tc>
        <w:tc>
          <w:tcPr>
            <w:tcW w:w="1115" w:type="dxa"/>
            <w:tcBorders>
              <w:top w:val="nil"/>
              <w:left w:val="nil"/>
              <w:bottom w:val="nil"/>
              <w:right w:val="nil"/>
            </w:tcBorders>
            <w:shd w:val="clear" w:color="FFFFFF" w:fill="FFFFFF"/>
            <w:noWrap/>
            <w:vAlign w:val="center"/>
            <w:hideMark/>
          </w:tcPr>
          <w:p w14:paraId="4100FB1C"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5DAE4ABF"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02766412" w14:textId="77777777" w:rsidR="006F55F8" w:rsidRPr="00AA2C86" w:rsidRDefault="006F55F8" w:rsidP="006F55F8">
            <w:pPr>
              <w:spacing w:after="0"/>
              <w:jc w:val="right"/>
              <w:rPr>
                <w:sz w:val="20"/>
              </w:rPr>
            </w:pPr>
            <w:r w:rsidRPr="00AA2C86">
              <w:rPr>
                <w:sz w:val="20"/>
              </w:rPr>
              <w:t>7</w:t>
            </w:r>
            <w:r>
              <w:rPr>
                <w:sz w:val="20"/>
              </w:rPr>
              <w:t xml:space="preserve"> </w:t>
            </w:r>
            <w:r w:rsidRPr="00AA2C86">
              <w:rPr>
                <w:sz w:val="20"/>
              </w:rPr>
              <w:t>990</w:t>
            </w:r>
          </w:p>
        </w:tc>
        <w:tc>
          <w:tcPr>
            <w:tcW w:w="1427" w:type="dxa"/>
            <w:tcBorders>
              <w:top w:val="nil"/>
              <w:left w:val="nil"/>
              <w:bottom w:val="nil"/>
              <w:right w:val="nil"/>
            </w:tcBorders>
            <w:shd w:val="clear" w:color="FFFFFF" w:fill="FFFFFF"/>
            <w:noWrap/>
            <w:vAlign w:val="center"/>
            <w:hideMark/>
          </w:tcPr>
          <w:p w14:paraId="12E9C27C" w14:textId="77777777" w:rsidR="006F55F8" w:rsidRPr="00AA2C86" w:rsidRDefault="006F55F8" w:rsidP="006F55F8">
            <w:pPr>
              <w:spacing w:after="0"/>
              <w:jc w:val="right"/>
              <w:rPr>
                <w:sz w:val="20"/>
              </w:rPr>
            </w:pPr>
            <w:r w:rsidRPr="00AA2C86">
              <w:rPr>
                <w:sz w:val="20"/>
              </w:rPr>
              <w:t>272</w:t>
            </w:r>
          </w:p>
        </w:tc>
        <w:tc>
          <w:tcPr>
            <w:tcW w:w="1002" w:type="dxa"/>
            <w:tcBorders>
              <w:top w:val="nil"/>
              <w:left w:val="nil"/>
              <w:bottom w:val="nil"/>
              <w:right w:val="nil"/>
            </w:tcBorders>
            <w:shd w:val="clear" w:color="FFFFFF" w:fill="FFFFFF"/>
            <w:noWrap/>
            <w:vAlign w:val="center"/>
            <w:hideMark/>
          </w:tcPr>
          <w:p w14:paraId="2CD6CE84" w14:textId="77777777" w:rsidR="006F55F8" w:rsidRPr="00AA2C86" w:rsidRDefault="006F55F8" w:rsidP="006F55F8">
            <w:pPr>
              <w:spacing w:after="0"/>
              <w:jc w:val="right"/>
              <w:rPr>
                <w:sz w:val="20"/>
              </w:rPr>
            </w:pPr>
            <w:r w:rsidRPr="00AA2C86">
              <w:rPr>
                <w:sz w:val="20"/>
              </w:rPr>
              <w:t>16</w:t>
            </w:r>
            <w:r>
              <w:rPr>
                <w:sz w:val="20"/>
              </w:rPr>
              <w:t xml:space="preserve"> </w:t>
            </w:r>
            <w:r w:rsidRPr="00AA2C86">
              <w:rPr>
                <w:sz w:val="20"/>
              </w:rPr>
              <w:t>535</w:t>
            </w:r>
          </w:p>
        </w:tc>
        <w:tc>
          <w:tcPr>
            <w:tcW w:w="958" w:type="dxa"/>
            <w:tcBorders>
              <w:top w:val="nil"/>
              <w:left w:val="nil"/>
              <w:bottom w:val="nil"/>
              <w:right w:val="nil"/>
            </w:tcBorders>
            <w:shd w:val="clear" w:color="FFFFFF" w:fill="FFFFFF"/>
            <w:noWrap/>
            <w:vAlign w:val="center"/>
            <w:hideMark/>
          </w:tcPr>
          <w:p w14:paraId="47BD62AA" w14:textId="77777777" w:rsidR="006F55F8" w:rsidRPr="00AA2C86" w:rsidRDefault="006F55F8" w:rsidP="006F55F8">
            <w:pPr>
              <w:spacing w:after="0"/>
              <w:jc w:val="right"/>
              <w:rPr>
                <w:sz w:val="20"/>
              </w:rPr>
            </w:pPr>
            <w:r w:rsidRPr="00AA2C86">
              <w:rPr>
                <w:sz w:val="20"/>
              </w:rPr>
              <w:t>657</w:t>
            </w:r>
          </w:p>
        </w:tc>
      </w:tr>
      <w:tr w:rsidR="006F55F8" w:rsidRPr="00AF266F" w14:paraId="3109F23D" w14:textId="77777777" w:rsidTr="006F55F8">
        <w:trPr>
          <w:trHeight w:val="255"/>
        </w:trPr>
        <w:tc>
          <w:tcPr>
            <w:tcW w:w="1985" w:type="dxa"/>
            <w:gridSpan w:val="2"/>
            <w:tcBorders>
              <w:top w:val="nil"/>
              <w:left w:val="nil"/>
              <w:right w:val="nil"/>
            </w:tcBorders>
            <w:shd w:val="clear" w:color="auto" w:fill="auto"/>
            <w:noWrap/>
            <w:vAlign w:val="bottom"/>
            <w:hideMark/>
          </w:tcPr>
          <w:p w14:paraId="68ECD517"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7. </w:t>
            </w:r>
            <w:r w:rsidRPr="00A16BC7">
              <w:rPr>
                <w:rFonts w:ascii="Arial" w:eastAsia="Times New Roman" w:hAnsi="Arial" w:cs="Arial"/>
                <w:color w:val="333333"/>
                <w:sz w:val="18"/>
                <w:szCs w:val="18"/>
                <w:lang w:eastAsia="en-US"/>
              </w:rPr>
              <w:t>Telemark</w:t>
            </w:r>
          </w:p>
        </w:tc>
        <w:tc>
          <w:tcPr>
            <w:tcW w:w="903" w:type="dxa"/>
            <w:tcBorders>
              <w:top w:val="nil"/>
              <w:left w:val="nil"/>
              <w:bottom w:val="nil"/>
              <w:right w:val="nil"/>
            </w:tcBorders>
            <w:shd w:val="clear" w:color="FFFFFF" w:fill="FFFFFF"/>
            <w:noWrap/>
            <w:vAlign w:val="center"/>
            <w:hideMark/>
          </w:tcPr>
          <w:p w14:paraId="60B7D162" w14:textId="77777777" w:rsidR="006F55F8" w:rsidRPr="00AA2C86" w:rsidRDefault="006F55F8" w:rsidP="006F55F8">
            <w:pPr>
              <w:spacing w:after="0"/>
              <w:jc w:val="right"/>
              <w:rPr>
                <w:sz w:val="20"/>
              </w:rPr>
            </w:pPr>
            <w:r w:rsidRPr="00AA2C86">
              <w:rPr>
                <w:sz w:val="20"/>
              </w:rPr>
              <w:t>3</w:t>
            </w:r>
            <w:r>
              <w:rPr>
                <w:sz w:val="20"/>
              </w:rPr>
              <w:t>,</w:t>
            </w:r>
            <w:r w:rsidRPr="00AA2C86">
              <w:rPr>
                <w:sz w:val="20"/>
              </w:rPr>
              <w:t>5</w:t>
            </w:r>
          </w:p>
        </w:tc>
        <w:tc>
          <w:tcPr>
            <w:tcW w:w="1115" w:type="dxa"/>
            <w:tcBorders>
              <w:top w:val="nil"/>
              <w:left w:val="nil"/>
              <w:bottom w:val="nil"/>
              <w:right w:val="nil"/>
            </w:tcBorders>
            <w:shd w:val="clear" w:color="FFFFFF" w:fill="FFFFFF"/>
            <w:noWrap/>
            <w:vAlign w:val="center"/>
            <w:hideMark/>
          </w:tcPr>
          <w:p w14:paraId="06E88A60"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22113C53"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0A43FF84"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063</w:t>
            </w:r>
          </w:p>
        </w:tc>
        <w:tc>
          <w:tcPr>
            <w:tcW w:w="1427" w:type="dxa"/>
            <w:tcBorders>
              <w:top w:val="nil"/>
              <w:left w:val="nil"/>
              <w:bottom w:val="nil"/>
              <w:right w:val="nil"/>
            </w:tcBorders>
            <w:shd w:val="clear" w:color="FFFFFF" w:fill="FFFFFF"/>
            <w:noWrap/>
            <w:vAlign w:val="center"/>
            <w:hideMark/>
          </w:tcPr>
          <w:p w14:paraId="6DAE29BE" w14:textId="77777777" w:rsidR="006F55F8" w:rsidRPr="00AA2C86" w:rsidRDefault="006F55F8" w:rsidP="006F55F8">
            <w:pPr>
              <w:spacing w:after="0"/>
              <w:jc w:val="right"/>
              <w:rPr>
                <w:sz w:val="20"/>
              </w:rPr>
            </w:pPr>
            <w:r w:rsidRPr="00AA2C86">
              <w:rPr>
                <w:sz w:val="20"/>
              </w:rPr>
              <w:t>73</w:t>
            </w:r>
          </w:p>
        </w:tc>
        <w:tc>
          <w:tcPr>
            <w:tcW w:w="1002" w:type="dxa"/>
            <w:tcBorders>
              <w:top w:val="nil"/>
              <w:left w:val="nil"/>
              <w:bottom w:val="nil"/>
              <w:right w:val="nil"/>
            </w:tcBorders>
            <w:shd w:val="clear" w:color="FFFFFF" w:fill="FFFFFF"/>
            <w:noWrap/>
            <w:vAlign w:val="center"/>
            <w:hideMark/>
          </w:tcPr>
          <w:p w14:paraId="4D84401B" w14:textId="77777777" w:rsidR="006F55F8" w:rsidRPr="00AA2C86" w:rsidRDefault="006F55F8" w:rsidP="006F55F8">
            <w:pPr>
              <w:spacing w:after="0"/>
              <w:jc w:val="right"/>
              <w:rPr>
                <w:sz w:val="20"/>
              </w:rPr>
            </w:pPr>
            <w:r w:rsidRPr="00AA2C86">
              <w:rPr>
                <w:sz w:val="20"/>
              </w:rPr>
              <w:t>6</w:t>
            </w:r>
            <w:r>
              <w:rPr>
                <w:sz w:val="20"/>
              </w:rPr>
              <w:t xml:space="preserve"> </w:t>
            </w:r>
            <w:r w:rsidRPr="00AA2C86">
              <w:rPr>
                <w:sz w:val="20"/>
              </w:rPr>
              <w:t>546</w:t>
            </w:r>
          </w:p>
        </w:tc>
        <w:tc>
          <w:tcPr>
            <w:tcW w:w="958" w:type="dxa"/>
            <w:tcBorders>
              <w:top w:val="nil"/>
              <w:left w:val="nil"/>
              <w:bottom w:val="nil"/>
              <w:right w:val="nil"/>
            </w:tcBorders>
            <w:shd w:val="clear" w:color="FFFFFF" w:fill="FFFFFF"/>
            <w:noWrap/>
            <w:vAlign w:val="center"/>
            <w:hideMark/>
          </w:tcPr>
          <w:p w14:paraId="659C1CCE" w14:textId="77777777" w:rsidR="006F55F8" w:rsidRPr="00AA2C86" w:rsidRDefault="006F55F8" w:rsidP="006F55F8">
            <w:pPr>
              <w:spacing w:after="0"/>
              <w:jc w:val="right"/>
              <w:rPr>
                <w:sz w:val="20"/>
              </w:rPr>
            </w:pPr>
            <w:r w:rsidRPr="00AA2C86">
              <w:rPr>
                <w:sz w:val="20"/>
              </w:rPr>
              <w:t>611</w:t>
            </w:r>
          </w:p>
        </w:tc>
      </w:tr>
      <w:tr w:rsidR="006F55F8" w:rsidRPr="00AF266F" w14:paraId="379C9767" w14:textId="77777777" w:rsidTr="006F55F8">
        <w:trPr>
          <w:trHeight w:val="255"/>
        </w:trPr>
        <w:tc>
          <w:tcPr>
            <w:tcW w:w="1985" w:type="dxa"/>
            <w:gridSpan w:val="2"/>
            <w:tcBorders>
              <w:top w:val="nil"/>
              <w:left w:val="nil"/>
              <w:right w:val="nil"/>
            </w:tcBorders>
            <w:shd w:val="clear" w:color="auto" w:fill="auto"/>
            <w:noWrap/>
            <w:vAlign w:val="bottom"/>
            <w:hideMark/>
          </w:tcPr>
          <w:p w14:paraId="659EDB1C"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8. </w:t>
            </w:r>
            <w:r w:rsidRPr="00A16BC7">
              <w:rPr>
                <w:rFonts w:ascii="Arial" w:eastAsia="Times New Roman" w:hAnsi="Arial" w:cs="Arial"/>
                <w:color w:val="333333"/>
                <w:sz w:val="18"/>
                <w:szCs w:val="18"/>
                <w:lang w:eastAsia="en-US"/>
              </w:rPr>
              <w:t>Sogn og Fjordane</w:t>
            </w:r>
          </w:p>
        </w:tc>
        <w:tc>
          <w:tcPr>
            <w:tcW w:w="903" w:type="dxa"/>
            <w:tcBorders>
              <w:top w:val="nil"/>
              <w:left w:val="nil"/>
              <w:bottom w:val="nil"/>
              <w:right w:val="nil"/>
            </w:tcBorders>
            <w:shd w:val="clear" w:color="FFFFFF" w:fill="FFFFFF"/>
            <w:noWrap/>
            <w:vAlign w:val="center"/>
            <w:hideMark/>
          </w:tcPr>
          <w:p w14:paraId="1A48AFEB" w14:textId="77777777" w:rsidR="006F55F8" w:rsidRPr="00AA2C86" w:rsidRDefault="006F55F8" w:rsidP="006F55F8">
            <w:pPr>
              <w:spacing w:after="0"/>
              <w:jc w:val="right"/>
              <w:rPr>
                <w:sz w:val="20"/>
              </w:rPr>
            </w:pPr>
            <w:r w:rsidRPr="00AA2C86">
              <w:rPr>
                <w:sz w:val="20"/>
              </w:rPr>
              <w:t>2</w:t>
            </w:r>
            <w:r>
              <w:rPr>
                <w:sz w:val="20"/>
              </w:rPr>
              <w:t>,0</w:t>
            </w:r>
          </w:p>
        </w:tc>
        <w:tc>
          <w:tcPr>
            <w:tcW w:w="1115" w:type="dxa"/>
            <w:tcBorders>
              <w:top w:val="nil"/>
              <w:left w:val="nil"/>
              <w:bottom w:val="nil"/>
              <w:right w:val="nil"/>
            </w:tcBorders>
            <w:shd w:val="clear" w:color="FFFFFF" w:fill="FFFFFF"/>
            <w:noWrap/>
            <w:vAlign w:val="center"/>
            <w:hideMark/>
          </w:tcPr>
          <w:p w14:paraId="71918FAD"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7841E0B9" w14:textId="77777777" w:rsidR="006F55F8" w:rsidRPr="00AA2C86" w:rsidRDefault="006F55F8" w:rsidP="006F55F8">
            <w:pPr>
              <w:spacing w:after="0"/>
              <w:jc w:val="center"/>
              <w:rPr>
                <w:sz w:val="20"/>
              </w:rPr>
            </w:pPr>
            <w:r>
              <w:rPr>
                <w:sz w:val="20"/>
              </w:rPr>
              <w:t>0,3</w:t>
            </w:r>
          </w:p>
        </w:tc>
        <w:tc>
          <w:tcPr>
            <w:tcW w:w="1292" w:type="dxa"/>
            <w:tcBorders>
              <w:top w:val="nil"/>
              <w:left w:val="nil"/>
              <w:bottom w:val="nil"/>
              <w:right w:val="nil"/>
            </w:tcBorders>
            <w:shd w:val="clear" w:color="FFFFFF" w:fill="FFFFFF"/>
            <w:noWrap/>
            <w:vAlign w:val="center"/>
            <w:hideMark/>
          </w:tcPr>
          <w:p w14:paraId="1257033C"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127</w:t>
            </w:r>
          </w:p>
        </w:tc>
        <w:tc>
          <w:tcPr>
            <w:tcW w:w="1427" w:type="dxa"/>
            <w:tcBorders>
              <w:top w:val="nil"/>
              <w:left w:val="nil"/>
              <w:bottom w:val="nil"/>
              <w:right w:val="nil"/>
            </w:tcBorders>
            <w:shd w:val="clear" w:color="FFFFFF" w:fill="FFFFFF"/>
            <w:noWrap/>
            <w:vAlign w:val="center"/>
            <w:hideMark/>
          </w:tcPr>
          <w:p w14:paraId="2F23C92C" w14:textId="77777777" w:rsidR="006F55F8" w:rsidRPr="00AA2C86" w:rsidRDefault="006F55F8" w:rsidP="006F55F8">
            <w:pPr>
              <w:spacing w:after="0"/>
              <w:jc w:val="right"/>
              <w:rPr>
                <w:sz w:val="20"/>
              </w:rPr>
            </w:pPr>
            <w:r w:rsidRPr="00AA2C86">
              <w:rPr>
                <w:sz w:val="20"/>
              </w:rPr>
              <w:t>44</w:t>
            </w:r>
          </w:p>
        </w:tc>
        <w:tc>
          <w:tcPr>
            <w:tcW w:w="1002" w:type="dxa"/>
            <w:tcBorders>
              <w:top w:val="nil"/>
              <w:left w:val="nil"/>
              <w:bottom w:val="nil"/>
              <w:right w:val="nil"/>
            </w:tcBorders>
            <w:shd w:val="clear" w:color="FFFFFF" w:fill="FFFFFF"/>
            <w:noWrap/>
            <w:vAlign w:val="center"/>
            <w:hideMark/>
          </w:tcPr>
          <w:p w14:paraId="0AE9758E"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818</w:t>
            </w:r>
          </w:p>
        </w:tc>
        <w:tc>
          <w:tcPr>
            <w:tcW w:w="958" w:type="dxa"/>
            <w:tcBorders>
              <w:top w:val="nil"/>
              <w:left w:val="nil"/>
              <w:bottom w:val="nil"/>
              <w:right w:val="nil"/>
            </w:tcBorders>
            <w:shd w:val="clear" w:color="FFFFFF" w:fill="FFFFFF"/>
            <w:noWrap/>
            <w:vAlign w:val="center"/>
            <w:hideMark/>
          </w:tcPr>
          <w:p w14:paraId="394F7086" w14:textId="77777777" w:rsidR="006F55F8" w:rsidRPr="00AA2C86" w:rsidRDefault="006F55F8" w:rsidP="006F55F8">
            <w:pPr>
              <w:spacing w:after="0"/>
              <w:jc w:val="right"/>
              <w:rPr>
                <w:sz w:val="20"/>
              </w:rPr>
            </w:pPr>
            <w:r w:rsidRPr="00AA2C86">
              <w:rPr>
                <w:sz w:val="20"/>
              </w:rPr>
              <w:t>236</w:t>
            </w:r>
          </w:p>
        </w:tc>
      </w:tr>
      <w:tr w:rsidR="006F55F8" w:rsidRPr="00AF266F" w14:paraId="590EEED0" w14:textId="77777777" w:rsidTr="006F55F8">
        <w:trPr>
          <w:trHeight w:val="255"/>
        </w:trPr>
        <w:tc>
          <w:tcPr>
            <w:tcW w:w="1985" w:type="dxa"/>
            <w:gridSpan w:val="2"/>
            <w:tcBorders>
              <w:top w:val="nil"/>
              <w:left w:val="nil"/>
              <w:right w:val="nil"/>
            </w:tcBorders>
            <w:shd w:val="clear" w:color="auto" w:fill="auto"/>
            <w:noWrap/>
            <w:vAlign w:val="bottom"/>
            <w:hideMark/>
          </w:tcPr>
          <w:p w14:paraId="0D691247"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9. </w:t>
            </w:r>
            <w:r w:rsidRPr="00A16BC7">
              <w:rPr>
                <w:rFonts w:ascii="Arial" w:eastAsia="Times New Roman" w:hAnsi="Arial" w:cs="Arial"/>
                <w:color w:val="333333"/>
                <w:sz w:val="18"/>
                <w:szCs w:val="18"/>
                <w:lang w:eastAsia="en-US"/>
              </w:rPr>
              <w:t>Sør-Trøndelag</w:t>
            </w:r>
          </w:p>
        </w:tc>
        <w:tc>
          <w:tcPr>
            <w:tcW w:w="903" w:type="dxa"/>
            <w:tcBorders>
              <w:top w:val="nil"/>
              <w:left w:val="nil"/>
              <w:bottom w:val="nil"/>
              <w:right w:val="nil"/>
            </w:tcBorders>
            <w:shd w:val="clear" w:color="FFFFFF" w:fill="FFFFFF"/>
            <w:noWrap/>
            <w:vAlign w:val="center"/>
            <w:hideMark/>
          </w:tcPr>
          <w:p w14:paraId="12EEE8B1" w14:textId="77777777" w:rsidR="006F55F8" w:rsidRPr="00AA2C86" w:rsidRDefault="006F55F8" w:rsidP="006F55F8">
            <w:pPr>
              <w:spacing w:after="0"/>
              <w:jc w:val="right"/>
              <w:rPr>
                <w:sz w:val="20"/>
              </w:rPr>
            </w:pPr>
            <w:r w:rsidRPr="00AA2C86">
              <w:rPr>
                <w:sz w:val="20"/>
              </w:rPr>
              <w:t>2</w:t>
            </w:r>
            <w:r>
              <w:rPr>
                <w:sz w:val="20"/>
              </w:rPr>
              <w:t>,</w:t>
            </w:r>
            <w:r w:rsidRPr="00AA2C86">
              <w:rPr>
                <w:sz w:val="20"/>
              </w:rPr>
              <w:t>6</w:t>
            </w:r>
          </w:p>
        </w:tc>
        <w:tc>
          <w:tcPr>
            <w:tcW w:w="1115" w:type="dxa"/>
            <w:tcBorders>
              <w:top w:val="nil"/>
              <w:left w:val="nil"/>
              <w:bottom w:val="nil"/>
              <w:right w:val="nil"/>
            </w:tcBorders>
            <w:shd w:val="clear" w:color="FFFFFF" w:fill="FFFFFF"/>
            <w:noWrap/>
            <w:vAlign w:val="center"/>
            <w:hideMark/>
          </w:tcPr>
          <w:p w14:paraId="726178EF"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2069503A" w14:textId="77777777" w:rsidR="006F55F8" w:rsidRPr="00AA2C86" w:rsidRDefault="006F55F8" w:rsidP="006F55F8">
            <w:pPr>
              <w:spacing w:after="0"/>
              <w:jc w:val="center"/>
              <w:rPr>
                <w:sz w:val="20"/>
              </w:rPr>
            </w:pPr>
            <w:r>
              <w:rPr>
                <w:sz w:val="20"/>
              </w:rPr>
              <w:t>0,3</w:t>
            </w:r>
          </w:p>
        </w:tc>
        <w:tc>
          <w:tcPr>
            <w:tcW w:w="1292" w:type="dxa"/>
            <w:tcBorders>
              <w:top w:val="nil"/>
              <w:left w:val="nil"/>
              <w:bottom w:val="nil"/>
              <w:right w:val="nil"/>
            </w:tcBorders>
            <w:shd w:val="clear" w:color="FFFFFF" w:fill="FFFFFF"/>
            <w:noWrap/>
            <w:vAlign w:val="center"/>
            <w:hideMark/>
          </w:tcPr>
          <w:p w14:paraId="03378E07"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365</w:t>
            </w:r>
          </w:p>
        </w:tc>
        <w:tc>
          <w:tcPr>
            <w:tcW w:w="1427" w:type="dxa"/>
            <w:tcBorders>
              <w:top w:val="nil"/>
              <w:left w:val="nil"/>
              <w:bottom w:val="nil"/>
              <w:right w:val="nil"/>
            </w:tcBorders>
            <w:shd w:val="clear" w:color="FFFFFF" w:fill="FFFFFF"/>
            <w:noWrap/>
            <w:vAlign w:val="center"/>
            <w:hideMark/>
          </w:tcPr>
          <w:p w14:paraId="05504490" w14:textId="77777777" w:rsidR="006F55F8" w:rsidRPr="00AA2C86" w:rsidRDefault="006F55F8" w:rsidP="006F55F8">
            <w:pPr>
              <w:spacing w:after="0"/>
              <w:jc w:val="right"/>
              <w:rPr>
                <w:sz w:val="20"/>
              </w:rPr>
            </w:pPr>
            <w:r w:rsidRPr="00AA2C86">
              <w:rPr>
                <w:sz w:val="20"/>
              </w:rPr>
              <w:t>268</w:t>
            </w:r>
          </w:p>
        </w:tc>
        <w:tc>
          <w:tcPr>
            <w:tcW w:w="1002" w:type="dxa"/>
            <w:tcBorders>
              <w:top w:val="nil"/>
              <w:left w:val="nil"/>
              <w:bottom w:val="nil"/>
              <w:right w:val="nil"/>
            </w:tcBorders>
            <w:shd w:val="clear" w:color="FFFFFF" w:fill="FFFFFF"/>
            <w:noWrap/>
            <w:vAlign w:val="center"/>
            <w:hideMark/>
          </w:tcPr>
          <w:p w14:paraId="73630D9F" w14:textId="77777777" w:rsidR="006F55F8" w:rsidRPr="00AA2C86" w:rsidRDefault="006F55F8" w:rsidP="006F55F8">
            <w:pPr>
              <w:spacing w:after="0"/>
              <w:jc w:val="right"/>
              <w:rPr>
                <w:sz w:val="20"/>
              </w:rPr>
            </w:pPr>
            <w:r w:rsidRPr="00AA2C86">
              <w:rPr>
                <w:sz w:val="20"/>
              </w:rPr>
              <w:t>12</w:t>
            </w:r>
            <w:r>
              <w:rPr>
                <w:sz w:val="20"/>
              </w:rPr>
              <w:t xml:space="preserve"> </w:t>
            </w:r>
            <w:r w:rsidRPr="00AA2C86">
              <w:rPr>
                <w:sz w:val="20"/>
              </w:rPr>
              <w:t>745</w:t>
            </w:r>
          </w:p>
        </w:tc>
        <w:tc>
          <w:tcPr>
            <w:tcW w:w="958" w:type="dxa"/>
            <w:tcBorders>
              <w:top w:val="nil"/>
              <w:left w:val="nil"/>
              <w:bottom w:val="nil"/>
              <w:right w:val="nil"/>
            </w:tcBorders>
            <w:shd w:val="clear" w:color="FFFFFF" w:fill="FFFFFF"/>
            <w:noWrap/>
            <w:vAlign w:val="center"/>
            <w:hideMark/>
          </w:tcPr>
          <w:p w14:paraId="3A0E7E45" w14:textId="77777777" w:rsidR="006F55F8" w:rsidRPr="00AA2C86" w:rsidRDefault="006F55F8" w:rsidP="006F55F8">
            <w:pPr>
              <w:spacing w:after="0"/>
              <w:jc w:val="right"/>
              <w:rPr>
                <w:sz w:val="20"/>
              </w:rPr>
            </w:pPr>
            <w:r w:rsidRPr="00AA2C86">
              <w:rPr>
                <w:sz w:val="20"/>
              </w:rPr>
              <w:t>-263</w:t>
            </w:r>
          </w:p>
        </w:tc>
      </w:tr>
      <w:tr w:rsidR="006F55F8" w:rsidRPr="00AF266F" w14:paraId="4C8ACA81" w14:textId="77777777" w:rsidTr="006F55F8">
        <w:trPr>
          <w:trHeight w:val="255"/>
        </w:trPr>
        <w:tc>
          <w:tcPr>
            <w:tcW w:w="1985" w:type="dxa"/>
            <w:gridSpan w:val="2"/>
            <w:tcBorders>
              <w:top w:val="nil"/>
              <w:left w:val="nil"/>
              <w:bottom w:val="single" w:sz="4" w:space="0" w:color="auto"/>
              <w:right w:val="nil"/>
            </w:tcBorders>
            <w:shd w:val="clear" w:color="auto" w:fill="auto"/>
            <w:noWrap/>
            <w:vAlign w:val="bottom"/>
            <w:hideMark/>
          </w:tcPr>
          <w:p w14:paraId="2CEC81EC"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10. </w:t>
            </w:r>
            <w:r w:rsidRPr="00A16BC7">
              <w:rPr>
                <w:rFonts w:ascii="Arial" w:eastAsia="Times New Roman" w:hAnsi="Arial" w:cs="Arial"/>
                <w:color w:val="333333"/>
                <w:sz w:val="18"/>
                <w:szCs w:val="18"/>
                <w:lang w:eastAsia="en-US"/>
              </w:rPr>
              <w:t>Nord-Trøndelag</w:t>
            </w:r>
          </w:p>
        </w:tc>
        <w:tc>
          <w:tcPr>
            <w:tcW w:w="903" w:type="dxa"/>
            <w:tcBorders>
              <w:top w:val="nil"/>
              <w:left w:val="nil"/>
              <w:bottom w:val="nil"/>
              <w:right w:val="nil"/>
            </w:tcBorders>
            <w:shd w:val="clear" w:color="FFFFFF" w:fill="FFFFFF"/>
            <w:noWrap/>
            <w:vAlign w:val="center"/>
            <w:hideMark/>
          </w:tcPr>
          <w:p w14:paraId="084104D8" w14:textId="77777777" w:rsidR="006F55F8" w:rsidRPr="00AA2C86" w:rsidRDefault="006F55F8" w:rsidP="006F55F8">
            <w:pPr>
              <w:spacing w:after="0"/>
              <w:jc w:val="right"/>
              <w:rPr>
                <w:sz w:val="20"/>
              </w:rPr>
            </w:pPr>
            <w:r w:rsidRPr="00AA2C86">
              <w:rPr>
                <w:sz w:val="20"/>
              </w:rPr>
              <w:t>2</w:t>
            </w:r>
            <w:r>
              <w:rPr>
                <w:sz w:val="20"/>
              </w:rPr>
              <w:t>,</w:t>
            </w:r>
            <w:r w:rsidRPr="00AA2C86">
              <w:rPr>
                <w:sz w:val="20"/>
              </w:rPr>
              <w:t>8</w:t>
            </w:r>
          </w:p>
        </w:tc>
        <w:tc>
          <w:tcPr>
            <w:tcW w:w="1115" w:type="dxa"/>
            <w:tcBorders>
              <w:top w:val="nil"/>
              <w:left w:val="nil"/>
              <w:bottom w:val="nil"/>
              <w:right w:val="nil"/>
            </w:tcBorders>
            <w:shd w:val="clear" w:color="FFFFFF" w:fill="FFFFFF"/>
            <w:noWrap/>
            <w:vAlign w:val="center"/>
            <w:hideMark/>
          </w:tcPr>
          <w:p w14:paraId="4163783C"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20085E41" w14:textId="77777777" w:rsidR="006F55F8" w:rsidRPr="00AA2C86" w:rsidRDefault="006F55F8" w:rsidP="006F55F8">
            <w:pPr>
              <w:spacing w:after="0"/>
              <w:jc w:val="center"/>
              <w:rPr>
                <w:sz w:val="20"/>
              </w:rPr>
            </w:pPr>
            <w:r>
              <w:rPr>
                <w:sz w:val="20"/>
              </w:rPr>
              <w:t>-0,1</w:t>
            </w:r>
          </w:p>
        </w:tc>
        <w:tc>
          <w:tcPr>
            <w:tcW w:w="1292" w:type="dxa"/>
            <w:tcBorders>
              <w:top w:val="nil"/>
              <w:left w:val="nil"/>
              <w:bottom w:val="nil"/>
              <w:right w:val="nil"/>
            </w:tcBorders>
            <w:shd w:val="clear" w:color="FFFFFF" w:fill="FFFFFF"/>
            <w:noWrap/>
            <w:vAlign w:val="center"/>
            <w:hideMark/>
          </w:tcPr>
          <w:p w14:paraId="7C14AFE3"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896</w:t>
            </w:r>
          </w:p>
        </w:tc>
        <w:tc>
          <w:tcPr>
            <w:tcW w:w="1427" w:type="dxa"/>
            <w:tcBorders>
              <w:top w:val="nil"/>
              <w:left w:val="nil"/>
              <w:bottom w:val="nil"/>
              <w:right w:val="nil"/>
            </w:tcBorders>
            <w:shd w:val="clear" w:color="FFFFFF" w:fill="FFFFFF"/>
            <w:noWrap/>
            <w:vAlign w:val="center"/>
            <w:hideMark/>
          </w:tcPr>
          <w:p w14:paraId="40AC9439" w14:textId="77777777" w:rsidR="006F55F8" w:rsidRPr="00AA2C86" w:rsidRDefault="006F55F8" w:rsidP="006F55F8">
            <w:pPr>
              <w:spacing w:after="0"/>
              <w:jc w:val="right"/>
              <w:rPr>
                <w:sz w:val="20"/>
              </w:rPr>
            </w:pPr>
            <w:r w:rsidRPr="00AA2C86">
              <w:rPr>
                <w:sz w:val="20"/>
              </w:rPr>
              <w:t>46</w:t>
            </w:r>
          </w:p>
        </w:tc>
        <w:tc>
          <w:tcPr>
            <w:tcW w:w="1002" w:type="dxa"/>
            <w:tcBorders>
              <w:top w:val="nil"/>
              <w:left w:val="nil"/>
              <w:bottom w:val="nil"/>
              <w:right w:val="nil"/>
            </w:tcBorders>
            <w:shd w:val="clear" w:color="FFFFFF" w:fill="FFFFFF"/>
            <w:noWrap/>
            <w:vAlign w:val="center"/>
            <w:hideMark/>
          </w:tcPr>
          <w:p w14:paraId="37BF12D1"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554</w:t>
            </w:r>
          </w:p>
        </w:tc>
        <w:tc>
          <w:tcPr>
            <w:tcW w:w="958" w:type="dxa"/>
            <w:tcBorders>
              <w:top w:val="nil"/>
              <w:left w:val="nil"/>
              <w:bottom w:val="nil"/>
              <w:right w:val="nil"/>
            </w:tcBorders>
            <w:shd w:val="clear" w:color="FFFFFF" w:fill="FFFFFF"/>
            <w:noWrap/>
            <w:vAlign w:val="center"/>
            <w:hideMark/>
          </w:tcPr>
          <w:p w14:paraId="3841BA09" w14:textId="77777777" w:rsidR="006F55F8" w:rsidRPr="00AA2C86" w:rsidRDefault="006F55F8" w:rsidP="006F55F8">
            <w:pPr>
              <w:spacing w:after="0"/>
              <w:jc w:val="right"/>
              <w:rPr>
                <w:sz w:val="20"/>
              </w:rPr>
            </w:pPr>
            <w:r w:rsidRPr="00AA2C86">
              <w:rPr>
                <w:sz w:val="20"/>
              </w:rPr>
              <w:t>505</w:t>
            </w:r>
          </w:p>
        </w:tc>
      </w:tr>
      <w:tr w:rsidR="006F55F8" w:rsidRPr="00AF266F" w14:paraId="04D0FBDD" w14:textId="77777777" w:rsidTr="006F55F8">
        <w:trPr>
          <w:trHeight w:val="255"/>
        </w:trPr>
        <w:tc>
          <w:tcPr>
            <w:tcW w:w="1985" w:type="dxa"/>
            <w:gridSpan w:val="2"/>
            <w:tcBorders>
              <w:top w:val="single" w:sz="4" w:space="0" w:color="auto"/>
              <w:left w:val="nil"/>
              <w:bottom w:val="single" w:sz="4" w:space="0" w:color="auto"/>
              <w:right w:val="nil"/>
            </w:tcBorders>
            <w:shd w:val="clear" w:color="FFFFFF" w:fill="FFFFFF"/>
            <w:noWrap/>
            <w:vAlign w:val="center"/>
            <w:hideMark/>
          </w:tcPr>
          <w:p w14:paraId="03878B89" w14:textId="77777777" w:rsidR="006F55F8" w:rsidRPr="00AF266F" w:rsidRDefault="006F55F8" w:rsidP="00FD7CA8">
            <w:pPr>
              <w:spacing w:after="0"/>
              <w:rPr>
                <w:rFonts w:ascii="Arial" w:eastAsia="Times New Roman" w:hAnsi="Arial" w:cs="Arial"/>
                <w:b/>
                <w:bCs/>
                <w:color w:val="000000"/>
                <w:sz w:val="12"/>
                <w:szCs w:val="12"/>
                <w:lang w:val="en-US" w:eastAsia="en-US"/>
              </w:rPr>
            </w:pPr>
            <w:r w:rsidRPr="00AA2C86">
              <w:rPr>
                <w:rFonts w:ascii="Arial" w:eastAsia="Times New Roman" w:hAnsi="Arial" w:cs="Arial"/>
                <w:b/>
                <w:bCs/>
                <w:color w:val="333333"/>
                <w:sz w:val="18"/>
                <w:szCs w:val="18"/>
                <w:lang w:eastAsia="en-US"/>
              </w:rPr>
              <w:t xml:space="preserve">Sum </w:t>
            </w:r>
            <w:r>
              <w:rPr>
                <w:rFonts w:ascii="Arial" w:eastAsia="Times New Roman" w:hAnsi="Arial" w:cs="Arial"/>
                <w:b/>
                <w:bCs/>
                <w:color w:val="333333"/>
                <w:sz w:val="18"/>
                <w:szCs w:val="18"/>
                <w:lang w:eastAsia="en-US"/>
              </w:rPr>
              <w:t xml:space="preserve">endring (1-10) </w:t>
            </w:r>
          </w:p>
        </w:tc>
        <w:tc>
          <w:tcPr>
            <w:tcW w:w="903" w:type="dxa"/>
            <w:tcBorders>
              <w:top w:val="single" w:sz="4" w:space="0" w:color="auto"/>
              <w:left w:val="nil"/>
              <w:bottom w:val="single" w:sz="4" w:space="0" w:color="auto"/>
              <w:right w:val="nil"/>
            </w:tcBorders>
            <w:shd w:val="clear" w:color="auto" w:fill="auto"/>
            <w:noWrap/>
            <w:vAlign w:val="center"/>
            <w:hideMark/>
          </w:tcPr>
          <w:p w14:paraId="0200C3FD" w14:textId="77777777" w:rsidR="006F55F8" w:rsidRPr="00AA2C86" w:rsidRDefault="006F55F8" w:rsidP="006F55F8">
            <w:pPr>
              <w:spacing w:after="0"/>
              <w:jc w:val="right"/>
              <w:rPr>
                <w:sz w:val="20"/>
              </w:rPr>
            </w:pPr>
          </w:p>
        </w:tc>
        <w:tc>
          <w:tcPr>
            <w:tcW w:w="1115" w:type="dxa"/>
            <w:tcBorders>
              <w:top w:val="single" w:sz="4" w:space="0" w:color="auto"/>
              <w:left w:val="nil"/>
              <w:bottom w:val="single" w:sz="4" w:space="0" w:color="auto"/>
              <w:right w:val="nil"/>
            </w:tcBorders>
            <w:shd w:val="clear" w:color="FFFFFF" w:fill="FFFFFF"/>
            <w:noWrap/>
            <w:vAlign w:val="center"/>
          </w:tcPr>
          <w:p w14:paraId="726B83BE" w14:textId="77777777" w:rsidR="006F55F8" w:rsidRPr="00AA2C86" w:rsidRDefault="006F55F8" w:rsidP="006F55F8">
            <w:pPr>
              <w:spacing w:after="0"/>
              <w:jc w:val="center"/>
              <w:rPr>
                <w:sz w:val="20"/>
              </w:rPr>
            </w:pPr>
          </w:p>
        </w:tc>
        <w:tc>
          <w:tcPr>
            <w:tcW w:w="782" w:type="dxa"/>
            <w:tcBorders>
              <w:top w:val="single" w:sz="4" w:space="0" w:color="auto"/>
              <w:left w:val="nil"/>
              <w:bottom w:val="single" w:sz="4" w:space="0" w:color="auto"/>
              <w:right w:val="nil"/>
            </w:tcBorders>
            <w:shd w:val="clear" w:color="FFFFFF" w:fill="FFFFFF"/>
            <w:vAlign w:val="center"/>
          </w:tcPr>
          <w:p w14:paraId="21AA1121" w14:textId="77777777" w:rsidR="006F55F8" w:rsidRPr="00AA2C86" w:rsidDel="00AA2C86" w:rsidRDefault="006F55F8" w:rsidP="006F55F8">
            <w:pPr>
              <w:spacing w:after="0"/>
              <w:jc w:val="center"/>
              <w:rPr>
                <w:sz w:val="20"/>
              </w:rPr>
            </w:pPr>
          </w:p>
        </w:tc>
        <w:tc>
          <w:tcPr>
            <w:tcW w:w="1292" w:type="dxa"/>
            <w:tcBorders>
              <w:top w:val="single" w:sz="4" w:space="0" w:color="auto"/>
              <w:left w:val="nil"/>
              <w:bottom w:val="single" w:sz="4" w:space="0" w:color="auto"/>
              <w:right w:val="nil"/>
            </w:tcBorders>
            <w:shd w:val="clear" w:color="FFFFFF" w:fill="FFFFFF"/>
            <w:noWrap/>
            <w:vAlign w:val="center"/>
          </w:tcPr>
          <w:p w14:paraId="145FE832" w14:textId="77777777" w:rsidR="006F55F8" w:rsidRPr="00AA2C86" w:rsidRDefault="006F55F8" w:rsidP="006F55F8">
            <w:pPr>
              <w:spacing w:after="0"/>
              <w:jc w:val="right"/>
              <w:rPr>
                <w:sz w:val="20"/>
              </w:rPr>
            </w:pPr>
          </w:p>
        </w:tc>
        <w:tc>
          <w:tcPr>
            <w:tcW w:w="1427" w:type="dxa"/>
            <w:tcBorders>
              <w:top w:val="single" w:sz="4" w:space="0" w:color="auto"/>
              <w:left w:val="nil"/>
              <w:bottom w:val="single" w:sz="4" w:space="0" w:color="auto"/>
              <w:right w:val="nil"/>
            </w:tcBorders>
            <w:shd w:val="clear" w:color="FFFFFF" w:fill="FFFFFF"/>
            <w:noWrap/>
            <w:vAlign w:val="center"/>
            <w:hideMark/>
          </w:tcPr>
          <w:p w14:paraId="3E5B8B66" w14:textId="77777777" w:rsidR="006F55F8" w:rsidRPr="00803DAE" w:rsidRDefault="006F55F8" w:rsidP="006F55F8">
            <w:pPr>
              <w:spacing w:after="0"/>
              <w:jc w:val="right"/>
              <w:rPr>
                <w:b/>
                <w:sz w:val="20"/>
              </w:rPr>
            </w:pPr>
            <w:r w:rsidRPr="00803DAE">
              <w:rPr>
                <w:b/>
                <w:sz w:val="20"/>
              </w:rPr>
              <w:t>6 621</w:t>
            </w:r>
          </w:p>
        </w:tc>
        <w:tc>
          <w:tcPr>
            <w:tcW w:w="1002" w:type="dxa"/>
            <w:tcBorders>
              <w:top w:val="single" w:sz="4" w:space="0" w:color="auto"/>
              <w:left w:val="nil"/>
              <w:bottom w:val="single" w:sz="4" w:space="0" w:color="auto"/>
              <w:right w:val="nil"/>
            </w:tcBorders>
            <w:shd w:val="clear" w:color="FFFFFF" w:fill="FFFFFF"/>
            <w:noWrap/>
            <w:vAlign w:val="center"/>
            <w:hideMark/>
          </w:tcPr>
          <w:p w14:paraId="58FF9B99" w14:textId="77777777" w:rsidR="006F55F8" w:rsidRPr="00803DAE" w:rsidRDefault="006F55F8" w:rsidP="006F55F8">
            <w:pPr>
              <w:spacing w:after="0"/>
              <w:jc w:val="right"/>
              <w:rPr>
                <w:b/>
                <w:sz w:val="20"/>
              </w:rPr>
            </w:pPr>
          </w:p>
        </w:tc>
        <w:tc>
          <w:tcPr>
            <w:tcW w:w="958" w:type="dxa"/>
            <w:tcBorders>
              <w:top w:val="single" w:sz="4" w:space="0" w:color="auto"/>
              <w:left w:val="nil"/>
              <w:bottom w:val="single" w:sz="4" w:space="0" w:color="auto"/>
              <w:right w:val="nil"/>
            </w:tcBorders>
            <w:shd w:val="clear" w:color="FFFFFF" w:fill="FFFFFF"/>
            <w:noWrap/>
            <w:vAlign w:val="center"/>
            <w:hideMark/>
          </w:tcPr>
          <w:p w14:paraId="61012ABA" w14:textId="77777777" w:rsidR="006F55F8" w:rsidRPr="00803DAE" w:rsidRDefault="006F55F8" w:rsidP="006F55F8">
            <w:pPr>
              <w:spacing w:after="0"/>
              <w:jc w:val="right"/>
              <w:rPr>
                <w:b/>
                <w:sz w:val="20"/>
              </w:rPr>
            </w:pPr>
            <w:r w:rsidRPr="00803DAE">
              <w:rPr>
                <w:b/>
                <w:sz w:val="20"/>
              </w:rPr>
              <w:t>-2 836</w:t>
            </w:r>
          </w:p>
        </w:tc>
      </w:tr>
      <w:tr w:rsidR="006F55F8" w:rsidRPr="00AF266F" w14:paraId="31D939CD" w14:textId="77777777" w:rsidTr="006F55F8">
        <w:trPr>
          <w:trHeight w:val="255"/>
        </w:trPr>
        <w:tc>
          <w:tcPr>
            <w:tcW w:w="1985" w:type="dxa"/>
            <w:gridSpan w:val="2"/>
            <w:tcBorders>
              <w:top w:val="single" w:sz="4" w:space="0" w:color="auto"/>
              <w:left w:val="nil"/>
              <w:right w:val="nil"/>
            </w:tcBorders>
            <w:shd w:val="clear" w:color="auto" w:fill="auto"/>
            <w:noWrap/>
            <w:vAlign w:val="bottom"/>
            <w:hideMark/>
          </w:tcPr>
          <w:p w14:paraId="605AFC0A"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11. </w:t>
            </w:r>
            <w:r w:rsidRPr="00AF266F">
              <w:rPr>
                <w:rFonts w:ascii="Arial" w:eastAsia="Times New Roman" w:hAnsi="Arial" w:cs="Arial"/>
                <w:color w:val="333333"/>
                <w:sz w:val="18"/>
                <w:szCs w:val="18"/>
                <w:lang w:val="en-US" w:eastAsia="en-US"/>
              </w:rPr>
              <w:t>Buskerud</w:t>
            </w:r>
          </w:p>
        </w:tc>
        <w:tc>
          <w:tcPr>
            <w:tcW w:w="903" w:type="dxa"/>
            <w:tcBorders>
              <w:top w:val="nil"/>
              <w:left w:val="nil"/>
              <w:bottom w:val="nil"/>
              <w:right w:val="nil"/>
            </w:tcBorders>
            <w:shd w:val="clear" w:color="FFFFFF" w:fill="FFFFFF"/>
            <w:noWrap/>
            <w:vAlign w:val="center"/>
            <w:hideMark/>
          </w:tcPr>
          <w:p w14:paraId="1D83F2A9" w14:textId="77777777" w:rsidR="006F55F8" w:rsidRPr="00AA2C86" w:rsidRDefault="006F55F8" w:rsidP="006F55F8">
            <w:pPr>
              <w:spacing w:after="0"/>
              <w:jc w:val="right"/>
              <w:rPr>
                <w:sz w:val="20"/>
              </w:rPr>
            </w:pPr>
            <w:r w:rsidRPr="00AA2C86">
              <w:rPr>
                <w:sz w:val="20"/>
              </w:rPr>
              <w:t>2</w:t>
            </w:r>
            <w:r>
              <w:rPr>
                <w:sz w:val="20"/>
              </w:rPr>
              <w:t>,</w:t>
            </w:r>
            <w:r w:rsidRPr="00AA2C86">
              <w:rPr>
                <w:sz w:val="20"/>
              </w:rPr>
              <w:t>9</w:t>
            </w:r>
          </w:p>
        </w:tc>
        <w:tc>
          <w:tcPr>
            <w:tcW w:w="1115" w:type="dxa"/>
            <w:tcBorders>
              <w:top w:val="nil"/>
              <w:left w:val="nil"/>
              <w:bottom w:val="nil"/>
              <w:right w:val="nil"/>
            </w:tcBorders>
            <w:shd w:val="clear" w:color="FFFFFF" w:fill="FFFFFF"/>
            <w:noWrap/>
            <w:vAlign w:val="center"/>
            <w:hideMark/>
          </w:tcPr>
          <w:p w14:paraId="6A010DDE" w14:textId="77777777" w:rsidR="006F55F8" w:rsidRPr="00AA2C86" w:rsidRDefault="006F55F8" w:rsidP="006F55F8">
            <w:pPr>
              <w:spacing w:after="0"/>
              <w:jc w:val="center"/>
              <w:rPr>
                <w:sz w:val="20"/>
              </w:rPr>
            </w:pPr>
            <w:r w:rsidRPr="00AA2C86">
              <w:rPr>
                <w:sz w:val="20"/>
              </w:rPr>
              <w:t>0</w:t>
            </w:r>
            <w:r>
              <w:rPr>
                <w:sz w:val="20"/>
              </w:rPr>
              <w:t>,0</w:t>
            </w:r>
          </w:p>
        </w:tc>
        <w:tc>
          <w:tcPr>
            <w:tcW w:w="782" w:type="dxa"/>
            <w:tcBorders>
              <w:top w:val="nil"/>
              <w:left w:val="nil"/>
              <w:bottom w:val="nil"/>
              <w:right w:val="nil"/>
            </w:tcBorders>
            <w:shd w:val="clear" w:color="FFFFFF" w:fill="FFFFFF"/>
            <w:vAlign w:val="center"/>
          </w:tcPr>
          <w:p w14:paraId="457DDAA2" w14:textId="77777777" w:rsidR="006F55F8" w:rsidRPr="00AA2C86" w:rsidRDefault="006F55F8" w:rsidP="006F55F8">
            <w:pPr>
              <w:spacing w:after="0"/>
              <w:jc w:val="center"/>
              <w:rPr>
                <w:sz w:val="20"/>
              </w:rPr>
            </w:pPr>
            <w:r>
              <w:rPr>
                <w:sz w:val="20"/>
              </w:rPr>
              <w:t>0,1</w:t>
            </w:r>
          </w:p>
        </w:tc>
        <w:tc>
          <w:tcPr>
            <w:tcW w:w="1292" w:type="dxa"/>
            <w:tcBorders>
              <w:top w:val="nil"/>
              <w:left w:val="nil"/>
              <w:bottom w:val="nil"/>
              <w:right w:val="nil"/>
            </w:tcBorders>
            <w:shd w:val="clear" w:color="FFFFFF" w:fill="FFFFFF"/>
            <w:noWrap/>
            <w:vAlign w:val="center"/>
            <w:hideMark/>
          </w:tcPr>
          <w:p w14:paraId="083962A7"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180</w:t>
            </w:r>
          </w:p>
        </w:tc>
        <w:tc>
          <w:tcPr>
            <w:tcW w:w="1427" w:type="dxa"/>
            <w:tcBorders>
              <w:top w:val="nil"/>
              <w:left w:val="nil"/>
              <w:bottom w:val="nil"/>
              <w:right w:val="nil"/>
            </w:tcBorders>
            <w:shd w:val="clear" w:color="FFFFFF" w:fill="FFFFFF"/>
            <w:noWrap/>
            <w:vAlign w:val="center"/>
            <w:hideMark/>
          </w:tcPr>
          <w:p w14:paraId="1C8A666E" w14:textId="77777777" w:rsidR="006F55F8" w:rsidRPr="00AA2C86" w:rsidRDefault="006F55F8" w:rsidP="006F55F8">
            <w:pPr>
              <w:spacing w:after="0"/>
              <w:jc w:val="right"/>
              <w:rPr>
                <w:sz w:val="20"/>
              </w:rPr>
            </w:pPr>
            <w:r w:rsidRPr="00AA2C86">
              <w:rPr>
                <w:sz w:val="20"/>
              </w:rPr>
              <w:t>11</w:t>
            </w:r>
          </w:p>
        </w:tc>
        <w:tc>
          <w:tcPr>
            <w:tcW w:w="1002" w:type="dxa"/>
            <w:tcBorders>
              <w:top w:val="nil"/>
              <w:left w:val="nil"/>
              <w:bottom w:val="nil"/>
              <w:right w:val="nil"/>
            </w:tcBorders>
            <w:shd w:val="clear" w:color="FFFFFF" w:fill="FFFFFF"/>
            <w:noWrap/>
            <w:vAlign w:val="center"/>
            <w:hideMark/>
          </w:tcPr>
          <w:p w14:paraId="04884190" w14:textId="77777777" w:rsidR="006F55F8" w:rsidRPr="00AA2C86" w:rsidRDefault="006F55F8" w:rsidP="006F55F8">
            <w:pPr>
              <w:spacing w:after="0"/>
              <w:jc w:val="right"/>
              <w:rPr>
                <w:sz w:val="20"/>
              </w:rPr>
            </w:pPr>
            <w:r w:rsidRPr="00AA2C86">
              <w:rPr>
                <w:sz w:val="20"/>
              </w:rPr>
              <w:t>8</w:t>
            </w:r>
            <w:r>
              <w:rPr>
                <w:sz w:val="20"/>
              </w:rPr>
              <w:t xml:space="preserve"> </w:t>
            </w:r>
            <w:r w:rsidRPr="00AA2C86">
              <w:rPr>
                <w:sz w:val="20"/>
              </w:rPr>
              <w:t>844</w:t>
            </w:r>
          </w:p>
        </w:tc>
        <w:tc>
          <w:tcPr>
            <w:tcW w:w="958" w:type="dxa"/>
            <w:tcBorders>
              <w:top w:val="nil"/>
              <w:left w:val="nil"/>
              <w:bottom w:val="nil"/>
              <w:right w:val="nil"/>
            </w:tcBorders>
            <w:shd w:val="clear" w:color="FFFFFF" w:fill="FFFFFF"/>
            <w:noWrap/>
            <w:vAlign w:val="center"/>
            <w:hideMark/>
          </w:tcPr>
          <w:p w14:paraId="7A47DC3E"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057</w:t>
            </w:r>
          </w:p>
        </w:tc>
      </w:tr>
      <w:tr w:rsidR="006F55F8" w:rsidRPr="00AF266F" w14:paraId="5086A09C" w14:textId="77777777" w:rsidTr="006F55F8">
        <w:trPr>
          <w:trHeight w:val="255"/>
        </w:trPr>
        <w:tc>
          <w:tcPr>
            <w:tcW w:w="1985" w:type="dxa"/>
            <w:gridSpan w:val="2"/>
            <w:tcBorders>
              <w:top w:val="nil"/>
              <w:left w:val="nil"/>
              <w:right w:val="nil"/>
            </w:tcBorders>
            <w:shd w:val="clear" w:color="auto" w:fill="auto"/>
            <w:noWrap/>
            <w:vAlign w:val="bottom"/>
            <w:hideMark/>
          </w:tcPr>
          <w:p w14:paraId="758B29F0"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12. </w:t>
            </w:r>
            <w:r w:rsidRPr="00AF266F">
              <w:rPr>
                <w:rFonts w:ascii="Arial" w:eastAsia="Times New Roman" w:hAnsi="Arial" w:cs="Arial"/>
                <w:color w:val="333333"/>
                <w:sz w:val="18"/>
                <w:szCs w:val="18"/>
                <w:lang w:val="en-US" w:eastAsia="en-US"/>
              </w:rPr>
              <w:t>Nordland</w:t>
            </w:r>
          </w:p>
        </w:tc>
        <w:tc>
          <w:tcPr>
            <w:tcW w:w="903" w:type="dxa"/>
            <w:tcBorders>
              <w:top w:val="nil"/>
              <w:left w:val="nil"/>
              <w:bottom w:val="nil"/>
              <w:right w:val="nil"/>
            </w:tcBorders>
            <w:shd w:val="clear" w:color="FFFFFF" w:fill="FFFFFF"/>
            <w:noWrap/>
            <w:vAlign w:val="center"/>
            <w:hideMark/>
          </w:tcPr>
          <w:p w14:paraId="76D4CC6D" w14:textId="77777777" w:rsidR="006F55F8" w:rsidRPr="00AA2C86" w:rsidRDefault="006F55F8" w:rsidP="006F55F8">
            <w:pPr>
              <w:spacing w:after="0"/>
              <w:jc w:val="right"/>
              <w:rPr>
                <w:sz w:val="20"/>
              </w:rPr>
            </w:pPr>
            <w:r w:rsidRPr="00AA2C86">
              <w:rPr>
                <w:sz w:val="20"/>
              </w:rPr>
              <w:t>2</w:t>
            </w:r>
            <w:r>
              <w:rPr>
                <w:sz w:val="20"/>
              </w:rPr>
              <w:t>,</w:t>
            </w:r>
            <w:r w:rsidRPr="00AA2C86">
              <w:rPr>
                <w:sz w:val="20"/>
              </w:rPr>
              <w:t>7</w:t>
            </w:r>
          </w:p>
        </w:tc>
        <w:tc>
          <w:tcPr>
            <w:tcW w:w="1115" w:type="dxa"/>
            <w:tcBorders>
              <w:top w:val="nil"/>
              <w:left w:val="nil"/>
              <w:bottom w:val="nil"/>
              <w:right w:val="nil"/>
            </w:tcBorders>
            <w:shd w:val="clear" w:color="FFFFFF" w:fill="FFFFFF"/>
            <w:noWrap/>
            <w:vAlign w:val="center"/>
            <w:hideMark/>
          </w:tcPr>
          <w:p w14:paraId="5CB375B2"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6BB7107E"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6900A204"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354</w:t>
            </w:r>
          </w:p>
        </w:tc>
        <w:tc>
          <w:tcPr>
            <w:tcW w:w="1427" w:type="dxa"/>
            <w:tcBorders>
              <w:top w:val="nil"/>
              <w:left w:val="nil"/>
              <w:bottom w:val="nil"/>
              <w:right w:val="nil"/>
            </w:tcBorders>
            <w:shd w:val="clear" w:color="FFFFFF" w:fill="FFFFFF"/>
            <w:noWrap/>
            <w:vAlign w:val="center"/>
            <w:hideMark/>
          </w:tcPr>
          <w:p w14:paraId="58545130" w14:textId="77777777" w:rsidR="006F55F8" w:rsidRPr="00AA2C86" w:rsidRDefault="006F55F8" w:rsidP="006F55F8">
            <w:pPr>
              <w:spacing w:after="0"/>
              <w:jc w:val="right"/>
              <w:rPr>
                <w:sz w:val="20"/>
              </w:rPr>
            </w:pPr>
            <w:r w:rsidRPr="00AA2C86">
              <w:rPr>
                <w:sz w:val="20"/>
              </w:rPr>
              <w:t>-92</w:t>
            </w:r>
          </w:p>
        </w:tc>
        <w:tc>
          <w:tcPr>
            <w:tcW w:w="1002" w:type="dxa"/>
            <w:tcBorders>
              <w:top w:val="nil"/>
              <w:left w:val="nil"/>
              <w:bottom w:val="nil"/>
              <w:right w:val="nil"/>
            </w:tcBorders>
            <w:shd w:val="clear" w:color="FFFFFF" w:fill="FFFFFF"/>
            <w:noWrap/>
            <w:vAlign w:val="center"/>
            <w:hideMark/>
          </w:tcPr>
          <w:p w14:paraId="35BB8132" w14:textId="77777777" w:rsidR="006F55F8" w:rsidRPr="00AA2C86" w:rsidRDefault="006F55F8" w:rsidP="006F55F8">
            <w:pPr>
              <w:spacing w:after="0"/>
              <w:jc w:val="right"/>
              <w:rPr>
                <w:sz w:val="20"/>
              </w:rPr>
            </w:pPr>
            <w:r w:rsidRPr="00AA2C86">
              <w:rPr>
                <w:sz w:val="20"/>
              </w:rPr>
              <w:t>11</w:t>
            </w:r>
            <w:r>
              <w:rPr>
                <w:sz w:val="20"/>
              </w:rPr>
              <w:t xml:space="preserve"> </w:t>
            </w:r>
            <w:r w:rsidRPr="00AA2C86">
              <w:rPr>
                <w:sz w:val="20"/>
              </w:rPr>
              <w:t>063</w:t>
            </w:r>
          </w:p>
        </w:tc>
        <w:tc>
          <w:tcPr>
            <w:tcW w:w="958" w:type="dxa"/>
            <w:tcBorders>
              <w:top w:val="nil"/>
              <w:left w:val="nil"/>
              <w:bottom w:val="nil"/>
              <w:right w:val="nil"/>
            </w:tcBorders>
            <w:shd w:val="clear" w:color="FFFFFF" w:fill="FFFFFF"/>
            <w:noWrap/>
            <w:vAlign w:val="center"/>
            <w:hideMark/>
          </w:tcPr>
          <w:p w14:paraId="75581E12" w14:textId="77777777" w:rsidR="006F55F8" w:rsidRPr="00AA2C86" w:rsidRDefault="006F55F8" w:rsidP="006F55F8">
            <w:pPr>
              <w:spacing w:after="0"/>
              <w:jc w:val="right"/>
              <w:rPr>
                <w:sz w:val="20"/>
              </w:rPr>
            </w:pPr>
            <w:r w:rsidRPr="00AA2C86">
              <w:rPr>
                <w:sz w:val="20"/>
              </w:rPr>
              <w:t>852</w:t>
            </w:r>
          </w:p>
        </w:tc>
      </w:tr>
      <w:tr w:rsidR="006F55F8" w:rsidRPr="00AF266F" w14:paraId="0FCB0FAB" w14:textId="77777777" w:rsidTr="006F55F8">
        <w:trPr>
          <w:trHeight w:val="255"/>
        </w:trPr>
        <w:tc>
          <w:tcPr>
            <w:tcW w:w="1985" w:type="dxa"/>
            <w:gridSpan w:val="2"/>
            <w:tcBorders>
              <w:top w:val="nil"/>
              <w:left w:val="nil"/>
              <w:right w:val="nil"/>
            </w:tcBorders>
            <w:shd w:val="clear" w:color="auto" w:fill="auto"/>
            <w:noWrap/>
            <w:vAlign w:val="bottom"/>
            <w:hideMark/>
          </w:tcPr>
          <w:p w14:paraId="57CC551D"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13. </w:t>
            </w:r>
            <w:r w:rsidRPr="00AF266F">
              <w:rPr>
                <w:rFonts w:ascii="Arial" w:eastAsia="Times New Roman" w:hAnsi="Arial" w:cs="Arial"/>
                <w:color w:val="333333"/>
                <w:sz w:val="18"/>
                <w:szCs w:val="18"/>
                <w:lang w:val="en-US" w:eastAsia="en-US"/>
              </w:rPr>
              <w:t>Troms</w:t>
            </w:r>
          </w:p>
        </w:tc>
        <w:tc>
          <w:tcPr>
            <w:tcW w:w="903" w:type="dxa"/>
            <w:tcBorders>
              <w:top w:val="nil"/>
              <w:left w:val="nil"/>
              <w:bottom w:val="nil"/>
              <w:right w:val="nil"/>
            </w:tcBorders>
            <w:shd w:val="clear" w:color="FFFFFF" w:fill="FFFFFF"/>
            <w:noWrap/>
            <w:vAlign w:val="center"/>
            <w:hideMark/>
          </w:tcPr>
          <w:p w14:paraId="54EA2E92" w14:textId="77777777" w:rsidR="006F55F8" w:rsidRPr="00AA2C86" w:rsidRDefault="006F55F8" w:rsidP="006F55F8">
            <w:pPr>
              <w:spacing w:after="0"/>
              <w:jc w:val="right"/>
              <w:rPr>
                <w:sz w:val="20"/>
              </w:rPr>
            </w:pPr>
            <w:r w:rsidRPr="00AA2C86">
              <w:rPr>
                <w:sz w:val="20"/>
              </w:rPr>
              <w:t>2</w:t>
            </w:r>
            <w:r>
              <w:rPr>
                <w:sz w:val="20"/>
              </w:rPr>
              <w:t>,</w:t>
            </w:r>
            <w:r w:rsidRPr="00AA2C86">
              <w:rPr>
                <w:sz w:val="20"/>
              </w:rPr>
              <w:t>2</w:t>
            </w:r>
          </w:p>
        </w:tc>
        <w:tc>
          <w:tcPr>
            <w:tcW w:w="1115" w:type="dxa"/>
            <w:tcBorders>
              <w:top w:val="nil"/>
              <w:left w:val="nil"/>
              <w:bottom w:val="nil"/>
              <w:right w:val="nil"/>
            </w:tcBorders>
            <w:shd w:val="clear" w:color="FFFFFF" w:fill="FFFFFF"/>
            <w:noWrap/>
            <w:vAlign w:val="center"/>
            <w:hideMark/>
          </w:tcPr>
          <w:p w14:paraId="37098C9A"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0463C990" w14:textId="77777777" w:rsidR="006F55F8" w:rsidRPr="00AA2C86" w:rsidRDefault="006F55F8" w:rsidP="006F55F8">
            <w:pPr>
              <w:spacing w:after="0"/>
              <w:jc w:val="center"/>
              <w:rPr>
                <w:sz w:val="20"/>
              </w:rPr>
            </w:pPr>
            <w:r>
              <w:rPr>
                <w:sz w:val="20"/>
              </w:rPr>
              <w:t>0,1</w:t>
            </w:r>
          </w:p>
        </w:tc>
        <w:tc>
          <w:tcPr>
            <w:tcW w:w="1292" w:type="dxa"/>
            <w:tcBorders>
              <w:top w:val="nil"/>
              <w:left w:val="nil"/>
              <w:bottom w:val="nil"/>
              <w:right w:val="nil"/>
            </w:tcBorders>
            <w:shd w:val="clear" w:color="FFFFFF" w:fill="FFFFFF"/>
            <w:noWrap/>
            <w:vAlign w:val="center"/>
            <w:hideMark/>
          </w:tcPr>
          <w:p w14:paraId="03385615"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902</w:t>
            </w:r>
          </w:p>
        </w:tc>
        <w:tc>
          <w:tcPr>
            <w:tcW w:w="1427" w:type="dxa"/>
            <w:tcBorders>
              <w:top w:val="nil"/>
              <w:left w:val="nil"/>
              <w:bottom w:val="nil"/>
              <w:right w:val="nil"/>
            </w:tcBorders>
            <w:shd w:val="clear" w:color="FFFFFF" w:fill="FFFFFF"/>
            <w:noWrap/>
            <w:vAlign w:val="center"/>
            <w:hideMark/>
          </w:tcPr>
          <w:p w14:paraId="234B2305" w14:textId="77777777" w:rsidR="006F55F8" w:rsidRPr="00AA2C86" w:rsidRDefault="006F55F8" w:rsidP="006F55F8">
            <w:pPr>
              <w:spacing w:after="0"/>
              <w:jc w:val="right"/>
              <w:rPr>
                <w:sz w:val="20"/>
              </w:rPr>
            </w:pPr>
            <w:r w:rsidRPr="00AA2C86">
              <w:rPr>
                <w:sz w:val="20"/>
              </w:rPr>
              <w:t>-19</w:t>
            </w:r>
          </w:p>
        </w:tc>
        <w:tc>
          <w:tcPr>
            <w:tcW w:w="1002" w:type="dxa"/>
            <w:tcBorders>
              <w:top w:val="nil"/>
              <w:left w:val="nil"/>
              <w:bottom w:val="nil"/>
              <w:right w:val="nil"/>
            </w:tcBorders>
            <w:shd w:val="clear" w:color="FFFFFF" w:fill="FFFFFF"/>
            <w:noWrap/>
            <w:vAlign w:val="center"/>
            <w:hideMark/>
          </w:tcPr>
          <w:p w14:paraId="148B43EC" w14:textId="77777777" w:rsidR="006F55F8" w:rsidRPr="00AA2C86" w:rsidRDefault="006F55F8" w:rsidP="006F55F8">
            <w:pPr>
              <w:spacing w:after="0"/>
              <w:jc w:val="right"/>
              <w:rPr>
                <w:sz w:val="20"/>
              </w:rPr>
            </w:pPr>
            <w:r w:rsidRPr="00AA2C86">
              <w:rPr>
                <w:sz w:val="20"/>
              </w:rPr>
              <w:t>9</w:t>
            </w:r>
            <w:r>
              <w:rPr>
                <w:sz w:val="20"/>
              </w:rPr>
              <w:t xml:space="preserve"> </w:t>
            </w:r>
            <w:r w:rsidRPr="00AA2C86">
              <w:rPr>
                <w:sz w:val="20"/>
              </w:rPr>
              <w:t>401</w:t>
            </w:r>
          </w:p>
        </w:tc>
        <w:tc>
          <w:tcPr>
            <w:tcW w:w="958" w:type="dxa"/>
            <w:tcBorders>
              <w:top w:val="nil"/>
              <w:left w:val="nil"/>
              <w:bottom w:val="nil"/>
              <w:right w:val="nil"/>
            </w:tcBorders>
            <w:shd w:val="clear" w:color="FFFFFF" w:fill="FFFFFF"/>
            <w:noWrap/>
            <w:vAlign w:val="center"/>
            <w:hideMark/>
          </w:tcPr>
          <w:p w14:paraId="3DB97BB1"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435</w:t>
            </w:r>
          </w:p>
        </w:tc>
      </w:tr>
      <w:tr w:rsidR="006F55F8" w:rsidRPr="00AF266F" w14:paraId="75D0B094" w14:textId="77777777" w:rsidTr="006F55F8">
        <w:trPr>
          <w:trHeight w:val="255"/>
        </w:trPr>
        <w:tc>
          <w:tcPr>
            <w:tcW w:w="1985" w:type="dxa"/>
            <w:gridSpan w:val="2"/>
            <w:tcBorders>
              <w:top w:val="nil"/>
              <w:left w:val="nil"/>
              <w:right w:val="nil"/>
            </w:tcBorders>
            <w:shd w:val="clear" w:color="auto" w:fill="auto"/>
            <w:noWrap/>
            <w:vAlign w:val="bottom"/>
            <w:hideMark/>
          </w:tcPr>
          <w:p w14:paraId="7C24C8D7"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14. </w:t>
            </w:r>
            <w:r w:rsidRPr="00AF266F">
              <w:rPr>
                <w:rFonts w:ascii="Arial" w:eastAsia="Times New Roman" w:hAnsi="Arial" w:cs="Arial"/>
                <w:color w:val="333333"/>
                <w:sz w:val="18"/>
                <w:szCs w:val="18"/>
                <w:lang w:val="en-US" w:eastAsia="en-US"/>
              </w:rPr>
              <w:t>Oslo</w:t>
            </w:r>
          </w:p>
        </w:tc>
        <w:tc>
          <w:tcPr>
            <w:tcW w:w="903" w:type="dxa"/>
            <w:tcBorders>
              <w:top w:val="nil"/>
              <w:left w:val="nil"/>
              <w:bottom w:val="nil"/>
              <w:right w:val="nil"/>
            </w:tcBorders>
            <w:shd w:val="clear" w:color="FFFFFF" w:fill="FFFFFF"/>
            <w:noWrap/>
            <w:vAlign w:val="center"/>
            <w:hideMark/>
          </w:tcPr>
          <w:p w14:paraId="2A39E960" w14:textId="77777777" w:rsidR="006F55F8" w:rsidRPr="00AA2C86" w:rsidRDefault="006F55F8" w:rsidP="006F55F8">
            <w:pPr>
              <w:spacing w:after="0"/>
              <w:jc w:val="right"/>
              <w:rPr>
                <w:sz w:val="20"/>
              </w:rPr>
            </w:pPr>
            <w:r w:rsidRPr="00AA2C86">
              <w:rPr>
                <w:sz w:val="20"/>
              </w:rPr>
              <w:t>3</w:t>
            </w:r>
            <w:r>
              <w:rPr>
                <w:sz w:val="20"/>
              </w:rPr>
              <w:t>,</w:t>
            </w:r>
            <w:r w:rsidRPr="00AA2C86">
              <w:rPr>
                <w:sz w:val="20"/>
              </w:rPr>
              <w:t>5</w:t>
            </w:r>
          </w:p>
        </w:tc>
        <w:tc>
          <w:tcPr>
            <w:tcW w:w="1115" w:type="dxa"/>
            <w:tcBorders>
              <w:top w:val="nil"/>
              <w:left w:val="nil"/>
              <w:bottom w:val="nil"/>
              <w:right w:val="nil"/>
            </w:tcBorders>
            <w:shd w:val="clear" w:color="FFFFFF" w:fill="FFFFFF"/>
            <w:noWrap/>
            <w:vAlign w:val="center"/>
            <w:hideMark/>
          </w:tcPr>
          <w:p w14:paraId="0ABAD8BA"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3D190AAC"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04BB3DAF" w14:textId="77777777" w:rsidR="006F55F8" w:rsidRPr="00AA2C86" w:rsidRDefault="006F55F8" w:rsidP="006F55F8">
            <w:pPr>
              <w:spacing w:after="0"/>
              <w:jc w:val="right"/>
              <w:rPr>
                <w:sz w:val="20"/>
              </w:rPr>
            </w:pPr>
            <w:r w:rsidRPr="00AA2C86">
              <w:rPr>
                <w:sz w:val="20"/>
              </w:rPr>
              <w:t>12</w:t>
            </w:r>
            <w:r>
              <w:rPr>
                <w:sz w:val="20"/>
              </w:rPr>
              <w:t xml:space="preserve"> </w:t>
            </w:r>
            <w:r w:rsidRPr="00AA2C86">
              <w:rPr>
                <w:sz w:val="20"/>
              </w:rPr>
              <w:t>656</w:t>
            </w:r>
          </w:p>
        </w:tc>
        <w:tc>
          <w:tcPr>
            <w:tcW w:w="1427" w:type="dxa"/>
            <w:tcBorders>
              <w:top w:val="nil"/>
              <w:left w:val="nil"/>
              <w:bottom w:val="nil"/>
              <w:right w:val="nil"/>
            </w:tcBorders>
            <w:shd w:val="clear" w:color="FFFFFF" w:fill="FFFFFF"/>
            <w:noWrap/>
            <w:vAlign w:val="center"/>
            <w:hideMark/>
          </w:tcPr>
          <w:p w14:paraId="1E3A03D8" w14:textId="77777777" w:rsidR="006F55F8" w:rsidRPr="00AA2C86" w:rsidRDefault="006F55F8" w:rsidP="006F55F8">
            <w:pPr>
              <w:spacing w:after="0"/>
              <w:jc w:val="right"/>
              <w:rPr>
                <w:sz w:val="20"/>
              </w:rPr>
            </w:pPr>
            <w:r w:rsidRPr="00AA2C86">
              <w:rPr>
                <w:sz w:val="20"/>
              </w:rPr>
              <w:t>-183</w:t>
            </w:r>
          </w:p>
        </w:tc>
        <w:tc>
          <w:tcPr>
            <w:tcW w:w="1002" w:type="dxa"/>
            <w:tcBorders>
              <w:top w:val="nil"/>
              <w:left w:val="nil"/>
              <w:bottom w:val="nil"/>
              <w:right w:val="nil"/>
            </w:tcBorders>
            <w:shd w:val="clear" w:color="FFFFFF" w:fill="FFFFFF"/>
            <w:noWrap/>
            <w:vAlign w:val="center"/>
            <w:hideMark/>
          </w:tcPr>
          <w:p w14:paraId="32B241D2" w14:textId="77777777" w:rsidR="006F55F8" w:rsidRPr="00AA2C86" w:rsidRDefault="006F55F8" w:rsidP="006F55F8">
            <w:pPr>
              <w:spacing w:after="0"/>
              <w:jc w:val="right"/>
              <w:rPr>
                <w:sz w:val="20"/>
              </w:rPr>
            </w:pPr>
            <w:r w:rsidRPr="00AA2C86">
              <w:rPr>
                <w:sz w:val="20"/>
              </w:rPr>
              <w:t>33</w:t>
            </w:r>
            <w:r>
              <w:rPr>
                <w:sz w:val="20"/>
              </w:rPr>
              <w:t xml:space="preserve"> </w:t>
            </w:r>
            <w:r w:rsidRPr="00AA2C86">
              <w:rPr>
                <w:sz w:val="20"/>
              </w:rPr>
              <w:t>390</w:t>
            </w:r>
          </w:p>
        </w:tc>
        <w:tc>
          <w:tcPr>
            <w:tcW w:w="958" w:type="dxa"/>
            <w:tcBorders>
              <w:top w:val="nil"/>
              <w:left w:val="nil"/>
              <w:bottom w:val="nil"/>
              <w:right w:val="nil"/>
            </w:tcBorders>
            <w:shd w:val="clear" w:color="FFFFFF" w:fill="FFFFFF"/>
            <w:noWrap/>
            <w:vAlign w:val="center"/>
            <w:hideMark/>
          </w:tcPr>
          <w:p w14:paraId="7B93F2A5" w14:textId="77777777" w:rsidR="006F55F8" w:rsidRPr="00AA2C86" w:rsidRDefault="006F55F8" w:rsidP="006F55F8">
            <w:pPr>
              <w:spacing w:after="0"/>
              <w:jc w:val="right"/>
              <w:rPr>
                <w:sz w:val="20"/>
              </w:rPr>
            </w:pPr>
            <w:r w:rsidRPr="00AA2C86">
              <w:rPr>
                <w:sz w:val="20"/>
              </w:rPr>
              <w:t>196</w:t>
            </w:r>
          </w:p>
        </w:tc>
      </w:tr>
      <w:tr w:rsidR="006F55F8" w:rsidRPr="00AF266F" w14:paraId="20BE9C62" w14:textId="77777777" w:rsidTr="006F55F8">
        <w:trPr>
          <w:trHeight w:val="255"/>
        </w:trPr>
        <w:tc>
          <w:tcPr>
            <w:tcW w:w="1985" w:type="dxa"/>
            <w:gridSpan w:val="2"/>
            <w:tcBorders>
              <w:top w:val="nil"/>
              <w:left w:val="nil"/>
              <w:right w:val="nil"/>
            </w:tcBorders>
            <w:shd w:val="clear" w:color="auto" w:fill="auto"/>
            <w:noWrap/>
            <w:vAlign w:val="bottom"/>
            <w:hideMark/>
          </w:tcPr>
          <w:p w14:paraId="62131BB8"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15. </w:t>
            </w:r>
            <w:r w:rsidRPr="00AF266F">
              <w:rPr>
                <w:rFonts w:ascii="Arial" w:eastAsia="Times New Roman" w:hAnsi="Arial" w:cs="Arial"/>
                <w:color w:val="333333"/>
                <w:sz w:val="18"/>
                <w:szCs w:val="18"/>
                <w:lang w:val="en-US" w:eastAsia="en-US"/>
              </w:rPr>
              <w:t>Oppland</w:t>
            </w:r>
          </w:p>
        </w:tc>
        <w:tc>
          <w:tcPr>
            <w:tcW w:w="903" w:type="dxa"/>
            <w:tcBorders>
              <w:top w:val="nil"/>
              <w:left w:val="nil"/>
              <w:bottom w:val="nil"/>
              <w:right w:val="nil"/>
            </w:tcBorders>
            <w:shd w:val="clear" w:color="FFFFFF" w:fill="FFFFFF"/>
            <w:noWrap/>
            <w:vAlign w:val="center"/>
            <w:hideMark/>
          </w:tcPr>
          <w:p w14:paraId="121B48B9" w14:textId="77777777" w:rsidR="006F55F8" w:rsidRPr="00AA2C86" w:rsidRDefault="006F55F8" w:rsidP="006F55F8">
            <w:pPr>
              <w:spacing w:after="0"/>
              <w:jc w:val="right"/>
              <w:rPr>
                <w:sz w:val="20"/>
              </w:rPr>
            </w:pPr>
            <w:r w:rsidRPr="00AA2C86">
              <w:rPr>
                <w:sz w:val="20"/>
              </w:rPr>
              <w:t>2</w:t>
            </w:r>
            <w:r>
              <w:rPr>
                <w:sz w:val="20"/>
              </w:rPr>
              <w:t>,</w:t>
            </w:r>
            <w:r w:rsidRPr="00AA2C86">
              <w:rPr>
                <w:sz w:val="20"/>
              </w:rPr>
              <w:t>1</w:t>
            </w:r>
          </w:p>
        </w:tc>
        <w:tc>
          <w:tcPr>
            <w:tcW w:w="1115" w:type="dxa"/>
            <w:tcBorders>
              <w:top w:val="nil"/>
              <w:left w:val="nil"/>
              <w:bottom w:val="nil"/>
              <w:right w:val="nil"/>
            </w:tcBorders>
            <w:shd w:val="clear" w:color="FFFFFF" w:fill="FFFFFF"/>
            <w:noWrap/>
            <w:vAlign w:val="center"/>
            <w:hideMark/>
          </w:tcPr>
          <w:p w14:paraId="3BC1A3BE"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0EB39541"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1A71A14D" w14:textId="77777777" w:rsidR="006F55F8" w:rsidRPr="00AA2C86" w:rsidRDefault="006F55F8" w:rsidP="006F55F8">
            <w:pPr>
              <w:spacing w:after="0"/>
              <w:jc w:val="right"/>
              <w:rPr>
                <w:sz w:val="20"/>
              </w:rPr>
            </w:pPr>
            <w:r w:rsidRPr="00AA2C86">
              <w:rPr>
                <w:sz w:val="20"/>
              </w:rPr>
              <w:t>2</w:t>
            </w:r>
            <w:r>
              <w:rPr>
                <w:sz w:val="20"/>
              </w:rPr>
              <w:t xml:space="preserve"> </w:t>
            </w:r>
            <w:r w:rsidRPr="00AA2C86">
              <w:rPr>
                <w:sz w:val="20"/>
              </w:rPr>
              <w:t>044</w:t>
            </w:r>
          </w:p>
        </w:tc>
        <w:tc>
          <w:tcPr>
            <w:tcW w:w="1427" w:type="dxa"/>
            <w:tcBorders>
              <w:top w:val="nil"/>
              <w:left w:val="nil"/>
              <w:bottom w:val="nil"/>
              <w:right w:val="nil"/>
            </w:tcBorders>
            <w:shd w:val="clear" w:color="FFFFFF" w:fill="FFFFFF"/>
            <w:noWrap/>
            <w:vAlign w:val="center"/>
            <w:hideMark/>
          </w:tcPr>
          <w:p w14:paraId="1445D3C7" w14:textId="77777777" w:rsidR="006F55F8" w:rsidRPr="00AA2C86" w:rsidRDefault="006F55F8" w:rsidP="006F55F8">
            <w:pPr>
              <w:spacing w:after="0"/>
              <w:jc w:val="right"/>
              <w:rPr>
                <w:sz w:val="20"/>
              </w:rPr>
            </w:pPr>
            <w:r w:rsidRPr="00AA2C86">
              <w:rPr>
                <w:sz w:val="20"/>
              </w:rPr>
              <w:t>-122</w:t>
            </w:r>
          </w:p>
        </w:tc>
        <w:tc>
          <w:tcPr>
            <w:tcW w:w="1002" w:type="dxa"/>
            <w:tcBorders>
              <w:top w:val="nil"/>
              <w:left w:val="nil"/>
              <w:bottom w:val="nil"/>
              <w:right w:val="nil"/>
            </w:tcBorders>
            <w:shd w:val="clear" w:color="FFFFFF" w:fill="FFFFFF"/>
            <w:noWrap/>
            <w:vAlign w:val="center"/>
            <w:hideMark/>
          </w:tcPr>
          <w:p w14:paraId="55DA33BC" w14:textId="77777777" w:rsidR="006F55F8" w:rsidRPr="00AA2C86" w:rsidRDefault="006F55F8" w:rsidP="006F55F8">
            <w:pPr>
              <w:spacing w:after="0"/>
              <w:jc w:val="right"/>
              <w:rPr>
                <w:sz w:val="20"/>
              </w:rPr>
            </w:pPr>
            <w:r w:rsidRPr="00AA2C86">
              <w:rPr>
                <w:sz w:val="20"/>
              </w:rPr>
              <w:t>8</w:t>
            </w:r>
            <w:r>
              <w:rPr>
                <w:sz w:val="20"/>
              </w:rPr>
              <w:t xml:space="preserve"> </w:t>
            </w:r>
            <w:r w:rsidRPr="00AA2C86">
              <w:rPr>
                <w:sz w:val="20"/>
              </w:rPr>
              <w:t>273</w:t>
            </w:r>
          </w:p>
        </w:tc>
        <w:tc>
          <w:tcPr>
            <w:tcW w:w="958" w:type="dxa"/>
            <w:tcBorders>
              <w:top w:val="nil"/>
              <w:left w:val="nil"/>
              <w:bottom w:val="nil"/>
              <w:right w:val="nil"/>
            </w:tcBorders>
            <w:shd w:val="clear" w:color="FFFFFF" w:fill="FFFFFF"/>
            <w:noWrap/>
            <w:vAlign w:val="center"/>
            <w:hideMark/>
          </w:tcPr>
          <w:p w14:paraId="2EFFA736" w14:textId="77777777" w:rsidR="006F55F8" w:rsidRPr="00AA2C86" w:rsidRDefault="006F55F8" w:rsidP="006F55F8">
            <w:pPr>
              <w:spacing w:after="0"/>
              <w:jc w:val="right"/>
              <w:rPr>
                <w:sz w:val="20"/>
              </w:rPr>
            </w:pPr>
            <w:r w:rsidRPr="00AA2C86">
              <w:rPr>
                <w:sz w:val="20"/>
              </w:rPr>
              <w:t>963</w:t>
            </w:r>
          </w:p>
        </w:tc>
      </w:tr>
      <w:tr w:rsidR="006F55F8" w:rsidRPr="00AF266F" w14:paraId="52016554" w14:textId="77777777" w:rsidTr="006F55F8">
        <w:trPr>
          <w:trHeight w:val="255"/>
        </w:trPr>
        <w:tc>
          <w:tcPr>
            <w:tcW w:w="1985" w:type="dxa"/>
            <w:gridSpan w:val="2"/>
            <w:tcBorders>
              <w:top w:val="nil"/>
              <w:left w:val="nil"/>
              <w:right w:val="nil"/>
            </w:tcBorders>
            <w:shd w:val="clear" w:color="auto" w:fill="auto"/>
            <w:noWrap/>
            <w:vAlign w:val="bottom"/>
            <w:hideMark/>
          </w:tcPr>
          <w:p w14:paraId="4B82264E"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16. </w:t>
            </w:r>
            <w:r w:rsidRPr="00AF266F">
              <w:rPr>
                <w:rFonts w:ascii="Arial" w:eastAsia="Times New Roman" w:hAnsi="Arial" w:cs="Arial"/>
                <w:color w:val="333333"/>
                <w:sz w:val="18"/>
                <w:szCs w:val="18"/>
                <w:lang w:val="en-US" w:eastAsia="en-US"/>
              </w:rPr>
              <w:t>Finnmark</w:t>
            </w:r>
          </w:p>
        </w:tc>
        <w:tc>
          <w:tcPr>
            <w:tcW w:w="903" w:type="dxa"/>
            <w:tcBorders>
              <w:top w:val="nil"/>
              <w:left w:val="nil"/>
              <w:bottom w:val="nil"/>
              <w:right w:val="nil"/>
            </w:tcBorders>
            <w:shd w:val="clear" w:color="FFFFFF" w:fill="FFFFFF"/>
            <w:noWrap/>
            <w:vAlign w:val="center"/>
            <w:hideMark/>
          </w:tcPr>
          <w:p w14:paraId="5B045BD8" w14:textId="77777777" w:rsidR="006F55F8" w:rsidRPr="00AA2C86" w:rsidRDefault="006F55F8" w:rsidP="006F55F8">
            <w:pPr>
              <w:spacing w:after="0"/>
              <w:jc w:val="right"/>
              <w:rPr>
                <w:sz w:val="20"/>
              </w:rPr>
            </w:pPr>
            <w:r w:rsidRPr="00AA2C86">
              <w:rPr>
                <w:sz w:val="20"/>
              </w:rPr>
              <w:t>3</w:t>
            </w:r>
            <w:r>
              <w:rPr>
                <w:sz w:val="20"/>
              </w:rPr>
              <w:t>,</w:t>
            </w:r>
            <w:r w:rsidRPr="00AA2C86">
              <w:rPr>
                <w:sz w:val="20"/>
              </w:rPr>
              <w:t>4</w:t>
            </w:r>
          </w:p>
        </w:tc>
        <w:tc>
          <w:tcPr>
            <w:tcW w:w="1115" w:type="dxa"/>
            <w:tcBorders>
              <w:top w:val="nil"/>
              <w:left w:val="nil"/>
              <w:bottom w:val="nil"/>
              <w:right w:val="nil"/>
            </w:tcBorders>
            <w:shd w:val="clear" w:color="FFFFFF" w:fill="FFFFFF"/>
            <w:noWrap/>
            <w:vAlign w:val="center"/>
            <w:hideMark/>
          </w:tcPr>
          <w:p w14:paraId="514461AF" w14:textId="77777777" w:rsidR="006F55F8" w:rsidRPr="00AA2C86" w:rsidRDefault="006F55F8" w:rsidP="006F55F8">
            <w:pPr>
              <w:spacing w:after="0"/>
              <w:jc w:val="center"/>
              <w:rPr>
                <w:sz w:val="20"/>
              </w:rPr>
            </w:pPr>
            <w:r w:rsidRPr="00AA2C86">
              <w:rPr>
                <w:sz w:val="20"/>
              </w:rPr>
              <w:t>-0</w:t>
            </w:r>
            <w:r>
              <w:rPr>
                <w:sz w:val="20"/>
              </w:rPr>
              <w:t>,</w:t>
            </w:r>
            <w:r w:rsidRPr="00AA2C86">
              <w:rPr>
                <w:sz w:val="20"/>
              </w:rPr>
              <w:t>1</w:t>
            </w:r>
          </w:p>
        </w:tc>
        <w:tc>
          <w:tcPr>
            <w:tcW w:w="782" w:type="dxa"/>
            <w:tcBorders>
              <w:top w:val="nil"/>
              <w:left w:val="nil"/>
              <w:bottom w:val="nil"/>
              <w:right w:val="nil"/>
            </w:tcBorders>
            <w:shd w:val="clear" w:color="FFFFFF" w:fill="FFFFFF"/>
            <w:vAlign w:val="center"/>
          </w:tcPr>
          <w:p w14:paraId="476445D9" w14:textId="77777777" w:rsidR="006F55F8" w:rsidRPr="00AA2C86" w:rsidRDefault="006F55F8" w:rsidP="006F55F8">
            <w:pPr>
              <w:spacing w:after="0"/>
              <w:jc w:val="center"/>
              <w:rPr>
                <w:sz w:val="20"/>
              </w:rPr>
            </w:pPr>
            <w:r>
              <w:rPr>
                <w:sz w:val="20"/>
              </w:rPr>
              <w:t>0,2</w:t>
            </w:r>
          </w:p>
        </w:tc>
        <w:tc>
          <w:tcPr>
            <w:tcW w:w="1292" w:type="dxa"/>
            <w:tcBorders>
              <w:top w:val="nil"/>
              <w:left w:val="nil"/>
              <w:bottom w:val="nil"/>
              <w:right w:val="nil"/>
            </w:tcBorders>
            <w:shd w:val="clear" w:color="FFFFFF" w:fill="FFFFFF"/>
            <w:noWrap/>
            <w:vAlign w:val="center"/>
            <w:hideMark/>
          </w:tcPr>
          <w:p w14:paraId="6CD8766A"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332</w:t>
            </w:r>
          </w:p>
        </w:tc>
        <w:tc>
          <w:tcPr>
            <w:tcW w:w="1427" w:type="dxa"/>
            <w:tcBorders>
              <w:top w:val="nil"/>
              <w:left w:val="nil"/>
              <w:bottom w:val="nil"/>
              <w:right w:val="nil"/>
            </w:tcBorders>
            <w:shd w:val="clear" w:color="FFFFFF" w:fill="FFFFFF"/>
            <w:noWrap/>
            <w:vAlign w:val="center"/>
            <w:hideMark/>
          </w:tcPr>
          <w:p w14:paraId="47439F84" w14:textId="77777777" w:rsidR="006F55F8" w:rsidRPr="00AA2C86" w:rsidRDefault="006F55F8" w:rsidP="006F55F8">
            <w:pPr>
              <w:spacing w:after="0"/>
              <w:jc w:val="right"/>
              <w:rPr>
                <w:sz w:val="20"/>
              </w:rPr>
            </w:pPr>
            <w:r w:rsidRPr="00AA2C86">
              <w:rPr>
                <w:sz w:val="20"/>
              </w:rPr>
              <w:t>-31</w:t>
            </w:r>
          </w:p>
        </w:tc>
        <w:tc>
          <w:tcPr>
            <w:tcW w:w="1002" w:type="dxa"/>
            <w:tcBorders>
              <w:top w:val="nil"/>
              <w:left w:val="nil"/>
              <w:bottom w:val="nil"/>
              <w:right w:val="nil"/>
            </w:tcBorders>
            <w:shd w:val="clear" w:color="FFFFFF" w:fill="FFFFFF"/>
            <w:noWrap/>
            <w:vAlign w:val="center"/>
            <w:hideMark/>
          </w:tcPr>
          <w:p w14:paraId="084B7116"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471</w:t>
            </w:r>
          </w:p>
        </w:tc>
        <w:tc>
          <w:tcPr>
            <w:tcW w:w="958" w:type="dxa"/>
            <w:tcBorders>
              <w:top w:val="nil"/>
              <w:left w:val="nil"/>
              <w:bottom w:val="nil"/>
              <w:right w:val="nil"/>
            </w:tcBorders>
            <w:shd w:val="clear" w:color="FFFFFF" w:fill="FFFFFF"/>
            <w:noWrap/>
            <w:vAlign w:val="center"/>
            <w:hideMark/>
          </w:tcPr>
          <w:p w14:paraId="513DFC35" w14:textId="77777777" w:rsidR="006F55F8" w:rsidRPr="00AA2C86" w:rsidRDefault="006F55F8" w:rsidP="006F55F8">
            <w:pPr>
              <w:spacing w:after="0"/>
              <w:jc w:val="right"/>
              <w:rPr>
                <w:sz w:val="20"/>
              </w:rPr>
            </w:pPr>
            <w:r w:rsidRPr="00AA2C86">
              <w:rPr>
                <w:sz w:val="20"/>
              </w:rPr>
              <w:t>563</w:t>
            </w:r>
          </w:p>
        </w:tc>
      </w:tr>
      <w:tr w:rsidR="006F55F8" w:rsidRPr="00AF266F" w14:paraId="7FC9751F" w14:textId="77777777" w:rsidTr="006F55F8">
        <w:trPr>
          <w:trHeight w:val="255"/>
        </w:trPr>
        <w:tc>
          <w:tcPr>
            <w:tcW w:w="1985" w:type="dxa"/>
            <w:gridSpan w:val="2"/>
            <w:tcBorders>
              <w:top w:val="nil"/>
              <w:left w:val="nil"/>
              <w:right w:val="nil"/>
            </w:tcBorders>
            <w:shd w:val="clear" w:color="auto" w:fill="auto"/>
            <w:noWrap/>
            <w:vAlign w:val="bottom"/>
            <w:hideMark/>
          </w:tcPr>
          <w:p w14:paraId="1A992CD2" w14:textId="77777777" w:rsidR="006F55F8" w:rsidRPr="00AF266F" w:rsidRDefault="006F55F8" w:rsidP="00FD7CA8">
            <w:pPr>
              <w:spacing w:after="0"/>
              <w:rPr>
                <w:rFonts w:ascii="Arial" w:eastAsia="Times New Roman" w:hAnsi="Arial" w:cs="Arial"/>
                <w:color w:val="333333"/>
                <w:sz w:val="18"/>
                <w:szCs w:val="18"/>
                <w:lang w:val="en-US" w:eastAsia="en-US"/>
              </w:rPr>
            </w:pPr>
            <w:r>
              <w:rPr>
                <w:rFonts w:ascii="Arial" w:eastAsia="Times New Roman" w:hAnsi="Arial" w:cs="Arial"/>
                <w:color w:val="333333"/>
                <w:sz w:val="18"/>
                <w:szCs w:val="18"/>
                <w:lang w:val="en-US" w:eastAsia="en-US"/>
              </w:rPr>
              <w:t xml:space="preserve">17. </w:t>
            </w:r>
            <w:r w:rsidRPr="00AF266F">
              <w:rPr>
                <w:rFonts w:ascii="Arial" w:eastAsia="Times New Roman" w:hAnsi="Arial" w:cs="Arial"/>
                <w:color w:val="333333"/>
                <w:sz w:val="18"/>
                <w:szCs w:val="18"/>
                <w:lang w:val="en-US" w:eastAsia="en-US"/>
              </w:rPr>
              <w:t>Vestfold</w:t>
            </w:r>
          </w:p>
        </w:tc>
        <w:tc>
          <w:tcPr>
            <w:tcW w:w="903" w:type="dxa"/>
            <w:tcBorders>
              <w:top w:val="nil"/>
              <w:left w:val="nil"/>
              <w:bottom w:val="nil"/>
              <w:right w:val="nil"/>
            </w:tcBorders>
            <w:shd w:val="clear" w:color="FFFFFF" w:fill="FFFFFF"/>
            <w:noWrap/>
            <w:vAlign w:val="center"/>
            <w:hideMark/>
          </w:tcPr>
          <w:p w14:paraId="01593DF3" w14:textId="77777777" w:rsidR="006F55F8" w:rsidRPr="00AA2C86" w:rsidRDefault="006F55F8" w:rsidP="006F55F8">
            <w:pPr>
              <w:spacing w:after="0"/>
              <w:jc w:val="right"/>
              <w:rPr>
                <w:sz w:val="20"/>
              </w:rPr>
            </w:pPr>
            <w:r w:rsidRPr="00AA2C86">
              <w:rPr>
                <w:sz w:val="20"/>
              </w:rPr>
              <w:t>3</w:t>
            </w:r>
          </w:p>
        </w:tc>
        <w:tc>
          <w:tcPr>
            <w:tcW w:w="1115" w:type="dxa"/>
            <w:tcBorders>
              <w:top w:val="nil"/>
              <w:left w:val="nil"/>
              <w:bottom w:val="nil"/>
              <w:right w:val="nil"/>
            </w:tcBorders>
            <w:shd w:val="clear" w:color="FFFFFF" w:fill="FFFFFF"/>
            <w:noWrap/>
            <w:vAlign w:val="center"/>
            <w:hideMark/>
          </w:tcPr>
          <w:p w14:paraId="57AA3598" w14:textId="77777777" w:rsidR="006F55F8" w:rsidRPr="00AA2C86" w:rsidRDefault="006F55F8" w:rsidP="006F55F8">
            <w:pPr>
              <w:spacing w:after="0"/>
              <w:jc w:val="center"/>
              <w:rPr>
                <w:sz w:val="20"/>
              </w:rPr>
            </w:pPr>
            <w:r w:rsidRPr="00AA2C86">
              <w:rPr>
                <w:sz w:val="20"/>
              </w:rPr>
              <w:t>-0</w:t>
            </w:r>
            <w:r>
              <w:rPr>
                <w:sz w:val="20"/>
              </w:rPr>
              <w:t>,</w:t>
            </w:r>
            <w:r w:rsidRPr="00AA2C86">
              <w:rPr>
                <w:sz w:val="20"/>
              </w:rPr>
              <w:t>2</w:t>
            </w:r>
          </w:p>
        </w:tc>
        <w:tc>
          <w:tcPr>
            <w:tcW w:w="782" w:type="dxa"/>
            <w:tcBorders>
              <w:top w:val="nil"/>
              <w:left w:val="nil"/>
              <w:bottom w:val="nil"/>
              <w:right w:val="nil"/>
            </w:tcBorders>
            <w:shd w:val="clear" w:color="FFFFFF" w:fill="FFFFFF"/>
            <w:vAlign w:val="center"/>
          </w:tcPr>
          <w:p w14:paraId="37D6E967" w14:textId="77777777" w:rsidR="006F55F8" w:rsidRPr="00AA2C86" w:rsidRDefault="006F55F8" w:rsidP="006F55F8">
            <w:pPr>
              <w:spacing w:after="0"/>
              <w:jc w:val="center"/>
              <w:rPr>
                <w:sz w:val="20"/>
              </w:rPr>
            </w:pPr>
            <w:r>
              <w:rPr>
                <w:sz w:val="20"/>
              </w:rPr>
              <w:t>0,0</w:t>
            </w:r>
          </w:p>
        </w:tc>
        <w:tc>
          <w:tcPr>
            <w:tcW w:w="1292" w:type="dxa"/>
            <w:tcBorders>
              <w:top w:val="nil"/>
              <w:left w:val="nil"/>
              <w:bottom w:val="nil"/>
              <w:right w:val="nil"/>
            </w:tcBorders>
            <w:shd w:val="clear" w:color="FFFFFF" w:fill="FFFFFF"/>
            <w:noWrap/>
            <w:vAlign w:val="center"/>
            <w:hideMark/>
          </w:tcPr>
          <w:p w14:paraId="4AC4E9E9" w14:textId="77777777" w:rsidR="006F55F8" w:rsidRPr="00AA2C86" w:rsidRDefault="006F55F8" w:rsidP="006F55F8">
            <w:pPr>
              <w:spacing w:after="0"/>
              <w:jc w:val="right"/>
              <w:rPr>
                <w:sz w:val="20"/>
              </w:rPr>
            </w:pPr>
            <w:r w:rsidRPr="00AA2C86">
              <w:rPr>
                <w:sz w:val="20"/>
              </w:rPr>
              <w:t>3</w:t>
            </w:r>
            <w:r>
              <w:rPr>
                <w:sz w:val="20"/>
              </w:rPr>
              <w:t xml:space="preserve"> </w:t>
            </w:r>
            <w:r w:rsidRPr="00AA2C86">
              <w:rPr>
                <w:sz w:val="20"/>
              </w:rPr>
              <w:t>702</w:t>
            </w:r>
          </w:p>
        </w:tc>
        <w:tc>
          <w:tcPr>
            <w:tcW w:w="1427" w:type="dxa"/>
            <w:tcBorders>
              <w:top w:val="nil"/>
              <w:left w:val="nil"/>
              <w:bottom w:val="nil"/>
              <w:right w:val="nil"/>
            </w:tcBorders>
            <w:shd w:val="clear" w:color="FFFFFF" w:fill="FFFFFF"/>
            <w:noWrap/>
            <w:vAlign w:val="center"/>
            <w:hideMark/>
          </w:tcPr>
          <w:p w14:paraId="7F4E7325" w14:textId="77777777" w:rsidR="006F55F8" w:rsidRPr="00AA2C86" w:rsidRDefault="006F55F8" w:rsidP="006F55F8">
            <w:pPr>
              <w:spacing w:after="0"/>
              <w:jc w:val="right"/>
              <w:rPr>
                <w:sz w:val="20"/>
              </w:rPr>
            </w:pPr>
            <w:r w:rsidRPr="00AA2C86">
              <w:rPr>
                <w:sz w:val="20"/>
              </w:rPr>
              <w:t>-195</w:t>
            </w:r>
          </w:p>
        </w:tc>
        <w:tc>
          <w:tcPr>
            <w:tcW w:w="1002" w:type="dxa"/>
            <w:tcBorders>
              <w:top w:val="nil"/>
              <w:left w:val="nil"/>
              <w:bottom w:val="nil"/>
              <w:right w:val="nil"/>
            </w:tcBorders>
            <w:shd w:val="clear" w:color="FFFFFF" w:fill="FFFFFF"/>
            <w:noWrap/>
            <w:vAlign w:val="center"/>
            <w:hideMark/>
          </w:tcPr>
          <w:p w14:paraId="7FA45B08" w14:textId="77777777" w:rsidR="006F55F8" w:rsidRPr="00AA2C86" w:rsidRDefault="006F55F8" w:rsidP="006F55F8">
            <w:pPr>
              <w:spacing w:after="0"/>
              <w:jc w:val="right"/>
              <w:rPr>
                <w:sz w:val="20"/>
              </w:rPr>
            </w:pPr>
            <w:r w:rsidRPr="00AA2C86">
              <w:rPr>
                <w:sz w:val="20"/>
              </w:rPr>
              <w:t>8</w:t>
            </w:r>
            <w:r>
              <w:rPr>
                <w:sz w:val="20"/>
              </w:rPr>
              <w:t xml:space="preserve"> </w:t>
            </w:r>
            <w:r w:rsidRPr="00AA2C86">
              <w:rPr>
                <w:sz w:val="20"/>
              </w:rPr>
              <w:t>088</w:t>
            </w:r>
          </w:p>
        </w:tc>
        <w:tc>
          <w:tcPr>
            <w:tcW w:w="958" w:type="dxa"/>
            <w:tcBorders>
              <w:top w:val="nil"/>
              <w:left w:val="nil"/>
              <w:bottom w:val="nil"/>
              <w:right w:val="nil"/>
            </w:tcBorders>
            <w:shd w:val="clear" w:color="FFFFFF" w:fill="FFFFFF"/>
            <w:noWrap/>
            <w:vAlign w:val="center"/>
            <w:hideMark/>
          </w:tcPr>
          <w:p w14:paraId="5F454734" w14:textId="77777777" w:rsidR="006F55F8" w:rsidRPr="00AA2C86" w:rsidRDefault="006F55F8" w:rsidP="006F55F8">
            <w:pPr>
              <w:spacing w:after="0"/>
              <w:jc w:val="right"/>
              <w:rPr>
                <w:sz w:val="20"/>
              </w:rPr>
            </w:pPr>
            <w:r w:rsidRPr="00AA2C86">
              <w:rPr>
                <w:sz w:val="20"/>
              </w:rPr>
              <w:t>262</w:t>
            </w:r>
          </w:p>
        </w:tc>
      </w:tr>
      <w:tr w:rsidR="006F55F8" w:rsidRPr="00AF266F" w14:paraId="1E6135F4" w14:textId="77777777" w:rsidTr="006F55F8">
        <w:trPr>
          <w:trHeight w:val="255"/>
        </w:trPr>
        <w:tc>
          <w:tcPr>
            <w:tcW w:w="1985" w:type="dxa"/>
            <w:gridSpan w:val="2"/>
            <w:tcBorders>
              <w:top w:val="nil"/>
              <w:left w:val="nil"/>
              <w:right w:val="nil"/>
            </w:tcBorders>
            <w:shd w:val="clear" w:color="auto" w:fill="auto"/>
            <w:noWrap/>
            <w:vAlign w:val="bottom"/>
            <w:hideMark/>
          </w:tcPr>
          <w:p w14:paraId="6E9F214B" w14:textId="77777777" w:rsidR="006F55F8" w:rsidRPr="00A16BC7" w:rsidRDefault="006F55F8" w:rsidP="00FD7CA8">
            <w:pPr>
              <w:spacing w:after="0"/>
              <w:rPr>
                <w:rFonts w:ascii="Arial" w:eastAsia="Times New Roman" w:hAnsi="Arial" w:cs="Arial"/>
                <w:color w:val="333333"/>
                <w:sz w:val="18"/>
                <w:szCs w:val="18"/>
                <w:lang w:eastAsia="en-US"/>
              </w:rPr>
            </w:pPr>
            <w:r w:rsidRPr="00A16BC7">
              <w:rPr>
                <w:rFonts w:ascii="Arial" w:eastAsia="Times New Roman" w:hAnsi="Arial" w:cs="Arial"/>
                <w:color w:val="333333"/>
                <w:sz w:val="18"/>
                <w:szCs w:val="18"/>
                <w:lang w:eastAsia="en-US"/>
              </w:rPr>
              <w:t>18. Østfold</w:t>
            </w:r>
          </w:p>
        </w:tc>
        <w:tc>
          <w:tcPr>
            <w:tcW w:w="903" w:type="dxa"/>
            <w:tcBorders>
              <w:top w:val="nil"/>
              <w:left w:val="nil"/>
              <w:bottom w:val="nil"/>
              <w:right w:val="nil"/>
            </w:tcBorders>
            <w:shd w:val="clear" w:color="FFFFFF" w:fill="FFFFFF"/>
            <w:noWrap/>
            <w:vAlign w:val="center"/>
            <w:hideMark/>
          </w:tcPr>
          <w:p w14:paraId="69CD1DF9" w14:textId="77777777" w:rsidR="006F55F8" w:rsidRPr="00AA2C86" w:rsidRDefault="006F55F8" w:rsidP="006F55F8">
            <w:pPr>
              <w:spacing w:after="0"/>
              <w:jc w:val="right"/>
              <w:rPr>
                <w:sz w:val="20"/>
              </w:rPr>
            </w:pPr>
            <w:r w:rsidRPr="00AA2C86">
              <w:rPr>
                <w:sz w:val="20"/>
              </w:rPr>
              <w:t>3</w:t>
            </w:r>
            <w:r>
              <w:rPr>
                <w:sz w:val="20"/>
              </w:rPr>
              <w:t>,</w:t>
            </w:r>
            <w:r w:rsidRPr="00AA2C86">
              <w:rPr>
                <w:sz w:val="20"/>
              </w:rPr>
              <w:t>5</w:t>
            </w:r>
          </w:p>
        </w:tc>
        <w:tc>
          <w:tcPr>
            <w:tcW w:w="1115" w:type="dxa"/>
            <w:tcBorders>
              <w:top w:val="nil"/>
              <w:left w:val="nil"/>
              <w:bottom w:val="nil"/>
              <w:right w:val="nil"/>
            </w:tcBorders>
            <w:shd w:val="clear" w:color="FFFFFF" w:fill="FFFFFF"/>
            <w:noWrap/>
            <w:vAlign w:val="center"/>
            <w:hideMark/>
          </w:tcPr>
          <w:p w14:paraId="7D03D0AA" w14:textId="77777777" w:rsidR="006F55F8" w:rsidRPr="00AA2C86" w:rsidRDefault="006F55F8" w:rsidP="006F55F8">
            <w:pPr>
              <w:spacing w:after="0"/>
              <w:jc w:val="center"/>
              <w:rPr>
                <w:sz w:val="20"/>
              </w:rPr>
            </w:pPr>
            <w:r w:rsidRPr="00AA2C86">
              <w:rPr>
                <w:sz w:val="20"/>
              </w:rPr>
              <w:t>-0</w:t>
            </w:r>
            <w:r>
              <w:rPr>
                <w:sz w:val="20"/>
              </w:rPr>
              <w:t>,</w:t>
            </w:r>
            <w:r w:rsidRPr="00AA2C86">
              <w:rPr>
                <w:sz w:val="20"/>
              </w:rPr>
              <w:t>2</w:t>
            </w:r>
          </w:p>
        </w:tc>
        <w:tc>
          <w:tcPr>
            <w:tcW w:w="782" w:type="dxa"/>
            <w:tcBorders>
              <w:top w:val="nil"/>
              <w:left w:val="nil"/>
              <w:bottom w:val="nil"/>
              <w:right w:val="nil"/>
            </w:tcBorders>
            <w:shd w:val="clear" w:color="FFFFFF" w:fill="FFFFFF"/>
            <w:vAlign w:val="center"/>
          </w:tcPr>
          <w:p w14:paraId="16690997" w14:textId="77777777" w:rsidR="006F55F8" w:rsidRPr="00AA2C86" w:rsidRDefault="006F55F8" w:rsidP="006F55F8">
            <w:pPr>
              <w:spacing w:after="0"/>
              <w:jc w:val="center"/>
              <w:rPr>
                <w:sz w:val="20"/>
              </w:rPr>
            </w:pPr>
            <w:r>
              <w:rPr>
                <w:sz w:val="20"/>
              </w:rPr>
              <w:t>-0,2</w:t>
            </w:r>
          </w:p>
        </w:tc>
        <w:tc>
          <w:tcPr>
            <w:tcW w:w="1292" w:type="dxa"/>
            <w:tcBorders>
              <w:top w:val="nil"/>
              <w:left w:val="nil"/>
              <w:bottom w:val="nil"/>
              <w:right w:val="nil"/>
            </w:tcBorders>
            <w:shd w:val="clear" w:color="FFFFFF" w:fill="FFFFFF"/>
            <w:noWrap/>
            <w:vAlign w:val="center"/>
            <w:hideMark/>
          </w:tcPr>
          <w:p w14:paraId="56A194D6" w14:textId="77777777" w:rsidR="006F55F8" w:rsidRPr="00AA2C86" w:rsidRDefault="006F55F8" w:rsidP="006F55F8">
            <w:pPr>
              <w:spacing w:after="0"/>
              <w:jc w:val="right"/>
              <w:rPr>
                <w:sz w:val="20"/>
              </w:rPr>
            </w:pPr>
            <w:r w:rsidRPr="00AA2C86">
              <w:rPr>
                <w:sz w:val="20"/>
              </w:rPr>
              <w:t>4</w:t>
            </w:r>
            <w:r>
              <w:rPr>
                <w:sz w:val="20"/>
              </w:rPr>
              <w:t xml:space="preserve"> </w:t>
            </w:r>
            <w:r w:rsidRPr="00AA2C86">
              <w:rPr>
                <w:sz w:val="20"/>
              </w:rPr>
              <w:t>983</w:t>
            </w:r>
          </w:p>
        </w:tc>
        <w:tc>
          <w:tcPr>
            <w:tcW w:w="1427" w:type="dxa"/>
            <w:tcBorders>
              <w:top w:val="nil"/>
              <w:left w:val="nil"/>
              <w:bottom w:val="nil"/>
              <w:right w:val="nil"/>
            </w:tcBorders>
            <w:shd w:val="clear" w:color="FFFFFF" w:fill="FFFFFF"/>
            <w:noWrap/>
            <w:vAlign w:val="center"/>
            <w:hideMark/>
          </w:tcPr>
          <w:p w14:paraId="0FD7AB50" w14:textId="77777777" w:rsidR="006F55F8" w:rsidRPr="00AA2C86" w:rsidRDefault="006F55F8" w:rsidP="006F55F8">
            <w:pPr>
              <w:spacing w:after="0"/>
              <w:jc w:val="right"/>
              <w:rPr>
                <w:sz w:val="20"/>
              </w:rPr>
            </w:pPr>
            <w:r w:rsidRPr="00AA2C86">
              <w:rPr>
                <w:sz w:val="20"/>
              </w:rPr>
              <w:t>-301</w:t>
            </w:r>
          </w:p>
        </w:tc>
        <w:tc>
          <w:tcPr>
            <w:tcW w:w="1002" w:type="dxa"/>
            <w:tcBorders>
              <w:top w:val="nil"/>
              <w:left w:val="nil"/>
              <w:bottom w:val="nil"/>
              <w:right w:val="nil"/>
            </w:tcBorders>
            <w:shd w:val="clear" w:color="FFFFFF" w:fill="FFFFFF"/>
            <w:noWrap/>
            <w:vAlign w:val="center"/>
            <w:hideMark/>
          </w:tcPr>
          <w:p w14:paraId="5FD3E02C" w14:textId="77777777" w:rsidR="006F55F8" w:rsidRPr="00AA2C86" w:rsidRDefault="006F55F8" w:rsidP="006F55F8">
            <w:pPr>
              <w:spacing w:after="0"/>
              <w:jc w:val="right"/>
              <w:rPr>
                <w:sz w:val="20"/>
              </w:rPr>
            </w:pPr>
            <w:r w:rsidRPr="00AA2C86">
              <w:rPr>
                <w:sz w:val="20"/>
              </w:rPr>
              <w:t>8</w:t>
            </w:r>
            <w:r>
              <w:rPr>
                <w:sz w:val="20"/>
              </w:rPr>
              <w:t xml:space="preserve"> </w:t>
            </w:r>
            <w:r w:rsidRPr="00AA2C86">
              <w:rPr>
                <w:sz w:val="20"/>
              </w:rPr>
              <w:t>313</w:t>
            </w:r>
          </w:p>
        </w:tc>
        <w:tc>
          <w:tcPr>
            <w:tcW w:w="958" w:type="dxa"/>
            <w:tcBorders>
              <w:top w:val="nil"/>
              <w:left w:val="nil"/>
              <w:bottom w:val="nil"/>
              <w:right w:val="nil"/>
            </w:tcBorders>
            <w:shd w:val="clear" w:color="FFFFFF" w:fill="FFFFFF"/>
            <w:noWrap/>
            <w:vAlign w:val="center"/>
            <w:hideMark/>
          </w:tcPr>
          <w:p w14:paraId="5E4BD618" w14:textId="77777777" w:rsidR="006F55F8" w:rsidRPr="00AA2C86" w:rsidRDefault="006F55F8" w:rsidP="006F55F8">
            <w:pPr>
              <w:spacing w:after="0"/>
              <w:jc w:val="right"/>
              <w:rPr>
                <w:sz w:val="20"/>
              </w:rPr>
            </w:pPr>
            <w:r w:rsidRPr="00AA2C86">
              <w:rPr>
                <w:sz w:val="20"/>
              </w:rPr>
              <w:t>1</w:t>
            </w:r>
            <w:r>
              <w:rPr>
                <w:sz w:val="20"/>
              </w:rPr>
              <w:t xml:space="preserve"> </w:t>
            </w:r>
            <w:r w:rsidRPr="00AA2C86">
              <w:rPr>
                <w:sz w:val="20"/>
              </w:rPr>
              <w:t>118</w:t>
            </w:r>
          </w:p>
        </w:tc>
      </w:tr>
      <w:tr w:rsidR="006F55F8" w:rsidRPr="00AF266F" w14:paraId="269E74BB" w14:textId="77777777" w:rsidTr="006F55F8">
        <w:trPr>
          <w:trHeight w:val="255"/>
        </w:trPr>
        <w:tc>
          <w:tcPr>
            <w:tcW w:w="1985" w:type="dxa"/>
            <w:gridSpan w:val="2"/>
            <w:tcBorders>
              <w:top w:val="nil"/>
              <w:left w:val="nil"/>
              <w:bottom w:val="nil"/>
              <w:right w:val="nil"/>
            </w:tcBorders>
            <w:shd w:val="clear" w:color="auto" w:fill="auto"/>
            <w:noWrap/>
            <w:vAlign w:val="bottom"/>
            <w:hideMark/>
          </w:tcPr>
          <w:p w14:paraId="125FA650" w14:textId="77777777" w:rsidR="006F55F8" w:rsidRPr="00A16BC7" w:rsidRDefault="006F55F8" w:rsidP="00FD7CA8">
            <w:pPr>
              <w:spacing w:after="0"/>
              <w:rPr>
                <w:rFonts w:ascii="Arial" w:eastAsia="Times New Roman" w:hAnsi="Arial" w:cs="Arial"/>
                <w:color w:val="333333"/>
                <w:sz w:val="18"/>
                <w:szCs w:val="18"/>
                <w:lang w:eastAsia="en-US"/>
              </w:rPr>
            </w:pPr>
            <w:r>
              <w:rPr>
                <w:rFonts w:ascii="Arial" w:eastAsia="Times New Roman" w:hAnsi="Arial" w:cs="Arial"/>
                <w:color w:val="333333"/>
                <w:sz w:val="18"/>
                <w:szCs w:val="18"/>
                <w:lang w:eastAsia="en-US"/>
              </w:rPr>
              <w:t xml:space="preserve">19. </w:t>
            </w:r>
            <w:r w:rsidRPr="00A16BC7">
              <w:rPr>
                <w:rFonts w:ascii="Arial" w:eastAsia="Times New Roman" w:hAnsi="Arial" w:cs="Arial"/>
                <w:color w:val="333333"/>
                <w:sz w:val="18"/>
                <w:szCs w:val="18"/>
                <w:lang w:eastAsia="en-US"/>
              </w:rPr>
              <w:t>Hedmark</w:t>
            </w:r>
          </w:p>
        </w:tc>
        <w:tc>
          <w:tcPr>
            <w:tcW w:w="903" w:type="dxa"/>
            <w:tcBorders>
              <w:top w:val="nil"/>
              <w:left w:val="nil"/>
              <w:bottom w:val="nil"/>
              <w:right w:val="nil"/>
            </w:tcBorders>
            <w:shd w:val="clear" w:color="FFFFFF" w:fill="FFFFFF"/>
            <w:noWrap/>
            <w:vAlign w:val="center"/>
            <w:hideMark/>
          </w:tcPr>
          <w:p w14:paraId="7A7C0847" w14:textId="77777777" w:rsidR="006F55F8" w:rsidRPr="00AA2C86" w:rsidRDefault="006F55F8" w:rsidP="006F55F8">
            <w:pPr>
              <w:spacing w:after="0"/>
              <w:jc w:val="right"/>
              <w:rPr>
                <w:sz w:val="20"/>
              </w:rPr>
            </w:pPr>
            <w:r w:rsidRPr="00AA2C86">
              <w:rPr>
                <w:sz w:val="20"/>
              </w:rPr>
              <w:t>2</w:t>
            </w:r>
            <w:r>
              <w:rPr>
                <w:sz w:val="20"/>
              </w:rPr>
              <w:t>,</w:t>
            </w:r>
            <w:r w:rsidRPr="00AA2C86">
              <w:rPr>
                <w:sz w:val="20"/>
              </w:rPr>
              <w:t>6</w:t>
            </w:r>
          </w:p>
        </w:tc>
        <w:tc>
          <w:tcPr>
            <w:tcW w:w="1115" w:type="dxa"/>
            <w:tcBorders>
              <w:top w:val="nil"/>
              <w:left w:val="nil"/>
              <w:bottom w:val="nil"/>
              <w:right w:val="nil"/>
            </w:tcBorders>
            <w:shd w:val="clear" w:color="FFFFFF" w:fill="FFFFFF"/>
            <w:noWrap/>
            <w:vAlign w:val="center"/>
            <w:hideMark/>
          </w:tcPr>
          <w:p w14:paraId="035674FF" w14:textId="77777777" w:rsidR="006F55F8" w:rsidRPr="00AA2C86" w:rsidRDefault="006F55F8" w:rsidP="006F55F8">
            <w:pPr>
              <w:spacing w:after="0"/>
              <w:jc w:val="center"/>
              <w:rPr>
                <w:sz w:val="20"/>
              </w:rPr>
            </w:pPr>
            <w:r w:rsidRPr="00AA2C86">
              <w:rPr>
                <w:sz w:val="20"/>
              </w:rPr>
              <w:t>-0</w:t>
            </w:r>
            <w:r>
              <w:rPr>
                <w:sz w:val="20"/>
              </w:rPr>
              <w:t>,</w:t>
            </w:r>
            <w:r w:rsidRPr="00AA2C86">
              <w:rPr>
                <w:sz w:val="20"/>
              </w:rPr>
              <w:t>3</w:t>
            </w:r>
          </w:p>
        </w:tc>
        <w:tc>
          <w:tcPr>
            <w:tcW w:w="782" w:type="dxa"/>
            <w:tcBorders>
              <w:top w:val="nil"/>
              <w:left w:val="nil"/>
              <w:bottom w:val="nil"/>
              <w:right w:val="nil"/>
            </w:tcBorders>
            <w:shd w:val="clear" w:color="FFFFFF" w:fill="FFFFFF"/>
            <w:vAlign w:val="center"/>
          </w:tcPr>
          <w:p w14:paraId="26D30F03" w14:textId="77777777" w:rsidR="006F55F8" w:rsidRPr="00AA2C86" w:rsidRDefault="006F55F8" w:rsidP="006F55F8">
            <w:pPr>
              <w:spacing w:after="0"/>
              <w:jc w:val="center"/>
              <w:rPr>
                <w:sz w:val="20"/>
              </w:rPr>
            </w:pPr>
            <w:r>
              <w:rPr>
                <w:sz w:val="20"/>
              </w:rPr>
              <w:t>-0,3</w:t>
            </w:r>
          </w:p>
        </w:tc>
        <w:tc>
          <w:tcPr>
            <w:tcW w:w="1292" w:type="dxa"/>
            <w:tcBorders>
              <w:top w:val="nil"/>
              <w:left w:val="nil"/>
              <w:bottom w:val="nil"/>
              <w:right w:val="nil"/>
            </w:tcBorders>
            <w:shd w:val="clear" w:color="FFFFFF" w:fill="FFFFFF"/>
            <w:noWrap/>
            <w:vAlign w:val="center"/>
            <w:hideMark/>
          </w:tcPr>
          <w:p w14:paraId="09F3BEA9" w14:textId="77777777" w:rsidR="006F55F8" w:rsidRPr="00AA2C86" w:rsidRDefault="006F55F8" w:rsidP="006F55F8">
            <w:pPr>
              <w:spacing w:after="0"/>
              <w:jc w:val="right"/>
              <w:rPr>
                <w:sz w:val="20"/>
              </w:rPr>
            </w:pPr>
            <w:r w:rsidRPr="00AA2C86">
              <w:rPr>
                <w:sz w:val="20"/>
              </w:rPr>
              <w:t>2</w:t>
            </w:r>
            <w:r>
              <w:rPr>
                <w:sz w:val="20"/>
              </w:rPr>
              <w:t xml:space="preserve"> </w:t>
            </w:r>
            <w:r w:rsidRPr="00AA2C86">
              <w:rPr>
                <w:sz w:val="20"/>
              </w:rPr>
              <w:t>472</w:t>
            </w:r>
          </w:p>
        </w:tc>
        <w:tc>
          <w:tcPr>
            <w:tcW w:w="1427" w:type="dxa"/>
            <w:tcBorders>
              <w:top w:val="nil"/>
              <w:left w:val="nil"/>
              <w:bottom w:val="nil"/>
              <w:right w:val="nil"/>
            </w:tcBorders>
            <w:shd w:val="clear" w:color="FFFFFF" w:fill="FFFFFF"/>
            <w:noWrap/>
            <w:vAlign w:val="center"/>
            <w:hideMark/>
          </w:tcPr>
          <w:p w14:paraId="66E60154" w14:textId="77777777" w:rsidR="006F55F8" w:rsidRPr="00AA2C86" w:rsidRDefault="006F55F8" w:rsidP="006F55F8">
            <w:pPr>
              <w:spacing w:after="0"/>
              <w:jc w:val="right"/>
              <w:rPr>
                <w:sz w:val="20"/>
              </w:rPr>
            </w:pPr>
            <w:r w:rsidRPr="00AA2C86">
              <w:rPr>
                <w:sz w:val="20"/>
              </w:rPr>
              <w:t>-356</w:t>
            </w:r>
          </w:p>
        </w:tc>
        <w:tc>
          <w:tcPr>
            <w:tcW w:w="1002" w:type="dxa"/>
            <w:tcBorders>
              <w:top w:val="nil"/>
              <w:left w:val="nil"/>
              <w:bottom w:val="nil"/>
              <w:right w:val="nil"/>
            </w:tcBorders>
            <w:shd w:val="clear" w:color="FFFFFF" w:fill="FFFFFF"/>
            <w:noWrap/>
            <w:vAlign w:val="center"/>
            <w:hideMark/>
          </w:tcPr>
          <w:p w14:paraId="20CDEC9A" w14:textId="77777777" w:rsidR="006F55F8" w:rsidRPr="00AA2C86" w:rsidRDefault="006F55F8" w:rsidP="006F55F8">
            <w:pPr>
              <w:spacing w:after="0"/>
              <w:jc w:val="right"/>
              <w:rPr>
                <w:sz w:val="20"/>
              </w:rPr>
            </w:pPr>
            <w:r w:rsidRPr="00AA2C86">
              <w:rPr>
                <w:sz w:val="20"/>
              </w:rPr>
              <w:t>6</w:t>
            </w:r>
            <w:r>
              <w:rPr>
                <w:sz w:val="20"/>
              </w:rPr>
              <w:t xml:space="preserve"> </w:t>
            </w:r>
            <w:r w:rsidRPr="00AA2C86">
              <w:rPr>
                <w:sz w:val="20"/>
              </w:rPr>
              <w:t>869</w:t>
            </w:r>
          </w:p>
        </w:tc>
        <w:tc>
          <w:tcPr>
            <w:tcW w:w="958" w:type="dxa"/>
            <w:tcBorders>
              <w:top w:val="nil"/>
              <w:left w:val="nil"/>
              <w:bottom w:val="nil"/>
              <w:right w:val="nil"/>
            </w:tcBorders>
            <w:shd w:val="clear" w:color="FFFFFF" w:fill="FFFFFF"/>
            <w:noWrap/>
            <w:vAlign w:val="center"/>
            <w:hideMark/>
          </w:tcPr>
          <w:p w14:paraId="16FA97CE" w14:textId="77777777" w:rsidR="006F55F8" w:rsidRPr="00AA2C86" w:rsidRDefault="006F55F8" w:rsidP="006F55F8">
            <w:pPr>
              <w:spacing w:after="0"/>
              <w:jc w:val="right"/>
              <w:rPr>
                <w:sz w:val="20"/>
              </w:rPr>
            </w:pPr>
            <w:r w:rsidRPr="00AA2C86">
              <w:rPr>
                <w:sz w:val="20"/>
              </w:rPr>
              <w:t>352</w:t>
            </w:r>
          </w:p>
        </w:tc>
      </w:tr>
      <w:tr w:rsidR="006F55F8" w:rsidRPr="00AF266F" w14:paraId="0412F68C" w14:textId="77777777" w:rsidTr="006F55F8">
        <w:trPr>
          <w:trHeight w:val="255"/>
        </w:trPr>
        <w:tc>
          <w:tcPr>
            <w:tcW w:w="1985" w:type="dxa"/>
            <w:gridSpan w:val="2"/>
            <w:tcBorders>
              <w:top w:val="single" w:sz="4" w:space="0" w:color="auto"/>
              <w:left w:val="nil"/>
              <w:bottom w:val="single" w:sz="4" w:space="0" w:color="auto"/>
              <w:right w:val="nil"/>
            </w:tcBorders>
            <w:shd w:val="clear" w:color="FFFFFF" w:fill="FFFFFF"/>
            <w:noWrap/>
            <w:vAlign w:val="center"/>
            <w:hideMark/>
          </w:tcPr>
          <w:p w14:paraId="27F0FAEF" w14:textId="77777777" w:rsidR="006F55F8" w:rsidRPr="00A16BC7" w:rsidRDefault="006F55F8" w:rsidP="006F55F8">
            <w:pPr>
              <w:spacing w:after="0"/>
              <w:rPr>
                <w:rFonts w:ascii="Arial" w:eastAsia="Times New Roman" w:hAnsi="Arial" w:cs="Arial"/>
                <w:b/>
                <w:bCs/>
                <w:color w:val="000000"/>
                <w:sz w:val="12"/>
                <w:szCs w:val="12"/>
                <w:lang w:eastAsia="en-US"/>
              </w:rPr>
            </w:pPr>
            <w:r w:rsidRPr="00AA2C86">
              <w:rPr>
                <w:rFonts w:ascii="Arial" w:eastAsia="Times New Roman" w:hAnsi="Arial" w:cs="Arial"/>
                <w:b/>
                <w:bCs/>
                <w:color w:val="333333"/>
                <w:sz w:val="18"/>
                <w:szCs w:val="18"/>
                <w:lang w:eastAsia="en-US"/>
              </w:rPr>
              <w:t xml:space="preserve">Sum </w:t>
            </w:r>
            <w:r>
              <w:rPr>
                <w:rFonts w:ascii="Arial" w:eastAsia="Times New Roman" w:hAnsi="Arial" w:cs="Arial"/>
                <w:b/>
                <w:bCs/>
                <w:color w:val="333333"/>
                <w:sz w:val="18"/>
                <w:szCs w:val="18"/>
                <w:lang w:eastAsia="en-US"/>
              </w:rPr>
              <w:t>endring (11-19)</w:t>
            </w:r>
          </w:p>
        </w:tc>
        <w:tc>
          <w:tcPr>
            <w:tcW w:w="903" w:type="dxa"/>
            <w:tcBorders>
              <w:top w:val="single" w:sz="4" w:space="0" w:color="auto"/>
              <w:left w:val="nil"/>
              <w:bottom w:val="single" w:sz="4" w:space="0" w:color="auto"/>
              <w:right w:val="nil"/>
            </w:tcBorders>
            <w:shd w:val="clear" w:color="auto" w:fill="auto"/>
            <w:noWrap/>
            <w:vAlign w:val="center"/>
            <w:hideMark/>
          </w:tcPr>
          <w:p w14:paraId="62D763DC" w14:textId="77777777" w:rsidR="006F55F8" w:rsidRPr="00AA2C86" w:rsidRDefault="006F55F8" w:rsidP="006F55F8">
            <w:pPr>
              <w:spacing w:after="0"/>
              <w:jc w:val="right"/>
              <w:rPr>
                <w:sz w:val="20"/>
              </w:rPr>
            </w:pPr>
          </w:p>
        </w:tc>
        <w:tc>
          <w:tcPr>
            <w:tcW w:w="1115" w:type="dxa"/>
            <w:tcBorders>
              <w:top w:val="single" w:sz="4" w:space="0" w:color="auto"/>
              <w:left w:val="nil"/>
              <w:bottom w:val="single" w:sz="4" w:space="0" w:color="auto"/>
              <w:right w:val="nil"/>
            </w:tcBorders>
            <w:shd w:val="clear" w:color="auto" w:fill="auto"/>
            <w:noWrap/>
            <w:vAlign w:val="center"/>
            <w:hideMark/>
          </w:tcPr>
          <w:p w14:paraId="7C1EE23C" w14:textId="77777777" w:rsidR="006F55F8" w:rsidRPr="00AA2C86" w:rsidRDefault="006F55F8" w:rsidP="006F55F8">
            <w:pPr>
              <w:spacing w:after="0"/>
              <w:jc w:val="right"/>
              <w:rPr>
                <w:sz w:val="20"/>
              </w:rPr>
            </w:pPr>
          </w:p>
        </w:tc>
        <w:tc>
          <w:tcPr>
            <w:tcW w:w="782" w:type="dxa"/>
            <w:tcBorders>
              <w:top w:val="single" w:sz="4" w:space="0" w:color="auto"/>
              <w:left w:val="nil"/>
              <w:bottom w:val="single" w:sz="4" w:space="0" w:color="auto"/>
              <w:right w:val="nil"/>
            </w:tcBorders>
            <w:vAlign w:val="center"/>
          </w:tcPr>
          <w:p w14:paraId="47DA068A" w14:textId="77777777" w:rsidR="006F55F8" w:rsidRPr="00AA2C86" w:rsidRDefault="006F55F8" w:rsidP="006F55F8">
            <w:pPr>
              <w:spacing w:after="0"/>
              <w:jc w:val="right"/>
              <w:rPr>
                <w:sz w:val="20"/>
              </w:rPr>
            </w:pPr>
          </w:p>
        </w:tc>
        <w:tc>
          <w:tcPr>
            <w:tcW w:w="1292" w:type="dxa"/>
            <w:tcBorders>
              <w:top w:val="single" w:sz="4" w:space="0" w:color="auto"/>
              <w:left w:val="nil"/>
              <w:bottom w:val="single" w:sz="4" w:space="0" w:color="auto"/>
              <w:right w:val="nil"/>
            </w:tcBorders>
            <w:shd w:val="clear" w:color="auto" w:fill="auto"/>
            <w:noWrap/>
            <w:vAlign w:val="center"/>
            <w:hideMark/>
          </w:tcPr>
          <w:p w14:paraId="1239C7F5" w14:textId="77777777" w:rsidR="006F55F8" w:rsidRPr="00AA2C86" w:rsidRDefault="006F55F8" w:rsidP="006F55F8">
            <w:pPr>
              <w:spacing w:after="0"/>
              <w:jc w:val="right"/>
              <w:rPr>
                <w:sz w:val="20"/>
              </w:rPr>
            </w:pPr>
          </w:p>
        </w:tc>
        <w:tc>
          <w:tcPr>
            <w:tcW w:w="1427" w:type="dxa"/>
            <w:tcBorders>
              <w:top w:val="single" w:sz="4" w:space="0" w:color="auto"/>
              <w:left w:val="nil"/>
              <w:bottom w:val="single" w:sz="4" w:space="0" w:color="auto"/>
              <w:right w:val="nil"/>
            </w:tcBorders>
            <w:shd w:val="clear" w:color="FFFFFF" w:fill="FFFFFF"/>
            <w:noWrap/>
            <w:vAlign w:val="center"/>
            <w:hideMark/>
          </w:tcPr>
          <w:p w14:paraId="4DB8C417" w14:textId="77777777" w:rsidR="006F55F8" w:rsidRPr="00803DAE" w:rsidRDefault="006F55F8" w:rsidP="006F55F8">
            <w:pPr>
              <w:spacing w:after="0"/>
              <w:jc w:val="right"/>
              <w:rPr>
                <w:b/>
                <w:sz w:val="20"/>
              </w:rPr>
            </w:pPr>
            <w:r w:rsidRPr="00803DAE">
              <w:rPr>
                <w:b/>
                <w:sz w:val="20"/>
              </w:rPr>
              <w:t>-1 288</w:t>
            </w:r>
          </w:p>
        </w:tc>
        <w:tc>
          <w:tcPr>
            <w:tcW w:w="1002" w:type="dxa"/>
            <w:tcBorders>
              <w:top w:val="single" w:sz="4" w:space="0" w:color="auto"/>
              <w:left w:val="nil"/>
              <w:bottom w:val="single" w:sz="4" w:space="0" w:color="auto"/>
              <w:right w:val="nil"/>
            </w:tcBorders>
            <w:shd w:val="clear" w:color="FFFFFF" w:fill="FFFFFF"/>
            <w:noWrap/>
            <w:vAlign w:val="center"/>
            <w:hideMark/>
          </w:tcPr>
          <w:p w14:paraId="44478823" w14:textId="77777777" w:rsidR="006F55F8" w:rsidRPr="00803DAE" w:rsidRDefault="006F55F8" w:rsidP="006F55F8">
            <w:pPr>
              <w:spacing w:after="0"/>
              <w:jc w:val="right"/>
              <w:rPr>
                <w:b/>
                <w:sz w:val="20"/>
              </w:rPr>
            </w:pPr>
          </w:p>
        </w:tc>
        <w:tc>
          <w:tcPr>
            <w:tcW w:w="958" w:type="dxa"/>
            <w:tcBorders>
              <w:top w:val="single" w:sz="4" w:space="0" w:color="auto"/>
              <w:left w:val="nil"/>
              <w:bottom w:val="single" w:sz="4" w:space="0" w:color="auto"/>
              <w:right w:val="nil"/>
            </w:tcBorders>
            <w:shd w:val="clear" w:color="FFFFFF" w:fill="FFFFFF"/>
            <w:noWrap/>
            <w:vAlign w:val="center"/>
            <w:hideMark/>
          </w:tcPr>
          <w:p w14:paraId="073E8222" w14:textId="77777777" w:rsidR="006F55F8" w:rsidRPr="00803DAE" w:rsidRDefault="006F55F8" w:rsidP="006F55F8">
            <w:pPr>
              <w:spacing w:after="0"/>
              <w:jc w:val="right"/>
              <w:rPr>
                <w:b/>
                <w:sz w:val="20"/>
              </w:rPr>
            </w:pPr>
            <w:r w:rsidRPr="00803DAE">
              <w:rPr>
                <w:b/>
                <w:sz w:val="20"/>
              </w:rPr>
              <w:t>6 798</w:t>
            </w:r>
          </w:p>
        </w:tc>
      </w:tr>
    </w:tbl>
    <w:p w14:paraId="312142A2" w14:textId="77777777" w:rsidR="006F55F8" w:rsidRDefault="006F55F8" w:rsidP="004104FE">
      <w:pPr>
        <w:pStyle w:val="Kilde"/>
        <w:spacing w:before="120"/>
      </w:pPr>
      <w:r w:rsidRPr="006B38D0">
        <w:t>Kilde: Arbeids- og velferdsetaten</w:t>
      </w:r>
    </w:p>
    <w:p w14:paraId="5FF689C4" w14:textId="7DFBF062" w:rsidR="00B027EB" w:rsidRDefault="00B027EB" w:rsidP="00B027EB">
      <w:r>
        <w:t>Arbeidsledighetsutviklingen er svært forskjellig i ulike fylker, se tabell 3.</w:t>
      </w:r>
      <w:r w:rsidR="00DF58C3">
        <w:t>5</w:t>
      </w:r>
      <w:r>
        <w:t>. I tabellen er fylkene rangert ut i fra størrelsen på endringen i arbeidsledighet i prosentpoeng fra 2014 til 2015. Arbeidsledigheten har gått opp i 10 fylker og gått ned eller vært uendret i 9 fylker. Rogaland og Hordaland som er svært tett knyttet til petroleumsvirksomheten har hatt spesielt stor økning i arbeidsledigheten. De regionale forskjellene reflekterer at de positive impulsene fra blant annet svakere kronekurs, ekspansiv finanspolitikk og lav rente i ulik grad demmer opp for (eller overkompenserer for) aktivitetsfallet i oljevirksomheten og dets ringvirkninger. Samlet reduseres aktiviteten mer enn den øker slik at samlet arbeidsledighet er økt. Tabellen viser også at selv om antallet utlyste stillinger er redusert i fylker som Rogaland og Hordaland, så er det er flere utlyste stillinger i mange fylker. Det kan tyde på at mange personer bytter jobber.</w:t>
      </w:r>
      <w:r w:rsidR="009762A9">
        <w:t xml:space="preserve"> </w:t>
      </w:r>
      <w:r>
        <w:t xml:space="preserve">I 2014 var det svært mange som både skiftet bosted innenfor hver kommune, </w:t>
      </w:r>
      <w:r w:rsidR="005876E1">
        <w:t>og</w:t>
      </w:r>
      <w:r>
        <w:t xml:space="preserve"> som flyttet mellom kommunene.</w:t>
      </w:r>
      <w:r w:rsidR="00BE1326">
        <w:t xml:space="preserve"> </w:t>
      </w:r>
    </w:p>
    <w:p w14:paraId="3BE0B480" w14:textId="77777777" w:rsidR="00BE1326" w:rsidRPr="006B38D0" w:rsidRDefault="00BE1326" w:rsidP="00BE1326">
      <w:pPr>
        <w:pStyle w:val="avsnitt-under-undertittel"/>
      </w:pPr>
      <w:r w:rsidRPr="006B38D0">
        <w:t>Ledige stillinger</w:t>
      </w:r>
      <w:r>
        <w:t xml:space="preserve"> </w:t>
      </w:r>
    </w:p>
    <w:p w14:paraId="3679699B" w14:textId="77777777" w:rsidR="00BE1326" w:rsidRPr="006B38D0" w:rsidRDefault="00BE1326" w:rsidP="00BE1326">
      <w:r w:rsidRPr="001A1024">
        <w:t>Statistisk sentralbyrå har siden 2010 publisert tall for ledige stillinger.</w:t>
      </w:r>
      <w:r w:rsidRPr="001A1024">
        <w:rPr>
          <w:rStyle w:val="Fotnotereferanse"/>
        </w:rPr>
        <w:footnoteReference w:id="5"/>
      </w:r>
      <w:r w:rsidRPr="001A1024">
        <w:t xml:space="preserve"> </w:t>
      </w:r>
      <w:r w:rsidRPr="007D3844">
        <w:t xml:space="preserve">Det slakkere arbeidsmarkedet gjenspeiles i at det er </w:t>
      </w:r>
      <w:r>
        <w:t xml:space="preserve">betydelig </w:t>
      </w:r>
      <w:r w:rsidRPr="007D3844">
        <w:t>færre utlyste stillinger enn tidligere</w:t>
      </w:r>
      <w:r>
        <w:t>, og nedgangen</w:t>
      </w:r>
      <w:r w:rsidRPr="007D3844">
        <w:t xml:space="preserve"> i ledige stillinger </w:t>
      </w:r>
      <w:r>
        <w:t>var spesielt</w:t>
      </w:r>
      <w:r w:rsidRPr="007D3844">
        <w:t xml:space="preserve"> stor </w:t>
      </w:r>
      <w:r>
        <w:t>i 4. kvartal 2015</w:t>
      </w:r>
      <w:r w:rsidRPr="007D3844">
        <w:t>. Når denne andelen faller</w:t>
      </w:r>
      <w:r>
        <w:t>,</w:t>
      </w:r>
      <w:r w:rsidRPr="007D3844">
        <w:t xml:space="preserve"> kan det betraktes som at jobbutsiktene til de arbeidsledige har forverret seg det siste året. Det er nedgang i nesten alle næringer, men nedgangen er </w:t>
      </w:r>
      <w:r>
        <w:t>stor i olje- og gassvirksomhet samt</w:t>
      </w:r>
      <w:r w:rsidRPr="007D3844">
        <w:t xml:space="preserve"> forretningsmessig tjenesteyting. </w:t>
      </w:r>
      <w:r>
        <w:t>Forretningsmessig tjenesteyting</w:t>
      </w:r>
      <w:r w:rsidRPr="007D3844">
        <w:t xml:space="preserve"> leier også ut mye arbeidskraft til andre næringer. Antallet ledige stillinger </w:t>
      </w:r>
      <w:r>
        <w:t>økte noe</w:t>
      </w:r>
      <w:r w:rsidRPr="007D3844">
        <w:t xml:space="preserve"> i varehandelen</w:t>
      </w:r>
      <w:r>
        <w:t xml:space="preserve"> i 4. kvartal</w:t>
      </w:r>
      <w:r w:rsidRPr="007D3844">
        <w:t>. Antallet ledige stillinger utgjør imidlertid bare 1,8 prosent av summen av alle arbeidstakerforhold og ledige stillinger.</w:t>
      </w:r>
    </w:p>
    <w:p w14:paraId="370923F9" w14:textId="77777777" w:rsidR="009762A9" w:rsidRPr="006B38D0" w:rsidRDefault="009762A9" w:rsidP="009762A9">
      <w:pPr>
        <w:pStyle w:val="Overskrift3"/>
      </w:pPr>
      <w:bookmarkStart w:id="202" w:name="_Toc226010325"/>
      <w:bookmarkStart w:id="203" w:name="_Toc286073392"/>
      <w:bookmarkStart w:id="204" w:name="_Toc286075036"/>
      <w:bookmarkStart w:id="205" w:name="_Toc286075285"/>
      <w:bookmarkStart w:id="206" w:name="_Toc286077006"/>
      <w:bookmarkStart w:id="207" w:name="_Toc317589339"/>
      <w:bookmarkStart w:id="208" w:name="_Toc348968311"/>
      <w:bookmarkStart w:id="209" w:name="_Toc380506166"/>
      <w:bookmarkStart w:id="210" w:name="_Toc411849477"/>
      <w:bookmarkStart w:id="211" w:name="_Toc415240775"/>
      <w:bookmarkStart w:id="212" w:name="_Toc443998980"/>
      <w:r w:rsidRPr="006B38D0">
        <w:t>Utsiktene for 201</w:t>
      </w:r>
      <w:bookmarkEnd w:id="202"/>
      <w:bookmarkEnd w:id="203"/>
      <w:bookmarkEnd w:id="204"/>
      <w:bookmarkEnd w:id="205"/>
      <w:bookmarkEnd w:id="206"/>
      <w:bookmarkEnd w:id="207"/>
      <w:bookmarkEnd w:id="208"/>
      <w:bookmarkEnd w:id="209"/>
      <w:bookmarkEnd w:id="210"/>
      <w:bookmarkEnd w:id="211"/>
      <w:r>
        <w:t>6</w:t>
      </w:r>
      <w:bookmarkEnd w:id="212"/>
      <w:r w:rsidRPr="006B38D0">
        <w:t xml:space="preserve"> </w:t>
      </w:r>
    </w:p>
    <w:p w14:paraId="74B5CA97" w14:textId="4541E486" w:rsidR="009762A9" w:rsidRDefault="009762A9" w:rsidP="009762A9">
      <w:pPr>
        <w:rPr>
          <w:rFonts w:ascii="Times New Roman" w:hAnsi="Times New Roman"/>
        </w:rPr>
      </w:pPr>
      <w:r w:rsidRPr="00EB6C34">
        <w:rPr>
          <w:rFonts w:ascii="Times New Roman" w:hAnsi="Times New Roman"/>
        </w:rPr>
        <w:t xml:space="preserve">Analysene av norsk økonomi framover er nokså samstemte </w:t>
      </w:r>
      <w:r>
        <w:rPr>
          <w:rFonts w:ascii="Times New Roman" w:hAnsi="Times New Roman"/>
        </w:rPr>
        <w:t>om</w:t>
      </w:r>
      <w:r w:rsidRPr="00EB6C34">
        <w:rPr>
          <w:rFonts w:ascii="Times New Roman" w:hAnsi="Times New Roman"/>
        </w:rPr>
        <w:t xml:space="preserve"> at veksten blir svak </w:t>
      </w:r>
      <w:r>
        <w:rPr>
          <w:rFonts w:ascii="Times New Roman" w:hAnsi="Times New Roman"/>
        </w:rPr>
        <w:t xml:space="preserve">i </w:t>
      </w:r>
      <w:r w:rsidRPr="00EB6C34">
        <w:rPr>
          <w:rFonts w:ascii="Times New Roman" w:hAnsi="Times New Roman"/>
        </w:rPr>
        <w:t>første halvår 2016</w:t>
      </w:r>
      <w:r>
        <w:rPr>
          <w:rFonts w:ascii="Times New Roman" w:hAnsi="Times New Roman"/>
        </w:rPr>
        <w:t>. Deretter er</w:t>
      </w:r>
      <w:r w:rsidRPr="00EB6C34">
        <w:rPr>
          <w:rFonts w:ascii="Times New Roman" w:hAnsi="Times New Roman"/>
        </w:rPr>
        <w:t xml:space="preserve"> </w:t>
      </w:r>
      <w:r>
        <w:rPr>
          <w:rFonts w:ascii="Times New Roman" w:hAnsi="Times New Roman"/>
        </w:rPr>
        <w:t>vekstanslagene mer ulike</w:t>
      </w:r>
      <w:r w:rsidRPr="00EB6C34">
        <w:rPr>
          <w:rFonts w:ascii="Times New Roman" w:hAnsi="Times New Roman"/>
        </w:rPr>
        <w:t>. Anslagene for veksten i BNP Fastlands-Norge i 2016</w:t>
      </w:r>
      <w:r>
        <w:rPr>
          <w:rFonts w:ascii="Times New Roman" w:hAnsi="Times New Roman"/>
        </w:rPr>
        <w:t>,</w:t>
      </w:r>
      <w:r w:rsidRPr="00EB6C34">
        <w:rPr>
          <w:rFonts w:ascii="Times New Roman" w:hAnsi="Times New Roman"/>
        </w:rPr>
        <w:t xml:space="preserve"> referert i</w:t>
      </w:r>
      <w:r>
        <w:rPr>
          <w:rFonts w:ascii="Times New Roman" w:hAnsi="Times New Roman"/>
        </w:rPr>
        <w:t xml:space="preserve"> tabell 3.6,</w:t>
      </w:r>
      <w:r w:rsidRPr="00EB6C34">
        <w:rPr>
          <w:rFonts w:ascii="Times New Roman" w:hAnsi="Times New Roman"/>
        </w:rPr>
        <w:t xml:space="preserve"> spriker fra Norges Banks anslag på 1,1 prosent til SSBs 2,0 prosent.</w:t>
      </w:r>
    </w:p>
    <w:p w14:paraId="7D29F977" w14:textId="0BE8CB83" w:rsidR="009762A9" w:rsidRPr="00EB6C34" w:rsidRDefault="009762A9" w:rsidP="009762A9">
      <w:pPr>
        <w:rPr>
          <w:rFonts w:ascii="Times New Roman" w:hAnsi="Times New Roman"/>
        </w:rPr>
      </w:pPr>
      <w:r w:rsidRPr="00EB6C34">
        <w:rPr>
          <w:rFonts w:ascii="Times New Roman" w:hAnsi="Times New Roman"/>
        </w:rPr>
        <w:t xml:space="preserve">Det er imidlertid stor enighet </w:t>
      </w:r>
      <w:r>
        <w:rPr>
          <w:rFonts w:ascii="Times New Roman" w:hAnsi="Times New Roman"/>
        </w:rPr>
        <w:t>om</w:t>
      </w:r>
      <w:r w:rsidRPr="00EB6C34">
        <w:rPr>
          <w:rFonts w:ascii="Times New Roman" w:hAnsi="Times New Roman"/>
        </w:rPr>
        <w:t xml:space="preserve"> hovedbilde</w:t>
      </w:r>
      <w:r>
        <w:rPr>
          <w:rFonts w:ascii="Times New Roman" w:hAnsi="Times New Roman"/>
        </w:rPr>
        <w:t>t</w:t>
      </w:r>
      <w:r w:rsidRPr="00EB6C34">
        <w:rPr>
          <w:rFonts w:ascii="Times New Roman" w:hAnsi="Times New Roman"/>
        </w:rPr>
        <w:t xml:space="preserve"> for drivkreftene </w:t>
      </w:r>
      <w:r>
        <w:rPr>
          <w:rFonts w:ascii="Times New Roman" w:hAnsi="Times New Roman"/>
        </w:rPr>
        <w:t xml:space="preserve">bak </w:t>
      </w:r>
      <w:r w:rsidRPr="00EB6C34">
        <w:rPr>
          <w:rFonts w:ascii="Times New Roman" w:hAnsi="Times New Roman"/>
        </w:rPr>
        <w:t>utviklinge</w:t>
      </w:r>
      <w:r>
        <w:rPr>
          <w:rFonts w:ascii="Times New Roman" w:hAnsi="Times New Roman"/>
        </w:rPr>
        <w:t>n i norsk økonomi framover</w:t>
      </w:r>
      <w:r w:rsidRPr="00EB6C34">
        <w:rPr>
          <w:rFonts w:ascii="Times New Roman" w:hAnsi="Times New Roman"/>
        </w:rPr>
        <w:t xml:space="preserve">. </w:t>
      </w:r>
      <w:r>
        <w:rPr>
          <w:rFonts w:ascii="Times New Roman" w:hAnsi="Times New Roman"/>
        </w:rPr>
        <w:t>Alle p</w:t>
      </w:r>
      <w:r w:rsidRPr="00EB6C34">
        <w:rPr>
          <w:rFonts w:ascii="Times New Roman" w:hAnsi="Times New Roman"/>
        </w:rPr>
        <w:t xml:space="preserve">rognosene legger til grunn at nedgangen i petroleumsinvesteringene fortsetter i om lag like stort omfang </w:t>
      </w:r>
      <w:r>
        <w:rPr>
          <w:rFonts w:ascii="Times New Roman" w:hAnsi="Times New Roman"/>
        </w:rPr>
        <w:t xml:space="preserve">i 2016 </w:t>
      </w:r>
      <w:r w:rsidRPr="00EB6C34">
        <w:rPr>
          <w:rFonts w:ascii="Times New Roman" w:hAnsi="Times New Roman"/>
        </w:rPr>
        <w:t xml:space="preserve">som året før. Dette </w:t>
      </w:r>
      <w:r>
        <w:rPr>
          <w:rFonts w:ascii="Times New Roman" w:hAnsi="Times New Roman"/>
        </w:rPr>
        <w:t>gi</w:t>
      </w:r>
      <w:r w:rsidRPr="00EB6C34">
        <w:rPr>
          <w:rFonts w:ascii="Times New Roman" w:hAnsi="Times New Roman"/>
        </w:rPr>
        <w:t>r</w:t>
      </w:r>
      <w:r>
        <w:rPr>
          <w:rFonts w:ascii="Times New Roman" w:hAnsi="Times New Roman"/>
        </w:rPr>
        <w:t xml:space="preserve"> fortsatt</w:t>
      </w:r>
      <w:r w:rsidRPr="00EB6C34">
        <w:rPr>
          <w:rFonts w:ascii="Times New Roman" w:hAnsi="Times New Roman"/>
        </w:rPr>
        <w:t xml:space="preserve"> en kraftig negativ impuls mot økonomien som treffer noen næringer </w:t>
      </w:r>
      <w:r>
        <w:rPr>
          <w:rFonts w:ascii="Times New Roman" w:hAnsi="Times New Roman"/>
        </w:rPr>
        <w:t>og regioner</w:t>
      </w:r>
      <w:r w:rsidRPr="00EB6C34">
        <w:rPr>
          <w:rFonts w:ascii="Times New Roman" w:hAnsi="Times New Roman"/>
        </w:rPr>
        <w:t xml:space="preserve"> </w:t>
      </w:r>
      <w:r>
        <w:rPr>
          <w:rFonts w:ascii="Times New Roman" w:hAnsi="Times New Roman"/>
        </w:rPr>
        <w:t xml:space="preserve">særlig </w:t>
      </w:r>
      <w:r w:rsidRPr="00EB6C34">
        <w:rPr>
          <w:rFonts w:ascii="Times New Roman" w:hAnsi="Times New Roman"/>
        </w:rPr>
        <w:t xml:space="preserve">kraftig, men ettersom de aller fleste næringer har direkte eller indirekte leveranser til petroleumsnæringen berøres de aller fleste norske næringer som i hvert fall delvis er rettet mot hjemmemarkedet. I motsatt retning </w:t>
      </w:r>
      <w:r>
        <w:rPr>
          <w:rFonts w:ascii="Times New Roman" w:hAnsi="Times New Roman"/>
        </w:rPr>
        <w:t>bidrar</w:t>
      </w:r>
      <w:r w:rsidRPr="00EB6C34">
        <w:rPr>
          <w:rFonts w:ascii="Times New Roman" w:hAnsi="Times New Roman"/>
        </w:rPr>
        <w:t xml:space="preserve"> finans- og pengepolititikken inkludert </w:t>
      </w:r>
      <w:r>
        <w:rPr>
          <w:rFonts w:ascii="Times New Roman" w:hAnsi="Times New Roman"/>
        </w:rPr>
        <w:t xml:space="preserve">en svak </w:t>
      </w:r>
      <w:r w:rsidRPr="00EB6C34">
        <w:rPr>
          <w:rFonts w:ascii="Times New Roman" w:hAnsi="Times New Roman"/>
        </w:rPr>
        <w:t xml:space="preserve">valutakurs og at den internasjonale veksten </w:t>
      </w:r>
      <w:r>
        <w:rPr>
          <w:rFonts w:ascii="Times New Roman" w:hAnsi="Times New Roman"/>
        </w:rPr>
        <w:t xml:space="preserve">forventes å </w:t>
      </w:r>
      <w:r w:rsidRPr="00EB6C34">
        <w:rPr>
          <w:rFonts w:ascii="Times New Roman" w:hAnsi="Times New Roman"/>
        </w:rPr>
        <w:t xml:space="preserve">ta seg litt opp. Norsk tremåneders pengemarkedsrente </w:t>
      </w:r>
      <w:r>
        <w:rPr>
          <w:rFonts w:ascii="Times New Roman" w:hAnsi="Times New Roman"/>
        </w:rPr>
        <w:t>va</w:t>
      </w:r>
      <w:r w:rsidRPr="00EB6C34">
        <w:rPr>
          <w:rFonts w:ascii="Times New Roman" w:hAnsi="Times New Roman"/>
        </w:rPr>
        <w:t xml:space="preserve">r i </w:t>
      </w:r>
      <w:r>
        <w:rPr>
          <w:rFonts w:ascii="Times New Roman" w:hAnsi="Times New Roman"/>
        </w:rPr>
        <w:t>starten av februar</w:t>
      </w:r>
      <w:r w:rsidRPr="00EB6C34">
        <w:rPr>
          <w:rFonts w:ascii="Times New Roman" w:hAnsi="Times New Roman"/>
        </w:rPr>
        <w:t xml:space="preserve"> 2016 nede i 1,</w:t>
      </w:r>
      <w:r>
        <w:rPr>
          <w:rFonts w:ascii="Times New Roman" w:hAnsi="Times New Roman"/>
        </w:rPr>
        <w:t>1</w:t>
      </w:r>
      <w:r w:rsidRPr="00EB6C34">
        <w:rPr>
          <w:rFonts w:ascii="Times New Roman" w:hAnsi="Times New Roman"/>
        </w:rPr>
        <w:t xml:space="preserve"> prosent og ventes å falle ytterligere noe. Enda </w:t>
      </w:r>
      <w:r>
        <w:rPr>
          <w:rFonts w:ascii="Times New Roman" w:hAnsi="Times New Roman"/>
        </w:rPr>
        <w:t xml:space="preserve">viktigere for utviklingen i norsk økonomi er </w:t>
      </w:r>
      <w:r w:rsidRPr="00EB6C34">
        <w:rPr>
          <w:rFonts w:ascii="Times New Roman" w:hAnsi="Times New Roman"/>
        </w:rPr>
        <w:t xml:space="preserve">den kraftige svekkelsen av kronekursen </w:t>
      </w:r>
      <w:r>
        <w:rPr>
          <w:rFonts w:ascii="Times New Roman" w:hAnsi="Times New Roman"/>
        </w:rPr>
        <w:t>som</w:t>
      </w:r>
      <w:r w:rsidRPr="00EB6C34">
        <w:rPr>
          <w:rFonts w:ascii="Times New Roman" w:hAnsi="Times New Roman"/>
        </w:rPr>
        <w:t xml:space="preserve"> i liten grad ventes å bli reversert i 2016. </w:t>
      </w:r>
      <w:r>
        <w:rPr>
          <w:rFonts w:ascii="Times New Roman" w:hAnsi="Times New Roman"/>
        </w:rPr>
        <w:t>Prognosene legger også til grunn at l</w:t>
      </w:r>
      <w:r w:rsidRPr="00EB6C34">
        <w:rPr>
          <w:rFonts w:ascii="Times New Roman" w:hAnsi="Times New Roman"/>
        </w:rPr>
        <w:t xml:space="preserve">ønnsveksten </w:t>
      </w:r>
      <w:r>
        <w:rPr>
          <w:rFonts w:ascii="Times New Roman" w:hAnsi="Times New Roman"/>
        </w:rPr>
        <w:t xml:space="preserve">holder seg på fjorårets lave nivå selv om </w:t>
      </w:r>
      <w:r w:rsidRPr="00EB6C34">
        <w:rPr>
          <w:rFonts w:ascii="Times New Roman" w:hAnsi="Times New Roman"/>
        </w:rPr>
        <w:t>inflasjon</w:t>
      </w:r>
      <w:r>
        <w:rPr>
          <w:rFonts w:ascii="Times New Roman" w:hAnsi="Times New Roman"/>
        </w:rPr>
        <w:t>en</w:t>
      </w:r>
      <w:r w:rsidRPr="00EB6C34">
        <w:rPr>
          <w:rFonts w:ascii="Times New Roman" w:hAnsi="Times New Roman"/>
        </w:rPr>
        <w:t xml:space="preserve"> forbigående </w:t>
      </w:r>
      <w:r>
        <w:rPr>
          <w:rFonts w:ascii="Times New Roman" w:hAnsi="Times New Roman"/>
        </w:rPr>
        <w:t xml:space="preserve">kan bli </w:t>
      </w:r>
      <w:r w:rsidRPr="00EB6C34">
        <w:rPr>
          <w:rFonts w:ascii="Times New Roman" w:hAnsi="Times New Roman"/>
        </w:rPr>
        <w:t>høyere</w:t>
      </w:r>
      <w:r>
        <w:rPr>
          <w:rFonts w:ascii="Times New Roman" w:hAnsi="Times New Roman"/>
        </w:rPr>
        <w:t>. Dermed</w:t>
      </w:r>
      <w:r w:rsidRPr="00EB6C34">
        <w:rPr>
          <w:rFonts w:ascii="Times New Roman" w:hAnsi="Times New Roman"/>
        </w:rPr>
        <w:t xml:space="preserve"> </w:t>
      </w:r>
      <w:r>
        <w:rPr>
          <w:rFonts w:ascii="Times New Roman" w:hAnsi="Times New Roman"/>
        </w:rPr>
        <w:t xml:space="preserve">opprettholdes </w:t>
      </w:r>
      <w:r w:rsidRPr="00EB6C34">
        <w:rPr>
          <w:rFonts w:ascii="Times New Roman" w:hAnsi="Times New Roman"/>
        </w:rPr>
        <w:t>den</w:t>
      </w:r>
      <w:r>
        <w:rPr>
          <w:rFonts w:ascii="Times New Roman" w:hAnsi="Times New Roman"/>
        </w:rPr>
        <w:t xml:space="preserve"> kraftige forbedringen av</w:t>
      </w:r>
      <w:r w:rsidRPr="00EB6C34">
        <w:rPr>
          <w:rFonts w:ascii="Times New Roman" w:hAnsi="Times New Roman"/>
        </w:rPr>
        <w:t xml:space="preserve"> </w:t>
      </w:r>
      <w:r>
        <w:rPr>
          <w:rFonts w:ascii="Times New Roman" w:hAnsi="Times New Roman"/>
        </w:rPr>
        <w:t xml:space="preserve">den </w:t>
      </w:r>
      <w:r w:rsidRPr="00EB6C34">
        <w:rPr>
          <w:rFonts w:ascii="Times New Roman" w:hAnsi="Times New Roman"/>
        </w:rPr>
        <w:t>kostnadsmessige konkurranseevnen</w:t>
      </w:r>
      <w:r>
        <w:rPr>
          <w:rFonts w:ascii="Times New Roman" w:hAnsi="Times New Roman"/>
        </w:rPr>
        <w:t>. N</w:t>
      </w:r>
      <w:r w:rsidRPr="00EB6C34">
        <w:rPr>
          <w:rFonts w:ascii="Times New Roman" w:hAnsi="Times New Roman"/>
        </w:rPr>
        <w:t xml:space="preserve">orsk eksport og </w:t>
      </w:r>
      <w:r>
        <w:rPr>
          <w:rFonts w:ascii="Times New Roman" w:hAnsi="Times New Roman"/>
        </w:rPr>
        <w:t xml:space="preserve">importkonkurrerende næringer </w:t>
      </w:r>
      <w:r w:rsidRPr="00EB6C34">
        <w:rPr>
          <w:rFonts w:ascii="Times New Roman" w:hAnsi="Times New Roman"/>
        </w:rPr>
        <w:t xml:space="preserve">stimuleres som følge av dette. </w:t>
      </w:r>
      <w:r>
        <w:rPr>
          <w:rFonts w:ascii="Times New Roman" w:hAnsi="Times New Roman"/>
        </w:rPr>
        <w:t xml:space="preserve">En konsekvens av dette sammen med mye ledig kapasitet er at norskandelene i petroleumsinvesteringene ser ut til å øke. </w:t>
      </w:r>
      <w:r w:rsidRPr="00EB6C34">
        <w:rPr>
          <w:rFonts w:ascii="Times New Roman" w:hAnsi="Times New Roman"/>
        </w:rPr>
        <w:t xml:space="preserve">Finanspolitikken har vært klart ekspansiv de to siste årene og er lagt om i ytterligere ekspansiv retning i 2016. </w:t>
      </w:r>
      <w:r>
        <w:rPr>
          <w:rFonts w:ascii="Times New Roman" w:hAnsi="Times New Roman"/>
        </w:rPr>
        <w:t>N</w:t>
      </w:r>
      <w:r w:rsidRPr="00EB6C34">
        <w:rPr>
          <w:rFonts w:ascii="Times New Roman" w:hAnsi="Times New Roman"/>
        </w:rPr>
        <w:t xml:space="preserve">orsk økonomi </w:t>
      </w:r>
      <w:r>
        <w:rPr>
          <w:rFonts w:ascii="Times New Roman" w:hAnsi="Times New Roman"/>
        </w:rPr>
        <w:t>mottar altså store impulser fra forskjellige hold</w:t>
      </w:r>
      <w:r w:rsidR="00E15E45">
        <w:rPr>
          <w:rFonts w:ascii="Times New Roman" w:hAnsi="Times New Roman"/>
        </w:rPr>
        <w:t>,</w:t>
      </w:r>
      <w:r>
        <w:rPr>
          <w:rFonts w:ascii="Times New Roman" w:hAnsi="Times New Roman"/>
        </w:rPr>
        <w:t xml:space="preserve"> noe </w:t>
      </w:r>
      <w:r w:rsidRPr="00EB6C34">
        <w:rPr>
          <w:rFonts w:ascii="Times New Roman" w:hAnsi="Times New Roman"/>
        </w:rPr>
        <w:t xml:space="preserve">som trekker aktivitetsutviklingen i forskjellige retninger og </w:t>
      </w:r>
      <w:r>
        <w:rPr>
          <w:rFonts w:ascii="Times New Roman" w:hAnsi="Times New Roman"/>
        </w:rPr>
        <w:t xml:space="preserve">bidrar til at </w:t>
      </w:r>
      <w:r w:rsidRPr="00EB6C34">
        <w:rPr>
          <w:rFonts w:ascii="Times New Roman" w:hAnsi="Times New Roman"/>
        </w:rPr>
        <w:t xml:space="preserve">usikkerheten blir stor. </w:t>
      </w:r>
    </w:p>
    <w:p w14:paraId="07972213" w14:textId="77777777" w:rsidR="00ED226A" w:rsidRPr="00EB6C34" w:rsidRDefault="00ED226A" w:rsidP="00ED226A">
      <w:pPr>
        <w:rPr>
          <w:rFonts w:ascii="Times New Roman" w:hAnsi="Times New Roman"/>
        </w:rPr>
      </w:pPr>
      <w:r w:rsidRPr="00EB6C34">
        <w:rPr>
          <w:rFonts w:ascii="Times New Roman" w:hAnsi="Times New Roman"/>
        </w:rPr>
        <w:t xml:space="preserve">Oljeprisen, som falt kraftig gjennom høsten 2014, har mot slutten av 2015 og inn i 2016 falt ytterligere. I begynnelsen av februar 2016 lå prisen på Brent blend </w:t>
      </w:r>
      <w:r>
        <w:rPr>
          <w:rFonts w:ascii="Times New Roman" w:hAnsi="Times New Roman"/>
        </w:rPr>
        <w:t>i området 30-</w:t>
      </w:r>
      <w:r w:rsidRPr="00EB6C34">
        <w:rPr>
          <w:rFonts w:ascii="Times New Roman" w:hAnsi="Times New Roman"/>
        </w:rPr>
        <w:t>3</w:t>
      </w:r>
      <w:r>
        <w:rPr>
          <w:rFonts w:ascii="Times New Roman" w:hAnsi="Times New Roman"/>
        </w:rPr>
        <w:t>5</w:t>
      </w:r>
      <w:r w:rsidRPr="00EB6C34">
        <w:rPr>
          <w:rFonts w:ascii="Times New Roman" w:hAnsi="Times New Roman"/>
        </w:rPr>
        <w:t xml:space="preserve"> dollar per fat. </w:t>
      </w:r>
      <w:r>
        <w:rPr>
          <w:rFonts w:ascii="Times New Roman" w:hAnsi="Times New Roman"/>
        </w:rPr>
        <w:t xml:space="preserve">Etter at nedgangen i petroleumsnæringen satte inn, ser det ut til at man har lyktes i å redusere utbyggingskostnadene kraftig. </w:t>
      </w:r>
      <w:r w:rsidRPr="00EB6C34">
        <w:rPr>
          <w:rFonts w:ascii="Times New Roman" w:hAnsi="Times New Roman"/>
        </w:rPr>
        <w:t xml:space="preserve">En </w:t>
      </w:r>
      <w:r>
        <w:rPr>
          <w:rFonts w:ascii="Times New Roman" w:hAnsi="Times New Roman"/>
        </w:rPr>
        <w:t>olje</w:t>
      </w:r>
      <w:r w:rsidRPr="00EB6C34">
        <w:rPr>
          <w:rFonts w:ascii="Times New Roman" w:hAnsi="Times New Roman"/>
        </w:rPr>
        <w:t>pris på et så lavt nivå vil</w:t>
      </w:r>
      <w:r>
        <w:rPr>
          <w:rFonts w:ascii="Times New Roman" w:hAnsi="Times New Roman"/>
        </w:rPr>
        <w:t xml:space="preserve"> likevel trolig</w:t>
      </w:r>
      <w:r w:rsidRPr="00EB6C34">
        <w:rPr>
          <w:rFonts w:ascii="Times New Roman" w:hAnsi="Times New Roman"/>
        </w:rPr>
        <w:t xml:space="preserve"> innebære at få potensielle utbyggingsprosjekter </w:t>
      </w:r>
      <w:r>
        <w:rPr>
          <w:rFonts w:ascii="Times New Roman" w:hAnsi="Times New Roman"/>
        </w:rPr>
        <w:t xml:space="preserve">i Norge </w:t>
      </w:r>
      <w:r w:rsidRPr="00EB6C34">
        <w:rPr>
          <w:rFonts w:ascii="Times New Roman" w:hAnsi="Times New Roman"/>
        </w:rPr>
        <w:t xml:space="preserve">er lønnsomme. De fleste analytikere samt framtidspriser på olje peker riktignok i retning av at oljeprisen skal opp om ikke så lenge, men den nåværende lave oljeprisen innebærer uansett et forsterket press nedover på etterspørselen fra petroleumsvirksomheten. Med </w:t>
      </w:r>
      <w:r>
        <w:rPr>
          <w:rFonts w:ascii="Times New Roman" w:hAnsi="Times New Roman"/>
        </w:rPr>
        <w:t>lave oljepriser</w:t>
      </w:r>
      <w:r w:rsidRPr="00EB6C34">
        <w:rPr>
          <w:rFonts w:ascii="Times New Roman" w:hAnsi="Times New Roman"/>
        </w:rPr>
        <w:t xml:space="preserve"> vil Statens pensjonsfond utland i løpet av noen år ikke lenger bli tilført oljeinntekter av betydning. Så langt har dette imidlertid ikke lagt noen demper på oljepengebruken. Fokus i finanspolitikken har vært på å bekjempe konjunkturnedgangen</w:t>
      </w:r>
      <w:r>
        <w:rPr>
          <w:rFonts w:ascii="Times New Roman" w:hAnsi="Times New Roman"/>
        </w:rPr>
        <w:t>. D</w:t>
      </w:r>
      <w:r w:rsidRPr="00EB6C34">
        <w:rPr>
          <w:rFonts w:ascii="Times New Roman" w:hAnsi="Times New Roman"/>
        </w:rPr>
        <w:t xml:space="preserve">en store tilstrømmingen av asylsøkere i andre halvdel av 2015 har bidratt til at finanspolitikken er lagt om ytterligere i ekspansiv retning.  </w:t>
      </w:r>
    </w:p>
    <w:p w14:paraId="6D182337" w14:textId="77777777" w:rsidR="006F55F8" w:rsidRPr="006B38D0" w:rsidRDefault="006F55F8" w:rsidP="004104FE">
      <w:pPr>
        <w:pStyle w:val="Boksoverskrift"/>
        <w:jc w:val="center"/>
        <w:rPr>
          <w:rFonts w:ascii="Arial" w:hAnsi="Arial" w:cs="Arial"/>
          <w:szCs w:val="24"/>
        </w:rPr>
      </w:pPr>
      <w:r w:rsidRPr="006B38D0">
        <w:rPr>
          <w:rFonts w:ascii="Arial" w:hAnsi="Arial" w:cs="Arial"/>
          <w:szCs w:val="24"/>
        </w:rPr>
        <w:t>Boks 3.1 Hvordan fanger statistikken opp arbeidsinnvandringen?</w:t>
      </w:r>
    </w:p>
    <w:p w14:paraId="520BED3D" w14:textId="77777777" w:rsidR="006F55F8" w:rsidRPr="006B38D0" w:rsidRDefault="006F55F8" w:rsidP="006F55F8">
      <w:pPr>
        <w:pStyle w:val="Bokstekst"/>
        <w:rPr>
          <w:rFonts w:ascii="Times New Roman" w:hAnsi="Times New Roman"/>
        </w:rPr>
      </w:pPr>
      <w:r w:rsidRPr="006B38D0">
        <w:rPr>
          <w:rFonts w:ascii="Times New Roman" w:hAnsi="Times New Roman"/>
        </w:rPr>
        <w:t>Sysselsettingsstatistikk fanger opp innvandringen på ulike måter:</w:t>
      </w:r>
    </w:p>
    <w:p w14:paraId="2E992B88" w14:textId="77777777" w:rsidR="006F55F8" w:rsidRPr="006B38D0" w:rsidRDefault="006F55F8" w:rsidP="006F55F8">
      <w:pPr>
        <w:pStyle w:val="Bokstekst"/>
        <w:rPr>
          <w:rFonts w:ascii="Times New Roman" w:hAnsi="Times New Roman"/>
        </w:rPr>
      </w:pPr>
      <w:r w:rsidRPr="006B38D0">
        <w:rPr>
          <w:rFonts w:ascii="Times New Roman" w:hAnsi="Times New Roman"/>
        </w:rPr>
        <w:t xml:space="preserve">— </w:t>
      </w:r>
      <w:r w:rsidRPr="006B38D0">
        <w:rPr>
          <w:rFonts w:ascii="Times New Roman" w:hAnsi="Times New Roman"/>
          <w:i/>
          <w:iCs/>
        </w:rPr>
        <w:t>Ordinær registerbasert befolkningsstatistikk</w:t>
      </w:r>
      <w:r w:rsidRPr="006B38D0">
        <w:rPr>
          <w:rFonts w:ascii="Times New Roman" w:hAnsi="Times New Roman"/>
        </w:rPr>
        <w:t>: Dette registeret viser alle personer som er bosatt i Norge ifølge Det sentrale folkeregisteret. De bosatte er personer som forventes å oppholde seg mer enn seks måneder i Norge.</w:t>
      </w:r>
    </w:p>
    <w:p w14:paraId="4527C93D" w14:textId="77777777" w:rsidR="006F55F8" w:rsidRPr="006B38D0" w:rsidRDefault="006F55F8" w:rsidP="006F55F8">
      <w:pPr>
        <w:pStyle w:val="Bokstekst"/>
        <w:rPr>
          <w:rFonts w:ascii="Times New Roman" w:hAnsi="Times New Roman"/>
        </w:rPr>
      </w:pPr>
      <w:r w:rsidRPr="006B38D0">
        <w:rPr>
          <w:rFonts w:ascii="Times New Roman" w:hAnsi="Times New Roman"/>
        </w:rPr>
        <w:t xml:space="preserve">— </w:t>
      </w:r>
      <w:r w:rsidRPr="006B38D0">
        <w:rPr>
          <w:rFonts w:ascii="Times New Roman" w:hAnsi="Times New Roman"/>
          <w:i/>
          <w:iCs/>
        </w:rPr>
        <w:t>Arbeidskraftsundersøkelsen (AKU):</w:t>
      </w:r>
      <w:r w:rsidRPr="006B38D0">
        <w:rPr>
          <w:rFonts w:ascii="Times New Roman" w:hAnsi="Times New Roman"/>
        </w:rPr>
        <w:t xml:space="preserve"> Denne statistikken er basert på et utvalg av personer som er bosatt i Norge ifølge Det sentrale folkeregisteret.</w:t>
      </w:r>
    </w:p>
    <w:p w14:paraId="225FF1EB" w14:textId="77777777" w:rsidR="006F55F8" w:rsidRPr="006B38D0" w:rsidRDefault="006F55F8" w:rsidP="006F55F8">
      <w:pPr>
        <w:pStyle w:val="Bokstekst"/>
        <w:rPr>
          <w:rFonts w:ascii="Times New Roman" w:hAnsi="Times New Roman"/>
        </w:rPr>
      </w:pPr>
      <w:r w:rsidRPr="006B38D0">
        <w:rPr>
          <w:rFonts w:ascii="Times New Roman" w:hAnsi="Times New Roman"/>
        </w:rPr>
        <w:t xml:space="preserve">— </w:t>
      </w:r>
      <w:r w:rsidRPr="006B38D0">
        <w:rPr>
          <w:rFonts w:ascii="Times New Roman" w:hAnsi="Times New Roman"/>
          <w:i/>
          <w:iCs/>
        </w:rPr>
        <w:t>Sysselsetting i nasjonalregnskapet</w:t>
      </w:r>
      <w:r w:rsidRPr="006B38D0">
        <w:rPr>
          <w:rFonts w:ascii="Times New Roman" w:hAnsi="Times New Roman"/>
        </w:rPr>
        <w:t>: Nasjonalregnskapet viser sysselsettingen i norske bedrifter, uavhengig av om den sysselsatte er bosatt i Norge eller ikke. I nasjonalregnskapet regnes personer på korttidsopphold (ikke-bosatte) med dersom de tar arbeid i en innenlandsk bedrift, det vil si at bedriften forventes å drive produksjon i Norge i minst 12 måneder. Denne gruppen dekker personer bosatt i våre naboland og som pendler daglig eller ukentlig over grensen for å arbeide i Norge, utenlandske bosatte med arbeid på kontinentalsokkelen eller norske skip i utenriksfart og personer på asylmottak i Norge som ikke har fått oppholdstillatelse. Personer som er ansatt i en utenlandsk bedrift på oppdrag i Norge som varer under 12 måneder omtales som tjenesteytere, og inngår ikke i sysselsettingstallene i nasjonalregnskapet. Dette gjelder uavhengig av om personen regnes som bosatt eller ikke-bosatt. Produksjonen som disse bedriftene utfører i Norge regnes som import av tjenester.</w:t>
      </w:r>
    </w:p>
    <w:p w14:paraId="55D08628" w14:textId="41266103" w:rsidR="006F55F8" w:rsidRPr="006B38D0" w:rsidRDefault="006F55F8" w:rsidP="006F55F8">
      <w:pPr>
        <w:pStyle w:val="Bokstekst"/>
        <w:rPr>
          <w:rFonts w:ascii="Times New Roman" w:hAnsi="Times New Roman"/>
        </w:rPr>
      </w:pPr>
      <w:r w:rsidRPr="006B38D0">
        <w:rPr>
          <w:rFonts w:ascii="Times New Roman" w:hAnsi="Times New Roman"/>
        </w:rPr>
        <w:t xml:space="preserve">— </w:t>
      </w:r>
      <w:r w:rsidRPr="006B38D0">
        <w:rPr>
          <w:rFonts w:ascii="Times New Roman" w:hAnsi="Times New Roman"/>
          <w:i/>
          <w:iCs/>
        </w:rPr>
        <w:t xml:space="preserve">Registerbasert sysselsettingsstatistikk for innvandrere: </w:t>
      </w:r>
      <w:r w:rsidRPr="006B38D0">
        <w:rPr>
          <w:rFonts w:ascii="Times New Roman" w:hAnsi="Times New Roman"/>
          <w:iCs/>
        </w:rPr>
        <w:t>Statistikken</w:t>
      </w:r>
      <w:r w:rsidRPr="006B38D0">
        <w:rPr>
          <w:rFonts w:ascii="Times New Roman" w:hAnsi="Times New Roman"/>
        </w:rPr>
        <w:t xml:space="preserve"> gjelder kun dem som er registrert bosatt, det vil si at de ifølge folkeregisteret som hovedregel forventes å oppholde seg her i landet i minst seks måneder.</w:t>
      </w:r>
    </w:p>
    <w:p w14:paraId="3BB798CE" w14:textId="77777777" w:rsidR="006F55F8" w:rsidRPr="006B38D0" w:rsidRDefault="006F55F8" w:rsidP="006F55F8">
      <w:pPr>
        <w:pStyle w:val="Bokstekst"/>
        <w:rPr>
          <w:rFonts w:ascii="Times New Roman" w:hAnsi="Times New Roman"/>
        </w:rPr>
      </w:pPr>
      <w:r w:rsidRPr="006B38D0">
        <w:rPr>
          <w:rFonts w:ascii="Times New Roman" w:hAnsi="Times New Roman"/>
        </w:rPr>
        <w:t xml:space="preserve">— </w:t>
      </w:r>
      <w:r w:rsidRPr="006B38D0">
        <w:rPr>
          <w:rFonts w:ascii="Times New Roman" w:hAnsi="Times New Roman"/>
          <w:i/>
          <w:iCs/>
        </w:rPr>
        <w:t>Annen registerbasert sysselsettingsstatistikk</w:t>
      </w:r>
      <w:r w:rsidRPr="006B38D0">
        <w:rPr>
          <w:rFonts w:ascii="Times New Roman" w:hAnsi="Times New Roman"/>
        </w:rPr>
        <w:t xml:space="preserve">: Statistisk sentralbyrå har laget en spesialstatistikk hvor man forsøker å fange opp alle sysselsatte på korttidsopphold (ikke-bosatte), også tjenesteytere som ikke omfattes av nasjonalregnskapet. Foreløpig omfatter ikke tallene selvstendig næringsdrivende eller sjøfolk fra land utenfor EØS-området. </w:t>
      </w:r>
    </w:p>
    <w:p w14:paraId="0D6DDC5F" w14:textId="4ED3BBF6" w:rsidR="006F55F8" w:rsidRPr="006B38D0" w:rsidRDefault="006F55F8" w:rsidP="006F55F8">
      <w:pPr>
        <w:pStyle w:val="Bokstekst"/>
        <w:rPr>
          <w:rFonts w:ascii="Times New Roman" w:eastAsia="Times New Roman" w:hAnsi="Times New Roman"/>
          <w:szCs w:val="24"/>
        </w:rPr>
      </w:pPr>
      <w:r>
        <w:rPr>
          <w:rFonts w:ascii="Times New Roman" w:hAnsi="Times New Roman"/>
        </w:rPr>
        <w:t xml:space="preserve">— </w:t>
      </w:r>
      <w:r>
        <w:rPr>
          <w:rFonts w:ascii="Times New Roman" w:hAnsi="Times New Roman"/>
          <w:i/>
          <w:iCs/>
        </w:rPr>
        <w:t>Oppholdstillatelser/registreringer fra Utlendingsdirektoratet</w:t>
      </w:r>
      <w:r>
        <w:rPr>
          <w:rFonts w:ascii="Times New Roman" w:hAnsi="Times New Roman"/>
        </w:rPr>
        <w:t>: Alle borgere fra land utenfor Norden og EØS/EFTA-området (heretter kalt EØS-borgere) som ønsker å ta arbeid i Norge, må søke om oppholdstillatelse. Personer med statsborgerskap utenfor EØS/EFTA-området som er familiemedlem til en EØS-borger, plikter å søke om oppholdskort ved opphold utover tre måneder. EØS-borgere som oppholder seg i Norge i mer enn tre måneder skal registrere seg hos utlendingsmyndighetene. Generelt må alle som kommer hit for å jobbe registrere seg hos norske skattemyndigheter.</w:t>
      </w:r>
    </w:p>
    <w:p w14:paraId="6737FD84" w14:textId="77777777" w:rsidR="006F55F8" w:rsidRPr="00EB6C34" w:rsidRDefault="006F55F8" w:rsidP="006F55F8">
      <w:pPr>
        <w:rPr>
          <w:rFonts w:ascii="Times New Roman" w:hAnsi="Times New Roman"/>
        </w:rPr>
      </w:pPr>
      <w:r w:rsidRPr="00EB6C34">
        <w:rPr>
          <w:rFonts w:ascii="Times New Roman" w:hAnsi="Times New Roman"/>
        </w:rPr>
        <w:t>Lav oljepris har ikke bare negative følger for norsk økonomi. Kronekursen har en tendens til å svekkes som følge av lavere oljepris</w:t>
      </w:r>
      <w:r>
        <w:rPr>
          <w:rFonts w:ascii="Times New Roman" w:hAnsi="Times New Roman"/>
        </w:rPr>
        <w:t>. D</w:t>
      </w:r>
      <w:r w:rsidRPr="00EB6C34">
        <w:rPr>
          <w:rFonts w:ascii="Times New Roman" w:hAnsi="Times New Roman"/>
        </w:rPr>
        <w:t xml:space="preserve">ermed stimuleres aktiviteten og lønnsomheten i virksomheter som er utsatt for internasjonal konkurranse. </w:t>
      </w:r>
      <w:r>
        <w:rPr>
          <w:rFonts w:ascii="Times New Roman" w:hAnsi="Times New Roman"/>
        </w:rPr>
        <w:t xml:space="preserve">Lavere oljepris trekker energiprisene ned og demper dermed de negative impulsene på husholdningenes økonomi fra høyere priser på importerte varer. </w:t>
      </w:r>
      <w:r w:rsidRPr="00EB6C34">
        <w:rPr>
          <w:rFonts w:ascii="Times New Roman" w:hAnsi="Times New Roman"/>
        </w:rPr>
        <w:t>Isolert sett er det også grunn til å tro at lav oljepris som følge av forhold på tilbudssiden vil virke stimulerende på verdensøkonomien sett under ett</w:t>
      </w:r>
      <w:r>
        <w:rPr>
          <w:rFonts w:ascii="Times New Roman" w:hAnsi="Times New Roman"/>
        </w:rPr>
        <w:t xml:space="preserve"> slik at eksporten blir høyere enn den ellers hadde vært</w:t>
      </w:r>
      <w:r w:rsidRPr="00EB6C34">
        <w:rPr>
          <w:rFonts w:ascii="Times New Roman" w:hAnsi="Times New Roman"/>
        </w:rPr>
        <w:t>.</w:t>
      </w:r>
    </w:p>
    <w:p w14:paraId="6A05AF5B" w14:textId="77777777" w:rsidR="006F55F8" w:rsidRPr="00EB6C34" w:rsidRDefault="006F55F8" w:rsidP="006F55F8">
      <w:pPr>
        <w:rPr>
          <w:rFonts w:ascii="Times New Roman" w:hAnsi="Times New Roman"/>
          <w:highlight w:val="yellow"/>
        </w:rPr>
      </w:pPr>
      <w:r w:rsidRPr="00EB6C34">
        <w:rPr>
          <w:rFonts w:ascii="Times New Roman" w:hAnsi="Times New Roman"/>
        </w:rPr>
        <w:t xml:space="preserve">Selv etter tre år med kraftig økning i det strukturelle oljekorrigerte budsjettunderskuddet, ligger det an til at underskuddet i 2016 blir tilsvarende om lag </w:t>
      </w:r>
      <w:r>
        <w:rPr>
          <w:rFonts w:ascii="Times New Roman" w:hAnsi="Times New Roman"/>
        </w:rPr>
        <w:t>en</w:t>
      </w:r>
      <w:r w:rsidRPr="00EB6C34">
        <w:rPr>
          <w:rFonts w:ascii="Times New Roman" w:hAnsi="Times New Roman"/>
        </w:rPr>
        <w:t xml:space="preserve"> prosent av trenden til BNP Fastlands-Norge lavere enn det 4-prosentbanen gir rom for. Den sterke tilstrømmingen av asylsøkere høsten 2015 har ført til omdisponeringer i statsbudsjettet for 2016 og det har bidratt til å </w:t>
      </w:r>
      <w:r>
        <w:rPr>
          <w:rFonts w:ascii="Times New Roman" w:hAnsi="Times New Roman"/>
        </w:rPr>
        <w:t>øk</w:t>
      </w:r>
      <w:r w:rsidRPr="00EB6C34">
        <w:rPr>
          <w:rFonts w:ascii="Times New Roman" w:hAnsi="Times New Roman"/>
        </w:rPr>
        <w:t>e veksten i offentlig konsum som SSB i sin siste rapport anslo til 3,5 prosent. Offentlige investeringer ventes å øke i om lag samme takt. I tillegg ble</w:t>
      </w:r>
      <w:r>
        <w:rPr>
          <w:rFonts w:ascii="Times New Roman" w:hAnsi="Times New Roman"/>
        </w:rPr>
        <w:t xml:space="preserve"> det</w:t>
      </w:r>
      <w:r w:rsidRPr="00EB6C34">
        <w:rPr>
          <w:rFonts w:ascii="Times New Roman" w:hAnsi="Times New Roman"/>
        </w:rPr>
        <w:t xml:space="preserve"> gitt lettelser i beskatningen, primært selskapsskatter, men</w:t>
      </w:r>
      <w:r>
        <w:rPr>
          <w:rFonts w:ascii="Times New Roman" w:hAnsi="Times New Roman"/>
        </w:rPr>
        <w:t>s</w:t>
      </w:r>
      <w:r w:rsidRPr="00EB6C34">
        <w:rPr>
          <w:rFonts w:ascii="Times New Roman" w:hAnsi="Times New Roman"/>
        </w:rPr>
        <w:t xml:space="preserve"> avgiftene</w:t>
      </w:r>
      <w:r>
        <w:rPr>
          <w:rFonts w:ascii="Times New Roman" w:hAnsi="Times New Roman"/>
        </w:rPr>
        <w:t xml:space="preserve"> er satt litt mer opp enn den generelle prisveksten</w:t>
      </w:r>
      <w:r w:rsidRPr="00EB6C34">
        <w:rPr>
          <w:rFonts w:ascii="Times New Roman" w:hAnsi="Times New Roman"/>
        </w:rPr>
        <w:t xml:space="preserve">. Samlet er </w:t>
      </w:r>
      <w:r>
        <w:rPr>
          <w:rFonts w:ascii="Times New Roman" w:hAnsi="Times New Roman"/>
        </w:rPr>
        <w:t>reduksjoner</w:t>
      </w:r>
      <w:r w:rsidRPr="00EB6C34">
        <w:rPr>
          <w:rFonts w:ascii="Times New Roman" w:hAnsi="Times New Roman"/>
        </w:rPr>
        <w:t xml:space="preserve"> i skatte</w:t>
      </w:r>
      <w:r>
        <w:rPr>
          <w:rFonts w:ascii="Times New Roman" w:hAnsi="Times New Roman"/>
        </w:rPr>
        <w:t>r</w:t>
      </w:r>
      <w:r w:rsidRPr="00EB6C34">
        <w:rPr>
          <w:rFonts w:ascii="Times New Roman" w:hAnsi="Times New Roman"/>
        </w:rPr>
        <w:t xml:space="preserve"> og avgift</w:t>
      </w:r>
      <w:r>
        <w:rPr>
          <w:rFonts w:ascii="Times New Roman" w:hAnsi="Times New Roman"/>
        </w:rPr>
        <w:t>er</w:t>
      </w:r>
      <w:r w:rsidRPr="00EB6C34">
        <w:rPr>
          <w:rFonts w:ascii="Times New Roman" w:hAnsi="Times New Roman"/>
        </w:rPr>
        <w:t xml:space="preserve"> anslått til i underkant av 6 milliarder kroner.</w:t>
      </w:r>
      <w:r w:rsidRPr="00EB6C34">
        <w:rPr>
          <w:rFonts w:ascii="Times New Roman" w:hAnsi="Times New Roman"/>
          <w:highlight w:val="yellow"/>
        </w:rPr>
        <w:t xml:space="preserve"> </w:t>
      </w:r>
    </w:p>
    <w:p w14:paraId="7725204E" w14:textId="5883599D" w:rsidR="006F55F8" w:rsidRPr="00EB6C34" w:rsidRDefault="006F55F8" w:rsidP="006F55F8">
      <w:pPr>
        <w:rPr>
          <w:rFonts w:ascii="Times New Roman" w:hAnsi="Times New Roman"/>
        </w:rPr>
      </w:pPr>
      <w:r w:rsidRPr="00EB6C34">
        <w:rPr>
          <w:rFonts w:ascii="Times New Roman" w:hAnsi="Times New Roman"/>
        </w:rPr>
        <w:t xml:space="preserve">I prognosene til Finansdepartementet, Norges Bank og SSB er det lagt til grunn at krona som årsgjennomsnitt vil være svakere i 2016 enn i 2015. I </w:t>
      </w:r>
      <w:r>
        <w:rPr>
          <w:rFonts w:ascii="Times New Roman" w:hAnsi="Times New Roman"/>
        </w:rPr>
        <w:t>TBUs</w:t>
      </w:r>
      <w:r w:rsidRPr="00EB6C34">
        <w:rPr>
          <w:rFonts w:ascii="Times New Roman" w:hAnsi="Times New Roman"/>
        </w:rPr>
        <w:t xml:space="preserve"> anslag for veksten i KPI har vi lagt til grunn at krona, importveid, vil svekkes med </w:t>
      </w:r>
      <w:r w:rsidRPr="00397CE9">
        <w:rPr>
          <w:rFonts w:ascii="Times New Roman" w:hAnsi="Times New Roman"/>
        </w:rPr>
        <w:t>5 prosent</w:t>
      </w:r>
      <w:r w:rsidRPr="00EB6C34">
        <w:rPr>
          <w:rFonts w:ascii="Times New Roman" w:hAnsi="Times New Roman"/>
        </w:rPr>
        <w:t xml:space="preserve">, jf. kapittel 2. Dersom krona blir enda svakere, vil det isolert sett øke nettoeksport, produksjon og sysselsetting, men redusere husholdningenes inntekt og forbruk og visa versa. Valutakursen betyr mye for inflasjonen jf. kapittel 2.2. Prisprognosene referert til tabell 3.6 gir en vekst i KPI i området 2,5-2,8 prosent. </w:t>
      </w:r>
      <w:r>
        <w:rPr>
          <w:rFonts w:ascii="Times New Roman" w:hAnsi="Times New Roman"/>
        </w:rPr>
        <w:t>Anslag</w:t>
      </w:r>
      <w:r w:rsidRPr="00EB6C34">
        <w:rPr>
          <w:rFonts w:ascii="Times New Roman" w:hAnsi="Times New Roman"/>
        </w:rPr>
        <w:t>ene for årslønnsveksten ligger svært nær inflasjonsanslagene slik at reallønna endre</w:t>
      </w:r>
      <w:r>
        <w:rPr>
          <w:rFonts w:ascii="Times New Roman" w:hAnsi="Times New Roman"/>
        </w:rPr>
        <w:t>r</w:t>
      </w:r>
      <w:r w:rsidRPr="00EB6C34">
        <w:rPr>
          <w:rFonts w:ascii="Times New Roman" w:hAnsi="Times New Roman"/>
        </w:rPr>
        <w:t xml:space="preserve"> seg lite</w:t>
      </w:r>
      <w:r>
        <w:rPr>
          <w:rFonts w:ascii="Times New Roman" w:hAnsi="Times New Roman"/>
        </w:rPr>
        <w:t xml:space="preserve"> fra 2015 til 2016 </w:t>
      </w:r>
      <w:r w:rsidR="008D32BA">
        <w:rPr>
          <w:rFonts w:ascii="Times New Roman" w:hAnsi="Times New Roman"/>
        </w:rPr>
        <w:t>ifølge</w:t>
      </w:r>
      <w:r>
        <w:rPr>
          <w:rFonts w:ascii="Times New Roman" w:hAnsi="Times New Roman"/>
        </w:rPr>
        <w:t xml:space="preserve"> prognosene</w:t>
      </w:r>
      <w:r w:rsidRPr="00EB6C34">
        <w:rPr>
          <w:rFonts w:ascii="Times New Roman" w:hAnsi="Times New Roman"/>
        </w:rPr>
        <w:t xml:space="preserve">. </w:t>
      </w:r>
    </w:p>
    <w:p w14:paraId="66553FE7" w14:textId="77777777" w:rsidR="006F55F8" w:rsidRPr="00EB6C34" w:rsidRDefault="006F55F8" w:rsidP="006F55F8">
      <w:pPr>
        <w:rPr>
          <w:rFonts w:ascii="Times New Roman" w:hAnsi="Times New Roman"/>
        </w:rPr>
      </w:pPr>
      <w:r w:rsidRPr="00EB6C34">
        <w:rPr>
          <w:rFonts w:ascii="Times New Roman" w:hAnsi="Times New Roman"/>
        </w:rPr>
        <w:t>Også anslagene for veksten i husholdningenes forbruk er svært lik</w:t>
      </w:r>
      <w:r>
        <w:rPr>
          <w:rFonts w:ascii="Times New Roman" w:hAnsi="Times New Roman"/>
        </w:rPr>
        <w:t>e</w:t>
      </w:r>
      <w:r w:rsidRPr="00EB6C34">
        <w:rPr>
          <w:rFonts w:ascii="Times New Roman" w:hAnsi="Times New Roman"/>
        </w:rPr>
        <w:t xml:space="preserve"> og ligger på 1,5 prosent eller litt høyere. Dette er litt lavere enn i 2015 og om lag som i 2014, men langt lavere enn gjennomsnittet for de siste 20 årene. Husholdningenes forbruk påvirkes i stor grad av utviklingen i husholdningenes inntekter. Lav vekst i reallønn og sysselsetting ventes å føre til en beskjeden realinntektsvekst i 2015, til tross for rentenedgang og skattelette.</w:t>
      </w:r>
    </w:p>
    <w:p w14:paraId="6F816C96" w14:textId="77777777" w:rsidR="006F55F8" w:rsidRPr="00EB6C34" w:rsidRDefault="006F55F8" w:rsidP="006F55F8">
      <w:pPr>
        <w:rPr>
          <w:rFonts w:ascii="Times New Roman" w:hAnsi="Times New Roman"/>
        </w:rPr>
      </w:pPr>
      <w:r w:rsidRPr="00EB6C34">
        <w:rPr>
          <w:rFonts w:ascii="Times New Roman" w:hAnsi="Times New Roman"/>
        </w:rPr>
        <w:t>Det er mye større volatilitet i investeringene enn i konsumet og investeringsutviklingen er viktig for konjunkturutviklingen. Også for investeringene i alt er det stor grad av enighet</w:t>
      </w:r>
      <w:r>
        <w:rPr>
          <w:rFonts w:ascii="Times New Roman" w:hAnsi="Times New Roman"/>
        </w:rPr>
        <w:t xml:space="preserve"> blant prognosemakerne</w:t>
      </w:r>
      <w:r w:rsidRPr="00EB6C34">
        <w:rPr>
          <w:rFonts w:ascii="Times New Roman" w:hAnsi="Times New Roman"/>
        </w:rPr>
        <w:t xml:space="preserve"> </w:t>
      </w:r>
      <w:r>
        <w:rPr>
          <w:rFonts w:ascii="Times New Roman" w:hAnsi="Times New Roman"/>
        </w:rPr>
        <w:t>om</w:t>
      </w:r>
      <w:r w:rsidRPr="00EB6C34">
        <w:rPr>
          <w:rFonts w:ascii="Times New Roman" w:hAnsi="Times New Roman"/>
        </w:rPr>
        <w:t xml:space="preserve"> en om lag nullvekst i 2016. Norges Bank skiller seg ut på nedsiden ved at deres investeringsanslag for markedsrettet virksomhet i Fastlands-Norge ligger klart under SSB</w:t>
      </w:r>
      <w:r>
        <w:rPr>
          <w:rFonts w:ascii="Times New Roman" w:hAnsi="Times New Roman"/>
        </w:rPr>
        <w:t>s</w:t>
      </w:r>
      <w:r w:rsidRPr="00EB6C34">
        <w:rPr>
          <w:rFonts w:ascii="Times New Roman" w:hAnsi="Times New Roman"/>
        </w:rPr>
        <w:t xml:space="preserve"> og Finansdepartementets anslag. Dette er dermed en av faktorene som bidrar til forskjellen i anslagene for den samlede aktivitetsutviklingen. Lavere rente og forvent</w:t>
      </w:r>
      <w:r>
        <w:rPr>
          <w:rFonts w:ascii="Times New Roman" w:hAnsi="Times New Roman"/>
        </w:rPr>
        <w:t>n</w:t>
      </w:r>
      <w:r w:rsidRPr="00EB6C34">
        <w:rPr>
          <w:rFonts w:ascii="Times New Roman" w:hAnsi="Times New Roman"/>
        </w:rPr>
        <w:t>inger om at de skal fortsette å være lave i lang tid samt høye bruktboligprise</w:t>
      </w:r>
      <w:r>
        <w:rPr>
          <w:rFonts w:ascii="Times New Roman" w:hAnsi="Times New Roman"/>
        </w:rPr>
        <w:t>r</w:t>
      </w:r>
      <w:r w:rsidRPr="00EB6C34">
        <w:rPr>
          <w:rFonts w:ascii="Times New Roman" w:hAnsi="Times New Roman"/>
        </w:rPr>
        <w:t xml:space="preserve"> er forhold som stimulerer boliginvesteringene. Renteutviklingen kan også stimulere investeringsutviklingen i næringslivet. Den svake krona og utsikter til en bedret utvikling internasjonalt er andre forhold, men usikkerheten er stor når det gjelder disse investeringene.</w:t>
      </w:r>
    </w:p>
    <w:p w14:paraId="532FB75E" w14:textId="77777777" w:rsidR="006F55F8" w:rsidRPr="00EB6C34" w:rsidRDefault="006F55F8" w:rsidP="006F55F8">
      <w:pPr>
        <w:rPr>
          <w:rFonts w:ascii="Times New Roman" w:hAnsi="Times New Roman"/>
          <w:highlight w:val="yellow"/>
        </w:rPr>
      </w:pPr>
      <w:r w:rsidRPr="00EB6C34">
        <w:rPr>
          <w:rFonts w:ascii="Times New Roman" w:hAnsi="Times New Roman"/>
        </w:rPr>
        <w:t>Svekkelsen av kronekursen gjennom de tre siste årene og økt internasjonal vekst lig</w:t>
      </w:r>
      <w:r>
        <w:rPr>
          <w:rFonts w:ascii="Times New Roman" w:hAnsi="Times New Roman"/>
        </w:rPr>
        <w:t>g</w:t>
      </w:r>
      <w:r w:rsidRPr="00EB6C34">
        <w:rPr>
          <w:rFonts w:ascii="Times New Roman" w:hAnsi="Times New Roman"/>
        </w:rPr>
        <w:t xml:space="preserve">er bak at Finansdepartementet </w:t>
      </w:r>
      <w:r>
        <w:rPr>
          <w:rFonts w:ascii="Times New Roman" w:hAnsi="Times New Roman"/>
        </w:rPr>
        <w:t xml:space="preserve">og SSB </w:t>
      </w:r>
      <w:r w:rsidRPr="00EB6C34">
        <w:rPr>
          <w:rFonts w:ascii="Times New Roman" w:hAnsi="Times New Roman"/>
        </w:rPr>
        <w:t xml:space="preserve">anslår en ganske høy vekst i tradisjonell eksport i 2016. </w:t>
      </w:r>
      <w:r>
        <w:rPr>
          <w:rFonts w:ascii="Times New Roman" w:hAnsi="Times New Roman"/>
        </w:rPr>
        <w:t xml:space="preserve">Virkningene av den økte internasjonale veksten på eksporten svekkes imidlertid av at etterspørselen i utlandet etter varer og tjenester som produseres av norsk petroleumsleverandørvirksomheter også faller som følge av den lave oljeprisen. </w:t>
      </w:r>
      <w:r w:rsidRPr="00EB6C34">
        <w:rPr>
          <w:rFonts w:ascii="Times New Roman" w:hAnsi="Times New Roman"/>
        </w:rPr>
        <w:t xml:space="preserve">Norges Bank ser for seg en mindre økning </w:t>
      </w:r>
      <w:r>
        <w:rPr>
          <w:rFonts w:ascii="Times New Roman" w:hAnsi="Times New Roman"/>
        </w:rPr>
        <w:t>i</w:t>
      </w:r>
      <w:r w:rsidRPr="00EB6C34">
        <w:rPr>
          <w:rFonts w:ascii="Times New Roman" w:hAnsi="Times New Roman"/>
        </w:rPr>
        <w:t xml:space="preserve"> eksporten fra Fastlands-Norge</w:t>
      </w:r>
      <w:r>
        <w:rPr>
          <w:rFonts w:ascii="Times New Roman" w:hAnsi="Times New Roman"/>
        </w:rPr>
        <w:t xml:space="preserve"> enn SSB og Finansdepartementet</w:t>
      </w:r>
      <w:r w:rsidRPr="00EB6C34">
        <w:rPr>
          <w:rFonts w:ascii="Times New Roman" w:hAnsi="Times New Roman"/>
        </w:rPr>
        <w:t>, noe som også bidrar til et svakere vekstbilde. Norges Bank</w:t>
      </w:r>
      <w:r>
        <w:rPr>
          <w:rFonts w:ascii="Times New Roman" w:hAnsi="Times New Roman"/>
        </w:rPr>
        <w:t>s</w:t>
      </w:r>
      <w:r w:rsidRPr="00EB6C34">
        <w:rPr>
          <w:rFonts w:ascii="Times New Roman" w:hAnsi="Times New Roman"/>
        </w:rPr>
        <w:t xml:space="preserve"> anslag for importutviklingen er imidlertid svært mye lavere enn andres slik at den relativt lave BNP-prognosen vanskelig kan forstås på annen måte enn at de ser for seg at mer av etterspørselsøkningen dekkes opp fra redusert lager. </w:t>
      </w:r>
    </w:p>
    <w:p w14:paraId="689A7B2B" w14:textId="7909A16D" w:rsidR="006F55F8" w:rsidRDefault="006F55F8" w:rsidP="006F55F8">
      <w:r w:rsidRPr="00EB6C34">
        <w:rPr>
          <w:rFonts w:ascii="Times New Roman" w:hAnsi="Times New Roman"/>
        </w:rPr>
        <w:t>Sysselsettingen ventes å øke relativt beskjedent i 2016 og forskjellen mellom prognosene er små. Mye av forskjellen i aktivitetsvekst motsvares dermed av en tilsvarende forskjell i produktivitet</w:t>
      </w:r>
      <w:r>
        <w:rPr>
          <w:rFonts w:ascii="Times New Roman" w:hAnsi="Times New Roman"/>
        </w:rPr>
        <w:t>sutvikling</w:t>
      </w:r>
      <w:r w:rsidRPr="00EB6C34">
        <w:rPr>
          <w:rFonts w:ascii="Times New Roman" w:hAnsi="Times New Roman"/>
        </w:rPr>
        <w:t xml:space="preserve">. Både Norges Bank og SSB anslår at arbeidsledigheten </w:t>
      </w:r>
      <w:r>
        <w:rPr>
          <w:rFonts w:ascii="Times New Roman" w:hAnsi="Times New Roman"/>
        </w:rPr>
        <w:t xml:space="preserve">samlet </w:t>
      </w:r>
      <w:r w:rsidRPr="00EB6C34">
        <w:rPr>
          <w:rFonts w:ascii="Times New Roman" w:hAnsi="Times New Roman"/>
        </w:rPr>
        <w:t xml:space="preserve">blir 4,6 prosent i 2016. </w:t>
      </w:r>
      <w:r>
        <w:rPr>
          <w:rFonts w:ascii="Times New Roman" w:hAnsi="Times New Roman"/>
        </w:rPr>
        <w:t xml:space="preserve">Det innebærer at man ikke forventer noen vesentlig økning fra det ledighetsnivået vi nå kan observere. Den regionale utviklingen med høyere ledighet i områder med sterk tilknytning til petroleumsnæringen eller leverandørindustrien og uendret eller lavere i andre, kan komme til å </w:t>
      </w:r>
      <w:r w:rsidR="00F43603">
        <w:rPr>
          <w:rFonts w:ascii="Times New Roman" w:hAnsi="Times New Roman"/>
        </w:rPr>
        <w:t xml:space="preserve">fortsette. </w:t>
      </w:r>
      <w:r>
        <w:br w:type="page"/>
      </w:r>
    </w:p>
    <w:tbl>
      <w:tblPr>
        <w:tblW w:w="9382" w:type="dxa"/>
        <w:tblInd w:w="55" w:type="dxa"/>
        <w:tblCellMar>
          <w:left w:w="70" w:type="dxa"/>
          <w:right w:w="70" w:type="dxa"/>
        </w:tblCellMar>
        <w:tblLook w:val="04A0" w:firstRow="1" w:lastRow="0" w:firstColumn="1" w:lastColumn="0" w:noHBand="0" w:noVBand="1"/>
      </w:tblPr>
      <w:tblGrid>
        <w:gridCol w:w="4082"/>
        <w:gridCol w:w="1087"/>
        <w:gridCol w:w="1087"/>
        <w:gridCol w:w="820"/>
        <w:gridCol w:w="791"/>
        <w:gridCol w:w="817"/>
        <w:gridCol w:w="698"/>
      </w:tblGrid>
      <w:tr w:rsidR="006F55F8" w:rsidRPr="00EB6C34" w14:paraId="473BAEE7" w14:textId="77777777" w:rsidTr="003E3545">
        <w:trPr>
          <w:trHeight w:val="315"/>
        </w:trPr>
        <w:tc>
          <w:tcPr>
            <w:tcW w:w="9382" w:type="dxa"/>
            <w:gridSpan w:val="7"/>
            <w:tcBorders>
              <w:top w:val="nil"/>
              <w:left w:val="nil"/>
              <w:bottom w:val="nil"/>
              <w:right w:val="nil"/>
            </w:tcBorders>
            <w:shd w:val="clear" w:color="auto" w:fill="auto"/>
            <w:noWrap/>
            <w:vAlign w:val="center"/>
            <w:hideMark/>
          </w:tcPr>
          <w:p w14:paraId="097421A7" w14:textId="77777777" w:rsidR="006F55F8" w:rsidRPr="004E3358" w:rsidRDefault="006F55F8" w:rsidP="006F55F8">
            <w:pPr>
              <w:pStyle w:val="tabell-tittel"/>
            </w:pPr>
            <w:bookmarkStart w:id="213" w:name="_Ref443471994"/>
            <w:r w:rsidRPr="004E3358">
              <w:t>Utviklingen i noen makroøkonomiske hovedstørrelser. Prosentvis endring fra året før der ikke annet fremgår</w:t>
            </w:r>
            <w:r w:rsidRPr="004E3358">
              <w:rPr>
                <w:rFonts w:ascii="Times New Roman" w:hAnsi="Times New Roman"/>
                <w:color w:val="000000"/>
              </w:rPr>
              <w:t>.</w:t>
            </w:r>
            <w:bookmarkEnd w:id="213"/>
          </w:p>
        </w:tc>
      </w:tr>
      <w:tr w:rsidR="006F55F8" w:rsidRPr="00EB6C34" w14:paraId="6E58EE8C" w14:textId="77777777" w:rsidTr="003E3545">
        <w:trPr>
          <w:trHeight w:val="315"/>
        </w:trPr>
        <w:tc>
          <w:tcPr>
            <w:tcW w:w="4082" w:type="dxa"/>
            <w:tcBorders>
              <w:top w:val="single" w:sz="8" w:space="0" w:color="auto"/>
              <w:left w:val="nil"/>
              <w:bottom w:val="nil"/>
              <w:right w:val="nil"/>
            </w:tcBorders>
            <w:shd w:val="clear" w:color="auto" w:fill="auto"/>
            <w:vAlign w:val="center"/>
            <w:hideMark/>
          </w:tcPr>
          <w:p w14:paraId="57B1A657"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w:t>
            </w:r>
          </w:p>
        </w:tc>
        <w:tc>
          <w:tcPr>
            <w:tcW w:w="1087" w:type="dxa"/>
            <w:tcBorders>
              <w:top w:val="single" w:sz="8" w:space="0" w:color="auto"/>
              <w:left w:val="nil"/>
              <w:bottom w:val="nil"/>
              <w:right w:val="nil"/>
            </w:tcBorders>
            <w:shd w:val="clear" w:color="auto" w:fill="auto"/>
            <w:vAlign w:val="center"/>
            <w:hideMark/>
          </w:tcPr>
          <w:p w14:paraId="554729F3" w14:textId="77777777" w:rsidR="006F55F8" w:rsidRPr="00EB6C34" w:rsidRDefault="006F55F8" w:rsidP="006F55F8">
            <w:pPr>
              <w:spacing w:after="0"/>
              <w:jc w:val="center"/>
              <w:rPr>
                <w:rFonts w:ascii="Times New Roman" w:eastAsia="Times New Roman" w:hAnsi="Times New Roman"/>
                <w:color w:val="000000"/>
              </w:rPr>
            </w:pPr>
            <w:r w:rsidRPr="00EB6C34">
              <w:rPr>
                <w:rFonts w:ascii="Times New Roman" w:eastAsia="Times New Roman" w:hAnsi="Times New Roman"/>
                <w:color w:val="000000"/>
              </w:rPr>
              <w:t>2014*</w:t>
            </w:r>
          </w:p>
        </w:tc>
        <w:tc>
          <w:tcPr>
            <w:tcW w:w="1087" w:type="dxa"/>
            <w:tcBorders>
              <w:top w:val="single" w:sz="8" w:space="0" w:color="auto"/>
              <w:left w:val="nil"/>
              <w:bottom w:val="nil"/>
              <w:right w:val="nil"/>
            </w:tcBorders>
            <w:shd w:val="clear" w:color="auto" w:fill="auto"/>
            <w:vAlign w:val="center"/>
            <w:hideMark/>
          </w:tcPr>
          <w:p w14:paraId="26214105" w14:textId="77777777" w:rsidR="006F55F8" w:rsidRPr="00122954" w:rsidRDefault="006F55F8" w:rsidP="006F55F8">
            <w:pPr>
              <w:spacing w:after="0"/>
              <w:jc w:val="center"/>
              <w:rPr>
                <w:rFonts w:ascii="Times New Roman" w:eastAsia="Times New Roman" w:hAnsi="Times New Roman"/>
                <w:color w:val="000000"/>
              </w:rPr>
            </w:pPr>
            <w:r w:rsidRPr="00122954">
              <w:rPr>
                <w:rFonts w:ascii="Times New Roman" w:eastAsia="Times New Roman" w:hAnsi="Times New Roman"/>
                <w:color w:val="000000"/>
              </w:rPr>
              <w:t>2015*</w:t>
            </w:r>
          </w:p>
        </w:tc>
        <w:tc>
          <w:tcPr>
            <w:tcW w:w="3126" w:type="dxa"/>
            <w:gridSpan w:val="4"/>
            <w:tcBorders>
              <w:top w:val="single" w:sz="8" w:space="0" w:color="auto"/>
              <w:left w:val="nil"/>
              <w:bottom w:val="single" w:sz="8" w:space="0" w:color="auto"/>
              <w:right w:val="nil"/>
            </w:tcBorders>
            <w:shd w:val="clear" w:color="auto" w:fill="auto"/>
            <w:vAlign w:val="center"/>
            <w:hideMark/>
          </w:tcPr>
          <w:p w14:paraId="64C82C50" w14:textId="77777777" w:rsidR="006F55F8" w:rsidRPr="00122954" w:rsidRDefault="006F55F8" w:rsidP="006F55F8">
            <w:pPr>
              <w:spacing w:after="0"/>
              <w:jc w:val="center"/>
              <w:rPr>
                <w:rFonts w:ascii="Times New Roman" w:eastAsia="Times New Roman" w:hAnsi="Times New Roman"/>
                <w:color w:val="000000"/>
              </w:rPr>
            </w:pPr>
            <w:r w:rsidRPr="00122954">
              <w:rPr>
                <w:rFonts w:ascii="Times New Roman" w:eastAsia="Times New Roman" w:hAnsi="Times New Roman"/>
                <w:color w:val="000000"/>
              </w:rPr>
              <w:t>2016</w:t>
            </w:r>
          </w:p>
        </w:tc>
      </w:tr>
      <w:tr w:rsidR="006F55F8" w:rsidRPr="00EB6C34" w14:paraId="2A254B42" w14:textId="77777777" w:rsidTr="003E3545">
        <w:trPr>
          <w:trHeight w:val="315"/>
        </w:trPr>
        <w:tc>
          <w:tcPr>
            <w:tcW w:w="4082" w:type="dxa"/>
            <w:tcBorders>
              <w:top w:val="nil"/>
              <w:left w:val="nil"/>
              <w:bottom w:val="single" w:sz="8" w:space="0" w:color="auto"/>
              <w:right w:val="nil"/>
            </w:tcBorders>
            <w:shd w:val="clear" w:color="auto" w:fill="auto"/>
            <w:vAlign w:val="center"/>
            <w:hideMark/>
          </w:tcPr>
          <w:p w14:paraId="64C469DE"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w:t>
            </w:r>
          </w:p>
        </w:tc>
        <w:tc>
          <w:tcPr>
            <w:tcW w:w="1087" w:type="dxa"/>
            <w:tcBorders>
              <w:top w:val="nil"/>
              <w:left w:val="nil"/>
              <w:bottom w:val="single" w:sz="8" w:space="0" w:color="auto"/>
              <w:right w:val="nil"/>
            </w:tcBorders>
            <w:shd w:val="clear" w:color="auto" w:fill="auto"/>
            <w:vAlign w:val="center"/>
            <w:hideMark/>
          </w:tcPr>
          <w:p w14:paraId="5E1E50F9" w14:textId="77777777" w:rsidR="006F55F8" w:rsidRPr="00EB6C34" w:rsidRDefault="006F55F8" w:rsidP="006F55F8">
            <w:pPr>
              <w:spacing w:after="0"/>
              <w:jc w:val="right"/>
              <w:rPr>
                <w:rFonts w:ascii="Times New Roman" w:eastAsia="Times New Roman" w:hAnsi="Times New Roman"/>
                <w:color w:val="000000"/>
              </w:rPr>
            </w:pPr>
            <w:r w:rsidRPr="00EB6C34">
              <w:rPr>
                <w:rFonts w:ascii="Times New Roman" w:eastAsia="Times New Roman" w:hAnsi="Times New Roman"/>
                <w:color w:val="000000"/>
              </w:rPr>
              <w:t>Regnskap</w:t>
            </w:r>
          </w:p>
        </w:tc>
        <w:tc>
          <w:tcPr>
            <w:tcW w:w="1087" w:type="dxa"/>
            <w:tcBorders>
              <w:top w:val="nil"/>
              <w:left w:val="nil"/>
              <w:bottom w:val="single" w:sz="8" w:space="0" w:color="auto"/>
              <w:right w:val="nil"/>
            </w:tcBorders>
            <w:shd w:val="clear" w:color="auto" w:fill="auto"/>
            <w:vAlign w:val="center"/>
            <w:hideMark/>
          </w:tcPr>
          <w:p w14:paraId="4C154CCE" w14:textId="77777777" w:rsidR="006F55F8" w:rsidRPr="00122954" w:rsidRDefault="006F55F8" w:rsidP="006F55F8">
            <w:pPr>
              <w:spacing w:after="0"/>
              <w:jc w:val="right"/>
              <w:rPr>
                <w:rFonts w:ascii="Times New Roman" w:eastAsia="Times New Roman" w:hAnsi="Times New Roman"/>
                <w:color w:val="000000"/>
              </w:rPr>
            </w:pPr>
            <w:r w:rsidRPr="00122954">
              <w:rPr>
                <w:rFonts w:ascii="Times New Roman" w:eastAsia="Times New Roman" w:hAnsi="Times New Roman"/>
                <w:color w:val="000000"/>
              </w:rPr>
              <w:t>Regnskap</w:t>
            </w:r>
          </w:p>
        </w:tc>
        <w:tc>
          <w:tcPr>
            <w:tcW w:w="820" w:type="dxa"/>
            <w:tcBorders>
              <w:top w:val="nil"/>
              <w:left w:val="nil"/>
              <w:bottom w:val="single" w:sz="8" w:space="0" w:color="auto"/>
              <w:right w:val="nil"/>
            </w:tcBorders>
            <w:shd w:val="clear" w:color="auto" w:fill="auto"/>
            <w:vAlign w:val="center"/>
            <w:hideMark/>
          </w:tcPr>
          <w:p w14:paraId="68304756" w14:textId="77777777" w:rsidR="006F55F8" w:rsidRPr="00122954" w:rsidRDefault="006F55F8" w:rsidP="006F55F8">
            <w:pPr>
              <w:spacing w:after="0"/>
              <w:jc w:val="right"/>
              <w:rPr>
                <w:rFonts w:ascii="Times New Roman" w:eastAsia="Times New Roman" w:hAnsi="Times New Roman"/>
                <w:color w:val="000000"/>
              </w:rPr>
            </w:pPr>
            <w:r w:rsidRPr="00122954">
              <w:rPr>
                <w:rFonts w:ascii="Times New Roman" w:eastAsia="Times New Roman" w:hAnsi="Times New Roman"/>
                <w:color w:val="000000"/>
              </w:rPr>
              <w:t>SSB</w:t>
            </w:r>
            <w:r w:rsidRPr="00122954">
              <w:rPr>
                <w:rFonts w:ascii="Times New Roman" w:eastAsia="Times New Roman" w:hAnsi="Times New Roman"/>
                <w:color w:val="000000"/>
                <w:vertAlign w:val="superscript"/>
              </w:rPr>
              <w:t>1</w:t>
            </w:r>
          </w:p>
        </w:tc>
        <w:tc>
          <w:tcPr>
            <w:tcW w:w="791" w:type="dxa"/>
            <w:tcBorders>
              <w:top w:val="nil"/>
              <w:left w:val="nil"/>
              <w:bottom w:val="single" w:sz="8" w:space="0" w:color="auto"/>
              <w:right w:val="nil"/>
            </w:tcBorders>
            <w:shd w:val="clear" w:color="auto" w:fill="auto"/>
            <w:vAlign w:val="center"/>
            <w:hideMark/>
          </w:tcPr>
          <w:p w14:paraId="1F2D998B" w14:textId="77777777" w:rsidR="006F55F8" w:rsidRPr="00122954" w:rsidRDefault="006F55F8" w:rsidP="006F55F8">
            <w:pPr>
              <w:spacing w:after="0"/>
              <w:jc w:val="right"/>
              <w:rPr>
                <w:rFonts w:ascii="Times New Roman" w:eastAsia="Times New Roman" w:hAnsi="Times New Roman"/>
                <w:color w:val="000000"/>
              </w:rPr>
            </w:pPr>
            <w:r w:rsidRPr="00122954">
              <w:rPr>
                <w:rFonts w:ascii="Times New Roman" w:eastAsia="Times New Roman" w:hAnsi="Times New Roman"/>
                <w:color w:val="000000"/>
              </w:rPr>
              <w:t>NB</w:t>
            </w:r>
            <w:r w:rsidRPr="00122954">
              <w:rPr>
                <w:rFonts w:ascii="Times New Roman" w:eastAsia="Times New Roman" w:hAnsi="Times New Roman"/>
                <w:color w:val="000000"/>
                <w:vertAlign w:val="superscript"/>
              </w:rPr>
              <w:t>2</w:t>
            </w:r>
          </w:p>
        </w:tc>
        <w:tc>
          <w:tcPr>
            <w:tcW w:w="817" w:type="dxa"/>
            <w:tcBorders>
              <w:top w:val="nil"/>
              <w:left w:val="nil"/>
              <w:bottom w:val="single" w:sz="8" w:space="0" w:color="auto"/>
              <w:right w:val="nil"/>
            </w:tcBorders>
            <w:shd w:val="clear" w:color="auto" w:fill="auto"/>
            <w:vAlign w:val="center"/>
            <w:hideMark/>
          </w:tcPr>
          <w:p w14:paraId="3368212B" w14:textId="77777777" w:rsidR="006F55F8" w:rsidRPr="00122954" w:rsidRDefault="006F55F8" w:rsidP="006F55F8">
            <w:pPr>
              <w:spacing w:after="0"/>
              <w:jc w:val="right"/>
              <w:rPr>
                <w:rFonts w:ascii="Times New Roman" w:eastAsia="Times New Roman" w:hAnsi="Times New Roman"/>
                <w:color w:val="000000"/>
              </w:rPr>
            </w:pPr>
            <w:r w:rsidRPr="00122954">
              <w:rPr>
                <w:rFonts w:ascii="Times New Roman" w:eastAsia="Times New Roman" w:hAnsi="Times New Roman"/>
                <w:color w:val="000000"/>
              </w:rPr>
              <w:t>FIN</w:t>
            </w:r>
            <w:r w:rsidRPr="00122954">
              <w:rPr>
                <w:rFonts w:ascii="Times New Roman" w:eastAsia="Times New Roman" w:hAnsi="Times New Roman"/>
                <w:color w:val="000000"/>
                <w:vertAlign w:val="superscript"/>
              </w:rPr>
              <w:t>3</w:t>
            </w:r>
          </w:p>
        </w:tc>
        <w:tc>
          <w:tcPr>
            <w:tcW w:w="698" w:type="dxa"/>
            <w:tcBorders>
              <w:top w:val="nil"/>
              <w:left w:val="nil"/>
              <w:bottom w:val="single" w:sz="8" w:space="0" w:color="auto"/>
              <w:right w:val="nil"/>
            </w:tcBorders>
            <w:shd w:val="clear" w:color="auto" w:fill="auto"/>
            <w:vAlign w:val="center"/>
            <w:hideMark/>
          </w:tcPr>
          <w:p w14:paraId="3CCD46E3" w14:textId="77777777" w:rsidR="006F55F8" w:rsidRPr="00122954" w:rsidRDefault="006F55F8" w:rsidP="006F55F8">
            <w:pPr>
              <w:spacing w:after="0"/>
              <w:jc w:val="right"/>
              <w:rPr>
                <w:rFonts w:ascii="Times New Roman" w:eastAsia="Times New Roman" w:hAnsi="Times New Roman"/>
                <w:color w:val="000000"/>
              </w:rPr>
            </w:pPr>
            <w:r w:rsidRPr="00122954">
              <w:rPr>
                <w:rFonts w:ascii="Times New Roman" w:eastAsia="Times New Roman" w:hAnsi="Times New Roman"/>
                <w:color w:val="000000"/>
              </w:rPr>
              <w:t>CF</w:t>
            </w:r>
            <w:r w:rsidRPr="00122954">
              <w:rPr>
                <w:rFonts w:ascii="Times New Roman" w:eastAsia="Times New Roman" w:hAnsi="Times New Roman"/>
                <w:color w:val="000000"/>
                <w:vertAlign w:val="superscript"/>
              </w:rPr>
              <w:t>4</w:t>
            </w:r>
          </w:p>
        </w:tc>
      </w:tr>
      <w:tr w:rsidR="006F55F8" w:rsidRPr="00EB6C34" w14:paraId="54514337" w14:textId="77777777" w:rsidTr="003E3545">
        <w:trPr>
          <w:trHeight w:val="600"/>
        </w:trPr>
        <w:tc>
          <w:tcPr>
            <w:tcW w:w="4082" w:type="dxa"/>
            <w:tcBorders>
              <w:top w:val="nil"/>
              <w:left w:val="nil"/>
              <w:bottom w:val="nil"/>
              <w:right w:val="nil"/>
            </w:tcBorders>
            <w:shd w:val="clear" w:color="auto" w:fill="auto"/>
            <w:vAlign w:val="center"/>
            <w:hideMark/>
          </w:tcPr>
          <w:p w14:paraId="73C4DFD1"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Konsum i husholdninger og ideelle organisasjoner</w:t>
            </w:r>
          </w:p>
        </w:tc>
        <w:tc>
          <w:tcPr>
            <w:tcW w:w="1087" w:type="dxa"/>
            <w:tcBorders>
              <w:top w:val="nil"/>
              <w:left w:val="nil"/>
              <w:bottom w:val="nil"/>
              <w:right w:val="nil"/>
            </w:tcBorders>
            <w:shd w:val="clear" w:color="auto" w:fill="auto"/>
            <w:vAlign w:val="center"/>
            <w:hideMark/>
          </w:tcPr>
          <w:p w14:paraId="62CB41A5" w14:textId="77777777" w:rsidR="006F55F8" w:rsidRPr="007649F8" w:rsidRDefault="006F55F8" w:rsidP="006F55F8">
            <w:pPr>
              <w:spacing w:after="0"/>
              <w:jc w:val="right"/>
              <w:rPr>
                <w:rFonts w:eastAsia="Times New Roman"/>
              </w:rPr>
            </w:pPr>
            <w:r w:rsidRPr="007649F8">
              <w:rPr>
                <w:rFonts w:eastAsia="Times New Roman"/>
              </w:rPr>
              <w:t>1,7</w:t>
            </w:r>
          </w:p>
        </w:tc>
        <w:tc>
          <w:tcPr>
            <w:tcW w:w="1087" w:type="dxa"/>
            <w:tcBorders>
              <w:top w:val="nil"/>
              <w:left w:val="nil"/>
              <w:bottom w:val="nil"/>
              <w:right w:val="nil"/>
            </w:tcBorders>
            <w:shd w:val="clear" w:color="auto" w:fill="auto"/>
            <w:vAlign w:val="center"/>
            <w:hideMark/>
          </w:tcPr>
          <w:p w14:paraId="2AA2465D" w14:textId="77777777" w:rsidR="006F55F8" w:rsidRPr="00122954" w:rsidRDefault="006F55F8" w:rsidP="006F55F8">
            <w:pPr>
              <w:spacing w:after="0"/>
              <w:jc w:val="right"/>
              <w:rPr>
                <w:rFonts w:eastAsia="Times New Roman"/>
              </w:rPr>
            </w:pPr>
            <w:r w:rsidRPr="00122954">
              <w:rPr>
                <w:rFonts w:eastAsia="Times New Roman"/>
              </w:rPr>
              <w:t>2</w:t>
            </w:r>
            <w:r>
              <w:rPr>
                <w:rFonts w:eastAsia="Times New Roman"/>
              </w:rPr>
              <w:t>,0</w:t>
            </w:r>
          </w:p>
        </w:tc>
        <w:tc>
          <w:tcPr>
            <w:tcW w:w="820" w:type="dxa"/>
            <w:tcBorders>
              <w:top w:val="nil"/>
              <w:left w:val="nil"/>
              <w:bottom w:val="nil"/>
              <w:right w:val="nil"/>
            </w:tcBorders>
            <w:shd w:val="clear" w:color="auto" w:fill="auto"/>
            <w:vAlign w:val="center"/>
            <w:hideMark/>
          </w:tcPr>
          <w:p w14:paraId="2E721515" w14:textId="77777777" w:rsidR="006F55F8" w:rsidRPr="00122954" w:rsidRDefault="006F55F8" w:rsidP="006F55F8">
            <w:pPr>
              <w:spacing w:after="0"/>
              <w:jc w:val="right"/>
              <w:rPr>
                <w:rFonts w:eastAsia="Times New Roman"/>
              </w:rPr>
            </w:pPr>
            <w:r w:rsidRPr="00122954">
              <w:rPr>
                <w:rFonts w:eastAsia="Times New Roman"/>
              </w:rPr>
              <w:t>1,5</w:t>
            </w:r>
          </w:p>
        </w:tc>
        <w:tc>
          <w:tcPr>
            <w:tcW w:w="791" w:type="dxa"/>
            <w:tcBorders>
              <w:top w:val="nil"/>
              <w:left w:val="nil"/>
              <w:bottom w:val="nil"/>
              <w:right w:val="nil"/>
            </w:tcBorders>
            <w:shd w:val="clear" w:color="auto" w:fill="auto"/>
            <w:vAlign w:val="center"/>
            <w:hideMark/>
          </w:tcPr>
          <w:p w14:paraId="699FA26A" w14:textId="77777777" w:rsidR="006F55F8" w:rsidRPr="00122954" w:rsidRDefault="006F55F8" w:rsidP="006F55F8">
            <w:pPr>
              <w:spacing w:after="0"/>
              <w:jc w:val="right"/>
              <w:rPr>
                <w:rFonts w:eastAsia="Times New Roman"/>
              </w:rPr>
            </w:pPr>
            <w:r w:rsidRPr="00122954">
              <w:rPr>
                <w:rFonts w:eastAsia="Times New Roman"/>
              </w:rPr>
              <w:t>1,5</w:t>
            </w:r>
          </w:p>
        </w:tc>
        <w:tc>
          <w:tcPr>
            <w:tcW w:w="817" w:type="dxa"/>
            <w:tcBorders>
              <w:top w:val="nil"/>
              <w:left w:val="nil"/>
              <w:bottom w:val="nil"/>
              <w:right w:val="nil"/>
            </w:tcBorders>
            <w:shd w:val="clear" w:color="auto" w:fill="auto"/>
            <w:vAlign w:val="center"/>
            <w:hideMark/>
          </w:tcPr>
          <w:p w14:paraId="2C26A9E8" w14:textId="77777777" w:rsidR="006F55F8" w:rsidRPr="00122954" w:rsidRDefault="006F55F8" w:rsidP="006F55F8">
            <w:pPr>
              <w:spacing w:after="0"/>
              <w:jc w:val="right"/>
              <w:rPr>
                <w:rFonts w:eastAsia="Times New Roman"/>
              </w:rPr>
            </w:pPr>
            <w:r w:rsidRPr="00122954">
              <w:rPr>
                <w:rFonts w:eastAsia="Times New Roman"/>
              </w:rPr>
              <w:t>1,9</w:t>
            </w:r>
          </w:p>
        </w:tc>
        <w:tc>
          <w:tcPr>
            <w:tcW w:w="698" w:type="dxa"/>
            <w:tcBorders>
              <w:top w:val="nil"/>
              <w:left w:val="nil"/>
              <w:bottom w:val="nil"/>
              <w:right w:val="nil"/>
            </w:tcBorders>
            <w:shd w:val="clear" w:color="auto" w:fill="auto"/>
            <w:vAlign w:val="center"/>
            <w:hideMark/>
          </w:tcPr>
          <w:p w14:paraId="6250E440" w14:textId="77777777" w:rsidR="006F55F8" w:rsidRPr="00122954" w:rsidRDefault="006F55F8" w:rsidP="006F55F8">
            <w:pPr>
              <w:spacing w:after="0"/>
              <w:jc w:val="right"/>
              <w:rPr>
                <w:rFonts w:eastAsia="Times New Roman"/>
              </w:rPr>
            </w:pPr>
            <w:r w:rsidRPr="00122954">
              <w:rPr>
                <w:rFonts w:eastAsia="Times New Roman"/>
              </w:rPr>
              <w:t>1,6</w:t>
            </w:r>
          </w:p>
        </w:tc>
      </w:tr>
      <w:tr w:rsidR="006F55F8" w:rsidRPr="00EB6C34" w14:paraId="745F2EF1" w14:textId="77777777" w:rsidTr="003E3545">
        <w:trPr>
          <w:trHeight w:val="300"/>
        </w:trPr>
        <w:tc>
          <w:tcPr>
            <w:tcW w:w="4082" w:type="dxa"/>
            <w:tcBorders>
              <w:top w:val="nil"/>
              <w:left w:val="nil"/>
              <w:bottom w:val="nil"/>
              <w:right w:val="nil"/>
            </w:tcBorders>
            <w:shd w:val="clear" w:color="auto" w:fill="auto"/>
            <w:vAlign w:val="center"/>
            <w:hideMark/>
          </w:tcPr>
          <w:p w14:paraId="4C8C7843"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Konsum i offentlig forvaltning</w:t>
            </w:r>
          </w:p>
        </w:tc>
        <w:tc>
          <w:tcPr>
            <w:tcW w:w="1087" w:type="dxa"/>
            <w:tcBorders>
              <w:top w:val="nil"/>
              <w:left w:val="nil"/>
              <w:bottom w:val="nil"/>
              <w:right w:val="nil"/>
            </w:tcBorders>
            <w:shd w:val="clear" w:color="auto" w:fill="auto"/>
            <w:vAlign w:val="center"/>
            <w:hideMark/>
          </w:tcPr>
          <w:p w14:paraId="43EE6FAA" w14:textId="77777777" w:rsidR="006F55F8" w:rsidRPr="007649F8" w:rsidRDefault="006F55F8" w:rsidP="006F55F8">
            <w:pPr>
              <w:spacing w:after="0"/>
              <w:jc w:val="right"/>
              <w:rPr>
                <w:rFonts w:eastAsia="Times New Roman"/>
              </w:rPr>
            </w:pPr>
            <w:r w:rsidRPr="007649F8">
              <w:rPr>
                <w:rFonts w:eastAsia="Times New Roman"/>
              </w:rPr>
              <w:t>2,9</w:t>
            </w:r>
          </w:p>
        </w:tc>
        <w:tc>
          <w:tcPr>
            <w:tcW w:w="1087" w:type="dxa"/>
            <w:tcBorders>
              <w:top w:val="nil"/>
              <w:left w:val="nil"/>
              <w:bottom w:val="nil"/>
              <w:right w:val="nil"/>
            </w:tcBorders>
            <w:shd w:val="clear" w:color="auto" w:fill="auto"/>
            <w:vAlign w:val="center"/>
            <w:hideMark/>
          </w:tcPr>
          <w:p w14:paraId="2D3EB7FB" w14:textId="77777777" w:rsidR="006F55F8" w:rsidRPr="00122954" w:rsidRDefault="006F55F8" w:rsidP="006F55F8">
            <w:pPr>
              <w:spacing w:after="0"/>
              <w:jc w:val="right"/>
              <w:rPr>
                <w:rFonts w:eastAsia="Times New Roman"/>
              </w:rPr>
            </w:pPr>
            <w:r>
              <w:rPr>
                <w:rFonts w:eastAsia="Times New Roman"/>
              </w:rPr>
              <w:t>1,8</w:t>
            </w:r>
          </w:p>
        </w:tc>
        <w:tc>
          <w:tcPr>
            <w:tcW w:w="820" w:type="dxa"/>
            <w:tcBorders>
              <w:top w:val="nil"/>
              <w:left w:val="nil"/>
              <w:bottom w:val="nil"/>
              <w:right w:val="nil"/>
            </w:tcBorders>
            <w:shd w:val="clear" w:color="auto" w:fill="auto"/>
            <w:vAlign w:val="center"/>
            <w:hideMark/>
          </w:tcPr>
          <w:p w14:paraId="5A24EF40" w14:textId="77777777" w:rsidR="006F55F8" w:rsidRPr="00122954" w:rsidRDefault="006F55F8" w:rsidP="006F55F8">
            <w:pPr>
              <w:spacing w:after="0"/>
              <w:jc w:val="right"/>
              <w:rPr>
                <w:rFonts w:eastAsia="Times New Roman"/>
              </w:rPr>
            </w:pPr>
            <w:r w:rsidRPr="00122954">
              <w:rPr>
                <w:rFonts w:eastAsia="Times New Roman"/>
              </w:rPr>
              <w:t>3,5</w:t>
            </w:r>
          </w:p>
        </w:tc>
        <w:tc>
          <w:tcPr>
            <w:tcW w:w="791" w:type="dxa"/>
            <w:tcBorders>
              <w:top w:val="nil"/>
              <w:left w:val="nil"/>
              <w:bottom w:val="nil"/>
              <w:right w:val="nil"/>
            </w:tcBorders>
            <w:shd w:val="clear" w:color="auto" w:fill="auto"/>
            <w:vAlign w:val="center"/>
            <w:hideMark/>
          </w:tcPr>
          <w:p w14:paraId="55FB46A3"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23D1B3A2" w14:textId="77777777" w:rsidR="006F55F8" w:rsidRPr="00122954" w:rsidRDefault="006F55F8" w:rsidP="006F55F8">
            <w:pPr>
              <w:spacing w:after="0"/>
              <w:jc w:val="right"/>
              <w:rPr>
                <w:rFonts w:eastAsia="Times New Roman"/>
              </w:rPr>
            </w:pPr>
            <w:r w:rsidRPr="00122954">
              <w:rPr>
                <w:rFonts w:eastAsia="Times New Roman"/>
              </w:rPr>
              <w:t>2,7</w:t>
            </w:r>
          </w:p>
        </w:tc>
        <w:tc>
          <w:tcPr>
            <w:tcW w:w="698" w:type="dxa"/>
            <w:tcBorders>
              <w:top w:val="nil"/>
              <w:left w:val="nil"/>
              <w:bottom w:val="nil"/>
              <w:right w:val="nil"/>
            </w:tcBorders>
            <w:shd w:val="clear" w:color="auto" w:fill="auto"/>
            <w:vAlign w:val="center"/>
            <w:hideMark/>
          </w:tcPr>
          <w:p w14:paraId="3EE50E37"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23FA42FA" w14:textId="77777777" w:rsidTr="003E3545">
        <w:trPr>
          <w:trHeight w:val="300"/>
        </w:trPr>
        <w:tc>
          <w:tcPr>
            <w:tcW w:w="4082" w:type="dxa"/>
            <w:tcBorders>
              <w:top w:val="nil"/>
              <w:left w:val="nil"/>
              <w:bottom w:val="nil"/>
              <w:right w:val="nil"/>
            </w:tcBorders>
            <w:shd w:val="clear" w:color="auto" w:fill="auto"/>
            <w:vAlign w:val="center"/>
            <w:hideMark/>
          </w:tcPr>
          <w:p w14:paraId="0298C106"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Bruttoinvesteringer fast kapital i alt</w:t>
            </w:r>
          </w:p>
        </w:tc>
        <w:tc>
          <w:tcPr>
            <w:tcW w:w="1087" w:type="dxa"/>
            <w:tcBorders>
              <w:top w:val="nil"/>
              <w:left w:val="nil"/>
              <w:bottom w:val="nil"/>
              <w:right w:val="nil"/>
            </w:tcBorders>
            <w:shd w:val="clear" w:color="auto" w:fill="auto"/>
            <w:vAlign w:val="center"/>
            <w:hideMark/>
          </w:tcPr>
          <w:p w14:paraId="3931C531" w14:textId="77777777" w:rsidR="006F55F8" w:rsidRPr="007649F8" w:rsidRDefault="006F55F8" w:rsidP="006F55F8">
            <w:pPr>
              <w:spacing w:after="0"/>
              <w:jc w:val="right"/>
              <w:rPr>
                <w:rFonts w:eastAsia="Times New Roman"/>
              </w:rPr>
            </w:pPr>
            <w:r w:rsidRPr="007649F8">
              <w:rPr>
                <w:rFonts w:eastAsia="Times New Roman"/>
              </w:rPr>
              <w:t>0,0</w:t>
            </w:r>
          </w:p>
        </w:tc>
        <w:tc>
          <w:tcPr>
            <w:tcW w:w="1087" w:type="dxa"/>
            <w:tcBorders>
              <w:top w:val="nil"/>
              <w:left w:val="nil"/>
              <w:bottom w:val="nil"/>
              <w:right w:val="nil"/>
            </w:tcBorders>
            <w:shd w:val="clear" w:color="auto" w:fill="auto"/>
            <w:vAlign w:val="center"/>
            <w:hideMark/>
          </w:tcPr>
          <w:p w14:paraId="4566C39E" w14:textId="77777777" w:rsidR="006F55F8" w:rsidRPr="00122954" w:rsidRDefault="006F55F8" w:rsidP="006F55F8">
            <w:pPr>
              <w:spacing w:after="0"/>
              <w:jc w:val="right"/>
              <w:rPr>
                <w:rFonts w:eastAsia="Times New Roman"/>
              </w:rPr>
            </w:pPr>
            <w:r>
              <w:rPr>
                <w:rFonts w:eastAsia="Times New Roman"/>
              </w:rPr>
              <w:t>-4,0</w:t>
            </w:r>
          </w:p>
        </w:tc>
        <w:tc>
          <w:tcPr>
            <w:tcW w:w="820" w:type="dxa"/>
            <w:tcBorders>
              <w:top w:val="nil"/>
              <w:left w:val="nil"/>
              <w:bottom w:val="nil"/>
              <w:right w:val="nil"/>
            </w:tcBorders>
            <w:shd w:val="clear" w:color="auto" w:fill="auto"/>
            <w:vAlign w:val="center"/>
            <w:hideMark/>
          </w:tcPr>
          <w:p w14:paraId="126B5493" w14:textId="77777777" w:rsidR="006F55F8" w:rsidRPr="00122954" w:rsidRDefault="006F55F8" w:rsidP="006F55F8">
            <w:pPr>
              <w:spacing w:after="0"/>
              <w:jc w:val="right"/>
              <w:rPr>
                <w:rFonts w:eastAsia="Times New Roman"/>
              </w:rPr>
            </w:pPr>
            <w:r w:rsidRPr="00122954">
              <w:rPr>
                <w:rFonts w:eastAsia="Times New Roman"/>
              </w:rPr>
              <w:t>0,6</w:t>
            </w:r>
          </w:p>
        </w:tc>
        <w:tc>
          <w:tcPr>
            <w:tcW w:w="791" w:type="dxa"/>
            <w:tcBorders>
              <w:top w:val="nil"/>
              <w:left w:val="nil"/>
              <w:bottom w:val="nil"/>
              <w:right w:val="nil"/>
            </w:tcBorders>
            <w:shd w:val="clear" w:color="auto" w:fill="auto"/>
            <w:vAlign w:val="center"/>
            <w:hideMark/>
          </w:tcPr>
          <w:p w14:paraId="3A984C84"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7FBC37DF" w14:textId="77777777" w:rsidR="006F55F8" w:rsidRPr="00122954" w:rsidRDefault="006F55F8" w:rsidP="006F55F8">
            <w:pPr>
              <w:spacing w:after="0"/>
              <w:jc w:val="right"/>
              <w:rPr>
                <w:rFonts w:eastAsia="Times New Roman"/>
              </w:rPr>
            </w:pPr>
            <w:r w:rsidRPr="00122954">
              <w:rPr>
                <w:rFonts w:eastAsia="Times New Roman"/>
              </w:rPr>
              <w:t>0,2</w:t>
            </w:r>
          </w:p>
        </w:tc>
        <w:tc>
          <w:tcPr>
            <w:tcW w:w="698" w:type="dxa"/>
            <w:tcBorders>
              <w:top w:val="nil"/>
              <w:left w:val="nil"/>
              <w:bottom w:val="nil"/>
              <w:right w:val="nil"/>
            </w:tcBorders>
            <w:shd w:val="clear" w:color="auto" w:fill="auto"/>
            <w:vAlign w:val="center"/>
            <w:hideMark/>
          </w:tcPr>
          <w:p w14:paraId="72B850A2" w14:textId="77777777" w:rsidR="006F55F8" w:rsidRPr="00122954" w:rsidRDefault="006F55F8" w:rsidP="006F55F8">
            <w:pPr>
              <w:spacing w:after="0"/>
              <w:jc w:val="right"/>
              <w:rPr>
                <w:rFonts w:eastAsia="Times New Roman"/>
              </w:rPr>
            </w:pPr>
            <w:r w:rsidRPr="00122954">
              <w:rPr>
                <w:rFonts w:eastAsia="Times New Roman"/>
              </w:rPr>
              <w:t>-0,</w:t>
            </w:r>
            <w:r>
              <w:rPr>
                <w:rFonts w:eastAsia="Times New Roman"/>
              </w:rPr>
              <w:t>7</w:t>
            </w:r>
          </w:p>
        </w:tc>
      </w:tr>
      <w:tr w:rsidR="006F55F8" w:rsidRPr="00EB6C34" w14:paraId="1FF16CE5" w14:textId="77777777" w:rsidTr="003E3545">
        <w:trPr>
          <w:trHeight w:val="300"/>
        </w:trPr>
        <w:tc>
          <w:tcPr>
            <w:tcW w:w="4082" w:type="dxa"/>
            <w:tcBorders>
              <w:top w:val="nil"/>
              <w:left w:val="nil"/>
              <w:bottom w:val="nil"/>
              <w:right w:val="nil"/>
            </w:tcBorders>
            <w:shd w:val="clear" w:color="auto" w:fill="auto"/>
            <w:vAlign w:val="center"/>
            <w:hideMark/>
          </w:tcPr>
          <w:p w14:paraId="52E8287E"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xml:space="preserve">   Utvinning og rørtransport</w:t>
            </w:r>
          </w:p>
        </w:tc>
        <w:tc>
          <w:tcPr>
            <w:tcW w:w="1087" w:type="dxa"/>
            <w:tcBorders>
              <w:top w:val="nil"/>
              <w:left w:val="nil"/>
              <w:bottom w:val="nil"/>
              <w:right w:val="nil"/>
            </w:tcBorders>
            <w:shd w:val="clear" w:color="auto" w:fill="auto"/>
            <w:vAlign w:val="center"/>
            <w:hideMark/>
          </w:tcPr>
          <w:p w14:paraId="2F66420A" w14:textId="77777777" w:rsidR="006F55F8" w:rsidRPr="007649F8" w:rsidRDefault="006F55F8" w:rsidP="006F55F8">
            <w:pPr>
              <w:spacing w:after="0"/>
              <w:jc w:val="right"/>
              <w:rPr>
                <w:rFonts w:eastAsia="Times New Roman"/>
              </w:rPr>
            </w:pPr>
            <w:r w:rsidRPr="007649F8">
              <w:rPr>
                <w:rFonts w:eastAsia="Times New Roman"/>
              </w:rPr>
              <w:t>-2,9</w:t>
            </w:r>
          </w:p>
        </w:tc>
        <w:tc>
          <w:tcPr>
            <w:tcW w:w="1087" w:type="dxa"/>
            <w:tcBorders>
              <w:top w:val="nil"/>
              <w:left w:val="nil"/>
              <w:bottom w:val="nil"/>
              <w:right w:val="nil"/>
            </w:tcBorders>
            <w:shd w:val="clear" w:color="auto" w:fill="auto"/>
            <w:vAlign w:val="center"/>
            <w:hideMark/>
          </w:tcPr>
          <w:p w14:paraId="0100526D" w14:textId="77777777" w:rsidR="006F55F8" w:rsidRPr="00122954" w:rsidRDefault="006F55F8" w:rsidP="006F55F8">
            <w:pPr>
              <w:spacing w:after="0"/>
              <w:jc w:val="right"/>
              <w:rPr>
                <w:rFonts w:eastAsia="Times New Roman"/>
              </w:rPr>
            </w:pPr>
            <w:r>
              <w:rPr>
                <w:rFonts w:eastAsia="Times New Roman"/>
              </w:rPr>
              <w:t>-14,7</w:t>
            </w:r>
          </w:p>
        </w:tc>
        <w:tc>
          <w:tcPr>
            <w:tcW w:w="820" w:type="dxa"/>
            <w:tcBorders>
              <w:top w:val="nil"/>
              <w:left w:val="nil"/>
              <w:bottom w:val="nil"/>
              <w:right w:val="nil"/>
            </w:tcBorders>
            <w:shd w:val="clear" w:color="auto" w:fill="auto"/>
            <w:vAlign w:val="center"/>
            <w:hideMark/>
          </w:tcPr>
          <w:p w14:paraId="0466DC72" w14:textId="77777777" w:rsidR="006F55F8" w:rsidRPr="00122954" w:rsidRDefault="006F55F8" w:rsidP="006F55F8">
            <w:pPr>
              <w:spacing w:after="0"/>
              <w:jc w:val="right"/>
              <w:rPr>
                <w:rFonts w:eastAsia="Times New Roman"/>
              </w:rPr>
            </w:pPr>
            <w:r w:rsidRPr="00122954">
              <w:rPr>
                <w:rFonts w:eastAsia="Times New Roman"/>
              </w:rPr>
              <w:t>-13,6</w:t>
            </w:r>
          </w:p>
        </w:tc>
        <w:tc>
          <w:tcPr>
            <w:tcW w:w="791" w:type="dxa"/>
            <w:tcBorders>
              <w:top w:val="nil"/>
              <w:left w:val="nil"/>
              <w:bottom w:val="nil"/>
              <w:right w:val="nil"/>
            </w:tcBorders>
            <w:shd w:val="clear" w:color="auto" w:fill="auto"/>
            <w:vAlign w:val="center"/>
            <w:hideMark/>
          </w:tcPr>
          <w:p w14:paraId="7923A168" w14:textId="77777777" w:rsidR="006F55F8" w:rsidRPr="00122954" w:rsidRDefault="006F55F8" w:rsidP="006F55F8">
            <w:pPr>
              <w:spacing w:after="0"/>
              <w:jc w:val="right"/>
              <w:rPr>
                <w:rFonts w:eastAsia="Times New Roman"/>
              </w:rPr>
            </w:pPr>
            <w:r w:rsidRPr="00122954">
              <w:rPr>
                <w:rFonts w:eastAsia="Times New Roman"/>
              </w:rPr>
              <w:t>-11,0</w:t>
            </w:r>
          </w:p>
        </w:tc>
        <w:tc>
          <w:tcPr>
            <w:tcW w:w="817" w:type="dxa"/>
            <w:tcBorders>
              <w:top w:val="nil"/>
              <w:left w:val="nil"/>
              <w:bottom w:val="nil"/>
              <w:right w:val="nil"/>
            </w:tcBorders>
            <w:shd w:val="clear" w:color="auto" w:fill="auto"/>
            <w:vAlign w:val="center"/>
            <w:hideMark/>
          </w:tcPr>
          <w:p w14:paraId="66F40D9F" w14:textId="77777777" w:rsidR="006F55F8" w:rsidRPr="00122954" w:rsidRDefault="006F55F8" w:rsidP="006F55F8">
            <w:pPr>
              <w:spacing w:after="0"/>
              <w:jc w:val="right"/>
              <w:rPr>
                <w:rFonts w:eastAsia="Times New Roman"/>
              </w:rPr>
            </w:pPr>
            <w:r w:rsidRPr="00122954">
              <w:rPr>
                <w:rFonts w:eastAsia="Times New Roman"/>
              </w:rPr>
              <w:t>-8,1</w:t>
            </w:r>
          </w:p>
        </w:tc>
        <w:tc>
          <w:tcPr>
            <w:tcW w:w="698" w:type="dxa"/>
            <w:tcBorders>
              <w:top w:val="nil"/>
              <w:left w:val="nil"/>
              <w:bottom w:val="nil"/>
              <w:right w:val="nil"/>
            </w:tcBorders>
            <w:shd w:val="clear" w:color="auto" w:fill="auto"/>
            <w:vAlign w:val="center"/>
            <w:hideMark/>
          </w:tcPr>
          <w:p w14:paraId="3BBB6A7F"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0C4E6699" w14:textId="77777777" w:rsidTr="003E3545">
        <w:trPr>
          <w:trHeight w:val="300"/>
        </w:trPr>
        <w:tc>
          <w:tcPr>
            <w:tcW w:w="4082" w:type="dxa"/>
            <w:tcBorders>
              <w:top w:val="nil"/>
              <w:left w:val="nil"/>
              <w:bottom w:val="nil"/>
              <w:right w:val="nil"/>
            </w:tcBorders>
            <w:shd w:val="clear" w:color="auto" w:fill="auto"/>
            <w:vAlign w:val="center"/>
            <w:hideMark/>
          </w:tcPr>
          <w:p w14:paraId="0BEB501B"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xml:space="preserve">   Fastlandsnæringer</w:t>
            </w:r>
          </w:p>
        </w:tc>
        <w:tc>
          <w:tcPr>
            <w:tcW w:w="1087" w:type="dxa"/>
            <w:tcBorders>
              <w:top w:val="nil"/>
              <w:left w:val="nil"/>
              <w:bottom w:val="nil"/>
              <w:right w:val="nil"/>
            </w:tcBorders>
            <w:shd w:val="clear" w:color="auto" w:fill="auto"/>
            <w:vAlign w:val="center"/>
            <w:hideMark/>
          </w:tcPr>
          <w:p w14:paraId="5D6CD726" w14:textId="77777777" w:rsidR="006F55F8" w:rsidRPr="007649F8" w:rsidRDefault="006F55F8" w:rsidP="006F55F8">
            <w:pPr>
              <w:spacing w:after="0"/>
              <w:jc w:val="right"/>
              <w:rPr>
                <w:rFonts w:eastAsia="Times New Roman"/>
              </w:rPr>
            </w:pPr>
            <w:r w:rsidRPr="007649F8">
              <w:rPr>
                <w:rFonts w:eastAsia="Times New Roman"/>
              </w:rPr>
              <w:t>-0,4</w:t>
            </w:r>
          </w:p>
        </w:tc>
        <w:tc>
          <w:tcPr>
            <w:tcW w:w="1087" w:type="dxa"/>
            <w:tcBorders>
              <w:top w:val="nil"/>
              <w:left w:val="nil"/>
              <w:bottom w:val="nil"/>
              <w:right w:val="nil"/>
            </w:tcBorders>
            <w:shd w:val="clear" w:color="auto" w:fill="auto"/>
            <w:vAlign w:val="center"/>
            <w:hideMark/>
          </w:tcPr>
          <w:p w14:paraId="3386C79D" w14:textId="77777777" w:rsidR="006F55F8" w:rsidRPr="00122954" w:rsidRDefault="006F55F8" w:rsidP="006F55F8">
            <w:pPr>
              <w:spacing w:after="0"/>
              <w:jc w:val="right"/>
              <w:rPr>
                <w:rFonts w:eastAsia="Times New Roman"/>
              </w:rPr>
            </w:pPr>
            <w:r>
              <w:rPr>
                <w:rFonts w:eastAsia="Times New Roman"/>
              </w:rPr>
              <w:t>-2,8</w:t>
            </w:r>
          </w:p>
        </w:tc>
        <w:tc>
          <w:tcPr>
            <w:tcW w:w="820" w:type="dxa"/>
            <w:tcBorders>
              <w:top w:val="nil"/>
              <w:left w:val="nil"/>
              <w:bottom w:val="nil"/>
              <w:right w:val="nil"/>
            </w:tcBorders>
            <w:shd w:val="clear" w:color="auto" w:fill="auto"/>
            <w:vAlign w:val="center"/>
            <w:hideMark/>
          </w:tcPr>
          <w:p w14:paraId="54A4A0B5" w14:textId="77777777" w:rsidR="006F55F8" w:rsidRPr="00122954" w:rsidRDefault="006F55F8" w:rsidP="006F55F8">
            <w:pPr>
              <w:spacing w:after="0"/>
              <w:jc w:val="right"/>
              <w:rPr>
                <w:rFonts w:eastAsia="Times New Roman"/>
              </w:rPr>
            </w:pPr>
            <w:r w:rsidRPr="00122954">
              <w:rPr>
                <w:rFonts w:eastAsia="Times New Roman"/>
              </w:rPr>
              <w:t>5,8</w:t>
            </w:r>
          </w:p>
        </w:tc>
        <w:tc>
          <w:tcPr>
            <w:tcW w:w="791" w:type="dxa"/>
            <w:tcBorders>
              <w:top w:val="nil"/>
              <w:left w:val="nil"/>
              <w:bottom w:val="nil"/>
              <w:right w:val="nil"/>
            </w:tcBorders>
            <w:shd w:val="clear" w:color="auto" w:fill="auto"/>
            <w:vAlign w:val="center"/>
            <w:hideMark/>
          </w:tcPr>
          <w:p w14:paraId="4AB63551" w14:textId="77777777" w:rsidR="006F55F8" w:rsidRPr="00122954" w:rsidRDefault="006F55F8" w:rsidP="006F55F8">
            <w:pPr>
              <w:spacing w:after="0"/>
              <w:jc w:val="right"/>
              <w:rPr>
                <w:rFonts w:eastAsia="Times New Roman"/>
              </w:rPr>
            </w:pPr>
            <w:r w:rsidRPr="00122954">
              <w:rPr>
                <w:rFonts w:eastAsia="Times New Roman"/>
              </w:rPr>
              <w:t>1,7</w:t>
            </w:r>
            <w:r w:rsidRPr="00E15E45">
              <w:rPr>
                <w:rFonts w:eastAsia="Times New Roman"/>
                <w:vertAlign w:val="superscript"/>
              </w:rPr>
              <w:t>5</w:t>
            </w:r>
          </w:p>
        </w:tc>
        <w:tc>
          <w:tcPr>
            <w:tcW w:w="817" w:type="dxa"/>
            <w:tcBorders>
              <w:top w:val="nil"/>
              <w:left w:val="nil"/>
              <w:bottom w:val="nil"/>
              <w:right w:val="nil"/>
            </w:tcBorders>
            <w:shd w:val="clear" w:color="auto" w:fill="auto"/>
            <w:vAlign w:val="center"/>
            <w:hideMark/>
          </w:tcPr>
          <w:p w14:paraId="4B283E0A" w14:textId="77777777" w:rsidR="006F55F8" w:rsidRPr="00122954" w:rsidRDefault="006F55F8" w:rsidP="006F55F8">
            <w:pPr>
              <w:spacing w:after="0"/>
              <w:jc w:val="right"/>
              <w:rPr>
                <w:rFonts w:eastAsia="Times New Roman"/>
              </w:rPr>
            </w:pPr>
            <w:r w:rsidRPr="00122954">
              <w:rPr>
                <w:rFonts w:eastAsia="Times New Roman"/>
              </w:rPr>
              <w:t>4,5</w:t>
            </w:r>
          </w:p>
        </w:tc>
        <w:tc>
          <w:tcPr>
            <w:tcW w:w="698" w:type="dxa"/>
            <w:tcBorders>
              <w:top w:val="nil"/>
              <w:left w:val="nil"/>
              <w:bottom w:val="nil"/>
              <w:right w:val="nil"/>
            </w:tcBorders>
            <w:shd w:val="clear" w:color="auto" w:fill="auto"/>
            <w:vAlign w:val="center"/>
            <w:hideMark/>
          </w:tcPr>
          <w:p w14:paraId="61E0E8C3"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020555B6" w14:textId="77777777" w:rsidTr="003E3545">
        <w:trPr>
          <w:trHeight w:val="300"/>
        </w:trPr>
        <w:tc>
          <w:tcPr>
            <w:tcW w:w="4082" w:type="dxa"/>
            <w:tcBorders>
              <w:top w:val="nil"/>
              <w:left w:val="nil"/>
              <w:bottom w:val="nil"/>
              <w:right w:val="nil"/>
            </w:tcBorders>
            <w:shd w:val="clear" w:color="auto" w:fill="auto"/>
            <w:vAlign w:val="center"/>
            <w:hideMark/>
          </w:tcPr>
          <w:p w14:paraId="36C2A252"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xml:space="preserve">   Offentlig forvaltning</w:t>
            </w:r>
          </w:p>
        </w:tc>
        <w:tc>
          <w:tcPr>
            <w:tcW w:w="1087" w:type="dxa"/>
            <w:tcBorders>
              <w:top w:val="nil"/>
              <w:left w:val="nil"/>
              <w:bottom w:val="nil"/>
              <w:right w:val="nil"/>
            </w:tcBorders>
            <w:shd w:val="clear" w:color="auto" w:fill="auto"/>
            <w:vAlign w:val="center"/>
            <w:hideMark/>
          </w:tcPr>
          <w:p w14:paraId="63D9FA1B" w14:textId="77777777" w:rsidR="006F55F8" w:rsidRPr="007649F8" w:rsidRDefault="006F55F8" w:rsidP="006F55F8">
            <w:pPr>
              <w:spacing w:after="0"/>
              <w:jc w:val="right"/>
              <w:rPr>
                <w:rFonts w:eastAsia="Times New Roman"/>
              </w:rPr>
            </w:pPr>
            <w:r w:rsidRPr="007649F8">
              <w:rPr>
                <w:rFonts w:eastAsia="Times New Roman"/>
              </w:rPr>
              <w:t>7,3</w:t>
            </w:r>
          </w:p>
        </w:tc>
        <w:tc>
          <w:tcPr>
            <w:tcW w:w="1087" w:type="dxa"/>
            <w:tcBorders>
              <w:top w:val="nil"/>
              <w:left w:val="nil"/>
              <w:bottom w:val="nil"/>
              <w:right w:val="nil"/>
            </w:tcBorders>
            <w:shd w:val="clear" w:color="auto" w:fill="auto"/>
            <w:vAlign w:val="center"/>
            <w:hideMark/>
          </w:tcPr>
          <w:p w14:paraId="3C5CC13D" w14:textId="77777777" w:rsidR="006F55F8" w:rsidRPr="00122954" w:rsidRDefault="006F55F8" w:rsidP="006F55F8">
            <w:pPr>
              <w:spacing w:after="0"/>
              <w:jc w:val="right"/>
              <w:rPr>
                <w:rFonts w:eastAsia="Times New Roman"/>
              </w:rPr>
            </w:pPr>
            <w:r>
              <w:rPr>
                <w:rFonts w:eastAsia="Times New Roman"/>
              </w:rPr>
              <w:t>3,2</w:t>
            </w:r>
          </w:p>
        </w:tc>
        <w:tc>
          <w:tcPr>
            <w:tcW w:w="820" w:type="dxa"/>
            <w:tcBorders>
              <w:top w:val="nil"/>
              <w:left w:val="nil"/>
              <w:bottom w:val="nil"/>
              <w:right w:val="nil"/>
            </w:tcBorders>
            <w:shd w:val="clear" w:color="auto" w:fill="auto"/>
            <w:vAlign w:val="center"/>
            <w:hideMark/>
          </w:tcPr>
          <w:p w14:paraId="4D6E1C6C" w14:textId="77777777" w:rsidR="006F55F8" w:rsidRPr="00122954" w:rsidRDefault="006F55F8" w:rsidP="006F55F8">
            <w:pPr>
              <w:spacing w:after="0"/>
              <w:jc w:val="right"/>
              <w:rPr>
                <w:rFonts w:eastAsia="Times New Roman"/>
              </w:rPr>
            </w:pPr>
            <w:r w:rsidRPr="00122954">
              <w:rPr>
                <w:rFonts w:eastAsia="Times New Roman"/>
              </w:rPr>
              <w:t>3,8</w:t>
            </w:r>
          </w:p>
        </w:tc>
        <w:tc>
          <w:tcPr>
            <w:tcW w:w="791" w:type="dxa"/>
            <w:tcBorders>
              <w:top w:val="nil"/>
              <w:left w:val="nil"/>
              <w:bottom w:val="nil"/>
              <w:right w:val="nil"/>
            </w:tcBorders>
            <w:shd w:val="clear" w:color="auto" w:fill="auto"/>
            <w:vAlign w:val="center"/>
            <w:hideMark/>
          </w:tcPr>
          <w:p w14:paraId="14453E38"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3F709BCC" w14:textId="77777777" w:rsidR="006F55F8" w:rsidRPr="00122954" w:rsidRDefault="006F55F8" w:rsidP="006F55F8">
            <w:pPr>
              <w:spacing w:after="0"/>
              <w:jc w:val="right"/>
              <w:rPr>
                <w:rFonts w:eastAsia="Times New Roman"/>
              </w:rPr>
            </w:pPr>
            <w:r w:rsidRPr="00122954">
              <w:rPr>
                <w:rFonts w:eastAsia="Times New Roman"/>
              </w:rPr>
              <w:t>3,0</w:t>
            </w:r>
          </w:p>
        </w:tc>
        <w:tc>
          <w:tcPr>
            <w:tcW w:w="698" w:type="dxa"/>
            <w:tcBorders>
              <w:top w:val="nil"/>
              <w:left w:val="nil"/>
              <w:bottom w:val="nil"/>
              <w:right w:val="nil"/>
            </w:tcBorders>
            <w:shd w:val="clear" w:color="auto" w:fill="auto"/>
            <w:vAlign w:val="center"/>
            <w:hideMark/>
          </w:tcPr>
          <w:p w14:paraId="5E15B674"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4A8A3515" w14:textId="77777777" w:rsidTr="003E3545">
        <w:trPr>
          <w:trHeight w:val="300"/>
        </w:trPr>
        <w:tc>
          <w:tcPr>
            <w:tcW w:w="4082" w:type="dxa"/>
            <w:tcBorders>
              <w:top w:val="nil"/>
              <w:left w:val="nil"/>
              <w:bottom w:val="nil"/>
              <w:right w:val="nil"/>
            </w:tcBorders>
            <w:shd w:val="clear" w:color="auto" w:fill="auto"/>
            <w:vAlign w:val="center"/>
            <w:hideMark/>
          </w:tcPr>
          <w:p w14:paraId="21B5EB3B"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xml:space="preserve">   Boliger</w:t>
            </w:r>
          </w:p>
        </w:tc>
        <w:tc>
          <w:tcPr>
            <w:tcW w:w="1087" w:type="dxa"/>
            <w:tcBorders>
              <w:top w:val="nil"/>
              <w:left w:val="nil"/>
              <w:bottom w:val="nil"/>
              <w:right w:val="nil"/>
            </w:tcBorders>
            <w:shd w:val="clear" w:color="auto" w:fill="auto"/>
            <w:vAlign w:val="center"/>
            <w:hideMark/>
          </w:tcPr>
          <w:p w14:paraId="5B0DEE2E" w14:textId="77777777" w:rsidR="006F55F8" w:rsidRPr="007649F8" w:rsidRDefault="006F55F8" w:rsidP="006F55F8">
            <w:pPr>
              <w:spacing w:after="0"/>
              <w:jc w:val="right"/>
              <w:rPr>
                <w:rFonts w:eastAsia="Times New Roman"/>
              </w:rPr>
            </w:pPr>
            <w:r w:rsidRPr="007649F8">
              <w:rPr>
                <w:rFonts w:eastAsia="Times New Roman"/>
              </w:rPr>
              <w:t>-1,5</w:t>
            </w:r>
          </w:p>
        </w:tc>
        <w:tc>
          <w:tcPr>
            <w:tcW w:w="1087" w:type="dxa"/>
            <w:tcBorders>
              <w:top w:val="nil"/>
              <w:left w:val="nil"/>
              <w:bottom w:val="nil"/>
              <w:right w:val="nil"/>
            </w:tcBorders>
            <w:shd w:val="clear" w:color="auto" w:fill="auto"/>
            <w:vAlign w:val="center"/>
            <w:hideMark/>
          </w:tcPr>
          <w:p w14:paraId="407750F3" w14:textId="77777777" w:rsidR="006F55F8" w:rsidRPr="00122954" w:rsidRDefault="006F55F8" w:rsidP="006F55F8">
            <w:pPr>
              <w:spacing w:after="0"/>
              <w:jc w:val="right"/>
              <w:rPr>
                <w:rFonts w:eastAsia="Times New Roman"/>
              </w:rPr>
            </w:pPr>
            <w:r>
              <w:rPr>
                <w:rFonts w:eastAsia="Times New Roman"/>
              </w:rPr>
              <w:t>1,6</w:t>
            </w:r>
          </w:p>
        </w:tc>
        <w:tc>
          <w:tcPr>
            <w:tcW w:w="820" w:type="dxa"/>
            <w:tcBorders>
              <w:top w:val="nil"/>
              <w:left w:val="nil"/>
              <w:bottom w:val="nil"/>
              <w:right w:val="nil"/>
            </w:tcBorders>
            <w:shd w:val="clear" w:color="auto" w:fill="auto"/>
            <w:vAlign w:val="center"/>
            <w:hideMark/>
          </w:tcPr>
          <w:p w14:paraId="3C6945E1" w14:textId="77777777" w:rsidR="006F55F8" w:rsidRPr="00122954" w:rsidRDefault="006F55F8" w:rsidP="006F55F8">
            <w:pPr>
              <w:spacing w:after="0"/>
              <w:jc w:val="right"/>
              <w:rPr>
                <w:rFonts w:eastAsia="Times New Roman"/>
              </w:rPr>
            </w:pPr>
            <w:r w:rsidRPr="00122954">
              <w:rPr>
                <w:rFonts w:eastAsia="Times New Roman"/>
              </w:rPr>
              <w:t>4,9</w:t>
            </w:r>
          </w:p>
        </w:tc>
        <w:tc>
          <w:tcPr>
            <w:tcW w:w="791" w:type="dxa"/>
            <w:tcBorders>
              <w:top w:val="nil"/>
              <w:left w:val="nil"/>
              <w:bottom w:val="nil"/>
              <w:right w:val="nil"/>
            </w:tcBorders>
            <w:shd w:val="clear" w:color="auto" w:fill="auto"/>
            <w:vAlign w:val="center"/>
            <w:hideMark/>
          </w:tcPr>
          <w:p w14:paraId="2DAAAD25" w14:textId="77777777" w:rsidR="006F55F8" w:rsidRPr="00122954" w:rsidRDefault="006F55F8" w:rsidP="006F55F8">
            <w:pPr>
              <w:spacing w:after="0"/>
              <w:jc w:val="right"/>
              <w:rPr>
                <w:rFonts w:eastAsia="Times New Roman"/>
              </w:rPr>
            </w:pPr>
            <w:r w:rsidRPr="00122954">
              <w:rPr>
                <w:rFonts w:eastAsia="Times New Roman"/>
              </w:rPr>
              <w:t>1,7</w:t>
            </w:r>
            <w:r w:rsidRPr="00E15E45">
              <w:rPr>
                <w:rFonts w:eastAsia="Times New Roman"/>
                <w:vertAlign w:val="superscript"/>
              </w:rPr>
              <w:t>5</w:t>
            </w:r>
          </w:p>
        </w:tc>
        <w:tc>
          <w:tcPr>
            <w:tcW w:w="817" w:type="dxa"/>
            <w:tcBorders>
              <w:top w:val="nil"/>
              <w:left w:val="nil"/>
              <w:bottom w:val="nil"/>
              <w:right w:val="nil"/>
            </w:tcBorders>
            <w:shd w:val="clear" w:color="auto" w:fill="auto"/>
            <w:vAlign w:val="center"/>
            <w:hideMark/>
          </w:tcPr>
          <w:p w14:paraId="07C12735" w14:textId="77777777" w:rsidR="006F55F8" w:rsidRPr="00122954" w:rsidRDefault="006F55F8" w:rsidP="006F55F8">
            <w:pPr>
              <w:spacing w:after="0"/>
              <w:jc w:val="right"/>
              <w:rPr>
                <w:rFonts w:eastAsia="Times New Roman"/>
              </w:rPr>
            </w:pPr>
            <w:r w:rsidRPr="00122954">
              <w:rPr>
                <w:rFonts w:eastAsia="Times New Roman"/>
              </w:rPr>
              <w:t>1,4</w:t>
            </w:r>
          </w:p>
        </w:tc>
        <w:tc>
          <w:tcPr>
            <w:tcW w:w="698" w:type="dxa"/>
            <w:tcBorders>
              <w:top w:val="nil"/>
              <w:left w:val="nil"/>
              <w:bottom w:val="nil"/>
              <w:right w:val="nil"/>
            </w:tcBorders>
            <w:shd w:val="clear" w:color="auto" w:fill="auto"/>
            <w:vAlign w:val="center"/>
            <w:hideMark/>
          </w:tcPr>
          <w:p w14:paraId="1809C9AA"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454968AE" w14:textId="77777777" w:rsidTr="003E3545">
        <w:trPr>
          <w:trHeight w:val="300"/>
        </w:trPr>
        <w:tc>
          <w:tcPr>
            <w:tcW w:w="4082" w:type="dxa"/>
            <w:tcBorders>
              <w:top w:val="nil"/>
              <w:left w:val="nil"/>
              <w:bottom w:val="nil"/>
              <w:right w:val="nil"/>
            </w:tcBorders>
            <w:shd w:val="clear" w:color="auto" w:fill="auto"/>
            <w:vAlign w:val="center"/>
            <w:hideMark/>
          </w:tcPr>
          <w:p w14:paraId="3323348E"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Eksport</w:t>
            </w:r>
          </w:p>
        </w:tc>
        <w:tc>
          <w:tcPr>
            <w:tcW w:w="1087" w:type="dxa"/>
            <w:tcBorders>
              <w:top w:val="nil"/>
              <w:left w:val="nil"/>
              <w:bottom w:val="nil"/>
              <w:right w:val="nil"/>
            </w:tcBorders>
            <w:shd w:val="clear" w:color="auto" w:fill="auto"/>
            <w:vAlign w:val="center"/>
            <w:hideMark/>
          </w:tcPr>
          <w:p w14:paraId="68A401D4" w14:textId="77777777" w:rsidR="006F55F8" w:rsidRPr="007649F8" w:rsidRDefault="006F55F8" w:rsidP="006F55F8">
            <w:pPr>
              <w:spacing w:after="0"/>
              <w:jc w:val="right"/>
              <w:rPr>
                <w:rFonts w:eastAsia="Times New Roman"/>
              </w:rPr>
            </w:pPr>
            <w:r w:rsidRPr="007649F8">
              <w:rPr>
                <w:rFonts w:eastAsia="Times New Roman"/>
              </w:rPr>
              <w:t>2,2</w:t>
            </w:r>
          </w:p>
        </w:tc>
        <w:tc>
          <w:tcPr>
            <w:tcW w:w="1087" w:type="dxa"/>
            <w:tcBorders>
              <w:top w:val="nil"/>
              <w:left w:val="nil"/>
              <w:bottom w:val="nil"/>
              <w:right w:val="nil"/>
            </w:tcBorders>
            <w:shd w:val="clear" w:color="auto" w:fill="auto"/>
            <w:vAlign w:val="center"/>
            <w:hideMark/>
          </w:tcPr>
          <w:p w14:paraId="76E6FE79" w14:textId="77777777" w:rsidR="006F55F8" w:rsidRPr="00122954" w:rsidRDefault="006F55F8" w:rsidP="006F55F8">
            <w:pPr>
              <w:spacing w:after="0"/>
              <w:jc w:val="right"/>
              <w:rPr>
                <w:rFonts w:eastAsia="Times New Roman"/>
              </w:rPr>
            </w:pPr>
            <w:r>
              <w:rPr>
                <w:rFonts w:eastAsia="Times New Roman"/>
              </w:rPr>
              <w:t>2,3</w:t>
            </w:r>
          </w:p>
        </w:tc>
        <w:tc>
          <w:tcPr>
            <w:tcW w:w="820" w:type="dxa"/>
            <w:tcBorders>
              <w:top w:val="nil"/>
              <w:left w:val="nil"/>
              <w:bottom w:val="nil"/>
              <w:right w:val="nil"/>
            </w:tcBorders>
            <w:shd w:val="clear" w:color="auto" w:fill="auto"/>
            <w:vAlign w:val="center"/>
            <w:hideMark/>
          </w:tcPr>
          <w:p w14:paraId="16BD6DB5" w14:textId="77777777" w:rsidR="006F55F8" w:rsidRPr="00122954" w:rsidRDefault="006F55F8" w:rsidP="006F55F8">
            <w:pPr>
              <w:spacing w:after="0"/>
              <w:jc w:val="right"/>
              <w:rPr>
                <w:rFonts w:eastAsia="Times New Roman"/>
              </w:rPr>
            </w:pPr>
            <w:r w:rsidRPr="00122954">
              <w:rPr>
                <w:rFonts w:eastAsia="Times New Roman"/>
              </w:rPr>
              <w:t>2,4</w:t>
            </w:r>
          </w:p>
        </w:tc>
        <w:tc>
          <w:tcPr>
            <w:tcW w:w="791" w:type="dxa"/>
            <w:tcBorders>
              <w:top w:val="nil"/>
              <w:left w:val="nil"/>
              <w:bottom w:val="nil"/>
              <w:right w:val="nil"/>
            </w:tcBorders>
            <w:shd w:val="clear" w:color="auto" w:fill="auto"/>
            <w:vAlign w:val="center"/>
            <w:hideMark/>
          </w:tcPr>
          <w:p w14:paraId="7C267511"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6A6615D8" w14:textId="77777777" w:rsidR="006F55F8" w:rsidRPr="00122954" w:rsidRDefault="006F55F8" w:rsidP="006F55F8">
            <w:pPr>
              <w:spacing w:after="0"/>
              <w:jc w:val="right"/>
              <w:rPr>
                <w:rFonts w:eastAsia="Times New Roman"/>
              </w:rPr>
            </w:pPr>
            <w:r w:rsidRPr="00122954">
              <w:rPr>
                <w:rFonts w:eastAsia="Times New Roman"/>
              </w:rPr>
              <w:t>1,3</w:t>
            </w:r>
          </w:p>
        </w:tc>
        <w:tc>
          <w:tcPr>
            <w:tcW w:w="698" w:type="dxa"/>
            <w:tcBorders>
              <w:top w:val="nil"/>
              <w:left w:val="nil"/>
              <w:bottom w:val="nil"/>
              <w:right w:val="nil"/>
            </w:tcBorders>
            <w:shd w:val="clear" w:color="auto" w:fill="auto"/>
            <w:vAlign w:val="center"/>
            <w:hideMark/>
          </w:tcPr>
          <w:p w14:paraId="6960E54B"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7F670BA0" w14:textId="77777777" w:rsidTr="003E3545">
        <w:trPr>
          <w:trHeight w:val="300"/>
        </w:trPr>
        <w:tc>
          <w:tcPr>
            <w:tcW w:w="4082" w:type="dxa"/>
            <w:tcBorders>
              <w:top w:val="nil"/>
              <w:left w:val="nil"/>
              <w:bottom w:val="nil"/>
              <w:right w:val="nil"/>
            </w:tcBorders>
            <w:shd w:val="clear" w:color="auto" w:fill="auto"/>
            <w:vAlign w:val="center"/>
            <w:hideMark/>
          </w:tcPr>
          <w:p w14:paraId="2C41AD69"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Tradisjonelle varer</w:t>
            </w:r>
          </w:p>
        </w:tc>
        <w:tc>
          <w:tcPr>
            <w:tcW w:w="1087" w:type="dxa"/>
            <w:tcBorders>
              <w:top w:val="nil"/>
              <w:left w:val="nil"/>
              <w:bottom w:val="nil"/>
              <w:right w:val="nil"/>
            </w:tcBorders>
            <w:shd w:val="clear" w:color="auto" w:fill="auto"/>
            <w:vAlign w:val="center"/>
            <w:hideMark/>
          </w:tcPr>
          <w:p w14:paraId="6EA65295" w14:textId="77777777" w:rsidR="006F55F8" w:rsidRPr="007649F8" w:rsidRDefault="006F55F8" w:rsidP="006F55F8">
            <w:pPr>
              <w:spacing w:after="0"/>
              <w:jc w:val="right"/>
              <w:rPr>
                <w:rFonts w:eastAsia="Times New Roman"/>
              </w:rPr>
            </w:pPr>
            <w:r w:rsidRPr="007649F8">
              <w:rPr>
                <w:rFonts w:eastAsia="Times New Roman"/>
              </w:rPr>
              <w:t>2,5</w:t>
            </w:r>
          </w:p>
        </w:tc>
        <w:tc>
          <w:tcPr>
            <w:tcW w:w="1087" w:type="dxa"/>
            <w:tcBorders>
              <w:top w:val="nil"/>
              <w:left w:val="nil"/>
              <w:bottom w:val="nil"/>
              <w:right w:val="nil"/>
            </w:tcBorders>
            <w:shd w:val="clear" w:color="auto" w:fill="auto"/>
            <w:vAlign w:val="center"/>
            <w:hideMark/>
          </w:tcPr>
          <w:p w14:paraId="7DBB1C3B" w14:textId="77777777" w:rsidR="006F55F8" w:rsidRPr="00122954" w:rsidRDefault="006F55F8" w:rsidP="006F55F8">
            <w:pPr>
              <w:spacing w:after="0"/>
              <w:jc w:val="right"/>
              <w:rPr>
                <w:rFonts w:eastAsia="Times New Roman"/>
              </w:rPr>
            </w:pPr>
            <w:r>
              <w:rPr>
                <w:rFonts w:eastAsia="Times New Roman"/>
              </w:rPr>
              <w:t>5,5</w:t>
            </w:r>
          </w:p>
        </w:tc>
        <w:tc>
          <w:tcPr>
            <w:tcW w:w="820" w:type="dxa"/>
            <w:tcBorders>
              <w:top w:val="nil"/>
              <w:left w:val="nil"/>
              <w:bottom w:val="nil"/>
              <w:right w:val="nil"/>
            </w:tcBorders>
            <w:shd w:val="clear" w:color="auto" w:fill="auto"/>
            <w:vAlign w:val="center"/>
            <w:hideMark/>
          </w:tcPr>
          <w:p w14:paraId="0E36F840" w14:textId="77777777" w:rsidR="006F55F8" w:rsidRPr="00122954" w:rsidRDefault="006F55F8" w:rsidP="006F55F8">
            <w:pPr>
              <w:spacing w:after="0"/>
              <w:jc w:val="right"/>
              <w:rPr>
                <w:rFonts w:eastAsia="Times New Roman"/>
              </w:rPr>
            </w:pPr>
            <w:r w:rsidRPr="00122954">
              <w:rPr>
                <w:rFonts w:eastAsia="Times New Roman"/>
              </w:rPr>
              <w:t>4,2</w:t>
            </w:r>
          </w:p>
        </w:tc>
        <w:tc>
          <w:tcPr>
            <w:tcW w:w="791" w:type="dxa"/>
            <w:tcBorders>
              <w:top w:val="nil"/>
              <w:left w:val="nil"/>
              <w:bottom w:val="nil"/>
              <w:right w:val="nil"/>
            </w:tcBorders>
            <w:shd w:val="clear" w:color="auto" w:fill="auto"/>
            <w:vAlign w:val="center"/>
            <w:hideMark/>
          </w:tcPr>
          <w:p w14:paraId="6DDE699E" w14:textId="77777777" w:rsidR="006F55F8" w:rsidRPr="00122954" w:rsidRDefault="006F55F8" w:rsidP="006F55F8">
            <w:pPr>
              <w:spacing w:after="0"/>
              <w:jc w:val="right"/>
              <w:rPr>
                <w:rFonts w:eastAsia="Times New Roman"/>
              </w:rPr>
            </w:pPr>
            <w:r w:rsidRPr="00122954">
              <w:rPr>
                <w:rFonts w:eastAsia="Times New Roman"/>
              </w:rPr>
              <w:t>2,3</w:t>
            </w:r>
            <w:r w:rsidRPr="00E15E45">
              <w:rPr>
                <w:rFonts w:eastAsia="Times New Roman"/>
                <w:vertAlign w:val="superscript"/>
              </w:rPr>
              <w:t>6</w:t>
            </w:r>
          </w:p>
        </w:tc>
        <w:tc>
          <w:tcPr>
            <w:tcW w:w="817" w:type="dxa"/>
            <w:tcBorders>
              <w:top w:val="nil"/>
              <w:left w:val="nil"/>
              <w:bottom w:val="nil"/>
              <w:right w:val="nil"/>
            </w:tcBorders>
            <w:shd w:val="clear" w:color="auto" w:fill="auto"/>
            <w:vAlign w:val="center"/>
            <w:hideMark/>
          </w:tcPr>
          <w:p w14:paraId="0886BF59" w14:textId="77777777" w:rsidR="006F55F8" w:rsidRPr="00122954" w:rsidRDefault="006F55F8" w:rsidP="006F55F8">
            <w:pPr>
              <w:spacing w:after="0"/>
              <w:jc w:val="right"/>
              <w:rPr>
                <w:rFonts w:eastAsia="Times New Roman"/>
              </w:rPr>
            </w:pPr>
            <w:r w:rsidRPr="00122954">
              <w:rPr>
                <w:rFonts w:eastAsia="Times New Roman"/>
              </w:rPr>
              <w:t>4,0</w:t>
            </w:r>
          </w:p>
        </w:tc>
        <w:tc>
          <w:tcPr>
            <w:tcW w:w="698" w:type="dxa"/>
            <w:tcBorders>
              <w:top w:val="nil"/>
              <w:left w:val="nil"/>
              <w:bottom w:val="nil"/>
              <w:right w:val="nil"/>
            </w:tcBorders>
            <w:shd w:val="clear" w:color="auto" w:fill="auto"/>
            <w:vAlign w:val="center"/>
            <w:hideMark/>
          </w:tcPr>
          <w:p w14:paraId="34677101"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5F87D887" w14:textId="77777777" w:rsidTr="003E3545">
        <w:trPr>
          <w:trHeight w:val="300"/>
        </w:trPr>
        <w:tc>
          <w:tcPr>
            <w:tcW w:w="4082" w:type="dxa"/>
            <w:tcBorders>
              <w:top w:val="nil"/>
              <w:left w:val="nil"/>
              <w:bottom w:val="nil"/>
              <w:right w:val="nil"/>
            </w:tcBorders>
            <w:shd w:val="clear" w:color="auto" w:fill="auto"/>
            <w:vAlign w:val="center"/>
            <w:hideMark/>
          </w:tcPr>
          <w:p w14:paraId="2F35F848"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Import</w:t>
            </w:r>
          </w:p>
        </w:tc>
        <w:tc>
          <w:tcPr>
            <w:tcW w:w="1087" w:type="dxa"/>
            <w:tcBorders>
              <w:top w:val="nil"/>
              <w:left w:val="nil"/>
              <w:bottom w:val="nil"/>
              <w:right w:val="nil"/>
            </w:tcBorders>
            <w:shd w:val="clear" w:color="auto" w:fill="auto"/>
            <w:vAlign w:val="center"/>
            <w:hideMark/>
          </w:tcPr>
          <w:p w14:paraId="44829F13" w14:textId="77777777" w:rsidR="006F55F8" w:rsidRPr="007649F8" w:rsidRDefault="006F55F8" w:rsidP="006F55F8">
            <w:pPr>
              <w:spacing w:after="0"/>
              <w:jc w:val="right"/>
              <w:rPr>
                <w:rFonts w:eastAsia="Times New Roman"/>
              </w:rPr>
            </w:pPr>
            <w:r w:rsidRPr="007649F8">
              <w:rPr>
                <w:rFonts w:eastAsia="Times New Roman"/>
              </w:rPr>
              <w:t>1,5</w:t>
            </w:r>
          </w:p>
        </w:tc>
        <w:tc>
          <w:tcPr>
            <w:tcW w:w="1087" w:type="dxa"/>
            <w:tcBorders>
              <w:top w:val="nil"/>
              <w:left w:val="nil"/>
              <w:bottom w:val="nil"/>
              <w:right w:val="nil"/>
            </w:tcBorders>
            <w:shd w:val="clear" w:color="auto" w:fill="auto"/>
            <w:vAlign w:val="center"/>
            <w:hideMark/>
          </w:tcPr>
          <w:p w14:paraId="621D693A" w14:textId="77777777" w:rsidR="006F55F8" w:rsidRPr="00122954" w:rsidRDefault="006F55F8" w:rsidP="006F55F8">
            <w:pPr>
              <w:spacing w:after="0"/>
              <w:jc w:val="right"/>
              <w:rPr>
                <w:rFonts w:eastAsia="Times New Roman"/>
              </w:rPr>
            </w:pPr>
            <w:r>
              <w:rPr>
                <w:rFonts w:eastAsia="Times New Roman"/>
              </w:rPr>
              <w:t>0,6</w:t>
            </w:r>
          </w:p>
        </w:tc>
        <w:tc>
          <w:tcPr>
            <w:tcW w:w="820" w:type="dxa"/>
            <w:tcBorders>
              <w:top w:val="nil"/>
              <w:left w:val="nil"/>
              <w:bottom w:val="nil"/>
              <w:right w:val="nil"/>
            </w:tcBorders>
            <w:shd w:val="clear" w:color="auto" w:fill="auto"/>
            <w:vAlign w:val="center"/>
            <w:hideMark/>
          </w:tcPr>
          <w:p w14:paraId="1D5AC14C" w14:textId="77777777" w:rsidR="006F55F8" w:rsidRPr="00122954" w:rsidRDefault="006F55F8" w:rsidP="006F55F8">
            <w:pPr>
              <w:spacing w:after="0"/>
              <w:jc w:val="right"/>
              <w:rPr>
                <w:rFonts w:eastAsia="Times New Roman"/>
              </w:rPr>
            </w:pPr>
            <w:r w:rsidRPr="00122954">
              <w:rPr>
                <w:rFonts w:eastAsia="Times New Roman"/>
              </w:rPr>
              <w:t>2,1</w:t>
            </w:r>
          </w:p>
        </w:tc>
        <w:tc>
          <w:tcPr>
            <w:tcW w:w="791" w:type="dxa"/>
            <w:tcBorders>
              <w:top w:val="nil"/>
              <w:left w:val="nil"/>
              <w:bottom w:val="nil"/>
              <w:right w:val="nil"/>
            </w:tcBorders>
            <w:shd w:val="clear" w:color="auto" w:fill="auto"/>
            <w:vAlign w:val="center"/>
            <w:hideMark/>
          </w:tcPr>
          <w:p w14:paraId="3DB63150" w14:textId="77777777" w:rsidR="006F55F8" w:rsidRPr="00122954" w:rsidRDefault="006F55F8" w:rsidP="006F55F8">
            <w:pPr>
              <w:spacing w:after="0"/>
              <w:jc w:val="right"/>
              <w:rPr>
                <w:rFonts w:eastAsia="Times New Roman"/>
              </w:rPr>
            </w:pPr>
            <w:r w:rsidRPr="00122954">
              <w:rPr>
                <w:rFonts w:eastAsia="Times New Roman"/>
              </w:rPr>
              <w:t>-0,8</w:t>
            </w:r>
          </w:p>
        </w:tc>
        <w:tc>
          <w:tcPr>
            <w:tcW w:w="817" w:type="dxa"/>
            <w:tcBorders>
              <w:top w:val="nil"/>
              <w:left w:val="nil"/>
              <w:bottom w:val="nil"/>
              <w:right w:val="nil"/>
            </w:tcBorders>
            <w:shd w:val="clear" w:color="auto" w:fill="auto"/>
            <w:vAlign w:val="center"/>
            <w:hideMark/>
          </w:tcPr>
          <w:p w14:paraId="118EA674" w14:textId="77777777" w:rsidR="006F55F8" w:rsidRPr="00122954" w:rsidRDefault="006F55F8" w:rsidP="006F55F8">
            <w:pPr>
              <w:spacing w:after="0"/>
              <w:jc w:val="right"/>
              <w:rPr>
                <w:rFonts w:eastAsia="Times New Roman"/>
              </w:rPr>
            </w:pPr>
            <w:r w:rsidRPr="00122954">
              <w:rPr>
                <w:rFonts w:eastAsia="Times New Roman"/>
              </w:rPr>
              <w:t>2,7</w:t>
            </w:r>
          </w:p>
        </w:tc>
        <w:tc>
          <w:tcPr>
            <w:tcW w:w="698" w:type="dxa"/>
            <w:tcBorders>
              <w:top w:val="nil"/>
              <w:left w:val="nil"/>
              <w:bottom w:val="nil"/>
              <w:right w:val="nil"/>
            </w:tcBorders>
            <w:shd w:val="clear" w:color="auto" w:fill="auto"/>
            <w:vAlign w:val="center"/>
            <w:hideMark/>
          </w:tcPr>
          <w:p w14:paraId="28946232"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6518DEB2" w14:textId="77777777" w:rsidTr="003E3545">
        <w:trPr>
          <w:trHeight w:val="300"/>
        </w:trPr>
        <w:tc>
          <w:tcPr>
            <w:tcW w:w="4082" w:type="dxa"/>
            <w:tcBorders>
              <w:top w:val="nil"/>
              <w:left w:val="nil"/>
              <w:bottom w:val="nil"/>
              <w:right w:val="nil"/>
            </w:tcBorders>
            <w:shd w:val="clear" w:color="auto" w:fill="auto"/>
            <w:vAlign w:val="center"/>
            <w:hideMark/>
          </w:tcPr>
          <w:p w14:paraId="798A8E01"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Tradisjonelle varer</w:t>
            </w:r>
          </w:p>
        </w:tc>
        <w:tc>
          <w:tcPr>
            <w:tcW w:w="1087" w:type="dxa"/>
            <w:tcBorders>
              <w:top w:val="nil"/>
              <w:left w:val="nil"/>
              <w:bottom w:val="nil"/>
              <w:right w:val="nil"/>
            </w:tcBorders>
            <w:shd w:val="clear" w:color="auto" w:fill="auto"/>
            <w:vAlign w:val="center"/>
            <w:hideMark/>
          </w:tcPr>
          <w:p w14:paraId="5376A9D5" w14:textId="77777777" w:rsidR="006F55F8" w:rsidRPr="007649F8" w:rsidRDefault="006F55F8" w:rsidP="006F55F8">
            <w:pPr>
              <w:spacing w:after="0"/>
              <w:jc w:val="right"/>
              <w:rPr>
                <w:rFonts w:eastAsia="Times New Roman"/>
              </w:rPr>
            </w:pPr>
            <w:r w:rsidRPr="007649F8">
              <w:rPr>
                <w:rFonts w:eastAsia="Times New Roman"/>
              </w:rPr>
              <w:t>1,0</w:t>
            </w:r>
          </w:p>
        </w:tc>
        <w:tc>
          <w:tcPr>
            <w:tcW w:w="1087" w:type="dxa"/>
            <w:tcBorders>
              <w:top w:val="nil"/>
              <w:left w:val="nil"/>
              <w:bottom w:val="nil"/>
              <w:right w:val="nil"/>
            </w:tcBorders>
            <w:shd w:val="clear" w:color="auto" w:fill="auto"/>
            <w:vAlign w:val="center"/>
            <w:hideMark/>
          </w:tcPr>
          <w:p w14:paraId="0A5E38C2" w14:textId="77777777" w:rsidR="006F55F8" w:rsidRPr="00122954" w:rsidRDefault="006F55F8" w:rsidP="006F55F8">
            <w:pPr>
              <w:spacing w:after="0"/>
              <w:jc w:val="right"/>
              <w:rPr>
                <w:rFonts w:eastAsia="Times New Roman"/>
              </w:rPr>
            </w:pPr>
            <w:r>
              <w:rPr>
                <w:rFonts w:eastAsia="Times New Roman"/>
              </w:rPr>
              <w:t>1,7</w:t>
            </w:r>
          </w:p>
        </w:tc>
        <w:tc>
          <w:tcPr>
            <w:tcW w:w="820" w:type="dxa"/>
            <w:tcBorders>
              <w:top w:val="nil"/>
              <w:left w:val="nil"/>
              <w:bottom w:val="nil"/>
              <w:right w:val="nil"/>
            </w:tcBorders>
            <w:shd w:val="clear" w:color="auto" w:fill="auto"/>
            <w:vAlign w:val="center"/>
            <w:hideMark/>
          </w:tcPr>
          <w:p w14:paraId="5BB41EED" w14:textId="77777777" w:rsidR="006F55F8" w:rsidRPr="00122954" w:rsidRDefault="006F55F8" w:rsidP="006F55F8">
            <w:pPr>
              <w:spacing w:after="0"/>
              <w:jc w:val="right"/>
              <w:rPr>
                <w:rFonts w:eastAsia="Times New Roman"/>
              </w:rPr>
            </w:pPr>
            <w:r w:rsidRPr="00122954">
              <w:rPr>
                <w:rFonts w:eastAsia="Times New Roman"/>
              </w:rPr>
              <w:t>2,1</w:t>
            </w:r>
          </w:p>
        </w:tc>
        <w:tc>
          <w:tcPr>
            <w:tcW w:w="791" w:type="dxa"/>
            <w:tcBorders>
              <w:top w:val="nil"/>
              <w:left w:val="nil"/>
              <w:bottom w:val="nil"/>
              <w:right w:val="nil"/>
            </w:tcBorders>
            <w:shd w:val="clear" w:color="auto" w:fill="auto"/>
            <w:vAlign w:val="center"/>
            <w:hideMark/>
          </w:tcPr>
          <w:p w14:paraId="281349A2"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06FC9609" w14:textId="77777777" w:rsidR="006F55F8" w:rsidRPr="00122954" w:rsidRDefault="006F55F8" w:rsidP="006F55F8">
            <w:pPr>
              <w:spacing w:after="0"/>
              <w:jc w:val="right"/>
              <w:rPr>
                <w:rFonts w:eastAsia="Times New Roman"/>
              </w:rPr>
            </w:pPr>
            <w:r w:rsidRPr="00122954">
              <w:rPr>
                <w:rFonts w:eastAsia="Times New Roman"/>
              </w:rPr>
              <w:t>3,3</w:t>
            </w:r>
          </w:p>
        </w:tc>
        <w:tc>
          <w:tcPr>
            <w:tcW w:w="698" w:type="dxa"/>
            <w:tcBorders>
              <w:top w:val="nil"/>
              <w:left w:val="nil"/>
              <w:bottom w:val="nil"/>
              <w:right w:val="nil"/>
            </w:tcBorders>
            <w:shd w:val="clear" w:color="auto" w:fill="auto"/>
            <w:vAlign w:val="center"/>
            <w:hideMark/>
          </w:tcPr>
          <w:p w14:paraId="23148401"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72B69926" w14:textId="77777777" w:rsidTr="003E3545">
        <w:trPr>
          <w:trHeight w:val="300"/>
        </w:trPr>
        <w:tc>
          <w:tcPr>
            <w:tcW w:w="4082" w:type="dxa"/>
            <w:tcBorders>
              <w:top w:val="nil"/>
              <w:left w:val="nil"/>
              <w:bottom w:val="nil"/>
              <w:right w:val="nil"/>
            </w:tcBorders>
            <w:shd w:val="clear" w:color="auto" w:fill="auto"/>
            <w:vAlign w:val="center"/>
            <w:hideMark/>
          </w:tcPr>
          <w:p w14:paraId="062445AF"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Bruttonasjonalprodukt</w:t>
            </w:r>
          </w:p>
        </w:tc>
        <w:tc>
          <w:tcPr>
            <w:tcW w:w="1087" w:type="dxa"/>
            <w:tcBorders>
              <w:top w:val="nil"/>
              <w:left w:val="nil"/>
              <w:bottom w:val="nil"/>
              <w:right w:val="nil"/>
            </w:tcBorders>
            <w:shd w:val="clear" w:color="auto" w:fill="auto"/>
            <w:vAlign w:val="center"/>
            <w:hideMark/>
          </w:tcPr>
          <w:p w14:paraId="3891F715" w14:textId="77777777" w:rsidR="006F55F8" w:rsidRPr="007649F8" w:rsidRDefault="006F55F8" w:rsidP="006F55F8">
            <w:pPr>
              <w:spacing w:after="0"/>
              <w:jc w:val="right"/>
              <w:rPr>
                <w:rFonts w:eastAsia="Times New Roman"/>
              </w:rPr>
            </w:pPr>
            <w:r w:rsidRPr="007649F8">
              <w:rPr>
                <w:rFonts w:eastAsia="Times New Roman"/>
              </w:rPr>
              <w:t>2,2</w:t>
            </w:r>
          </w:p>
        </w:tc>
        <w:tc>
          <w:tcPr>
            <w:tcW w:w="1087" w:type="dxa"/>
            <w:tcBorders>
              <w:top w:val="nil"/>
              <w:left w:val="nil"/>
              <w:bottom w:val="nil"/>
              <w:right w:val="nil"/>
            </w:tcBorders>
            <w:shd w:val="clear" w:color="auto" w:fill="auto"/>
            <w:vAlign w:val="center"/>
            <w:hideMark/>
          </w:tcPr>
          <w:p w14:paraId="52C0B66C" w14:textId="77777777" w:rsidR="006F55F8" w:rsidRPr="00122954" w:rsidRDefault="006F55F8" w:rsidP="006F55F8">
            <w:pPr>
              <w:spacing w:after="0"/>
              <w:jc w:val="right"/>
              <w:rPr>
                <w:rFonts w:eastAsia="Times New Roman"/>
              </w:rPr>
            </w:pPr>
            <w:r>
              <w:rPr>
                <w:rFonts w:eastAsia="Times New Roman"/>
              </w:rPr>
              <w:t>1,6</w:t>
            </w:r>
          </w:p>
        </w:tc>
        <w:tc>
          <w:tcPr>
            <w:tcW w:w="820" w:type="dxa"/>
            <w:tcBorders>
              <w:top w:val="nil"/>
              <w:left w:val="nil"/>
              <w:bottom w:val="nil"/>
              <w:right w:val="nil"/>
            </w:tcBorders>
            <w:shd w:val="clear" w:color="auto" w:fill="auto"/>
            <w:vAlign w:val="center"/>
            <w:hideMark/>
          </w:tcPr>
          <w:p w14:paraId="46232640" w14:textId="77777777" w:rsidR="006F55F8" w:rsidRPr="00122954" w:rsidRDefault="006F55F8" w:rsidP="006F55F8">
            <w:pPr>
              <w:spacing w:after="0"/>
              <w:jc w:val="right"/>
              <w:rPr>
                <w:rFonts w:eastAsia="Times New Roman"/>
              </w:rPr>
            </w:pPr>
            <w:r w:rsidRPr="00122954">
              <w:rPr>
                <w:rFonts w:eastAsia="Times New Roman"/>
              </w:rPr>
              <w:t>1,7</w:t>
            </w:r>
          </w:p>
        </w:tc>
        <w:tc>
          <w:tcPr>
            <w:tcW w:w="791" w:type="dxa"/>
            <w:tcBorders>
              <w:top w:val="nil"/>
              <w:left w:val="nil"/>
              <w:bottom w:val="nil"/>
              <w:right w:val="nil"/>
            </w:tcBorders>
            <w:shd w:val="clear" w:color="auto" w:fill="auto"/>
            <w:vAlign w:val="center"/>
            <w:hideMark/>
          </w:tcPr>
          <w:p w14:paraId="4D7F36FF" w14:textId="77777777" w:rsidR="006F55F8" w:rsidRPr="00122954" w:rsidRDefault="006F55F8" w:rsidP="006F55F8">
            <w:pPr>
              <w:spacing w:after="0"/>
              <w:jc w:val="right"/>
              <w:rPr>
                <w:rFonts w:eastAsia="Times New Roman"/>
              </w:rPr>
            </w:pPr>
            <w:r w:rsidRPr="00122954">
              <w:rPr>
                <w:rFonts w:eastAsia="Times New Roman"/>
              </w:rPr>
              <w:t>0,9</w:t>
            </w:r>
          </w:p>
        </w:tc>
        <w:tc>
          <w:tcPr>
            <w:tcW w:w="817" w:type="dxa"/>
            <w:tcBorders>
              <w:top w:val="nil"/>
              <w:left w:val="nil"/>
              <w:bottom w:val="nil"/>
              <w:right w:val="nil"/>
            </w:tcBorders>
            <w:shd w:val="clear" w:color="auto" w:fill="auto"/>
            <w:vAlign w:val="center"/>
            <w:hideMark/>
          </w:tcPr>
          <w:p w14:paraId="246DB4FF" w14:textId="77777777" w:rsidR="006F55F8" w:rsidRPr="00122954" w:rsidRDefault="006F55F8" w:rsidP="006F55F8">
            <w:pPr>
              <w:spacing w:after="0"/>
              <w:jc w:val="right"/>
              <w:rPr>
                <w:rFonts w:eastAsia="Times New Roman"/>
              </w:rPr>
            </w:pPr>
            <w:r w:rsidRPr="00122954">
              <w:rPr>
                <w:rFonts w:eastAsia="Times New Roman"/>
              </w:rPr>
              <w:t>1,2</w:t>
            </w:r>
          </w:p>
        </w:tc>
        <w:tc>
          <w:tcPr>
            <w:tcW w:w="698" w:type="dxa"/>
            <w:tcBorders>
              <w:top w:val="nil"/>
              <w:left w:val="nil"/>
              <w:bottom w:val="nil"/>
              <w:right w:val="nil"/>
            </w:tcBorders>
            <w:shd w:val="clear" w:color="auto" w:fill="auto"/>
            <w:vAlign w:val="center"/>
            <w:hideMark/>
          </w:tcPr>
          <w:p w14:paraId="1FC564BE"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06388870" w14:textId="77777777" w:rsidTr="003E3545">
        <w:trPr>
          <w:trHeight w:val="300"/>
        </w:trPr>
        <w:tc>
          <w:tcPr>
            <w:tcW w:w="4082" w:type="dxa"/>
            <w:tcBorders>
              <w:top w:val="nil"/>
              <w:left w:val="nil"/>
              <w:bottom w:val="nil"/>
              <w:right w:val="nil"/>
            </w:tcBorders>
            <w:shd w:val="clear" w:color="auto" w:fill="auto"/>
            <w:vAlign w:val="center"/>
            <w:hideMark/>
          </w:tcPr>
          <w:p w14:paraId="621E359F"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Fastlands-Norge</w:t>
            </w:r>
          </w:p>
        </w:tc>
        <w:tc>
          <w:tcPr>
            <w:tcW w:w="1087" w:type="dxa"/>
            <w:tcBorders>
              <w:top w:val="nil"/>
              <w:left w:val="nil"/>
              <w:bottom w:val="nil"/>
              <w:right w:val="nil"/>
            </w:tcBorders>
            <w:shd w:val="clear" w:color="auto" w:fill="auto"/>
            <w:vAlign w:val="center"/>
            <w:hideMark/>
          </w:tcPr>
          <w:p w14:paraId="3BFC077A" w14:textId="77777777" w:rsidR="006F55F8" w:rsidRPr="007649F8" w:rsidRDefault="006F55F8" w:rsidP="006F55F8">
            <w:pPr>
              <w:spacing w:after="0"/>
              <w:jc w:val="right"/>
              <w:rPr>
                <w:rFonts w:eastAsia="Times New Roman"/>
              </w:rPr>
            </w:pPr>
            <w:r w:rsidRPr="007649F8">
              <w:rPr>
                <w:rFonts w:eastAsia="Times New Roman"/>
              </w:rPr>
              <w:t>2,3</w:t>
            </w:r>
          </w:p>
        </w:tc>
        <w:tc>
          <w:tcPr>
            <w:tcW w:w="1087" w:type="dxa"/>
            <w:tcBorders>
              <w:top w:val="nil"/>
              <w:left w:val="nil"/>
              <w:bottom w:val="nil"/>
              <w:right w:val="nil"/>
            </w:tcBorders>
            <w:shd w:val="clear" w:color="auto" w:fill="auto"/>
            <w:vAlign w:val="center"/>
            <w:hideMark/>
          </w:tcPr>
          <w:p w14:paraId="4EB7B0AE" w14:textId="77777777" w:rsidR="006F55F8" w:rsidRPr="00122954" w:rsidRDefault="006F55F8" w:rsidP="006F55F8">
            <w:pPr>
              <w:spacing w:after="0"/>
              <w:jc w:val="right"/>
              <w:rPr>
                <w:rFonts w:eastAsia="Times New Roman"/>
              </w:rPr>
            </w:pPr>
            <w:r>
              <w:rPr>
                <w:rFonts w:eastAsia="Times New Roman"/>
              </w:rPr>
              <w:t>1,0</w:t>
            </w:r>
          </w:p>
        </w:tc>
        <w:tc>
          <w:tcPr>
            <w:tcW w:w="820" w:type="dxa"/>
            <w:tcBorders>
              <w:top w:val="nil"/>
              <w:left w:val="nil"/>
              <w:bottom w:val="nil"/>
              <w:right w:val="nil"/>
            </w:tcBorders>
            <w:shd w:val="clear" w:color="auto" w:fill="auto"/>
            <w:vAlign w:val="center"/>
            <w:hideMark/>
          </w:tcPr>
          <w:p w14:paraId="7801E97C" w14:textId="77777777" w:rsidR="006F55F8" w:rsidRPr="00122954" w:rsidRDefault="006F55F8" w:rsidP="006F55F8">
            <w:pPr>
              <w:spacing w:after="0"/>
              <w:jc w:val="right"/>
              <w:rPr>
                <w:rFonts w:eastAsia="Times New Roman"/>
              </w:rPr>
            </w:pPr>
            <w:r w:rsidRPr="00122954">
              <w:rPr>
                <w:rFonts w:eastAsia="Times New Roman"/>
              </w:rPr>
              <w:t>2,0</w:t>
            </w:r>
          </w:p>
        </w:tc>
        <w:tc>
          <w:tcPr>
            <w:tcW w:w="791" w:type="dxa"/>
            <w:tcBorders>
              <w:top w:val="nil"/>
              <w:left w:val="nil"/>
              <w:bottom w:val="nil"/>
              <w:right w:val="nil"/>
            </w:tcBorders>
            <w:shd w:val="clear" w:color="auto" w:fill="auto"/>
            <w:vAlign w:val="center"/>
            <w:hideMark/>
          </w:tcPr>
          <w:p w14:paraId="7C6737EC" w14:textId="77777777" w:rsidR="006F55F8" w:rsidRPr="00122954" w:rsidRDefault="006F55F8" w:rsidP="006F55F8">
            <w:pPr>
              <w:spacing w:after="0"/>
              <w:jc w:val="right"/>
              <w:rPr>
                <w:rFonts w:eastAsia="Times New Roman"/>
              </w:rPr>
            </w:pPr>
            <w:r w:rsidRPr="00122954">
              <w:rPr>
                <w:rFonts w:eastAsia="Times New Roman"/>
              </w:rPr>
              <w:t>1,1</w:t>
            </w:r>
          </w:p>
        </w:tc>
        <w:tc>
          <w:tcPr>
            <w:tcW w:w="817" w:type="dxa"/>
            <w:tcBorders>
              <w:top w:val="nil"/>
              <w:left w:val="nil"/>
              <w:bottom w:val="nil"/>
              <w:right w:val="nil"/>
            </w:tcBorders>
            <w:shd w:val="clear" w:color="auto" w:fill="auto"/>
            <w:vAlign w:val="center"/>
            <w:hideMark/>
          </w:tcPr>
          <w:p w14:paraId="1ED95EEF" w14:textId="77777777" w:rsidR="006F55F8" w:rsidRPr="00122954" w:rsidRDefault="006F55F8" w:rsidP="006F55F8">
            <w:pPr>
              <w:spacing w:after="0"/>
              <w:jc w:val="right"/>
              <w:rPr>
                <w:rFonts w:eastAsia="Times New Roman"/>
              </w:rPr>
            </w:pPr>
            <w:r w:rsidRPr="00122954">
              <w:rPr>
                <w:rFonts w:eastAsia="Times New Roman"/>
              </w:rPr>
              <w:t>1,8</w:t>
            </w:r>
          </w:p>
        </w:tc>
        <w:tc>
          <w:tcPr>
            <w:tcW w:w="698" w:type="dxa"/>
            <w:tcBorders>
              <w:top w:val="nil"/>
              <w:left w:val="nil"/>
              <w:bottom w:val="nil"/>
              <w:right w:val="nil"/>
            </w:tcBorders>
            <w:shd w:val="clear" w:color="auto" w:fill="auto"/>
            <w:vAlign w:val="center"/>
            <w:hideMark/>
          </w:tcPr>
          <w:p w14:paraId="141BB697" w14:textId="77777777" w:rsidR="006F55F8" w:rsidRPr="00122954" w:rsidRDefault="006F55F8" w:rsidP="006F55F8">
            <w:pPr>
              <w:spacing w:after="0"/>
              <w:jc w:val="right"/>
              <w:rPr>
                <w:rFonts w:eastAsia="Times New Roman"/>
              </w:rPr>
            </w:pPr>
            <w:r w:rsidRPr="00122954">
              <w:rPr>
                <w:rFonts w:eastAsia="Times New Roman"/>
              </w:rPr>
              <w:t>1,</w:t>
            </w:r>
            <w:r>
              <w:rPr>
                <w:rFonts w:eastAsia="Times New Roman"/>
              </w:rPr>
              <w:t>4</w:t>
            </w:r>
          </w:p>
        </w:tc>
      </w:tr>
      <w:tr w:rsidR="006F55F8" w:rsidRPr="00EB6C34" w14:paraId="78C9DD63" w14:textId="77777777" w:rsidTr="003E3545">
        <w:trPr>
          <w:trHeight w:val="300"/>
        </w:trPr>
        <w:tc>
          <w:tcPr>
            <w:tcW w:w="4082" w:type="dxa"/>
            <w:tcBorders>
              <w:top w:val="nil"/>
              <w:left w:val="nil"/>
              <w:bottom w:val="nil"/>
              <w:right w:val="nil"/>
            </w:tcBorders>
            <w:shd w:val="clear" w:color="auto" w:fill="auto"/>
            <w:vAlign w:val="center"/>
            <w:hideMark/>
          </w:tcPr>
          <w:p w14:paraId="41D6F266"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Sysselsatte personer</w:t>
            </w:r>
          </w:p>
        </w:tc>
        <w:tc>
          <w:tcPr>
            <w:tcW w:w="1087" w:type="dxa"/>
            <w:tcBorders>
              <w:top w:val="nil"/>
              <w:left w:val="nil"/>
              <w:bottom w:val="nil"/>
              <w:right w:val="nil"/>
            </w:tcBorders>
            <w:shd w:val="clear" w:color="auto" w:fill="auto"/>
            <w:vAlign w:val="center"/>
            <w:hideMark/>
          </w:tcPr>
          <w:p w14:paraId="6E1E185B" w14:textId="77777777" w:rsidR="006F55F8" w:rsidRPr="007649F8" w:rsidRDefault="006F55F8" w:rsidP="006F55F8">
            <w:pPr>
              <w:spacing w:after="0"/>
              <w:jc w:val="right"/>
              <w:rPr>
                <w:rFonts w:eastAsia="Times New Roman"/>
              </w:rPr>
            </w:pPr>
            <w:r w:rsidRPr="007649F8">
              <w:rPr>
                <w:rFonts w:eastAsia="Times New Roman"/>
              </w:rPr>
              <w:t>1,1</w:t>
            </w:r>
          </w:p>
        </w:tc>
        <w:tc>
          <w:tcPr>
            <w:tcW w:w="1087" w:type="dxa"/>
            <w:tcBorders>
              <w:top w:val="nil"/>
              <w:left w:val="nil"/>
              <w:bottom w:val="nil"/>
              <w:right w:val="nil"/>
            </w:tcBorders>
            <w:shd w:val="clear" w:color="auto" w:fill="auto"/>
            <w:vAlign w:val="center"/>
            <w:hideMark/>
          </w:tcPr>
          <w:p w14:paraId="13994B14" w14:textId="77777777" w:rsidR="006F55F8" w:rsidRPr="00122954" w:rsidRDefault="006F55F8" w:rsidP="006F55F8">
            <w:pPr>
              <w:spacing w:after="0"/>
              <w:jc w:val="right"/>
              <w:rPr>
                <w:rFonts w:eastAsia="Times New Roman"/>
              </w:rPr>
            </w:pPr>
            <w:r>
              <w:rPr>
                <w:rFonts w:eastAsia="Times New Roman"/>
              </w:rPr>
              <w:t>0,6</w:t>
            </w:r>
          </w:p>
        </w:tc>
        <w:tc>
          <w:tcPr>
            <w:tcW w:w="820" w:type="dxa"/>
            <w:tcBorders>
              <w:top w:val="nil"/>
              <w:left w:val="nil"/>
              <w:bottom w:val="nil"/>
              <w:right w:val="nil"/>
            </w:tcBorders>
            <w:shd w:val="clear" w:color="auto" w:fill="auto"/>
            <w:vAlign w:val="center"/>
            <w:hideMark/>
          </w:tcPr>
          <w:p w14:paraId="7AE20705" w14:textId="77777777" w:rsidR="006F55F8" w:rsidRPr="00122954" w:rsidRDefault="006F55F8" w:rsidP="006F55F8">
            <w:pPr>
              <w:spacing w:after="0"/>
              <w:jc w:val="right"/>
              <w:rPr>
                <w:rFonts w:eastAsia="Times New Roman"/>
              </w:rPr>
            </w:pPr>
            <w:r w:rsidRPr="00122954">
              <w:rPr>
                <w:rFonts w:eastAsia="Times New Roman"/>
              </w:rPr>
              <w:t>0,7</w:t>
            </w:r>
          </w:p>
        </w:tc>
        <w:tc>
          <w:tcPr>
            <w:tcW w:w="791" w:type="dxa"/>
            <w:tcBorders>
              <w:top w:val="nil"/>
              <w:left w:val="nil"/>
              <w:bottom w:val="nil"/>
              <w:right w:val="nil"/>
            </w:tcBorders>
            <w:shd w:val="clear" w:color="auto" w:fill="auto"/>
            <w:vAlign w:val="center"/>
            <w:hideMark/>
          </w:tcPr>
          <w:p w14:paraId="4C3432F7" w14:textId="77777777" w:rsidR="006F55F8" w:rsidRPr="00122954" w:rsidRDefault="006F55F8" w:rsidP="006F55F8">
            <w:pPr>
              <w:spacing w:after="0"/>
              <w:jc w:val="right"/>
              <w:rPr>
                <w:rFonts w:eastAsia="Times New Roman"/>
              </w:rPr>
            </w:pPr>
            <w:r w:rsidRPr="00122954">
              <w:rPr>
                <w:rFonts w:eastAsia="Times New Roman"/>
              </w:rPr>
              <w:t>0,3</w:t>
            </w:r>
          </w:p>
        </w:tc>
        <w:tc>
          <w:tcPr>
            <w:tcW w:w="817" w:type="dxa"/>
            <w:tcBorders>
              <w:top w:val="nil"/>
              <w:left w:val="nil"/>
              <w:bottom w:val="nil"/>
              <w:right w:val="nil"/>
            </w:tcBorders>
            <w:shd w:val="clear" w:color="auto" w:fill="auto"/>
            <w:vAlign w:val="center"/>
            <w:hideMark/>
          </w:tcPr>
          <w:p w14:paraId="09941A28" w14:textId="77777777" w:rsidR="006F55F8" w:rsidRPr="00122954" w:rsidRDefault="006F55F8" w:rsidP="006F55F8">
            <w:pPr>
              <w:spacing w:after="0"/>
              <w:jc w:val="right"/>
              <w:rPr>
                <w:rFonts w:eastAsia="Times New Roman"/>
              </w:rPr>
            </w:pPr>
            <w:r w:rsidRPr="00122954">
              <w:rPr>
                <w:rFonts w:eastAsia="Times New Roman"/>
              </w:rPr>
              <w:t>0,5</w:t>
            </w:r>
          </w:p>
        </w:tc>
        <w:tc>
          <w:tcPr>
            <w:tcW w:w="698" w:type="dxa"/>
            <w:tcBorders>
              <w:top w:val="nil"/>
              <w:left w:val="nil"/>
              <w:bottom w:val="nil"/>
              <w:right w:val="nil"/>
            </w:tcBorders>
            <w:shd w:val="clear" w:color="auto" w:fill="auto"/>
            <w:vAlign w:val="center"/>
            <w:hideMark/>
          </w:tcPr>
          <w:p w14:paraId="11BC1DA4"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6C5E7826" w14:textId="77777777" w:rsidTr="003E3545">
        <w:trPr>
          <w:trHeight w:val="300"/>
        </w:trPr>
        <w:tc>
          <w:tcPr>
            <w:tcW w:w="4082" w:type="dxa"/>
            <w:tcBorders>
              <w:top w:val="nil"/>
              <w:left w:val="nil"/>
              <w:bottom w:val="nil"/>
              <w:right w:val="nil"/>
            </w:tcBorders>
            <w:shd w:val="clear" w:color="auto" w:fill="auto"/>
            <w:vAlign w:val="center"/>
            <w:hideMark/>
          </w:tcPr>
          <w:p w14:paraId="733F23BC"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Utførte timeverk, Fastlands-Norge</w:t>
            </w:r>
          </w:p>
        </w:tc>
        <w:tc>
          <w:tcPr>
            <w:tcW w:w="1087" w:type="dxa"/>
            <w:tcBorders>
              <w:top w:val="nil"/>
              <w:left w:val="nil"/>
              <w:bottom w:val="nil"/>
              <w:right w:val="nil"/>
            </w:tcBorders>
            <w:shd w:val="clear" w:color="auto" w:fill="auto"/>
            <w:vAlign w:val="center"/>
            <w:hideMark/>
          </w:tcPr>
          <w:p w14:paraId="584ADE67" w14:textId="77777777" w:rsidR="006F55F8" w:rsidRPr="007649F8" w:rsidRDefault="006F55F8" w:rsidP="006F55F8">
            <w:pPr>
              <w:spacing w:after="0"/>
              <w:jc w:val="right"/>
              <w:rPr>
                <w:rFonts w:eastAsia="Times New Roman"/>
              </w:rPr>
            </w:pPr>
            <w:r w:rsidRPr="007649F8">
              <w:rPr>
                <w:rFonts w:eastAsia="Times New Roman"/>
              </w:rPr>
              <w:t>1,6</w:t>
            </w:r>
          </w:p>
        </w:tc>
        <w:tc>
          <w:tcPr>
            <w:tcW w:w="1087" w:type="dxa"/>
            <w:tcBorders>
              <w:top w:val="nil"/>
              <w:left w:val="nil"/>
              <w:bottom w:val="nil"/>
              <w:right w:val="nil"/>
            </w:tcBorders>
            <w:shd w:val="clear" w:color="auto" w:fill="auto"/>
            <w:vAlign w:val="center"/>
            <w:hideMark/>
          </w:tcPr>
          <w:p w14:paraId="4B43000A" w14:textId="77777777" w:rsidR="006F55F8" w:rsidRPr="00122954" w:rsidRDefault="006F55F8" w:rsidP="006F55F8">
            <w:pPr>
              <w:spacing w:after="0"/>
              <w:jc w:val="right"/>
              <w:rPr>
                <w:rFonts w:eastAsia="Times New Roman"/>
              </w:rPr>
            </w:pPr>
            <w:r>
              <w:rPr>
                <w:rFonts w:eastAsia="Times New Roman"/>
              </w:rPr>
              <w:t>0,6</w:t>
            </w:r>
          </w:p>
        </w:tc>
        <w:tc>
          <w:tcPr>
            <w:tcW w:w="820" w:type="dxa"/>
            <w:tcBorders>
              <w:top w:val="nil"/>
              <w:left w:val="nil"/>
              <w:bottom w:val="nil"/>
              <w:right w:val="nil"/>
            </w:tcBorders>
            <w:shd w:val="clear" w:color="auto" w:fill="auto"/>
            <w:vAlign w:val="center"/>
            <w:hideMark/>
          </w:tcPr>
          <w:p w14:paraId="64656BAD" w14:textId="77777777" w:rsidR="006F55F8" w:rsidRPr="00122954" w:rsidRDefault="006F55F8" w:rsidP="006F55F8">
            <w:pPr>
              <w:spacing w:after="0"/>
              <w:jc w:val="right"/>
              <w:rPr>
                <w:rFonts w:eastAsia="Times New Roman"/>
              </w:rPr>
            </w:pPr>
            <w:r w:rsidRPr="00122954">
              <w:rPr>
                <w:rFonts w:eastAsia="Times New Roman"/>
              </w:rPr>
              <w:t>0,9</w:t>
            </w:r>
          </w:p>
        </w:tc>
        <w:tc>
          <w:tcPr>
            <w:tcW w:w="791" w:type="dxa"/>
            <w:tcBorders>
              <w:top w:val="nil"/>
              <w:left w:val="nil"/>
              <w:bottom w:val="nil"/>
              <w:right w:val="nil"/>
            </w:tcBorders>
            <w:shd w:val="clear" w:color="auto" w:fill="auto"/>
            <w:vAlign w:val="center"/>
            <w:hideMark/>
          </w:tcPr>
          <w:p w14:paraId="21E0C934"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4793A54F" w14:textId="77777777" w:rsidR="006F55F8" w:rsidRPr="00122954" w:rsidRDefault="006F55F8" w:rsidP="006F55F8">
            <w:pPr>
              <w:spacing w:after="0"/>
              <w:jc w:val="right"/>
              <w:rPr>
                <w:rFonts w:eastAsia="Times New Roman"/>
              </w:rPr>
            </w:pPr>
            <w:r w:rsidRPr="00122954">
              <w:rPr>
                <w:rFonts w:eastAsia="Times New Roman"/>
              </w:rPr>
              <w:t>..</w:t>
            </w:r>
          </w:p>
        </w:tc>
        <w:tc>
          <w:tcPr>
            <w:tcW w:w="698" w:type="dxa"/>
            <w:tcBorders>
              <w:top w:val="nil"/>
              <w:left w:val="nil"/>
              <w:bottom w:val="nil"/>
              <w:right w:val="nil"/>
            </w:tcBorders>
            <w:shd w:val="clear" w:color="auto" w:fill="auto"/>
            <w:vAlign w:val="center"/>
            <w:hideMark/>
          </w:tcPr>
          <w:p w14:paraId="0639A43D"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10FDE93D" w14:textId="77777777" w:rsidTr="003E3545">
        <w:trPr>
          <w:trHeight w:val="300"/>
        </w:trPr>
        <w:tc>
          <w:tcPr>
            <w:tcW w:w="4082" w:type="dxa"/>
            <w:tcBorders>
              <w:top w:val="nil"/>
              <w:left w:val="nil"/>
              <w:bottom w:val="nil"/>
              <w:right w:val="nil"/>
            </w:tcBorders>
            <w:shd w:val="clear" w:color="auto" w:fill="auto"/>
            <w:vAlign w:val="center"/>
            <w:hideMark/>
          </w:tcPr>
          <w:p w14:paraId="7F342849"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Arbeidsledighetsrate -AKU (nivå)</w:t>
            </w:r>
          </w:p>
        </w:tc>
        <w:tc>
          <w:tcPr>
            <w:tcW w:w="1087" w:type="dxa"/>
            <w:tcBorders>
              <w:top w:val="nil"/>
              <w:left w:val="nil"/>
              <w:bottom w:val="nil"/>
              <w:right w:val="nil"/>
            </w:tcBorders>
            <w:shd w:val="clear" w:color="auto" w:fill="auto"/>
            <w:vAlign w:val="center"/>
            <w:hideMark/>
          </w:tcPr>
          <w:p w14:paraId="0EFA7AAC" w14:textId="77777777" w:rsidR="006F55F8" w:rsidRPr="007649F8" w:rsidRDefault="006F55F8" w:rsidP="006F55F8">
            <w:pPr>
              <w:spacing w:after="0"/>
              <w:jc w:val="right"/>
              <w:rPr>
                <w:rFonts w:eastAsia="Times New Roman"/>
              </w:rPr>
            </w:pPr>
            <w:r w:rsidRPr="007649F8">
              <w:rPr>
                <w:rFonts w:eastAsia="Times New Roman"/>
              </w:rPr>
              <w:t>3,5</w:t>
            </w:r>
          </w:p>
        </w:tc>
        <w:tc>
          <w:tcPr>
            <w:tcW w:w="1087" w:type="dxa"/>
            <w:tcBorders>
              <w:top w:val="nil"/>
              <w:left w:val="nil"/>
              <w:bottom w:val="nil"/>
              <w:right w:val="nil"/>
            </w:tcBorders>
            <w:shd w:val="clear" w:color="auto" w:fill="auto"/>
            <w:vAlign w:val="center"/>
            <w:hideMark/>
          </w:tcPr>
          <w:p w14:paraId="3A40DF98" w14:textId="77777777" w:rsidR="006F55F8" w:rsidRPr="00122954" w:rsidRDefault="006F55F8" w:rsidP="006F55F8">
            <w:pPr>
              <w:spacing w:after="0"/>
              <w:jc w:val="right"/>
              <w:rPr>
                <w:rFonts w:eastAsia="Times New Roman"/>
              </w:rPr>
            </w:pPr>
            <w:r w:rsidRPr="00122954">
              <w:rPr>
                <w:rFonts w:eastAsia="Times New Roman"/>
              </w:rPr>
              <w:t>4,4</w:t>
            </w:r>
          </w:p>
        </w:tc>
        <w:tc>
          <w:tcPr>
            <w:tcW w:w="820" w:type="dxa"/>
            <w:tcBorders>
              <w:top w:val="nil"/>
              <w:left w:val="nil"/>
              <w:bottom w:val="nil"/>
              <w:right w:val="nil"/>
            </w:tcBorders>
            <w:shd w:val="clear" w:color="auto" w:fill="auto"/>
            <w:vAlign w:val="center"/>
            <w:hideMark/>
          </w:tcPr>
          <w:p w14:paraId="65CE8C27" w14:textId="77777777" w:rsidR="006F55F8" w:rsidRPr="00122954" w:rsidRDefault="006F55F8" w:rsidP="006F55F8">
            <w:pPr>
              <w:spacing w:after="0"/>
              <w:jc w:val="right"/>
              <w:rPr>
                <w:rFonts w:eastAsia="Times New Roman"/>
              </w:rPr>
            </w:pPr>
            <w:r w:rsidRPr="00122954">
              <w:rPr>
                <w:rFonts w:eastAsia="Times New Roman"/>
              </w:rPr>
              <w:t>4,6</w:t>
            </w:r>
          </w:p>
        </w:tc>
        <w:tc>
          <w:tcPr>
            <w:tcW w:w="791" w:type="dxa"/>
            <w:tcBorders>
              <w:top w:val="nil"/>
              <w:left w:val="nil"/>
              <w:bottom w:val="nil"/>
              <w:right w:val="nil"/>
            </w:tcBorders>
            <w:shd w:val="clear" w:color="auto" w:fill="auto"/>
            <w:vAlign w:val="center"/>
            <w:hideMark/>
          </w:tcPr>
          <w:p w14:paraId="3FE3AE60" w14:textId="77777777" w:rsidR="006F55F8" w:rsidRPr="00122954" w:rsidRDefault="006F55F8" w:rsidP="006F55F8">
            <w:pPr>
              <w:spacing w:after="0"/>
              <w:jc w:val="right"/>
              <w:rPr>
                <w:rFonts w:eastAsia="Times New Roman"/>
              </w:rPr>
            </w:pPr>
            <w:r w:rsidRPr="00122954">
              <w:rPr>
                <w:rFonts w:eastAsia="Times New Roman"/>
              </w:rPr>
              <w:t>4,6</w:t>
            </w:r>
          </w:p>
        </w:tc>
        <w:tc>
          <w:tcPr>
            <w:tcW w:w="817" w:type="dxa"/>
            <w:tcBorders>
              <w:top w:val="nil"/>
              <w:left w:val="nil"/>
              <w:bottom w:val="nil"/>
              <w:right w:val="nil"/>
            </w:tcBorders>
            <w:shd w:val="clear" w:color="auto" w:fill="auto"/>
            <w:vAlign w:val="center"/>
            <w:hideMark/>
          </w:tcPr>
          <w:p w14:paraId="1CA57C88" w14:textId="77777777" w:rsidR="006F55F8" w:rsidRPr="00122954" w:rsidRDefault="006F55F8" w:rsidP="006F55F8">
            <w:pPr>
              <w:spacing w:after="0"/>
              <w:jc w:val="right"/>
              <w:rPr>
                <w:rFonts w:eastAsia="Times New Roman"/>
              </w:rPr>
            </w:pPr>
            <w:r w:rsidRPr="00122954">
              <w:rPr>
                <w:rFonts w:eastAsia="Times New Roman"/>
              </w:rPr>
              <w:t>4,5</w:t>
            </w:r>
          </w:p>
        </w:tc>
        <w:tc>
          <w:tcPr>
            <w:tcW w:w="698" w:type="dxa"/>
            <w:tcBorders>
              <w:top w:val="nil"/>
              <w:left w:val="nil"/>
              <w:bottom w:val="nil"/>
              <w:right w:val="nil"/>
            </w:tcBorders>
            <w:shd w:val="clear" w:color="auto" w:fill="auto"/>
            <w:vAlign w:val="center"/>
            <w:hideMark/>
          </w:tcPr>
          <w:p w14:paraId="13A73737"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361E1E83" w14:textId="77777777" w:rsidTr="003E3545">
        <w:trPr>
          <w:trHeight w:val="300"/>
        </w:trPr>
        <w:tc>
          <w:tcPr>
            <w:tcW w:w="4082" w:type="dxa"/>
            <w:tcBorders>
              <w:top w:val="nil"/>
              <w:left w:val="nil"/>
              <w:bottom w:val="nil"/>
              <w:right w:val="nil"/>
            </w:tcBorders>
            <w:shd w:val="clear" w:color="auto" w:fill="auto"/>
            <w:vAlign w:val="center"/>
            <w:hideMark/>
          </w:tcPr>
          <w:p w14:paraId="77E97BBC"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Årslønn</w:t>
            </w:r>
          </w:p>
        </w:tc>
        <w:tc>
          <w:tcPr>
            <w:tcW w:w="1087" w:type="dxa"/>
            <w:tcBorders>
              <w:top w:val="nil"/>
              <w:left w:val="nil"/>
              <w:bottom w:val="nil"/>
              <w:right w:val="nil"/>
            </w:tcBorders>
            <w:shd w:val="clear" w:color="auto" w:fill="auto"/>
            <w:vAlign w:val="center"/>
            <w:hideMark/>
          </w:tcPr>
          <w:p w14:paraId="533CCC70" w14:textId="77777777" w:rsidR="006F55F8" w:rsidRPr="007649F8" w:rsidRDefault="006F55F8" w:rsidP="006F55F8">
            <w:pPr>
              <w:spacing w:after="0"/>
              <w:jc w:val="right"/>
              <w:rPr>
                <w:rFonts w:eastAsia="Times New Roman"/>
              </w:rPr>
            </w:pPr>
            <w:r w:rsidRPr="007649F8">
              <w:rPr>
                <w:rFonts w:eastAsia="Times New Roman"/>
              </w:rPr>
              <w:t>3,1</w:t>
            </w:r>
          </w:p>
        </w:tc>
        <w:tc>
          <w:tcPr>
            <w:tcW w:w="1087" w:type="dxa"/>
            <w:tcBorders>
              <w:top w:val="nil"/>
              <w:left w:val="nil"/>
              <w:bottom w:val="nil"/>
              <w:right w:val="nil"/>
            </w:tcBorders>
            <w:shd w:val="clear" w:color="auto" w:fill="auto"/>
            <w:vAlign w:val="center"/>
            <w:hideMark/>
          </w:tcPr>
          <w:p w14:paraId="5E7BC951" w14:textId="77777777" w:rsidR="006F55F8" w:rsidRPr="00122954" w:rsidRDefault="006F55F8" w:rsidP="006F55F8">
            <w:pPr>
              <w:spacing w:after="0"/>
              <w:jc w:val="right"/>
              <w:rPr>
                <w:rFonts w:eastAsia="Times New Roman"/>
              </w:rPr>
            </w:pPr>
            <w:r w:rsidRPr="00122954">
              <w:rPr>
                <w:rFonts w:eastAsia="Times New Roman"/>
              </w:rPr>
              <w:t>2,8</w:t>
            </w:r>
          </w:p>
        </w:tc>
        <w:tc>
          <w:tcPr>
            <w:tcW w:w="820" w:type="dxa"/>
            <w:tcBorders>
              <w:top w:val="nil"/>
              <w:left w:val="nil"/>
              <w:bottom w:val="nil"/>
              <w:right w:val="nil"/>
            </w:tcBorders>
            <w:shd w:val="clear" w:color="auto" w:fill="auto"/>
            <w:vAlign w:val="center"/>
            <w:hideMark/>
          </w:tcPr>
          <w:p w14:paraId="4DE70017" w14:textId="77777777" w:rsidR="006F55F8" w:rsidRPr="00122954" w:rsidRDefault="006F55F8" w:rsidP="006F55F8">
            <w:pPr>
              <w:spacing w:after="0"/>
              <w:jc w:val="right"/>
              <w:rPr>
                <w:rFonts w:eastAsia="Times New Roman"/>
              </w:rPr>
            </w:pPr>
            <w:r w:rsidRPr="00122954">
              <w:rPr>
                <w:rFonts w:eastAsia="Times New Roman"/>
              </w:rPr>
              <w:t>2,6</w:t>
            </w:r>
          </w:p>
        </w:tc>
        <w:tc>
          <w:tcPr>
            <w:tcW w:w="791" w:type="dxa"/>
            <w:tcBorders>
              <w:top w:val="nil"/>
              <w:left w:val="nil"/>
              <w:bottom w:val="nil"/>
              <w:right w:val="nil"/>
            </w:tcBorders>
            <w:shd w:val="clear" w:color="auto" w:fill="auto"/>
            <w:vAlign w:val="center"/>
            <w:hideMark/>
          </w:tcPr>
          <w:p w14:paraId="31FB6020" w14:textId="77777777" w:rsidR="006F55F8" w:rsidRPr="00122954" w:rsidRDefault="006F55F8" w:rsidP="006F55F8">
            <w:pPr>
              <w:spacing w:after="0"/>
              <w:jc w:val="right"/>
              <w:rPr>
                <w:rFonts w:eastAsia="Times New Roman"/>
              </w:rPr>
            </w:pPr>
            <w:r w:rsidRPr="00122954">
              <w:rPr>
                <w:rFonts w:eastAsia="Times New Roman"/>
              </w:rPr>
              <w:t>2,8</w:t>
            </w:r>
          </w:p>
        </w:tc>
        <w:tc>
          <w:tcPr>
            <w:tcW w:w="817" w:type="dxa"/>
            <w:tcBorders>
              <w:top w:val="nil"/>
              <w:left w:val="nil"/>
              <w:bottom w:val="nil"/>
              <w:right w:val="nil"/>
            </w:tcBorders>
            <w:shd w:val="clear" w:color="auto" w:fill="auto"/>
            <w:vAlign w:val="center"/>
            <w:hideMark/>
          </w:tcPr>
          <w:p w14:paraId="13A38970" w14:textId="77777777" w:rsidR="006F55F8" w:rsidRPr="00122954" w:rsidRDefault="006F55F8" w:rsidP="006F55F8">
            <w:pPr>
              <w:spacing w:after="0"/>
              <w:jc w:val="right"/>
              <w:rPr>
                <w:rFonts w:eastAsia="Times New Roman"/>
              </w:rPr>
            </w:pPr>
            <w:r w:rsidRPr="00122954">
              <w:rPr>
                <w:rFonts w:eastAsia="Times New Roman"/>
              </w:rPr>
              <w:t>2,7</w:t>
            </w:r>
          </w:p>
        </w:tc>
        <w:tc>
          <w:tcPr>
            <w:tcW w:w="698" w:type="dxa"/>
            <w:tcBorders>
              <w:top w:val="nil"/>
              <w:left w:val="nil"/>
              <w:bottom w:val="nil"/>
              <w:right w:val="nil"/>
            </w:tcBorders>
            <w:shd w:val="clear" w:color="auto" w:fill="auto"/>
            <w:vAlign w:val="center"/>
            <w:hideMark/>
          </w:tcPr>
          <w:p w14:paraId="03DC510D" w14:textId="77777777" w:rsidR="006F55F8" w:rsidRPr="00122954" w:rsidRDefault="006F55F8" w:rsidP="006F55F8">
            <w:pPr>
              <w:spacing w:after="0"/>
              <w:jc w:val="right"/>
              <w:rPr>
                <w:rFonts w:eastAsia="Times New Roman"/>
              </w:rPr>
            </w:pPr>
            <w:r w:rsidRPr="00122954">
              <w:rPr>
                <w:rFonts w:eastAsia="Times New Roman"/>
              </w:rPr>
              <w:t>2,4</w:t>
            </w:r>
          </w:p>
        </w:tc>
      </w:tr>
      <w:tr w:rsidR="006F55F8" w:rsidRPr="00EB6C34" w14:paraId="0FAE6AF9" w14:textId="77777777" w:rsidTr="003E3545">
        <w:trPr>
          <w:trHeight w:val="300"/>
        </w:trPr>
        <w:tc>
          <w:tcPr>
            <w:tcW w:w="4082" w:type="dxa"/>
            <w:tcBorders>
              <w:top w:val="nil"/>
              <w:left w:val="nil"/>
              <w:bottom w:val="nil"/>
              <w:right w:val="nil"/>
            </w:tcBorders>
            <w:shd w:val="clear" w:color="auto" w:fill="auto"/>
            <w:vAlign w:val="center"/>
            <w:hideMark/>
          </w:tcPr>
          <w:p w14:paraId="3C8569AC"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Konsumprisindeksen</w:t>
            </w:r>
          </w:p>
        </w:tc>
        <w:tc>
          <w:tcPr>
            <w:tcW w:w="1087" w:type="dxa"/>
            <w:tcBorders>
              <w:top w:val="nil"/>
              <w:left w:val="nil"/>
              <w:bottom w:val="nil"/>
              <w:right w:val="nil"/>
            </w:tcBorders>
            <w:shd w:val="clear" w:color="auto" w:fill="auto"/>
            <w:vAlign w:val="center"/>
            <w:hideMark/>
          </w:tcPr>
          <w:p w14:paraId="6533BC68" w14:textId="77777777" w:rsidR="006F55F8" w:rsidRPr="007649F8" w:rsidRDefault="006F55F8" w:rsidP="006F55F8">
            <w:pPr>
              <w:spacing w:after="0"/>
              <w:jc w:val="right"/>
              <w:rPr>
                <w:rFonts w:eastAsia="Times New Roman"/>
              </w:rPr>
            </w:pPr>
            <w:r w:rsidRPr="007649F8">
              <w:rPr>
                <w:rFonts w:eastAsia="Times New Roman"/>
              </w:rPr>
              <w:t>2,0</w:t>
            </w:r>
          </w:p>
        </w:tc>
        <w:tc>
          <w:tcPr>
            <w:tcW w:w="1087" w:type="dxa"/>
            <w:tcBorders>
              <w:top w:val="nil"/>
              <w:left w:val="nil"/>
              <w:bottom w:val="nil"/>
              <w:right w:val="nil"/>
            </w:tcBorders>
            <w:shd w:val="clear" w:color="auto" w:fill="auto"/>
            <w:vAlign w:val="center"/>
            <w:hideMark/>
          </w:tcPr>
          <w:p w14:paraId="0CCFC238" w14:textId="77777777" w:rsidR="006F55F8" w:rsidRPr="00122954" w:rsidRDefault="006F55F8" w:rsidP="006F55F8">
            <w:pPr>
              <w:spacing w:after="0"/>
              <w:jc w:val="right"/>
              <w:rPr>
                <w:rFonts w:eastAsia="Times New Roman"/>
              </w:rPr>
            </w:pPr>
            <w:r w:rsidRPr="00122954">
              <w:rPr>
                <w:rFonts w:eastAsia="Times New Roman"/>
              </w:rPr>
              <w:t>2,1</w:t>
            </w:r>
          </w:p>
        </w:tc>
        <w:tc>
          <w:tcPr>
            <w:tcW w:w="820" w:type="dxa"/>
            <w:tcBorders>
              <w:top w:val="nil"/>
              <w:left w:val="nil"/>
              <w:bottom w:val="nil"/>
              <w:right w:val="nil"/>
            </w:tcBorders>
            <w:shd w:val="clear" w:color="auto" w:fill="auto"/>
            <w:vAlign w:val="center"/>
            <w:hideMark/>
          </w:tcPr>
          <w:p w14:paraId="195A890E" w14:textId="77777777" w:rsidR="006F55F8" w:rsidRPr="00122954" w:rsidRDefault="006F55F8" w:rsidP="006F55F8">
            <w:pPr>
              <w:spacing w:after="0"/>
              <w:jc w:val="right"/>
              <w:rPr>
                <w:rFonts w:eastAsia="Times New Roman"/>
              </w:rPr>
            </w:pPr>
            <w:r w:rsidRPr="00122954">
              <w:rPr>
                <w:rFonts w:eastAsia="Times New Roman"/>
              </w:rPr>
              <w:t>2,8</w:t>
            </w:r>
          </w:p>
        </w:tc>
        <w:tc>
          <w:tcPr>
            <w:tcW w:w="791" w:type="dxa"/>
            <w:tcBorders>
              <w:top w:val="nil"/>
              <w:left w:val="nil"/>
              <w:bottom w:val="nil"/>
              <w:right w:val="nil"/>
            </w:tcBorders>
            <w:shd w:val="clear" w:color="auto" w:fill="auto"/>
            <w:vAlign w:val="center"/>
            <w:hideMark/>
          </w:tcPr>
          <w:p w14:paraId="4148A618" w14:textId="77777777" w:rsidR="006F55F8" w:rsidRPr="00122954" w:rsidRDefault="006F55F8" w:rsidP="006F55F8">
            <w:pPr>
              <w:spacing w:after="0"/>
              <w:jc w:val="right"/>
              <w:rPr>
                <w:rFonts w:eastAsia="Times New Roman"/>
              </w:rPr>
            </w:pPr>
            <w:r w:rsidRPr="00122954">
              <w:rPr>
                <w:rFonts w:eastAsia="Times New Roman"/>
              </w:rPr>
              <w:t>2,8</w:t>
            </w:r>
          </w:p>
        </w:tc>
        <w:tc>
          <w:tcPr>
            <w:tcW w:w="817" w:type="dxa"/>
            <w:tcBorders>
              <w:top w:val="nil"/>
              <w:left w:val="nil"/>
              <w:bottom w:val="nil"/>
              <w:right w:val="nil"/>
            </w:tcBorders>
            <w:shd w:val="clear" w:color="auto" w:fill="auto"/>
            <w:vAlign w:val="center"/>
            <w:hideMark/>
          </w:tcPr>
          <w:p w14:paraId="1B18AF8D" w14:textId="77777777" w:rsidR="006F55F8" w:rsidRPr="00122954" w:rsidRDefault="006F55F8" w:rsidP="006F55F8">
            <w:pPr>
              <w:spacing w:after="0"/>
              <w:jc w:val="right"/>
              <w:rPr>
                <w:rFonts w:eastAsia="Times New Roman"/>
              </w:rPr>
            </w:pPr>
            <w:r w:rsidRPr="00122954">
              <w:rPr>
                <w:rFonts w:eastAsia="Times New Roman"/>
              </w:rPr>
              <w:t>2,5</w:t>
            </w:r>
          </w:p>
        </w:tc>
        <w:tc>
          <w:tcPr>
            <w:tcW w:w="698" w:type="dxa"/>
            <w:tcBorders>
              <w:top w:val="nil"/>
              <w:left w:val="nil"/>
              <w:bottom w:val="nil"/>
              <w:right w:val="nil"/>
            </w:tcBorders>
            <w:shd w:val="clear" w:color="auto" w:fill="auto"/>
            <w:vAlign w:val="center"/>
            <w:hideMark/>
          </w:tcPr>
          <w:p w14:paraId="1D137CFB" w14:textId="77777777" w:rsidR="006F55F8" w:rsidRPr="00122954" w:rsidRDefault="006F55F8" w:rsidP="006F55F8">
            <w:pPr>
              <w:spacing w:after="0"/>
              <w:jc w:val="right"/>
              <w:rPr>
                <w:rFonts w:eastAsia="Times New Roman"/>
              </w:rPr>
            </w:pPr>
            <w:r w:rsidRPr="00122954">
              <w:rPr>
                <w:rFonts w:eastAsia="Times New Roman"/>
              </w:rPr>
              <w:t>2,5</w:t>
            </w:r>
          </w:p>
        </w:tc>
      </w:tr>
      <w:tr w:rsidR="006F55F8" w:rsidRPr="00EB6C34" w14:paraId="43F21618" w14:textId="77777777" w:rsidTr="003E3545">
        <w:trPr>
          <w:trHeight w:val="300"/>
        </w:trPr>
        <w:tc>
          <w:tcPr>
            <w:tcW w:w="4082" w:type="dxa"/>
            <w:tcBorders>
              <w:top w:val="nil"/>
              <w:left w:val="nil"/>
              <w:bottom w:val="nil"/>
              <w:right w:val="nil"/>
            </w:tcBorders>
            <w:shd w:val="clear" w:color="auto" w:fill="auto"/>
            <w:vAlign w:val="center"/>
            <w:hideMark/>
          </w:tcPr>
          <w:p w14:paraId="314A985E"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 xml:space="preserve">Driftsbalansen, mrd. </w:t>
            </w:r>
            <w:r>
              <w:rPr>
                <w:rFonts w:ascii="Times New Roman" w:eastAsia="Times New Roman" w:hAnsi="Times New Roman"/>
                <w:color w:val="000000"/>
              </w:rPr>
              <w:t>k</w:t>
            </w:r>
            <w:r w:rsidRPr="00EB6C34">
              <w:rPr>
                <w:rFonts w:ascii="Times New Roman" w:eastAsia="Times New Roman" w:hAnsi="Times New Roman"/>
                <w:color w:val="000000"/>
              </w:rPr>
              <w:t>roner</w:t>
            </w:r>
          </w:p>
        </w:tc>
        <w:tc>
          <w:tcPr>
            <w:tcW w:w="1087" w:type="dxa"/>
            <w:tcBorders>
              <w:top w:val="nil"/>
              <w:left w:val="nil"/>
              <w:bottom w:val="nil"/>
              <w:right w:val="nil"/>
            </w:tcBorders>
            <w:shd w:val="clear" w:color="auto" w:fill="auto"/>
            <w:vAlign w:val="center"/>
            <w:hideMark/>
          </w:tcPr>
          <w:p w14:paraId="15C413AF" w14:textId="77777777" w:rsidR="006F55F8" w:rsidRPr="007649F8" w:rsidRDefault="006F55F8" w:rsidP="006F55F8">
            <w:pPr>
              <w:spacing w:after="0"/>
              <w:jc w:val="right"/>
              <w:rPr>
                <w:rFonts w:eastAsia="Times New Roman"/>
              </w:rPr>
            </w:pPr>
            <w:r w:rsidRPr="007649F8">
              <w:rPr>
                <w:rFonts w:eastAsia="Times New Roman"/>
              </w:rPr>
              <w:t>3</w:t>
            </w:r>
            <w:r>
              <w:rPr>
                <w:rFonts w:eastAsia="Times New Roman"/>
              </w:rPr>
              <w:t>7</w:t>
            </w:r>
            <w:r w:rsidRPr="007649F8">
              <w:rPr>
                <w:rFonts w:eastAsia="Times New Roman"/>
              </w:rPr>
              <w:t>7</w:t>
            </w:r>
          </w:p>
        </w:tc>
        <w:tc>
          <w:tcPr>
            <w:tcW w:w="1087" w:type="dxa"/>
            <w:tcBorders>
              <w:top w:val="nil"/>
              <w:left w:val="nil"/>
              <w:bottom w:val="nil"/>
              <w:right w:val="nil"/>
            </w:tcBorders>
            <w:shd w:val="clear" w:color="auto" w:fill="auto"/>
            <w:noWrap/>
            <w:vAlign w:val="center"/>
            <w:hideMark/>
          </w:tcPr>
          <w:p w14:paraId="1E33E9A2" w14:textId="77777777" w:rsidR="006F55F8" w:rsidRPr="00122954" w:rsidRDefault="006F55F8" w:rsidP="006F55F8">
            <w:pPr>
              <w:spacing w:after="0"/>
              <w:jc w:val="right"/>
              <w:rPr>
                <w:rFonts w:eastAsia="Times New Roman"/>
              </w:rPr>
            </w:pPr>
            <w:r w:rsidRPr="00122954">
              <w:rPr>
                <w:rFonts w:eastAsia="Times New Roman"/>
              </w:rPr>
              <w:t>2</w:t>
            </w:r>
            <w:r>
              <w:rPr>
                <w:rFonts w:eastAsia="Times New Roman"/>
              </w:rPr>
              <w:t>98</w:t>
            </w:r>
          </w:p>
        </w:tc>
        <w:tc>
          <w:tcPr>
            <w:tcW w:w="820" w:type="dxa"/>
            <w:tcBorders>
              <w:top w:val="nil"/>
              <w:left w:val="nil"/>
              <w:bottom w:val="nil"/>
              <w:right w:val="nil"/>
            </w:tcBorders>
            <w:shd w:val="clear" w:color="auto" w:fill="auto"/>
            <w:vAlign w:val="center"/>
            <w:hideMark/>
          </w:tcPr>
          <w:p w14:paraId="4896A326" w14:textId="77777777" w:rsidR="006F55F8" w:rsidRPr="00122954" w:rsidRDefault="006F55F8" w:rsidP="006F55F8">
            <w:pPr>
              <w:spacing w:after="0"/>
              <w:jc w:val="right"/>
              <w:rPr>
                <w:rFonts w:eastAsia="Times New Roman"/>
              </w:rPr>
            </w:pPr>
            <w:r w:rsidRPr="00122954">
              <w:rPr>
                <w:rFonts w:eastAsia="Times New Roman"/>
              </w:rPr>
              <w:t>231</w:t>
            </w:r>
          </w:p>
        </w:tc>
        <w:tc>
          <w:tcPr>
            <w:tcW w:w="791" w:type="dxa"/>
            <w:tcBorders>
              <w:top w:val="nil"/>
              <w:left w:val="nil"/>
              <w:bottom w:val="nil"/>
              <w:right w:val="nil"/>
            </w:tcBorders>
            <w:shd w:val="clear" w:color="auto" w:fill="auto"/>
            <w:vAlign w:val="center"/>
            <w:hideMark/>
          </w:tcPr>
          <w:p w14:paraId="55FDC497"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noWrap/>
            <w:vAlign w:val="center"/>
            <w:hideMark/>
          </w:tcPr>
          <w:p w14:paraId="036BC241" w14:textId="77777777" w:rsidR="006F55F8" w:rsidRPr="00122954" w:rsidRDefault="006F55F8" w:rsidP="006F55F8">
            <w:pPr>
              <w:spacing w:after="0"/>
              <w:jc w:val="right"/>
              <w:rPr>
                <w:rFonts w:eastAsia="Times New Roman"/>
              </w:rPr>
            </w:pPr>
            <w:r w:rsidRPr="00122954">
              <w:rPr>
                <w:rFonts w:eastAsia="Times New Roman"/>
              </w:rPr>
              <w:t>..</w:t>
            </w:r>
          </w:p>
        </w:tc>
        <w:tc>
          <w:tcPr>
            <w:tcW w:w="698" w:type="dxa"/>
            <w:tcBorders>
              <w:top w:val="nil"/>
              <w:left w:val="nil"/>
              <w:bottom w:val="nil"/>
              <w:right w:val="nil"/>
            </w:tcBorders>
            <w:shd w:val="clear" w:color="auto" w:fill="auto"/>
            <w:vAlign w:val="center"/>
            <w:hideMark/>
          </w:tcPr>
          <w:p w14:paraId="5807F295" w14:textId="77777777" w:rsidR="006F55F8" w:rsidRPr="00122954" w:rsidRDefault="006F55F8" w:rsidP="006F55F8">
            <w:pPr>
              <w:spacing w:after="0"/>
              <w:jc w:val="right"/>
              <w:rPr>
                <w:rFonts w:eastAsia="Times New Roman"/>
              </w:rPr>
            </w:pPr>
            <w:r>
              <w:rPr>
                <w:rFonts w:eastAsia="Times New Roman"/>
              </w:rPr>
              <w:t>210</w:t>
            </w:r>
          </w:p>
        </w:tc>
      </w:tr>
      <w:tr w:rsidR="006F55F8" w:rsidRPr="00EB6C34" w14:paraId="69AAA672" w14:textId="77777777" w:rsidTr="003E3545">
        <w:trPr>
          <w:trHeight w:val="300"/>
        </w:trPr>
        <w:tc>
          <w:tcPr>
            <w:tcW w:w="4082" w:type="dxa"/>
            <w:tcBorders>
              <w:top w:val="nil"/>
              <w:left w:val="nil"/>
              <w:bottom w:val="nil"/>
              <w:right w:val="nil"/>
            </w:tcBorders>
            <w:shd w:val="clear" w:color="auto" w:fill="auto"/>
            <w:vAlign w:val="center"/>
            <w:hideMark/>
          </w:tcPr>
          <w:p w14:paraId="39467A00"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Husholdningenes disponible realinntekt</w:t>
            </w:r>
          </w:p>
        </w:tc>
        <w:tc>
          <w:tcPr>
            <w:tcW w:w="1087" w:type="dxa"/>
            <w:tcBorders>
              <w:top w:val="nil"/>
              <w:left w:val="nil"/>
              <w:bottom w:val="nil"/>
              <w:right w:val="nil"/>
            </w:tcBorders>
            <w:shd w:val="clear" w:color="auto" w:fill="auto"/>
            <w:vAlign w:val="center"/>
            <w:hideMark/>
          </w:tcPr>
          <w:p w14:paraId="5FC31F53" w14:textId="77777777" w:rsidR="006F55F8" w:rsidRPr="007649F8" w:rsidRDefault="006F55F8" w:rsidP="006F55F8">
            <w:pPr>
              <w:spacing w:after="0"/>
              <w:jc w:val="right"/>
              <w:rPr>
                <w:rFonts w:eastAsia="Times New Roman"/>
              </w:rPr>
            </w:pPr>
            <w:r w:rsidRPr="007649F8">
              <w:rPr>
                <w:rFonts w:eastAsia="Times New Roman"/>
              </w:rPr>
              <w:t>2,9</w:t>
            </w:r>
          </w:p>
        </w:tc>
        <w:tc>
          <w:tcPr>
            <w:tcW w:w="1087" w:type="dxa"/>
            <w:tcBorders>
              <w:top w:val="nil"/>
              <w:left w:val="nil"/>
              <w:bottom w:val="nil"/>
              <w:right w:val="nil"/>
            </w:tcBorders>
            <w:shd w:val="clear" w:color="auto" w:fill="auto"/>
            <w:noWrap/>
            <w:vAlign w:val="center"/>
            <w:hideMark/>
          </w:tcPr>
          <w:p w14:paraId="5B959E60" w14:textId="77777777" w:rsidR="006F55F8" w:rsidRPr="00122954" w:rsidRDefault="006F55F8" w:rsidP="006F55F8">
            <w:pPr>
              <w:spacing w:after="0"/>
              <w:jc w:val="right"/>
              <w:rPr>
                <w:rFonts w:eastAsia="Times New Roman"/>
              </w:rPr>
            </w:pPr>
            <w:r>
              <w:rPr>
                <w:rFonts w:eastAsia="Times New Roman"/>
              </w:rPr>
              <w:t>2,2</w:t>
            </w:r>
          </w:p>
        </w:tc>
        <w:tc>
          <w:tcPr>
            <w:tcW w:w="820" w:type="dxa"/>
            <w:tcBorders>
              <w:top w:val="nil"/>
              <w:left w:val="nil"/>
              <w:bottom w:val="nil"/>
              <w:right w:val="nil"/>
            </w:tcBorders>
            <w:shd w:val="clear" w:color="auto" w:fill="auto"/>
            <w:vAlign w:val="center"/>
            <w:hideMark/>
          </w:tcPr>
          <w:p w14:paraId="15E99FF2" w14:textId="77777777" w:rsidR="006F55F8" w:rsidRPr="00122954" w:rsidRDefault="006F55F8" w:rsidP="006F55F8">
            <w:pPr>
              <w:spacing w:after="0"/>
              <w:jc w:val="right"/>
              <w:rPr>
                <w:rFonts w:eastAsia="Times New Roman"/>
              </w:rPr>
            </w:pPr>
            <w:r w:rsidRPr="00122954">
              <w:rPr>
                <w:rFonts w:eastAsia="Times New Roman"/>
              </w:rPr>
              <w:t>1,5</w:t>
            </w:r>
          </w:p>
        </w:tc>
        <w:tc>
          <w:tcPr>
            <w:tcW w:w="791" w:type="dxa"/>
            <w:tcBorders>
              <w:top w:val="nil"/>
              <w:left w:val="nil"/>
              <w:bottom w:val="nil"/>
              <w:right w:val="nil"/>
            </w:tcBorders>
            <w:shd w:val="clear" w:color="auto" w:fill="auto"/>
            <w:vAlign w:val="center"/>
            <w:hideMark/>
          </w:tcPr>
          <w:p w14:paraId="3EA9BCF0"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noWrap/>
            <w:vAlign w:val="center"/>
            <w:hideMark/>
          </w:tcPr>
          <w:p w14:paraId="10C21B9B" w14:textId="77777777" w:rsidR="006F55F8" w:rsidRPr="00122954" w:rsidRDefault="006F55F8" w:rsidP="006F55F8">
            <w:pPr>
              <w:spacing w:after="0"/>
              <w:jc w:val="right"/>
              <w:rPr>
                <w:rFonts w:eastAsia="Times New Roman"/>
              </w:rPr>
            </w:pPr>
            <w:r w:rsidRPr="00122954">
              <w:rPr>
                <w:rFonts w:eastAsia="Times New Roman"/>
              </w:rPr>
              <w:t>..</w:t>
            </w:r>
          </w:p>
        </w:tc>
        <w:tc>
          <w:tcPr>
            <w:tcW w:w="698" w:type="dxa"/>
            <w:tcBorders>
              <w:top w:val="nil"/>
              <w:left w:val="nil"/>
              <w:bottom w:val="nil"/>
              <w:right w:val="nil"/>
            </w:tcBorders>
            <w:shd w:val="clear" w:color="auto" w:fill="auto"/>
            <w:vAlign w:val="center"/>
            <w:hideMark/>
          </w:tcPr>
          <w:p w14:paraId="01A9C9AD"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3E1AE801" w14:textId="77777777" w:rsidTr="003E3545">
        <w:trPr>
          <w:trHeight w:val="300"/>
        </w:trPr>
        <w:tc>
          <w:tcPr>
            <w:tcW w:w="4082" w:type="dxa"/>
            <w:tcBorders>
              <w:top w:val="nil"/>
              <w:left w:val="nil"/>
              <w:bottom w:val="nil"/>
              <w:right w:val="nil"/>
            </w:tcBorders>
            <w:shd w:val="clear" w:color="auto" w:fill="auto"/>
            <w:vAlign w:val="center"/>
            <w:hideMark/>
          </w:tcPr>
          <w:p w14:paraId="52C050E2"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Pengemarkedsrente (nivå)</w:t>
            </w:r>
          </w:p>
        </w:tc>
        <w:tc>
          <w:tcPr>
            <w:tcW w:w="1087" w:type="dxa"/>
            <w:tcBorders>
              <w:top w:val="nil"/>
              <w:left w:val="nil"/>
              <w:bottom w:val="nil"/>
              <w:right w:val="nil"/>
            </w:tcBorders>
            <w:shd w:val="clear" w:color="auto" w:fill="auto"/>
            <w:vAlign w:val="center"/>
            <w:hideMark/>
          </w:tcPr>
          <w:p w14:paraId="36EBE1DE" w14:textId="77777777" w:rsidR="006F55F8" w:rsidRPr="007649F8" w:rsidRDefault="006F55F8" w:rsidP="006F55F8">
            <w:pPr>
              <w:spacing w:after="0"/>
              <w:jc w:val="right"/>
              <w:rPr>
                <w:rFonts w:eastAsia="Times New Roman"/>
              </w:rPr>
            </w:pPr>
            <w:r w:rsidRPr="007649F8">
              <w:rPr>
                <w:rFonts w:eastAsia="Times New Roman"/>
              </w:rPr>
              <w:t>1,7</w:t>
            </w:r>
          </w:p>
        </w:tc>
        <w:tc>
          <w:tcPr>
            <w:tcW w:w="1087" w:type="dxa"/>
            <w:tcBorders>
              <w:top w:val="nil"/>
              <w:left w:val="nil"/>
              <w:bottom w:val="nil"/>
              <w:right w:val="nil"/>
            </w:tcBorders>
            <w:shd w:val="clear" w:color="auto" w:fill="auto"/>
            <w:vAlign w:val="center"/>
            <w:hideMark/>
          </w:tcPr>
          <w:p w14:paraId="1244CD7B" w14:textId="77777777" w:rsidR="006F55F8" w:rsidRPr="00122954" w:rsidRDefault="006F55F8" w:rsidP="006F55F8">
            <w:pPr>
              <w:spacing w:after="0"/>
              <w:jc w:val="right"/>
              <w:rPr>
                <w:rFonts w:eastAsia="Times New Roman"/>
              </w:rPr>
            </w:pPr>
            <w:r w:rsidRPr="00122954">
              <w:rPr>
                <w:rFonts w:eastAsia="Times New Roman"/>
              </w:rPr>
              <w:t>1,3</w:t>
            </w:r>
          </w:p>
        </w:tc>
        <w:tc>
          <w:tcPr>
            <w:tcW w:w="820" w:type="dxa"/>
            <w:tcBorders>
              <w:top w:val="nil"/>
              <w:left w:val="nil"/>
              <w:bottom w:val="nil"/>
              <w:right w:val="nil"/>
            </w:tcBorders>
            <w:shd w:val="clear" w:color="auto" w:fill="auto"/>
            <w:vAlign w:val="center"/>
            <w:hideMark/>
          </w:tcPr>
          <w:p w14:paraId="748B9443" w14:textId="77777777" w:rsidR="006F55F8" w:rsidRPr="00122954" w:rsidRDefault="006F55F8" w:rsidP="006F55F8">
            <w:pPr>
              <w:spacing w:after="0"/>
              <w:jc w:val="right"/>
              <w:rPr>
                <w:rFonts w:eastAsia="Times New Roman"/>
              </w:rPr>
            </w:pPr>
            <w:r w:rsidRPr="00122954">
              <w:rPr>
                <w:rFonts w:eastAsia="Times New Roman"/>
              </w:rPr>
              <w:t>0,8</w:t>
            </w:r>
          </w:p>
        </w:tc>
        <w:tc>
          <w:tcPr>
            <w:tcW w:w="791" w:type="dxa"/>
            <w:tcBorders>
              <w:top w:val="nil"/>
              <w:left w:val="nil"/>
              <w:bottom w:val="nil"/>
              <w:right w:val="nil"/>
            </w:tcBorders>
            <w:shd w:val="clear" w:color="auto" w:fill="auto"/>
            <w:vAlign w:val="center"/>
            <w:hideMark/>
          </w:tcPr>
          <w:p w14:paraId="29C3D177" w14:textId="77777777" w:rsidR="006F55F8" w:rsidRPr="00122954" w:rsidRDefault="006F55F8" w:rsidP="006F55F8">
            <w:pPr>
              <w:spacing w:after="0"/>
              <w:jc w:val="right"/>
              <w:rPr>
                <w:rFonts w:eastAsia="Times New Roman"/>
              </w:rPr>
            </w:pPr>
            <w:r w:rsidRPr="00122954">
              <w:rPr>
                <w:rFonts w:eastAsia="Times New Roman"/>
              </w:rPr>
              <w:t>0,8</w:t>
            </w:r>
          </w:p>
        </w:tc>
        <w:tc>
          <w:tcPr>
            <w:tcW w:w="817" w:type="dxa"/>
            <w:tcBorders>
              <w:top w:val="nil"/>
              <w:left w:val="nil"/>
              <w:bottom w:val="nil"/>
              <w:right w:val="nil"/>
            </w:tcBorders>
            <w:shd w:val="clear" w:color="auto" w:fill="auto"/>
            <w:vAlign w:val="center"/>
            <w:hideMark/>
          </w:tcPr>
          <w:p w14:paraId="58479746" w14:textId="77777777" w:rsidR="006F55F8" w:rsidRPr="00122954" w:rsidRDefault="006F55F8" w:rsidP="006F55F8">
            <w:pPr>
              <w:spacing w:after="0"/>
              <w:jc w:val="right"/>
              <w:rPr>
                <w:rFonts w:eastAsia="Times New Roman"/>
              </w:rPr>
            </w:pPr>
            <w:r w:rsidRPr="00122954">
              <w:rPr>
                <w:rFonts w:eastAsia="Times New Roman"/>
              </w:rPr>
              <w:t>0,8</w:t>
            </w:r>
          </w:p>
        </w:tc>
        <w:tc>
          <w:tcPr>
            <w:tcW w:w="698" w:type="dxa"/>
            <w:tcBorders>
              <w:top w:val="nil"/>
              <w:left w:val="nil"/>
              <w:bottom w:val="nil"/>
              <w:right w:val="nil"/>
            </w:tcBorders>
            <w:shd w:val="clear" w:color="auto" w:fill="auto"/>
            <w:vAlign w:val="center"/>
            <w:hideMark/>
          </w:tcPr>
          <w:p w14:paraId="4D83387D"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470123D4" w14:textId="77777777" w:rsidTr="003E3545">
        <w:trPr>
          <w:trHeight w:val="300"/>
        </w:trPr>
        <w:tc>
          <w:tcPr>
            <w:tcW w:w="4082" w:type="dxa"/>
            <w:tcBorders>
              <w:top w:val="nil"/>
              <w:left w:val="nil"/>
              <w:bottom w:val="nil"/>
              <w:right w:val="nil"/>
            </w:tcBorders>
            <w:shd w:val="clear" w:color="auto" w:fill="auto"/>
            <w:vAlign w:val="center"/>
            <w:hideMark/>
          </w:tcPr>
          <w:p w14:paraId="29434AFA"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Importveid kronekurs</w:t>
            </w:r>
            <w:r w:rsidRPr="00EB6C34">
              <w:rPr>
                <w:rFonts w:ascii="Times New Roman" w:eastAsia="Times New Roman" w:hAnsi="Times New Roman"/>
                <w:color w:val="000000"/>
                <w:vertAlign w:val="superscript"/>
              </w:rPr>
              <w:t>7</w:t>
            </w:r>
          </w:p>
        </w:tc>
        <w:tc>
          <w:tcPr>
            <w:tcW w:w="1087" w:type="dxa"/>
            <w:tcBorders>
              <w:top w:val="nil"/>
              <w:left w:val="nil"/>
              <w:bottom w:val="nil"/>
              <w:right w:val="nil"/>
            </w:tcBorders>
            <w:shd w:val="clear" w:color="auto" w:fill="auto"/>
            <w:vAlign w:val="center"/>
            <w:hideMark/>
          </w:tcPr>
          <w:p w14:paraId="15A01FC8" w14:textId="77777777" w:rsidR="006F55F8" w:rsidRPr="007649F8" w:rsidRDefault="006F55F8" w:rsidP="006F55F8">
            <w:pPr>
              <w:spacing w:after="0"/>
              <w:jc w:val="right"/>
              <w:rPr>
                <w:rFonts w:eastAsia="Times New Roman"/>
              </w:rPr>
            </w:pPr>
            <w:r w:rsidRPr="007649F8">
              <w:rPr>
                <w:rFonts w:eastAsia="Times New Roman"/>
              </w:rPr>
              <w:t>5,3</w:t>
            </w:r>
          </w:p>
        </w:tc>
        <w:tc>
          <w:tcPr>
            <w:tcW w:w="1087" w:type="dxa"/>
            <w:tcBorders>
              <w:top w:val="nil"/>
              <w:left w:val="nil"/>
              <w:bottom w:val="nil"/>
              <w:right w:val="nil"/>
            </w:tcBorders>
            <w:shd w:val="clear" w:color="auto" w:fill="auto"/>
            <w:vAlign w:val="center"/>
            <w:hideMark/>
          </w:tcPr>
          <w:p w14:paraId="3AEFEFA8" w14:textId="77777777" w:rsidR="006F55F8" w:rsidRPr="00122954" w:rsidRDefault="006F55F8" w:rsidP="006F55F8">
            <w:pPr>
              <w:spacing w:after="0"/>
              <w:jc w:val="right"/>
              <w:rPr>
                <w:rFonts w:eastAsia="Times New Roman"/>
              </w:rPr>
            </w:pPr>
            <w:r w:rsidRPr="00122954">
              <w:rPr>
                <w:rFonts w:eastAsia="Times New Roman"/>
              </w:rPr>
              <w:t>10,5</w:t>
            </w:r>
          </w:p>
        </w:tc>
        <w:tc>
          <w:tcPr>
            <w:tcW w:w="820" w:type="dxa"/>
            <w:tcBorders>
              <w:top w:val="nil"/>
              <w:left w:val="nil"/>
              <w:bottom w:val="nil"/>
              <w:right w:val="nil"/>
            </w:tcBorders>
            <w:shd w:val="clear" w:color="auto" w:fill="auto"/>
            <w:vAlign w:val="center"/>
            <w:hideMark/>
          </w:tcPr>
          <w:p w14:paraId="21C9DC1F" w14:textId="77777777" w:rsidR="006F55F8" w:rsidRPr="00122954" w:rsidRDefault="006F55F8" w:rsidP="006F55F8">
            <w:pPr>
              <w:spacing w:after="0"/>
              <w:jc w:val="right"/>
              <w:rPr>
                <w:rFonts w:eastAsia="Times New Roman"/>
              </w:rPr>
            </w:pPr>
            <w:r w:rsidRPr="00122954">
              <w:rPr>
                <w:rFonts w:eastAsia="Times New Roman"/>
              </w:rPr>
              <w:t>3,9</w:t>
            </w:r>
          </w:p>
        </w:tc>
        <w:tc>
          <w:tcPr>
            <w:tcW w:w="791" w:type="dxa"/>
            <w:tcBorders>
              <w:top w:val="nil"/>
              <w:left w:val="nil"/>
              <w:bottom w:val="nil"/>
              <w:right w:val="nil"/>
            </w:tcBorders>
            <w:shd w:val="clear" w:color="auto" w:fill="auto"/>
            <w:vAlign w:val="center"/>
            <w:hideMark/>
          </w:tcPr>
          <w:p w14:paraId="580E4DCD" w14:textId="77777777" w:rsidR="006F55F8" w:rsidRPr="00122954" w:rsidRDefault="006F55F8" w:rsidP="006F55F8">
            <w:pPr>
              <w:spacing w:after="0"/>
              <w:jc w:val="right"/>
              <w:rPr>
                <w:rFonts w:eastAsia="Times New Roman"/>
              </w:rPr>
            </w:pPr>
            <w:r w:rsidRPr="00122954">
              <w:rPr>
                <w:rFonts w:eastAsia="Times New Roman"/>
              </w:rPr>
              <w:t>3,8</w:t>
            </w:r>
          </w:p>
        </w:tc>
        <w:tc>
          <w:tcPr>
            <w:tcW w:w="817" w:type="dxa"/>
            <w:tcBorders>
              <w:top w:val="nil"/>
              <w:left w:val="nil"/>
              <w:bottom w:val="nil"/>
              <w:right w:val="nil"/>
            </w:tcBorders>
            <w:shd w:val="clear" w:color="auto" w:fill="auto"/>
            <w:vAlign w:val="center"/>
            <w:hideMark/>
          </w:tcPr>
          <w:p w14:paraId="37CBA8AF" w14:textId="77777777" w:rsidR="006F55F8" w:rsidRPr="00122954" w:rsidRDefault="006F55F8" w:rsidP="006F55F8">
            <w:pPr>
              <w:spacing w:after="0"/>
              <w:jc w:val="right"/>
              <w:rPr>
                <w:rFonts w:eastAsia="Times New Roman"/>
              </w:rPr>
            </w:pPr>
            <w:r w:rsidRPr="00122954">
              <w:rPr>
                <w:rFonts w:eastAsia="Times New Roman"/>
              </w:rPr>
              <w:t>1,5</w:t>
            </w:r>
          </w:p>
        </w:tc>
        <w:tc>
          <w:tcPr>
            <w:tcW w:w="698" w:type="dxa"/>
            <w:tcBorders>
              <w:top w:val="nil"/>
              <w:left w:val="nil"/>
              <w:bottom w:val="nil"/>
              <w:right w:val="nil"/>
            </w:tcBorders>
            <w:shd w:val="clear" w:color="auto" w:fill="auto"/>
            <w:vAlign w:val="center"/>
            <w:hideMark/>
          </w:tcPr>
          <w:p w14:paraId="1B131B0B"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627CA90E" w14:textId="77777777" w:rsidTr="003E3545">
        <w:trPr>
          <w:trHeight w:val="300"/>
        </w:trPr>
        <w:tc>
          <w:tcPr>
            <w:tcW w:w="4082" w:type="dxa"/>
            <w:tcBorders>
              <w:top w:val="nil"/>
              <w:left w:val="nil"/>
              <w:bottom w:val="nil"/>
              <w:right w:val="nil"/>
            </w:tcBorders>
            <w:shd w:val="clear" w:color="auto" w:fill="auto"/>
            <w:vAlign w:val="center"/>
            <w:hideMark/>
          </w:tcPr>
          <w:p w14:paraId="11C843A6"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Utlånsrente, rammelån (nivå)</w:t>
            </w:r>
            <w:r w:rsidRPr="00EB6C34">
              <w:rPr>
                <w:rFonts w:ascii="Times New Roman" w:eastAsia="Times New Roman" w:hAnsi="Times New Roman"/>
                <w:color w:val="000000"/>
                <w:vertAlign w:val="superscript"/>
              </w:rPr>
              <w:t>8</w:t>
            </w:r>
          </w:p>
        </w:tc>
        <w:tc>
          <w:tcPr>
            <w:tcW w:w="1087" w:type="dxa"/>
            <w:tcBorders>
              <w:top w:val="nil"/>
              <w:left w:val="nil"/>
              <w:bottom w:val="nil"/>
              <w:right w:val="nil"/>
            </w:tcBorders>
            <w:shd w:val="clear" w:color="auto" w:fill="auto"/>
            <w:vAlign w:val="center"/>
            <w:hideMark/>
          </w:tcPr>
          <w:p w14:paraId="4AD803A8" w14:textId="77777777" w:rsidR="006F55F8" w:rsidRPr="007649F8" w:rsidRDefault="006F55F8" w:rsidP="006F55F8">
            <w:pPr>
              <w:spacing w:after="0"/>
              <w:jc w:val="right"/>
              <w:rPr>
                <w:rFonts w:eastAsia="Times New Roman"/>
              </w:rPr>
            </w:pPr>
            <w:r w:rsidRPr="007649F8">
              <w:rPr>
                <w:rFonts w:eastAsia="Times New Roman"/>
              </w:rPr>
              <w:t>3,9</w:t>
            </w:r>
          </w:p>
        </w:tc>
        <w:tc>
          <w:tcPr>
            <w:tcW w:w="1087" w:type="dxa"/>
            <w:tcBorders>
              <w:top w:val="nil"/>
              <w:left w:val="nil"/>
              <w:bottom w:val="nil"/>
              <w:right w:val="nil"/>
            </w:tcBorders>
            <w:shd w:val="clear" w:color="auto" w:fill="auto"/>
            <w:noWrap/>
            <w:vAlign w:val="center"/>
            <w:hideMark/>
          </w:tcPr>
          <w:p w14:paraId="5C112164" w14:textId="77777777" w:rsidR="006F55F8" w:rsidRPr="00122954" w:rsidRDefault="006F55F8" w:rsidP="006F55F8">
            <w:pPr>
              <w:spacing w:after="0"/>
              <w:jc w:val="right"/>
              <w:rPr>
                <w:rFonts w:eastAsia="Times New Roman"/>
              </w:rPr>
            </w:pPr>
            <w:r w:rsidRPr="00122954">
              <w:rPr>
                <w:rFonts w:eastAsia="Times New Roman"/>
              </w:rPr>
              <w:t>3,2</w:t>
            </w:r>
          </w:p>
        </w:tc>
        <w:tc>
          <w:tcPr>
            <w:tcW w:w="820" w:type="dxa"/>
            <w:tcBorders>
              <w:top w:val="nil"/>
              <w:left w:val="nil"/>
              <w:bottom w:val="nil"/>
              <w:right w:val="nil"/>
            </w:tcBorders>
            <w:shd w:val="clear" w:color="auto" w:fill="auto"/>
            <w:vAlign w:val="center"/>
            <w:hideMark/>
          </w:tcPr>
          <w:p w14:paraId="183ADF9C" w14:textId="77777777" w:rsidR="006F55F8" w:rsidRPr="00122954" w:rsidRDefault="006F55F8" w:rsidP="006F55F8">
            <w:pPr>
              <w:spacing w:after="0"/>
              <w:jc w:val="right"/>
              <w:rPr>
                <w:rFonts w:eastAsia="Times New Roman"/>
              </w:rPr>
            </w:pPr>
            <w:r w:rsidRPr="00122954">
              <w:rPr>
                <w:rFonts w:eastAsia="Times New Roman"/>
              </w:rPr>
              <w:t>2,6</w:t>
            </w:r>
          </w:p>
        </w:tc>
        <w:tc>
          <w:tcPr>
            <w:tcW w:w="791" w:type="dxa"/>
            <w:tcBorders>
              <w:top w:val="nil"/>
              <w:left w:val="nil"/>
              <w:bottom w:val="nil"/>
              <w:right w:val="nil"/>
            </w:tcBorders>
            <w:shd w:val="clear" w:color="auto" w:fill="auto"/>
            <w:vAlign w:val="center"/>
            <w:hideMark/>
          </w:tcPr>
          <w:p w14:paraId="25A114D4"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nil"/>
              <w:right w:val="nil"/>
            </w:tcBorders>
            <w:shd w:val="clear" w:color="auto" w:fill="auto"/>
            <w:vAlign w:val="center"/>
            <w:hideMark/>
          </w:tcPr>
          <w:p w14:paraId="2FA8C27D" w14:textId="77777777" w:rsidR="006F55F8" w:rsidRPr="00122954" w:rsidRDefault="006F55F8" w:rsidP="006F55F8">
            <w:pPr>
              <w:spacing w:after="0"/>
              <w:jc w:val="right"/>
              <w:rPr>
                <w:rFonts w:eastAsia="Times New Roman"/>
              </w:rPr>
            </w:pPr>
            <w:r w:rsidRPr="00122954">
              <w:rPr>
                <w:rFonts w:eastAsia="Times New Roman"/>
              </w:rPr>
              <w:t>..</w:t>
            </w:r>
          </w:p>
        </w:tc>
        <w:tc>
          <w:tcPr>
            <w:tcW w:w="698" w:type="dxa"/>
            <w:tcBorders>
              <w:top w:val="nil"/>
              <w:left w:val="nil"/>
              <w:bottom w:val="nil"/>
              <w:right w:val="nil"/>
            </w:tcBorders>
            <w:shd w:val="clear" w:color="auto" w:fill="auto"/>
            <w:vAlign w:val="center"/>
            <w:hideMark/>
          </w:tcPr>
          <w:p w14:paraId="7839F519" w14:textId="77777777" w:rsidR="006F55F8" w:rsidRPr="00122954" w:rsidRDefault="006F55F8" w:rsidP="006F55F8">
            <w:pPr>
              <w:spacing w:after="0"/>
              <w:jc w:val="right"/>
              <w:rPr>
                <w:rFonts w:eastAsia="Times New Roman"/>
              </w:rPr>
            </w:pPr>
            <w:r w:rsidRPr="00122954">
              <w:rPr>
                <w:rFonts w:eastAsia="Times New Roman"/>
              </w:rPr>
              <w:t>..</w:t>
            </w:r>
          </w:p>
        </w:tc>
      </w:tr>
      <w:tr w:rsidR="006F55F8" w:rsidRPr="00EB6C34" w14:paraId="1BAFB202" w14:textId="77777777" w:rsidTr="003E3545">
        <w:trPr>
          <w:trHeight w:val="315"/>
        </w:trPr>
        <w:tc>
          <w:tcPr>
            <w:tcW w:w="4082" w:type="dxa"/>
            <w:tcBorders>
              <w:top w:val="nil"/>
              <w:left w:val="nil"/>
              <w:bottom w:val="single" w:sz="8" w:space="0" w:color="auto"/>
              <w:right w:val="nil"/>
            </w:tcBorders>
            <w:shd w:val="clear" w:color="auto" w:fill="auto"/>
            <w:vAlign w:val="center"/>
            <w:hideMark/>
          </w:tcPr>
          <w:p w14:paraId="636E6A5B" w14:textId="77777777" w:rsidR="006F55F8" w:rsidRPr="00EB6C34" w:rsidRDefault="006F55F8" w:rsidP="006F55F8">
            <w:pPr>
              <w:spacing w:after="0"/>
              <w:rPr>
                <w:rFonts w:ascii="Times New Roman" w:eastAsia="Times New Roman" w:hAnsi="Times New Roman"/>
                <w:color w:val="000000"/>
              </w:rPr>
            </w:pPr>
            <w:r w:rsidRPr="00EB6C34">
              <w:rPr>
                <w:rFonts w:ascii="Times New Roman" w:eastAsia="Times New Roman" w:hAnsi="Times New Roman"/>
                <w:color w:val="000000"/>
              </w:rPr>
              <w:t>Råoljepris</w:t>
            </w:r>
            <w:r w:rsidRPr="00EB6C34">
              <w:rPr>
                <w:rFonts w:ascii="Times New Roman" w:eastAsia="Times New Roman" w:hAnsi="Times New Roman"/>
                <w:color w:val="000000"/>
                <w:vertAlign w:val="superscript"/>
              </w:rPr>
              <w:t>9</w:t>
            </w:r>
            <w:r w:rsidRPr="00EB6C34">
              <w:rPr>
                <w:rFonts w:ascii="Times New Roman" w:eastAsia="Times New Roman" w:hAnsi="Times New Roman"/>
                <w:color w:val="000000"/>
              </w:rPr>
              <w:t xml:space="preserve"> i kroner (nivå)</w:t>
            </w:r>
          </w:p>
        </w:tc>
        <w:tc>
          <w:tcPr>
            <w:tcW w:w="1087" w:type="dxa"/>
            <w:tcBorders>
              <w:top w:val="nil"/>
              <w:left w:val="nil"/>
              <w:bottom w:val="single" w:sz="8" w:space="0" w:color="auto"/>
              <w:right w:val="nil"/>
            </w:tcBorders>
            <w:shd w:val="clear" w:color="auto" w:fill="auto"/>
            <w:vAlign w:val="center"/>
            <w:hideMark/>
          </w:tcPr>
          <w:p w14:paraId="1DF310F5" w14:textId="77777777" w:rsidR="006F55F8" w:rsidRPr="007649F8" w:rsidRDefault="006F55F8" w:rsidP="006F55F8">
            <w:pPr>
              <w:spacing w:after="0"/>
              <w:jc w:val="right"/>
              <w:rPr>
                <w:rFonts w:eastAsia="Times New Roman"/>
              </w:rPr>
            </w:pPr>
            <w:r w:rsidRPr="007649F8">
              <w:rPr>
                <w:rFonts w:eastAsia="Times New Roman"/>
              </w:rPr>
              <w:t>621</w:t>
            </w:r>
          </w:p>
        </w:tc>
        <w:tc>
          <w:tcPr>
            <w:tcW w:w="1087" w:type="dxa"/>
            <w:tcBorders>
              <w:top w:val="nil"/>
              <w:left w:val="nil"/>
              <w:bottom w:val="single" w:sz="8" w:space="0" w:color="auto"/>
              <w:right w:val="nil"/>
            </w:tcBorders>
            <w:shd w:val="clear" w:color="auto" w:fill="auto"/>
            <w:vAlign w:val="center"/>
            <w:hideMark/>
          </w:tcPr>
          <w:p w14:paraId="10DE5010" w14:textId="77777777" w:rsidR="006F55F8" w:rsidRPr="00122954" w:rsidRDefault="006F55F8" w:rsidP="006F55F8">
            <w:pPr>
              <w:spacing w:after="0"/>
              <w:jc w:val="right"/>
              <w:rPr>
                <w:rFonts w:eastAsia="Times New Roman"/>
              </w:rPr>
            </w:pPr>
            <w:r w:rsidRPr="00122954">
              <w:rPr>
                <w:rFonts w:eastAsia="Times New Roman"/>
              </w:rPr>
              <w:t>43</w:t>
            </w:r>
            <w:r>
              <w:rPr>
                <w:rFonts w:eastAsia="Times New Roman"/>
              </w:rPr>
              <w:t>0</w:t>
            </w:r>
          </w:p>
        </w:tc>
        <w:tc>
          <w:tcPr>
            <w:tcW w:w="820" w:type="dxa"/>
            <w:tcBorders>
              <w:top w:val="nil"/>
              <w:left w:val="nil"/>
              <w:bottom w:val="single" w:sz="8" w:space="0" w:color="auto"/>
              <w:right w:val="nil"/>
            </w:tcBorders>
            <w:shd w:val="clear" w:color="auto" w:fill="auto"/>
            <w:vAlign w:val="center"/>
            <w:hideMark/>
          </w:tcPr>
          <w:p w14:paraId="3BB22D1C" w14:textId="77777777" w:rsidR="006F55F8" w:rsidRPr="00122954" w:rsidRDefault="006F55F8" w:rsidP="006F55F8">
            <w:pPr>
              <w:spacing w:after="0"/>
              <w:jc w:val="right"/>
              <w:rPr>
                <w:rFonts w:eastAsia="Times New Roman"/>
              </w:rPr>
            </w:pPr>
            <w:r w:rsidRPr="00122954">
              <w:rPr>
                <w:rFonts w:eastAsia="Times New Roman"/>
              </w:rPr>
              <w:t>438</w:t>
            </w:r>
          </w:p>
        </w:tc>
        <w:tc>
          <w:tcPr>
            <w:tcW w:w="791" w:type="dxa"/>
            <w:tcBorders>
              <w:top w:val="nil"/>
              <w:left w:val="nil"/>
              <w:bottom w:val="single" w:sz="8" w:space="0" w:color="auto"/>
              <w:right w:val="nil"/>
            </w:tcBorders>
            <w:shd w:val="clear" w:color="auto" w:fill="auto"/>
            <w:vAlign w:val="center"/>
            <w:hideMark/>
          </w:tcPr>
          <w:p w14:paraId="3D7966F6" w14:textId="77777777" w:rsidR="006F55F8" w:rsidRPr="00122954" w:rsidRDefault="006F55F8" w:rsidP="006F55F8">
            <w:pPr>
              <w:spacing w:after="0"/>
              <w:jc w:val="right"/>
              <w:rPr>
                <w:rFonts w:eastAsia="Times New Roman"/>
              </w:rPr>
            </w:pPr>
            <w:r w:rsidRPr="00122954">
              <w:rPr>
                <w:rFonts w:eastAsia="Times New Roman"/>
              </w:rPr>
              <w:t>..</w:t>
            </w:r>
          </w:p>
        </w:tc>
        <w:tc>
          <w:tcPr>
            <w:tcW w:w="817" w:type="dxa"/>
            <w:tcBorders>
              <w:top w:val="nil"/>
              <w:left w:val="nil"/>
              <w:bottom w:val="single" w:sz="8" w:space="0" w:color="auto"/>
              <w:right w:val="nil"/>
            </w:tcBorders>
            <w:shd w:val="clear" w:color="auto" w:fill="auto"/>
            <w:vAlign w:val="center"/>
            <w:hideMark/>
          </w:tcPr>
          <w:p w14:paraId="756FB265" w14:textId="77777777" w:rsidR="006F55F8" w:rsidRPr="00122954" w:rsidRDefault="006F55F8" w:rsidP="006F55F8">
            <w:pPr>
              <w:spacing w:after="0"/>
              <w:jc w:val="right"/>
              <w:rPr>
                <w:rFonts w:eastAsia="Times New Roman"/>
              </w:rPr>
            </w:pPr>
            <w:r w:rsidRPr="00122954">
              <w:rPr>
                <w:rFonts w:eastAsia="Times New Roman"/>
              </w:rPr>
              <w:t>440</w:t>
            </w:r>
          </w:p>
        </w:tc>
        <w:tc>
          <w:tcPr>
            <w:tcW w:w="698" w:type="dxa"/>
            <w:tcBorders>
              <w:top w:val="nil"/>
              <w:left w:val="nil"/>
              <w:bottom w:val="single" w:sz="8" w:space="0" w:color="auto"/>
              <w:right w:val="nil"/>
            </w:tcBorders>
            <w:shd w:val="clear" w:color="auto" w:fill="auto"/>
            <w:vAlign w:val="center"/>
            <w:hideMark/>
          </w:tcPr>
          <w:p w14:paraId="591BD463" w14:textId="77777777" w:rsidR="006F55F8" w:rsidRPr="00122954" w:rsidRDefault="006F55F8" w:rsidP="006F55F8">
            <w:pPr>
              <w:spacing w:after="0"/>
              <w:jc w:val="right"/>
              <w:rPr>
                <w:rFonts w:eastAsia="Times New Roman"/>
              </w:rPr>
            </w:pPr>
            <w:r w:rsidRPr="00122954">
              <w:rPr>
                <w:rFonts w:eastAsia="Times New Roman"/>
              </w:rPr>
              <w:t>..</w:t>
            </w:r>
          </w:p>
        </w:tc>
      </w:tr>
    </w:tbl>
    <w:p w14:paraId="55CDCEBD" w14:textId="0C25D7AD" w:rsidR="003E3545" w:rsidRPr="003E3545" w:rsidRDefault="003E3545" w:rsidP="004104FE">
      <w:pPr>
        <w:spacing w:after="0"/>
        <w:contextualSpacing/>
        <w:rPr>
          <w:sz w:val="20"/>
        </w:rPr>
      </w:pPr>
      <w:r w:rsidRPr="003E3545">
        <w:rPr>
          <w:sz w:val="20"/>
        </w:rPr>
        <w:t>* Foreløpige tall</w:t>
      </w:r>
      <w:r w:rsidR="008726A8">
        <w:rPr>
          <w:sz w:val="20"/>
        </w:rPr>
        <w:t>.</w:t>
      </w:r>
    </w:p>
    <w:p w14:paraId="53810BA4" w14:textId="3B4419E2" w:rsidR="003E3545" w:rsidRPr="003E3545" w:rsidRDefault="003E3545" w:rsidP="008643D6">
      <w:pPr>
        <w:pStyle w:val="tabell-noter"/>
        <w:numPr>
          <w:ilvl w:val="0"/>
          <w:numId w:val="86"/>
        </w:numPr>
        <w:tabs>
          <w:tab w:val="clear" w:pos="284"/>
        </w:tabs>
        <w:spacing w:before="0" w:after="0"/>
        <w:ind w:left="142" w:hanging="142"/>
      </w:pPr>
      <w:r w:rsidRPr="003E3545">
        <w:t>Anslag ifølge Statistisk sentralbyrå, Økonomiske analyser 4/2015, desember 2015</w:t>
      </w:r>
      <w:r w:rsidR="008726A8">
        <w:t>.</w:t>
      </w:r>
    </w:p>
    <w:p w14:paraId="18A86A66" w14:textId="5FCA3086" w:rsidR="003E3545" w:rsidRPr="003E3545" w:rsidRDefault="003E3545" w:rsidP="008643D6">
      <w:pPr>
        <w:pStyle w:val="tabell-noter"/>
        <w:numPr>
          <w:ilvl w:val="0"/>
          <w:numId w:val="86"/>
        </w:numPr>
        <w:tabs>
          <w:tab w:val="clear" w:pos="284"/>
        </w:tabs>
        <w:spacing w:before="0" w:after="0"/>
        <w:ind w:left="142" w:hanging="142"/>
      </w:pPr>
      <w:r w:rsidRPr="003E3545">
        <w:t>Anslag ifølge Norges Bank. Pengepolitisk rapport 4/2015, desember 2015</w:t>
      </w:r>
      <w:r w:rsidR="008726A8">
        <w:t>.</w:t>
      </w:r>
    </w:p>
    <w:p w14:paraId="10067A0A" w14:textId="26DCABFF" w:rsidR="003E3545" w:rsidRPr="003E3545" w:rsidRDefault="003E3545" w:rsidP="008643D6">
      <w:pPr>
        <w:pStyle w:val="tabell-noter"/>
        <w:numPr>
          <w:ilvl w:val="0"/>
          <w:numId w:val="86"/>
        </w:numPr>
        <w:tabs>
          <w:tab w:val="clear" w:pos="284"/>
        </w:tabs>
        <w:spacing w:before="0" w:after="0"/>
        <w:ind w:left="142" w:hanging="142"/>
      </w:pPr>
      <w:r w:rsidRPr="003E3545">
        <w:t>Anslag ifølge Finansdepartementet, Meld.St.1 (2015-2016), oktober 2015</w:t>
      </w:r>
      <w:r w:rsidR="008726A8">
        <w:t>.</w:t>
      </w:r>
    </w:p>
    <w:p w14:paraId="638480D6" w14:textId="1014F4F5" w:rsidR="003E3545" w:rsidRPr="003E3545" w:rsidRDefault="003E3545" w:rsidP="008643D6">
      <w:pPr>
        <w:pStyle w:val="tabell-noter"/>
        <w:numPr>
          <w:ilvl w:val="0"/>
          <w:numId w:val="86"/>
        </w:numPr>
        <w:tabs>
          <w:tab w:val="clear" w:pos="284"/>
        </w:tabs>
        <w:spacing w:before="0" w:after="0"/>
        <w:ind w:left="142" w:hanging="142"/>
      </w:pPr>
      <w:r w:rsidRPr="003E3545">
        <w:t xml:space="preserve">Gjennomsnitt av flere prognoseaktører </w:t>
      </w:r>
      <w:r w:rsidR="008D32BA" w:rsidRPr="003E3545">
        <w:t>ifølge</w:t>
      </w:r>
      <w:r w:rsidRPr="003E3545">
        <w:t xml:space="preserve"> Consensus Forecasts per februar 2016</w:t>
      </w:r>
      <w:r w:rsidR="008726A8">
        <w:t>.</w:t>
      </w:r>
    </w:p>
    <w:p w14:paraId="6D4F7C36" w14:textId="77748A32" w:rsidR="003E3545" w:rsidRPr="003E3545" w:rsidRDefault="003E3545" w:rsidP="008643D6">
      <w:pPr>
        <w:pStyle w:val="tabell-noter"/>
        <w:numPr>
          <w:ilvl w:val="0"/>
          <w:numId w:val="86"/>
        </w:numPr>
        <w:tabs>
          <w:tab w:val="clear" w:pos="284"/>
        </w:tabs>
        <w:spacing w:before="0" w:after="0"/>
        <w:ind w:left="142" w:hanging="142"/>
      </w:pPr>
      <w:r w:rsidRPr="003E3545">
        <w:t>Norges Bank oppgir anslag for summen av boliginvesteringer og næringsinvesteringer på fastlandet</w:t>
      </w:r>
      <w:r w:rsidR="008726A8">
        <w:t>.</w:t>
      </w:r>
    </w:p>
    <w:p w14:paraId="1D5D2818" w14:textId="46020F23" w:rsidR="003E3545" w:rsidRPr="003E3545" w:rsidRDefault="003E3545" w:rsidP="008643D6">
      <w:pPr>
        <w:pStyle w:val="tabell-noter"/>
        <w:numPr>
          <w:ilvl w:val="0"/>
          <w:numId w:val="86"/>
        </w:numPr>
        <w:tabs>
          <w:tab w:val="clear" w:pos="284"/>
        </w:tabs>
        <w:spacing w:before="0" w:after="0"/>
        <w:ind w:left="142" w:hanging="142"/>
      </w:pPr>
      <w:r w:rsidRPr="003E3545">
        <w:t>Inkludert reisetrafikk og andre tjenester</w:t>
      </w:r>
      <w:r w:rsidR="008726A8">
        <w:t>.</w:t>
      </w:r>
    </w:p>
    <w:p w14:paraId="19D7D998" w14:textId="4F06ABF9" w:rsidR="003E3545" w:rsidRPr="003E3545" w:rsidRDefault="003E3545" w:rsidP="008643D6">
      <w:pPr>
        <w:pStyle w:val="tabell-noter"/>
        <w:numPr>
          <w:ilvl w:val="0"/>
          <w:numId w:val="86"/>
        </w:numPr>
        <w:tabs>
          <w:tab w:val="clear" w:pos="284"/>
        </w:tabs>
        <w:spacing w:before="0" w:after="0"/>
        <w:ind w:left="142" w:hanging="142"/>
      </w:pPr>
      <w:r w:rsidRPr="003E3545">
        <w:t>Positivt tall innebærer svekket krone</w:t>
      </w:r>
      <w:r w:rsidR="008726A8">
        <w:t>.</w:t>
      </w:r>
    </w:p>
    <w:p w14:paraId="08C34A87" w14:textId="7AC9A8A2" w:rsidR="003E3545" w:rsidRPr="003E3545" w:rsidRDefault="003E3545" w:rsidP="008643D6">
      <w:pPr>
        <w:pStyle w:val="tabell-noter"/>
        <w:numPr>
          <w:ilvl w:val="0"/>
          <w:numId w:val="86"/>
        </w:numPr>
        <w:tabs>
          <w:tab w:val="clear" w:pos="284"/>
        </w:tabs>
        <w:spacing w:before="0" w:after="0"/>
        <w:ind w:left="142" w:hanging="142"/>
      </w:pPr>
      <w:r w:rsidRPr="003E3545">
        <w:t>Gjennomsnitt for året. Rammelån med pant i bolig</w:t>
      </w:r>
      <w:r w:rsidR="008726A8">
        <w:t>.</w:t>
      </w:r>
    </w:p>
    <w:p w14:paraId="470EDA42" w14:textId="20FF43BB" w:rsidR="003E3545" w:rsidRPr="003E3545" w:rsidRDefault="003E3545" w:rsidP="008643D6">
      <w:pPr>
        <w:pStyle w:val="tabell-noter"/>
        <w:numPr>
          <w:ilvl w:val="0"/>
          <w:numId w:val="86"/>
        </w:numPr>
        <w:tabs>
          <w:tab w:val="clear" w:pos="284"/>
        </w:tabs>
        <w:spacing w:before="0" w:after="0"/>
        <w:ind w:left="142" w:hanging="142"/>
      </w:pPr>
      <w:r w:rsidRPr="003E3545">
        <w:t>Brent Blend</w:t>
      </w:r>
      <w:r w:rsidR="008726A8">
        <w:t>.</w:t>
      </w:r>
    </w:p>
    <w:p w14:paraId="7DA92A86" w14:textId="2D3AA94D" w:rsidR="005B2B39" w:rsidRDefault="003E3545" w:rsidP="003E3545">
      <w:pPr>
        <w:spacing w:before="120"/>
        <w:rPr>
          <w:sz w:val="20"/>
        </w:rPr>
      </w:pPr>
      <w:r w:rsidRPr="003E3545">
        <w:rPr>
          <w:sz w:val="20"/>
        </w:rPr>
        <w:t>Kilde: Statistisk sentralbyrå, Norges bank og Beregningsutvalget.</w:t>
      </w:r>
    </w:p>
    <w:p w14:paraId="3E7DB09C" w14:textId="77777777" w:rsidR="005B2B39" w:rsidRDefault="005B2B39">
      <w:pPr>
        <w:spacing w:after="0"/>
        <w:rPr>
          <w:sz w:val="20"/>
        </w:rPr>
      </w:pPr>
      <w:r>
        <w:rPr>
          <w:sz w:val="20"/>
        </w:rPr>
        <w:br w:type="page"/>
      </w:r>
    </w:p>
    <w:p w14:paraId="7022054F" w14:textId="0182C624" w:rsidR="005B2B39" w:rsidRPr="00E15E45" w:rsidRDefault="005B2B39" w:rsidP="005B2B39">
      <w:pPr>
        <w:jc w:val="center"/>
        <w:rPr>
          <w:rFonts w:asciiTheme="majorHAnsi" w:hAnsiTheme="majorHAnsi"/>
          <w:sz w:val="32"/>
          <w:szCs w:val="32"/>
        </w:rPr>
      </w:pPr>
      <w:r w:rsidRPr="003228A0">
        <w:rPr>
          <w:rFonts w:asciiTheme="majorHAnsi" w:hAnsiTheme="majorHAnsi"/>
          <w:sz w:val="52"/>
          <w:szCs w:val="52"/>
        </w:rPr>
        <w:t>Kapittel 4</w:t>
      </w:r>
      <w:r w:rsidR="00F43603">
        <w:rPr>
          <w:rFonts w:asciiTheme="majorHAnsi" w:hAnsiTheme="majorHAnsi"/>
          <w:sz w:val="52"/>
          <w:szCs w:val="52"/>
        </w:rPr>
        <w:br/>
      </w:r>
    </w:p>
    <w:p w14:paraId="09FDD45A" w14:textId="74E16223" w:rsidR="005B2B39" w:rsidRDefault="005B2B39" w:rsidP="005B2B39">
      <w:pPr>
        <w:pStyle w:val="Overskrift1"/>
        <w:jc w:val="center"/>
      </w:pPr>
      <w:bookmarkStart w:id="214" w:name="_Toc411849478"/>
      <w:bookmarkStart w:id="215" w:name="_Toc443998981"/>
      <w:r w:rsidRPr="00842B69">
        <w:t>Utviklingen i konkurranseevne</w:t>
      </w:r>
      <w:r>
        <w:t>n</w:t>
      </w:r>
      <w:bookmarkEnd w:id="214"/>
      <w:bookmarkEnd w:id="215"/>
    </w:p>
    <w:p w14:paraId="69C826FB" w14:textId="77777777" w:rsidR="005B2B39" w:rsidRDefault="005B2B39" w:rsidP="004779A9">
      <w:pPr>
        <w:pStyle w:val="Listeavsnitt"/>
        <w:numPr>
          <w:ilvl w:val="0"/>
          <w:numId w:val="28"/>
        </w:numPr>
        <w:spacing w:before="0" w:after="120" w:line="240" w:lineRule="auto"/>
      </w:pPr>
      <w:r w:rsidRPr="000319D3">
        <w:t xml:space="preserve">En markert svekkelse av kronen de tre siste årene </w:t>
      </w:r>
      <w:r>
        <w:t xml:space="preserve">samtidig med lavere lønnsvekst i Norge </w:t>
      </w:r>
      <w:r w:rsidRPr="000319D3">
        <w:t>har bidratt til å</w:t>
      </w:r>
      <w:r>
        <w:t xml:space="preserve"> bedre den kostnadsmessige konkurranseevnen til norsk industri. </w:t>
      </w:r>
      <w:r w:rsidRPr="004B008B">
        <w:t>Bedringen skjer etter at forskjellen i timelønnskostnadsnivå</w:t>
      </w:r>
      <w:r>
        <w:t xml:space="preserve"> mellom industrien i Norge og industrien hos handelspartnerne gjennomgående økte fram til 2012. At timelønnskostnadene i norsk industri målt i felles valuta lenge økte mer enn hos handelspartnerne må bl.a. ses i sammenheng med høy vekst i prisene på norske eksportprodukter og bedring av bytteforholdet mot utlandet. Nedgangen i oljeprisen siden juni 2014 og svekkelsen av bytteforholdet har imidlertid endret situasjonen. Bedringen i kostnadsmessig konkurranseevne de siste årene har derfor inntruffet i en periode med lavere vekst og stigende arbeidsledighet. </w:t>
      </w:r>
    </w:p>
    <w:p w14:paraId="3E8C646B" w14:textId="77777777" w:rsidR="005B2B39" w:rsidRPr="00572136" w:rsidRDefault="005B2B39" w:rsidP="004779A9">
      <w:pPr>
        <w:numPr>
          <w:ilvl w:val="0"/>
          <w:numId w:val="28"/>
        </w:numPr>
        <w:ind w:left="357" w:hanging="357"/>
      </w:pPr>
      <w:r w:rsidRPr="00E10A29">
        <w:t>Det er en nær sammenheng mellom utviklingen i konkurranseevnen og lønnsomheten i næringslivet. Frontfagsmodellen innebærer at driftsresultatandelen er en sentral indikator for utviklingen i lønnsomheten og for fordelingen av verdiskapingen. Lønnskostnadene som andel av faktorinntektene til norsk industri har historisk svingt med konjunkturene rundt et nokså stabilt nivå. De to siste årene har lønnskostnadsandelen falt markert, etter å ha steget i perioden 2011-2013. Målt ved nettotall var lønnskostnadsandelen i norsk industri i 2015 på 78 prosent, 4 prosentpoeng lavere enn i 2014 og 3 prosentpoeng lavere enn i perioden 2006-2015.</w:t>
      </w:r>
      <w:r>
        <w:t xml:space="preserve"> Utviklingen i samlet driftsresultat i industrien det siste året er sterkt påvirket av utviklingen i råvarebasert industri. </w:t>
      </w:r>
      <w:r w:rsidRPr="00572136">
        <w:t>Det vises til kapittel 5.2 for en nærmere beskrivelse av faktorinntekt og funksjonell inntektsfordeling.</w:t>
      </w:r>
    </w:p>
    <w:p w14:paraId="2AF532AA" w14:textId="77777777" w:rsidR="005B2B39" w:rsidRPr="00572136" w:rsidRDefault="005B2B39" w:rsidP="004779A9">
      <w:pPr>
        <w:numPr>
          <w:ilvl w:val="0"/>
          <w:numId w:val="28"/>
        </w:numPr>
        <w:ind w:left="357" w:hanging="357"/>
      </w:pPr>
      <w:r w:rsidRPr="0055543B">
        <w:t xml:space="preserve">Den kostnadsmessige konkurranseevnen målt ved relative timelønnskostnader i industrien i felles valuta har </w:t>
      </w:r>
      <w:r>
        <w:t xml:space="preserve">bedret seg de tre siste årene, etter å ha svekket seg i årene fram til og med 2012. Samlet sett over den siste tiårsperioden har den kostnadsmessige </w:t>
      </w:r>
      <w:r w:rsidRPr="00572136">
        <w:t xml:space="preserve">konkurranseevnen svekket seg med i gjennomsnitt 0,2 prosent per år. Mens veksten i timelønnskostnader i norsk industri har vært høyere enn hos et vektet gjennomsnitt av handelspartnerne, har en svekkelse av kronen bidratt i motsatt retning. </w:t>
      </w:r>
      <w:r w:rsidRPr="00572136">
        <w:rPr>
          <w:szCs w:val="24"/>
        </w:rPr>
        <w:t xml:space="preserve">I 2015 bidro en markert svekkelse av kronen, til at de relative timelønnskostnadene i felles valuta gikk ned med 9,1 prosent. </w:t>
      </w:r>
      <w:r w:rsidRPr="00572136">
        <w:t xml:space="preserve"> </w:t>
      </w:r>
      <w:r w:rsidRPr="00572136">
        <w:rPr>
          <w:szCs w:val="24"/>
        </w:rPr>
        <w:t xml:space="preserve"> </w:t>
      </w:r>
    </w:p>
    <w:p w14:paraId="1BA57CC6" w14:textId="77777777" w:rsidR="005B2B39" w:rsidRPr="00941FDC" w:rsidRDefault="005B2B39" w:rsidP="004779A9">
      <w:pPr>
        <w:numPr>
          <w:ilvl w:val="0"/>
          <w:numId w:val="28"/>
        </w:numPr>
        <w:ind w:left="357" w:hanging="357"/>
      </w:pPr>
      <w:r w:rsidRPr="00572136">
        <w:rPr>
          <w:szCs w:val="24"/>
        </w:rPr>
        <w:t>Gjennomsnittlige timelønnskostnader i norsk industri var i 2015 anslagsvis 37 prosent høyere enn et handelsvektet gjennomsnitt av våre handelspartnere i EU, 10 prosentpoeng mindre enn i året før. Nedgangen må ses i sammenheng med at kronen svekket seg</w:t>
      </w:r>
      <w:r w:rsidRPr="00941FDC">
        <w:rPr>
          <w:szCs w:val="24"/>
        </w:rPr>
        <w:t xml:space="preserve"> </w:t>
      </w:r>
      <w:r>
        <w:rPr>
          <w:szCs w:val="24"/>
        </w:rPr>
        <w:t xml:space="preserve">markert </w:t>
      </w:r>
      <w:r w:rsidRPr="00941FDC">
        <w:rPr>
          <w:szCs w:val="24"/>
        </w:rPr>
        <w:t>fra 201</w:t>
      </w:r>
      <w:r>
        <w:rPr>
          <w:szCs w:val="24"/>
        </w:rPr>
        <w:t>4</w:t>
      </w:r>
      <w:r w:rsidRPr="00941FDC">
        <w:rPr>
          <w:szCs w:val="24"/>
        </w:rPr>
        <w:t xml:space="preserve"> til 201</w:t>
      </w:r>
      <w:r>
        <w:rPr>
          <w:szCs w:val="24"/>
        </w:rPr>
        <w:t>5</w:t>
      </w:r>
      <w:r w:rsidRPr="00941FDC">
        <w:rPr>
          <w:szCs w:val="24"/>
        </w:rPr>
        <w:t xml:space="preserve">. At timelønnskostnadene er høyere i norsk industri enn i industrien hos våre handelspartnere reflekterer norsk økonomis høye produktivitet og inntektsnivå, </w:t>
      </w:r>
      <w:r>
        <w:rPr>
          <w:szCs w:val="24"/>
        </w:rPr>
        <w:t xml:space="preserve">samt jevnere fordeling av inntektene, </w:t>
      </w:r>
      <w:r w:rsidRPr="00941FDC">
        <w:rPr>
          <w:szCs w:val="24"/>
        </w:rPr>
        <w:t xml:space="preserve">men også en høyere lønnsvekst </w:t>
      </w:r>
      <w:r>
        <w:rPr>
          <w:szCs w:val="24"/>
        </w:rPr>
        <w:t>enn i utlandet</w:t>
      </w:r>
      <w:r w:rsidRPr="00941FDC">
        <w:rPr>
          <w:szCs w:val="24"/>
        </w:rPr>
        <w:t>.</w:t>
      </w:r>
      <w:r>
        <w:rPr>
          <w:szCs w:val="24"/>
        </w:rPr>
        <w:t xml:space="preserve"> </w:t>
      </w:r>
      <w:r w:rsidRPr="00941FDC">
        <w:rPr>
          <w:szCs w:val="24"/>
        </w:rPr>
        <w:t xml:space="preserve"> </w:t>
      </w:r>
    </w:p>
    <w:p w14:paraId="36B089AD" w14:textId="77777777" w:rsidR="005B2B39" w:rsidRPr="00941FDC" w:rsidRDefault="005B2B39" w:rsidP="004779A9">
      <w:pPr>
        <w:pStyle w:val="Listeavsnitt"/>
        <w:numPr>
          <w:ilvl w:val="0"/>
          <w:numId w:val="28"/>
        </w:numPr>
        <w:spacing w:before="0" w:after="120" w:line="240" w:lineRule="auto"/>
        <w:ind w:left="357" w:hanging="357"/>
      </w:pPr>
      <w:r w:rsidRPr="00173FD9">
        <w:t xml:space="preserve">Ifølge foreløpige nasjonalregnskapstall </w:t>
      </w:r>
      <w:r>
        <w:t xml:space="preserve">falt </w:t>
      </w:r>
      <w:r w:rsidRPr="00173FD9">
        <w:t>produktivitet</w:t>
      </w:r>
      <w:r>
        <w:t>en</w:t>
      </w:r>
      <w:r w:rsidRPr="00173FD9">
        <w:t xml:space="preserve"> i norsk industri, målt ved bruttoprodukt per timeverk, </w:t>
      </w:r>
      <w:r>
        <w:t xml:space="preserve">med 0,6 prosent i fjor, etter å ha økt med i gjennomsnitt 3 prosent de to foregående årene. Produktivitetsveksten i norsk industri i perioden 2005-2014 var på 1,5 prosent, 0,7 prosentpoeng lavere enn hos handelspartnerne. </w:t>
      </w:r>
      <w:r w:rsidRPr="00941FDC">
        <w:t xml:space="preserve">Dersom en ser på utviklingen målt ved bruttoprodukt i løpende priser per timeverk, er imidlertid bildet for norsk industri mer positivt. Dette gjenspeiler at norsk industri har hatt sterkere prisvekst på sine produkter enn industrien hos handelspartnerne.  </w:t>
      </w:r>
    </w:p>
    <w:p w14:paraId="2D9E9235" w14:textId="77777777" w:rsidR="005B2B39" w:rsidRPr="000328F0" w:rsidRDefault="005B2B39" w:rsidP="004779A9">
      <w:pPr>
        <w:pStyle w:val="Listeavsnitt"/>
        <w:numPr>
          <w:ilvl w:val="0"/>
          <w:numId w:val="28"/>
        </w:numPr>
        <w:spacing w:before="0" w:after="120" w:line="240" w:lineRule="auto"/>
        <w:ind w:left="357" w:hanging="357"/>
      </w:pPr>
      <w:r>
        <w:t>I perioden 2005-2014 økte p</w:t>
      </w:r>
      <w:r w:rsidRPr="00941FDC">
        <w:t>roduktivitet</w:t>
      </w:r>
      <w:r>
        <w:t xml:space="preserve">en i Fastlands-Norge </w:t>
      </w:r>
      <w:r w:rsidRPr="00941FDC">
        <w:t xml:space="preserve">med </w:t>
      </w:r>
      <w:r>
        <w:t xml:space="preserve">1 </w:t>
      </w:r>
      <w:r w:rsidRPr="000328F0">
        <w:t xml:space="preserve">prosent per år. Dette er </w:t>
      </w:r>
      <w:r>
        <w:t>litt høyere enn h</w:t>
      </w:r>
      <w:r w:rsidRPr="000328F0">
        <w:t xml:space="preserve">os </w:t>
      </w:r>
      <w:r>
        <w:t xml:space="preserve">et vektet snitt av </w:t>
      </w:r>
      <w:r w:rsidRPr="000328F0">
        <w:t>våre handelspartnere.</w:t>
      </w:r>
      <w:r>
        <w:t xml:space="preserve"> </w:t>
      </w:r>
    </w:p>
    <w:p w14:paraId="7DDD637A" w14:textId="77777777" w:rsidR="002B6289" w:rsidRDefault="005B2B39" w:rsidP="00EB3A8A">
      <w:pPr>
        <w:pStyle w:val="Listeavsnitt"/>
        <w:numPr>
          <w:ilvl w:val="0"/>
          <w:numId w:val="28"/>
        </w:numPr>
        <w:spacing w:before="0" w:after="120" w:line="240" w:lineRule="auto"/>
        <w:ind w:left="357" w:hanging="357"/>
      </w:pPr>
      <w:r w:rsidRPr="007A7812">
        <w:t>I</w:t>
      </w:r>
      <w:r>
        <w:t xml:space="preserve"> 2014 </w:t>
      </w:r>
      <w:r w:rsidRPr="007A7812">
        <w:t>var Norges BNP, unntatt petroleumsrenten og regnet per innbygger,</w:t>
      </w:r>
      <w:r>
        <w:t xml:space="preserve"> 40 </w:t>
      </w:r>
      <w:r w:rsidRPr="007A7812">
        <w:t xml:space="preserve">prosent høyere enn OECD-snittet. Nivået i Norge er blant de høyeste i OECD-området, selv når petroleumsrenten holdes utenfor. </w:t>
      </w:r>
    </w:p>
    <w:p w14:paraId="313E4A77" w14:textId="77777777" w:rsidR="002B6289" w:rsidRPr="0054791E" w:rsidRDefault="002B6289" w:rsidP="002B6289">
      <w:pPr>
        <w:pStyle w:val="Overskrift2"/>
      </w:pPr>
      <w:bookmarkStart w:id="216" w:name="_Toc443998982"/>
      <w:r>
        <w:t>Innledning</w:t>
      </w:r>
      <w:bookmarkEnd w:id="216"/>
    </w:p>
    <w:p w14:paraId="1866B7AE" w14:textId="77777777" w:rsidR="005B2B39" w:rsidRPr="00894071" w:rsidRDefault="005B2B39" w:rsidP="005B2B39">
      <w:r>
        <w:t>O</w:t>
      </w:r>
      <w:r w:rsidRPr="00894071">
        <w:t>mfattende deltakelse i internasjonal</w:t>
      </w:r>
      <w:r>
        <w:t xml:space="preserve"> handel med varer og tjenester</w:t>
      </w:r>
      <w:r w:rsidRPr="00894071">
        <w:t xml:space="preserve"> har gjort det mulig for Norge å oppnå en høyere materiell levestandard enn hva som ville vært mulig </w:t>
      </w:r>
      <w:r>
        <w:t>dersom norsk</w:t>
      </w:r>
      <w:r w:rsidRPr="00894071">
        <w:t xml:space="preserve"> økonomi </w:t>
      </w:r>
      <w:r>
        <w:t xml:space="preserve">hadde vært </w:t>
      </w:r>
      <w:r w:rsidRPr="00894071">
        <w:t>mer skjermet mot utenlandsk konkurranse.</w:t>
      </w:r>
      <w:r>
        <w:t xml:space="preserve"> </w:t>
      </w:r>
      <w:r w:rsidRPr="00894071">
        <w:t xml:space="preserve">Fordelene vil imidlertid bli redusert hvis </w:t>
      </w:r>
      <w:r>
        <w:t>Norge</w:t>
      </w:r>
      <w:r w:rsidRPr="00894071">
        <w:t xml:space="preserve"> ikke </w:t>
      </w:r>
      <w:r>
        <w:t>klarer å</w:t>
      </w:r>
      <w:r w:rsidRPr="00894071">
        <w:t xml:space="preserve"> sørge for en effektiv ressursutnyttelse, herunder full sysselsetting og en akseptabel inntektsfordeling. </w:t>
      </w:r>
      <w:r>
        <w:t xml:space="preserve">For å høste gevinstene ved internasjonalt varebytte, må man klare å omstille ressurser som blir ledige som følge av endringer i markedsforholdene. </w:t>
      </w:r>
      <w:r w:rsidRPr="00894071">
        <w:t xml:space="preserve">Land som deltar i det internasjonale vare- og tjenestebyttet må </w:t>
      </w:r>
      <w:r>
        <w:t xml:space="preserve">også </w:t>
      </w:r>
      <w:r w:rsidRPr="00894071">
        <w:t xml:space="preserve">over tid ha en rimelig balanse i utenriksøkonomien. </w:t>
      </w:r>
      <w:r w:rsidRPr="000D7CBA">
        <w:t>Et lands konkurranseevne uttrykker evnen til å opprettholde en rimelig balanse i utenriksøkonomien over tid, samtidig som en har full og effektiv ressursutnyttelse og en akseptabel inntektsfordeling.</w:t>
      </w:r>
      <w:r>
        <w:t xml:space="preserve"> Et land har ikke god konkurranseevne selv om det har balanse i utenriksøkonomien, mens for eksempel store deler av landets arbeidsstyrke er arbeidsløs. Men full sysselsetting og lav arbeidsledighet sammen med store underskudd i utenriksøkonomien, tilsier også at et land har svakere konkurranseevne enn hva som kan være bærekraftig over tid.  </w:t>
      </w:r>
    </w:p>
    <w:p w14:paraId="37A15A7D" w14:textId="77777777" w:rsidR="005B2B39" w:rsidRDefault="005B2B39" w:rsidP="005B2B39">
      <w:r w:rsidRPr="00894071">
        <w:t>Det er viktig å skille mellom konkurranseevnen for enkeltnæringer og for Norge som helhet.</w:t>
      </w:r>
      <w:r>
        <w:t xml:space="preserve"> </w:t>
      </w:r>
      <w:r w:rsidRPr="00894071">
        <w:t xml:space="preserve">Konkurranseevnen for en næring beror på næringens lønnsomhet og dens evne til å </w:t>
      </w:r>
      <w:r>
        <w:t>avlønne innsatsfaktorene</w:t>
      </w:r>
      <w:r w:rsidRPr="00894071">
        <w:t xml:space="preserve">. En lønnsom næring må </w:t>
      </w:r>
      <w:r>
        <w:t xml:space="preserve">både </w:t>
      </w:r>
      <w:r w:rsidRPr="00894071">
        <w:t xml:space="preserve">kunne hevde seg i konkurranse med utenlandske bedrifter på produktmarkedene, og med andre norske næringer i </w:t>
      </w:r>
      <w:r>
        <w:t>faktor</w:t>
      </w:r>
      <w:r w:rsidRPr="00894071">
        <w:t>markede</w:t>
      </w:r>
      <w:r>
        <w:t>ne, herunder arbeidsmarkedet</w:t>
      </w:r>
      <w:r w:rsidRPr="00894071">
        <w:t xml:space="preserve">. En økonomi i vekst og </w:t>
      </w:r>
      <w:r>
        <w:t>med en høy omstillingsgrad</w:t>
      </w:r>
      <w:r w:rsidRPr="00894071">
        <w:t xml:space="preserve"> vil </w:t>
      </w:r>
      <w:r>
        <w:t>være kjenne</w:t>
      </w:r>
      <w:r w:rsidRPr="00894071">
        <w:t>t</w:t>
      </w:r>
      <w:r>
        <w:t>egnet</w:t>
      </w:r>
      <w:r w:rsidRPr="00894071">
        <w:t xml:space="preserve"> av ulik utvikling i konkurranseevnen for de enkelte næringene.</w:t>
      </w:r>
      <w:r>
        <w:t xml:space="preserve"> I konkurransen om knappe faktorer må noen næringer trappe ned sin virksomhet, mens andre kan ekspandere i takt med økt lønnsomhet. Dersom en næring mottar</w:t>
      </w:r>
      <w:r w:rsidRPr="00894071">
        <w:t xml:space="preserve"> subsidier </w:t>
      </w:r>
      <w:r>
        <w:t>i tilknytning til sin virksomhet</w:t>
      </w:r>
      <w:r w:rsidRPr="00894071">
        <w:t xml:space="preserve">, </w:t>
      </w:r>
      <w:r>
        <w:t xml:space="preserve">kan dette bedre næringens konkurranseevne, men det fører normalt til </w:t>
      </w:r>
      <w:r w:rsidRPr="00894071">
        <w:t xml:space="preserve">en dårligere utnyttelse av ressursene samlet sett, og dermed ikke bedre konkurranseevne i samfunnsøkonomisk forstand. </w:t>
      </w:r>
    </w:p>
    <w:p w14:paraId="441943CD" w14:textId="77777777" w:rsidR="005B2B39" w:rsidRDefault="005B2B39" w:rsidP="005B2B39">
      <w:r w:rsidRPr="00C75766">
        <w:t>I dette kapit</w:t>
      </w:r>
      <w:r>
        <w:t>te</w:t>
      </w:r>
      <w:r w:rsidRPr="00C75766">
        <w:t xml:space="preserve">let ser vi på noen utvalgte indikatorer for utviklingen i industriens </w:t>
      </w:r>
      <w:r w:rsidRPr="00B76B09">
        <w:t xml:space="preserve">konkurranseevne. </w:t>
      </w:r>
      <w:r>
        <w:t xml:space="preserve">Avsnitt 4.2 gir en vurdering av hva som menes med konkurranseutsatte næringer og hvordan lønnsdannelsen skal sikre disse næringenes konkurranseevne gjennom den såkalte frontfagsmodellen. I tillegg presenteres tall for lønnskostnadsandeler, som en indikasjon på utviklingen i lønnsomheten i norsk industri. Videre i avsnitt 4.3 diskuteres utviklingen i lønnskostnader. I dette avsnittet ser vi også på forskjell i lønnskostnadsnivåene i industrien i Norge og andre land. </w:t>
      </w:r>
      <w:r w:rsidRPr="00B76B09">
        <w:t xml:space="preserve">Endelig i avsnitt </w:t>
      </w:r>
      <w:r>
        <w:t>4</w:t>
      </w:r>
      <w:r w:rsidRPr="00B76B09">
        <w:t>.4 gir vi en beskrivelse av utviklingen i produktiviteten.</w:t>
      </w:r>
      <w:r>
        <w:t xml:space="preserve"> For alle indikatorene som presenteres i kapittelet sammenlikner vi Norge med et aggregat av våre viktigste handelspartnere, jf. boks 4.1. </w:t>
      </w:r>
    </w:p>
    <w:p w14:paraId="184AF9E0" w14:textId="77777777" w:rsidR="005B2B39" w:rsidRDefault="005B2B39" w:rsidP="005B2B39">
      <w:r>
        <w:t xml:space="preserve">En </w:t>
      </w:r>
      <w:r w:rsidRPr="000319D3">
        <w:t xml:space="preserve">markert svekkelse av kronen de tre siste årene </w:t>
      </w:r>
      <w:r>
        <w:t xml:space="preserve">samtidig med lavere lønnsvekst i Norge </w:t>
      </w:r>
      <w:r w:rsidRPr="000319D3">
        <w:t>har bidratt til å</w:t>
      </w:r>
      <w:r>
        <w:t xml:space="preserve"> bedre den kostnadsmessige konkurranseevnen til norsk industri. </w:t>
      </w:r>
      <w:r w:rsidRPr="004B008B">
        <w:t>Bedringen skjer etter at forskjellen i timelønnskostnadsnivå</w:t>
      </w:r>
      <w:r>
        <w:t xml:space="preserve"> mellom industrien i Norge og industrien hos handelspartnerne gjennomgående økte fram til 2012. At timelønnskostnadene i norsk industri målt i felles valuta lenge økte mer enn hos handelspartnerne må bl.a. ses i sammenheng med høy vekst i prisene på norske eksportprodukter og bedring av bytteforholdet mot utlandet. Nedgangen i oljeprisen siden juni 2014 og svekkelsen av bytteforholdet har imidlertid endret situasjonen. Bedringen i kostnadsmessig konkurranseevne de siste årene har derfor inntruffet i en periode med lavere vekst og stigende arbeidsledighet.</w:t>
      </w:r>
    </w:p>
    <w:p w14:paraId="0F60B728" w14:textId="77777777" w:rsidR="005B2B39" w:rsidRDefault="005B2B39" w:rsidP="005B2B39"/>
    <w:p w14:paraId="0C5F3687" w14:textId="77777777" w:rsidR="005B2B39" w:rsidRPr="001F3F03" w:rsidRDefault="005B2B39" w:rsidP="00EA063C">
      <w:pPr>
        <w:pStyle w:val="tittel-ramme"/>
        <w:pBdr>
          <w:top w:val="single" w:sz="4" w:space="7" w:color="auto"/>
          <w:left w:val="single" w:sz="4" w:space="4" w:color="auto"/>
          <w:bottom w:val="single" w:sz="4" w:space="1" w:color="auto"/>
          <w:right w:val="single" w:sz="4" w:space="4" w:color="auto"/>
        </w:pBdr>
      </w:pPr>
      <w:r>
        <w:t>Norges handelspartnere</w:t>
      </w:r>
    </w:p>
    <w:p w14:paraId="3BBB86F9" w14:textId="77777777" w:rsidR="005B2B39" w:rsidRDefault="005B2B39" w:rsidP="00EA063C">
      <w:pPr>
        <w:pBdr>
          <w:top w:val="single" w:sz="4" w:space="7" w:color="auto"/>
          <w:left w:val="single" w:sz="4" w:space="4" w:color="auto"/>
          <w:bottom w:val="single" w:sz="4" w:space="1" w:color="auto"/>
          <w:right w:val="single" w:sz="4" w:space="4" w:color="auto"/>
        </w:pBdr>
      </w:pPr>
      <w:r>
        <w:t xml:space="preserve">For å vurdere utviklingen i konkurranseevnen til norsk næringsliv, sammenliknes gjerne ulike indikatorer i Norge med tilsvarende størrelser hos våre handelspartnere. Ved beregning av handelspartneraggregat, legger utvalget til grunn beregninger av OECD for Norges handelspartnere. Beregningsutvalget har i denne rapporten benyttet oppdaterte vekter fra OECD for Norges handelspartnere for perioden 1997-2013. </w:t>
      </w:r>
    </w:p>
    <w:p w14:paraId="2435E58F" w14:textId="77777777" w:rsidR="005B2B39" w:rsidRDefault="005B2B39" w:rsidP="00EA063C">
      <w:pPr>
        <w:pBdr>
          <w:top w:val="single" w:sz="4" w:space="7" w:color="auto"/>
          <w:left w:val="single" w:sz="4" w:space="4" w:color="auto"/>
          <w:bottom w:val="single" w:sz="4" w:space="1" w:color="auto"/>
          <w:right w:val="single" w:sz="4" w:space="4" w:color="auto"/>
        </w:pBdr>
      </w:pPr>
      <w:r>
        <w:t xml:space="preserve">Vektene til OECD gjenspeiler handelsstrømmene med de enkelte landene i hvert av årene i perioden, og er derfor forskjellige for hvert år i perioden 1997-2013. Utvalget har lagt de 25 landene med størst vekter i 2013 til grunn som landsammensetning for handelspartneraggregatet. Denne landsammensetningen er benyttet for alle år, selv om det i perioder har vært variasjoner mhp. hvilke 25 land som har hatt størst vekter. Basert på landsammensetningen og OECDs vekter for de ulike årene, er det beregnet et vektet handelspartneraggregat for hvert år i perioden 1997-2013. Vektene i 2013 er videreført for 2014 og 2015. </w:t>
      </w:r>
    </w:p>
    <w:p w14:paraId="3A9D48FA" w14:textId="6258DF04" w:rsidR="005B2B39" w:rsidRDefault="005B2B39" w:rsidP="00EA063C">
      <w:pPr>
        <w:pBdr>
          <w:top w:val="single" w:sz="4" w:space="7" w:color="auto"/>
          <w:left w:val="single" w:sz="4" w:space="4" w:color="auto"/>
          <w:bottom w:val="single" w:sz="4" w:space="1" w:color="auto"/>
          <w:right w:val="single" w:sz="4" w:space="4" w:color="auto"/>
        </w:pBdr>
      </w:pPr>
      <w:r>
        <w:t xml:space="preserve">Tabell 4.1 viser landsammensetningen og vektene for 2013-2015 som er benyttet i denne rapporten. I tillegg viser tabellen landsammensetningen og vektene for perioden 2011-2014 som ble benyttet i utvalgets forrige rapport. De største endringene i det nye handelspartneraggregatet inntreffer for Kina, som får markert lavere vekt, og for Nederland, Polen og Belgia som får større vekter. Endringen for Kina får imidlertid ikke betydning for beregningene i kapittelet, ettersom det ikke foreligger tilgjengelig statistikk for Kina på indikatorene som omtales.  </w:t>
      </w:r>
    </w:p>
    <w:p w14:paraId="3F05610F" w14:textId="77777777" w:rsidR="005B2B39" w:rsidRDefault="005B2B39" w:rsidP="00EA063C">
      <w:pPr>
        <w:pStyle w:val="tabell-tittel"/>
        <w:pBdr>
          <w:top w:val="single" w:sz="4" w:space="7" w:color="auto"/>
          <w:left w:val="single" w:sz="4" w:space="4" w:color="auto"/>
          <w:bottom w:val="single" w:sz="4" w:space="1" w:color="auto"/>
          <w:right w:val="single" w:sz="4" w:space="4" w:color="auto"/>
        </w:pBdr>
        <w:spacing w:after="0"/>
      </w:pPr>
      <w:r>
        <w:t>Sammensetning av handelspartneraggregatet. Prosent.</w:t>
      </w:r>
    </w:p>
    <w:p w14:paraId="27F0EF08" w14:textId="30199979" w:rsidR="005B2B39" w:rsidRPr="00896451" w:rsidRDefault="005B2B39" w:rsidP="00EA063C">
      <w:pPr>
        <w:pBdr>
          <w:top w:val="single" w:sz="4" w:space="7" w:color="auto"/>
          <w:left w:val="single" w:sz="4" w:space="4" w:color="auto"/>
          <w:bottom w:val="single" w:sz="4" w:space="1" w:color="auto"/>
          <w:right w:val="single" w:sz="4" w:space="4" w:color="auto"/>
        </w:pBdr>
        <w:rPr>
          <w:sz w:val="20"/>
        </w:rPr>
      </w:pPr>
      <w:r w:rsidRPr="00DE2739">
        <w:rPr>
          <w:noProof/>
        </w:rPr>
        <w:drawing>
          <wp:inline distT="0" distB="0" distL="0" distR="0" wp14:anchorId="2DF8A83D" wp14:editId="3DCAB23E">
            <wp:extent cx="5056505" cy="4704080"/>
            <wp:effectExtent l="0" t="0" r="0" b="127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999" cy="4723146"/>
                    </a:xfrm>
                    <a:prstGeom prst="rect">
                      <a:avLst/>
                    </a:prstGeom>
                    <a:noFill/>
                    <a:ln>
                      <a:noFill/>
                    </a:ln>
                  </pic:spPr>
                </pic:pic>
              </a:graphicData>
            </a:graphic>
          </wp:inline>
        </w:drawing>
      </w:r>
      <w:r w:rsidR="00EA063C">
        <w:rPr>
          <w:sz w:val="20"/>
        </w:rPr>
        <w:br/>
      </w:r>
      <w:r w:rsidRPr="00896451">
        <w:rPr>
          <w:sz w:val="20"/>
        </w:rPr>
        <w:t>Kilde</w:t>
      </w:r>
      <w:r>
        <w:rPr>
          <w:sz w:val="20"/>
        </w:rPr>
        <w:t>r</w:t>
      </w:r>
      <w:r w:rsidRPr="00896451">
        <w:rPr>
          <w:sz w:val="20"/>
        </w:rPr>
        <w:t>: OECD</w:t>
      </w:r>
      <w:r>
        <w:rPr>
          <w:sz w:val="20"/>
        </w:rPr>
        <w:t xml:space="preserve"> og Beregningsutvalget</w:t>
      </w:r>
    </w:p>
    <w:p w14:paraId="101551CF" w14:textId="77777777" w:rsidR="005B2B39" w:rsidRPr="0036688F" w:rsidRDefault="005B2B39" w:rsidP="007B6FB2">
      <w:pPr>
        <w:pBdr>
          <w:top w:val="single" w:sz="4" w:space="1" w:color="auto"/>
          <w:left w:val="single" w:sz="4" w:space="4" w:color="auto"/>
          <w:bottom w:val="single" w:sz="4" w:space="1" w:color="auto"/>
          <w:right w:val="single" w:sz="4" w:space="4" w:color="auto"/>
        </w:pBdr>
        <w:spacing w:before="240"/>
        <w:rPr>
          <w:i/>
        </w:rPr>
      </w:pPr>
      <w:r>
        <w:rPr>
          <w:i/>
        </w:rPr>
        <w:t>Nærmere om g</w:t>
      </w:r>
      <w:r w:rsidRPr="0036688F">
        <w:rPr>
          <w:i/>
        </w:rPr>
        <w:t>runnlaget for beregningen av konkurransevektene</w:t>
      </w:r>
    </w:p>
    <w:p w14:paraId="1CF019FD" w14:textId="7CD42A77" w:rsidR="005B2B39" w:rsidRPr="009D1FC3" w:rsidRDefault="005B2B39" w:rsidP="005B2B39">
      <w:pPr>
        <w:pBdr>
          <w:top w:val="single" w:sz="4" w:space="1" w:color="auto"/>
          <w:left w:val="single" w:sz="4" w:space="4" w:color="auto"/>
          <w:bottom w:val="single" w:sz="4" w:space="1" w:color="auto"/>
          <w:right w:val="single" w:sz="4" w:space="4" w:color="auto"/>
        </w:pBdr>
      </w:pPr>
      <w:r>
        <w:t xml:space="preserve">OECD har basert sine beregninger av landvektene på omfanget av import og </w:t>
      </w:r>
      <w:r w:rsidRPr="009D1FC3">
        <w:t>eksport mellom Norge og andre land av alle varer unntatt gruppe 3 i det internasjonale klassifiseringssystemet for handelsstatistikk (SITC</w:t>
      </w:r>
      <w:r w:rsidRPr="009D1FC3">
        <w:rPr>
          <w:rStyle w:val="Fotnotereferanse"/>
        </w:rPr>
        <w:footnoteReference w:id="6"/>
      </w:r>
      <w:r w:rsidRPr="009D1FC3">
        <w:t xml:space="preserve">). Denne gruppen består av råolje, naturgass, raffinerte oljeprodukter og strøm. </w:t>
      </w:r>
    </w:p>
    <w:p w14:paraId="4221C3B2" w14:textId="77777777" w:rsidR="005B2B39" w:rsidRDefault="005B2B39" w:rsidP="005B2B39">
      <w:pPr>
        <w:pBdr>
          <w:top w:val="single" w:sz="4" w:space="1" w:color="auto"/>
          <w:left w:val="single" w:sz="4" w:space="4" w:color="auto"/>
          <w:bottom w:val="single" w:sz="4" w:space="1" w:color="auto"/>
          <w:right w:val="single" w:sz="4" w:space="4" w:color="auto"/>
        </w:pBdr>
      </w:pPr>
      <w:r w:rsidRPr="009D1FC3">
        <w:t>OECD har gjort en del forenklinger i sine beregninger. For det første har OECD ikke inkludert handel med tjenester. I 2015 utgjorde tjenester 28 prosent av Norges eksport, og 36 prosent av Norges import. Videre har OECD ikke brutt handelsstrømmene ned til hver enkelt varetype for å kunne gi et grunnlag for å vurdere i hvilken grad det faktisk er direkte konkurranse mellom norske og utenlandske bedrifter, eller</w:t>
      </w:r>
      <w:r>
        <w:t xml:space="preserve"> om det i stedet handles med varer det ikke er konkurranse om</w:t>
      </w:r>
      <w:r>
        <w:rPr>
          <w:rStyle w:val="Fotnotereferanse"/>
        </w:rPr>
        <w:footnoteReference w:id="7"/>
      </w:r>
      <w:r>
        <w:t xml:space="preserve">. </w:t>
      </w:r>
    </w:p>
    <w:p w14:paraId="245D53C4" w14:textId="77777777" w:rsidR="005B2B39" w:rsidRPr="007B6FB2" w:rsidRDefault="005B2B39" w:rsidP="005B2B39">
      <w:pPr>
        <w:pStyle w:val="Overskrift2"/>
        <w:rPr>
          <w:rFonts w:cs="Arial"/>
        </w:rPr>
      </w:pPr>
      <w:bookmarkStart w:id="217" w:name="_Toc411849480"/>
      <w:bookmarkStart w:id="218" w:name="_Toc443998983"/>
      <w:r w:rsidRPr="007B6FB2">
        <w:rPr>
          <w:rFonts w:cs="Arial"/>
        </w:rPr>
        <w:t>Faktorinntektsfordeling i konkurranseutsatte og skjermede næringer</w:t>
      </w:r>
      <w:bookmarkEnd w:id="217"/>
      <w:bookmarkEnd w:id="218"/>
    </w:p>
    <w:p w14:paraId="2B634059" w14:textId="77777777" w:rsidR="005B2B39" w:rsidRPr="00CD3A79" w:rsidRDefault="005B2B39" w:rsidP="005B2B39">
      <w:r w:rsidRPr="00CD3A79">
        <w:t xml:space="preserve">Tradisjonelt har konkurranseutsatte næringer blitt assosiert med industrien, mens skjermede næringer som regel har blitt assosiert med tjenesteproduserende næringer (varehandel, transporttjenester, </w:t>
      </w:r>
      <w:r>
        <w:t xml:space="preserve">offentlig sektor, </w:t>
      </w:r>
      <w:r w:rsidRPr="00CD3A79">
        <w:t xml:space="preserve">finansiell tjenesteyting, annen privat tjenesteyting etc.). Økt globalisering, sterkere internasjonal konkurranse og lavere transportkostnader har imidlertid bidratt til at stadig større deler av norsk næringsliv utsettes for konkurranse fra utlandet. </w:t>
      </w:r>
    </w:p>
    <w:p w14:paraId="19A86E60" w14:textId="77777777" w:rsidR="005B2B39" w:rsidRPr="007B6FB2" w:rsidRDefault="005B2B39" w:rsidP="005B2B39">
      <w:r w:rsidRPr="00CD3A79">
        <w:t>Begrepene konkurranseutsatte og skjermede næringer er nærmere drøftet i Holden</w:t>
      </w:r>
      <w:r>
        <w:t xml:space="preserve"> III</w:t>
      </w:r>
      <w:r w:rsidRPr="00CD3A79">
        <w:t>-utvalgets rapport NOU 20</w:t>
      </w:r>
      <w:r>
        <w:t>13</w:t>
      </w:r>
      <w:r w:rsidRPr="00CD3A79">
        <w:t>:</w:t>
      </w:r>
      <w:r>
        <w:t>13</w:t>
      </w:r>
      <w:r w:rsidRPr="00CD3A79">
        <w:t xml:space="preserve">. </w:t>
      </w:r>
      <w:r w:rsidRPr="007B6FB2">
        <w:t xml:space="preserve">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teknisk sett ikke kan handles med, og det er lite av norsk markedsrettet virksomhet som ikke på en eller annen måte er utsatt for konkurranse fra utlandet. Størrelsen på transportkostnader kan imidlertid i praksis være et hinder. </w:t>
      </w:r>
    </w:p>
    <w:p w14:paraId="6D9F1CC2" w14:textId="77777777" w:rsidR="005B2B39" w:rsidRPr="007B6FB2" w:rsidRDefault="005B2B39" w:rsidP="005B2B39">
      <w:r w:rsidRPr="007B6FB2">
        <w:t xml:space="preserve">I en utredning for Holden III utvalget har Eika m.fl. (2013) foretatt en klassifisering av norsk næringsliv etter hvor utsatt de ulike næringer er for internasjonal konkurranse. Inndelingen er basert på andelen av næringenes verdiskaping som går til eksport eller i hvilken grad de konkurrerer mot import. Selv om det er store forskjeller mellom bedrifter i samme næring, og det er mange bedrifter som er internasjonalt konkurranseutsatte også i andre næringer, er en slik inndeling nyttig, fordi den gir kunnskap om hvilke aktører som i hovedsak er internasjonalt konkurranseutsatte. Ifølge utredningen stod de fastlandsbaserte konkurranseutsatte næringene for nær 15 prosent av verdiskapingen i Norge i 2012, og 11 prosent av sysselsettingen.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 Metallindustrien er eksempel på en næring basert på naturressurser, mens produksjon av metallvarer, elektrisk utstyr og maskiner er en ikke-stedbunden næring. I 2012 stod leverandørvirksomheten for 3 prosent av samlet sysselsetting, mens de to andre gruppene stod for rundt 4 prosent hver. </w:t>
      </w:r>
    </w:p>
    <w:p w14:paraId="0C1F2E0C" w14:textId="77777777" w:rsidR="005B2B39" w:rsidRDefault="005B2B39" w:rsidP="005B2B39">
      <w:r w:rsidRPr="007B6FB2">
        <w:t>Mange konkurranseutsatte bedrifter har vridd sin produksjon mot leveranser til petroleumssektoren de senere årene og produksjonen i leverandørnæringene har økt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fremtiden, er det vanskelig å se for seg at kostnadsnivået korrigert for produktivitetsforskjeller i vid forstand kan være mye høyere i Norge enn hos våre handelspartnere.</w:t>
      </w:r>
    </w:p>
    <w:p w14:paraId="233647AC" w14:textId="77777777" w:rsidR="005B2B39" w:rsidRPr="0036688F" w:rsidRDefault="005B2B39" w:rsidP="007B6FB2">
      <w:pPr>
        <w:rPr>
          <w:sz w:val="23"/>
          <w:szCs w:val="23"/>
        </w:rPr>
      </w:pPr>
      <w:r w:rsidRPr="007B6FB2">
        <w:t>Stadig flere deler av næringslivet møter internasjonal konkurranse. Det er dels et resultat av at teknologisk utvikling gjør det mulig, for eksempel innen regnskap og IKT, men også at virksomheter i økende grad konkurrerer i andre land, som innen transport, bygg og anlegg, og matindustrien. I flere tjenesteytende næringer ser vi økende konkurranse fra utlandet og en klar økning i importen. Holden III-utvalget peker på at denne økningen i noen grad kan henge sammen med høyere kostnader i Norge enn hos nære handelspartnere. Selv om importandelen i disse næringene samlet sett er relativt liten, er andelen betydelig høyere i deler av næringene. Samtidig er dette næringer som vokser mer enn BNP samlet sett, slik at økte importandeler her vil gi stadig større utslag i samlet import. Økende import på nye områder innebærer isolert sett at vi trenger en ytterligere økning i aktiviteten i ikke-stedbundne næringer for å sikre langsiktig balanse i utenrikshandelen, eller at eksporten fra andre næringer øker.</w:t>
      </w:r>
      <w:r>
        <w:rPr>
          <w:sz w:val="23"/>
          <w:szCs w:val="23"/>
        </w:rPr>
        <w:t xml:space="preserve"> </w:t>
      </w:r>
    </w:p>
    <w:p w14:paraId="746845A2" w14:textId="77777777" w:rsidR="005B2B39" w:rsidRPr="00892556" w:rsidRDefault="005B2B39" w:rsidP="005B2B39">
      <w:pPr>
        <w:pStyle w:val="Overskrift3"/>
      </w:pPr>
      <w:bookmarkStart w:id="219" w:name="_Toc411849481"/>
      <w:bookmarkStart w:id="220" w:name="_Toc443998984"/>
      <w:r w:rsidRPr="00892556">
        <w:t>Frontfagsmodellen</w:t>
      </w:r>
      <w:bookmarkEnd w:id="219"/>
      <w:bookmarkEnd w:id="220"/>
    </w:p>
    <w:p w14:paraId="5F4441E0" w14:textId="7F0CB256" w:rsidR="005B2B39" w:rsidRPr="00892556" w:rsidRDefault="005B2B39" w:rsidP="005B2B39">
      <w:pPr>
        <w:rPr>
          <w:color w:val="000000"/>
        </w:rPr>
      </w:pPr>
      <w:r w:rsidRPr="00892556">
        <w:t xml:space="preserve">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w:t>
      </w:r>
      <w:r>
        <w:t xml:space="preserve">både </w:t>
      </w:r>
      <w:r w:rsidRPr="00892556">
        <w:t xml:space="preserve">forhandler først (det såkalte frontfaget), og at resultatet fra disse </w:t>
      </w:r>
      <w:r>
        <w:t>danner</w:t>
      </w:r>
      <w:r w:rsidRPr="00892556">
        <w:t xml:space="preserve"> en norm for andre avtaleområder.</w:t>
      </w:r>
      <w:r>
        <w:t xml:space="preserve"> Frontfaget har tradisjonelt vært </w:t>
      </w:r>
      <w:r w:rsidR="008D32BA">
        <w:t>verkstedoverenskomsten</w:t>
      </w:r>
      <w:r>
        <w:t xml:space="preserve">/industrioverenskomsten ved forbundsvise oppgjør og bredere LO-NHO-områder, som industriarbeidere, ved sentrale oppgjør. </w:t>
      </w:r>
    </w:p>
    <w:p w14:paraId="58A0091D" w14:textId="77777777" w:rsidR="005B2B39" w:rsidRDefault="005B2B39" w:rsidP="005B2B39">
      <w:r w:rsidRPr="00892556">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w:t>
      </w:r>
      <w:r w:rsidRPr="00892556">
        <w:rPr>
          <w:position w:val="9"/>
          <w:vertAlign w:val="superscript"/>
        </w:rPr>
        <w:t xml:space="preserve"> </w:t>
      </w:r>
      <w:r w:rsidRPr="00892556">
        <w:rPr>
          <w:color w:val="000000"/>
        </w:rPr>
        <w:t>Over tid stiller et ønske om full</w:t>
      </w:r>
      <w:r w:rsidRPr="00892556">
        <w:t xml:space="preserve">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fremfor i Norge. Dette medfører at </w:t>
      </w:r>
      <w:r>
        <w:t>produktreallønnskostnaden i industrien</w:t>
      </w:r>
      <w:r w:rsidRPr="00892556">
        <w:t xml:space="preserve">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w:t>
      </w:r>
      <w:r>
        <w:t xml:space="preserve">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w:t>
      </w:r>
    </w:p>
    <w:p w14:paraId="0E8A761B" w14:textId="77777777" w:rsidR="005B2B39" w:rsidRPr="00C158E9" w:rsidRDefault="005B2B39" w:rsidP="005B2B39">
      <w:r w:rsidRPr="00892556">
        <w:t xml:space="preserve">Når produktivitetsveksten bestemmer utviklingen i </w:t>
      </w:r>
      <w:r>
        <w:t>produkt</w:t>
      </w:r>
      <w:r w:rsidRPr="00892556">
        <w:t>reallønn over tid, må nominell lønnsvekst være lik summen av produktivitets- og prisveksten. Hvis den nominelle lønnsveksten blir høyere enn dette, slik at reallønnen vokser mer enn det produktivitetsveksten gir rom for, vil konkurranseevnen svekkes og</w:t>
      </w:r>
      <w:r>
        <w:t xml:space="preserve"> arbeidsledighet</w:t>
      </w:r>
      <w:r w:rsidRPr="00892556">
        <w:t xml:space="preserve">en stige. </w:t>
      </w:r>
      <w:r>
        <w:t xml:space="preserve">En blanding av markedsforhold og institusjonelle mekanismer bidrar til at lønnsveksten i konkurranseutsatt sektor er normen også for lønnsveksten i resten av økonomien. </w:t>
      </w:r>
    </w:p>
    <w:p w14:paraId="70E191BE" w14:textId="77777777" w:rsidR="005B2B39" w:rsidRPr="00C158E9" w:rsidRDefault="005B2B39" w:rsidP="005B2B39">
      <w:pPr>
        <w:rPr>
          <w:color w:val="000000"/>
          <w:szCs w:val="24"/>
        </w:rPr>
      </w:pPr>
      <w:r w:rsidRPr="00892556">
        <w:rPr>
          <w:color w:val="000000"/>
        </w:rPr>
        <w:t xml:space="preserve">Frontfagsmodellen og hovedkursteorien reflekterer således en forståelse for at det over tid er en forbindelse mellom det som er bedriftsøkonomisk lønnsomt og det som er gunstig ut fra makroøkonomiske hensyn. Modellen hviler blant annet på erkjennelsen av at lønnsdannelsen over tid har avgjørende betydning for nivået på arbeidsledigheten, mens reallønnsutviklingen først og fremst er knyttet til produktivitetsutviklingen. Erfaringene fra Norge og andre land </w:t>
      </w:r>
      <w:r>
        <w:rPr>
          <w:color w:val="000000"/>
        </w:rPr>
        <w:t>tilsier</w:t>
      </w:r>
      <w:r w:rsidRPr="00892556">
        <w:rPr>
          <w:color w:val="000000"/>
        </w:rPr>
        <w:t xml:space="preserve"> at høy nominell lønnsvekst uten bakgrunn i tilsvarende produktivitetsvekst i all hovedsak slår ut i høyere inflasjon og økt arbeidsledighet</w:t>
      </w:r>
      <w:r>
        <w:rPr>
          <w:color w:val="000000"/>
        </w:rPr>
        <w:t xml:space="preserve"> på lengre sikt</w:t>
      </w:r>
      <w:r w:rsidRPr="00892556">
        <w:rPr>
          <w:color w:val="000000"/>
        </w:rPr>
        <w:t>, og ikke i høyere reallønnsvekst. E</w:t>
      </w:r>
      <w:r w:rsidRPr="00892556">
        <w:t>ttersom konkurranseutsatte næringer konkurrerer med skjermede næringer om arbeidskraften, må de samme betingelsene for lønnsvekst gjelde også for skjermede næringer.</w:t>
      </w:r>
    </w:p>
    <w:p w14:paraId="18A11F1C" w14:textId="77777777" w:rsidR="005B2B39" w:rsidRPr="00892556" w:rsidRDefault="005B2B39" w:rsidP="005B2B39">
      <w:pPr>
        <w:rPr>
          <w:color w:val="000000"/>
        </w:rPr>
      </w:pPr>
      <w:r w:rsidRPr="00892556">
        <w:rPr>
          <w:color w:val="000000"/>
        </w:rPr>
        <w:t xml:space="preserve">Den norske lønnsforhandlingsmodellen innebærer videre stor grad av koordinering, der hovedorganisasjonene i arbeidslivet spiller en avgjørende rolle. Institusjoner som Kontaktutvalget og Det tekniske beregningsutvalget for inntektsoppgjørene støtter opp under koordineringen. </w:t>
      </w:r>
      <w:r w:rsidRPr="00734B18">
        <w:rPr>
          <w:rFonts w:ascii="Times New Roman" w:hAnsi="Times New Roman"/>
          <w:color w:val="000000"/>
          <w:szCs w:val="24"/>
        </w:rPr>
        <w:t>Organisasjonsgraden på arbeidstakersiden i Norge var knapt 52 prosent i 201</w:t>
      </w:r>
      <w:r>
        <w:rPr>
          <w:rFonts w:ascii="Times New Roman" w:hAnsi="Times New Roman"/>
          <w:color w:val="000000"/>
          <w:szCs w:val="24"/>
        </w:rPr>
        <w:t>4</w:t>
      </w:r>
      <w:r w:rsidRPr="00734B18">
        <w:rPr>
          <w:rFonts w:ascii="Times New Roman" w:hAnsi="Times New Roman"/>
          <w:color w:val="000000"/>
          <w:szCs w:val="24"/>
        </w:rPr>
        <w:t xml:space="preserve">, jf. </w:t>
      </w:r>
      <w:r>
        <w:rPr>
          <w:rFonts w:ascii="Times New Roman" w:hAnsi="Times New Roman"/>
          <w:color w:val="000000"/>
          <w:szCs w:val="24"/>
        </w:rPr>
        <w:t>vedlegg 5.</w:t>
      </w:r>
      <w:r w:rsidRPr="00734B18">
        <w:rPr>
          <w:rFonts w:ascii="Times New Roman" w:hAnsi="Times New Roman"/>
          <w:color w:val="000000"/>
          <w:szCs w:val="24"/>
        </w:rPr>
        <w:t xml:space="preserve"> Tariffavtaledekningen for alle arbeidstakere er anslått til 67 prosent, om lag 50 prosent i privat sektor og tilnærmet 100 prosent i offentlig sektor.</w:t>
      </w:r>
      <w:r w:rsidRPr="00734B18">
        <w:rPr>
          <w:szCs w:val="24"/>
        </w:rPr>
        <w:t xml:space="preserve"> Tariffavtalene benyttes imidlertid også som rettesnor i bedrifter som ikke formelt er bundet av avtalene.</w:t>
      </w:r>
      <w:r w:rsidRPr="00BE7FFD">
        <w:rPr>
          <w:color w:val="000000"/>
        </w:rPr>
        <w:t xml:space="preserve"> </w:t>
      </w:r>
    </w:p>
    <w:p w14:paraId="78333D06" w14:textId="77777777" w:rsidR="005B2B39" w:rsidRDefault="005B2B39" w:rsidP="005B2B39">
      <w:pPr>
        <w:rPr>
          <w:color w:val="000000"/>
        </w:rPr>
      </w:pPr>
      <w:r w:rsidRPr="00892556">
        <w:rPr>
          <w:color w:val="000000"/>
        </w:rPr>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bakgrunn for at Kontaktutvalget den 22. januar 2003 la fram en felles erklæring om situasjonen foran mellomoppgjøret 2003. I denne erklæringen het det blant annet: </w:t>
      </w:r>
    </w:p>
    <w:p w14:paraId="60B916CC" w14:textId="77777777" w:rsidR="005B2B39" w:rsidRDefault="005B2B39" w:rsidP="005B2B39">
      <w:pPr>
        <w:pStyle w:val="CM68"/>
        <w:spacing w:line="260" w:lineRule="atLeast"/>
        <w:jc w:val="both"/>
        <w:rPr>
          <w:rFonts w:ascii="Times New Roman" w:hAnsi="Times New Roman"/>
          <w:color w:val="000000"/>
        </w:rPr>
      </w:pPr>
    </w:p>
    <w:p w14:paraId="37AC879F" w14:textId="77777777" w:rsidR="005B2B39" w:rsidRPr="00B0167E" w:rsidRDefault="005B2B39" w:rsidP="005B2B39">
      <w:pPr>
        <w:pStyle w:val="CM68"/>
        <w:spacing w:line="260" w:lineRule="atLeast"/>
        <w:jc w:val="both"/>
        <w:rPr>
          <w:rFonts w:ascii="Times New Roman" w:hAnsi="Times New Roman"/>
          <w:i/>
          <w:color w:val="000000"/>
        </w:rPr>
      </w:pPr>
      <w:r w:rsidRPr="00B0167E">
        <w:rPr>
          <w:rFonts w:ascii="Times New Roman" w:hAnsi="Times New Roman"/>
          <w:i/>
          <w:color w:val="000000"/>
        </w:rPr>
        <w:t>« (…) På denne bakgrunn er regjeringen og organisasjonene i arbeidslivet enige om følgende:</w:t>
      </w:r>
      <w:r>
        <w:rPr>
          <w:rFonts w:ascii="Times New Roman" w:hAnsi="Times New Roman"/>
          <w:i/>
          <w:color w:val="000000"/>
        </w:rPr>
        <w:t xml:space="preserve"> </w:t>
      </w:r>
      <w:r w:rsidRPr="00B0167E">
        <w:rPr>
          <w:rFonts w:ascii="Times New Roman" w:hAnsi="Times New Roman"/>
          <w:i/>
          <w:color w:val="000000"/>
        </w:rPr>
        <w:t xml:space="preserve">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 </w:t>
      </w:r>
    </w:p>
    <w:p w14:paraId="70DBADBC" w14:textId="77777777" w:rsidR="005B2B39" w:rsidRPr="00B0167E" w:rsidRDefault="005B2B39" w:rsidP="005B2B39">
      <w:pPr>
        <w:pStyle w:val="Default"/>
        <w:rPr>
          <w:i/>
        </w:rPr>
      </w:pPr>
    </w:p>
    <w:p w14:paraId="36A4F05F" w14:textId="77777777" w:rsidR="005B2B39" w:rsidRPr="00B0167E" w:rsidRDefault="005B2B39" w:rsidP="005B2B39">
      <w:pPr>
        <w:pStyle w:val="Default"/>
        <w:spacing w:line="240" w:lineRule="atLeast"/>
        <w:rPr>
          <w:i/>
        </w:rPr>
      </w:pPr>
      <w:r w:rsidRPr="00B0167E">
        <w:rPr>
          <w:i/>
        </w:rPr>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70A635B7" w14:textId="77777777" w:rsidR="005B2B39" w:rsidRPr="00B0167E" w:rsidRDefault="005B2B39" w:rsidP="005B2B39">
      <w:pPr>
        <w:pStyle w:val="Default"/>
        <w:spacing w:line="240" w:lineRule="atLeast"/>
        <w:rPr>
          <w:i/>
        </w:rPr>
      </w:pPr>
      <w:r w:rsidRPr="00B0167E">
        <w:rPr>
          <w:i/>
        </w:rPr>
        <w:t xml:space="preserve"> </w:t>
      </w:r>
    </w:p>
    <w:p w14:paraId="33679914" w14:textId="77777777" w:rsidR="005B2B39" w:rsidRDefault="005B2B39" w:rsidP="005B2B39">
      <w:pPr>
        <w:pStyle w:val="CM69"/>
        <w:spacing w:line="260" w:lineRule="atLeast"/>
        <w:jc w:val="both"/>
        <w:rPr>
          <w:rFonts w:ascii="Times New Roman" w:hAnsi="Times New Roman"/>
          <w:i/>
          <w:color w:val="000000"/>
        </w:rPr>
      </w:pPr>
      <w:r w:rsidRPr="00B0167E">
        <w:rPr>
          <w:rFonts w:ascii="Times New Roman" w:hAnsi="Times New Roman"/>
          <w:i/>
          <w:color w:val="000000"/>
        </w:rPr>
        <w:t xml:space="preserve">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 </w:t>
      </w:r>
    </w:p>
    <w:p w14:paraId="286867D0" w14:textId="77777777" w:rsidR="005B2B39" w:rsidRPr="00F81C2E" w:rsidRDefault="005B2B39" w:rsidP="005B2B39">
      <w:pPr>
        <w:pStyle w:val="Default"/>
      </w:pPr>
    </w:p>
    <w:p w14:paraId="48635E58" w14:textId="26267482" w:rsidR="005B2B39" w:rsidRDefault="005B2B39" w:rsidP="005B2B39">
      <w:r w:rsidRPr="00096A1B">
        <w:t xml:space="preserve">Regjeringen </w:t>
      </w:r>
      <w:r>
        <w:t xml:space="preserve">Stoltenberg II </w:t>
      </w:r>
      <w:r w:rsidRPr="00096A1B">
        <w:t xml:space="preserve">satte i 2012 ned et offentlig utvalg </w:t>
      </w:r>
      <w:r>
        <w:t>for</w:t>
      </w:r>
      <w:r w:rsidRPr="00096A1B">
        <w:t xml:space="preserve"> å vurdere erfaringene med lønnsdannelsen gjennom de 12 årene som </w:t>
      </w:r>
      <w:r w:rsidR="0033027A">
        <w:t>hadde</w:t>
      </w:r>
      <w:r w:rsidR="0033027A" w:rsidRPr="00096A1B">
        <w:t xml:space="preserve"> </w:t>
      </w:r>
      <w:r w:rsidRPr="00096A1B">
        <w:t xml:space="preserve">gått siden handlingsregelen og inflasjonsmålet for pengepolitikken ble innført. </w:t>
      </w:r>
      <w:r>
        <w:t xml:space="preserve">Utvalget skulle også drøfte makroøkonomiske utviklingstrekk som kan skape utfordringer for norsk økonomi og lønnsdannelsen framover. Mandatet pekte på det høye og økende kostnadsnivået, petroleumsvirksomhetens økende betydning i norsk økonomi, at arbeidsinnvandringen fra EU/EØS-området </w:t>
      </w:r>
      <w:r w:rsidR="0033027A">
        <w:t xml:space="preserve">hadde </w:t>
      </w:r>
      <w:r>
        <w:t xml:space="preserve">økt markert, og at veksten i produktiviteten </w:t>
      </w:r>
      <w:r w:rsidR="0033027A">
        <w:t xml:space="preserve">hadde </w:t>
      </w:r>
      <w:r>
        <w:t xml:space="preserve">falt tilbake de senere årene. </w:t>
      </w:r>
      <w:r w:rsidRPr="00096A1B">
        <w:t>Utvalget leverte sin innstilling til Finansdepartementet den 3. desember 2013.</w:t>
      </w:r>
      <w:r>
        <w:t xml:space="preserve"> Noen av hovedkonklusjonene til utvalget er gjengitt i boks 4.2:</w:t>
      </w:r>
    </w:p>
    <w:p w14:paraId="27273042" w14:textId="77777777" w:rsidR="005B2B39" w:rsidRPr="001E7F40" w:rsidRDefault="005B2B39" w:rsidP="005B2B39">
      <w:pPr>
        <w:pStyle w:val="tittel-ramme"/>
        <w:pBdr>
          <w:top w:val="single" w:sz="4" w:space="1" w:color="auto"/>
          <w:left w:val="single" w:sz="4" w:space="4" w:color="auto"/>
          <w:bottom w:val="single" w:sz="4" w:space="12" w:color="auto"/>
          <w:right w:val="single" w:sz="4" w:space="4" w:color="auto"/>
        </w:pBdr>
      </w:pPr>
      <w:r>
        <w:t>Noen av hovedkonklusjonene til Holden III utvalget</w:t>
      </w:r>
      <w:r w:rsidRPr="00C87B74">
        <w:t xml:space="preserve"> </w:t>
      </w:r>
    </w:p>
    <w:p w14:paraId="25732919"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120" w:line="240" w:lineRule="auto"/>
        <w:ind w:left="357" w:hanging="357"/>
      </w:pPr>
      <w:r w:rsidRPr="001E7F40">
        <w:rPr>
          <w:i/>
          <w:iCs/>
        </w:rPr>
        <w:t xml:space="preserve">Utvalget slutter opp om frontfagsmodellen, som er en viktig bærebjelke i lønnsdannelsen i Norge. </w:t>
      </w:r>
      <w:r w:rsidRPr="001E7F40">
        <w:t xml:space="preserve">Selv om nye utviklingstrekk i økonomien og endrede retningslinjer i den økonomiske politikken har brakt inn nye mekanismer i måten økonomien virker på, gjelder de grunnleggende sammenhengene som frontfagsmodellen og hovedkursteorien bygger på også i dag. Det betyr at lønnsveksten i den sektoren som er utsatt for internasjonal konkurranse, må avspeile pris- og produktivitetsveksten i denne sektoren. Lønnsveksten i konkurranseutsatt sektor må så gjelde som en norm for lønnsveksten ellers i økonomien. </w:t>
      </w:r>
    </w:p>
    <w:p w14:paraId="4DFC64BF"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120" w:line="240" w:lineRule="auto"/>
        <w:ind w:left="357" w:hanging="357"/>
      </w:pPr>
      <w:r w:rsidRPr="001E7F40">
        <w:rPr>
          <w:i/>
          <w:iCs/>
        </w:rPr>
        <w:t xml:space="preserve">Et vesentlig høyere kostnadsnivå enn i andre land reflekterer høy produktivitet og store bytteforholdsgevinster, men innebærer samtidig en utfordring for konkurranseutsatte virksomheter. </w:t>
      </w:r>
      <w:r w:rsidRPr="001E7F40">
        <w:t xml:space="preserve">Økte priser på olje og andre viktige eksportprodukter og fallende priser på varer vi importerer, har gitt norsk økonomi store bytteforholdsgevinster på 2000-tallet. Høy og økende aktivitet i petroleumsvirksomheten og økt bruk av oljepenger over statsbudsjettet har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w:t>
      </w:r>
    </w:p>
    <w:p w14:paraId="66B1C3DC"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120" w:line="240" w:lineRule="auto"/>
        <w:ind w:left="357" w:hanging="357"/>
      </w:pPr>
      <w:r w:rsidRPr="001E7F40">
        <w:rPr>
          <w:i/>
          <w:iCs/>
        </w:rPr>
        <w:t xml:space="preserve">Et tilstrekkelig omfang av internasjonalt konkurranseutsatte virksomheter er nødvendig for en balansert økonomisk utvikling. </w:t>
      </w:r>
      <w:r w:rsidRPr="001E7F40">
        <w:t xml:space="preserve">For at konkurranseutsatt sektor skal være tilstrekkelig stor samlet sett, vil vi ha behov for et visst omfang av ikke-stedbundne næringer, dvs. konkurranseutsatte næringer som ikke er avhengig av norske naturressurser og dermed i større grad kan flyttes til andre land. Dette krever at det over tid er balanse mellom kostnadsnivå og produktivitetsnivå målt mot relevante handelspartnere. Også virksomheter på andre områder i økonomien blir utsatt for økende konkurranse fra utlandet, og en sterk avskalling av slike virksomheter kan svekke den underliggende balansen i utenriksøkonomien. Hvis dette oppdages for sent, kan kostnadene knyttet til en nødvendig kursendring bli store. Et høyt kostnadsnivå kan gjøre det mer krevende å starte og drive virksomheter som skal konkurrere i et internasjonalt marked. </w:t>
      </w:r>
    </w:p>
    <w:p w14:paraId="4CB3ABE8"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120" w:line="240" w:lineRule="auto"/>
        <w:ind w:left="357" w:hanging="357"/>
      </w:pPr>
      <w:r w:rsidRPr="001E7F40">
        <w:rPr>
          <w:i/>
          <w:iCs/>
        </w:rPr>
        <w:t xml:space="preserve">For å redusere risikoen for en sterk nedbygging av konkurranseutsatt sektor, bør den kostnadsmessige konkurranseevnen ikke svekkes. </w:t>
      </w:r>
      <w:r w:rsidRPr="001E7F40">
        <w:t xml:space="preserve">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 </w:t>
      </w:r>
    </w:p>
    <w:p w14:paraId="23D6CD15"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120" w:line="240" w:lineRule="auto"/>
        <w:ind w:left="357" w:hanging="357"/>
      </w:pPr>
      <w:r w:rsidRPr="001E7F40">
        <w:rPr>
          <w:i/>
          <w:iCs/>
        </w:rPr>
        <w:t>Konsekvensene for norsk økonomi vil bli vesentlig kraftigere om betydelig svakere vekst i verdensøkonomien skulle føre til et kraftig fall i oljeprisen</w:t>
      </w:r>
      <w:r w:rsidRPr="001E7F40">
        <w:t>. Det vil kunne gi en brå nedgang i oljevirksomheten både i Norge og internasjonalt, og annen norsk eksport vil også bli rammet. Arbeidsledigheten vil da stige markert. 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w:t>
      </w:r>
      <w:r>
        <w:t xml:space="preserve"> arbeidsledighet</w:t>
      </w:r>
      <w:r w:rsidRPr="001E7F40">
        <w:t xml:space="preserve">en etter hvert går ned igjen. Frontfagsmodellen er etter utvalgets mening godt egnet til å bidra til en tilpasning til et lavere kostnadsnivå for å bedre konkurranseevnen. </w:t>
      </w:r>
    </w:p>
    <w:p w14:paraId="02866464"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Lønnsveksten i industrien for arbeidere og funksjonærer samlet bør være normgivende for resten av økonomien. </w:t>
      </w:r>
      <w:r w:rsidRPr="001E7F40">
        <w:t xml:space="preserve">Dette er i tråd med Kontaktutvalgets uttalelse i mars 2003. Ved forbundsvise oppgjør er det Industrioverenskomsten som er frontfaget, og dermed forhandles først. Dette oppgjøret har i stor grad direkte gjennomslag i en rekke andre oppgjør. Siden utfallet av de lokale forhandlingene ikke er avklart, bør NHO, i forståelse med LO, angi en troverdig ramme for den samlede årslønnsveksten i industrien. En troverdig ramme skal verken være gulv eller tak for lønnsveksten, men en norm som andre forhandlingsområder skal forholde seg til. Ved utarbeidelsen av anslaget må det tas tilstrekkelig hensyn til de økonomiske utsiktene. Drøfting av de økonomiske utsiktene i Det tekniske beregningsutvalget for inntektsoppgjørene (TBU) i forkant av lønnsoppgjørene vil gi grunnlag for en felles virkelighetsoppfatning blant alle parter i lønnsoppgjørene. </w:t>
      </w:r>
    </w:p>
    <w:p w14:paraId="78C607EC" w14:textId="77777777" w:rsidR="005B2B39" w:rsidRPr="001E7F40" w:rsidRDefault="005B2B39" w:rsidP="004779A9">
      <w:pPr>
        <w:pStyle w:val="Listeavsnitt"/>
        <w:numPr>
          <w:ilvl w:val="0"/>
          <w:numId w:val="28"/>
        </w:numPr>
        <w:pBdr>
          <w:top w:val="single" w:sz="4" w:space="1" w:color="auto"/>
          <w:left w:val="single" w:sz="4" w:space="4" w:color="auto"/>
          <w:bottom w:val="single" w:sz="4" w:space="12" w:color="auto"/>
          <w:right w:val="single" w:sz="4" w:space="4" w:color="auto"/>
        </w:pBdr>
        <w:spacing w:before="0" w:after="240" w:line="240" w:lineRule="auto"/>
        <w:ind w:left="357" w:hanging="357"/>
      </w:pPr>
      <w:r w:rsidRPr="001E7F40">
        <w:rPr>
          <w:i/>
          <w:iCs/>
        </w:rPr>
        <w:t xml:space="preserve">Utvalget ser ikke behov for å endre sammensetningen av frontfaget nå. </w:t>
      </w:r>
      <w:r w:rsidRPr="001E7F40">
        <w:t xml:space="preserve">Høy aktivitet og god lønnsomhet i oljerelatert virksomhet har ført til høy lønnsvekst i denne typen virksomheter, og for å unngå at lønnsveksten blir høyere enn det konkurranseutsatte virksomheter tåler, kan det argumenteres for at oljerelaterte virksomheter ikke bør inngå i frontfaget. Men i en vurdering av hvilke bedrifter som bør inngå i frontfaget, må det tas hensyn til hva som vil fungere som en troverdig norm for lønnsdannelsen i Norge. Frontfagets sammensetning gjenspeiler også i betydelig grad sammensetningen av konkurranseutsatt sektor. I tillegg kan økende internasjonal konkurranse innen leverandørnæringene og forventet svakere utvikling i oljeaktiviteten innebære lavere lønnsvekst i oljerelatert virksomhet i årene framover. Organisasjonsmessige forhold og tradisjon taler også for å videreføre det nåværende frontfaget. </w:t>
      </w:r>
    </w:p>
    <w:p w14:paraId="602AE065" w14:textId="77777777" w:rsidR="005B2B39" w:rsidRPr="00892556" w:rsidRDefault="005B2B39" w:rsidP="005B2B39">
      <w:pPr>
        <w:pStyle w:val="Overskrift3"/>
      </w:pPr>
      <w:bookmarkStart w:id="221" w:name="_Toc411849482"/>
      <w:bookmarkStart w:id="222" w:name="_Toc443998985"/>
      <w:r>
        <w:t>Lønnsomheten i norsk industri</w:t>
      </w:r>
      <w:bookmarkEnd w:id="221"/>
      <w:bookmarkEnd w:id="222"/>
    </w:p>
    <w:p w14:paraId="67EF769A" w14:textId="77777777" w:rsidR="005B2B39" w:rsidRDefault="005B2B39" w:rsidP="005B2B39">
      <w:r w:rsidRPr="00842B69">
        <w:t xml:space="preserve">Det er en nær </w:t>
      </w:r>
      <w:r w:rsidRPr="000C5F67">
        <w:t xml:space="preserve">sammenheng mellom utviklingen i </w:t>
      </w:r>
      <w:r w:rsidRPr="000C5F67">
        <w:rPr>
          <w:rStyle w:val="Utheving"/>
        </w:rPr>
        <w:t xml:space="preserve">konkurranseevnen </w:t>
      </w:r>
      <w:r w:rsidRPr="000C5F67">
        <w:t xml:space="preserve">og </w:t>
      </w:r>
      <w:r w:rsidRPr="000C5F67">
        <w:rPr>
          <w:rStyle w:val="Utheving"/>
        </w:rPr>
        <w:t>lønnsomheten i næringslivet, jf. over</w:t>
      </w:r>
      <w:r w:rsidRPr="000C5F67">
        <w:t>.</w:t>
      </w:r>
      <w:r w:rsidRPr="000C5F67">
        <w:rPr>
          <w:b/>
        </w:rPr>
        <w:t xml:space="preserve"> </w:t>
      </w:r>
      <w:r w:rsidRPr="000C5F67">
        <w:t>Hovedkursteorien peker på lønnskostnadsandelen som en sentral indikator for utviklingen i lønnsomheten.</w:t>
      </w:r>
      <w:r>
        <w:rPr>
          <w:color w:val="FF0000"/>
        </w:rPr>
        <w:t xml:space="preserve"> </w:t>
      </w:r>
      <w:r w:rsidRPr="00842B69">
        <w:t xml:space="preserve">Høyere lønnskostnader, lavere produsentpriser </w:t>
      </w:r>
      <w:r>
        <w:t>og</w:t>
      </w:r>
      <w:r w:rsidRPr="00842B69">
        <w:t xml:space="preserve"> svakere produktivitetsutvikling er faktorer som isolert</w:t>
      </w:r>
      <w:r>
        <w:t xml:space="preserve"> sett </w:t>
      </w:r>
      <w:r w:rsidRPr="00842B69">
        <w:t xml:space="preserve">bidrar til svekket konkurranseevne og lavere lønnsomhet. </w:t>
      </w:r>
      <w:r>
        <w:t xml:space="preserve">En slik utvikling vil innebære at en større andel av bedriftenes overskudd tilfaller lønnstakerne og mindre kapitaleierne. Lønnskostnadsandelen vil da gå opp, mens driftsresultatandelen vil gå ned. </w:t>
      </w:r>
      <w:r w:rsidRPr="00842B69">
        <w:t xml:space="preserve">Motsatt bidrar lavere lønnskostnader, høyere produsentpriser </w:t>
      </w:r>
      <w:r>
        <w:t>og</w:t>
      </w:r>
      <w:r w:rsidRPr="00842B69">
        <w:t xml:space="preserve"> sterkere produktivitetsutvikling</w:t>
      </w:r>
      <w:r>
        <w:t xml:space="preserve"> isolert</w:t>
      </w:r>
      <w:r w:rsidRPr="00842B69">
        <w:t xml:space="preserve"> til bedret konkurranseevne og </w:t>
      </w:r>
      <w:r>
        <w:t>l</w:t>
      </w:r>
      <w:r w:rsidRPr="00842B69">
        <w:t xml:space="preserve">ønnsomhet. </w:t>
      </w:r>
      <w:r>
        <w:t>En slik utvikling vises ved en lavere lønnskostnadsandel og tilsvarende høyere driftsresultatandel.</w:t>
      </w:r>
    </w:p>
    <w:p w14:paraId="68A5F212" w14:textId="77777777" w:rsidR="005B2B39" w:rsidRDefault="005B2B39" w:rsidP="005B2B39">
      <w:r>
        <w:t xml:space="preserve">Figur 4.1. viser utviklingen i lønnskostnadene som andel av brutto faktorinntekter i industrien i Norge og våre handelspartnere siden midten av 1990-tallet. Lønnkostnadsandelen i Norge har historisk svingt med konjunkturene rundt et nokså stabilt nivå.  </w:t>
      </w:r>
    </w:p>
    <w:p w14:paraId="087A7885" w14:textId="77777777" w:rsidR="007B6FB2" w:rsidRDefault="007B6FB2" w:rsidP="007B6FB2">
      <w:r>
        <w:t>Nedgangen i lønnskostnadsandelen på første halvdel av 2000-tallet må trolig bl.a. ses i sammenheng med den markerte bedringen i Norges bytteforhold i handelen med utlandet etter at Kina begynte å spille en større rolle i det internasjonale varebyttet. Sterk vekst i etterspørselen fra Kina og andre framvoksende økonomier har gitt betydelig oppgang i prisene på flere viktige norske eksportprodukter. Samtidig har økt import fra lavkostland bidratt til nedgang i prisene på importerte konsumvarer, noe som har bidratt til merkbar bedring i lønnstakernes kjøpekraft. Når produktivitetsveksten i tillegg har vært høy, har dette gitt grunnlag for sterk vekst både i bedriftenes overskudd og i reallønnene.</w:t>
      </w:r>
    </w:p>
    <w:p w14:paraId="6D9897A9" w14:textId="77777777" w:rsidR="005B2B39" w:rsidRDefault="005B2B39" w:rsidP="005B2B39">
      <w:r>
        <w:rPr>
          <w:noProof/>
        </w:rPr>
        <w:drawing>
          <wp:inline distT="0" distB="0" distL="0" distR="0" wp14:anchorId="378F5BDE" wp14:editId="11C416B6">
            <wp:extent cx="2633254" cy="2590586"/>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1">
                      <a:extLst>
                        <a:ext uri="{28A0092B-C50C-407E-A947-70E740481C1C}">
                          <a14:useLocalDpi xmlns:a14="http://schemas.microsoft.com/office/drawing/2010/main" val="0"/>
                        </a:ext>
                      </a:extLst>
                    </a:blip>
                    <a:stretch>
                      <a:fillRect/>
                    </a:stretch>
                  </pic:blipFill>
                  <pic:spPr>
                    <a:xfrm>
                      <a:off x="0" y="0"/>
                      <a:ext cx="2633254" cy="2590586"/>
                    </a:xfrm>
                    <a:prstGeom prst="rect">
                      <a:avLst/>
                    </a:prstGeom>
                  </pic:spPr>
                </pic:pic>
              </a:graphicData>
            </a:graphic>
          </wp:inline>
        </w:drawing>
      </w:r>
    </w:p>
    <w:p w14:paraId="01F12045" w14:textId="39D3337D" w:rsidR="005B2B39" w:rsidRPr="00F43603" w:rsidRDefault="005B2B39" w:rsidP="00F43603">
      <w:pPr>
        <w:pStyle w:val="figur-tittel"/>
        <w:spacing w:after="0"/>
      </w:pPr>
      <w:r>
        <w:t>L</w:t>
      </w:r>
      <w:r w:rsidRPr="002511D0">
        <w:t>ønnskostnadsandeler i industrien</w:t>
      </w:r>
      <w:r w:rsidRPr="00F43603">
        <w:rPr>
          <w:vertAlign w:val="superscript"/>
        </w:rPr>
        <w:t>1</w:t>
      </w:r>
    </w:p>
    <w:p w14:paraId="47FA132A" w14:textId="4293510F" w:rsidR="005B2B39" w:rsidRDefault="005B2B39" w:rsidP="008643D6">
      <w:pPr>
        <w:pStyle w:val="tabell-noter"/>
        <w:numPr>
          <w:ilvl w:val="0"/>
          <w:numId w:val="87"/>
        </w:numPr>
        <w:tabs>
          <w:tab w:val="clear" w:pos="284"/>
        </w:tabs>
        <w:spacing w:before="0" w:after="0"/>
        <w:ind w:left="142" w:hanging="142"/>
      </w:pPr>
      <w:bookmarkStart w:id="223" w:name="_Toc443829056"/>
      <w:bookmarkStart w:id="224" w:name="_Toc443843713"/>
      <w:bookmarkStart w:id="225" w:name="_Toc443844245"/>
      <w:r w:rsidRPr="008070DD">
        <w:t>Lønnskostnadsandelene er beregnet ved lønnskostnader dividert på brutto faktorinntekter, dvs. at driftsresultatet ikke er justert for kapitalslit.</w:t>
      </w:r>
      <w:bookmarkEnd w:id="223"/>
      <w:bookmarkEnd w:id="224"/>
      <w:bookmarkEnd w:id="225"/>
    </w:p>
    <w:p w14:paraId="66ABEF1A" w14:textId="6D00B6D9" w:rsidR="00054035" w:rsidRPr="00054035" w:rsidRDefault="00054035" w:rsidP="00054035">
      <w:pPr>
        <w:spacing w:before="120"/>
        <w:rPr>
          <w:sz w:val="20"/>
        </w:rPr>
      </w:pPr>
      <w:r w:rsidRPr="00054035">
        <w:rPr>
          <w:sz w:val="20"/>
        </w:rPr>
        <w:t>Kilder: Statistisk sentralbyrå, OECD, Eurostat og Beregningsutvalget</w:t>
      </w:r>
    </w:p>
    <w:p w14:paraId="5FBE014E" w14:textId="77777777" w:rsidR="005B2B39" w:rsidRPr="00054035" w:rsidRDefault="005B2B39" w:rsidP="00054035">
      <w:pPr>
        <w:rPr>
          <w:sz w:val="20"/>
        </w:rPr>
      </w:pPr>
    </w:p>
    <w:p w14:paraId="4D05F13F" w14:textId="2C505CAB" w:rsidR="005B2B39" w:rsidRPr="00EA5FB8" w:rsidRDefault="005B2B39" w:rsidP="005B2B39">
      <w:r>
        <w:t xml:space="preserve">I forbindelse med finanskrisen steg lønnskostnadsandelen i norsk industri markert i 2009. </w:t>
      </w:r>
      <w:r w:rsidRPr="00672B06">
        <w:t xml:space="preserve">Lønnskostnadsandelen falt tilbake igjen i 2010, men steg </w:t>
      </w:r>
      <w:r>
        <w:t xml:space="preserve">deretter </w:t>
      </w:r>
      <w:r w:rsidRPr="00672B06">
        <w:t xml:space="preserve">de tre </w:t>
      </w:r>
      <w:r>
        <w:t xml:space="preserve">neste </w:t>
      </w:r>
      <w:r w:rsidRPr="00672B06">
        <w:t>årene</w:t>
      </w:r>
      <w:r>
        <w:t>.</w:t>
      </w:r>
      <w:r w:rsidRPr="00672B06">
        <w:t xml:space="preserve"> </w:t>
      </w:r>
      <w:r>
        <w:t xml:space="preserve">De to siste årene har lønnskostnadsandelen i industrien falt markert fra over 70 prosent i 2013, til vel 64 prosent i 2015.  Til sammenlikning har </w:t>
      </w:r>
      <w:r w:rsidRPr="00672B06">
        <w:t>gjennomsnittet de siste ti årene</w:t>
      </w:r>
      <w:r>
        <w:t xml:space="preserve"> vært 67 prosent</w:t>
      </w:r>
      <w:r w:rsidRPr="00672B06">
        <w:t xml:space="preserve">, </w:t>
      </w:r>
      <w:r w:rsidRPr="00EA5FB8">
        <w:t>mens gjennomsnittet siden 1996 har vært på 66 prosent, jf. figur 4.1.</w:t>
      </w:r>
    </w:p>
    <w:p w14:paraId="688A5063" w14:textId="77777777" w:rsidR="005B2B39" w:rsidRDefault="005B2B39" w:rsidP="005B2B39"/>
    <w:p w14:paraId="1D3AE74B" w14:textId="77777777" w:rsidR="005B2B39" w:rsidRDefault="005B2B39" w:rsidP="005B2B39">
      <w:r>
        <w:rPr>
          <w:noProof/>
        </w:rPr>
        <w:drawing>
          <wp:inline distT="0" distB="0" distL="0" distR="0" wp14:anchorId="2AA80D66" wp14:editId="0C16CE43">
            <wp:extent cx="2645445" cy="2566204"/>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2">
                      <a:extLst>
                        <a:ext uri="{28A0092B-C50C-407E-A947-70E740481C1C}">
                          <a14:useLocalDpi xmlns:a14="http://schemas.microsoft.com/office/drawing/2010/main" val="0"/>
                        </a:ext>
                      </a:extLst>
                    </a:blip>
                    <a:stretch>
                      <a:fillRect/>
                    </a:stretch>
                  </pic:blipFill>
                  <pic:spPr>
                    <a:xfrm>
                      <a:off x="0" y="0"/>
                      <a:ext cx="2645445" cy="2566204"/>
                    </a:xfrm>
                    <a:prstGeom prst="rect">
                      <a:avLst/>
                    </a:prstGeom>
                  </pic:spPr>
                </pic:pic>
              </a:graphicData>
            </a:graphic>
          </wp:inline>
        </w:drawing>
      </w:r>
    </w:p>
    <w:p w14:paraId="4C3637FF" w14:textId="164C247B" w:rsidR="005B2B39" w:rsidRPr="002511D0" w:rsidRDefault="005B2B39" w:rsidP="00B75AD1">
      <w:pPr>
        <w:pStyle w:val="figur-tittel"/>
      </w:pPr>
      <w:r>
        <w:t>L</w:t>
      </w:r>
      <w:r w:rsidRPr="002511D0">
        <w:t xml:space="preserve">ønnskostnadsandeler i hele økonomien </w:t>
      </w:r>
    </w:p>
    <w:p w14:paraId="570F057B" w14:textId="77777777" w:rsidR="005B2B39" w:rsidRDefault="005B2B39" w:rsidP="005B2B39">
      <w:pPr>
        <w:pStyle w:val="Kilde"/>
      </w:pPr>
      <w:r w:rsidRPr="0052571D">
        <w:t xml:space="preserve">Kilder: </w:t>
      </w:r>
      <w:r>
        <w:t>Statistisk sentralbyrå</w:t>
      </w:r>
      <w:r w:rsidRPr="0052571D">
        <w:t>, OECD, Eurostat og Beregningsutvalget</w:t>
      </w:r>
    </w:p>
    <w:p w14:paraId="50E5DEE2" w14:textId="77777777" w:rsidR="007B6FB2" w:rsidRDefault="007B6FB2" w:rsidP="007B6FB2">
      <w:r>
        <w:t xml:space="preserve">Figuren viser også utviklingen i Sverige, Tyskland, Finland og Danmark. Når man sammenlikner lønnskostnadsandelen med andre land, er det viktig å være oppmerksom på at ulik næringsstruktur i ulike land vil kunne gi nivåforskjeller i lønnskostnadsandelene mellom landene. I vedleggstabell 4.5 presenteres tall for brutto driftsresultatandel for Norge og utvalgte land. </w:t>
      </w:r>
    </w:p>
    <w:p w14:paraId="1DA46FB3" w14:textId="77777777" w:rsidR="007B6FB2" w:rsidRDefault="007B6FB2" w:rsidP="007B6FB2">
      <w:r>
        <w:t>Bildet for utviklingen i lønnskostnadsandeler er i hovedsak det samme når vi ser på utviklingen i lønnskostnadsandelene for hele økonomien, jf. figur 4.2. D</w:t>
      </w:r>
      <w:r w:rsidRPr="00CA1F46">
        <w:t xml:space="preserve">e </w:t>
      </w:r>
      <w:r>
        <w:t>årlige svingningene i lønnsomheten er imidlertid noe mindre enn for industrien.</w:t>
      </w:r>
    </w:p>
    <w:p w14:paraId="48228A69" w14:textId="77777777" w:rsidR="005B2B39" w:rsidRPr="007B6FB2" w:rsidRDefault="005B2B39" w:rsidP="005B2B39">
      <w:pPr>
        <w:pStyle w:val="Overskrift2"/>
        <w:rPr>
          <w:rFonts w:cs="Arial"/>
        </w:rPr>
      </w:pPr>
      <w:bookmarkStart w:id="226" w:name="_Toc411849483"/>
      <w:bookmarkStart w:id="227" w:name="_Toc443998986"/>
      <w:r w:rsidRPr="007B6FB2">
        <w:rPr>
          <w:rFonts w:cs="Arial"/>
        </w:rPr>
        <w:t>Indikatorer for industriens kostnadsutvikling</w:t>
      </w:r>
      <w:bookmarkEnd w:id="226"/>
      <w:bookmarkEnd w:id="227"/>
    </w:p>
    <w:p w14:paraId="7024B4D5" w14:textId="77777777" w:rsidR="005B2B39" w:rsidRPr="00E65593" w:rsidRDefault="005B2B39" w:rsidP="005B2B39">
      <w:r w:rsidRPr="00E65593">
        <w:t xml:space="preserve">Lønnskostnadene er den enkeltfaktoren som betyr mest for kostnadene i næringslivet. </w:t>
      </w:r>
      <w:r>
        <w:t xml:space="preserve">Lønnskostnadene kan bl.a. måles ved timelønnskostnader og lønnskostnader per produsert enhet. Svakere krone kan bedre eksportbedriftenes inntekter og bedre bedriftenes konkurransesituasjon relativt til utlandet. </w:t>
      </w:r>
      <w:r w:rsidRPr="00E65593">
        <w:t xml:space="preserve">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 </w:t>
      </w:r>
    </w:p>
    <w:p w14:paraId="4B3A55A6" w14:textId="77777777" w:rsidR="005B2B39" w:rsidRPr="00E65593" w:rsidRDefault="005B2B39" w:rsidP="005B2B39">
      <w:r w:rsidRPr="00E65593">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w:t>
      </w:r>
      <w:r>
        <w:t>Svakere krone trekker i retning av dyrere produktinnsats på importerte varer og tjenester. Dette svekker isolert sett lønnsomheten, men gir også insentiver til å erstatte importerte produkter med norskproduserte varer og tjenester som så vil dempe effekten på lønnsomheten igjen.</w:t>
      </w:r>
    </w:p>
    <w:p w14:paraId="17F4AE54" w14:textId="0BCD9AFF" w:rsidR="00B75AD1" w:rsidRDefault="005B2B39" w:rsidP="005B2B39">
      <w:r w:rsidRPr="00E65593">
        <w:t>Forutsigbare og stabile rammebetingelser kan også bidra til å s</w:t>
      </w:r>
      <w:r>
        <w:t>tyrke næringslivets konkurranse</w:t>
      </w:r>
      <w:r w:rsidRPr="00E65593">
        <w:t xml:space="preserve">posisjon. </w:t>
      </w:r>
    </w:p>
    <w:p w14:paraId="20D08B02" w14:textId="77777777" w:rsidR="005B2B39" w:rsidRPr="00C158E9" w:rsidRDefault="005B2B39" w:rsidP="005B2B39">
      <w:pPr>
        <w:pStyle w:val="Overskrift3"/>
      </w:pPr>
      <w:bookmarkStart w:id="228" w:name="_Toc411849484"/>
      <w:bookmarkStart w:id="229" w:name="_Toc443998987"/>
      <w:r>
        <w:t>Vekst i timelønnskostnader</w:t>
      </w:r>
      <w:bookmarkEnd w:id="228"/>
      <w:bookmarkEnd w:id="229"/>
    </w:p>
    <w:p w14:paraId="7B7191EE" w14:textId="77777777" w:rsidR="005B2B39" w:rsidRDefault="005B2B39" w:rsidP="005B2B39">
      <w:pPr>
        <w:rPr>
          <w:iCs/>
        </w:rPr>
      </w:pPr>
      <w:r w:rsidRPr="000F5DFF">
        <w:rPr>
          <w:iCs/>
        </w:rPr>
        <w:t xml:space="preserve">Tabell </w:t>
      </w:r>
      <w:r>
        <w:rPr>
          <w:iCs/>
        </w:rPr>
        <w:t>4</w:t>
      </w:r>
      <w:r w:rsidRPr="000F5DFF">
        <w:rPr>
          <w:iCs/>
        </w:rPr>
        <w:t>.</w:t>
      </w:r>
      <w:r>
        <w:rPr>
          <w:iCs/>
        </w:rPr>
        <w:t xml:space="preserve">2 </w:t>
      </w:r>
      <w:r w:rsidRPr="000F5DFF">
        <w:rPr>
          <w:iCs/>
        </w:rPr>
        <w:t xml:space="preserve">og figur </w:t>
      </w:r>
      <w:r>
        <w:rPr>
          <w:iCs/>
        </w:rPr>
        <w:t>4</w:t>
      </w:r>
      <w:r w:rsidRPr="000F5DFF">
        <w:rPr>
          <w:iCs/>
        </w:rPr>
        <w:t>.</w:t>
      </w:r>
      <w:r>
        <w:rPr>
          <w:iCs/>
        </w:rPr>
        <w:t>3</w:t>
      </w:r>
      <w:r w:rsidRPr="000F5DFF">
        <w:rPr>
          <w:iCs/>
        </w:rPr>
        <w:t xml:space="preserve"> viser utviklingen i lønnskostnader per time for </w:t>
      </w:r>
      <w:r>
        <w:rPr>
          <w:iCs/>
        </w:rPr>
        <w:t>ansatte</w:t>
      </w:r>
      <w:r w:rsidRPr="000F5DFF">
        <w:rPr>
          <w:iCs/>
        </w:rPr>
        <w:t xml:space="preserve"> i industri</w:t>
      </w:r>
      <w:r>
        <w:rPr>
          <w:iCs/>
        </w:rPr>
        <w:t>en i Norge</w:t>
      </w:r>
      <w:r w:rsidRPr="000F5DFF">
        <w:rPr>
          <w:iCs/>
        </w:rPr>
        <w:t xml:space="preserve"> og </w:t>
      </w:r>
      <w:r>
        <w:rPr>
          <w:iCs/>
        </w:rPr>
        <w:t>i industrien hos</w:t>
      </w:r>
      <w:r w:rsidRPr="000F5DFF">
        <w:rPr>
          <w:iCs/>
        </w:rPr>
        <w:t xml:space="preserve"> våre handelspartnere </w:t>
      </w:r>
      <w:r>
        <w:rPr>
          <w:iCs/>
        </w:rPr>
        <w:t xml:space="preserve">målt i </w:t>
      </w:r>
      <w:r w:rsidRPr="000F5DFF">
        <w:rPr>
          <w:iCs/>
        </w:rPr>
        <w:t>felles valuta</w:t>
      </w:r>
      <w:r>
        <w:rPr>
          <w:iCs/>
        </w:rPr>
        <w:t xml:space="preserve">. </w:t>
      </w:r>
    </w:p>
    <w:p w14:paraId="7B291C88" w14:textId="21FFE3DD" w:rsidR="00196CA6" w:rsidRDefault="00196CA6" w:rsidP="00196CA6">
      <w:r w:rsidRPr="0055543B">
        <w:t xml:space="preserve">Den kostnadsmessige konkurranseevnen målt ved relative timelønnskostnader i industrien i felles valuta har </w:t>
      </w:r>
      <w:r>
        <w:t>bedret seg de tre siste årene, etter å ha svekket seg i årene fram til og med 2012. Samlet sett over den siste tiårsperioden har den kostnadsmessige konkurranseevnen svekket seg med i gjennomsnitt 0,2 prosent per år</w:t>
      </w:r>
      <w:r w:rsidRPr="0055543B">
        <w:t xml:space="preserve">. </w:t>
      </w:r>
      <w:r>
        <w:t xml:space="preserve">Mens veksten i timelønnskostnader i norsk industri har vært høyere enn hos et vektet gjennomsnitt av handelspartnerne, har en svekkelse av kronen bidratt i motsatt retning. </w:t>
      </w:r>
    </w:p>
    <w:p w14:paraId="733882F7" w14:textId="77777777" w:rsidR="00196CA6" w:rsidRPr="005522DF" w:rsidRDefault="00196CA6" w:rsidP="00196CA6">
      <w:r w:rsidRPr="005522DF">
        <w:t>Ifølge foreløpige nasjonalregnskapstall var veksten i timelønnskostnadene i norsk industri i 2015 på 2,6 prosent, dvs. 0,6 prosentpoeng høyere enn timelønnskostnadsveksten hos handelspartnerne. En markert svekkelse av kronen fra 2014 til 2015 gjorde at de relative timelønnskostnadene anslås å ha falt med 9,1 prosent dette året.</w:t>
      </w:r>
    </w:p>
    <w:p w14:paraId="2CA96F8C" w14:textId="77777777" w:rsidR="00196CA6" w:rsidRDefault="00196CA6" w:rsidP="005B2B39">
      <w:pPr>
        <w:rPr>
          <w:iCs/>
        </w:rPr>
      </w:pPr>
    </w:p>
    <w:p w14:paraId="4EF85F3B" w14:textId="77777777" w:rsidR="005B2B39" w:rsidRDefault="005B2B39" w:rsidP="005B2B39">
      <w:pPr>
        <w:pStyle w:val="tabell-tittel"/>
      </w:pPr>
      <w:r>
        <w:t xml:space="preserve">Timelønnskostnader i industrien. Prosentvis endring fra året før. </w:t>
      </w:r>
    </w:p>
    <w:p w14:paraId="296A395F" w14:textId="77777777" w:rsidR="005B2B39" w:rsidRDefault="005B2B39" w:rsidP="005B2B39">
      <w:r w:rsidRPr="0049738A">
        <w:rPr>
          <w:noProof/>
        </w:rPr>
        <w:drawing>
          <wp:inline distT="0" distB="0" distL="0" distR="0" wp14:anchorId="61F38966" wp14:editId="56EAFC93">
            <wp:extent cx="5760720" cy="1754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754666"/>
                    </a:xfrm>
                    <a:prstGeom prst="rect">
                      <a:avLst/>
                    </a:prstGeom>
                    <a:noFill/>
                    <a:ln>
                      <a:noFill/>
                    </a:ln>
                  </pic:spPr>
                </pic:pic>
              </a:graphicData>
            </a:graphic>
          </wp:inline>
        </w:drawing>
      </w:r>
    </w:p>
    <w:p w14:paraId="78CC4420" w14:textId="77777777" w:rsidR="00BF2880" w:rsidRDefault="005B2B39" w:rsidP="008643D6">
      <w:pPr>
        <w:pStyle w:val="tabell-noter"/>
        <w:numPr>
          <w:ilvl w:val="0"/>
          <w:numId w:val="88"/>
        </w:numPr>
        <w:tabs>
          <w:tab w:val="clear" w:pos="284"/>
        </w:tabs>
        <w:spacing w:before="0" w:after="0"/>
        <w:ind w:left="142" w:hanging="142"/>
      </w:pPr>
      <w:r w:rsidRPr="004E7E88">
        <w:t xml:space="preserve">Lønnskostnad per utførte timeverk i industrien, jf. nasjonalregnskapet. </w:t>
      </w:r>
    </w:p>
    <w:p w14:paraId="084E4805" w14:textId="77777777" w:rsidR="00BF2880" w:rsidRDefault="005B2B39" w:rsidP="008643D6">
      <w:pPr>
        <w:pStyle w:val="tabell-noter"/>
        <w:numPr>
          <w:ilvl w:val="0"/>
          <w:numId w:val="88"/>
        </w:numPr>
        <w:tabs>
          <w:tab w:val="clear" w:pos="284"/>
        </w:tabs>
        <w:spacing w:before="0" w:after="0"/>
        <w:ind w:left="142" w:hanging="142"/>
      </w:pPr>
      <w:r w:rsidRPr="00067F52">
        <w:t>Tallene for årene 200</w:t>
      </w:r>
      <w:r>
        <w:t>6</w:t>
      </w:r>
      <w:r w:rsidRPr="00067F52">
        <w:t>-201</w:t>
      </w:r>
      <w:r>
        <w:t>3</w:t>
      </w:r>
      <w:r w:rsidRPr="00067F52">
        <w:t xml:space="preserve"> er fra Conference Board. For 201</w:t>
      </w:r>
      <w:r>
        <w:t>4</w:t>
      </w:r>
      <w:r w:rsidRPr="00067F52">
        <w:t xml:space="preserve"> </w:t>
      </w:r>
      <w:r>
        <w:t xml:space="preserve">og 2015 </w:t>
      </w:r>
      <w:r w:rsidRPr="00067F52">
        <w:t xml:space="preserve">benyttes tall for vekst i arbeidskraftkostnadsindekser fra Eurostat. Tall for handelspartnerne er beregnet som veide geometriske gjennomsnitt, jf. boks </w:t>
      </w:r>
      <w:r>
        <w:t>4</w:t>
      </w:r>
      <w:r w:rsidRPr="00067F52">
        <w:t xml:space="preserve">.1. </w:t>
      </w:r>
    </w:p>
    <w:p w14:paraId="5C0E3ED4" w14:textId="3E2D9C57" w:rsidR="005B2B39" w:rsidRDefault="005B2B39" w:rsidP="008643D6">
      <w:pPr>
        <w:pStyle w:val="tabell-noter"/>
        <w:numPr>
          <w:ilvl w:val="0"/>
          <w:numId w:val="88"/>
        </w:numPr>
        <w:tabs>
          <w:tab w:val="clear" w:pos="284"/>
        </w:tabs>
        <w:spacing w:before="0" w:after="0"/>
        <w:ind w:left="142" w:hanging="142"/>
      </w:pPr>
      <w:r w:rsidRPr="004E7E88">
        <w:t xml:space="preserve">Industriens effektive valutakurs. Et positivt endringstall innebærer en </w:t>
      </w:r>
      <w:r>
        <w:t>svekkelse</w:t>
      </w:r>
      <w:r w:rsidRPr="004E7E88">
        <w:t xml:space="preserv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ovenfor. </w:t>
      </w:r>
    </w:p>
    <w:p w14:paraId="298D3AE3" w14:textId="77777777" w:rsidR="005B2B39" w:rsidRDefault="005B2B39" w:rsidP="001A7055">
      <w:pPr>
        <w:pStyle w:val="Kilde"/>
        <w:spacing w:before="120"/>
      </w:pPr>
      <w:r w:rsidRPr="007162B2">
        <w:t xml:space="preserve">Kilder: </w:t>
      </w:r>
      <w:r>
        <w:t>Conference Board</w:t>
      </w:r>
      <w:r w:rsidRPr="007162B2">
        <w:t xml:space="preserve">, Eurostat, </w:t>
      </w:r>
      <w:r>
        <w:t>Statistisk sentralbyrå</w:t>
      </w:r>
      <w:r w:rsidRPr="007162B2">
        <w:t xml:space="preserve"> og Beregningsutvalget.</w:t>
      </w:r>
    </w:p>
    <w:p w14:paraId="03FAD8FB" w14:textId="77777777" w:rsidR="005B2B39" w:rsidRDefault="005B2B39" w:rsidP="005B2B39">
      <w:r>
        <w:t>Dersom en ser utviklingen i et litt lengre perspektiv har veksten i timelønnskostnader i norsk industri vært høyere enn i industrien hos handelspartnerne, jf. figur 4.3. Utviklingen i valutakursen har variert mye fra år til år, og bidratt til at det har vært langt større svingninger i den relative timelønnskostnadsveksten målt i felles valuta enn i nasjonal valuta.</w:t>
      </w:r>
    </w:p>
    <w:p w14:paraId="76BAA2DD" w14:textId="77777777" w:rsidR="005B2B39" w:rsidRDefault="005B2B39" w:rsidP="005B2B39">
      <w:r>
        <w:rPr>
          <w:noProof/>
        </w:rPr>
        <w:drawing>
          <wp:inline distT="0" distB="0" distL="0" distR="0" wp14:anchorId="0FE86A2C" wp14:editId="623DDA7F">
            <wp:extent cx="2688114" cy="2554013"/>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4">
                      <a:extLst>
                        <a:ext uri="{28A0092B-C50C-407E-A947-70E740481C1C}">
                          <a14:useLocalDpi xmlns:a14="http://schemas.microsoft.com/office/drawing/2010/main" val="0"/>
                        </a:ext>
                      </a:extLst>
                    </a:blip>
                    <a:stretch>
                      <a:fillRect/>
                    </a:stretch>
                  </pic:blipFill>
                  <pic:spPr>
                    <a:xfrm>
                      <a:off x="0" y="0"/>
                      <a:ext cx="2688114" cy="2554013"/>
                    </a:xfrm>
                    <a:prstGeom prst="rect">
                      <a:avLst/>
                    </a:prstGeom>
                  </pic:spPr>
                </pic:pic>
              </a:graphicData>
            </a:graphic>
          </wp:inline>
        </w:drawing>
      </w:r>
    </w:p>
    <w:p w14:paraId="7106EF1E" w14:textId="55C36869" w:rsidR="005B2B39" w:rsidRPr="00940529" w:rsidRDefault="005B2B39" w:rsidP="005B2B39">
      <w:pPr>
        <w:pStyle w:val="figur-tittel"/>
      </w:pPr>
      <w:r w:rsidRPr="00940529">
        <w:rPr>
          <w:rFonts w:cs="Arial"/>
        </w:rPr>
        <w:t>Relative timelønnskostnader i industrien. Indeks 2000 = 100</w:t>
      </w:r>
    </w:p>
    <w:p w14:paraId="32105566" w14:textId="77777777" w:rsidR="005B2B39" w:rsidRDefault="005B2B39" w:rsidP="005B2B39">
      <w:pPr>
        <w:pStyle w:val="Kilde"/>
      </w:pPr>
      <w:r w:rsidRPr="0041348C">
        <w:t>Kilde</w:t>
      </w:r>
      <w:r>
        <w:t>r</w:t>
      </w:r>
      <w:r w:rsidRPr="0041348C">
        <w:t xml:space="preserve">: </w:t>
      </w:r>
      <w:r>
        <w:t>Conference Board</w:t>
      </w:r>
      <w:r w:rsidRPr="0041348C">
        <w:t xml:space="preserve">, </w:t>
      </w:r>
      <w:r>
        <w:t xml:space="preserve">Eurostat, Statistisk sentralbyrå </w:t>
      </w:r>
      <w:r w:rsidRPr="0041348C">
        <w:t>og Beregningsutvalget.</w:t>
      </w:r>
    </w:p>
    <w:p w14:paraId="68C54858" w14:textId="77777777" w:rsidR="005B2B39" w:rsidRPr="001E527C" w:rsidRDefault="005B2B39" w:rsidP="005B2B39">
      <w:pPr>
        <w:rPr>
          <w:color w:val="FF0000"/>
        </w:rPr>
      </w:pPr>
      <w:r>
        <w:t xml:space="preserve">Dersom vi går ut over industrien og ser på næringsvirksomhet i bredere forstand har den kostnadsmessige konkurranseevnen svekket seg litt de siste ti årene. I gjennomsnitt har den årlige veksten i arbeidskraftkostnader i norsk næringsvirksomhet vært 0,7 </w:t>
      </w:r>
      <w:r w:rsidRPr="007D044C">
        <w:t xml:space="preserve">prosent høyere enn hos våre handelspartnere, </w:t>
      </w:r>
      <w:r>
        <w:t>jf. tabell 4.3. Av dette kan 2,0</w:t>
      </w:r>
      <w:r w:rsidRPr="007D044C">
        <w:t xml:space="preserve"> prosentenheter tilskrives høyere arbeidskraftkostnadsvekst i Norge enn hos handelspartnerne, mens </w:t>
      </w:r>
      <w:r>
        <w:t xml:space="preserve">en svekkelse av kronen i perioden har bidratt i motsatt retning. </w:t>
      </w:r>
    </w:p>
    <w:p w14:paraId="737558EB" w14:textId="77777777" w:rsidR="005B2B39" w:rsidRDefault="005B2B39" w:rsidP="005B2B39">
      <w:pPr>
        <w:pStyle w:val="tabell-tittel"/>
      </w:pPr>
      <w:r>
        <w:t>Arbeidskraftkostnader i næringsvirksomhet</w:t>
      </w:r>
      <w:r>
        <w:rPr>
          <w:vertAlign w:val="superscript"/>
        </w:rPr>
        <w:t>1</w:t>
      </w:r>
      <w:r>
        <w:t xml:space="preserve">. Prosentvis endring fra året før. </w:t>
      </w:r>
    </w:p>
    <w:p w14:paraId="77E1205C" w14:textId="77777777" w:rsidR="005B2B39" w:rsidRDefault="005B2B39" w:rsidP="005B2B39">
      <w:r w:rsidRPr="00EB715A">
        <w:rPr>
          <w:noProof/>
        </w:rPr>
        <w:drawing>
          <wp:inline distT="0" distB="0" distL="0" distR="0" wp14:anchorId="79F42308" wp14:editId="25F0F580">
            <wp:extent cx="5760720" cy="1821724"/>
            <wp:effectExtent l="0" t="0" r="0" b="0"/>
            <wp:docPr id="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821724"/>
                    </a:xfrm>
                    <a:prstGeom prst="rect">
                      <a:avLst/>
                    </a:prstGeom>
                    <a:noFill/>
                    <a:ln>
                      <a:noFill/>
                    </a:ln>
                  </pic:spPr>
                </pic:pic>
              </a:graphicData>
            </a:graphic>
          </wp:inline>
        </w:drawing>
      </w:r>
    </w:p>
    <w:p w14:paraId="2A73C95C" w14:textId="77777777" w:rsidR="00EF0E82" w:rsidRDefault="005B2B39" w:rsidP="008643D6">
      <w:pPr>
        <w:pStyle w:val="tabell-noter"/>
        <w:numPr>
          <w:ilvl w:val="0"/>
          <w:numId w:val="89"/>
        </w:numPr>
        <w:tabs>
          <w:tab w:val="clear" w:pos="284"/>
        </w:tabs>
        <w:spacing w:before="0" w:after="0"/>
        <w:ind w:left="142" w:hanging="142"/>
      </w:pPr>
      <w:r>
        <w:t>U</w:t>
      </w:r>
      <w:r w:rsidRPr="003C36BC">
        <w:t xml:space="preserve">nntatt offentlig virksomhet. </w:t>
      </w:r>
      <w:r>
        <w:t>Tallene for Fastlands-Norge er fra SSB, mens tallene for handelspartnerne er fra Eurostat. For handelspartnerne er t</w:t>
      </w:r>
      <w:r w:rsidRPr="003C36BC">
        <w:t>allene for 2015 anslått ved veksten fra 1-3. kvartal 2014 til 1-3. kvartal 2015.</w:t>
      </w:r>
      <w:r>
        <w:t xml:space="preserve"> </w:t>
      </w:r>
    </w:p>
    <w:p w14:paraId="7C0515DF" w14:textId="77777777" w:rsidR="00EF0E82" w:rsidRDefault="005B2B39" w:rsidP="008643D6">
      <w:pPr>
        <w:pStyle w:val="tabell-noter"/>
        <w:numPr>
          <w:ilvl w:val="0"/>
          <w:numId w:val="89"/>
        </w:numPr>
        <w:tabs>
          <w:tab w:val="clear" w:pos="284"/>
        </w:tabs>
        <w:spacing w:before="0" w:after="0"/>
        <w:ind w:left="142" w:hanging="142"/>
      </w:pPr>
      <w:r w:rsidRPr="00897773">
        <w:t xml:space="preserve">Tall for handelspartnerne er beregnet som veide geometriske gjennomsnitt, jf. boks </w:t>
      </w:r>
      <w:r>
        <w:t>4</w:t>
      </w:r>
      <w:r w:rsidRPr="00897773">
        <w:t>.</w:t>
      </w:r>
      <w:r>
        <w:t>1</w:t>
      </w:r>
      <w:r w:rsidRPr="00897773">
        <w:t xml:space="preserve">. </w:t>
      </w:r>
    </w:p>
    <w:p w14:paraId="49EBECB2" w14:textId="6A250372" w:rsidR="005B2B39" w:rsidRDefault="005B2B39" w:rsidP="008643D6">
      <w:pPr>
        <w:pStyle w:val="tabell-noter"/>
        <w:numPr>
          <w:ilvl w:val="0"/>
          <w:numId w:val="89"/>
        </w:numPr>
        <w:tabs>
          <w:tab w:val="clear" w:pos="284"/>
        </w:tabs>
        <w:spacing w:before="0" w:after="0"/>
        <w:ind w:left="142" w:hanging="142"/>
      </w:pPr>
      <w:r w:rsidRPr="00D754A3">
        <w:t xml:space="preserve">Industriens </w:t>
      </w:r>
      <w:r w:rsidRPr="003C36BC">
        <w:t xml:space="preserve">effektive valutakurs. </w:t>
      </w:r>
    </w:p>
    <w:p w14:paraId="2003959E" w14:textId="77777777" w:rsidR="005B2B39" w:rsidRPr="004E7E88" w:rsidRDefault="005B2B39" w:rsidP="00553CF9">
      <w:pPr>
        <w:pStyle w:val="Kilde"/>
        <w:spacing w:before="120"/>
      </w:pPr>
      <w:r>
        <w:t>Kilder: Eurostat, Statistisk sentralbyrå og Beregningsutvalget</w:t>
      </w:r>
    </w:p>
    <w:p w14:paraId="448F950E" w14:textId="77777777" w:rsidR="005B2B39" w:rsidRPr="002F6877" w:rsidRDefault="005B2B39" w:rsidP="005B2B39">
      <w:pPr>
        <w:pStyle w:val="Overskrift3"/>
      </w:pPr>
      <w:bookmarkStart w:id="230" w:name="_Toc411849485"/>
      <w:bookmarkStart w:id="231" w:name="_Toc443998988"/>
      <w:r w:rsidRPr="002F6877">
        <w:t>Vekst i lønnskostnader per produsert enhet</w:t>
      </w:r>
      <w:bookmarkEnd w:id="230"/>
      <w:bookmarkEnd w:id="231"/>
    </w:p>
    <w:p w14:paraId="53561EF0" w14:textId="77777777" w:rsidR="005B2B39" w:rsidRDefault="005B2B39" w:rsidP="005B2B39">
      <w:r>
        <w:t xml:space="preserve">Figur 4.4 viser utviklingen i lønnskostnader per produsert enhet i industrien i Norge relativt til industrien hos våre handelspartnere. </w:t>
      </w:r>
    </w:p>
    <w:p w14:paraId="29EDC9C3" w14:textId="77777777" w:rsidR="005B2B39" w:rsidRDefault="005B2B39" w:rsidP="005B2B39"/>
    <w:p w14:paraId="2261F8E3" w14:textId="77777777" w:rsidR="005B2B39" w:rsidRDefault="005B2B39" w:rsidP="005B2B39">
      <w:r>
        <w:rPr>
          <w:noProof/>
        </w:rPr>
        <w:drawing>
          <wp:inline distT="0" distB="0" distL="0" distR="0" wp14:anchorId="2806F243" wp14:editId="2D88C81C">
            <wp:extent cx="2657636" cy="2554013"/>
            <wp:effectExtent l="0" t="0" r="0" b="0"/>
            <wp:docPr id="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46">
                      <a:extLst>
                        <a:ext uri="{28A0092B-C50C-407E-A947-70E740481C1C}">
                          <a14:useLocalDpi xmlns:a14="http://schemas.microsoft.com/office/drawing/2010/main" val="0"/>
                        </a:ext>
                      </a:extLst>
                    </a:blip>
                    <a:stretch>
                      <a:fillRect/>
                    </a:stretch>
                  </pic:blipFill>
                  <pic:spPr>
                    <a:xfrm>
                      <a:off x="0" y="0"/>
                      <a:ext cx="2657636" cy="2554013"/>
                    </a:xfrm>
                    <a:prstGeom prst="rect">
                      <a:avLst/>
                    </a:prstGeom>
                  </pic:spPr>
                </pic:pic>
              </a:graphicData>
            </a:graphic>
          </wp:inline>
        </w:drawing>
      </w:r>
    </w:p>
    <w:p w14:paraId="461A996E" w14:textId="7A63CAAB" w:rsidR="005B2B39" w:rsidRPr="002511D0" w:rsidRDefault="005B2B39" w:rsidP="005756DE">
      <w:pPr>
        <w:pStyle w:val="figur-tittel"/>
      </w:pPr>
      <w:r>
        <w:t xml:space="preserve"> L</w:t>
      </w:r>
      <w:r w:rsidRPr="002511D0">
        <w:t>ønnskostnader per produsert enhet i industrien i Norge relativt til handelspartnerne. Indeks 200</w:t>
      </w:r>
      <w:r>
        <w:t>4</w:t>
      </w:r>
      <w:r w:rsidRPr="002511D0">
        <w:t xml:space="preserve"> = 100. </w:t>
      </w:r>
    </w:p>
    <w:p w14:paraId="057CDEAA" w14:textId="77777777" w:rsidR="005B2B39" w:rsidRDefault="005B2B39" w:rsidP="005B2B39">
      <w:pPr>
        <w:pStyle w:val="Kilde"/>
      </w:pPr>
      <w:r w:rsidRPr="0041348C">
        <w:t xml:space="preserve">Kilde: </w:t>
      </w:r>
      <w:r>
        <w:t>OECD og Beregningsutvalget</w:t>
      </w:r>
    </w:p>
    <w:p w14:paraId="2276E119" w14:textId="5EA32CAC" w:rsidR="005B2B39" w:rsidRPr="0011769A" w:rsidRDefault="005B2B39" w:rsidP="005B2B39">
      <w:pPr>
        <w:rPr>
          <w:rStyle w:val="Overskrift3Tegn1"/>
          <w:b w:val="0"/>
          <w:iCs/>
          <w:szCs w:val="24"/>
        </w:rPr>
      </w:pPr>
      <w:r w:rsidRPr="00DB1691">
        <w:rPr>
          <w:szCs w:val="24"/>
        </w:rPr>
        <w:t xml:space="preserve">Høyere lønnsvekst i Norge enn hos handelspartnerne bidro til at lønnskostnadene per produsert enhet i norsk industri relativt til industrien hos handelspartnerne økte med </w:t>
      </w:r>
      <w:r>
        <w:rPr>
          <w:szCs w:val="24"/>
        </w:rPr>
        <w:t>23</w:t>
      </w:r>
      <w:r w:rsidRPr="00DB1691">
        <w:rPr>
          <w:szCs w:val="24"/>
        </w:rPr>
        <w:t xml:space="preserve"> prosent fra 200</w:t>
      </w:r>
      <w:r>
        <w:rPr>
          <w:szCs w:val="24"/>
        </w:rPr>
        <w:t>4</w:t>
      </w:r>
      <w:r w:rsidRPr="00DB1691">
        <w:rPr>
          <w:szCs w:val="24"/>
        </w:rPr>
        <w:t xml:space="preserve"> til 201</w:t>
      </w:r>
      <w:r>
        <w:rPr>
          <w:szCs w:val="24"/>
        </w:rPr>
        <w:t>4</w:t>
      </w:r>
      <w:r w:rsidRPr="00DB1691">
        <w:rPr>
          <w:szCs w:val="24"/>
        </w:rPr>
        <w:t xml:space="preserve">, målt i nasjonal valuta. </w:t>
      </w:r>
      <w:r w:rsidRPr="00DB1691">
        <w:rPr>
          <w:iCs/>
          <w:szCs w:val="24"/>
        </w:rPr>
        <w:t>Utviklingen i valutakursen har variert mye fra år til år, og bidratt til at det har vært større svingninger i utviklingen i det relative forholdet for lønnskostnader per produsert enhet målt i fell</w:t>
      </w:r>
      <w:r>
        <w:rPr>
          <w:iCs/>
          <w:szCs w:val="24"/>
        </w:rPr>
        <w:t xml:space="preserve">es valuta enn i nasjonal valuta. En styrking av kronen over perioden 2005-2014 </w:t>
      </w:r>
      <w:r w:rsidRPr="00DB1691">
        <w:rPr>
          <w:iCs/>
          <w:szCs w:val="24"/>
        </w:rPr>
        <w:t xml:space="preserve">bidro til at lønnskostnadene per produsert enhet i </w:t>
      </w:r>
      <w:r>
        <w:rPr>
          <w:iCs/>
          <w:szCs w:val="24"/>
        </w:rPr>
        <w:t xml:space="preserve">norsk industri økte </w:t>
      </w:r>
      <w:r w:rsidRPr="00DB1691">
        <w:rPr>
          <w:iCs/>
          <w:szCs w:val="24"/>
        </w:rPr>
        <w:t xml:space="preserve">relativt til </w:t>
      </w:r>
      <w:r>
        <w:rPr>
          <w:iCs/>
          <w:szCs w:val="24"/>
        </w:rPr>
        <w:t xml:space="preserve">industrien hos </w:t>
      </w:r>
      <w:r w:rsidRPr="00DB1691">
        <w:rPr>
          <w:iCs/>
          <w:szCs w:val="24"/>
        </w:rPr>
        <w:t xml:space="preserve">handelspartnerne med </w:t>
      </w:r>
      <w:r>
        <w:rPr>
          <w:iCs/>
          <w:szCs w:val="24"/>
        </w:rPr>
        <w:t>26</w:t>
      </w:r>
      <w:r w:rsidRPr="00DB1691">
        <w:rPr>
          <w:iCs/>
          <w:szCs w:val="24"/>
        </w:rPr>
        <w:t xml:space="preserve"> prosent.</w:t>
      </w:r>
      <w:r w:rsidRPr="005445F2">
        <w:rPr>
          <w:iCs/>
          <w:szCs w:val="24"/>
        </w:rPr>
        <w:t xml:space="preserve"> </w:t>
      </w:r>
      <w:r>
        <w:rPr>
          <w:iCs/>
          <w:szCs w:val="24"/>
        </w:rPr>
        <w:t xml:space="preserve">Det foreligger </w:t>
      </w:r>
      <w:r w:rsidR="00196CA6">
        <w:rPr>
          <w:iCs/>
          <w:szCs w:val="24"/>
        </w:rPr>
        <w:t xml:space="preserve">ennå </w:t>
      </w:r>
      <w:r w:rsidR="00FB33BE">
        <w:rPr>
          <w:iCs/>
          <w:szCs w:val="24"/>
        </w:rPr>
        <w:t>ikke tall for 2015</w:t>
      </w:r>
      <w:r>
        <w:rPr>
          <w:iCs/>
          <w:szCs w:val="24"/>
        </w:rPr>
        <w:t xml:space="preserve">, men en markert svekkelse av kronen fra 2014 til 2015 vil isolert sett bidra til å trekke ned nivået på lønnskostnadene per produsert enhet i norsk industri relativt til handelspartnerne. </w:t>
      </w:r>
    </w:p>
    <w:p w14:paraId="45A63E8B" w14:textId="77777777" w:rsidR="005B2B39" w:rsidRPr="00984412" w:rsidRDefault="005B2B39" w:rsidP="005B2B39">
      <w:pPr>
        <w:pStyle w:val="Overskrift3"/>
      </w:pPr>
      <w:bookmarkStart w:id="232" w:name="_Toc411849486"/>
      <w:bookmarkStart w:id="233" w:name="_Toc443998989"/>
      <w:r w:rsidRPr="00984412">
        <w:t>Vekst i lønn</w:t>
      </w:r>
      <w:r>
        <w:t>skostnader</w:t>
      </w:r>
      <w:r w:rsidRPr="00984412">
        <w:t xml:space="preserve"> per ansatt i hele økonomien</w:t>
      </w:r>
      <w:bookmarkEnd w:id="232"/>
      <w:bookmarkEnd w:id="233"/>
    </w:p>
    <w:p w14:paraId="15BA38C2" w14:textId="77777777" w:rsidR="005B2B39" w:rsidRPr="00F81C2E" w:rsidRDefault="005B2B39" w:rsidP="005B2B39">
      <w:pPr>
        <w:rPr>
          <w:rStyle w:val="Overskrift3Tegn1"/>
          <w:b w:val="0"/>
        </w:rPr>
      </w:pPr>
      <w:r>
        <w:t xml:space="preserve">Ifølge tall fra OECD var veksten i lønnskostnader per ansatt i hele økonomien 1,5 prosentpoeng høyere i Norge enn i OECD-området i 2014 og 1,7 prosentpoeng høyere sammenliknet med et vektet snitt av våre handelspartnere, jf. vedleggstabell 4.4. For 2015 anslår OECD veksten i lønnskostnadene per ansatt i OECD-området til 1,7 prosent og hos et vektet snitt av våre handelspartnere til 2,0 prosent. OECD anslår videre veksten i lønnskostnadene per ansatt i 2016 til 2,4 prosent i OECD-området og til 2,6 prosent hos våre handelspartnere. </w:t>
      </w:r>
    </w:p>
    <w:p w14:paraId="24203149" w14:textId="77777777" w:rsidR="005B2B39" w:rsidRPr="00984412" w:rsidRDefault="005B2B39" w:rsidP="005B2B39">
      <w:pPr>
        <w:pStyle w:val="Overskrift3"/>
      </w:pPr>
      <w:bookmarkStart w:id="234" w:name="_Toc411849487"/>
      <w:bookmarkStart w:id="235" w:name="_Toc443998990"/>
      <w:r w:rsidRPr="00984412">
        <w:t>Lønnskostnadsnivåer i industrien</w:t>
      </w:r>
      <w:bookmarkEnd w:id="234"/>
      <w:bookmarkEnd w:id="235"/>
    </w:p>
    <w:p w14:paraId="020F89F3" w14:textId="5F6969BD" w:rsidR="005B2B39" w:rsidRDefault="005B2B39" w:rsidP="005B2B39">
      <w:r>
        <w:rPr>
          <w:szCs w:val="24"/>
        </w:rPr>
        <w:t>Forholdet mellom timelønnskostnadene i industrien i Norge og i industrien hos handelspartnerne i EU viste en oppadgående trend fram til 2012, jf. figur 4.5</w:t>
      </w:r>
      <w:r>
        <w:t>. Både høyere lønnskostnadsvekst i Norge enn hos handelspartnerne i EU og en styrking av kronen bidro. En markert svekkelse av kronen de siste årene har bidratt til at differansen mellom timelønnskostnadene i norsk industri og i industrien hos handelspartnerne i EU falt fra 57 prosent i 2012 til 37</w:t>
      </w:r>
      <w:r>
        <w:rPr>
          <w:color w:val="FF0000"/>
        </w:rPr>
        <w:t xml:space="preserve"> </w:t>
      </w:r>
      <w:r>
        <w:t xml:space="preserve">prosent i 2015. </w:t>
      </w:r>
    </w:p>
    <w:p w14:paraId="292BED3F" w14:textId="77777777" w:rsidR="005B2B39" w:rsidRDefault="005B2B39" w:rsidP="005B2B39"/>
    <w:p w14:paraId="153945AF" w14:textId="77777777" w:rsidR="005B2B39" w:rsidRDefault="005B2B39" w:rsidP="003E495B">
      <w:pPr>
        <w:pStyle w:val="figur-tittel"/>
        <w:numPr>
          <w:ilvl w:val="0"/>
          <w:numId w:val="0"/>
        </w:numPr>
        <w:spacing w:after="0"/>
      </w:pPr>
      <w:r>
        <w:rPr>
          <w:noProof/>
        </w:rPr>
        <w:drawing>
          <wp:inline distT="0" distB="0" distL="0" distR="0" wp14:anchorId="7371B6DB" wp14:editId="6C80E3D8">
            <wp:extent cx="2614968" cy="2547918"/>
            <wp:effectExtent l="0" t="0" r="0" b="0"/>
            <wp:docPr id="1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47">
                      <a:extLst>
                        <a:ext uri="{28A0092B-C50C-407E-A947-70E740481C1C}">
                          <a14:useLocalDpi xmlns:a14="http://schemas.microsoft.com/office/drawing/2010/main" val="0"/>
                        </a:ext>
                      </a:extLst>
                    </a:blip>
                    <a:stretch>
                      <a:fillRect/>
                    </a:stretch>
                  </pic:blipFill>
                  <pic:spPr>
                    <a:xfrm>
                      <a:off x="0" y="0"/>
                      <a:ext cx="2614968" cy="2547918"/>
                    </a:xfrm>
                    <a:prstGeom prst="rect">
                      <a:avLst/>
                    </a:prstGeom>
                  </pic:spPr>
                </pic:pic>
              </a:graphicData>
            </a:graphic>
          </wp:inline>
        </w:drawing>
      </w:r>
    </w:p>
    <w:p w14:paraId="5133131B" w14:textId="75338233" w:rsidR="005B2B39" w:rsidRPr="002511D0" w:rsidRDefault="005B2B39" w:rsidP="003E495B">
      <w:pPr>
        <w:pStyle w:val="figur-tittel"/>
        <w:spacing w:after="60"/>
      </w:pPr>
      <w:r w:rsidRPr="002511D0">
        <w:t>Timelønnskostnader i industrien i Norge i forhold til industrien hos handelspartnerne i EU i felles valuta</w:t>
      </w:r>
      <w:r w:rsidRPr="00963712">
        <w:rPr>
          <w:vertAlign w:val="superscript"/>
        </w:rPr>
        <w:t>1</w:t>
      </w:r>
      <w:r w:rsidRPr="002511D0">
        <w:t>. Handelspartnerne i figuren = 100.</w:t>
      </w:r>
    </w:p>
    <w:p w14:paraId="146AD95C" w14:textId="77777777" w:rsidR="005B2B39" w:rsidRPr="000A4C84" w:rsidRDefault="005B2B39" w:rsidP="008643D6">
      <w:pPr>
        <w:pStyle w:val="tabell-noter"/>
        <w:numPr>
          <w:ilvl w:val="0"/>
          <w:numId w:val="90"/>
        </w:numPr>
        <w:tabs>
          <w:tab w:val="clear" w:pos="284"/>
        </w:tabs>
        <w:spacing w:before="0" w:after="0"/>
        <w:ind w:left="142" w:hanging="142"/>
      </w:pPr>
      <w:r w:rsidRPr="000A4C84">
        <w:t>Tallene fra 2005 til 2013 er fra Conference Board. Nivået i 2014 og 2015 er framskrevet ved å benytte Nasjonalregnskapet for Norge og arbeidskraftkostnadsindekser fra Eurostat for handelspartnerne.</w:t>
      </w:r>
    </w:p>
    <w:p w14:paraId="622162D4" w14:textId="3CBBFD18" w:rsidR="005B2B39" w:rsidRPr="00553CF9" w:rsidRDefault="00553CF9" w:rsidP="00846677">
      <w:pPr>
        <w:spacing w:before="120"/>
        <w:rPr>
          <w:sz w:val="20"/>
        </w:rPr>
      </w:pPr>
      <w:r w:rsidRPr="00553CF9">
        <w:rPr>
          <w:sz w:val="20"/>
        </w:rPr>
        <w:t>Kilder: Conference Board, Eurostat, Statistisk sentralbyrå og Beregningsutvalget</w:t>
      </w:r>
    </w:p>
    <w:p w14:paraId="35D95900" w14:textId="77777777" w:rsidR="005B2B39" w:rsidRDefault="005B2B39" w:rsidP="005B2B39">
      <w:r>
        <w:t xml:space="preserve">Figur 4.6 illustrerer forholdet mellom lønnskostnadene per timeverk i industrien i Norge og i industrien hos handelspartnerne i EU framskrevet til 2015. Selv om forholdet mellom timelønnskostnadene i industrien i Norge og i industrien hos handelspartnerne har falt markert de to siste årene, var nivået i Norge i fjor fortsatt høyere enn hos alle de andre landene i sammenlikningen. Dette reflekterer norsk økonomis høye produktivitet og inntektsnivå, samt jevnere fordeling av inntektene, men også at lønnskostnadsveksten i norsk industri i nasjonal valuta har vært høyere enn hos handelspartnerne de siste ti årene. Av handelspartnerne er det Belgia, Danmark, Tyskland og Sverige som har det høyeste lønnskostnadsnivået. Landene med lavest lønnskostnadsnivå i 2015 var Tsjekkia og Polen. </w:t>
      </w:r>
    </w:p>
    <w:p w14:paraId="6E3823BF" w14:textId="2F327676" w:rsidR="003E495B" w:rsidRDefault="003E495B">
      <w:pPr>
        <w:spacing w:after="0"/>
      </w:pPr>
      <w:r>
        <w:t>Holden III-utvalget (NOU 2013:13) påpekte i sin innstilling som ble lagt fram i desember 2013, at høy og økende aktivitet i petroleumsvirksomheten og økt bruk av oljepenger over statsbudsjetter hadde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Utvalget pekte samtidig på at nedtrappingen av petroleumsvirksomheten som før eller senere ville komme, ville kunne utfordre stabiliteten i norsk økonomi, og at utfordringene ville øke dersom nedgangen kom brått, f.eks. som følge av en nedgang i oljeprisen, jf. boks 4.2. Utvalget skrev bl.a. at "</w:t>
      </w:r>
      <w:r w:rsidRPr="00D00F27">
        <w:rPr>
          <w:i/>
        </w:rPr>
        <w:t>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arbeidsledigheten etter hvert går ned igjen. Frontfagsmodellen er etter utvalgets mening godt egnet til å bidra til en tilpasning til et lavere kostnadsnivå for å bedre konkurranseevnen.</w:t>
      </w:r>
      <w:r>
        <w:t xml:space="preserve">" Siden juni 2014 har oljeprisen falt kraftig. Effekten av oljeprisfallet på norsk økonomi har så langt vært forholdsvis godt i tråd </w:t>
      </w:r>
      <w:r w:rsidR="007F6CCB">
        <w:t xml:space="preserve">med vurderingene til utvalget. </w:t>
      </w:r>
    </w:p>
    <w:p w14:paraId="592CDF11" w14:textId="77777777" w:rsidR="005B2B39" w:rsidRDefault="005B2B39" w:rsidP="005B2B39"/>
    <w:p w14:paraId="7AC052EA" w14:textId="77777777" w:rsidR="005B2B39" w:rsidRDefault="005B2B39" w:rsidP="005B2B39">
      <w:r>
        <w:rPr>
          <w:noProof/>
        </w:rPr>
        <w:drawing>
          <wp:inline distT="0" distB="0" distL="0" distR="0" wp14:anchorId="27B1D214" wp14:editId="4D0BD3FF">
            <wp:extent cx="2724150" cy="2600077"/>
            <wp:effectExtent l="0" t="0" r="0" b="0"/>
            <wp:docPr id="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48">
                      <a:extLst>
                        <a:ext uri="{28A0092B-C50C-407E-A947-70E740481C1C}">
                          <a14:useLocalDpi xmlns:a14="http://schemas.microsoft.com/office/drawing/2010/main" val="0"/>
                        </a:ext>
                      </a:extLst>
                    </a:blip>
                    <a:stretch>
                      <a:fillRect/>
                    </a:stretch>
                  </pic:blipFill>
                  <pic:spPr>
                    <a:xfrm>
                      <a:off x="0" y="0"/>
                      <a:ext cx="2762693" cy="2636864"/>
                    </a:xfrm>
                    <a:prstGeom prst="rect">
                      <a:avLst/>
                    </a:prstGeom>
                  </pic:spPr>
                </pic:pic>
              </a:graphicData>
            </a:graphic>
          </wp:inline>
        </w:drawing>
      </w:r>
    </w:p>
    <w:p w14:paraId="28FA7F9C" w14:textId="446330B1" w:rsidR="005B2B39" w:rsidRPr="002511D0" w:rsidRDefault="005B2B39" w:rsidP="00526511">
      <w:pPr>
        <w:pStyle w:val="figur-tittel"/>
        <w:spacing w:after="60"/>
      </w:pPr>
      <w:r w:rsidRPr="002511D0">
        <w:t xml:space="preserve">Timelønnskostnader i industrien i Norge </w:t>
      </w:r>
      <w:r w:rsidR="0022390E" w:rsidRPr="002511D0">
        <w:t>i forhold</w:t>
      </w:r>
      <w:r w:rsidRPr="002511D0">
        <w:t xml:space="preserve"> til industrien hos handelspartnerne i EU</w:t>
      </w:r>
      <w:r w:rsidRPr="00526511">
        <w:rPr>
          <w:vertAlign w:val="superscript"/>
        </w:rPr>
        <w:t>1</w:t>
      </w:r>
      <w:r w:rsidRPr="002511D0">
        <w:t xml:space="preserve"> i felles valuta i 201</w:t>
      </w:r>
      <w:r>
        <w:t>5</w:t>
      </w:r>
      <w:r w:rsidRPr="002511D0">
        <w:t xml:space="preserve"> Handelspartnerne i figuren = 100. </w:t>
      </w:r>
    </w:p>
    <w:p w14:paraId="30A79231" w14:textId="77777777" w:rsidR="005B2B39" w:rsidRDefault="005B2B39" w:rsidP="008643D6">
      <w:pPr>
        <w:pStyle w:val="tabell-noter"/>
        <w:numPr>
          <w:ilvl w:val="0"/>
          <w:numId w:val="91"/>
        </w:numPr>
        <w:tabs>
          <w:tab w:val="clear" w:pos="284"/>
        </w:tabs>
        <w:spacing w:before="0" w:after="0"/>
        <w:ind w:left="142" w:hanging="142"/>
      </w:pPr>
      <w:r w:rsidRPr="007241EA">
        <w:t>Figuren omfatter alle EU-landene i handelspartneraggregatet, jf. boks 4.1. Det vektede gjennomsnittet er beregnet ut fra Norges konkurransevekter.</w:t>
      </w:r>
    </w:p>
    <w:p w14:paraId="7137B303" w14:textId="7BD604AF" w:rsidR="00553CF9" w:rsidRPr="007241EA" w:rsidRDefault="00553CF9" w:rsidP="006351C8">
      <w:pPr>
        <w:pStyle w:val="Kilde"/>
        <w:spacing w:before="120" w:after="120"/>
      </w:pPr>
      <w:r w:rsidRPr="004C3A76">
        <w:t xml:space="preserve">Kilder: </w:t>
      </w:r>
      <w:r>
        <w:t>Conference Board, Eurostat, Statistisk sentralbyrå og Beregningsutvalget</w:t>
      </w:r>
    </w:p>
    <w:p w14:paraId="34FBBF4C" w14:textId="77777777" w:rsidR="005B2B39" w:rsidRDefault="005B2B39" w:rsidP="005B2B39">
      <w:pPr>
        <w:pStyle w:val="Overskrift3"/>
      </w:pPr>
      <w:bookmarkStart w:id="236" w:name="_Toc411849488"/>
      <w:bookmarkStart w:id="237" w:name="_Toc443998991"/>
      <w:r w:rsidRPr="00984412">
        <w:t>Sammensetningen av lønnskostnadene i industrien</w:t>
      </w:r>
      <w:bookmarkEnd w:id="236"/>
      <w:bookmarkEnd w:id="237"/>
    </w:p>
    <w:p w14:paraId="35020D2D" w14:textId="6C2DC670" w:rsidR="003E495B" w:rsidRDefault="005B2B39" w:rsidP="007F6CCB">
      <w:pPr>
        <w:rPr>
          <w:szCs w:val="24"/>
        </w:rPr>
      </w:pPr>
      <w:r>
        <w:rPr>
          <w:szCs w:val="24"/>
        </w:rPr>
        <w:t>Tabell 4.4</w:t>
      </w:r>
      <w:r w:rsidRPr="00571B5B">
        <w:rPr>
          <w:szCs w:val="24"/>
        </w:rPr>
        <w:t xml:space="preserve"> viser en summarisk oversikt over lønnskostnadenes sammensetning for industriansatte i 2013, basert på en oppsplitting på lønn for arbeidet tid, lønn for ikke-arbeidet tid og andre indirekte personalkostnader</w:t>
      </w:r>
      <w:r>
        <w:rPr>
          <w:szCs w:val="24"/>
        </w:rPr>
        <w:t xml:space="preserve"> omregnet </w:t>
      </w:r>
      <w:r w:rsidRPr="00F8536B">
        <w:rPr>
          <w:szCs w:val="24"/>
        </w:rPr>
        <w:t xml:space="preserve">til lønnskostnader pr. time i norske kroner i 2013. Det finnes foreløpig ikke oppdatert tallmateriale fra Conference Board etter 2013. I tabell 4.4 er det beregnet en estimert nivå for 2015 for 14 europeiske konkurrentland, basert på veksttall fra OECD og endrede valutakurser. Grunnen til </w:t>
      </w:r>
      <w:r w:rsidR="0022390E" w:rsidRPr="00F8536B">
        <w:rPr>
          <w:szCs w:val="24"/>
        </w:rPr>
        <w:t>framskrivningen</w:t>
      </w:r>
      <w:r w:rsidRPr="00F8536B">
        <w:rPr>
          <w:szCs w:val="24"/>
        </w:rPr>
        <w:t xml:space="preserve"> er at spesielt valutakursene i forhold til norske kroner er kraftig svekket i perioden og ulike land har nærmet seg lønnskostnadsnivået for norske industriansatte målt i felles valuta. </w:t>
      </w:r>
      <w:r w:rsidR="0022390E" w:rsidRPr="00F8536B">
        <w:rPr>
          <w:szCs w:val="24"/>
        </w:rPr>
        <w:t>Veksttall</w:t>
      </w:r>
      <w:r>
        <w:rPr>
          <w:szCs w:val="24"/>
        </w:rPr>
        <w:t xml:space="preserve"> for norsk industri</w:t>
      </w:r>
      <w:r w:rsidRPr="00F8536B">
        <w:rPr>
          <w:szCs w:val="24"/>
        </w:rPr>
        <w:t xml:space="preserve"> fra 2014 til 2015 er basert på </w:t>
      </w:r>
      <w:r>
        <w:rPr>
          <w:szCs w:val="24"/>
        </w:rPr>
        <w:t xml:space="preserve">nasjonalregnskapet for Norge og </w:t>
      </w:r>
      <w:r w:rsidRPr="00F8536B">
        <w:rPr>
          <w:szCs w:val="24"/>
        </w:rPr>
        <w:t>lønnskostnadsindekser for de 3 første kvartaler av 2014 og 2015</w:t>
      </w:r>
      <w:r>
        <w:rPr>
          <w:szCs w:val="24"/>
        </w:rPr>
        <w:t xml:space="preserve"> for konkurrentlandene</w:t>
      </w:r>
      <w:r w:rsidRPr="00F8536B">
        <w:rPr>
          <w:szCs w:val="24"/>
        </w:rPr>
        <w:t>.</w:t>
      </w:r>
    </w:p>
    <w:p w14:paraId="53DE984C" w14:textId="6753E515" w:rsidR="005B2B39" w:rsidRPr="00622DC4" w:rsidRDefault="005B2B39" w:rsidP="00622DC4">
      <w:pPr>
        <w:pStyle w:val="tabell-tittel"/>
      </w:pPr>
      <w:r w:rsidRPr="00622DC4">
        <w:rPr>
          <w:rFonts w:cs="Arial"/>
        </w:rPr>
        <w:t>Lønnskostnader pr. time for 2013, omregnet til norske kroner</w:t>
      </w:r>
      <w:r w:rsidRPr="00622DC4">
        <w:rPr>
          <w:rFonts w:cs="Arial"/>
          <w:vertAlign w:val="superscript"/>
        </w:rPr>
        <w:t>1</w:t>
      </w:r>
      <w:r w:rsidRPr="00622DC4">
        <w:rPr>
          <w:rFonts w:cs="Arial"/>
        </w:rPr>
        <w:t xml:space="preserve"> for industriansatte og fordeling i prosent</w:t>
      </w:r>
      <w:r w:rsidRPr="00622DC4">
        <w:rPr>
          <w:rFonts w:cs="Arial"/>
          <w:vertAlign w:val="superscript"/>
        </w:rPr>
        <w:t>2</w:t>
      </w:r>
      <w:r w:rsidRPr="00622DC4">
        <w:rPr>
          <w:rFonts w:cs="Arial"/>
        </w:rPr>
        <w:t xml:space="preserve"> på hhv. lønn per arbeidet time, lønn for ikke-arbeidet tid, samt andre indirekte lønnskostnader Fremskrevet estimat for totale lønnskostnader 2015 </w:t>
      </w:r>
    </w:p>
    <w:tbl>
      <w:tblPr>
        <w:tblW w:w="9668" w:type="dxa"/>
        <w:tblInd w:w="55" w:type="dxa"/>
        <w:tblCellMar>
          <w:left w:w="70" w:type="dxa"/>
          <w:right w:w="70" w:type="dxa"/>
        </w:tblCellMar>
        <w:tblLook w:val="04A0" w:firstRow="1" w:lastRow="0" w:firstColumn="1" w:lastColumn="0" w:noHBand="0" w:noVBand="1"/>
      </w:tblPr>
      <w:tblGrid>
        <w:gridCol w:w="1388"/>
        <w:gridCol w:w="1720"/>
        <w:gridCol w:w="1086"/>
        <w:gridCol w:w="1445"/>
        <w:gridCol w:w="1631"/>
        <w:gridCol w:w="1651"/>
        <w:gridCol w:w="747"/>
      </w:tblGrid>
      <w:tr w:rsidR="005B2B39" w:rsidRPr="002832AE" w14:paraId="5C5AB6CF" w14:textId="77777777" w:rsidTr="008A657E">
        <w:trPr>
          <w:trHeight w:val="315"/>
        </w:trPr>
        <w:tc>
          <w:tcPr>
            <w:tcW w:w="1388" w:type="dxa"/>
            <w:vMerge w:val="restart"/>
            <w:tcBorders>
              <w:top w:val="single" w:sz="4" w:space="0" w:color="auto"/>
              <w:left w:val="nil"/>
              <w:right w:val="nil"/>
            </w:tcBorders>
            <w:shd w:val="clear" w:color="auto" w:fill="auto"/>
            <w:noWrap/>
            <w:vAlign w:val="bottom"/>
            <w:hideMark/>
          </w:tcPr>
          <w:p w14:paraId="1D857886"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 </w:t>
            </w:r>
          </w:p>
        </w:tc>
        <w:tc>
          <w:tcPr>
            <w:tcW w:w="1720" w:type="dxa"/>
            <w:vMerge w:val="restart"/>
            <w:tcBorders>
              <w:top w:val="single" w:sz="4" w:space="0" w:color="auto"/>
              <w:left w:val="nil"/>
              <w:right w:val="nil"/>
            </w:tcBorders>
            <w:shd w:val="clear" w:color="auto" w:fill="auto"/>
            <w:noWrap/>
            <w:vAlign w:val="bottom"/>
            <w:hideMark/>
          </w:tcPr>
          <w:p w14:paraId="246D6926"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Gjennomsnittlig</w:t>
            </w:r>
          </w:p>
          <w:p w14:paraId="1467A0B0"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lønnskostnader</w:t>
            </w:r>
          </w:p>
          <w:p w14:paraId="668C3728"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 xml:space="preserve">i kr. </w:t>
            </w:r>
            <w:r w:rsidRPr="002832AE">
              <w:rPr>
                <w:rFonts w:ascii="Times New Roman" w:hAnsi="Times New Roman"/>
                <w:color w:val="000000"/>
                <w:sz w:val="22"/>
                <w:szCs w:val="22"/>
              </w:rPr>
              <w:t>pr. arbeidet</w:t>
            </w:r>
          </w:p>
          <w:p w14:paraId="2C2CF4B7"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time</w:t>
            </w:r>
          </w:p>
        </w:tc>
        <w:tc>
          <w:tcPr>
            <w:tcW w:w="6560" w:type="dxa"/>
            <w:gridSpan w:val="5"/>
            <w:tcBorders>
              <w:top w:val="single" w:sz="4" w:space="0" w:color="auto"/>
              <w:left w:val="nil"/>
              <w:bottom w:val="single" w:sz="4" w:space="0" w:color="auto"/>
              <w:right w:val="nil"/>
            </w:tcBorders>
            <w:shd w:val="clear" w:color="auto" w:fill="auto"/>
            <w:noWrap/>
            <w:vAlign w:val="bottom"/>
            <w:hideMark/>
          </w:tcPr>
          <w:p w14:paraId="53B4DBA2"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Fordeling på lønnskostnadene</w:t>
            </w:r>
            <w:r w:rsidRPr="002832AE">
              <w:rPr>
                <w:rFonts w:ascii="Times New Roman" w:hAnsi="Times New Roman"/>
                <w:sz w:val="22"/>
                <w:szCs w:val="22"/>
                <w:vertAlign w:val="superscript"/>
              </w:rPr>
              <w:t>3</w:t>
            </w:r>
            <w:r w:rsidRPr="002832AE">
              <w:rPr>
                <w:rFonts w:ascii="Times New Roman" w:hAnsi="Times New Roman"/>
                <w:color w:val="000000"/>
                <w:sz w:val="22"/>
                <w:szCs w:val="22"/>
              </w:rPr>
              <w:t xml:space="preserve"> på ulike komponenter</w:t>
            </w:r>
          </w:p>
        </w:tc>
      </w:tr>
      <w:tr w:rsidR="005B2B39" w:rsidRPr="002832AE" w14:paraId="5A3CA12E" w14:textId="77777777" w:rsidTr="008A657E">
        <w:trPr>
          <w:trHeight w:val="1061"/>
        </w:trPr>
        <w:tc>
          <w:tcPr>
            <w:tcW w:w="1388" w:type="dxa"/>
            <w:vMerge/>
            <w:tcBorders>
              <w:left w:val="nil"/>
              <w:right w:val="nil"/>
            </w:tcBorders>
            <w:shd w:val="clear" w:color="auto" w:fill="auto"/>
            <w:noWrap/>
            <w:vAlign w:val="bottom"/>
            <w:hideMark/>
          </w:tcPr>
          <w:p w14:paraId="1F23FEB0" w14:textId="77777777" w:rsidR="005B2B39" w:rsidRPr="002832AE" w:rsidRDefault="005B2B39" w:rsidP="008A657E">
            <w:pPr>
              <w:spacing w:after="0"/>
              <w:jc w:val="center"/>
              <w:rPr>
                <w:rFonts w:ascii="Times New Roman" w:hAnsi="Times New Roman"/>
                <w:color w:val="000000"/>
                <w:sz w:val="22"/>
                <w:szCs w:val="22"/>
              </w:rPr>
            </w:pPr>
          </w:p>
        </w:tc>
        <w:tc>
          <w:tcPr>
            <w:tcW w:w="1720" w:type="dxa"/>
            <w:vMerge/>
            <w:tcBorders>
              <w:left w:val="nil"/>
              <w:right w:val="nil"/>
            </w:tcBorders>
            <w:shd w:val="clear" w:color="auto" w:fill="auto"/>
            <w:noWrap/>
            <w:vAlign w:val="bottom"/>
            <w:hideMark/>
          </w:tcPr>
          <w:p w14:paraId="42EE7776" w14:textId="77777777" w:rsidR="005B2B39" w:rsidRPr="002832AE" w:rsidRDefault="005B2B39" w:rsidP="008A657E">
            <w:pPr>
              <w:spacing w:after="0"/>
              <w:jc w:val="center"/>
              <w:rPr>
                <w:rFonts w:ascii="Times New Roman" w:hAnsi="Times New Roman"/>
                <w:color w:val="000000"/>
                <w:sz w:val="22"/>
                <w:szCs w:val="22"/>
              </w:rPr>
            </w:pPr>
          </w:p>
        </w:tc>
        <w:tc>
          <w:tcPr>
            <w:tcW w:w="1086" w:type="dxa"/>
            <w:tcBorders>
              <w:top w:val="nil"/>
              <w:left w:val="nil"/>
              <w:right w:val="nil"/>
            </w:tcBorders>
            <w:shd w:val="clear" w:color="auto" w:fill="auto"/>
            <w:noWrap/>
            <w:vAlign w:val="bottom"/>
            <w:hideMark/>
          </w:tcPr>
          <w:p w14:paraId="5169B552"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w:t>
            </w:r>
          </w:p>
          <w:p w14:paraId="5F5DE141"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tid</w:t>
            </w:r>
          </w:p>
        </w:tc>
        <w:tc>
          <w:tcPr>
            <w:tcW w:w="1445" w:type="dxa"/>
            <w:tcBorders>
              <w:top w:val="nil"/>
              <w:left w:val="nil"/>
              <w:right w:val="nil"/>
            </w:tcBorders>
            <w:shd w:val="clear" w:color="auto" w:fill="auto"/>
            <w:noWrap/>
            <w:vAlign w:val="bottom"/>
            <w:hideMark/>
          </w:tcPr>
          <w:p w14:paraId="2F976BFB"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Ikke-</w:t>
            </w:r>
          </w:p>
          <w:p w14:paraId="5F164F34"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 tid</w:t>
            </w:r>
          </w:p>
        </w:tc>
        <w:tc>
          <w:tcPr>
            <w:tcW w:w="1631" w:type="dxa"/>
            <w:tcBorders>
              <w:top w:val="nil"/>
              <w:left w:val="nil"/>
              <w:right w:val="nil"/>
            </w:tcBorders>
            <w:shd w:val="clear" w:color="auto" w:fill="auto"/>
            <w:noWrap/>
            <w:vAlign w:val="bottom"/>
            <w:hideMark/>
          </w:tcPr>
          <w:p w14:paraId="75E9619E"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Arbeidet og</w:t>
            </w:r>
          </w:p>
          <w:p w14:paraId="1552E18A"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ikke-arbeidet</w:t>
            </w:r>
          </w:p>
        </w:tc>
        <w:tc>
          <w:tcPr>
            <w:tcW w:w="1651" w:type="dxa"/>
            <w:tcBorders>
              <w:top w:val="nil"/>
              <w:left w:val="nil"/>
              <w:right w:val="nil"/>
            </w:tcBorders>
            <w:shd w:val="clear" w:color="auto" w:fill="auto"/>
            <w:noWrap/>
            <w:vAlign w:val="bottom"/>
            <w:hideMark/>
          </w:tcPr>
          <w:p w14:paraId="27A3176B"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Andre sosiale</w:t>
            </w:r>
          </w:p>
          <w:p w14:paraId="36C624C3"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kostnader</w:t>
            </w:r>
          </w:p>
        </w:tc>
        <w:tc>
          <w:tcPr>
            <w:tcW w:w="747" w:type="dxa"/>
            <w:tcBorders>
              <w:top w:val="nil"/>
              <w:left w:val="nil"/>
              <w:right w:val="nil"/>
            </w:tcBorders>
            <w:shd w:val="clear" w:color="auto" w:fill="auto"/>
            <w:noWrap/>
            <w:vAlign w:val="bottom"/>
            <w:hideMark/>
          </w:tcPr>
          <w:p w14:paraId="6A7D0BDA"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Totalt</w:t>
            </w:r>
          </w:p>
        </w:tc>
      </w:tr>
      <w:tr w:rsidR="005B2B39" w:rsidRPr="002832AE" w14:paraId="40CB9584" w14:textId="77777777" w:rsidTr="008A657E">
        <w:trPr>
          <w:trHeight w:val="315"/>
        </w:trPr>
        <w:tc>
          <w:tcPr>
            <w:tcW w:w="1388" w:type="dxa"/>
            <w:tcBorders>
              <w:top w:val="nil"/>
              <w:left w:val="nil"/>
              <w:bottom w:val="single" w:sz="4" w:space="0" w:color="auto"/>
              <w:right w:val="nil"/>
            </w:tcBorders>
            <w:shd w:val="clear" w:color="auto" w:fill="auto"/>
            <w:noWrap/>
            <w:vAlign w:val="bottom"/>
            <w:hideMark/>
          </w:tcPr>
          <w:p w14:paraId="63004CA2"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 </w:t>
            </w:r>
          </w:p>
        </w:tc>
        <w:tc>
          <w:tcPr>
            <w:tcW w:w="1720" w:type="dxa"/>
            <w:tcBorders>
              <w:top w:val="single" w:sz="4" w:space="0" w:color="auto"/>
              <w:left w:val="nil"/>
              <w:bottom w:val="single" w:sz="4" w:space="0" w:color="auto"/>
              <w:right w:val="nil"/>
            </w:tcBorders>
            <w:shd w:val="clear" w:color="auto" w:fill="auto"/>
            <w:noWrap/>
            <w:vAlign w:val="bottom"/>
            <w:hideMark/>
          </w:tcPr>
          <w:p w14:paraId="1D88C469" w14:textId="4EA5DEDD" w:rsidR="005B2B39" w:rsidRPr="002832AE" w:rsidRDefault="005B2B39" w:rsidP="0080482E">
            <w:pPr>
              <w:spacing w:after="0"/>
              <w:rPr>
                <w:rFonts w:ascii="Times New Roman" w:hAnsi="Times New Roman"/>
                <w:color w:val="000000"/>
                <w:sz w:val="22"/>
                <w:szCs w:val="22"/>
              </w:rPr>
            </w:pPr>
            <w:r>
              <w:rPr>
                <w:rFonts w:ascii="Times New Roman" w:hAnsi="Times New Roman"/>
                <w:color w:val="000000"/>
                <w:sz w:val="22"/>
                <w:szCs w:val="22"/>
              </w:rPr>
              <w:t>2013</w:t>
            </w:r>
            <w:r w:rsidRPr="00EA063C">
              <w:rPr>
                <w:rFonts w:ascii="Times New Roman" w:hAnsi="Times New Roman"/>
                <w:color w:val="000000"/>
                <w:sz w:val="22"/>
                <w:szCs w:val="22"/>
                <w:vertAlign w:val="superscript"/>
              </w:rPr>
              <w:t>5</w:t>
            </w:r>
            <w:r>
              <w:rPr>
                <w:rFonts w:ascii="Times New Roman" w:hAnsi="Times New Roman"/>
                <w:color w:val="000000"/>
                <w:sz w:val="22"/>
                <w:szCs w:val="22"/>
              </w:rPr>
              <w:t xml:space="preserve">   </w:t>
            </w:r>
            <w:r w:rsidR="007F6CCB">
              <w:rPr>
                <w:rFonts w:ascii="Times New Roman" w:hAnsi="Times New Roman"/>
                <w:color w:val="000000"/>
                <w:sz w:val="22"/>
                <w:szCs w:val="22"/>
              </w:rPr>
              <w:t xml:space="preserve">   </w:t>
            </w:r>
            <w:r>
              <w:rPr>
                <w:rFonts w:ascii="Times New Roman" w:hAnsi="Times New Roman"/>
                <w:color w:val="000000"/>
                <w:sz w:val="22"/>
                <w:szCs w:val="22"/>
              </w:rPr>
              <w:t>2015</w:t>
            </w:r>
            <w:r w:rsidRPr="00EA063C">
              <w:rPr>
                <w:rFonts w:ascii="Times New Roman" w:hAnsi="Times New Roman"/>
                <w:color w:val="000000"/>
                <w:sz w:val="22"/>
                <w:szCs w:val="22"/>
                <w:vertAlign w:val="superscript"/>
              </w:rPr>
              <w:t>6</w:t>
            </w:r>
          </w:p>
        </w:tc>
        <w:tc>
          <w:tcPr>
            <w:tcW w:w="1086" w:type="dxa"/>
            <w:tcBorders>
              <w:top w:val="nil"/>
              <w:left w:val="nil"/>
              <w:bottom w:val="single" w:sz="4" w:space="0" w:color="auto"/>
              <w:right w:val="nil"/>
            </w:tcBorders>
            <w:shd w:val="clear" w:color="auto" w:fill="auto"/>
            <w:noWrap/>
            <w:vAlign w:val="bottom"/>
            <w:hideMark/>
          </w:tcPr>
          <w:p w14:paraId="22E3B6A7"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445" w:type="dxa"/>
            <w:tcBorders>
              <w:top w:val="nil"/>
              <w:left w:val="nil"/>
              <w:bottom w:val="single" w:sz="4" w:space="0" w:color="auto"/>
              <w:right w:val="nil"/>
            </w:tcBorders>
            <w:shd w:val="clear" w:color="auto" w:fill="auto"/>
            <w:noWrap/>
            <w:vAlign w:val="bottom"/>
            <w:hideMark/>
          </w:tcPr>
          <w:p w14:paraId="14E2FB96"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631" w:type="dxa"/>
            <w:tcBorders>
              <w:top w:val="nil"/>
              <w:left w:val="nil"/>
              <w:bottom w:val="single" w:sz="4" w:space="0" w:color="auto"/>
              <w:right w:val="nil"/>
            </w:tcBorders>
            <w:shd w:val="clear" w:color="auto" w:fill="auto"/>
            <w:noWrap/>
            <w:vAlign w:val="bottom"/>
            <w:hideMark/>
          </w:tcPr>
          <w:p w14:paraId="62DA77F1"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1651" w:type="dxa"/>
            <w:tcBorders>
              <w:top w:val="nil"/>
              <w:left w:val="nil"/>
              <w:bottom w:val="single" w:sz="4" w:space="0" w:color="auto"/>
              <w:right w:val="nil"/>
            </w:tcBorders>
            <w:shd w:val="clear" w:color="auto" w:fill="auto"/>
            <w:noWrap/>
            <w:vAlign w:val="bottom"/>
            <w:hideMark/>
          </w:tcPr>
          <w:p w14:paraId="72383935"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c>
          <w:tcPr>
            <w:tcW w:w="747" w:type="dxa"/>
            <w:tcBorders>
              <w:top w:val="nil"/>
              <w:left w:val="nil"/>
              <w:bottom w:val="single" w:sz="4" w:space="0" w:color="auto"/>
              <w:right w:val="nil"/>
            </w:tcBorders>
            <w:shd w:val="clear" w:color="auto" w:fill="auto"/>
            <w:noWrap/>
            <w:vAlign w:val="bottom"/>
            <w:hideMark/>
          </w:tcPr>
          <w:p w14:paraId="71F78C3B"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w:t>
            </w:r>
          </w:p>
        </w:tc>
      </w:tr>
      <w:tr w:rsidR="005B2B39" w:rsidRPr="002832AE" w14:paraId="47921822" w14:textId="77777777" w:rsidTr="008A657E">
        <w:trPr>
          <w:trHeight w:val="315"/>
        </w:trPr>
        <w:tc>
          <w:tcPr>
            <w:tcW w:w="1388" w:type="dxa"/>
            <w:tcBorders>
              <w:top w:val="nil"/>
              <w:left w:val="nil"/>
              <w:bottom w:val="nil"/>
              <w:right w:val="nil"/>
            </w:tcBorders>
            <w:shd w:val="clear" w:color="auto" w:fill="auto"/>
            <w:noWrap/>
            <w:vAlign w:val="bottom"/>
            <w:hideMark/>
          </w:tcPr>
          <w:p w14:paraId="5D33B9F3"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Norge</w:t>
            </w:r>
          </w:p>
        </w:tc>
        <w:tc>
          <w:tcPr>
            <w:tcW w:w="1720" w:type="dxa"/>
            <w:tcBorders>
              <w:top w:val="nil"/>
              <w:left w:val="nil"/>
              <w:bottom w:val="nil"/>
              <w:right w:val="nil"/>
            </w:tcBorders>
            <w:shd w:val="clear" w:color="auto" w:fill="auto"/>
            <w:noWrap/>
            <w:vAlign w:val="bottom"/>
            <w:hideMark/>
          </w:tcPr>
          <w:p w14:paraId="247186AE"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3</w:t>
            </w:r>
            <w:r>
              <w:rPr>
                <w:rFonts w:ascii="Times New Roman" w:hAnsi="Times New Roman"/>
                <w:bCs/>
                <w:iCs/>
                <w:sz w:val="22"/>
                <w:szCs w:val="22"/>
              </w:rPr>
              <w:t>87          408</w:t>
            </w:r>
          </w:p>
        </w:tc>
        <w:tc>
          <w:tcPr>
            <w:tcW w:w="1086" w:type="dxa"/>
            <w:tcBorders>
              <w:top w:val="nil"/>
              <w:left w:val="nil"/>
              <w:bottom w:val="nil"/>
              <w:right w:val="nil"/>
            </w:tcBorders>
            <w:shd w:val="clear" w:color="auto" w:fill="auto"/>
            <w:noWrap/>
            <w:vAlign w:val="bottom"/>
            <w:hideMark/>
          </w:tcPr>
          <w:p w14:paraId="32488E2A"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6</w:t>
            </w:r>
            <w:r>
              <w:rPr>
                <w:rFonts w:ascii="Times New Roman" w:hAnsi="Times New Roman"/>
                <w:sz w:val="22"/>
                <w:szCs w:val="22"/>
              </w:rPr>
              <w:t>6</w:t>
            </w:r>
            <w:r w:rsidRPr="002832AE">
              <w:rPr>
                <w:rFonts w:ascii="Times New Roman" w:hAnsi="Times New Roman"/>
                <w:sz w:val="22"/>
                <w:szCs w:val="22"/>
              </w:rPr>
              <w:t>,</w:t>
            </w:r>
            <w:r>
              <w:rPr>
                <w:rFonts w:ascii="Times New Roman" w:hAnsi="Times New Roman"/>
                <w:sz w:val="22"/>
                <w:szCs w:val="22"/>
              </w:rPr>
              <w:t>3</w:t>
            </w:r>
            <w:r w:rsidRPr="002832AE">
              <w:rPr>
                <w:rFonts w:ascii="Times New Roman" w:hAnsi="Times New Roman"/>
                <w:sz w:val="22"/>
                <w:szCs w:val="22"/>
                <w:vertAlign w:val="superscript"/>
              </w:rPr>
              <w:t>4</w:t>
            </w:r>
          </w:p>
        </w:tc>
        <w:tc>
          <w:tcPr>
            <w:tcW w:w="1445" w:type="dxa"/>
            <w:tcBorders>
              <w:top w:val="nil"/>
              <w:left w:val="nil"/>
              <w:bottom w:val="nil"/>
              <w:right w:val="nil"/>
            </w:tcBorders>
            <w:shd w:val="clear" w:color="auto" w:fill="auto"/>
            <w:noWrap/>
            <w:vAlign w:val="bottom"/>
            <w:hideMark/>
          </w:tcPr>
          <w:p w14:paraId="2482A9A4"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w:t>
            </w:r>
            <w:r>
              <w:rPr>
                <w:rFonts w:ascii="Times New Roman" w:hAnsi="Times New Roman"/>
                <w:sz w:val="22"/>
                <w:szCs w:val="22"/>
              </w:rPr>
              <w:t>2,3</w:t>
            </w:r>
            <w:r w:rsidRPr="002832AE">
              <w:rPr>
                <w:rFonts w:ascii="Times New Roman" w:hAnsi="Times New Roman"/>
                <w:sz w:val="22"/>
                <w:szCs w:val="22"/>
                <w:vertAlign w:val="superscript"/>
              </w:rPr>
              <w:t>4</w:t>
            </w:r>
          </w:p>
        </w:tc>
        <w:tc>
          <w:tcPr>
            <w:tcW w:w="1631" w:type="dxa"/>
            <w:tcBorders>
              <w:top w:val="nil"/>
              <w:left w:val="nil"/>
              <w:bottom w:val="nil"/>
              <w:right w:val="nil"/>
            </w:tcBorders>
            <w:shd w:val="clear" w:color="auto" w:fill="auto"/>
            <w:noWrap/>
            <w:vAlign w:val="bottom"/>
            <w:hideMark/>
          </w:tcPr>
          <w:p w14:paraId="43B2BDE3"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sz w:val="22"/>
                <w:szCs w:val="22"/>
              </w:rPr>
              <w:t>78,6</w:t>
            </w:r>
            <w:r w:rsidRPr="002832AE">
              <w:rPr>
                <w:rFonts w:ascii="Times New Roman" w:hAnsi="Times New Roman"/>
                <w:sz w:val="22"/>
                <w:szCs w:val="22"/>
                <w:vertAlign w:val="superscript"/>
              </w:rPr>
              <w:t>4</w:t>
            </w:r>
          </w:p>
        </w:tc>
        <w:tc>
          <w:tcPr>
            <w:tcW w:w="1651" w:type="dxa"/>
            <w:tcBorders>
              <w:top w:val="nil"/>
              <w:left w:val="nil"/>
              <w:bottom w:val="nil"/>
              <w:right w:val="nil"/>
            </w:tcBorders>
            <w:shd w:val="clear" w:color="auto" w:fill="auto"/>
            <w:noWrap/>
            <w:vAlign w:val="bottom"/>
            <w:hideMark/>
          </w:tcPr>
          <w:p w14:paraId="3B2B87FB" w14:textId="77777777" w:rsidR="005B2B39" w:rsidRPr="002832AE" w:rsidRDefault="005B2B39" w:rsidP="008A657E">
            <w:pPr>
              <w:spacing w:after="0"/>
              <w:jc w:val="center"/>
              <w:rPr>
                <w:rFonts w:ascii="Times New Roman" w:hAnsi="Times New Roman"/>
                <w:sz w:val="22"/>
                <w:szCs w:val="22"/>
              </w:rPr>
            </w:pPr>
            <w:r>
              <w:rPr>
                <w:rFonts w:ascii="Times New Roman" w:hAnsi="Times New Roman"/>
                <w:sz w:val="22"/>
                <w:szCs w:val="22"/>
              </w:rPr>
              <w:t>21,4</w:t>
            </w:r>
            <w:r w:rsidRPr="002832AE">
              <w:rPr>
                <w:rFonts w:ascii="Times New Roman" w:hAnsi="Times New Roman"/>
                <w:sz w:val="22"/>
                <w:szCs w:val="22"/>
                <w:vertAlign w:val="superscript"/>
              </w:rPr>
              <w:t>4</w:t>
            </w:r>
          </w:p>
        </w:tc>
        <w:tc>
          <w:tcPr>
            <w:tcW w:w="747" w:type="dxa"/>
            <w:tcBorders>
              <w:top w:val="nil"/>
              <w:left w:val="nil"/>
              <w:bottom w:val="nil"/>
              <w:right w:val="nil"/>
            </w:tcBorders>
            <w:shd w:val="clear" w:color="auto" w:fill="auto"/>
            <w:noWrap/>
            <w:vAlign w:val="bottom"/>
            <w:hideMark/>
          </w:tcPr>
          <w:p w14:paraId="100C6BD9"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72A95507" w14:textId="77777777" w:rsidTr="008A657E">
        <w:trPr>
          <w:trHeight w:val="315"/>
        </w:trPr>
        <w:tc>
          <w:tcPr>
            <w:tcW w:w="1388" w:type="dxa"/>
            <w:tcBorders>
              <w:top w:val="nil"/>
              <w:left w:val="nil"/>
              <w:bottom w:val="nil"/>
              <w:right w:val="nil"/>
            </w:tcBorders>
            <w:shd w:val="clear" w:color="auto" w:fill="auto"/>
            <w:noWrap/>
            <w:vAlign w:val="bottom"/>
            <w:hideMark/>
          </w:tcPr>
          <w:p w14:paraId="4AB4A1F3"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Belgia</w:t>
            </w:r>
          </w:p>
        </w:tc>
        <w:tc>
          <w:tcPr>
            <w:tcW w:w="1720" w:type="dxa"/>
            <w:tcBorders>
              <w:top w:val="nil"/>
              <w:left w:val="nil"/>
              <w:bottom w:val="nil"/>
              <w:right w:val="nil"/>
            </w:tcBorders>
            <w:shd w:val="clear" w:color="auto" w:fill="auto"/>
            <w:noWrap/>
            <w:vAlign w:val="bottom"/>
            <w:hideMark/>
          </w:tcPr>
          <w:p w14:paraId="0EB5B9B4"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323          375</w:t>
            </w:r>
          </w:p>
        </w:tc>
        <w:tc>
          <w:tcPr>
            <w:tcW w:w="1086" w:type="dxa"/>
            <w:tcBorders>
              <w:top w:val="nil"/>
              <w:left w:val="nil"/>
              <w:bottom w:val="nil"/>
              <w:right w:val="nil"/>
            </w:tcBorders>
            <w:shd w:val="clear" w:color="auto" w:fill="auto"/>
            <w:noWrap/>
            <w:vAlign w:val="bottom"/>
            <w:hideMark/>
          </w:tcPr>
          <w:p w14:paraId="6CA1DA5F"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47,6</w:t>
            </w:r>
          </w:p>
        </w:tc>
        <w:tc>
          <w:tcPr>
            <w:tcW w:w="1445" w:type="dxa"/>
            <w:tcBorders>
              <w:top w:val="nil"/>
              <w:left w:val="nil"/>
              <w:bottom w:val="nil"/>
              <w:right w:val="nil"/>
            </w:tcBorders>
            <w:shd w:val="clear" w:color="auto" w:fill="auto"/>
            <w:noWrap/>
            <w:vAlign w:val="bottom"/>
            <w:hideMark/>
          </w:tcPr>
          <w:p w14:paraId="18436041"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20,2</w:t>
            </w:r>
          </w:p>
        </w:tc>
        <w:tc>
          <w:tcPr>
            <w:tcW w:w="1631" w:type="dxa"/>
            <w:tcBorders>
              <w:top w:val="nil"/>
              <w:left w:val="nil"/>
              <w:bottom w:val="nil"/>
              <w:right w:val="nil"/>
            </w:tcBorders>
            <w:shd w:val="clear" w:color="auto" w:fill="auto"/>
            <w:noWrap/>
            <w:vAlign w:val="bottom"/>
            <w:hideMark/>
          </w:tcPr>
          <w:p w14:paraId="6BD06D42"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67,8</w:t>
            </w:r>
          </w:p>
        </w:tc>
        <w:tc>
          <w:tcPr>
            <w:tcW w:w="1651" w:type="dxa"/>
            <w:tcBorders>
              <w:top w:val="nil"/>
              <w:left w:val="nil"/>
              <w:bottom w:val="nil"/>
              <w:right w:val="nil"/>
            </w:tcBorders>
            <w:shd w:val="clear" w:color="auto" w:fill="auto"/>
            <w:noWrap/>
            <w:vAlign w:val="bottom"/>
            <w:hideMark/>
          </w:tcPr>
          <w:p w14:paraId="35FC8067"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32,2</w:t>
            </w:r>
          </w:p>
        </w:tc>
        <w:tc>
          <w:tcPr>
            <w:tcW w:w="747" w:type="dxa"/>
            <w:tcBorders>
              <w:top w:val="nil"/>
              <w:left w:val="nil"/>
              <w:bottom w:val="nil"/>
              <w:right w:val="nil"/>
            </w:tcBorders>
            <w:shd w:val="clear" w:color="auto" w:fill="auto"/>
            <w:noWrap/>
            <w:vAlign w:val="bottom"/>
            <w:hideMark/>
          </w:tcPr>
          <w:p w14:paraId="32D6B9F9"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164E6CDB" w14:textId="77777777" w:rsidTr="008A657E">
        <w:trPr>
          <w:trHeight w:val="315"/>
        </w:trPr>
        <w:tc>
          <w:tcPr>
            <w:tcW w:w="1388" w:type="dxa"/>
            <w:tcBorders>
              <w:top w:val="nil"/>
              <w:left w:val="nil"/>
              <w:bottom w:val="nil"/>
              <w:right w:val="nil"/>
            </w:tcBorders>
            <w:shd w:val="clear" w:color="auto" w:fill="auto"/>
            <w:noWrap/>
            <w:vAlign w:val="bottom"/>
            <w:hideMark/>
          </w:tcPr>
          <w:p w14:paraId="652FE9FF"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Danmark</w:t>
            </w:r>
          </w:p>
        </w:tc>
        <w:tc>
          <w:tcPr>
            <w:tcW w:w="1720" w:type="dxa"/>
            <w:tcBorders>
              <w:top w:val="nil"/>
              <w:left w:val="nil"/>
              <w:bottom w:val="nil"/>
              <w:right w:val="nil"/>
            </w:tcBorders>
            <w:shd w:val="clear" w:color="auto" w:fill="auto"/>
            <w:noWrap/>
            <w:vAlign w:val="bottom"/>
            <w:hideMark/>
          </w:tcPr>
          <w:p w14:paraId="7A30D099"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300          356</w:t>
            </w:r>
          </w:p>
        </w:tc>
        <w:tc>
          <w:tcPr>
            <w:tcW w:w="1086" w:type="dxa"/>
            <w:tcBorders>
              <w:top w:val="nil"/>
              <w:left w:val="nil"/>
              <w:bottom w:val="nil"/>
              <w:right w:val="nil"/>
            </w:tcBorders>
            <w:shd w:val="clear" w:color="auto" w:fill="auto"/>
            <w:noWrap/>
            <w:vAlign w:val="bottom"/>
            <w:hideMark/>
          </w:tcPr>
          <w:p w14:paraId="3DBF6C2D"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74,1</w:t>
            </w:r>
          </w:p>
        </w:tc>
        <w:tc>
          <w:tcPr>
            <w:tcW w:w="1445" w:type="dxa"/>
            <w:tcBorders>
              <w:top w:val="nil"/>
              <w:left w:val="nil"/>
              <w:bottom w:val="nil"/>
              <w:right w:val="nil"/>
            </w:tcBorders>
            <w:shd w:val="clear" w:color="auto" w:fill="auto"/>
            <w:noWrap/>
            <w:vAlign w:val="bottom"/>
            <w:hideMark/>
          </w:tcPr>
          <w:p w14:paraId="73A5D815"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14,9</w:t>
            </w:r>
          </w:p>
        </w:tc>
        <w:tc>
          <w:tcPr>
            <w:tcW w:w="1631" w:type="dxa"/>
            <w:tcBorders>
              <w:top w:val="nil"/>
              <w:left w:val="nil"/>
              <w:bottom w:val="nil"/>
              <w:right w:val="nil"/>
            </w:tcBorders>
            <w:shd w:val="clear" w:color="auto" w:fill="auto"/>
            <w:noWrap/>
            <w:vAlign w:val="bottom"/>
            <w:hideMark/>
          </w:tcPr>
          <w:p w14:paraId="3C5F8063"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89,0</w:t>
            </w:r>
          </w:p>
        </w:tc>
        <w:tc>
          <w:tcPr>
            <w:tcW w:w="1651" w:type="dxa"/>
            <w:tcBorders>
              <w:top w:val="nil"/>
              <w:left w:val="nil"/>
              <w:bottom w:val="nil"/>
              <w:right w:val="nil"/>
            </w:tcBorders>
            <w:shd w:val="clear" w:color="auto" w:fill="auto"/>
            <w:noWrap/>
            <w:vAlign w:val="bottom"/>
            <w:hideMark/>
          </w:tcPr>
          <w:p w14:paraId="36CD1907"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10,9</w:t>
            </w:r>
          </w:p>
        </w:tc>
        <w:tc>
          <w:tcPr>
            <w:tcW w:w="747" w:type="dxa"/>
            <w:tcBorders>
              <w:top w:val="nil"/>
              <w:left w:val="nil"/>
              <w:bottom w:val="nil"/>
              <w:right w:val="nil"/>
            </w:tcBorders>
            <w:shd w:val="clear" w:color="auto" w:fill="auto"/>
            <w:noWrap/>
            <w:vAlign w:val="bottom"/>
            <w:hideMark/>
          </w:tcPr>
          <w:p w14:paraId="7545EAD2"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7D926B75" w14:textId="77777777" w:rsidTr="008A657E">
        <w:trPr>
          <w:trHeight w:val="315"/>
        </w:trPr>
        <w:tc>
          <w:tcPr>
            <w:tcW w:w="1388" w:type="dxa"/>
            <w:tcBorders>
              <w:top w:val="nil"/>
              <w:left w:val="nil"/>
              <w:bottom w:val="nil"/>
              <w:right w:val="nil"/>
            </w:tcBorders>
            <w:shd w:val="clear" w:color="auto" w:fill="auto"/>
            <w:noWrap/>
            <w:vAlign w:val="bottom"/>
            <w:hideMark/>
          </w:tcPr>
          <w:p w14:paraId="59B2DD0E"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Sverige</w:t>
            </w:r>
          </w:p>
        </w:tc>
        <w:tc>
          <w:tcPr>
            <w:tcW w:w="1720" w:type="dxa"/>
            <w:tcBorders>
              <w:top w:val="nil"/>
              <w:left w:val="nil"/>
              <w:bottom w:val="nil"/>
              <w:right w:val="nil"/>
            </w:tcBorders>
            <w:shd w:val="clear" w:color="auto" w:fill="auto"/>
            <w:noWrap/>
            <w:vAlign w:val="bottom"/>
            <w:hideMark/>
          </w:tcPr>
          <w:p w14:paraId="3DD75793"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300          335</w:t>
            </w:r>
          </w:p>
        </w:tc>
        <w:tc>
          <w:tcPr>
            <w:tcW w:w="1086" w:type="dxa"/>
            <w:tcBorders>
              <w:top w:val="nil"/>
              <w:left w:val="nil"/>
              <w:bottom w:val="nil"/>
              <w:right w:val="nil"/>
            </w:tcBorders>
            <w:shd w:val="clear" w:color="auto" w:fill="auto"/>
            <w:noWrap/>
            <w:vAlign w:val="bottom"/>
            <w:hideMark/>
          </w:tcPr>
          <w:p w14:paraId="0947750D"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w:t>
            </w:r>
            <w:r>
              <w:rPr>
                <w:rFonts w:ascii="Times New Roman" w:hAnsi="Times New Roman"/>
                <w:color w:val="000000"/>
                <w:sz w:val="22"/>
                <w:szCs w:val="22"/>
              </w:rPr>
              <w:t>8</w:t>
            </w:r>
            <w:r w:rsidRPr="002832AE">
              <w:rPr>
                <w:rFonts w:ascii="Times New Roman" w:hAnsi="Times New Roman"/>
                <w:color w:val="000000"/>
                <w:sz w:val="22"/>
                <w:szCs w:val="22"/>
              </w:rPr>
              <w:t>,</w:t>
            </w:r>
            <w:r>
              <w:rPr>
                <w:rFonts w:ascii="Times New Roman" w:hAnsi="Times New Roman"/>
                <w:color w:val="000000"/>
                <w:sz w:val="22"/>
                <w:szCs w:val="22"/>
              </w:rPr>
              <w:t>8</w:t>
            </w:r>
          </w:p>
        </w:tc>
        <w:tc>
          <w:tcPr>
            <w:tcW w:w="1445" w:type="dxa"/>
            <w:tcBorders>
              <w:top w:val="nil"/>
              <w:left w:val="nil"/>
              <w:bottom w:val="nil"/>
              <w:right w:val="nil"/>
            </w:tcBorders>
            <w:shd w:val="clear" w:color="auto" w:fill="auto"/>
            <w:noWrap/>
            <w:vAlign w:val="bottom"/>
            <w:hideMark/>
          </w:tcPr>
          <w:p w14:paraId="1562349D"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10,8</w:t>
            </w:r>
          </w:p>
        </w:tc>
        <w:tc>
          <w:tcPr>
            <w:tcW w:w="1631" w:type="dxa"/>
            <w:tcBorders>
              <w:top w:val="nil"/>
              <w:left w:val="nil"/>
              <w:bottom w:val="nil"/>
              <w:right w:val="nil"/>
            </w:tcBorders>
            <w:shd w:val="clear" w:color="auto" w:fill="auto"/>
            <w:noWrap/>
            <w:vAlign w:val="bottom"/>
            <w:hideMark/>
          </w:tcPr>
          <w:p w14:paraId="73892A0C"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69,6</w:t>
            </w:r>
          </w:p>
        </w:tc>
        <w:tc>
          <w:tcPr>
            <w:tcW w:w="1651" w:type="dxa"/>
            <w:tcBorders>
              <w:top w:val="nil"/>
              <w:left w:val="nil"/>
              <w:bottom w:val="nil"/>
              <w:right w:val="nil"/>
            </w:tcBorders>
            <w:shd w:val="clear" w:color="auto" w:fill="auto"/>
            <w:noWrap/>
            <w:vAlign w:val="bottom"/>
            <w:hideMark/>
          </w:tcPr>
          <w:p w14:paraId="701F0558"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30,4</w:t>
            </w:r>
          </w:p>
        </w:tc>
        <w:tc>
          <w:tcPr>
            <w:tcW w:w="747" w:type="dxa"/>
            <w:tcBorders>
              <w:top w:val="nil"/>
              <w:left w:val="nil"/>
              <w:bottom w:val="nil"/>
              <w:right w:val="nil"/>
            </w:tcBorders>
            <w:shd w:val="clear" w:color="auto" w:fill="auto"/>
            <w:noWrap/>
            <w:vAlign w:val="bottom"/>
            <w:hideMark/>
          </w:tcPr>
          <w:p w14:paraId="711CEBE4"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76EA1932" w14:textId="77777777" w:rsidTr="008A657E">
        <w:trPr>
          <w:trHeight w:val="315"/>
        </w:trPr>
        <w:tc>
          <w:tcPr>
            <w:tcW w:w="1388" w:type="dxa"/>
            <w:tcBorders>
              <w:top w:val="nil"/>
              <w:left w:val="nil"/>
              <w:bottom w:val="nil"/>
              <w:right w:val="nil"/>
            </w:tcBorders>
            <w:shd w:val="clear" w:color="auto" w:fill="auto"/>
            <w:noWrap/>
            <w:vAlign w:val="bottom"/>
            <w:hideMark/>
          </w:tcPr>
          <w:p w14:paraId="75315B6A"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Tyskland</w:t>
            </w:r>
          </w:p>
        </w:tc>
        <w:tc>
          <w:tcPr>
            <w:tcW w:w="1720" w:type="dxa"/>
            <w:tcBorders>
              <w:top w:val="nil"/>
              <w:left w:val="nil"/>
              <w:bottom w:val="nil"/>
              <w:right w:val="nil"/>
            </w:tcBorders>
            <w:shd w:val="clear" w:color="auto" w:fill="auto"/>
            <w:noWrap/>
            <w:vAlign w:val="bottom"/>
            <w:hideMark/>
          </w:tcPr>
          <w:p w14:paraId="018CF1B7"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288          349</w:t>
            </w:r>
          </w:p>
        </w:tc>
        <w:tc>
          <w:tcPr>
            <w:tcW w:w="1086" w:type="dxa"/>
            <w:tcBorders>
              <w:top w:val="nil"/>
              <w:left w:val="nil"/>
              <w:bottom w:val="nil"/>
              <w:right w:val="nil"/>
            </w:tcBorders>
            <w:shd w:val="clear" w:color="auto" w:fill="auto"/>
            <w:noWrap/>
            <w:vAlign w:val="bottom"/>
            <w:hideMark/>
          </w:tcPr>
          <w:p w14:paraId="1721A4DE"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56,</w:t>
            </w:r>
            <w:r>
              <w:rPr>
                <w:rFonts w:ascii="Times New Roman" w:hAnsi="Times New Roman"/>
                <w:color w:val="000000"/>
                <w:sz w:val="22"/>
                <w:szCs w:val="22"/>
              </w:rPr>
              <w:t>9</w:t>
            </w:r>
          </w:p>
        </w:tc>
        <w:tc>
          <w:tcPr>
            <w:tcW w:w="1445" w:type="dxa"/>
            <w:tcBorders>
              <w:top w:val="nil"/>
              <w:left w:val="nil"/>
              <w:bottom w:val="nil"/>
              <w:right w:val="nil"/>
            </w:tcBorders>
            <w:shd w:val="clear" w:color="auto" w:fill="auto"/>
            <w:noWrap/>
            <w:vAlign w:val="bottom"/>
            <w:hideMark/>
          </w:tcPr>
          <w:p w14:paraId="00BE92A6"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21,4</w:t>
            </w:r>
          </w:p>
        </w:tc>
        <w:tc>
          <w:tcPr>
            <w:tcW w:w="1631" w:type="dxa"/>
            <w:tcBorders>
              <w:top w:val="nil"/>
              <w:left w:val="nil"/>
              <w:bottom w:val="nil"/>
              <w:right w:val="nil"/>
            </w:tcBorders>
            <w:shd w:val="clear" w:color="auto" w:fill="auto"/>
            <w:noWrap/>
            <w:vAlign w:val="bottom"/>
            <w:hideMark/>
          </w:tcPr>
          <w:p w14:paraId="2A0C998C"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78,3</w:t>
            </w:r>
          </w:p>
        </w:tc>
        <w:tc>
          <w:tcPr>
            <w:tcW w:w="1651" w:type="dxa"/>
            <w:tcBorders>
              <w:top w:val="nil"/>
              <w:left w:val="nil"/>
              <w:bottom w:val="nil"/>
              <w:right w:val="nil"/>
            </w:tcBorders>
            <w:shd w:val="clear" w:color="auto" w:fill="auto"/>
            <w:noWrap/>
            <w:vAlign w:val="bottom"/>
            <w:hideMark/>
          </w:tcPr>
          <w:p w14:paraId="406B6AA3"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21,7</w:t>
            </w:r>
          </w:p>
        </w:tc>
        <w:tc>
          <w:tcPr>
            <w:tcW w:w="747" w:type="dxa"/>
            <w:tcBorders>
              <w:top w:val="nil"/>
              <w:left w:val="nil"/>
              <w:bottom w:val="nil"/>
              <w:right w:val="nil"/>
            </w:tcBorders>
            <w:shd w:val="clear" w:color="auto" w:fill="auto"/>
            <w:noWrap/>
            <w:vAlign w:val="bottom"/>
            <w:hideMark/>
          </w:tcPr>
          <w:p w14:paraId="73E6C395"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65BFEEE2" w14:textId="77777777" w:rsidTr="008A657E">
        <w:trPr>
          <w:trHeight w:val="315"/>
        </w:trPr>
        <w:tc>
          <w:tcPr>
            <w:tcW w:w="1388" w:type="dxa"/>
            <w:tcBorders>
              <w:top w:val="nil"/>
              <w:left w:val="nil"/>
              <w:bottom w:val="nil"/>
              <w:right w:val="nil"/>
            </w:tcBorders>
            <w:shd w:val="clear" w:color="auto" w:fill="auto"/>
            <w:noWrap/>
            <w:vAlign w:val="bottom"/>
            <w:hideMark/>
          </w:tcPr>
          <w:p w14:paraId="0DD58CED"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Finland</w:t>
            </w:r>
          </w:p>
        </w:tc>
        <w:tc>
          <w:tcPr>
            <w:tcW w:w="1720" w:type="dxa"/>
            <w:tcBorders>
              <w:top w:val="nil"/>
              <w:left w:val="nil"/>
              <w:bottom w:val="nil"/>
              <w:right w:val="nil"/>
            </w:tcBorders>
            <w:shd w:val="clear" w:color="auto" w:fill="auto"/>
            <w:noWrap/>
            <w:vAlign w:val="bottom"/>
            <w:hideMark/>
          </w:tcPr>
          <w:p w14:paraId="548C1A04"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2</w:t>
            </w:r>
            <w:r>
              <w:rPr>
                <w:rFonts w:ascii="Times New Roman" w:hAnsi="Times New Roman"/>
                <w:bCs/>
                <w:iCs/>
                <w:sz w:val="22"/>
                <w:szCs w:val="22"/>
              </w:rPr>
              <w:t>62          311</w:t>
            </w:r>
          </w:p>
        </w:tc>
        <w:tc>
          <w:tcPr>
            <w:tcW w:w="1086" w:type="dxa"/>
            <w:tcBorders>
              <w:top w:val="nil"/>
              <w:left w:val="nil"/>
              <w:bottom w:val="nil"/>
              <w:right w:val="nil"/>
            </w:tcBorders>
            <w:shd w:val="clear" w:color="auto" w:fill="auto"/>
            <w:noWrap/>
            <w:vAlign w:val="bottom"/>
            <w:hideMark/>
          </w:tcPr>
          <w:p w14:paraId="1DCEF4F4"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w:t>
            </w:r>
            <w:r>
              <w:rPr>
                <w:rFonts w:ascii="Times New Roman" w:hAnsi="Times New Roman"/>
                <w:color w:val="000000"/>
                <w:sz w:val="22"/>
                <w:szCs w:val="22"/>
              </w:rPr>
              <w:t>8</w:t>
            </w:r>
            <w:r w:rsidRPr="002832AE">
              <w:rPr>
                <w:rFonts w:ascii="Times New Roman" w:hAnsi="Times New Roman"/>
                <w:color w:val="000000"/>
                <w:sz w:val="22"/>
                <w:szCs w:val="22"/>
              </w:rPr>
              <w:t>,</w:t>
            </w:r>
            <w:r>
              <w:rPr>
                <w:rFonts w:ascii="Times New Roman" w:hAnsi="Times New Roman"/>
                <w:color w:val="000000"/>
                <w:sz w:val="22"/>
                <w:szCs w:val="22"/>
              </w:rPr>
              <w:t>9</w:t>
            </w:r>
          </w:p>
        </w:tc>
        <w:tc>
          <w:tcPr>
            <w:tcW w:w="1445" w:type="dxa"/>
            <w:tcBorders>
              <w:top w:val="nil"/>
              <w:left w:val="nil"/>
              <w:bottom w:val="nil"/>
              <w:right w:val="nil"/>
            </w:tcBorders>
            <w:shd w:val="clear" w:color="auto" w:fill="auto"/>
            <w:noWrap/>
            <w:vAlign w:val="bottom"/>
            <w:hideMark/>
          </w:tcPr>
          <w:p w14:paraId="279804E4"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0,7</w:t>
            </w:r>
          </w:p>
        </w:tc>
        <w:tc>
          <w:tcPr>
            <w:tcW w:w="1631" w:type="dxa"/>
            <w:tcBorders>
              <w:top w:val="nil"/>
              <w:left w:val="nil"/>
              <w:bottom w:val="nil"/>
              <w:right w:val="nil"/>
            </w:tcBorders>
            <w:shd w:val="clear" w:color="auto" w:fill="auto"/>
            <w:noWrap/>
            <w:vAlign w:val="bottom"/>
            <w:hideMark/>
          </w:tcPr>
          <w:p w14:paraId="0E0066EA"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w:t>
            </w:r>
            <w:r>
              <w:rPr>
                <w:rFonts w:ascii="Times New Roman" w:hAnsi="Times New Roman"/>
                <w:color w:val="000000"/>
                <w:sz w:val="22"/>
                <w:szCs w:val="22"/>
              </w:rPr>
              <w:t>9</w:t>
            </w:r>
            <w:r w:rsidRPr="002832AE">
              <w:rPr>
                <w:rFonts w:ascii="Times New Roman" w:hAnsi="Times New Roman"/>
                <w:color w:val="000000"/>
                <w:sz w:val="22"/>
                <w:szCs w:val="22"/>
              </w:rPr>
              <w:t>,</w:t>
            </w:r>
            <w:r>
              <w:rPr>
                <w:rFonts w:ascii="Times New Roman" w:hAnsi="Times New Roman"/>
                <w:color w:val="000000"/>
                <w:sz w:val="22"/>
                <w:szCs w:val="22"/>
              </w:rPr>
              <w:t>6</w:t>
            </w:r>
          </w:p>
        </w:tc>
        <w:tc>
          <w:tcPr>
            <w:tcW w:w="1651" w:type="dxa"/>
            <w:tcBorders>
              <w:top w:val="nil"/>
              <w:left w:val="nil"/>
              <w:bottom w:val="nil"/>
              <w:right w:val="nil"/>
            </w:tcBorders>
            <w:shd w:val="clear" w:color="auto" w:fill="auto"/>
            <w:noWrap/>
            <w:vAlign w:val="bottom"/>
            <w:hideMark/>
          </w:tcPr>
          <w:p w14:paraId="4078C872"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0</w:t>
            </w:r>
            <w:r w:rsidRPr="002832AE">
              <w:rPr>
                <w:rFonts w:ascii="Times New Roman" w:hAnsi="Times New Roman"/>
                <w:color w:val="000000"/>
                <w:sz w:val="22"/>
                <w:szCs w:val="22"/>
              </w:rPr>
              <w:t>,</w:t>
            </w:r>
            <w:r>
              <w:rPr>
                <w:rFonts w:ascii="Times New Roman" w:hAnsi="Times New Roman"/>
                <w:color w:val="000000"/>
                <w:sz w:val="22"/>
                <w:szCs w:val="22"/>
              </w:rPr>
              <w:t>4</w:t>
            </w:r>
          </w:p>
        </w:tc>
        <w:tc>
          <w:tcPr>
            <w:tcW w:w="747" w:type="dxa"/>
            <w:tcBorders>
              <w:top w:val="nil"/>
              <w:left w:val="nil"/>
              <w:bottom w:val="nil"/>
              <w:right w:val="nil"/>
            </w:tcBorders>
            <w:shd w:val="clear" w:color="auto" w:fill="auto"/>
            <w:noWrap/>
            <w:vAlign w:val="bottom"/>
            <w:hideMark/>
          </w:tcPr>
          <w:p w14:paraId="74AE820C"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61CC69CB" w14:textId="77777777" w:rsidTr="008A657E">
        <w:trPr>
          <w:trHeight w:val="315"/>
        </w:trPr>
        <w:tc>
          <w:tcPr>
            <w:tcW w:w="1388" w:type="dxa"/>
            <w:tcBorders>
              <w:top w:val="nil"/>
              <w:left w:val="nil"/>
              <w:bottom w:val="nil"/>
              <w:right w:val="nil"/>
            </w:tcBorders>
            <w:shd w:val="clear" w:color="auto" w:fill="auto"/>
            <w:noWrap/>
            <w:vAlign w:val="bottom"/>
            <w:hideMark/>
          </w:tcPr>
          <w:p w14:paraId="0F3C3CEE"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Østerrike</w:t>
            </w:r>
          </w:p>
        </w:tc>
        <w:tc>
          <w:tcPr>
            <w:tcW w:w="1720" w:type="dxa"/>
            <w:tcBorders>
              <w:top w:val="nil"/>
              <w:left w:val="nil"/>
              <w:bottom w:val="nil"/>
              <w:right w:val="nil"/>
            </w:tcBorders>
            <w:shd w:val="clear" w:color="auto" w:fill="auto"/>
            <w:noWrap/>
            <w:vAlign w:val="bottom"/>
            <w:hideMark/>
          </w:tcPr>
          <w:p w14:paraId="14FA2E5C"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261          315</w:t>
            </w:r>
          </w:p>
        </w:tc>
        <w:tc>
          <w:tcPr>
            <w:tcW w:w="1086" w:type="dxa"/>
            <w:tcBorders>
              <w:top w:val="nil"/>
              <w:left w:val="nil"/>
              <w:bottom w:val="nil"/>
              <w:right w:val="nil"/>
            </w:tcBorders>
            <w:shd w:val="clear" w:color="auto" w:fill="auto"/>
            <w:noWrap/>
            <w:vAlign w:val="bottom"/>
            <w:hideMark/>
          </w:tcPr>
          <w:p w14:paraId="5CD1463A"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w:t>
            </w:r>
            <w:r>
              <w:rPr>
                <w:rFonts w:ascii="Times New Roman" w:hAnsi="Times New Roman"/>
                <w:color w:val="000000"/>
                <w:sz w:val="22"/>
                <w:szCs w:val="22"/>
              </w:rPr>
              <w:t>2</w:t>
            </w:r>
            <w:r w:rsidRPr="002832AE">
              <w:rPr>
                <w:rFonts w:ascii="Times New Roman" w:hAnsi="Times New Roman"/>
                <w:color w:val="000000"/>
                <w:sz w:val="22"/>
                <w:szCs w:val="22"/>
              </w:rPr>
              <w:t>,</w:t>
            </w:r>
            <w:r>
              <w:rPr>
                <w:rFonts w:ascii="Times New Roman" w:hAnsi="Times New Roman"/>
                <w:color w:val="000000"/>
                <w:sz w:val="22"/>
                <w:szCs w:val="22"/>
              </w:rPr>
              <w:t>5</w:t>
            </w:r>
          </w:p>
        </w:tc>
        <w:tc>
          <w:tcPr>
            <w:tcW w:w="1445" w:type="dxa"/>
            <w:tcBorders>
              <w:top w:val="nil"/>
              <w:left w:val="nil"/>
              <w:bottom w:val="nil"/>
              <w:right w:val="nil"/>
            </w:tcBorders>
            <w:shd w:val="clear" w:color="auto" w:fill="auto"/>
            <w:noWrap/>
            <w:vAlign w:val="bottom"/>
            <w:hideMark/>
          </w:tcPr>
          <w:p w14:paraId="638011DC"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21,5</w:t>
            </w:r>
          </w:p>
        </w:tc>
        <w:tc>
          <w:tcPr>
            <w:tcW w:w="1631" w:type="dxa"/>
            <w:tcBorders>
              <w:top w:val="nil"/>
              <w:left w:val="nil"/>
              <w:bottom w:val="nil"/>
              <w:right w:val="nil"/>
            </w:tcBorders>
            <w:shd w:val="clear" w:color="auto" w:fill="auto"/>
            <w:noWrap/>
            <w:vAlign w:val="bottom"/>
            <w:hideMark/>
          </w:tcPr>
          <w:p w14:paraId="433A0940"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w:t>
            </w:r>
            <w:r>
              <w:rPr>
                <w:rFonts w:ascii="Times New Roman" w:hAnsi="Times New Roman"/>
                <w:color w:val="000000"/>
                <w:sz w:val="22"/>
                <w:szCs w:val="22"/>
              </w:rPr>
              <w:t>4</w:t>
            </w:r>
            <w:r w:rsidRPr="002832AE">
              <w:rPr>
                <w:rFonts w:ascii="Times New Roman" w:hAnsi="Times New Roman"/>
                <w:color w:val="000000"/>
                <w:sz w:val="22"/>
                <w:szCs w:val="22"/>
              </w:rPr>
              <w:t>,</w:t>
            </w:r>
            <w:r>
              <w:rPr>
                <w:rFonts w:ascii="Times New Roman" w:hAnsi="Times New Roman"/>
                <w:color w:val="000000"/>
                <w:sz w:val="22"/>
                <w:szCs w:val="22"/>
              </w:rPr>
              <w:t>0</w:t>
            </w:r>
          </w:p>
        </w:tc>
        <w:tc>
          <w:tcPr>
            <w:tcW w:w="1651" w:type="dxa"/>
            <w:tcBorders>
              <w:top w:val="nil"/>
              <w:left w:val="nil"/>
              <w:bottom w:val="nil"/>
              <w:right w:val="nil"/>
            </w:tcBorders>
            <w:shd w:val="clear" w:color="auto" w:fill="auto"/>
            <w:noWrap/>
            <w:vAlign w:val="bottom"/>
            <w:hideMark/>
          </w:tcPr>
          <w:p w14:paraId="2481BE68"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6</w:t>
            </w:r>
            <w:r w:rsidRPr="002832AE">
              <w:rPr>
                <w:rFonts w:ascii="Times New Roman" w:hAnsi="Times New Roman"/>
                <w:color w:val="000000"/>
                <w:sz w:val="22"/>
                <w:szCs w:val="22"/>
              </w:rPr>
              <w:t>,</w:t>
            </w:r>
            <w:r>
              <w:rPr>
                <w:rFonts w:ascii="Times New Roman" w:hAnsi="Times New Roman"/>
                <w:color w:val="000000"/>
                <w:sz w:val="22"/>
                <w:szCs w:val="22"/>
              </w:rPr>
              <w:t>0</w:t>
            </w:r>
          </w:p>
        </w:tc>
        <w:tc>
          <w:tcPr>
            <w:tcW w:w="747" w:type="dxa"/>
            <w:tcBorders>
              <w:top w:val="nil"/>
              <w:left w:val="nil"/>
              <w:bottom w:val="nil"/>
              <w:right w:val="nil"/>
            </w:tcBorders>
            <w:shd w:val="clear" w:color="auto" w:fill="auto"/>
            <w:noWrap/>
            <w:vAlign w:val="bottom"/>
            <w:hideMark/>
          </w:tcPr>
          <w:p w14:paraId="207273AD"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7794AEFD" w14:textId="77777777" w:rsidTr="008A657E">
        <w:trPr>
          <w:trHeight w:val="315"/>
        </w:trPr>
        <w:tc>
          <w:tcPr>
            <w:tcW w:w="1388" w:type="dxa"/>
            <w:tcBorders>
              <w:top w:val="nil"/>
              <w:left w:val="nil"/>
              <w:bottom w:val="nil"/>
              <w:right w:val="nil"/>
            </w:tcBorders>
            <w:shd w:val="clear" w:color="auto" w:fill="auto"/>
            <w:noWrap/>
            <w:vAlign w:val="bottom"/>
            <w:hideMark/>
          </w:tcPr>
          <w:p w14:paraId="7A03888E"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Frankrike</w:t>
            </w:r>
          </w:p>
        </w:tc>
        <w:tc>
          <w:tcPr>
            <w:tcW w:w="1720" w:type="dxa"/>
            <w:tcBorders>
              <w:top w:val="nil"/>
              <w:left w:val="nil"/>
              <w:bottom w:val="nil"/>
              <w:right w:val="nil"/>
            </w:tcBorders>
            <w:shd w:val="clear" w:color="auto" w:fill="auto"/>
            <w:noWrap/>
            <w:vAlign w:val="bottom"/>
            <w:hideMark/>
          </w:tcPr>
          <w:p w14:paraId="749A9A6E"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2</w:t>
            </w:r>
            <w:r>
              <w:rPr>
                <w:rFonts w:ascii="Times New Roman" w:hAnsi="Times New Roman"/>
                <w:bCs/>
                <w:iCs/>
                <w:sz w:val="22"/>
                <w:szCs w:val="22"/>
              </w:rPr>
              <w:t>52          296</w:t>
            </w:r>
          </w:p>
        </w:tc>
        <w:tc>
          <w:tcPr>
            <w:tcW w:w="1086" w:type="dxa"/>
            <w:tcBorders>
              <w:top w:val="nil"/>
              <w:left w:val="nil"/>
              <w:bottom w:val="nil"/>
              <w:right w:val="nil"/>
            </w:tcBorders>
            <w:shd w:val="clear" w:color="auto" w:fill="auto"/>
            <w:noWrap/>
            <w:vAlign w:val="bottom"/>
            <w:hideMark/>
          </w:tcPr>
          <w:p w14:paraId="6A236F0F"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w:t>
            </w:r>
            <w:r>
              <w:rPr>
                <w:rFonts w:ascii="Times New Roman" w:hAnsi="Times New Roman"/>
                <w:color w:val="000000"/>
                <w:sz w:val="22"/>
                <w:szCs w:val="22"/>
              </w:rPr>
              <w:t>6</w:t>
            </w:r>
            <w:r w:rsidRPr="002832AE">
              <w:rPr>
                <w:rFonts w:ascii="Times New Roman" w:hAnsi="Times New Roman"/>
                <w:color w:val="000000"/>
                <w:sz w:val="22"/>
                <w:szCs w:val="22"/>
              </w:rPr>
              <w:t>,</w:t>
            </w:r>
            <w:r>
              <w:rPr>
                <w:rFonts w:ascii="Times New Roman" w:hAnsi="Times New Roman"/>
                <w:color w:val="000000"/>
                <w:sz w:val="22"/>
                <w:szCs w:val="22"/>
              </w:rPr>
              <w:t>4</w:t>
            </w:r>
          </w:p>
        </w:tc>
        <w:tc>
          <w:tcPr>
            <w:tcW w:w="1445" w:type="dxa"/>
            <w:tcBorders>
              <w:top w:val="nil"/>
              <w:left w:val="nil"/>
              <w:bottom w:val="nil"/>
              <w:right w:val="nil"/>
            </w:tcBorders>
            <w:shd w:val="clear" w:color="auto" w:fill="auto"/>
            <w:noWrap/>
            <w:vAlign w:val="bottom"/>
            <w:hideMark/>
          </w:tcPr>
          <w:p w14:paraId="6C689173"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1</w:t>
            </w:r>
            <w:r>
              <w:rPr>
                <w:rFonts w:ascii="Times New Roman" w:hAnsi="Times New Roman"/>
                <w:color w:val="000000"/>
                <w:sz w:val="22"/>
                <w:szCs w:val="22"/>
              </w:rPr>
              <w:t>3</w:t>
            </w:r>
            <w:r w:rsidRPr="002832AE">
              <w:rPr>
                <w:rFonts w:ascii="Times New Roman" w:hAnsi="Times New Roman"/>
                <w:color w:val="000000"/>
                <w:sz w:val="22"/>
                <w:szCs w:val="22"/>
              </w:rPr>
              <w:t>,</w:t>
            </w:r>
            <w:r>
              <w:rPr>
                <w:rFonts w:ascii="Times New Roman" w:hAnsi="Times New Roman"/>
                <w:color w:val="000000"/>
                <w:sz w:val="22"/>
                <w:szCs w:val="22"/>
              </w:rPr>
              <w:t>2</w:t>
            </w:r>
          </w:p>
        </w:tc>
        <w:tc>
          <w:tcPr>
            <w:tcW w:w="1631" w:type="dxa"/>
            <w:tcBorders>
              <w:top w:val="nil"/>
              <w:left w:val="nil"/>
              <w:bottom w:val="nil"/>
              <w:right w:val="nil"/>
            </w:tcBorders>
            <w:shd w:val="clear" w:color="auto" w:fill="auto"/>
            <w:noWrap/>
            <w:vAlign w:val="bottom"/>
            <w:hideMark/>
          </w:tcPr>
          <w:p w14:paraId="02A0E46A"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69,6</w:t>
            </w:r>
          </w:p>
        </w:tc>
        <w:tc>
          <w:tcPr>
            <w:tcW w:w="1651" w:type="dxa"/>
            <w:tcBorders>
              <w:top w:val="nil"/>
              <w:left w:val="nil"/>
              <w:bottom w:val="nil"/>
              <w:right w:val="nil"/>
            </w:tcBorders>
            <w:shd w:val="clear" w:color="auto" w:fill="auto"/>
            <w:noWrap/>
            <w:vAlign w:val="bottom"/>
            <w:hideMark/>
          </w:tcPr>
          <w:p w14:paraId="71675EE4"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30,4</w:t>
            </w:r>
          </w:p>
        </w:tc>
        <w:tc>
          <w:tcPr>
            <w:tcW w:w="747" w:type="dxa"/>
            <w:tcBorders>
              <w:top w:val="nil"/>
              <w:left w:val="nil"/>
              <w:bottom w:val="nil"/>
              <w:right w:val="nil"/>
            </w:tcBorders>
            <w:shd w:val="clear" w:color="auto" w:fill="auto"/>
            <w:noWrap/>
            <w:vAlign w:val="bottom"/>
            <w:hideMark/>
          </w:tcPr>
          <w:p w14:paraId="25B04D5D"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32EFB61D" w14:textId="77777777" w:rsidTr="008A657E">
        <w:trPr>
          <w:trHeight w:val="315"/>
        </w:trPr>
        <w:tc>
          <w:tcPr>
            <w:tcW w:w="1388" w:type="dxa"/>
            <w:tcBorders>
              <w:top w:val="nil"/>
              <w:left w:val="nil"/>
              <w:bottom w:val="nil"/>
              <w:right w:val="nil"/>
            </w:tcBorders>
            <w:shd w:val="clear" w:color="auto" w:fill="auto"/>
            <w:noWrap/>
            <w:vAlign w:val="bottom"/>
            <w:hideMark/>
          </w:tcPr>
          <w:p w14:paraId="1E0A27AF"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Nederland</w:t>
            </w:r>
          </w:p>
        </w:tc>
        <w:tc>
          <w:tcPr>
            <w:tcW w:w="1720" w:type="dxa"/>
            <w:tcBorders>
              <w:top w:val="nil"/>
              <w:left w:val="nil"/>
              <w:bottom w:val="nil"/>
              <w:right w:val="nil"/>
            </w:tcBorders>
            <w:shd w:val="clear" w:color="auto" w:fill="auto"/>
            <w:noWrap/>
            <w:vAlign w:val="bottom"/>
            <w:hideMark/>
          </w:tcPr>
          <w:p w14:paraId="06A11D26"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2</w:t>
            </w:r>
            <w:r>
              <w:rPr>
                <w:rFonts w:ascii="Times New Roman" w:hAnsi="Times New Roman"/>
                <w:bCs/>
                <w:iCs/>
                <w:sz w:val="22"/>
                <w:szCs w:val="22"/>
              </w:rPr>
              <w:t>49          298</w:t>
            </w:r>
          </w:p>
        </w:tc>
        <w:tc>
          <w:tcPr>
            <w:tcW w:w="1086" w:type="dxa"/>
            <w:tcBorders>
              <w:top w:val="nil"/>
              <w:left w:val="nil"/>
              <w:bottom w:val="nil"/>
              <w:right w:val="nil"/>
            </w:tcBorders>
            <w:shd w:val="clear" w:color="auto" w:fill="auto"/>
            <w:noWrap/>
            <w:vAlign w:val="bottom"/>
            <w:hideMark/>
          </w:tcPr>
          <w:p w14:paraId="6DE7F399"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5</w:t>
            </w:r>
            <w:r>
              <w:rPr>
                <w:rFonts w:ascii="Times New Roman" w:hAnsi="Times New Roman"/>
                <w:color w:val="000000"/>
                <w:sz w:val="22"/>
                <w:szCs w:val="22"/>
              </w:rPr>
              <w:t>7</w:t>
            </w:r>
            <w:r w:rsidRPr="002832AE">
              <w:rPr>
                <w:rFonts w:ascii="Times New Roman" w:hAnsi="Times New Roman"/>
                <w:color w:val="000000"/>
                <w:sz w:val="22"/>
                <w:szCs w:val="22"/>
              </w:rPr>
              <w:t>,</w:t>
            </w:r>
            <w:r>
              <w:rPr>
                <w:rFonts w:ascii="Times New Roman" w:hAnsi="Times New Roman"/>
                <w:color w:val="000000"/>
                <w:sz w:val="22"/>
                <w:szCs w:val="22"/>
              </w:rPr>
              <w:t>7</w:t>
            </w:r>
          </w:p>
        </w:tc>
        <w:tc>
          <w:tcPr>
            <w:tcW w:w="1445" w:type="dxa"/>
            <w:tcBorders>
              <w:top w:val="nil"/>
              <w:left w:val="nil"/>
              <w:bottom w:val="nil"/>
              <w:right w:val="nil"/>
            </w:tcBorders>
            <w:shd w:val="clear" w:color="auto" w:fill="auto"/>
            <w:noWrap/>
            <w:vAlign w:val="bottom"/>
            <w:hideMark/>
          </w:tcPr>
          <w:p w14:paraId="767928A5"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20,1</w:t>
            </w:r>
          </w:p>
        </w:tc>
        <w:tc>
          <w:tcPr>
            <w:tcW w:w="1631" w:type="dxa"/>
            <w:tcBorders>
              <w:top w:val="nil"/>
              <w:left w:val="nil"/>
              <w:bottom w:val="nil"/>
              <w:right w:val="nil"/>
            </w:tcBorders>
            <w:shd w:val="clear" w:color="auto" w:fill="auto"/>
            <w:noWrap/>
            <w:vAlign w:val="bottom"/>
            <w:hideMark/>
          </w:tcPr>
          <w:p w14:paraId="211929B8"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w:t>
            </w:r>
            <w:r>
              <w:rPr>
                <w:rFonts w:ascii="Times New Roman" w:hAnsi="Times New Roman"/>
                <w:color w:val="000000"/>
                <w:sz w:val="22"/>
                <w:szCs w:val="22"/>
              </w:rPr>
              <w:t>7</w:t>
            </w:r>
            <w:r w:rsidRPr="002832AE">
              <w:rPr>
                <w:rFonts w:ascii="Times New Roman" w:hAnsi="Times New Roman"/>
                <w:color w:val="000000"/>
                <w:sz w:val="22"/>
                <w:szCs w:val="22"/>
              </w:rPr>
              <w:t>,</w:t>
            </w:r>
            <w:r>
              <w:rPr>
                <w:rFonts w:ascii="Times New Roman" w:hAnsi="Times New Roman"/>
                <w:color w:val="000000"/>
                <w:sz w:val="22"/>
                <w:szCs w:val="22"/>
              </w:rPr>
              <w:t>8</w:t>
            </w:r>
          </w:p>
        </w:tc>
        <w:tc>
          <w:tcPr>
            <w:tcW w:w="1651" w:type="dxa"/>
            <w:tcBorders>
              <w:top w:val="nil"/>
              <w:left w:val="nil"/>
              <w:bottom w:val="nil"/>
              <w:right w:val="nil"/>
            </w:tcBorders>
            <w:shd w:val="clear" w:color="auto" w:fill="auto"/>
            <w:noWrap/>
            <w:vAlign w:val="bottom"/>
            <w:hideMark/>
          </w:tcPr>
          <w:p w14:paraId="5D624159"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2</w:t>
            </w:r>
            <w:r w:rsidRPr="002832AE">
              <w:rPr>
                <w:rFonts w:ascii="Times New Roman" w:hAnsi="Times New Roman"/>
                <w:color w:val="000000"/>
                <w:sz w:val="22"/>
                <w:szCs w:val="22"/>
              </w:rPr>
              <w:t>,</w:t>
            </w:r>
            <w:r>
              <w:rPr>
                <w:rFonts w:ascii="Times New Roman" w:hAnsi="Times New Roman"/>
                <w:color w:val="000000"/>
                <w:sz w:val="22"/>
                <w:szCs w:val="22"/>
              </w:rPr>
              <w:t>2</w:t>
            </w:r>
          </w:p>
        </w:tc>
        <w:tc>
          <w:tcPr>
            <w:tcW w:w="747" w:type="dxa"/>
            <w:tcBorders>
              <w:top w:val="nil"/>
              <w:left w:val="nil"/>
              <w:bottom w:val="nil"/>
              <w:right w:val="nil"/>
            </w:tcBorders>
            <w:shd w:val="clear" w:color="auto" w:fill="auto"/>
            <w:noWrap/>
            <w:vAlign w:val="bottom"/>
            <w:hideMark/>
          </w:tcPr>
          <w:p w14:paraId="1D71D471"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34AE1D47" w14:textId="77777777" w:rsidTr="008A657E">
        <w:trPr>
          <w:trHeight w:val="315"/>
        </w:trPr>
        <w:tc>
          <w:tcPr>
            <w:tcW w:w="1388" w:type="dxa"/>
            <w:tcBorders>
              <w:top w:val="nil"/>
              <w:left w:val="nil"/>
              <w:bottom w:val="nil"/>
              <w:right w:val="nil"/>
            </w:tcBorders>
            <w:shd w:val="clear" w:color="auto" w:fill="auto"/>
            <w:noWrap/>
            <w:vAlign w:val="bottom"/>
            <w:hideMark/>
          </w:tcPr>
          <w:p w14:paraId="312A3FD1" w14:textId="77777777" w:rsidR="005B2B39" w:rsidRPr="002832AE" w:rsidRDefault="005B2B39" w:rsidP="008A657E">
            <w:pPr>
              <w:spacing w:after="0"/>
              <w:rPr>
                <w:rFonts w:ascii="Times New Roman" w:hAnsi="Times New Roman"/>
                <w:sz w:val="22"/>
                <w:szCs w:val="22"/>
              </w:rPr>
            </w:pPr>
            <w:r>
              <w:rPr>
                <w:rFonts w:ascii="Times New Roman" w:hAnsi="Times New Roman"/>
                <w:sz w:val="22"/>
                <w:szCs w:val="22"/>
              </w:rPr>
              <w:t>Irland</w:t>
            </w:r>
          </w:p>
        </w:tc>
        <w:tc>
          <w:tcPr>
            <w:tcW w:w="1720" w:type="dxa"/>
            <w:tcBorders>
              <w:top w:val="nil"/>
              <w:left w:val="nil"/>
              <w:bottom w:val="nil"/>
              <w:right w:val="nil"/>
            </w:tcBorders>
            <w:shd w:val="clear" w:color="auto" w:fill="auto"/>
            <w:noWrap/>
            <w:vAlign w:val="bottom"/>
            <w:hideMark/>
          </w:tcPr>
          <w:p w14:paraId="3CDF0121"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247          286</w:t>
            </w:r>
          </w:p>
        </w:tc>
        <w:tc>
          <w:tcPr>
            <w:tcW w:w="1086" w:type="dxa"/>
            <w:tcBorders>
              <w:top w:val="nil"/>
              <w:left w:val="nil"/>
              <w:bottom w:val="nil"/>
              <w:right w:val="nil"/>
            </w:tcBorders>
            <w:shd w:val="clear" w:color="auto" w:fill="auto"/>
            <w:noWrap/>
            <w:vAlign w:val="bottom"/>
            <w:hideMark/>
          </w:tcPr>
          <w:p w14:paraId="523B1E69"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62,7</w:t>
            </w:r>
          </w:p>
        </w:tc>
        <w:tc>
          <w:tcPr>
            <w:tcW w:w="1445" w:type="dxa"/>
            <w:tcBorders>
              <w:top w:val="nil"/>
              <w:left w:val="nil"/>
              <w:bottom w:val="nil"/>
              <w:right w:val="nil"/>
            </w:tcBorders>
            <w:shd w:val="clear" w:color="auto" w:fill="auto"/>
            <w:noWrap/>
            <w:vAlign w:val="bottom"/>
            <w:hideMark/>
          </w:tcPr>
          <w:p w14:paraId="410A90AA"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20,6</w:t>
            </w:r>
          </w:p>
        </w:tc>
        <w:tc>
          <w:tcPr>
            <w:tcW w:w="1631" w:type="dxa"/>
            <w:tcBorders>
              <w:top w:val="nil"/>
              <w:left w:val="nil"/>
              <w:bottom w:val="nil"/>
              <w:right w:val="nil"/>
            </w:tcBorders>
            <w:shd w:val="clear" w:color="auto" w:fill="auto"/>
            <w:noWrap/>
            <w:vAlign w:val="bottom"/>
            <w:hideMark/>
          </w:tcPr>
          <w:p w14:paraId="4D5CA086"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83,3</w:t>
            </w:r>
          </w:p>
        </w:tc>
        <w:tc>
          <w:tcPr>
            <w:tcW w:w="1651" w:type="dxa"/>
            <w:tcBorders>
              <w:top w:val="nil"/>
              <w:left w:val="nil"/>
              <w:bottom w:val="nil"/>
              <w:right w:val="nil"/>
            </w:tcBorders>
            <w:shd w:val="clear" w:color="auto" w:fill="auto"/>
            <w:noWrap/>
            <w:vAlign w:val="bottom"/>
            <w:hideMark/>
          </w:tcPr>
          <w:p w14:paraId="75871B8E"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16,7</w:t>
            </w:r>
          </w:p>
        </w:tc>
        <w:tc>
          <w:tcPr>
            <w:tcW w:w="747" w:type="dxa"/>
            <w:tcBorders>
              <w:top w:val="nil"/>
              <w:left w:val="nil"/>
              <w:bottom w:val="nil"/>
              <w:right w:val="nil"/>
            </w:tcBorders>
            <w:shd w:val="clear" w:color="auto" w:fill="auto"/>
            <w:noWrap/>
            <w:vAlign w:val="bottom"/>
            <w:hideMark/>
          </w:tcPr>
          <w:p w14:paraId="5B38FF7C"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1AAEFD76" w14:textId="77777777" w:rsidTr="008A657E">
        <w:trPr>
          <w:trHeight w:val="315"/>
        </w:trPr>
        <w:tc>
          <w:tcPr>
            <w:tcW w:w="1388" w:type="dxa"/>
            <w:tcBorders>
              <w:top w:val="nil"/>
              <w:left w:val="nil"/>
              <w:bottom w:val="nil"/>
              <w:right w:val="nil"/>
            </w:tcBorders>
            <w:shd w:val="clear" w:color="auto" w:fill="auto"/>
            <w:noWrap/>
            <w:vAlign w:val="bottom"/>
            <w:hideMark/>
          </w:tcPr>
          <w:p w14:paraId="16A5EF7B"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I</w:t>
            </w:r>
            <w:r>
              <w:rPr>
                <w:rFonts w:ascii="Times New Roman" w:hAnsi="Times New Roman"/>
                <w:sz w:val="22"/>
                <w:szCs w:val="22"/>
              </w:rPr>
              <w:t>talia</w:t>
            </w:r>
          </w:p>
        </w:tc>
        <w:tc>
          <w:tcPr>
            <w:tcW w:w="1720" w:type="dxa"/>
            <w:tcBorders>
              <w:top w:val="nil"/>
              <w:left w:val="nil"/>
              <w:bottom w:val="nil"/>
              <w:right w:val="nil"/>
            </w:tcBorders>
            <w:shd w:val="clear" w:color="auto" w:fill="auto"/>
            <w:noWrap/>
            <w:vAlign w:val="bottom"/>
            <w:hideMark/>
          </w:tcPr>
          <w:p w14:paraId="76E10E7B"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2</w:t>
            </w:r>
            <w:r>
              <w:rPr>
                <w:rFonts w:ascii="Times New Roman" w:hAnsi="Times New Roman"/>
                <w:bCs/>
                <w:iCs/>
                <w:sz w:val="22"/>
                <w:szCs w:val="22"/>
              </w:rPr>
              <w:t>17          251</w:t>
            </w:r>
          </w:p>
        </w:tc>
        <w:tc>
          <w:tcPr>
            <w:tcW w:w="1086" w:type="dxa"/>
            <w:tcBorders>
              <w:top w:val="nil"/>
              <w:left w:val="nil"/>
              <w:bottom w:val="nil"/>
              <w:right w:val="nil"/>
            </w:tcBorders>
            <w:shd w:val="clear" w:color="auto" w:fill="auto"/>
            <w:noWrap/>
            <w:vAlign w:val="bottom"/>
            <w:hideMark/>
          </w:tcPr>
          <w:p w14:paraId="32F58BDB"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52,6</w:t>
            </w:r>
          </w:p>
        </w:tc>
        <w:tc>
          <w:tcPr>
            <w:tcW w:w="1445" w:type="dxa"/>
            <w:tcBorders>
              <w:top w:val="nil"/>
              <w:left w:val="nil"/>
              <w:bottom w:val="nil"/>
              <w:right w:val="nil"/>
            </w:tcBorders>
            <w:shd w:val="clear" w:color="auto" w:fill="auto"/>
            <w:noWrap/>
            <w:vAlign w:val="bottom"/>
            <w:hideMark/>
          </w:tcPr>
          <w:p w14:paraId="11031E1D"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18,4</w:t>
            </w:r>
          </w:p>
        </w:tc>
        <w:tc>
          <w:tcPr>
            <w:tcW w:w="1631" w:type="dxa"/>
            <w:tcBorders>
              <w:top w:val="nil"/>
              <w:left w:val="nil"/>
              <w:bottom w:val="nil"/>
              <w:right w:val="nil"/>
            </w:tcBorders>
            <w:shd w:val="clear" w:color="auto" w:fill="auto"/>
            <w:noWrap/>
            <w:vAlign w:val="bottom"/>
            <w:hideMark/>
          </w:tcPr>
          <w:p w14:paraId="3FA6F1F0"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71,0</w:t>
            </w:r>
          </w:p>
        </w:tc>
        <w:tc>
          <w:tcPr>
            <w:tcW w:w="1651" w:type="dxa"/>
            <w:tcBorders>
              <w:top w:val="nil"/>
              <w:left w:val="nil"/>
              <w:bottom w:val="nil"/>
              <w:right w:val="nil"/>
            </w:tcBorders>
            <w:shd w:val="clear" w:color="auto" w:fill="auto"/>
            <w:noWrap/>
            <w:vAlign w:val="bottom"/>
            <w:hideMark/>
          </w:tcPr>
          <w:p w14:paraId="029C4EE5"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29,0</w:t>
            </w:r>
          </w:p>
        </w:tc>
        <w:tc>
          <w:tcPr>
            <w:tcW w:w="747" w:type="dxa"/>
            <w:tcBorders>
              <w:top w:val="nil"/>
              <w:left w:val="nil"/>
              <w:bottom w:val="nil"/>
              <w:right w:val="nil"/>
            </w:tcBorders>
            <w:shd w:val="clear" w:color="auto" w:fill="auto"/>
            <w:noWrap/>
            <w:vAlign w:val="bottom"/>
            <w:hideMark/>
          </w:tcPr>
          <w:p w14:paraId="418B5E57"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4676A4DC" w14:textId="77777777" w:rsidTr="008A657E">
        <w:trPr>
          <w:trHeight w:val="315"/>
        </w:trPr>
        <w:tc>
          <w:tcPr>
            <w:tcW w:w="1388" w:type="dxa"/>
            <w:tcBorders>
              <w:top w:val="nil"/>
              <w:left w:val="nil"/>
              <w:bottom w:val="nil"/>
              <w:right w:val="nil"/>
            </w:tcBorders>
            <w:shd w:val="clear" w:color="auto" w:fill="auto"/>
            <w:noWrap/>
            <w:vAlign w:val="bottom"/>
            <w:hideMark/>
          </w:tcPr>
          <w:p w14:paraId="463E57C8"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Storbritannia</w:t>
            </w:r>
          </w:p>
        </w:tc>
        <w:tc>
          <w:tcPr>
            <w:tcW w:w="1720" w:type="dxa"/>
            <w:tcBorders>
              <w:top w:val="nil"/>
              <w:left w:val="nil"/>
              <w:bottom w:val="nil"/>
              <w:right w:val="nil"/>
            </w:tcBorders>
            <w:shd w:val="clear" w:color="auto" w:fill="auto"/>
            <w:noWrap/>
            <w:vAlign w:val="bottom"/>
            <w:hideMark/>
          </w:tcPr>
          <w:p w14:paraId="60BA6B2C"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1</w:t>
            </w:r>
            <w:r>
              <w:rPr>
                <w:rFonts w:ascii="Times New Roman" w:hAnsi="Times New Roman"/>
                <w:bCs/>
                <w:iCs/>
                <w:sz w:val="22"/>
                <w:szCs w:val="22"/>
              </w:rPr>
              <w:t>82          256</w:t>
            </w:r>
          </w:p>
        </w:tc>
        <w:tc>
          <w:tcPr>
            <w:tcW w:w="1086" w:type="dxa"/>
            <w:tcBorders>
              <w:top w:val="nil"/>
              <w:left w:val="nil"/>
              <w:bottom w:val="nil"/>
              <w:right w:val="nil"/>
            </w:tcBorders>
            <w:shd w:val="clear" w:color="auto" w:fill="auto"/>
            <w:noWrap/>
            <w:vAlign w:val="bottom"/>
            <w:hideMark/>
          </w:tcPr>
          <w:p w14:paraId="6AAE56D1"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71,</w:t>
            </w:r>
            <w:r>
              <w:rPr>
                <w:rFonts w:ascii="Times New Roman" w:hAnsi="Times New Roman"/>
                <w:color w:val="000000"/>
                <w:sz w:val="22"/>
                <w:szCs w:val="22"/>
              </w:rPr>
              <w:t>9</w:t>
            </w:r>
          </w:p>
        </w:tc>
        <w:tc>
          <w:tcPr>
            <w:tcW w:w="1445" w:type="dxa"/>
            <w:tcBorders>
              <w:top w:val="nil"/>
              <w:left w:val="nil"/>
              <w:bottom w:val="nil"/>
              <w:right w:val="nil"/>
            </w:tcBorders>
            <w:shd w:val="clear" w:color="auto" w:fill="auto"/>
            <w:noWrap/>
            <w:vAlign w:val="bottom"/>
            <w:hideMark/>
          </w:tcPr>
          <w:p w14:paraId="3D4575FB"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13,</w:t>
            </w:r>
            <w:r>
              <w:rPr>
                <w:rFonts w:ascii="Times New Roman" w:hAnsi="Times New Roman"/>
                <w:color w:val="000000"/>
                <w:sz w:val="22"/>
                <w:szCs w:val="22"/>
              </w:rPr>
              <w:t>6</w:t>
            </w:r>
          </w:p>
        </w:tc>
        <w:tc>
          <w:tcPr>
            <w:tcW w:w="1631" w:type="dxa"/>
            <w:tcBorders>
              <w:top w:val="nil"/>
              <w:left w:val="nil"/>
              <w:bottom w:val="nil"/>
              <w:right w:val="nil"/>
            </w:tcBorders>
            <w:shd w:val="clear" w:color="auto" w:fill="auto"/>
            <w:noWrap/>
            <w:vAlign w:val="bottom"/>
            <w:hideMark/>
          </w:tcPr>
          <w:p w14:paraId="2CCBE0CC"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8</w:t>
            </w:r>
            <w:r>
              <w:rPr>
                <w:rFonts w:ascii="Times New Roman" w:hAnsi="Times New Roman"/>
                <w:color w:val="000000"/>
                <w:sz w:val="22"/>
                <w:szCs w:val="22"/>
              </w:rPr>
              <w:t>5</w:t>
            </w:r>
            <w:r w:rsidRPr="002832AE">
              <w:rPr>
                <w:rFonts w:ascii="Times New Roman" w:hAnsi="Times New Roman"/>
                <w:color w:val="000000"/>
                <w:sz w:val="22"/>
                <w:szCs w:val="22"/>
              </w:rPr>
              <w:t>,</w:t>
            </w:r>
            <w:r>
              <w:rPr>
                <w:rFonts w:ascii="Times New Roman" w:hAnsi="Times New Roman"/>
                <w:color w:val="000000"/>
                <w:sz w:val="22"/>
                <w:szCs w:val="22"/>
              </w:rPr>
              <w:t>5</w:t>
            </w:r>
          </w:p>
        </w:tc>
        <w:tc>
          <w:tcPr>
            <w:tcW w:w="1651" w:type="dxa"/>
            <w:tcBorders>
              <w:top w:val="nil"/>
              <w:left w:val="nil"/>
              <w:bottom w:val="nil"/>
              <w:right w:val="nil"/>
            </w:tcBorders>
            <w:shd w:val="clear" w:color="auto" w:fill="auto"/>
            <w:noWrap/>
            <w:vAlign w:val="bottom"/>
            <w:hideMark/>
          </w:tcPr>
          <w:p w14:paraId="247BB7F2"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1</w:t>
            </w:r>
            <w:r>
              <w:rPr>
                <w:rFonts w:ascii="Times New Roman" w:hAnsi="Times New Roman"/>
                <w:color w:val="000000"/>
                <w:sz w:val="22"/>
                <w:szCs w:val="22"/>
              </w:rPr>
              <w:t>4</w:t>
            </w:r>
            <w:r w:rsidRPr="002832AE">
              <w:rPr>
                <w:rFonts w:ascii="Times New Roman" w:hAnsi="Times New Roman"/>
                <w:color w:val="000000"/>
                <w:sz w:val="22"/>
                <w:szCs w:val="22"/>
              </w:rPr>
              <w:t>,</w:t>
            </w:r>
            <w:r>
              <w:rPr>
                <w:rFonts w:ascii="Times New Roman" w:hAnsi="Times New Roman"/>
                <w:color w:val="000000"/>
                <w:sz w:val="22"/>
                <w:szCs w:val="22"/>
              </w:rPr>
              <w:t>5</w:t>
            </w:r>
          </w:p>
        </w:tc>
        <w:tc>
          <w:tcPr>
            <w:tcW w:w="747" w:type="dxa"/>
            <w:tcBorders>
              <w:top w:val="nil"/>
              <w:left w:val="nil"/>
              <w:bottom w:val="nil"/>
              <w:right w:val="nil"/>
            </w:tcBorders>
            <w:shd w:val="clear" w:color="auto" w:fill="auto"/>
            <w:noWrap/>
            <w:vAlign w:val="bottom"/>
            <w:hideMark/>
          </w:tcPr>
          <w:p w14:paraId="394C7D7B"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40BBC5DD" w14:textId="77777777" w:rsidTr="008A657E">
        <w:trPr>
          <w:trHeight w:val="315"/>
        </w:trPr>
        <w:tc>
          <w:tcPr>
            <w:tcW w:w="1388" w:type="dxa"/>
            <w:tcBorders>
              <w:top w:val="nil"/>
              <w:left w:val="nil"/>
              <w:bottom w:val="nil"/>
              <w:right w:val="nil"/>
            </w:tcBorders>
            <w:shd w:val="clear" w:color="auto" w:fill="auto"/>
            <w:noWrap/>
            <w:vAlign w:val="bottom"/>
            <w:hideMark/>
          </w:tcPr>
          <w:p w14:paraId="509F6935"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Spania</w:t>
            </w:r>
          </w:p>
        </w:tc>
        <w:tc>
          <w:tcPr>
            <w:tcW w:w="1720" w:type="dxa"/>
            <w:tcBorders>
              <w:top w:val="nil"/>
              <w:left w:val="nil"/>
              <w:bottom w:val="nil"/>
              <w:right w:val="nil"/>
            </w:tcBorders>
            <w:shd w:val="clear" w:color="auto" w:fill="auto"/>
            <w:noWrap/>
            <w:vAlign w:val="bottom"/>
            <w:hideMark/>
          </w:tcPr>
          <w:p w14:paraId="0E93F591"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1</w:t>
            </w:r>
            <w:r>
              <w:rPr>
                <w:rFonts w:ascii="Times New Roman" w:hAnsi="Times New Roman"/>
                <w:bCs/>
                <w:iCs/>
                <w:sz w:val="22"/>
                <w:szCs w:val="22"/>
              </w:rPr>
              <w:t>65          189</w:t>
            </w:r>
          </w:p>
        </w:tc>
        <w:tc>
          <w:tcPr>
            <w:tcW w:w="1086" w:type="dxa"/>
            <w:tcBorders>
              <w:top w:val="nil"/>
              <w:left w:val="nil"/>
              <w:bottom w:val="nil"/>
              <w:right w:val="nil"/>
            </w:tcBorders>
            <w:shd w:val="clear" w:color="auto" w:fill="auto"/>
            <w:noWrap/>
            <w:vAlign w:val="bottom"/>
            <w:hideMark/>
          </w:tcPr>
          <w:p w14:paraId="5D4070F3"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54,1</w:t>
            </w:r>
          </w:p>
        </w:tc>
        <w:tc>
          <w:tcPr>
            <w:tcW w:w="1445" w:type="dxa"/>
            <w:tcBorders>
              <w:top w:val="nil"/>
              <w:left w:val="nil"/>
              <w:bottom w:val="nil"/>
              <w:right w:val="nil"/>
            </w:tcBorders>
            <w:shd w:val="clear" w:color="auto" w:fill="auto"/>
            <w:noWrap/>
            <w:vAlign w:val="bottom"/>
            <w:hideMark/>
          </w:tcPr>
          <w:p w14:paraId="0C39F9BD"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20,0</w:t>
            </w:r>
          </w:p>
        </w:tc>
        <w:tc>
          <w:tcPr>
            <w:tcW w:w="1631" w:type="dxa"/>
            <w:tcBorders>
              <w:top w:val="nil"/>
              <w:left w:val="nil"/>
              <w:bottom w:val="nil"/>
              <w:right w:val="nil"/>
            </w:tcBorders>
            <w:shd w:val="clear" w:color="auto" w:fill="auto"/>
            <w:noWrap/>
            <w:vAlign w:val="bottom"/>
            <w:hideMark/>
          </w:tcPr>
          <w:p w14:paraId="272E8ADF"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74,</w:t>
            </w:r>
            <w:r>
              <w:rPr>
                <w:rFonts w:ascii="Times New Roman" w:hAnsi="Times New Roman"/>
                <w:color w:val="000000"/>
                <w:sz w:val="22"/>
                <w:szCs w:val="22"/>
              </w:rPr>
              <w:t>1</w:t>
            </w:r>
          </w:p>
        </w:tc>
        <w:tc>
          <w:tcPr>
            <w:tcW w:w="1651" w:type="dxa"/>
            <w:tcBorders>
              <w:top w:val="nil"/>
              <w:left w:val="nil"/>
              <w:bottom w:val="nil"/>
              <w:right w:val="nil"/>
            </w:tcBorders>
            <w:shd w:val="clear" w:color="auto" w:fill="auto"/>
            <w:noWrap/>
            <w:vAlign w:val="bottom"/>
            <w:hideMark/>
          </w:tcPr>
          <w:p w14:paraId="3F92643B"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25,</w:t>
            </w:r>
            <w:r>
              <w:rPr>
                <w:rFonts w:ascii="Times New Roman" w:hAnsi="Times New Roman"/>
                <w:color w:val="000000"/>
                <w:sz w:val="22"/>
                <w:szCs w:val="22"/>
              </w:rPr>
              <w:t>8</w:t>
            </w:r>
          </w:p>
        </w:tc>
        <w:tc>
          <w:tcPr>
            <w:tcW w:w="747" w:type="dxa"/>
            <w:tcBorders>
              <w:top w:val="nil"/>
              <w:left w:val="nil"/>
              <w:bottom w:val="nil"/>
              <w:right w:val="nil"/>
            </w:tcBorders>
            <w:shd w:val="clear" w:color="auto" w:fill="auto"/>
            <w:noWrap/>
            <w:vAlign w:val="bottom"/>
            <w:hideMark/>
          </w:tcPr>
          <w:p w14:paraId="6E1BEF64"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203FBD1A" w14:textId="77777777" w:rsidTr="008A657E">
        <w:trPr>
          <w:trHeight w:val="315"/>
        </w:trPr>
        <w:tc>
          <w:tcPr>
            <w:tcW w:w="1388" w:type="dxa"/>
            <w:tcBorders>
              <w:top w:val="nil"/>
              <w:left w:val="nil"/>
              <w:bottom w:val="nil"/>
              <w:right w:val="nil"/>
            </w:tcBorders>
            <w:shd w:val="clear" w:color="auto" w:fill="auto"/>
            <w:noWrap/>
            <w:vAlign w:val="bottom"/>
            <w:hideMark/>
          </w:tcPr>
          <w:p w14:paraId="7EA296E8"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Tsjekkia</w:t>
            </w:r>
          </w:p>
        </w:tc>
        <w:tc>
          <w:tcPr>
            <w:tcW w:w="1720" w:type="dxa"/>
            <w:tcBorders>
              <w:top w:val="nil"/>
              <w:left w:val="nil"/>
              <w:bottom w:val="nil"/>
              <w:right w:val="nil"/>
            </w:tcBorders>
            <w:shd w:val="clear" w:color="auto" w:fill="auto"/>
            <w:noWrap/>
            <w:vAlign w:val="bottom"/>
            <w:hideMark/>
          </w:tcPr>
          <w:p w14:paraId="3E844A80" w14:textId="77777777" w:rsidR="005B2B39" w:rsidRPr="002832AE" w:rsidRDefault="005B2B39" w:rsidP="008A657E">
            <w:pPr>
              <w:spacing w:after="0"/>
              <w:rPr>
                <w:rFonts w:ascii="Times New Roman" w:hAnsi="Times New Roman"/>
                <w:bCs/>
                <w:iCs/>
                <w:sz w:val="22"/>
                <w:szCs w:val="22"/>
              </w:rPr>
            </w:pPr>
            <w:r w:rsidRPr="002832AE">
              <w:rPr>
                <w:rFonts w:ascii="Times New Roman" w:hAnsi="Times New Roman"/>
                <w:bCs/>
                <w:iCs/>
                <w:sz w:val="22"/>
                <w:szCs w:val="22"/>
              </w:rPr>
              <w:t>7</w:t>
            </w:r>
            <w:r>
              <w:rPr>
                <w:rFonts w:ascii="Times New Roman" w:hAnsi="Times New Roman"/>
                <w:bCs/>
                <w:iCs/>
                <w:sz w:val="22"/>
                <w:szCs w:val="22"/>
              </w:rPr>
              <w:t>2            82</w:t>
            </w:r>
          </w:p>
        </w:tc>
        <w:tc>
          <w:tcPr>
            <w:tcW w:w="1086" w:type="dxa"/>
            <w:tcBorders>
              <w:top w:val="nil"/>
              <w:left w:val="nil"/>
              <w:bottom w:val="nil"/>
              <w:right w:val="nil"/>
            </w:tcBorders>
            <w:shd w:val="clear" w:color="auto" w:fill="auto"/>
            <w:noWrap/>
            <w:vAlign w:val="bottom"/>
            <w:hideMark/>
          </w:tcPr>
          <w:p w14:paraId="742AF307"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60,5</w:t>
            </w:r>
          </w:p>
        </w:tc>
        <w:tc>
          <w:tcPr>
            <w:tcW w:w="1445" w:type="dxa"/>
            <w:tcBorders>
              <w:top w:val="nil"/>
              <w:left w:val="nil"/>
              <w:bottom w:val="nil"/>
              <w:right w:val="nil"/>
            </w:tcBorders>
            <w:shd w:val="clear" w:color="auto" w:fill="auto"/>
            <w:noWrap/>
            <w:vAlign w:val="bottom"/>
            <w:hideMark/>
          </w:tcPr>
          <w:p w14:paraId="2EBA4E47"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13,</w:t>
            </w:r>
            <w:r>
              <w:rPr>
                <w:rFonts w:ascii="Times New Roman" w:hAnsi="Times New Roman"/>
                <w:color w:val="000000"/>
                <w:sz w:val="22"/>
                <w:szCs w:val="22"/>
              </w:rPr>
              <w:t>0</w:t>
            </w:r>
          </w:p>
        </w:tc>
        <w:tc>
          <w:tcPr>
            <w:tcW w:w="1631" w:type="dxa"/>
            <w:tcBorders>
              <w:top w:val="nil"/>
              <w:left w:val="nil"/>
              <w:bottom w:val="nil"/>
              <w:right w:val="nil"/>
            </w:tcBorders>
            <w:shd w:val="clear" w:color="auto" w:fill="auto"/>
            <w:noWrap/>
            <w:vAlign w:val="bottom"/>
            <w:hideMark/>
          </w:tcPr>
          <w:p w14:paraId="3C59C1A6"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7</w:t>
            </w:r>
            <w:r>
              <w:rPr>
                <w:rFonts w:ascii="Times New Roman" w:hAnsi="Times New Roman"/>
                <w:color w:val="000000"/>
                <w:sz w:val="22"/>
                <w:szCs w:val="22"/>
              </w:rPr>
              <w:t>3</w:t>
            </w:r>
            <w:r w:rsidRPr="002832AE">
              <w:rPr>
                <w:rFonts w:ascii="Times New Roman" w:hAnsi="Times New Roman"/>
                <w:color w:val="000000"/>
                <w:sz w:val="22"/>
                <w:szCs w:val="22"/>
              </w:rPr>
              <w:t>,</w:t>
            </w:r>
            <w:r>
              <w:rPr>
                <w:rFonts w:ascii="Times New Roman" w:hAnsi="Times New Roman"/>
                <w:color w:val="000000"/>
                <w:sz w:val="22"/>
                <w:szCs w:val="22"/>
              </w:rPr>
              <w:t>5</w:t>
            </w:r>
          </w:p>
        </w:tc>
        <w:tc>
          <w:tcPr>
            <w:tcW w:w="1651" w:type="dxa"/>
            <w:tcBorders>
              <w:top w:val="nil"/>
              <w:left w:val="nil"/>
              <w:bottom w:val="nil"/>
              <w:right w:val="nil"/>
            </w:tcBorders>
            <w:shd w:val="clear" w:color="auto" w:fill="auto"/>
            <w:noWrap/>
            <w:vAlign w:val="bottom"/>
            <w:hideMark/>
          </w:tcPr>
          <w:p w14:paraId="5A66DE8F"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6</w:t>
            </w:r>
            <w:r w:rsidRPr="002832AE">
              <w:rPr>
                <w:rFonts w:ascii="Times New Roman" w:hAnsi="Times New Roman"/>
                <w:color w:val="000000"/>
                <w:sz w:val="22"/>
                <w:szCs w:val="22"/>
              </w:rPr>
              <w:t>,</w:t>
            </w:r>
            <w:r>
              <w:rPr>
                <w:rFonts w:ascii="Times New Roman" w:hAnsi="Times New Roman"/>
                <w:color w:val="000000"/>
                <w:sz w:val="22"/>
                <w:szCs w:val="22"/>
              </w:rPr>
              <w:t>6</w:t>
            </w:r>
          </w:p>
        </w:tc>
        <w:tc>
          <w:tcPr>
            <w:tcW w:w="747" w:type="dxa"/>
            <w:tcBorders>
              <w:top w:val="nil"/>
              <w:left w:val="nil"/>
              <w:bottom w:val="nil"/>
              <w:right w:val="nil"/>
            </w:tcBorders>
            <w:shd w:val="clear" w:color="auto" w:fill="auto"/>
            <w:noWrap/>
            <w:vAlign w:val="bottom"/>
            <w:hideMark/>
          </w:tcPr>
          <w:p w14:paraId="37750B50"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r w:rsidR="005B2B39" w:rsidRPr="002832AE" w14:paraId="68DD139E" w14:textId="77777777" w:rsidTr="008A657E">
        <w:trPr>
          <w:trHeight w:val="315"/>
        </w:trPr>
        <w:tc>
          <w:tcPr>
            <w:tcW w:w="1388" w:type="dxa"/>
            <w:tcBorders>
              <w:top w:val="nil"/>
              <w:left w:val="nil"/>
              <w:bottom w:val="single" w:sz="4" w:space="0" w:color="auto"/>
              <w:right w:val="nil"/>
            </w:tcBorders>
            <w:shd w:val="clear" w:color="auto" w:fill="auto"/>
            <w:noWrap/>
            <w:vAlign w:val="bottom"/>
            <w:hideMark/>
          </w:tcPr>
          <w:p w14:paraId="48465B66" w14:textId="77777777" w:rsidR="005B2B39" w:rsidRPr="002832AE" w:rsidRDefault="005B2B39" w:rsidP="008A657E">
            <w:pPr>
              <w:spacing w:after="0"/>
              <w:rPr>
                <w:rFonts w:ascii="Times New Roman" w:hAnsi="Times New Roman"/>
                <w:sz w:val="22"/>
                <w:szCs w:val="22"/>
              </w:rPr>
            </w:pPr>
            <w:r w:rsidRPr="002832AE">
              <w:rPr>
                <w:rFonts w:ascii="Times New Roman" w:hAnsi="Times New Roman"/>
                <w:sz w:val="22"/>
                <w:szCs w:val="22"/>
              </w:rPr>
              <w:t>Polen</w:t>
            </w:r>
          </w:p>
        </w:tc>
        <w:tc>
          <w:tcPr>
            <w:tcW w:w="1720" w:type="dxa"/>
            <w:tcBorders>
              <w:top w:val="nil"/>
              <w:left w:val="nil"/>
              <w:bottom w:val="single" w:sz="4" w:space="0" w:color="auto"/>
              <w:right w:val="nil"/>
            </w:tcBorders>
            <w:shd w:val="clear" w:color="auto" w:fill="auto"/>
            <w:noWrap/>
            <w:vAlign w:val="bottom"/>
            <w:hideMark/>
          </w:tcPr>
          <w:p w14:paraId="4E2D206F" w14:textId="77777777" w:rsidR="005B2B39" w:rsidRPr="002832AE" w:rsidRDefault="005B2B39" w:rsidP="008A657E">
            <w:pPr>
              <w:spacing w:after="0"/>
              <w:rPr>
                <w:rFonts w:ascii="Times New Roman" w:hAnsi="Times New Roman"/>
                <w:bCs/>
                <w:iCs/>
                <w:sz w:val="22"/>
                <w:szCs w:val="22"/>
              </w:rPr>
            </w:pPr>
            <w:r>
              <w:rPr>
                <w:rFonts w:ascii="Times New Roman" w:hAnsi="Times New Roman"/>
                <w:bCs/>
                <w:iCs/>
                <w:sz w:val="22"/>
                <w:szCs w:val="22"/>
              </w:rPr>
              <w:t>54            68</w:t>
            </w:r>
          </w:p>
        </w:tc>
        <w:tc>
          <w:tcPr>
            <w:tcW w:w="1086" w:type="dxa"/>
            <w:tcBorders>
              <w:top w:val="nil"/>
              <w:left w:val="nil"/>
              <w:bottom w:val="single" w:sz="4" w:space="0" w:color="auto"/>
              <w:right w:val="nil"/>
            </w:tcBorders>
            <w:shd w:val="clear" w:color="auto" w:fill="auto"/>
            <w:noWrap/>
            <w:vAlign w:val="bottom"/>
            <w:hideMark/>
          </w:tcPr>
          <w:p w14:paraId="34422DFF" w14:textId="77777777" w:rsidR="005B2B39" w:rsidRPr="002832AE" w:rsidRDefault="005B2B39" w:rsidP="008A657E">
            <w:pPr>
              <w:spacing w:after="0"/>
              <w:jc w:val="center"/>
              <w:rPr>
                <w:rFonts w:ascii="Times New Roman" w:hAnsi="Times New Roman"/>
                <w:color w:val="000000"/>
                <w:sz w:val="22"/>
                <w:szCs w:val="22"/>
              </w:rPr>
            </w:pPr>
            <w:r>
              <w:rPr>
                <w:rFonts w:ascii="Times New Roman" w:hAnsi="Times New Roman"/>
                <w:color w:val="000000"/>
                <w:sz w:val="22"/>
                <w:szCs w:val="22"/>
              </w:rPr>
              <w:t>59,9</w:t>
            </w:r>
          </w:p>
        </w:tc>
        <w:tc>
          <w:tcPr>
            <w:tcW w:w="1445" w:type="dxa"/>
            <w:tcBorders>
              <w:top w:val="nil"/>
              <w:left w:val="nil"/>
              <w:bottom w:val="single" w:sz="4" w:space="0" w:color="auto"/>
              <w:right w:val="nil"/>
            </w:tcBorders>
            <w:shd w:val="clear" w:color="auto" w:fill="auto"/>
            <w:noWrap/>
            <w:vAlign w:val="bottom"/>
            <w:hideMark/>
          </w:tcPr>
          <w:p w14:paraId="69EB6A26"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2</w:t>
            </w:r>
            <w:r>
              <w:rPr>
                <w:rFonts w:ascii="Times New Roman" w:hAnsi="Times New Roman"/>
                <w:color w:val="000000"/>
                <w:sz w:val="22"/>
                <w:szCs w:val="22"/>
              </w:rPr>
              <w:t>3,5</w:t>
            </w:r>
          </w:p>
        </w:tc>
        <w:tc>
          <w:tcPr>
            <w:tcW w:w="1631" w:type="dxa"/>
            <w:tcBorders>
              <w:top w:val="nil"/>
              <w:left w:val="nil"/>
              <w:bottom w:val="single" w:sz="4" w:space="0" w:color="auto"/>
              <w:right w:val="nil"/>
            </w:tcBorders>
            <w:shd w:val="clear" w:color="auto" w:fill="auto"/>
            <w:noWrap/>
            <w:vAlign w:val="bottom"/>
            <w:hideMark/>
          </w:tcPr>
          <w:p w14:paraId="07541DD5"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8</w:t>
            </w:r>
            <w:r>
              <w:rPr>
                <w:rFonts w:ascii="Times New Roman" w:hAnsi="Times New Roman"/>
                <w:color w:val="000000"/>
                <w:sz w:val="22"/>
                <w:szCs w:val="22"/>
              </w:rPr>
              <w:t>3,4</w:t>
            </w:r>
          </w:p>
        </w:tc>
        <w:tc>
          <w:tcPr>
            <w:tcW w:w="1651" w:type="dxa"/>
            <w:tcBorders>
              <w:top w:val="nil"/>
              <w:left w:val="nil"/>
              <w:bottom w:val="single" w:sz="4" w:space="0" w:color="auto"/>
              <w:right w:val="nil"/>
            </w:tcBorders>
            <w:shd w:val="clear" w:color="auto" w:fill="auto"/>
            <w:noWrap/>
            <w:vAlign w:val="bottom"/>
            <w:hideMark/>
          </w:tcPr>
          <w:p w14:paraId="410928AE" w14:textId="77777777" w:rsidR="005B2B39" w:rsidRPr="002832AE" w:rsidRDefault="005B2B39" w:rsidP="008A657E">
            <w:pPr>
              <w:spacing w:after="0"/>
              <w:jc w:val="center"/>
              <w:rPr>
                <w:rFonts w:ascii="Times New Roman" w:hAnsi="Times New Roman"/>
                <w:color w:val="000000"/>
                <w:sz w:val="22"/>
                <w:szCs w:val="22"/>
              </w:rPr>
            </w:pPr>
            <w:r w:rsidRPr="002832AE">
              <w:rPr>
                <w:rFonts w:ascii="Times New Roman" w:hAnsi="Times New Roman"/>
                <w:color w:val="000000"/>
                <w:sz w:val="22"/>
                <w:szCs w:val="22"/>
              </w:rPr>
              <w:t>1</w:t>
            </w:r>
            <w:r>
              <w:rPr>
                <w:rFonts w:ascii="Times New Roman" w:hAnsi="Times New Roman"/>
                <w:color w:val="000000"/>
                <w:sz w:val="22"/>
                <w:szCs w:val="22"/>
              </w:rPr>
              <w:t>6</w:t>
            </w:r>
            <w:r w:rsidRPr="002832AE">
              <w:rPr>
                <w:rFonts w:ascii="Times New Roman" w:hAnsi="Times New Roman"/>
                <w:color w:val="000000"/>
                <w:sz w:val="22"/>
                <w:szCs w:val="22"/>
              </w:rPr>
              <w:t>,</w:t>
            </w:r>
            <w:r>
              <w:rPr>
                <w:rFonts w:ascii="Times New Roman" w:hAnsi="Times New Roman"/>
                <w:color w:val="000000"/>
                <w:sz w:val="22"/>
                <w:szCs w:val="22"/>
              </w:rPr>
              <w:t>6</w:t>
            </w:r>
          </w:p>
        </w:tc>
        <w:tc>
          <w:tcPr>
            <w:tcW w:w="747" w:type="dxa"/>
            <w:tcBorders>
              <w:top w:val="nil"/>
              <w:left w:val="nil"/>
              <w:bottom w:val="single" w:sz="4" w:space="0" w:color="auto"/>
              <w:right w:val="nil"/>
            </w:tcBorders>
            <w:shd w:val="clear" w:color="auto" w:fill="auto"/>
            <w:noWrap/>
            <w:vAlign w:val="bottom"/>
            <w:hideMark/>
          </w:tcPr>
          <w:p w14:paraId="176A6CD0" w14:textId="77777777" w:rsidR="005B2B39" w:rsidRPr="002832AE" w:rsidRDefault="005B2B39" w:rsidP="008A657E">
            <w:pPr>
              <w:spacing w:after="0"/>
              <w:jc w:val="center"/>
              <w:rPr>
                <w:rFonts w:ascii="Times New Roman" w:hAnsi="Times New Roman"/>
                <w:sz w:val="22"/>
                <w:szCs w:val="22"/>
              </w:rPr>
            </w:pPr>
            <w:r w:rsidRPr="002832AE">
              <w:rPr>
                <w:rFonts w:ascii="Times New Roman" w:hAnsi="Times New Roman"/>
                <w:sz w:val="22"/>
                <w:szCs w:val="22"/>
              </w:rPr>
              <w:t>100</w:t>
            </w:r>
          </w:p>
        </w:tc>
      </w:tr>
    </w:tbl>
    <w:p w14:paraId="27AEFEDE" w14:textId="35CA08F6" w:rsidR="00BF18CE" w:rsidRDefault="005B2B39" w:rsidP="008643D6">
      <w:pPr>
        <w:pStyle w:val="tabell-noter"/>
        <w:numPr>
          <w:ilvl w:val="0"/>
          <w:numId w:val="92"/>
        </w:numPr>
        <w:tabs>
          <w:tab w:val="clear" w:pos="284"/>
        </w:tabs>
        <w:spacing w:before="0" w:after="0"/>
        <w:ind w:left="284" w:hanging="142"/>
      </w:pPr>
      <w:r w:rsidRPr="00831607">
        <w:t xml:space="preserve">Omregning til norske kroner ved </w:t>
      </w:r>
      <w:r>
        <w:t>gjennomsnittlige</w:t>
      </w:r>
      <w:r w:rsidRPr="00831607">
        <w:t xml:space="preserve"> valutakurser</w:t>
      </w:r>
      <w:r w:rsidR="007F6CCB">
        <w:t>.</w:t>
      </w:r>
    </w:p>
    <w:p w14:paraId="21A0368D" w14:textId="22C68881" w:rsidR="005B2B39" w:rsidRDefault="005B2B39" w:rsidP="008643D6">
      <w:pPr>
        <w:pStyle w:val="tabell-noter"/>
        <w:numPr>
          <w:ilvl w:val="0"/>
          <w:numId w:val="92"/>
        </w:numPr>
        <w:tabs>
          <w:tab w:val="clear" w:pos="284"/>
        </w:tabs>
        <w:spacing w:before="0" w:after="0"/>
        <w:ind w:left="284" w:hanging="142"/>
      </w:pPr>
      <w:r w:rsidRPr="00831607">
        <w:t>Fordeling i prosent på ulike lønnselementer for hvert enkelt land</w:t>
      </w:r>
      <w:r w:rsidR="007F6CCB">
        <w:t>.</w:t>
      </w:r>
    </w:p>
    <w:p w14:paraId="1A598EB9" w14:textId="356F8D1D" w:rsidR="005B2B39" w:rsidRDefault="005B2B39" w:rsidP="008643D6">
      <w:pPr>
        <w:pStyle w:val="tabell-noter"/>
        <w:numPr>
          <w:ilvl w:val="0"/>
          <w:numId w:val="92"/>
        </w:numPr>
        <w:tabs>
          <w:tab w:val="clear" w:pos="284"/>
        </w:tabs>
        <w:spacing w:before="0" w:after="0"/>
        <w:ind w:left="284" w:hanging="142"/>
      </w:pPr>
      <w:r>
        <w:t>Fordeling av 2013-nivå</w:t>
      </w:r>
      <w:r w:rsidR="007F6CCB">
        <w:t>.</w:t>
      </w:r>
      <w:r>
        <w:t xml:space="preserve"> </w:t>
      </w:r>
    </w:p>
    <w:p w14:paraId="78C51E54" w14:textId="1385599F" w:rsidR="005B2B39" w:rsidRDefault="005B2B39" w:rsidP="008643D6">
      <w:pPr>
        <w:pStyle w:val="tabell-noter"/>
        <w:numPr>
          <w:ilvl w:val="0"/>
          <w:numId w:val="92"/>
        </w:numPr>
        <w:tabs>
          <w:tab w:val="clear" w:pos="284"/>
        </w:tabs>
        <w:spacing w:before="0" w:after="0"/>
        <w:ind w:left="284" w:hanging="142"/>
      </w:pPr>
      <w:r>
        <w:t>SSB. Fordelingen for Norge er basert på Arbeidskraftskostnadsundersøkelsen for 2012, da Norge mangler i materialet fra Conference Board</w:t>
      </w:r>
      <w:r w:rsidR="007F6CCB">
        <w:t>.</w:t>
      </w:r>
    </w:p>
    <w:p w14:paraId="3D297586" w14:textId="7DCBD232" w:rsidR="005B2B39" w:rsidRDefault="005B2B39" w:rsidP="008643D6">
      <w:pPr>
        <w:pStyle w:val="tabell-noter"/>
        <w:numPr>
          <w:ilvl w:val="0"/>
          <w:numId w:val="92"/>
        </w:numPr>
        <w:tabs>
          <w:tab w:val="clear" w:pos="284"/>
        </w:tabs>
        <w:spacing w:before="0" w:after="0"/>
        <w:ind w:left="284" w:hanging="142"/>
      </w:pPr>
      <w:r>
        <w:t>Kildematerialet fra Conference Board omregnet til norske kroner</w:t>
      </w:r>
      <w:r w:rsidR="007F6CCB">
        <w:t>.</w:t>
      </w:r>
    </w:p>
    <w:p w14:paraId="7A8E7D01" w14:textId="6625146B" w:rsidR="005B2B39" w:rsidRPr="001349BF" w:rsidRDefault="005B2B39" w:rsidP="008643D6">
      <w:pPr>
        <w:pStyle w:val="tabell-noter"/>
        <w:numPr>
          <w:ilvl w:val="0"/>
          <w:numId w:val="92"/>
        </w:numPr>
        <w:tabs>
          <w:tab w:val="clear" w:pos="284"/>
        </w:tabs>
        <w:spacing w:before="0" w:after="0"/>
        <w:ind w:left="284" w:hanging="142"/>
      </w:pPr>
      <w:r>
        <w:t xml:space="preserve">Estimat for 2015 er basert på </w:t>
      </w:r>
      <w:r w:rsidR="0022390E">
        <w:t>framskriving</w:t>
      </w:r>
      <w:r>
        <w:t xml:space="preserve"> av 2013 med veksttall fra Eurostat brukt ellers i kapitlet og valutakurser fra Norges Bank</w:t>
      </w:r>
      <w:r w:rsidR="007F6CCB">
        <w:t>.</w:t>
      </w:r>
    </w:p>
    <w:p w14:paraId="475E7BB6" w14:textId="77777777" w:rsidR="005B2B39" w:rsidRPr="00FE7FF2" w:rsidRDefault="005B2B39" w:rsidP="005B2B39">
      <w:pPr>
        <w:pStyle w:val="Kilde"/>
        <w:tabs>
          <w:tab w:val="left" w:pos="5415"/>
        </w:tabs>
        <w:spacing w:before="120"/>
        <w:rPr>
          <w:lang w:val="en-US"/>
        </w:rPr>
      </w:pPr>
      <w:r w:rsidRPr="00FE7FF2">
        <w:rPr>
          <w:lang w:val="en-US"/>
        </w:rPr>
        <w:t>Kilder: Conference Board, SSB,</w:t>
      </w:r>
      <w:r>
        <w:rPr>
          <w:lang w:val="en-US"/>
        </w:rPr>
        <w:t xml:space="preserve"> </w:t>
      </w:r>
      <w:r w:rsidRPr="00FE7FF2">
        <w:rPr>
          <w:lang w:val="en-US"/>
        </w:rPr>
        <w:t>Norges Bank</w:t>
      </w:r>
      <w:r w:rsidRPr="00FE7FF2">
        <w:rPr>
          <w:lang w:val="en-US"/>
        </w:rPr>
        <w:tab/>
      </w:r>
    </w:p>
    <w:p w14:paraId="3618CDA8" w14:textId="77777777" w:rsidR="00553CF9" w:rsidRPr="00571B5B" w:rsidRDefault="00553CF9" w:rsidP="00553CF9">
      <w:pPr>
        <w:rPr>
          <w:szCs w:val="24"/>
        </w:rPr>
      </w:pPr>
      <w:r w:rsidRPr="00571B5B">
        <w:rPr>
          <w:szCs w:val="24"/>
        </w:rPr>
        <w:t xml:space="preserve">Lønn for ikke-arbeidet tid består av sykefravær, ferie og annet betalt fravær. Dette er fordelt på antall timer. For resten av de indirekte personalkostnadene er arbeidsgiveravgifter, pensjons- og forsikringsordninger de klart største bidragsyterne. </w:t>
      </w:r>
    </w:p>
    <w:p w14:paraId="709669C4" w14:textId="77777777" w:rsidR="00553CF9" w:rsidRPr="00571B5B" w:rsidRDefault="00553CF9" w:rsidP="00553CF9">
      <w:pPr>
        <w:rPr>
          <w:szCs w:val="24"/>
        </w:rPr>
      </w:pPr>
      <w:r w:rsidRPr="00571B5B">
        <w:rPr>
          <w:szCs w:val="24"/>
        </w:rPr>
        <w:t xml:space="preserve">I tråd med globaliseringen kan variasjonen i innslaget av ulike kategorier av ansatte mellom land, ha stor betydning i sammenligninger av gjennomsnittlige lønnskostnader mellom land.  </w:t>
      </w:r>
    </w:p>
    <w:p w14:paraId="556465D5" w14:textId="77777777" w:rsidR="00553CF9" w:rsidRPr="00571B5B" w:rsidRDefault="00553CF9" w:rsidP="00553CF9">
      <w:pPr>
        <w:rPr>
          <w:szCs w:val="24"/>
        </w:rPr>
      </w:pPr>
      <w:r w:rsidRPr="00571B5B">
        <w:rPr>
          <w:szCs w:val="24"/>
        </w:rPr>
        <w:t>Endringer i internasjonale standarder for næringsklassifisering og oppsplitting av industrienheter, har ført til at enheter som tidligere ble klassifisert som industri, er blitt flyttet til næringsgrupper utenfor industri. Årsaken til dette kan også ha sammenheng med nye og reviderte internasjonale yrkesstandarder (ISCO) som er blitt innført mer spesifikt knyttet til arbeidets innhold, og som i praksis kan være klassifisert som egne enheter, knyttet til nye næringsgrupper.</w:t>
      </w:r>
    </w:p>
    <w:p w14:paraId="07A3904C" w14:textId="77777777" w:rsidR="00553CF9" w:rsidRPr="00571B5B" w:rsidRDefault="00553CF9" w:rsidP="00553CF9">
      <w:pPr>
        <w:rPr>
          <w:szCs w:val="24"/>
        </w:rPr>
      </w:pPr>
      <w:r w:rsidRPr="00571B5B">
        <w:rPr>
          <w:szCs w:val="24"/>
        </w:rPr>
        <w:t>Sammenstillingen for alle landene er knyttet til kildematerialet fra Conference Board i USA. For Norge er bare totale lønnskostnader tatt med, ikke oppsplittingen. Man har derfor estimert fordelingen for Norge på bakgrunn av Arbeidskrafts</w:t>
      </w:r>
      <w:r>
        <w:rPr>
          <w:szCs w:val="24"/>
        </w:rPr>
        <w:t>kostnads</w:t>
      </w:r>
      <w:r w:rsidRPr="00571B5B">
        <w:rPr>
          <w:szCs w:val="24"/>
        </w:rPr>
        <w:t xml:space="preserve">undersøkelsen i </w:t>
      </w:r>
      <w:r>
        <w:rPr>
          <w:szCs w:val="24"/>
        </w:rPr>
        <w:t>Statistisk sentralbyrå</w:t>
      </w:r>
      <w:r w:rsidRPr="00571B5B">
        <w:rPr>
          <w:szCs w:val="24"/>
        </w:rPr>
        <w:t xml:space="preserve"> for året 2012, med tilnærmet samme spesifisering av lønnskostnadene i industrien som for de øvrige landene.</w:t>
      </w:r>
    </w:p>
    <w:p w14:paraId="28E36703" w14:textId="77777777" w:rsidR="00553CF9" w:rsidRDefault="00553CF9" w:rsidP="00553CF9">
      <w:pPr>
        <w:spacing w:after="200" w:line="276" w:lineRule="auto"/>
        <w:rPr>
          <w:szCs w:val="24"/>
        </w:rPr>
      </w:pPr>
      <w:r w:rsidRPr="00571B5B">
        <w:rPr>
          <w:szCs w:val="24"/>
        </w:rPr>
        <w:t>Flere av lønnskomponentene kan være anslått på usikkert grunnlag fordi kvaliteten på datamaterialet kan variere mellom land.</w:t>
      </w:r>
    </w:p>
    <w:p w14:paraId="281CEAFF" w14:textId="77777777" w:rsidR="005B2B39" w:rsidRPr="00646534" w:rsidRDefault="005B2B39" w:rsidP="005B2B39">
      <w:pPr>
        <w:pStyle w:val="tittel-ramme"/>
        <w:pBdr>
          <w:top w:val="single" w:sz="4" w:space="1" w:color="auto"/>
          <w:left w:val="single" w:sz="4" w:space="4" w:color="auto"/>
          <w:bottom w:val="single" w:sz="4" w:space="1" w:color="auto"/>
          <w:right w:val="single" w:sz="4" w:space="4" w:color="auto"/>
        </w:pBdr>
      </w:pPr>
      <w:r w:rsidRPr="00646534">
        <w:t>Lønnsbegreper og lønnskomponenter i sammenlikningene</w:t>
      </w:r>
    </w:p>
    <w:p w14:paraId="787006C9" w14:textId="77777777" w:rsidR="005B2B39" w:rsidRPr="00BF2880" w:rsidRDefault="005B2B39" w:rsidP="005B2B39">
      <w:pPr>
        <w:pBdr>
          <w:top w:val="single" w:sz="4" w:space="1" w:color="auto"/>
          <w:left w:val="single" w:sz="4" w:space="4" w:color="auto"/>
          <w:bottom w:val="single" w:sz="4" w:space="1" w:color="auto"/>
          <w:right w:val="single" w:sz="4" w:space="4" w:color="auto"/>
        </w:pBdr>
        <w:rPr>
          <w:sz w:val="22"/>
          <w:szCs w:val="22"/>
        </w:rPr>
      </w:pPr>
      <w:r w:rsidRPr="00BF2880">
        <w:rPr>
          <w:sz w:val="22"/>
          <w:szCs w:val="22"/>
        </w:rPr>
        <w:t>Lønnsbegrepene som brukes av Conference Board faller ikke helt sammen med ILOs definisjon av totale lønnskostnader (se for øvrig boks 4.4). Basis for beregningene i tabell 4.4 er arbeidet tid, i dette tilfelle arbeidet time i ulike land. Lønn for ikke-arbeidet tid (feriepenger, sykefravær etc. betalt av bedriften) vil komme som påslag i forhold til arbeidet tid.</w:t>
      </w:r>
    </w:p>
    <w:p w14:paraId="7CC1382A" w14:textId="77777777" w:rsidR="005B2B39" w:rsidRPr="00BF2880" w:rsidRDefault="005B2B39" w:rsidP="005B2B39">
      <w:pPr>
        <w:pBdr>
          <w:top w:val="single" w:sz="4" w:space="1" w:color="auto"/>
          <w:left w:val="single" w:sz="4" w:space="4" w:color="auto"/>
          <w:bottom w:val="single" w:sz="4" w:space="1" w:color="auto"/>
          <w:right w:val="single" w:sz="4" w:space="4" w:color="auto"/>
        </w:pBdr>
        <w:rPr>
          <w:sz w:val="22"/>
          <w:szCs w:val="22"/>
        </w:rPr>
      </w:pPr>
      <w:r w:rsidRPr="00BF2880">
        <w:rPr>
          <w:sz w:val="22"/>
          <w:szCs w:val="22"/>
        </w:rPr>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 eks. kafeteria og helsetjenestekostnader ikke med i sammenligningen. Grunnen til dette er at det ikke finnes data over slike kostnader i alle landene, og at det derfor gir en bedre sammenlikning når man ser bort fra disse kostnadene. I de land hvor slike kostnader er tilgjengelig utgjør de utelatte kostnadene mindre enn 4 prosent av de totale lønnskostnadene. I noen land, særlig i Norden, kan de utelatte kostnadene være påbudt ved lov eller avtale (f. eks. bedriftshelsetjenesten i Norge) og påløper automatisk ved ansettelse. Slike kostnader kan i andre land være frivillige og/eller driftskostnader, ikke knyttet til lønn.</w:t>
      </w:r>
    </w:p>
    <w:p w14:paraId="1B9499DF" w14:textId="77777777" w:rsidR="005B2B39" w:rsidRPr="00BF2880" w:rsidRDefault="005B2B39" w:rsidP="005B2B39">
      <w:pPr>
        <w:pBdr>
          <w:top w:val="single" w:sz="4" w:space="1" w:color="auto"/>
          <w:left w:val="single" w:sz="4" w:space="4" w:color="auto"/>
          <w:bottom w:val="single" w:sz="4" w:space="1" w:color="auto"/>
          <w:right w:val="single" w:sz="4" w:space="4" w:color="auto"/>
        </w:pBdr>
        <w:rPr>
          <w:sz w:val="22"/>
          <w:szCs w:val="22"/>
        </w:rPr>
      </w:pPr>
      <w:r w:rsidRPr="00BF2880">
        <w:rPr>
          <w:sz w:val="22"/>
          <w:szCs w:val="22"/>
        </w:rPr>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 men ikke realiserte lønnskostnadselementer (”utsatt inntekt”).</w:t>
      </w:r>
    </w:p>
    <w:p w14:paraId="2EDFC82B" w14:textId="77777777" w:rsidR="005B2B39" w:rsidRPr="00BF2880" w:rsidRDefault="005B2B39" w:rsidP="005B2B39">
      <w:pPr>
        <w:pBdr>
          <w:top w:val="single" w:sz="4" w:space="1" w:color="auto"/>
          <w:left w:val="single" w:sz="4" w:space="4" w:color="auto"/>
          <w:bottom w:val="single" w:sz="4" w:space="1" w:color="auto"/>
          <w:right w:val="single" w:sz="4" w:space="4" w:color="auto"/>
        </w:pBdr>
        <w:rPr>
          <w:sz w:val="22"/>
          <w:szCs w:val="22"/>
        </w:rPr>
      </w:pPr>
      <w:r w:rsidRPr="00BF2880">
        <w:rPr>
          <w:sz w:val="22"/>
          <w:szCs w:val="22"/>
        </w:rPr>
        <w:t>For de fleste konkurrentlandene i tabellen har tyngdepunktet i aldersfordelingen beveget seg oppover. Dette innebærer sannsynlig en økt kostnadsmessig belastning på lønnskostnadene pr. time fra pensjonsordninger. Det finnes en rekke ordninger som er svært ulike mellom land. For eksempel i Italia og Storbritannia fungerer slike ordninger vanligvis som forsikringsordninger. I slike land vil slike kostnader være lettere å plassere regnskapsmessig og innrapporteres som lønnskostnad. For andre land kan fordelingene være noe mer usikre mellom lønn og andre kostnadskomponenter. I land med ordninger som mer er baserte på arbeidstakers innbetalinger, vil sannsynlig dette reflekteres i lønnsnivået i de respektive land.</w:t>
      </w:r>
    </w:p>
    <w:p w14:paraId="5A0EF063" w14:textId="77777777" w:rsidR="005B2B39" w:rsidRPr="007F6CCB" w:rsidRDefault="005B2B39" w:rsidP="005B2B39">
      <w:pPr>
        <w:pBdr>
          <w:top w:val="single" w:sz="4" w:space="1" w:color="auto"/>
          <w:left w:val="single" w:sz="4" w:space="4" w:color="auto"/>
          <w:bottom w:val="single" w:sz="4" w:space="1" w:color="auto"/>
          <w:right w:val="single" w:sz="4" w:space="4" w:color="auto"/>
        </w:pBdr>
        <w:rPr>
          <w:sz w:val="22"/>
          <w:szCs w:val="22"/>
        </w:rPr>
      </w:pPr>
      <w:r w:rsidRPr="00BF2880">
        <w:rPr>
          <w:sz w:val="22"/>
          <w:szCs w:val="22"/>
        </w:rPr>
        <w:t>Flere forhold taler for at nåværende pensjonskostnader bare delvis er med i tallene foran. Kildematerialet for slike kostnader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tilsyne i de statistiske sammenlikningstallene. Utvalget vil på bakgrunn av en standardisering av lønnskostnader, særlig innenfor EØS-området, ta slike forhold med ved sammenlikning av lønnsnivå mellom land når slike opplysninger foreligger.</w:t>
      </w:r>
    </w:p>
    <w:p w14:paraId="0A28ECD8" w14:textId="77777777" w:rsidR="005B2B39" w:rsidRPr="007F6CCB" w:rsidRDefault="005B2B39" w:rsidP="005B2B39">
      <w:pPr>
        <w:pBdr>
          <w:top w:val="single" w:sz="4" w:space="1" w:color="auto"/>
          <w:left w:val="single" w:sz="4" w:space="4" w:color="auto"/>
          <w:bottom w:val="single" w:sz="4" w:space="1" w:color="auto"/>
          <w:right w:val="single" w:sz="4" w:space="4" w:color="auto"/>
        </w:pBdr>
        <w:rPr>
          <w:sz w:val="22"/>
          <w:szCs w:val="22"/>
        </w:rPr>
      </w:pPr>
      <w:r w:rsidRPr="007F6CCB">
        <w:rPr>
          <w:sz w:val="22"/>
          <w:szCs w:val="22"/>
        </w:rPr>
        <w:t>Et annet viktig element er bonusutbetalinger. Dette skaper stadig større usikkerhet i sammenlikningen mellom land.</w:t>
      </w:r>
    </w:p>
    <w:p w14:paraId="547B0DE7" w14:textId="77777777" w:rsidR="005B2B39" w:rsidRPr="00646534" w:rsidRDefault="005B2B39" w:rsidP="005B2B39">
      <w:pPr>
        <w:pStyle w:val="tittel-ramme"/>
        <w:pBdr>
          <w:top w:val="single" w:sz="4" w:space="1" w:color="auto"/>
          <w:left w:val="single" w:sz="4" w:space="4" w:color="auto"/>
          <w:bottom w:val="single" w:sz="4" w:space="12" w:color="auto"/>
          <w:right w:val="single" w:sz="4" w:space="4" w:color="auto"/>
        </w:pBdr>
      </w:pPr>
      <w:r w:rsidRPr="00646534">
        <w:t xml:space="preserve">Sammenlikning av lønnskostnader </w:t>
      </w:r>
    </w:p>
    <w:p w14:paraId="0FD14A3C" w14:textId="67319480" w:rsidR="005B2B39" w:rsidRDefault="005B2B39" w:rsidP="005B2B39">
      <w:pPr>
        <w:pBdr>
          <w:top w:val="single" w:sz="4" w:space="1" w:color="auto"/>
          <w:left w:val="single" w:sz="4" w:space="4" w:color="auto"/>
          <w:bottom w:val="single" w:sz="4" w:space="12" w:color="auto"/>
          <w:right w:val="single" w:sz="4" w:space="4" w:color="auto"/>
        </w:pBdr>
      </w:pPr>
      <w:r w:rsidRPr="00646534">
        <w:t xml:space="preserve">Noen sentrale forhold knyttet til sammenlikninger av lønnskostnader mellom land, jf. bl.a. NOU </w:t>
      </w:r>
      <w:r w:rsidR="00BA71E1" w:rsidRPr="00646534">
        <w:t>2000:26, vedlegg</w:t>
      </w:r>
      <w:r w:rsidRPr="00646534">
        <w:t xml:space="preserve"> 6:</w:t>
      </w:r>
    </w:p>
    <w:p w14:paraId="6B19A82D" w14:textId="1A41ED79" w:rsidR="005B2B39" w:rsidRPr="00984412" w:rsidRDefault="005B2B39" w:rsidP="005B2B39">
      <w:pPr>
        <w:pBdr>
          <w:top w:val="single" w:sz="4" w:space="1" w:color="auto"/>
          <w:left w:val="single" w:sz="4" w:space="4" w:color="auto"/>
          <w:bottom w:val="single" w:sz="4" w:space="12" w:color="auto"/>
          <w:right w:val="single" w:sz="4" w:space="4" w:color="auto"/>
        </w:pBdr>
      </w:pPr>
      <w:r w:rsidRPr="00646534">
        <w:t>For kostnadssammenlikninger av arbeidskraft mellom land vil kostnader per arbeidet tid være det mest relevante begrepet. I kildematerialet fra Conference Board for lønnskostnadsnivå og –vekst for ansatte i industrien hos handelspartnerne er kostnadene i prinsippet målt i forhold til arbeidet tid. For noen land kan imidlertid kostnadene være målt i forhold til betalt tid. Som eksempel på betydningen av dette forhold viste summariske oppstillinger (NOU 2000:26) og beregninger basert på forskjellig arbeidstid pr. fulltidsårsverk i 1999 i ulike land i forhold til Norge at for eksempel Japan kunne ligge ca. 10 prosentpoeng høyere i kostnader pr. årsverk (jf. betalt tid) enn per arbeidet time. Motsatt ytterlighet var Tyskland med kort effektiv tid, hvor kostnadene per årsverk ble 10 prosent lavere enn per arbeidet time. Gjennomsnittlig vektede kostnader for alle landene var om</w:t>
      </w:r>
      <w:r w:rsidR="00BA71E1">
        <w:t xml:space="preserve"> </w:t>
      </w:r>
      <w:r w:rsidRPr="00646534">
        <w:t>lag de samme for betalt tid som for arbeidet tid.</w:t>
      </w:r>
    </w:p>
    <w:p w14:paraId="5255B205" w14:textId="77777777" w:rsidR="005B2B39" w:rsidRPr="0041372B" w:rsidRDefault="005B2B39" w:rsidP="005B2B39">
      <w:pPr>
        <w:pStyle w:val="Overskrift3"/>
      </w:pPr>
      <w:bookmarkStart w:id="238" w:name="_Toc411849489"/>
      <w:bookmarkStart w:id="239" w:name="_Toc443998992"/>
      <w:r w:rsidRPr="0041372B">
        <w:t>Elektrisitetspriser</w:t>
      </w:r>
      <w:bookmarkEnd w:id="238"/>
      <w:bookmarkEnd w:id="239"/>
    </w:p>
    <w:p w14:paraId="3C9B4468" w14:textId="77777777" w:rsidR="005B2B39" w:rsidRPr="0041372B" w:rsidRDefault="005B2B39" w:rsidP="005B2B39">
      <w:r w:rsidRPr="0041372B">
        <w:t xml:space="preserve">I tillegg til lønnskostnadene er kostnadene ved bruk av andre innsatsfaktorer og kapital viktige for industrien. Tabell </w:t>
      </w:r>
      <w:r>
        <w:t>4</w:t>
      </w:r>
      <w:r w:rsidRPr="0041372B">
        <w:t>.5 gir en oversikt over industriens priser på elektrisk kraft, som er av stor betydning for konkurranseevnen for deler av norsk industri. Kostnadene for elektrisitet er vesentlig lavere i Norge enn hos handelspartnerne. I 201</w:t>
      </w:r>
      <w:r>
        <w:t>4</w:t>
      </w:r>
      <w:r w:rsidRPr="0041372B">
        <w:t xml:space="preserve"> var gjennomsnittlig pris til industrien i Norge </w:t>
      </w:r>
      <w:r>
        <w:t>37</w:t>
      </w:r>
      <w:r w:rsidRPr="0041372B">
        <w:t xml:space="preserve"> prosent av gjennomsnittsprisen hos våre viktigste handelspartnere. </w:t>
      </w:r>
    </w:p>
    <w:p w14:paraId="2B9C1469" w14:textId="48FBC566" w:rsidR="005B2B39" w:rsidRDefault="005B2B39" w:rsidP="00465FA4">
      <w:pPr>
        <w:pStyle w:val="tabell-tittel"/>
      </w:pPr>
      <w:r w:rsidRPr="0041372B">
        <w:t>Industriens elektrisitetspriser</w:t>
      </w:r>
      <w:r>
        <w:t>. Ø</w:t>
      </w:r>
      <w:r w:rsidRPr="0041372B">
        <w:t>re per kWh</w:t>
      </w:r>
    </w:p>
    <w:p w14:paraId="1DC7D6B0" w14:textId="77777777" w:rsidR="005B2B39" w:rsidRDefault="005B2B39" w:rsidP="005B2B39">
      <w:r w:rsidRPr="00DD5383">
        <w:rPr>
          <w:noProof/>
        </w:rPr>
        <w:drawing>
          <wp:inline distT="0" distB="0" distL="0" distR="0" wp14:anchorId="6558520A" wp14:editId="08502845">
            <wp:extent cx="5126990" cy="13061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6990" cy="1306195"/>
                    </a:xfrm>
                    <a:prstGeom prst="rect">
                      <a:avLst/>
                    </a:prstGeom>
                    <a:noFill/>
                    <a:ln>
                      <a:noFill/>
                    </a:ln>
                  </pic:spPr>
                </pic:pic>
              </a:graphicData>
            </a:graphic>
          </wp:inline>
        </w:drawing>
      </w:r>
    </w:p>
    <w:p w14:paraId="1683EFE9" w14:textId="454706FF" w:rsidR="005B2B39" w:rsidRPr="0041372B" w:rsidRDefault="005B2B39" w:rsidP="008643D6">
      <w:pPr>
        <w:pStyle w:val="tabell-noter"/>
        <w:numPr>
          <w:ilvl w:val="0"/>
          <w:numId w:val="93"/>
        </w:numPr>
        <w:tabs>
          <w:tab w:val="clear" w:pos="284"/>
        </w:tabs>
        <w:spacing w:before="0" w:after="0"/>
        <w:ind w:left="142" w:hanging="142"/>
        <w:rPr>
          <w:rStyle w:val="KildeTegn"/>
        </w:rPr>
      </w:pPr>
      <w:r w:rsidRPr="0041372B">
        <w:rPr>
          <w:rStyle w:val="KildeTegn"/>
        </w:rPr>
        <w:t xml:space="preserve">Nivået på </w:t>
      </w:r>
      <w:r w:rsidRPr="0080482E">
        <w:t>prisen</w:t>
      </w:r>
      <w:r w:rsidRPr="0041372B">
        <w:rPr>
          <w:rStyle w:val="KildeTegn"/>
        </w:rPr>
        <w:t xml:space="preserve"> i Norge i prosent av nivået hos handelspartnerne.</w:t>
      </w:r>
    </w:p>
    <w:p w14:paraId="5E978C8B" w14:textId="77777777" w:rsidR="005B2B39" w:rsidRDefault="005B2B39" w:rsidP="004A712A">
      <w:pPr>
        <w:pStyle w:val="Kilde"/>
        <w:spacing w:before="120"/>
        <w:rPr>
          <w:rStyle w:val="KildeTegn"/>
        </w:rPr>
      </w:pPr>
      <w:r w:rsidRPr="0041372B">
        <w:rPr>
          <w:rStyle w:val="KildeTegn"/>
        </w:rPr>
        <w:t xml:space="preserve">Kilder: IEA og </w:t>
      </w:r>
      <w:r>
        <w:rPr>
          <w:rStyle w:val="KildeTegn"/>
        </w:rPr>
        <w:t>Statistisk sentralbyrå</w:t>
      </w:r>
      <w:r w:rsidRPr="0041372B">
        <w:rPr>
          <w:rStyle w:val="KildeTegn"/>
        </w:rPr>
        <w:t>.</w:t>
      </w:r>
      <w:r>
        <w:rPr>
          <w:rStyle w:val="KildeTegn"/>
        </w:rPr>
        <w:t xml:space="preserve"> </w:t>
      </w:r>
    </w:p>
    <w:p w14:paraId="76F79499" w14:textId="77777777" w:rsidR="005B2B39" w:rsidRPr="008411E4" w:rsidRDefault="005B2B39" w:rsidP="005B2B39">
      <w:pPr>
        <w:pStyle w:val="Overskrift2"/>
      </w:pPr>
      <w:bookmarkStart w:id="240" w:name="_Toc411849490"/>
      <w:bookmarkStart w:id="241" w:name="_Toc443998993"/>
      <w:r w:rsidRPr="00212995">
        <w:t>Produktivitetsutviklingen</w:t>
      </w:r>
      <w:bookmarkEnd w:id="240"/>
      <w:bookmarkEnd w:id="241"/>
    </w:p>
    <w:p w14:paraId="130CA533" w14:textId="77777777" w:rsidR="005B2B39" w:rsidRDefault="005B2B39" w:rsidP="005B2B39">
      <w:r w:rsidRPr="006D7AC3">
        <w:t>Høy produktivitetsvekst innenlands</w:t>
      </w:r>
      <w:r>
        <w:t>,</w:t>
      </w:r>
      <w:r w:rsidRPr="006D7AC3">
        <w:t xml:space="preserve"> </w:t>
      </w:r>
      <w:r>
        <w:t xml:space="preserve">sammen med eventuell bedring i forholdet mellom prisene på produktene til norsk industri og produktene til industrien hos handelspartnerne, </w:t>
      </w:r>
      <w:r w:rsidRPr="006D7AC3">
        <w:t xml:space="preserve">kan </w:t>
      </w:r>
      <w:r>
        <w:t>legge grunnlag for god konkurranseevne.</w:t>
      </w:r>
      <w:r w:rsidRPr="006D7AC3">
        <w:t xml:space="preserve">. </w:t>
      </w:r>
      <w:r>
        <w:t xml:space="preserve">Produktivitetsvekst kan følge av økt kapital per arbeidstaker, teknologiske framskritt og organisatoriske forbedringer som gjør at man får mer varer og tjenester ut av samme innsats av arbeidskraft. </w:t>
      </w:r>
    </w:p>
    <w:p w14:paraId="672A537E" w14:textId="77777777" w:rsidR="005B2B39" w:rsidRPr="005B3DEF" w:rsidRDefault="005B2B39" w:rsidP="005B2B39">
      <w:pPr>
        <w:pStyle w:val="Overskrift3"/>
      </w:pPr>
      <w:bookmarkStart w:id="242" w:name="_Toc411849491"/>
      <w:bookmarkStart w:id="243" w:name="_Toc443998994"/>
      <w:r w:rsidRPr="005B3DEF">
        <w:t>Utviklingen i produktiviteten målt ved bruttoprodukt per timeverk</w:t>
      </w:r>
      <w:bookmarkEnd w:id="242"/>
      <w:bookmarkEnd w:id="243"/>
    </w:p>
    <w:p w14:paraId="5DD1EAEE" w14:textId="40A875E1" w:rsidR="005B2B39" w:rsidRDefault="005B2B39" w:rsidP="005B2B39">
      <w:r w:rsidRPr="00173FD9">
        <w:t xml:space="preserve">Ifølge foreløpige nasjonalregnskapstall </w:t>
      </w:r>
      <w:r>
        <w:t>falt</w:t>
      </w:r>
      <w:r w:rsidRPr="00173FD9">
        <w:t xml:space="preserve"> produktivitet</w:t>
      </w:r>
      <w:r>
        <w:t>en</w:t>
      </w:r>
      <w:r w:rsidRPr="00173FD9">
        <w:t xml:space="preserve"> i norsk industri, målt ved bruttoprodukt per timeverk, </w:t>
      </w:r>
      <w:r>
        <w:t>med 0,6 prosent i fjor, etter å ha økt med i gjennomsnitt 3 p</w:t>
      </w:r>
      <w:r w:rsidR="007F6CCB">
        <w:t xml:space="preserve">rosent de to foregående årene. </w:t>
      </w:r>
      <w:r>
        <w:t>Til sammenlikning var gjennomsnittlig produktivitetsvekst i peri</w:t>
      </w:r>
      <w:r w:rsidR="007F6CCB">
        <w:t xml:space="preserve">oden 2005-2014 på 1,5 prosent. </w:t>
      </w:r>
      <w:r w:rsidRPr="00107A2E">
        <w:t>Figur 4.</w:t>
      </w:r>
      <w:r>
        <w:t>7</w:t>
      </w:r>
      <w:r w:rsidRPr="00107A2E">
        <w:t xml:space="preserve"> viser utviklingen i relativ produktivitet mellom Norge og handelspartnerne for perioden 200</w:t>
      </w:r>
      <w:r>
        <w:t>5</w:t>
      </w:r>
      <w:r w:rsidRPr="00107A2E">
        <w:t>-201</w:t>
      </w:r>
      <w:r>
        <w:t>4</w:t>
      </w:r>
      <w:r w:rsidRPr="00107A2E">
        <w:t xml:space="preserve">. Den relative produktiviteten mellom Norge og handelspartnerne økte kraftig i 2009. Denne økningen må trolig i noen grad ses i sammenheng med ulik næringsstruktur, og at Norge ble mindre rammet av finanskrisen enn de fleste av våre handelspartnere. I 2010 </w:t>
      </w:r>
      <w:r>
        <w:t xml:space="preserve">og 2011 </w:t>
      </w:r>
      <w:r w:rsidRPr="00107A2E">
        <w:t>falt den relative produktiviteten tilbake igjen, noe som i stor grad må ses i sammenheng med kraftig vekst i bruttoproduktet i Sverige og Tyskland.</w:t>
      </w:r>
      <w:r>
        <w:t xml:space="preserve"> Siden 2012 har den relative produktiviteten tatt seg opp. Produktivitetsveksten i norsk industri i perioden 2005-2014 var på 1,5 prosent, 0,7 </w:t>
      </w:r>
      <w:r w:rsidR="0022390E">
        <w:t>prosentpoeng</w:t>
      </w:r>
      <w:r>
        <w:t xml:space="preserve"> lavere enn et vektet snitt av handelspartnerne. </w:t>
      </w:r>
    </w:p>
    <w:p w14:paraId="592E845A" w14:textId="77777777" w:rsidR="005B2B39" w:rsidRDefault="005B2B39" w:rsidP="005B2B39"/>
    <w:p w14:paraId="68984D01" w14:textId="77777777" w:rsidR="005B2B39" w:rsidRDefault="005B2B39" w:rsidP="005B2B39">
      <w:pPr>
        <w:pStyle w:val="figur-tittel"/>
        <w:numPr>
          <w:ilvl w:val="0"/>
          <w:numId w:val="0"/>
        </w:numPr>
      </w:pPr>
      <w:r>
        <w:rPr>
          <w:noProof/>
        </w:rPr>
        <w:drawing>
          <wp:inline distT="0" distB="0" distL="0" distR="0" wp14:anchorId="0625A25B" wp14:editId="6CD234E1">
            <wp:extent cx="2657636" cy="2541822"/>
            <wp:effectExtent l="0" t="0" r="0" b="0"/>
            <wp:docPr id="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0">
                      <a:extLst>
                        <a:ext uri="{28A0092B-C50C-407E-A947-70E740481C1C}">
                          <a14:useLocalDpi xmlns:a14="http://schemas.microsoft.com/office/drawing/2010/main" val="0"/>
                        </a:ext>
                      </a:extLst>
                    </a:blip>
                    <a:stretch>
                      <a:fillRect/>
                    </a:stretch>
                  </pic:blipFill>
                  <pic:spPr>
                    <a:xfrm>
                      <a:off x="0" y="0"/>
                      <a:ext cx="2657636" cy="2541822"/>
                    </a:xfrm>
                    <a:prstGeom prst="rect">
                      <a:avLst/>
                    </a:prstGeom>
                  </pic:spPr>
                </pic:pic>
              </a:graphicData>
            </a:graphic>
          </wp:inline>
        </w:drawing>
      </w:r>
    </w:p>
    <w:p w14:paraId="35CF172D" w14:textId="0ACE3C76" w:rsidR="005B2B39" w:rsidRPr="002511D0" w:rsidRDefault="005B2B39" w:rsidP="00526511">
      <w:pPr>
        <w:pStyle w:val="figur-tittel"/>
        <w:spacing w:after="60"/>
      </w:pPr>
      <w:r>
        <w:t>R</w:t>
      </w:r>
      <w:r w:rsidRPr="002511D0">
        <w:t>elativ produktivitet i industrien målt ved bruttoprodukt per timeverk i faste priser. Indeks 200</w:t>
      </w:r>
      <w:r>
        <w:t>4</w:t>
      </w:r>
      <w:r w:rsidRPr="002511D0">
        <w:t xml:space="preserve"> = 100.  </w:t>
      </w:r>
    </w:p>
    <w:p w14:paraId="64B8DDD5" w14:textId="77777777" w:rsidR="005B2B39" w:rsidRDefault="005B2B39" w:rsidP="005B2B39">
      <w:pPr>
        <w:pStyle w:val="Kilde"/>
      </w:pPr>
      <w:r w:rsidRPr="004C3A76">
        <w:t xml:space="preserve">Kilder: OECD og </w:t>
      </w:r>
      <w:r>
        <w:t>Statistisk sentralbyrå.</w:t>
      </w:r>
    </w:p>
    <w:p w14:paraId="13020ABA" w14:textId="77777777" w:rsidR="005B2B39" w:rsidRDefault="005B2B39" w:rsidP="005B2B39">
      <w:r w:rsidRPr="001479E3">
        <w:t>Dersom en ser på utviklingen i bruttoprodukt per timeverk i løpende priser regnet i felles</w:t>
      </w:r>
      <w:r w:rsidRPr="00B70958">
        <w:t xml:space="preserve"> valuta, </w:t>
      </w:r>
      <w:r>
        <w:t>har</w:t>
      </w:r>
      <w:r w:rsidRPr="00B70958">
        <w:t xml:space="preserve"> utviklingen </w:t>
      </w:r>
      <w:r>
        <w:t>for</w:t>
      </w:r>
      <w:r w:rsidRPr="00B70958">
        <w:t xml:space="preserve"> norsk industri </w:t>
      </w:r>
      <w:r>
        <w:t xml:space="preserve">vært gunstigere enn når man ser på utviklingen i faste priser, </w:t>
      </w:r>
      <w:r w:rsidRPr="00B70958">
        <w:t xml:space="preserve">jf. figur </w:t>
      </w:r>
      <w:r>
        <w:t>4.8</w:t>
      </w:r>
      <w:r w:rsidRPr="00B70958">
        <w:t>. Dette gjenspeiler</w:t>
      </w:r>
      <w:r w:rsidRPr="001E76FB">
        <w:t xml:space="preserve"> sterk</w:t>
      </w:r>
      <w:r>
        <w:t>ere</w:t>
      </w:r>
      <w:r w:rsidRPr="001E76FB">
        <w:t xml:space="preserve"> prisvekst på norske industriprodukter</w:t>
      </w:r>
      <w:r>
        <w:t xml:space="preserve"> enn på produktene til handelspartnerne i denne perioden. Det knytter seg imidlertid generelt usikkerhet rundt dekomponeringen av verditall på volum og pris.</w:t>
      </w:r>
    </w:p>
    <w:p w14:paraId="284438AF" w14:textId="77777777" w:rsidR="005B2B39" w:rsidRDefault="005B2B39" w:rsidP="005B2B39"/>
    <w:p w14:paraId="594FDBE9" w14:textId="77777777" w:rsidR="005B2B39" w:rsidRDefault="005B2B39" w:rsidP="005B2B39">
      <w:r>
        <w:rPr>
          <w:noProof/>
        </w:rPr>
        <w:drawing>
          <wp:inline distT="0" distB="0" distL="0" distR="0" wp14:anchorId="574381F0" wp14:editId="634D9D97">
            <wp:extent cx="2657461" cy="2566035"/>
            <wp:effectExtent l="0" t="0" r="0" b="5715"/>
            <wp:docPr id="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1">
                      <a:extLst>
                        <a:ext uri="{28A0092B-C50C-407E-A947-70E740481C1C}">
                          <a14:useLocalDpi xmlns:a14="http://schemas.microsoft.com/office/drawing/2010/main" val="0"/>
                        </a:ext>
                      </a:extLst>
                    </a:blip>
                    <a:stretch>
                      <a:fillRect/>
                    </a:stretch>
                  </pic:blipFill>
                  <pic:spPr>
                    <a:xfrm>
                      <a:off x="0" y="0"/>
                      <a:ext cx="2674566" cy="2582552"/>
                    </a:xfrm>
                    <a:prstGeom prst="rect">
                      <a:avLst/>
                    </a:prstGeom>
                  </pic:spPr>
                </pic:pic>
              </a:graphicData>
            </a:graphic>
          </wp:inline>
        </w:drawing>
      </w:r>
    </w:p>
    <w:p w14:paraId="0FD0613C" w14:textId="2BA1DDDE" w:rsidR="005B2B39" w:rsidRPr="002511D0" w:rsidRDefault="005B2B39" w:rsidP="00DB239B">
      <w:pPr>
        <w:pStyle w:val="figur-tittel"/>
        <w:spacing w:after="60"/>
      </w:pPr>
      <w:r>
        <w:t>B</w:t>
      </w:r>
      <w:r w:rsidRPr="002511D0">
        <w:t>ruttoprodukt per timeverk i norsk industri i forhold til bruttoprodukt per sysselsatt i industrien hos handelspartnerne. Faste priser og løpende priser i felles valuta. Indeks 200</w:t>
      </w:r>
      <w:r>
        <w:t>4</w:t>
      </w:r>
      <w:r w:rsidRPr="002511D0">
        <w:t xml:space="preserve"> = 100.</w:t>
      </w:r>
    </w:p>
    <w:p w14:paraId="482EEF9F" w14:textId="77777777" w:rsidR="005B2B39" w:rsidRDefault="005B2B39" w:rsidP="005B2B39">
      <w:pPr>
        <w:pStyle w:val="Kilde"/>
      </w:pPr>
      <w:r w:rsidRPr="004C3A76">
        <w:t xml:space="preserve">Kilder: OECD og </w:t>
      </w:r>
      <w:r>
        <w:t>Statistisk sentralbyrå</w:t>
      </w:r>
    </w:p>
    <w:p w14:paraId="0DC4C1DF" w14:textId="51A5F008" w:rsidR="005B2B39" w:rsidRPr="00E64469" w:rsidRDefault="005B2B39" w:rsidP="005B2B39">
      <w:pPr>
        <w:rPr>
          <w:color w:val="FF0000"/>
        </w:rPr>
      </w:pPr>
      <w:r>
        <w:t>Figur 4.9 viser utviklingen i bytteforholdet for Norge. Etter å ha styrket seg mye i perioden 2003-2006</w:t>
      </w:r>
      <w:r w:rsidR="007F6CCB">
        <w:t xml:space="preserve"> </w:t>
      </w:r>
      <w:r>
        <w:t xml:space="preserve">gikk bytteforholdet for tradisjonelle varer noe tilbake igjen i perioden 2007-2009. Bytteforholdet bedret seg igjen i 2010 og 2011, men har de siste årene samlet sett gått litt tilbake igjen. I fjor svekket bytteforholdet for tradisjonelle varer seg med 2 prosent. </w:t>
      </w:r>
    </w:p>
    <w:p w14:paraId="504E369E" w14:textId="77777777" w:rsidR="005B2B39" w:rsidRDefault="005B2B39" w:rsidP="005B2B39">
      <w:pPr>
        <w:pStyle w:val="figur-tittel"/>
        <w:numPr>
          <w:ilvl w:val="0"/>
          <w:numId w:val="0"/>
        </w:numPr>
      </w:pPr>
      <w:r>
        <w:rPr>
          <w:noProof/>
        </w:rPr>
        <w:drawing>
          <wp:inline distT="0" distB="0" distL="0" distR="0" wp14:anchorId="58686209" wp14:editId="3785D8F3">
            <wp:extent cx="2694209" cy="2566204"/>
            <wp:effectExtent l="0" t="0" r="0" b="0"/>
            <wp:docPr id="1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52">
                      <a:extLst>
                        <a:ext uri="{28A0092B-C50C-407E-A947-70E740481C1C}">
                          <a14:useLocalDpi xmlns:a14="http://schemas.microsoft.com/office/drawing/2010/main" val="0"/>
                        </a:ext>
                      </a:extLst>
                    </a:blip>
                    <a:stretch>
                      <a:fillRect/>
                    </a:stretch>
                  </pic:blipFill>
                  <pic:spPr>
                    <a:xfrm>
                      <a:off x="0" y="0"/>
                      <a:ext cx="2694209" cy="2566204"/>
                    </a:xfrm>
                    <a:prstGeom prst="rect">
                      <a:avLst/>
                    </a:prstGeom>
                  </pic:spPr>
                </pic:pic>
              </a:graphicData>
            </a:graphic>
          </wp:inline>
        </w:drawing>
      </w:r>
    </w:p>
    <w:p w14:paraId="6392247D" w14:textId="623C3281" w:rsidR="005B2B39" w:rsidRPr="002511D0" w:rsidRDefault="005B2B39" w:rsidP="00534ECA">
      <w:pPr>
        <w:pStyle w:val="figur-tittel"/>
        <w:spacing w:after="60"/>
      </w:pPr>
      <w:r>
        <w:t>B</w:t>
      </w:r>
      <w:r w:rsidRPr="002511D0">
        <w:t>ytteforhold for Norge. Indeks 200</w:t>
      </w:r>
      <w:r>
        <w:t>0</w:t>
      </w:r>
      <w:r w:rsidRPr="002511D0">
        <w:t xml:space="preserve"> = 100</w:t>
      </w:r>
    </w:p>
    <w:p w14:paraId="788EA81F" w14:textId="77777777" w:rsidR="005B2B39" w:rsidRDefault="005B2B39" w:rsidP="005B2B39">
      <w:pPr>
        <w:pStyle w:val="Kilde"/>
      </w:pPr>
      <w:r w:rsidRPr="004702FA">
        <w:t xml:space="preserve">Kilde: </w:t>
      </w:r>
      <w:r>
        <w:t>Statistisk sentralbyrå</w:t>
      </w:r>
    </w:p>
    <w:p w14:paraId="616B7BD6" w14:textId="77777777" w:rsidR="005B2B39" w:rsidRPr="00F54BF8" w:rsidRDefault="005B2B39" w:rsidP="005B2B39">
      <w:r>
        <w:t xml:space="preserve">Man skal være oppmerksom på at ulik produktivitetsutvikling kan ha sammenheng med ulik industristruktur mellom land. </w:t>
      </w:r>
      <w:r w:rsidRPr="00842B69">
        <w:t xml:space="preserve">Analyser av produktivitetsutviklingen i industrien i Norge og Sverige på et mer disaggregert nivå tyder på </w:t>
      </w:r>
      <w:r>
        <w:t xml:space="preserve">at </w:t>
      </w:r>
      <w:r w:rsidRPr="00842B69">
        <w:t xml:space="preserve">dette kan være en viktig </w:t>
      </w:r>
      <w:r>
        <w:t>forklarings</w:t>
      </w:r>
      <w:r w:rsidRPr="00842B69">
        <w:t xml:space="preserve">faktor </w:t>
      </w:r>
      <w:r>
        <w:t>i forhold til den relative utviklingen mellom enkeltland</w:t>
      </w:r>
      <w:r w:rsidRPr="00842B69">
        <w:t xml:space="preserve">, jf. vedlegg 6 i Beregningsutvalgets </w:t>
      </w:r>
      <w:r w:rsidRPr="00F54BF8">
        <w:t>rapport NOU 2001:17.</w:t>
      </w:r>
    </w:p>
    <w:p w14:paraId="737AB6AD" w14:textId="30411DB5" w:rsidR="005B2B39" w:rsidRPr="00F90866" w:rsidRDefault="005B2B39" w:rsidP="005B2B39">
      <w:pPr>
        <w:rPr>
          <w:color w:val="FF0000"/>
        </w:rPr>
      </w:pPr>
      <w:r w:rsidRPr="00F54BF8">
        <w:t xml:space="preserve">Ifølge foreløpige nasjonalregnskapstall falt sysselsettingen </w:t>
      </w:r>
      <w:r w:rsidR="007F6CCB">
        <w:t xml:space="preserve">i norsk industri </w:t>
      </w:r>
      <w:r w:rsidRPr="00F54BF8">
        <w:t>med 2,1 prosent i fjor, etter å ha økt i perioden 2012-2014 med rundt 0,9 prosent i gjennomsnitt per år. I perioden 2005-2014 økte sysselsettingen i norsk industri med i gjennomsnitt 0,4 prosent per år, mens</w:t>
      </w:r>
      <w:r>
        <w:t xml:space="preserve"> sysselsettingen i industrien hos et vektet snitt av våre handelspartner</w:t>
      </w:r>
      <w:r w:rsidR="007F6CCB">
        <w:t>e falt med 1,2 prosent per år.</w:t>
      </w:r>
    </w:p>
    <w:p w14:paraId="45BF074E" w14:textId="5279FC2F" w:rsidR="005B2B39" w:rsidRDefault="005B2B39" w:rsidP="00FB685D">
      <w:pPr>
        <w:pStyle w:val="tabell-tittel"/>
      </w:pPr>
      <w:r>
        <w:t>Industrien. Produktivitet (målt ved bruttoprodukt per timeverk) og sysselsetting. Prosentvis vekst</w:t>
      </w:r>
    </w:p>
    <w:p w14:paraId="4C8809EF" w14:textId="77777777" w:rsidR="005B2B39" w:rsidRDefault="005B2B39" w:rsidP="005B2B39">
      <w:r>
        <w:rPr>
          <w:noProof/>
        </w:rPr>
        <w:drawing>
          <wp:inline distT="0" distB="0" distL="0" distR="0" wp14:anchorId="24E0A86A" wp14:editId="59A99E95">
            <wp:extent cx="5760720" cy="18211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821180"/>
                    </a:xfrm>
                    <a:prstGeom prst="rect">
                      <a:avLst/>
                    </a:prstGeom>
                    <a:noFill/>
                  </pic:spPr>
                </pic:pic>
              </a:graphicData>
            </a:graphic>
          </wp:inline>
        </w:drawing>
      </w:r>
    </w:p>
    <w:p w14:paraId="74A05A9A" w14:textId="77777777" w:rsidR="005B2B39" w:rsidRDefault="005B2B39" w:rsidP="005B2B39">
      <w:pPr>
        <w:pStyle w:val="Kilde"/>
      </w:pPr>
      <w:r w:rsidRPr="004C3A76">
        <w:t xml:space="preserve">Kilder: </w:t>
      </w:r>
      <w:r>
        <w:t>Statistisk sentralbyrå</w:t>
      </w:r>
      <w:r w:rsidRPr="004C3A76">
        <w:t>, OECD og Beregningsutvalget.</w:t>
      </w:r>
    </w:p>
    <w:p w14:paraId="035FD8D3" w14:textId="77777777" w:rsidR="00FB685D" w:rsidRDefault="005B2B39" w:rsidP="00FB685D">
      <w:pPr>
        <w:spacing w:after="0"/>
      </w:pPr>
      <w:r>
        <w:t xml:space="preserve">Dersom en ser på hele økonomien var produktivitetsveksten i Norge i perioden 2005-2014 på 1 prosent, dvs. noe høyere enn et vektet gjennomsnitt av våre handelspartnere, jf. tabell 4.7. </w:t>
      </w:r>
      <w:r w:rsidRPr="00F54BF8">
        <w:t xml:space="preserve">Ifølge foreløpige nasjonalregnskapstall økte produktiviteten med 0,2 prosent i fjor. </w:t>
      </w:r>
    </w:p>
    <w:p w14:paraId="46C0CF10" w14:textId="4F42D4B4" w:rsidR="005B2B39" w:rsidRDefault="005B2B39" w:rsidP="004A712A">
      <w:pPr>
        <w:pStyle w:val="tabell-tittel"/>
      </w:pPr>
      <w:r>
        <w:t>Hele økonomien. Produktivitet målt ved bruttoprodukt per timeverk. Prosentvis vekst</w:t>
      </w:r>
    </w:p>
    <w:p w14:paraId="6DD4823C" w14:textId="77777777" w:rsidR="005B2B39" w:rsidRDefault="005B2B39" w:rsidP="005B2B39">
      <w:r>
        <w:rPr>
          <w:noProof/>
        </w:rPr>
        <w:drawing>
          <wp:inline distT="0" distB="0" distL="0" distR="0" wp14:anchorId="5B359D2F" wp14:editId="32DBF2DC">
            <wp:extent cx="5760720" cy="8305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pic:spPr>
                </pic:pic>
              </a:graphicData>
            </a:graphic>
          </wp:inline>
        </w:drawing>
      </w:r>
    </w:p>
    <w:p w14:paraId="0C952772" w14:textId="77777777" w:rsidR="005B2B39" w:rsidRDefault="005B2B39" w:rsidP="005B2B39">
      <w:pPr>
        <w:pStyle w:val="Kilde"/>
      </w:pPr>
      <w:r w:rsidRPr="004C3A76">
        <w:t xml:space="preserve">Kilder: </w:t>
      </w:r>
      <w:r>
        <w:t>Statistisk sentralbyrå</w:t>
      </w:r>
      <w:r w:rsidRPr="004C3A76">
        <w:t>, OECD og Beregningsutvalget.</w:t>
      </w:r>
    </w:p>
    <w:p w14:paraId="7691DAC7" w14:textId="77777777" w:rsidR="005B2B39" w:rsidRPr="007A7812" w:rsidRDefault="005B2B39" w:rsidP="005B2B39">
      <w:pPr>
        <w:pStyle w:val="Overskrift3"/>
      </w:pPr>
      <w:bookmarkStart w:id="244" w:name="_Toc411849492"/>
      <w:bookmarkStart w:id="245" w:name="_Toc443998995"/>
      <w:r w:rsidRPr="007A7812">
        <w:t>Kjøpkraftsjustert BNP justert for petroleumsinntekter</w:t>
      </w:r>
      <w:bookmarkEnd w:id="244"/>
      <w:bookmarkEnd w:id="245"/>
    </w:p>
    <w:p w14:paraId="5482EA92" w14:textId="77777777" w:rsidR="005B2B39" w:rsidRPr="007A7812" w:rsidRDefault="005B2B39" w:rsidP="005B2B39">
      <w:r w:rsidRPr="007A7812">
        <w:t xml:space="preserve">En annen metode for å sammenlikne </w:t>
      </w:r>
      <w:r>
        <w:t>inntekter</w:t>
      </w:r>
      <w:r w:rsidRPr="007A7812">
        <w:t xml:space="preserve"> i Norge med utviklingen i andre land er å se på tall for bruttonasjonalproduktet (BNP) per innbygger. I slike sammenlikninger er det hensiktsmessig å regne om BNP-tallene i de enkelte landene til et felles prissett ved å bruke såkalte kjøpekraftspariteter (KKP). Prisene på varer og tjenester i Norge er </w:t>
      </w:r>
      <w:r>
        <w:t xml:space="preserve">normalt </w:t>
      </w:r>
      <w:r w:rsidRPr="007A7812">
        <w:t xml:space="preserve">høye når vi bruker offisielle valutakurser og sammenlikner med prisene på tilsvarende varer og tjenester i andre OECD-land. Sammenliknes landenes BNP per innbygger i felles valuta uten å ta hensyn til forskjeller i kjøpekraft, blir BNP i Norge svært høyt. Ved å bruke kjøpekraftsjusterte priser regnes verdiskapingen i Norge til internasjonale priser og ikke i norske priser slik </w:t>
      </w:r>
      <w:r>
        <w:t>Statistisk sentralbyrå</w:t>
      </w:r>
      <w:r w:rsidRPr="007A7812">
        <w:t xml:space="preserve"> gjør når nasjonalregnskapstallene lages. Da vil for eksempel prisen på en hamburger ikke bli verdsatt til det den koster i Norge, men hva en hamburger gjennomgående koster internasjonalt</w:t>
      </w:r>
      <w:r>
        <w:rPr>
          <w:rStyle w:val="Fotnotereferanse"/>
        </w:rPr>
        <w:footnoteReference w:id="8"/>
      </w:r>
      <w:r w:rsidRPr="007A7812">
        <w:t xml:space="preserve">. </w:t>
      </w:r>
    </w:p>
    <w:p w14:paraId="3D6DBAA1" w14:textId="2D84003F" w:rsidR="005B2B39" w:rsidRPr="007A7812" w:rsidRDefault="005B2B39" w:rsidP="005B2B39">
      <w:r w:rsidRPr="007A7812">
        <w:t xml:space="preserve">Før oljealderen tok til var Norges BNP per innbygger regnet i kjøpekraftsjusterte priser og i felles valuta (USD) litt lavere enn OECD-snittet, jf. figur </w:t>
      </w:r>
      <w:r>
        <w:t>4</w:t>
      </w:r>
      <w:r w:rsidRPr="007A7812">
        <w:t>.</w:t>
      </w:r>
      <w:r>
        <w:t>10</w:t>
      </w:r>
      <w:r w:rsidRPr="007A7812">
        <w:t>. Beregningene til OECD viser at Norges inntektsnivå per innbygger var</w:t>
      </w:r>
      <w:r>
        <w:t xml:space="preserve"> 67 </w:t>
      </w:r>
      <w:r w:rsidRPr="007A7812">
        <w:t xml:space="preserve">prosent høyere enn OECD-snittet i </w:t>
      </w:r>
      <w:r>
        <w:t>2014</w:t>
      </w:r>
      <w:r w:rsidRPr="007A7812">
        <w:t xml:space="preserve">. De norske BNP-tallene er imidlertid sterkt påvirket av petroleumsinntektene. Mye av svingningene i Norges relative </w:t>
      </w:r>
      <w:r>
        <w:t>inntekter</w:t>
      </w:r>
      <w:r w:rsidRPr="007A7812">
        <w:t xml:space="preserve"> målt på denne måten kan forklares med variasjoner i oljeprisen. Fallet i relativ </w:t>
      </w:r>
      <w:r>
        <w:t>inntekt</w:t>
      </w:r>
      <w:r w:rsidRPr="007A7812">
        <w:t xml:space="preserve"> fra et nivå på</w:t>
      </w:r>
      <w:r>
        <w:t xml:space="preserve"> 179 </w:t>
      </w:r>
      <w:r w:rsidRPr="007A7812">
        <w:t>i 2008 til</w:t>
      </w:r>
      <w:r>
        <w:t xml:space="preserve"> 166 </w:t>
      </w:r>
      <w:r w:rsidRPr="007A7812">
        <w:t>i 20</w:t>
      </w:r>
      <w:r>
        <w:t>09</w:t>
      </w:r>
      <w:r w:rsidRPr="007A7812">
        <w:t xml:space="preserve"> skyldes for eksempel i stor grad fallet i norske eksportpriser under finanskrisen. </w:t>
      </w:r>
    </w:p>
    <w:p w14:paraId="359D994A" w14:textId="455D2415" w:rsidR="005B2B39" w:rsidRPr="007A7812" w:rsidRDefault="005B2B39" w:rsidP="005B2B39">
      <w:r w:rsidRPr="007A7812">
        <w:t xml:space="preserve">For å få et bedre grep om utviklingen i </w:t>
      </w:r>
      <w:r>
        <w:t>inntekts</w:t>
      </w:r>
      <w:r w:rsidRPr="007A7812">
        <w:t>nivået i norsk økonomi relativt til i andre land, bør derfor de norske BNP-tallene justeres for den ekstraordinære avkastningen ressursinnsatsen i petroleumsvirksomheten gir. Denne ekstraordinære avkastningen kalles ofte for ressursrenten. Metoden for kjøpekraftsjustering innebærer at en næring som utelukkende selger sine produkter til verdensmarkedspriser, ikke får endret sine produksjonspriser. Tanken er at produkter som omsettes på verdensmarkedet allerede er kjøpekraftsjusterte. Det betyr at når man nedjusterer norsk BNP med et beløp tilsvarende petroleumsrenten, kan man ta den norske kroneverdien av renten og dividere med dollarkursen så vi</w:t>
      </w:r>
      <w:r w:rsidR="00D97716">
        <w:t xml:space="preserve"> får</w:t>
      </w:r>
      <w:r w:rsidRPr="007A7812">
        <w:t xml:space="preserve"> petroleumsrenten i KKP. Dette beløpet trekkes så fra OECDs anslag for samlet norsk BNP i KKP. Dermed framkommer BNP eksklusive petroleumsrente i KKP-verdi og USD. Deretter divideres det med antall innbyggere for å beregne BNP per innbygger eksklusive petroleumsrente. Man kan så sammenlikne dette med gjennomsnittet for OECD slik det er gjort i figur </w:t>
      </w:r>
      <w:r>
        <w:t>4.10</w:t>
      </w:r>
      <w:r w:rsidRPr="007A7812">
        <w:t>.</w:t>
      </w:r>
    </w:p>
    <w:p w14:paraId="7A0E8DD0" w14:textId="67F05812" w:rsidR="005B2B39" w:rsidRDefault="005B2B39" w:rsidP="005B2B39">
      <w:r w:rsidRPr="007A7812">
        <w:t xml:space="preserve">Petroleumsrenten er her satt til null før 1975 og på figuren er derfor relativ BNP per innbygger den samme fra 1970 til 1974. Fra 1978 begynner kurvene å sprike. Det justerte norske </w:t>
      </w:r>
      <w:r>
        <w:t>inntekts</w:t>
      </w:r>
      <w:r w:rsidRPr="007A7812">
        <w:t>nivået økte relativt sett særlig mye gjennom 1990-tallet. I perioden 200</w:t>
      </w:r>
      <w:r>
        <w:t>0</w:t>
      </w:r>
      <w:r w:rsidRPr="007A7812">
        <w:t xml:space="preserve"> til 2005 var relativ </w:t>
      </w:r>
      <w:r>
        <w:t>inntekt</w:t>
      </w:r>
      <w:r w:rsidRPr="007A7812">
        <w:t xml:space="preserve"> i Norge om lag uendret i forhold til OECD-snittet, men økte så på ny både under forrige høykonjunktur og ikke minst under finanskrisen. Det skyldes blant annet at fallet i BNP var lite i Norge sammenliknet med i OECD-landene. </w:t>
      </w:r>
      <w:r>
        <w:t xml:space="preserve">De siste årene har Norges BNP ekskl. petroleumsrenten og regnet per innbygger økt og var i 2014 på 40 </w:t>
      </w:r>
      <w:r w:rsidR="00D97716">
        <w:t>prosent</w:t>
      </w:r>
      <w:r>
        <w:t xml:space="preserve">, opp fra 31 </w:t>
      </w:r>
      <w:r w:rsidR="00D97716">
        <w:t>prosent</w:t>
      </w:r>
      <w:r>
        <w:t xml:space="preserve"> i 2011. </w:t>
      </w:r>
      <w:r w:rsidRPr="007A7812">
        <w:t xml:space="preserve">Samlet sett har </w:t>
      </w:r>
      <w:r>
        <w:t>inntekts</w:t>
      </w:r>
      <w:r w:rsidRPr="007A7812">
        <w:t xml:space="preserve">veksten regnet som inntekt per innbygger vært meget sterk i Norge sammenliknet med andre land selv når vi holder petroleumsinntektene utenom. </w:t>
      </w:r>
    </w:p>
    <w:p w14:paraId="4BB0CC78" w14:textId="77777777" w:rsidR="005B2B39" w:rsidRDefault="005B2B39" w:rsidP="005B2B39"/>
    <w:p w14:paraId="58A0F5DA" w14:textId="77777777" w:rsidR="005B2B39" w:rsidRPr="007A7812" w:rsidRDefault="005B2B39" w:rsidP="005B2B39">
      <w:r>
        <w:rPr>
          <w:noProof/>
        </w:rPr>
        <w:drawing>
          <wp:inline distT="0" distB="0" distL="0" distR="0" wp14:anchorId="3B00B325" wp14:editId="24E56863">
            <wp:extent cx="2712496" cy="2547918"/>
            <wp:effectExtent l="0" t="0" r="0" b="0"/>
            <wp:docPr id="1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png"/>
                    <pic:cNvPicPr/>
                  </pic:nvPicPr>
                  <pic:blipFill>
                    <a:blip r:embed="rId55">
                      <a:extLst>
                        <a:ext uri="{28A0092B-C50C-407E-A947-70E740481C1C}">
                          <a14:useLocalDpi xmlns:a14="http://schemas.microsoft.com/office/drawing/2010/main" val="0"/>
                        </a:ext>
                      </a:extLst>
                    </a:blip>
                    <a:stretch>
                      <a:fillRect/>
                    </a:stretch>
                  </pic:blipFill>
                  <pic:spPr>
                    <a:xfrm>
                      <a:off x="0" y="0"/>
                      <a:ext cx="2712496" cy="2547918"/>
                    </a:xfrm>
                    <a:prstGeom prst="rect">
                      <a:avLst/>
                    </a:prstGeom>
                  </pic:spPr>
                </pic:pic>
              </a:graphicData>
            </a:graphic>
          </wp:inline>
        </w:drawing>
      </w:r>
    </w:p>
    <w:p w14:paraId="3204995E" w14:textId="5E2E0E66" w:rsidR="005B2B39" w:rsidRPr="002511D0" w:rsidRDefault="005B2B39" w:rsidP="00FB685D">
      <w:pPr>
        <w:pStyle w:val="figur-tittel"/>
        <w:spacing w:after="60"/>
      </w:pPr>
      <w:r>
        <w:t xml:space="preserve"> </w:t>
      </w:r>
      <w:r w:rsidRPr="002511D0">
        <w:t xml:space="preserve">BNP per innbygger i Norge (i KKP) relativt til OECD-snittet og BNP i Norge eksklusive petroleumsrente (i KKP) relativt til OECD-snittet </w:t>
      </w:r>
    </w:p>
    <w:p w14:paraId="3C9F5142" w14:textId="09233951" w:rsidR="00553CF9" w:rsidRDefault="005B2B39" w:rsidP="00553CF9">
      <w:pPr>
        <w:pStyle w:val="Kilde"/>
      </w:pPr>
      <w:r w:rsidRPr="007A7812">
        <w:t xml:space="preserve">Kilder: OECD og </w:t>
      </w:r>
      <w:r>
        <w:t>Statistisk sentralbyrå</w:t>
      </w:r>
    </w:p>
    <w:p w14:paraId="011E850D" w14:textId="43539B5A" w:rsidR="008A657E" w:rsidRDefault="00553CF9" w:rsidP="008A657E">
      <w:pPr>
        <w:jc w:val="center"/>
        <w:rPr>
          <w:rFonts w:asciiTheme="majorHAnsi" w:hAnsiTheme="majorHAnsi"/>
          <w:sz w:val="52"/>
          <w:szCs w:val="52"/>
        </w:rPr>
      </w:pPr>
      <w:r>
        <w:br w:type="page"/>
      </w:r>
      <w:r w:rsidR="008A657E" w:rsidRPr="00B12041">
        <w:rPr>
          <w:rFonts w:asciiTheme="majorHAnsi" w:hAnsiTheme="majorHAnsi"/>
          <w:sz w:val="52"/>
          <w:szCs w:val="52"/>
        </w:rPr>
        <w:t xml:space="preserve">Kapittel </w:t>
      </w:r>
      <w:r w:rsidR="008A657E">
        <w:rPr>
          <w:rFonts w:asciiTheme="majorHAnsi" w:hAnsiTheme="majorHAnsi"/>
          <w:sz w:val="52"/>
          <w:szCs w:val="52"/>
        </w:rPr>
        <w:t>5</w:t>
      </w:r>
    </w:p>
    <w:p w14:paraId="0AE303B7" w14:textId="77777777" w:rsidR="008A657E" w:rsidRPr="00FE1400" w:rsidRDefault="008A657E" w:rsidP="008A657E">
      <w:pPr>
        <w:jc w:val="center"/>
        <w:rPr>
          <w:rFonts w:asciiTheme="majorHAnsi" w:hAnsiTheme="majorHAnsi"/>
          <w:sz w:val="32"/>
          <w:szCs w:val="32"/>
        </w:rPr>
      </w:pPr>
    </w:p>
    <w:p w14:paraId="4212471A" w14:textId="7BCD04EB" w:rsidR="008A657E" w:rsidRPr="00C558CD" w:rsidRDefault="008A657E" w:rsidP="008A657E">
      <w:pPr>
        <w:pStyle w:val="Overskrift1"/>
        <w:jc w:val="center"/>
      </w:pPr>
      <w:bookmarkStart w:id="246" w:name="_Toc443998996"/>
      <w:r w:rsidRPr="008A657E">
        <w:t>Den samlede inntektsutviklingen for landet og husholdningene</w:t>
      </w:r>
      <w:bookmarkEnd w:id="246"/>
    </w:p>
    <w:p w14:paraId="77A00DCD" w14:textId="767DA925" w:rsidR="008A657E" w:rsidRPr="008A657E" w:rsidRDefault="009E6A99" w:rsidP="009E6A99">
      <w:pPr>
        <w:pStyle w:val="Liste"/>
        <w:numPr>
          <w:ilvl w:val="0"/>
          <w:numId w:val="23"/>
        </w:numPr>
      </w:pPr>
      <w:r w:rsidRPr="009E6A99">
        <w:t xml:space="preserve">Disponibel realinntekt for </w:t>
      </w:r>
      <w:r w:rsidR="008A657E" w:rsidRPr="008A657E">
        <w:t>Norge falt med 2,6 prosent fra 2014 til 2015. Produksjonsvekst og endringer i rente- og stønadsbalansen bidro positivt, mens endringer i bytteforholdet</w:t>
      </w:r>
      <w:r w:rsidR="00093534">
        <w:t xml:space="preserve">, </w:t>
      </w:r>
      <w:r w:rsidR="008A657E" w:rsidRPr="008A657E">
        <w:t>og særlig lavere oljepris</w:t>
      </w:r>
      <w:r w:rsidR="00093534">
        <w:t>,</w:t>
      </w:r>
      <w:r w:rsidR="008A657E" w:rsidRPr="008A657E">
        <w:t xml:space="preserve"> trakk veksten ned. </w:t>
      </w:r>
    </w:p>
    <w:p w14:paraId="523E5739" w14:textId="14C514C8" w:rsidR="008A657E" w:rsidRPr="008A657E" w:rsidRDefault="008A657E" w:rsidP="008A657E">
      <w:pPr>
        <w:pStyle w:val="Liste"/>
        <w:numPr>
          <w:ilvl w:val="0"/>
          <w:numId w:val="23"/>
        </w:numPr>
      </w:pPr>
      <w:r w:rsidRPr="008A657E">
        <w:t xml:space="preserve">Lønnskostnadsandelen </w:t>
      </w:r>
      <w:r w:rsidR="00093534">
        <w:t>(</w:t>
      </w:r>
      <w:r w:rsidRPr="008A657E">
        <w:t>lønnskostnader i prosent av faktorinntekt</w:t>
      </w:r>
      <w:r w:rsidR="00093534">
        <w:t>)</w:t>
      </w:r>
      <w:r w:rsidRPr="008A657E">
        <w:t xml:space="preserve"> </w:t>
      </w:r>
      <w:bookmarkStart w:id="247" w:name="ID_KAP1_46_1"/>
      <w:bookmarkEnd w:id="247"/>
      <w:r w:rsidRPr="008A657E">
        <w:t xml:space="preserve">var 78 prosent i industrien og 68 prosent for markedsrettet virksomhet i Fastlands-Norge i 2015. For industrien var dette under gjennomsnittet de siste ti årene og 4 prosentpoeng under andelen i 2014. Nedgangen fra 2014 til 2015 forklares av en kraftig reduksjon i lønnskostandsandelen for råvarebasert industri som for oljeraffinering, kjemisk og farmasøytisk industri. For markedsrettet virksomhet i Fastlands-Norge var lønnskostnadsandelen i 2015 om lag som gjennomsnittet de siste ti årene. </w:t>
      </w:r>
    </w:p>
    <w:p w14:paraId="3CA51952" w14:textId="09A97961" w:rsidR="008A657E" w:rsidRPr="008A657E" w:rsidRDefault="008A657E" w:rsidP="008A657E">
      <w:pPr>
        <w:pStyle w:val="Liste"/>
        <w:numPr>
          <w:ilvl w:val="0"/>
          <w:numId w:val="23"/>
        </w:numPr>
      </w:pPr>
      <w:r w:rsidRPr="008A657E">
        <w:t xml:space="preserve">Husholdningenes disponible realinntekt økte ifølge foreløpige nasjonalregnskapstall med 2,2 prosent i 2015. Regnet </w:t>
      </w:r>
      <w:r w:rsidR="00093534">
        <w:t>per</w:t>
      </w:r>
      <w:r w:rsidR="00093534" w:rsidRPr="008A657E">
        <w:t xml:space="preserve"> </w:t>
      </w:r>
      <w:r w:rsidRPr="008A657E">
        <w:t xml:space="preserve">innbygger var økningen </w:t>
      </w:r>
      <w:r w:rsidR="00093534">
        <w:t>1,5</w:t>
      </w:r>
      <w:r w:rsidRPr="008A657E">
        <w:t xml:space="preserve"> prosent.</w:t>
      </w:r>
    </w:p>
    <w:p w14:paraId="7B5A9759" w14:textId="232BBD07" w:rsidR="009968F0" w:rsidRPr="008411E4" w:rsidRDefault="00055102" w:rsidP="009968F0">
      <w:pPr>
        <w:pStyle w:val="Overskrift2"/>
      </w:pPr>
      <w:bookmarkStart w:id="248" w:name="_Toc443998997"/>
      <w:r>
        <w:t>Disponibel inntekt</w:t>
      </w:r>
      <w:r w:rsidR="009968F0">
        <w:t xml:space="preserve"> for Norge</w:t>
      </w:r>
      <w:bookmarkEnd w:id="248"/>
    </w:p>
    <w:p w14:paraId="581DD82F" w14:textId="50B6857D" w:rsidR="008A657E" w:rsidRDefault="008A657E" w:rsidP="008A657E">
      <w:pPr>
        <w:spacing w:after="0"/>
        <w:rPr>
          <w:rFonts w:ascii="Times New Roman" w:eastAsia="Times New Roman" w:hAnsi="Times New Roman"/>
          <w:noProof/>
        </w:rPr>
      </w:pPr>
      <w:r w:rsidRPr="00093534">
        <w:rPr>
          <w:rFonts w:ascii="Times New Roman" w:eastAsiaTheme="majorEastAsia" w:hAnsi="Times New Roman"/>
          <w:color w:val="000000"/>
        </w:rPr>
        <w:t xml:space="preserve">Foreløpige nasjonalregnskapstall viser at </w:t>
      </w:r>
      <w:r w:rsidRPr="00CB4861">
        <w:rPr>
          <w:rFonts w:ascii="Times New Roman" w:eastAsiaTheme="majorEastAsia" w:hAnsi="Times New Roman"/>
          <w:i/>
          <w:color w:val="000000"/>
        </w:rPr>
        <w:t>disponibel inntekt for Norge</w:t>
      </w:r>
      <w:r w:rsidRPr="00533911">
        <w:rPr>
          <w:rFonts w:ascii="Times New Roman" w:eastAsia="Times New Roman" w:hAnsi="Times New Roman"/>
          <w:noProof/>
        </w:rPr>
        <w:t xml:space="preserve"> </w:t>
      </w:r>
      <w:r>
        <w:rPr>
          <w:rFonts w:ascii="Times New Roman" w:eastAsia="Times New Roman" w:hAnsi="Times New Roman"/>
          <w:noProof/>
        </w:rPr>
        <w:t>var om lag uendret mellom 2014 og</w:t>
      </w:r>
      <w:r w:rsidR="00093534">
        <w:rPr>
          <w:rFonts w:ascii="Times New Roman" w:eastAsia="Times New Roman" w:hAnsi="Times New Roman"/>
          <w:noProof/>
        </w:rPr>
        <w:t xml:space="preserve"> </w:t>
      </w:r>
      <w:r>
        <w:rPr>
          <w:rFonts w:ascii="Times New Roman" w:eastAsia="Times New Roman" w:hAnsi="Times New Roman"/>
          <w:noProof/>
        </w:rPr>
        <w:t>2015</w:t>
      </w:r>
      <w:r w:rsidRPr="00CB4861">
        <w:rPr>
          <w:rFonts w:ascii="Times New Roman" w:eastAsia="Times New Roman" w:hAnsi="Times New Roman"/>
          <w:noProof/>
        </w:rPr>
        <w:t xml:space="preserve">. Disponibel inntekt for Norge anslås til </w:t>
      </w:r>
      <w:r>
        <w:rPr>
          <w:rFonts w:ascii="Times New Roman" w:eastAsia="Times New Roman" w:hAnsi="Times New Roman"/>
          <w:noProof/>
        </w:rPr>
        <w:t>2712 milliarder kroner, noe som utgjør</w:t>
      </w:r>
      <w:r w:rsidRPr="00CB4861">
        <w:rPr>
          <w:rFonts w:ascii="Times New Roman" w:eastAsia="Times New Roman" w:hAnsi="Times New Roman"/>
          <w:noProof/>
        </w:rPr>
        <w:t> </w:t>
      </w:r>
      <w:r w:rsidRPr="00533911">
        <w:rPr>
          <w:rFonts w:ascii="Times New Roman" w:eastAsia="Times New Roman" w:hAnsi="Times New Roman"/>
          <w:noProof/>
        </w:rPr>
        <w:t>524 000</w:t>
      </w:r>
      <w:r w:rsidRPr="00CB4861">
        <w:rPr>
          <w:rFonts w:ascii="Times New Roman" w:eastAsia="Times New Roman" w:hAnsi="Times New Roman"/>
          <w:noProof/>
        </w:rPr>
        <w:t xml:space="preserve"> kroner per innbygger.</w:t>
      </w:r>
    </w:p>
    <w:p w14:paraId="41C8FF94" w14:textId="77777777" w:rsidR="008A657E" w:rsidRPr="00CB4861" w:rsidRDefault="008A657E" w:rsidP="008A657E">
      <w:pPr>
        <w:pStyle w:val="tabell-tittel"/>
        <w:rPr>
          <w:noProof/>
        </w:rPr>
      </w:pPr>
      <w:r w:rsidRPr="00CB4861">
        <w:t>Inntektsutviklingen for Norge. Milliarder kroner</w:t>
      </w:r>
      <w:r w:rsidRPr="00CB4861">
        <w:rPr>
          <w:rFonts w:eastAsiaTheme="majorEastAsia"/>
          <w:color w:val="000000"/>
          <w:vertAlign w:val="superscript"/>
        </w:rPr>
        <w:t>1</w:t>
      </w:r>
    </w:p>
    <w:tbl>
      <w:tblPr>
        <w:tblW w:w="5000" w:type="pct"/>
        <w:tblLayout w:type="fixed"/>
        <w:tblCellMar>
          <w:left w:w="70" w:type="dxa"/>
          <w:right w:w="70" w:type="dxa"/>
        </w:tblCellMar>
        <w:tblLook w:val="04A0" w:firstRow="1" w:lastRow="0" w:firstColumn="1" w:lastColumn="0" w:noHBand="0" w:noVBand="1"/>
      </w:tblPr>
      <w:tblGrid>
        <w:gridCol w:w="1914"/>
        <w:gridCol w:w="730"/>
        <w:gridCol w:w="730"/>
        <w:gridCol w:w="730"/>
        <w:gridCol w:w="730"/>
        <w:gridCol w:w="730"/>
        <w:gridCol w:w="730"/>
        <w:gridCol w:w="730"/>
        <w:gridCol w:w="730"/>
        <w:gridCol w:w="730"/>
        <w:gridCol w:w="730"/>
      </w:tblGrid>
      <w:tr w:rsidR="008A657E" w:rsidRPr="0022572D" w14:paraId="22CAA395" w14:textId="77777777" w:rsidTr="008A657E">
        <w:trPr>
          <w:trHeight w:val="315"/>
        </w:trPr>
        <w:tc>
          <w:tcPr>
            <w:tcW w:w="1038" w:type="pct"/>
            <w:tcBorders>
              <w:top w:val="single" w:sz="8" w:space="0" w:color="auto"/>
              <w:left w:val="nil"/>
              <w:bottom w:val="single" w:sz="8" w:space="0" w:color="auto"/>
              <w:right w:val="nil"/>
            </w:tcBorders>
            <w:shd w:val="clear" w:color="auto" w:fill="auto"/>
            <w:noWrap/>
            <w:hideMark/>
          </w:tcPr>
          <w:p w14:paraId="5701995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p>
        </w:tc>
        <w:tc>
          <w:tcPr>
            <w:tcW w:w="396" w:type="pct"/>
            <w:tcBorders>
              <w:top w:val="single" w:sz="8" w:space="0" w:color="auto"/>
              <w:left w:val="nil"/>
              <w:bottom w:val="single" w:sz="8" w:space="0" w:color="auto"/>
              <w:right w:val="nil"/>
            </w:tcBorders>
            <w:shd w:val="clear" w:color="auto" w:fill="auto"/>
            <w:noWrap/>
            <w:hideMark/>
          </w:tcPr>
          <w:p w14:paraId="7365ABB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2006</w:t>
            </w:r>
          </w:p>
        </w:tc>
        <w:tc>
          <w:tcPr>
            <w:tcW w:w="396" w:type="pct"/>
            <w:tcBorders>
              <w:top w:val="single" w:sz="8" w:space="0" w:color="auto"/>
              <w:left w:val="nil"/>
              <w:bottom w:val="single" w:sz="8" w:space="0" w:color="auto"/>
              <w:right w:val="nil"/>
            </w:tcBorders>
            <w:shd w:val="clear" w:color="auto" w:fill="auto"/>
            <w:noWrap/>
            <w:hideMark/>
          </w:tcPr>
          <w:p w14:paraId="1E79CCB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2007</w:t>
            </w:r>
          </w:p>
        </w:tc>
        <w:tc>
          <w:tcPr>
            <w:tcW w:w="396" w:type="pct"/>
            <w:tcBorders>
              <w:top w:val="single" w:sz="8" w:space="0" w:color="auto"/>
              <w:left w:val="nil"/>
              <w:bottom w:val="single" w:sz="8" w:space="0" w:color="auto"/>
              <w:right w:val="nil"/>
            </w:tcBorders>
            <w:shd w:val="clear" w:color="auto" w:fill="auto"/>
            <w:noWrap/>
            <w:hideMark/>
          </w:tcPr>
          <w:p w14:paraId="41AF9A1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2008</w:t>
            </w:r>
          </w:p>
        </w:tc>
        <w:tc>
          <w:tcPr>
            <w:tcW w:w="396" w:type="pct"/>
            <w:tcBorders>
              <w:top w:val="single" w:sz="8" w:space="0" w:color="auto"/>
              <w:left w:val="nil"/>
              <w:bottom w:val="single" w:sz="8" w:space="0" w:color="auto"/>
              <w:right w:val="nil"/>
            </w:tcBorders>
            <w:shd w:val="clear" w:color="auto" w:fill="auto"/>
            <w:noWrap/>
            <w:hideMark/>
          </w:tcPr>
          <w:p w14:paraId="08B6553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2009</w:t>
            </w:r>
          </w:p>
        </w:tc>
        <w:tc>
          <w:tcPr>
            <w:tcW w:w="396" w:type="pct"/>
            <w:tcBorders>
              <w:top w:val="single" w:sz="8" w:space="0" w:color="auto"/>
              <w:left w:val="nil"/>
              <w:bottom w:val="single" w:sz="8" w:space="0" w:color="auto"/>
              <w:right w:val="nil"/>
            </w:tcBorders>
            <w:shd w:val="clear" w:color="auto" w:fill="auto"/>
            <w:noWrap/>
            <w:hideMark/>
          </w:tcPr>
          <w:p w14:paraId="55F107E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2010</w:t>
            </w:r>
          </w:p>
        </w:tc>
        <w:tc>
          <w:tcPr>
            <w:tcW w:w="396" w:type="pct"/>
            <w:tcBorders>
              <w:top w:val="single" w:sz="8" w:space="0" w:color="auto"/>
              <w:left w:val="nil"/>
              <w:bottom w:val="single" w:sz="8" w:space="0" w:color="auto"/>
              <w:right w:val="nil"/>
            </w:tcBorders>
            <w:shd w:val="clear" w:color="auto" w:fill="auto"/>
            <w:noWrap/>
            <w:hideMark/>
          </w:tcPr>
          <w:p w14:paraId="1AC94E1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2011</w:t>
            </w:r>
          </w:p>
        </w:tc>
        <w:tc>
          <w:tcPr>
            <w:tcW w:w="396" w:type="pct"/>
            <w:tcBorders>
              <w:top w:val="single" w:sz="8" w:space="0" w:color="auto"/>
              <w:left w:val="nil"/>
              <w:bottom w:val="single" w:sz="8" w:space="0" w:color="auto"/>
              <w:right w:val="nil"/>
            </w:tcBorders>
            <w:shd w:val="clear" w:color="auto" w:fill="auto"/>
            <w:noWrap/>
            <w:hideMark/>
          </w:tcPr>
          <w:p w14:paraId="37C47C2D"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2012</w:t>
            </w:r>
          </w:p>
        </w:tc>
        <w:tc>
          <w:tcPr>
            <w:tcW w:w="396" w:type="pct"/>
            <w:tcBorders>
              <w:top w:val="single" w:sz="8" w:space="0" w:color="auto"/>
              <w:left w:val="nil"/>
              <w:bottom w:val="single" w:sz="8" w:space="0" w:color="auto"/>
              <w:right w:val="nil"/>
            </w:tcBorders>
            <w:shd w:val="clear" w:color="auto" w:fill="auto"/>
            <w:noWrap/>
            <w:hideMark/>
          </w:tcPr>
          <w:p w14:paraId="07DCA55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20"/>
              </w:rPr>
            </w:pPr>
            <w:r w:rsidRPr="009E6A99">
              <w:rPr>
                <w:rFonts w:ascii="Times New Roman" w:eastAsia="Times New Roman" w:hAnsi="Times New Roman"/>
                <w:color w:val="000000"/>
                <w:sz w:val="20"/>
              </w:rPr>
              <w:t>2013</w:t>
            </w:r>
          </w:p>
        </w:tc>
        <w:tc>
          <w:tcPr>
            <w:tcW w:w="396" w:type="pct"/>
            <w:tcBorders>
              <w:top w:val="single" w:sz="8" w:space="0" w:color="auto"/>
              <w:left w:val="nil"/>
              <w:bottom w:val="single" w:sz="8" w:space="0" w:color="auto"/>
              <w:right w:val="nil"/>
            </w:tcBorders>
            <w:shd w:val="clear" w:color="auto" w:fill="auto"/>
            <w:noWrap/>
            <w:hideMark/>
          </w:tcPr>
          <w:p w14:paraId="36BEB52C" w14:textId="77777777" w:rsidR="008A657E" w:rsidRPr="009E6A99" w:rsidRDefault="008A657E" w:rsidP="008A657E">
            <w:pPr>
              <w:autoSpaceDE w:val="0"/>
              <w:autoSpaceDN w:val="0"/>
              <w:adjustRightInd w:val="0"/>
              <w:spacing w:after="0"/>
              <w:rPr>
                <w:rFonts w:ascii="Times New Roman" w:eastAsia="Times New Roman" w:hAnsi="Times New Roman"/>
                <w:color w:val="000000"/>
                <w:sz w:val="20"/>
              </w:rPr>
            </w:pPr>
            <w:r w:rsidRPr="009E6A99">
              <w:rPr>
                <w:rFonts w:ascii="Times New Roman" w:eastAsia="Times New Roman" w:hAnsi="Times New Roman"/>
                <w:color w:val="000000"/>
                <w:sz w:val="20"/>
              </w:rPr>
              <w:t>2014*</w:t>
            </w:r>
          </w:p>
        </w:tc>
        <w:tc>
          <w:tcPr>
            <w:tcW w:w="396" w:type="pct"/>
            <w:tcBorders>
              <w:top w:val="single" w:sz="8" w:space="0" w:color="auto"/>
              <w:left w:val="nil"/>
              <w:bottom w:val="single" w:sz="8" w:space="0" w:color="auto"/>
              <w:right w:val="nil"/>
            </w:tcBorders>
            <w:shd w:val="clear" w:color="auto" w:fill="auto"/>
            <w:noWrap/>
            <w:hideMark/>
          </w:tcPr>
          <w:p w14:paraId="4D391AEC" w14:textId="77777777" w:rsidR="008A657E" w:rsidRPr="009E6A99" w:rsidRDefault="008A657E" w:rsidP="008A657E">
            <w:pPr>
              <w:autoSpaceDE w:val="0"/>
              <w:autoSpaceDN w:val="0"/>
              <w:adjustRightInd w:val="0"/>
              <w:spacing w:after="0"/>
              <w:rPr>
                <w:rFonts w:ascii="Times New Roman" w:eastAsia="Times New Roman" w:hAnsi="Times New Roman"/>
                <w:color w:val="000000"/>
                <w:sz w:val="20"/>
              </w:rPr>
            </w:pPr>
            <w:r w:rsidRPr="009E6A99">
              <w:rPr>
                <w:rFonts w:ascii="Times New Roman" w:eastAsia="Times New Roman" w:hAnsi="Times New Roman"/>
                <w:color w:val="000000"/>
                <w:sz w:val="20"/>
              </w:rPr>
              <w:t>2015*</w:t>
            </w:r>
          </w:p>
        </w:tc>
      </w:tr>
      <w:tr w:rsidR="008A657E" w:rsidRPr="0022572D" w14:paraId="44BDCA89" w14:textId="77777777" w:rsidTr="009E6A99">
        <w:trPr>
          <w:trHeight w:val="315"/>
        </w:trPr>
        <w:tc>
          <w:tcPr>
            <w:tcW w:w="1038" w:type="pct"/>
            <w:tcBorders>
              <w:top w:val="nil"/>
              <w:left w:val="nil"/>
              <w:right w:val="nil"/>
            </w:tcBorders>
            <w:shd w:val="clear" w:color="auto" w:fill="auto"/>
            <w:noWrap/>
            <w:hideMark/>
          </w:tcPr>
          <w:p w14:paraId="52F2486B"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xml:space="preserve">  Bruttonasjonalprodukt</w:t>
            </w:r>
          </w:p>
        </w:tc>
        <w:tc>
          <w:tcPr>
            <w:tcW w:w="396" w:type="pct"/>
            <w:tcBorders>
              <w:top w:val="nil"/>
              <w:left w:val="nil"/>
              <w:right w:val="nil"/>
            </w:tcBorders>
            <w:shd w:val="clear" w:color="auto" w:fill="auto"/>
            <w:noWrap/>
            <w:hideMark/>
          </w:tcPr>
          <w:p w14:paraId="33D1210A"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2215</w:t>
            </w:r>
          </w:p>
        </w:tc>
        <w:tc>
          <w:tcPr>
            <w:tcW w:w="396" w:type="pct"/>
            <w:tcBorders>
              <w:top w:val="nil"/>
              <w:left w:val="nil"/>
              <w:right w:val="nil"/>
            </w:tcBorders>
            <w:shd w:val="clear" w:color="auto" w:fill="auto"/>
            <w:noWrap/>
            <w:hideMark/>
          </w:tcPr>
          <w:p w14:paraId="78ED533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2350</w:t>
            </w:r>
          </w:p>
        </w:tc>
        <w:tc>
          <w:tcPr>
            <w:tcW w:w="396" w:type="pct"/>
            <w:tcBorders>
              <w:top w:val="nil"/>
              <w:left w:val="nil"/>
              <w:right w:val="nil"/>
            </w:tcBorders>
            <w:shd w:val="clear" w:color="auto" w:fill="auto"/>
            <w:noWrap/>
            <w:hideMark/>
          </w:tcPr>
          <w:p w14:paraId="439F973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2605</w:t>
            </w:r>
          </w:p>
        </w:tc>
        <w:tc>
          <w:tcPr>
            <w:tcW w:w="396" w:type="pct"/>
            <w:tcBorders>
              <w:top w:val="nil"/>
              <w:left w:val="nil"/>
              <w:right w:val="nil"/>
            </w:tcBorders>
            <w:shd w:val="clear" w:color="auto" w:fill="auto"/>
            <w:noWrap/>
            <w:hideMark/>
          </w:tcPr>
          <w:p w14:paraId="5C77FDA7"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2430</w:t>
            </w:r>
          </w:p>
        </w:tc>
        <w:tc>
          <w:tcPr>
            <w:tcW w:w="396" w:type="pct"/>
            <w:tcBorders>
              <w:top w:val="nil"/>
              <w:left w:val="nil"/>
              <w:right w:val="nil"/>
            </w:tcBorders>
            <w:shd w:val="clear" w:color="auto" w:fill="auto"/>
            <w:noWrap/>
            <w:hideMark/>
          </w:tcPr>
          <w:p w14:paraId="024ADB1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2590</w:t>
            </w:r>
          </w:p>
        </w:tc>
        <w:tc>
          <w:tcPr>
            <w:tcW w:w="396" w:type="pct"/>
            <w:tcBorders>
              <w:top w:val="nil"/>
              <w:left w:val="nil"/>
              <w:right w:val="nil"/>
            </w:tcBorders>
            <w:shd w:val="clear" w:color="auto" w:fill="auto"/>
            <w:noWrap/>
            <w:hideMark/>
          </w:tcPr>
          <w:p w14:paraId="0CC4D383"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2792</w:t>
            </w:r>
          </w:p>
        </w:tc>
        <w:tc>
          <w:tcPr>
            <w:tcW w:w="396" w:type="pct"/>
            <w:tcBorders>
              <w:top w:val="nil"/>
              <w:left w:val="nil"/>
              <w:right w:val="nil"/>
            </w:tcBorders>
            <w:shd w:val="clear" w:color="auto" w:fill="auto"/>
            <w:noWrap/>
            <w:hideMark/>
          </w:tcPr>
          <w:p w14:paraId="75F2F24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2965</w:t>
            </w:r>
          </w:p>
        </w:tc>
        <w:tc>
          <w:tcPr>
            <w:tcW w:w="396" w:type="pct"/>
            <w:tcBorders>
              <w:top w:val="nil"/>
              <w:left w:val="nil"/>
              <w:right w:val="nil"/>
            </w:tcBorders>
            <w:shd w:val="clear" w:color="auto" w:fill="auto"/>
            <w:noWrap/>
            <w:hideMark/>
          </w:tcPr>
          <w:p w14:paraId="044471C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3071</w:t>
            </w:r>
          </w:p>
        </w:tc>
        <w:tc>
          <w:tcPr>
            <w:tcW w:w="396" w:type="pct"/>
            <w:tcBorders>
              <w:top w:val="nil"/>
              <w:left w:val="nil"/>
              <w:right w:val="nil"/>
            </w:tcBorders>
            <w:shd w:val="clear" w:color="auto" w:fill="auto"/>
            <w:noWrap/>
            <w:hideMark/>
          </w:tcPr>
          <w:p w14:paraId="50CDEFFB"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3154</w:t>
            </w:r>
          </w:p>
        </w:tc>
        <w:tc>
          <w:tcPr>
            <w:tcW w:w="396" w:type="pct"/>
            <w:tcBorders>
              <w:top w:val="nil"/>
              <w:left w:val="nil"/>
              <w:right w:val="nil"/>
            </w:tcBorders>
            <w:shd w:val="clear" w:color="auto" w:fill="auto"/>
            <w:noWrap/>
            <w:hideMark/>
          </w:tcPr>
          <w:p w14:paraId="077C405C"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3141</w:t>
            </w:r>
          </w:p>
        </w:tc>
      </w:tr>
      <w:tr w:rsidR="008A657E" w:rsidRPr="0022572D" w14:paraId="0066C393" w14:textId="77777777" w:rsidTr="009E6A99">
        <w:trPr>
          <w:trHeight w:val="315"/>
        </w:trPr>
        <w:tc>
          <w:tcPr>
            <w:tcW w:w="1038" w:type="pct"/>
            <w:tcBorders>
              <w:top w:val="nil"/>
              <w:left w:val="nil"/>
              <w:right w:val="nil"/>
            </w:tcBorders>
            <w:shd w:val="clear" w:color="auto" w:fill="auto"/>
            <w:noWrap/>
            <w:hideMark/>
          </w:tcPr>
          <w:p w14:paraId="400FBDB1"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Kapitalslit</w:t>
            </w:r>
          </w:p>
        </w:tc>
        <w:tc>
          <w:tcPr>
            <w:tcW w:w="396" w:type="pct"/>
            <w:tcBorders>
              <w:top w:val="nil"/>
              <w:left w:val="nil"/>
              <w:right w:val="nil"/>
            </w:tcBorders>
            <w:shd w:val="clear" w:color="auto" w:fill="auto"/>
            <w:noWrap/>
            <w:hideMark/>
          </w:tcPr>
          <w:p w14:paraId="36ECF39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298</w:t>
            </w:r>
          </w:p>
        </w:tc>
        <w:tc>
          <w:tcPr>
            <w:tcW w:w="396" w:type="pct"/>
            <w:tcBorders>
              <w:top w:val="nil"/>
              <w:left w:val="nil"/>
              <w:right w:val="nil"/>
            </w:tcBorders>
            <w:shd w:val="clear" w:color="auto" w:fill="auto"/>
            <w:noWrap/>
            <w:hideMark/>
          </w:tcPr>
          <w:p w14:paraId="3B48A0F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331</w:t>
            </w:r>
          </w:p>
        </w:tc>
        <w:tc>
          <w:tcPr>
            <w:tcW w:w="396" w:type="pct"/>
            <w:tcBorders>
              <w:top w:val="nil"/>
              <w:left w:val="nil"/>
              <w:right w:val="nil"/>
            </w:tcBorders>
            <w:shd w:val="clear" w:color="auto" w:fill="auto"/>
            <w:noWrap/>
            <w:hideMark/>
          </w:tcPr>
          <w:p w14:paraId="6C552DA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367</w:t>
            </w:r>
          </w:p>
        </w:tc>
        <w:tc>
          <w:tcPr>
            <w:tcW w:w="396" w:type="pct"/>
            <w:tcBorders>
              <w:top w:val="nil"/>
              <w:left w:val="nil"/>
              <w:right w:val="nil"/>
            </w:tcBorders>
            <w:shd w:val="clear" w:color="auto" w:fill="auto"/>
            <w:noWrap/>
            <w:hideMark/>
          </w:tcPr>
          <w:p w14:paraId="1AC44EE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396</w:t>
            </w:r>
          </w:p>
        </w:tc>
        <w:tc>
          <w:tcPr>
            <w:tcW w:w="396" w:type="pct"/>
            <w:tcBorders>
              <w:top w:val="nil"/>
              <w:left w:val="nil"/>
              <w:right w:val="nil"/>
            </w:tcBorders>
            <w:shd w:val="clear" w:color="auto" w:fill="auto"/>
            <w:noWrap/>
            <w:hideMark/>
          </w:tcPr>
          <w:p w14:paraId="7813F6D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413</w:t>
            </w:r>
          </w:p>
        </w:tc>
        <w:tc>
          <w:tcPr>
            <w:tcW w:w="396" w:type="pct"/>
            <w:tcBorders>
              <w:top w:val="nil"/>
              <w:left w:val="nil"/>
              <w:right w:val="nil"/>
            </w:tcBorders>
            <w:shd w:val="clear" w:color="auto" w:fill="auto"/>
            <w:noWrap/>
            <w:hideMark/>
          </w:tcPr>
          <w:p w14:paraId="30F09647"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436</w:t>
            </w:r>
          </w:p>
        </w:tc>
        <w:tc>
          <w:tcPr>
            <w:tcW w:w="396" w:type="pct"/>
            <w:tcBorders>
              <w:top w:val="nil"/>
              <w:left w:val="nil"/>
              <w:right w:val="nil"/>
            </w:tcBorders>
            <w:shd w:val="clear" w:color="auto" w:fill="auto"/>
            <w:noWrap/>
            <w:hideMark/>
          </w:tcPr>
          <w:p w14:paraId="18C2006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459</w:t>
            </w:r>
          </w:p>
        </w:tc>
        <w:tc>
          <w:tcPr>
            <w:tcW w:w="396" w:type="pct"/>
            <w:tcBorders>
              <w:top w:val="nil"/>
              <w:left w:val="nil"/>
              <w:right w:val="nil"/>
            </w:tcBorders>
            <w:shd w:val="clear" w:color="auto" w:fill="auto"/>
            <w:noWrap/>
            <w:hideMark/>
          </w:tcPr>
          <w:p w14:paraId="65973F3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482</w:t>
            </w:r>
          </w:p>
        </w:tc>
        <w:tc>
          <w:tcPr>
            <w:tcW w:w="396" w:type="pct"/>
            <w:tcBorders>
              <w:top w:val="nil"/>
              <w:left w:val="nil"/>
              <w:right w:val="nil"/>
            </w:tcBorders>
            <w:shd w:val="clear" w:color="auto" w:fill="auto"/>
            <w:noWrap/>
            <w:hideMark/>
          </w:tcPr>
          <w:p w14:paraId="76623212"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514</w:t>
            </w:r>
          </w:p>
        </w:tc>
        <w:tc>
          <w:tcPr>
            <w:tcW w:w="396" w:type="pct"/>
            <w:tcBorders>
              <w:top w:val="nil"/>
              <w:left w:val="nil"/>
              <w:right w:val="nil"/>
            </w:tcBorders>
            <w:shd w:val="clear" w:color="auto" w:fill="auto"/>
            <w:noWrap/>
            <w:hideMark/>
          </w:tcPr>
          <w:p w14:paraId="3027C2B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545</w:t>
            </w:r>
          </w:p>
        </w:tc>
      </w:tr>
      <w:tr w:rsidR="008A657E" w:rsidRPr="0022572D" w14:paraId="328E7C92" w14:textId="77777777" w:rsidTr="009E6A99">
        <w:trPr>
          <w:trHeight w:val="315"/>
        </w:trPr>
        <w:tc>
          <w:tcPr>
            <w:tcW w:w="1038" w:type="pct"/>
            <w:tcBorders>
              <w:top w:val="nil"/>
              <w:left w:val="nil"/>
              <w:right w:val="nil"/>
            </w:tcBorders>
            <w:shd w:val="clear" w:color="auto" w:fill="auto"/>
            <w:noWrap/>
            <w:hideMark/>
          </w:tcPr>
          <w:p w14:paraId="01699BFF"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Nettonasjonalprodukt</w:t>
            </w:r>
          </w:p>
        </w:tc>
        <w:tc>
          <w:tcPr>
            <w:tcW w:w="396" w:type="pct"/>
            <w:tcBorders>
              <w:top w:val="nil"/>
              <w:left w:val="nil"/>
              <w:right w:val="nil"/>
            </w:tcBorders>
            <w:shd w:val="clear" w:color="auto" w:fill="auto"/>
            <w:noWrap/>
            <w:hideMark/>
          </w:tcPr>
          <w:p w14:paraId="4B9244F4"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1917</w:t>
            </w:r>
          </w:p>
        </w:tc>
        <w:tc>
          <w:tcPr>
            <w:tcW w:w="396" w:type="pct"/>
            <w:tcBorders>
              <w:top w:val="nil"/>
              <w:left w:val="nil"/>
              <w:right w:val="nil"/>
            </w:tcBorders>
            <w:shd w:val="clear" w:color="auto" w:fill="auto"/>
            <w:noWrap/>
            <w:hideMark/>
          </w:tcPr>
          <w:p w14:paraId="456C1926"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2019</w:t>
            </w:r>
          </w:p>
        </w:tc>
        <w:tc>
          <w:tcPr>
            <w:tcW w:w="396" w:type="pct"/>
            <w:tcBorders>
              <w:top w:val="nil"/>
              <w:left w:val="nil"/>
              <w:right w:val="nil"/>
            </w:tcBorders>
            <w:shd w:val="clear" w:color="auto" w:fill="auto"/>
            <w:noWrap/>
            <w:hideMark/>
          </w:tcPr>
          <w:p w14:paraId="5F0D910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2239</w:t>
            </w:r>
          </w:p>
        </w:tc>
        <w:tc>
          <w:tcPr>
            <w:tcW w:w="396" w:type="pct"/>
            <w:tcBorders>
              <w:top w:val="nil"/>
              <w:left w:val="nil"/>
              <w:right w:val="nil"/>
            </w:tcBorders>
            <w:shd w:val="clear" w:color="auto" w:fill="auto"/>
            <w:noWrap/>
            <w:hideMark/>
          </w:tcPr>
          <w:p w14:paraId="2682C684"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2034</w:t>
            </w:r>
          </w:p>
        </w:tc>
        <w:tc>
          <w:tcPr>
            <w:tcW w:w="396" w:type="pct"/>
            <w:tcBorders>
              <w:top w:val="nil"/>
              <w:left w:val="nil"/>
              <w:right w:val="nil"/>
            </w:tcBorders>
            <w:shd w:val="clear" w:color="auto" w:fill="auto"/>
            <w:noWrap/>
            <w:hideMark/>
          </w:tcPr>
          <w:p w14:paraId="0206762C"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2177</w:t>
            </w:r>
          </w:p>
        </w:tc>
        <w:tc>
          <w:tcPr>
            <w:tcW w:w="396" w:type="pct"/>
            <w:tcBorders>
              <w:top w:val="nil"/>
              <w:left w:val="nil"/>
              <w:right w:val="nil"/>
            </w:tcBorders>
            <w:shd w:val="clear" w:color="auto" w:fill="auto"/>
            <w:noWrap/>
            <w:hideMark/>
          </w:tcPr>
          <w:p w14:paraId="4CF01CA6"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2356</w:t>
            </w:r>
          </w:p>
        </w:tc>
        <w:tc>
          <w:tcPr>
            <w:tcW w:w="396" w:type="pct"/>
            <w:tcBorders>
              <w:top w:val="nil"/>
              <w:left w:val="nil"/>
              <w:right w:val="nil"/>
            </w:tcBorders>
            <w:shd w:val="clear" w:color="auto" w:fill="auto"/>
            <w:noWrap/>
            <w:hideMark/>
          </w:tcPr>
          <w:p w14:paraId="3287DBA8"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2506</w:t>
            </w:r>
          </w:p>
        </w:tc>
        <w:tc>
          <w:tcPr>
            <w:tcW w:w="396" w:type="pct"/>
            <w:tcBorders>
              <w:top w:val="nil"/>
              <w:left w:val="nil"/>
              <w:right w:val="nil"/>
            </w:tcBorders>
            <w:shd w:val="clear" w:color="auto" w:fill="auto"/>
            <w:noWrap/>
            <w:hideMark/>
          </w:tcPr>
          <w:p w14:paraId="2102943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2589</w:t>
            </w:r>
          </w:p>
        </w:tc>
        <w:tc>
          <w:tcPr>
            <w:tcW w:w="396" w:type="pct"/>
            <w:tcBorders>
              <w:top w:val="nil"/>
              <w:left w:val="nil"/>
              <w:right w:val="nil"/>
            </w:tcBorders>
            <w:shd w:val="clear" w:color="auto" w:fill="auto"/>
            <w:noWrap/>
            <w:hideMark/>
          </w:tcPr>
          <w:p w14:paraId="7AFD2087"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2640</w:t>
            </w:r>
          </w:p>
        </w:tc>
        <w:tc>
          <w:tcPr>
            <w:tcW w:w="396" w:type="pct"/>
            <w:tcBorders>
              <w:top w:val="nil"/>
              <w:left w:val="nil"/>
              <w:right w:val="nil"/>
            </w:tcBorders>
            <w:shd w:val="clear" w:color="auto" w:fill="auto"/>
            <w:noWrap/>
            <w:hideMark/>
          </w:tcPr>
          <w:p w14:paraId="5BD5C25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2596</w:t>
            </w:r>
          </w:p>
        </w:tc>
      </w:tr>
      <w:tr w:rsidR="008A657E" w:rsidRPr="0022572D" w14:paraId="41440BB7" w14:textId="77777777" w:rsidTr="009E6A99">
        <w:trPr>
          <w:trHeight w:val="315"/>
        </w:trPr>
        <w:tc>
          <w:tcPr>
            <w:tcW w:w="1038" w:type="pct"/>
            <w:tcBorders>
              <w:top w:val="nil"/>
              <w:left w:val="nil"/>
              <w:right w:val="nil"/>
            </w:tcBorders>
            <w:shd w:val="clear" w:color="auto" w:fill="auto"/>
            <w:noWrap/>
            <w:hideMark/>
          </w:tcPr>
          <w:p w14:paraId="1F4DC083"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Formuesinntekt mv., netto</w:t>
            </w:r>
          </w:p>
        </w:tc>
        <w:tc>
          <w:tcPr>
            <w:tcW w:w="396" w:type="pct"/>
            <w:tcBorders>
              <w:top w:val="nil"/>
              <w:left w:val="nil"/>
              <w:right w:val="nil"/>
            </w:tcBorders>
            <w:shd w:val="clear" w:color="auto" w:fill="auto"/>
            <w:noWrap/>
            <w:hideMark/>
          </w:tcPr>
          <w:p w14:paraId="04DF2268"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w:t>
            </w:r>
          </w:p>
        </w:tc>
        <w:tc>
          <w:tcPr>
            <w:tcW w:w="396" w:type="pct"/>
            <w:tcBorders>
              <w:top w:val="nil"/>
              <w:left w:val="nil"/>
              <w:right w:val="nil"/>
            </w:tcBorders>
            <w:shd w:val="clear" w:color="auto" w:fill="auto"/>
            <w:noWrap/>
            <w:hideMark/>
          </w:tcPr>
          <w:p w14:paraId="7F37A7D3"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-7</w:t>
            </w:r>
          </w:p>
        </w:tc>
        <w:tc>
          <w:tcPr>
            <w:tcW w:w="396" w:type="pct"/>
            <w:tcBorders>
              <w:top w:val="nil"/>
              <w:left w:val="nil"/>
              <w:right w:val="nil"/>
            </w:tcBorders>
            <w:shd w:val="clear" w:color="auto" w:fill="auto"/>
            <w:noWrap/>
            <w:hideMark/>
          </w:tcPr>
          <w:p w14:paraId="152E44C3"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-12</w:t>
            </w:r>
          </w:p>
        </w:tc>
        <w:tc>
          <w:tcPr>
            <w:tcW w:w="396" w:type="pct"/>
            <w:tcBorders>
              <w:top w:val="nil"/>
              <w:left w:val="nil"/>
              <w:right w:val="nil"/>
            </w:tcBorders>
            <w:shd w:val="clear" w:color="auto" w:fill="auto"/>
            <w:noWrap/>
            <w:hideMark/>
          </w:tcPr>
          <w:p w14:paraId="2B10B11A"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13</w:t>
            </w:r>
          </w:p>
        </w:tc>
        <w:tc>
          <w:tcPr>
            <w:tcW w:w="396" w:type="pct"/>
            <w:tcBorders>
              <w:top w:val="nil"/>
              <w:left w:val="nil"/>
              <w:right w:val="nil"/>
            </w:tcBorders>
            <w:shd w:val="clear" w:color="auto" w:fill="auto"/>
            <w:noWrap/>
            <w:hideMark/>
          </w:tcPr>
          <w:p w14:paraId="3A66F82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28</w:t>
            </w:r>
          </w:p>
        </w:tc>
        <w:tc>
          <w:tcPr>
            <w:tcW w:w="396" w:type="pct"/>
            <w:tcBorders>
              <w:top w:val="nil"/>
              <w:left w:val="nil"/>
              <w:right w:val="nil"/>
            </w:tcBorders>
            <w:shd w:val="clear" w:color="auto" w:fill="auto"/>
            <w:noWrap/>
            <w:hideMark/>
          </w:tcPr>
          <w:p w14:paraId="1B49E0FC"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26</w:t>
            </w:r>
          </w:p>
        </w:tc>
        <w:tc>
          <w:tcPr>
            <w:tcW w:w="396" w:type="pct"/>
            <w:tcBorders>
              <w:top w:val="nil"/>
              <w:left w:val="nil"/>
              <w:right w:val="nil"/>
            </w:tcBorders>
            <w:shd w:val="clear" w:color="auto" w:fill="auto"/>
            <w:noWrap/>
            <w:hideMark/>
          </w:tcPr>
          <w:p w14:paraId="7C48D29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24</w:t>
            </w:r>
          </w:p>
        </w:tc>
        <w:tc>
          <w:tcPr>
            <w:tcW w:w="396" w:type="pct"/>
            <w:tcBorders>
              <w:top w:val="nil"/>
              <w:left w:val="nil"/>
              <w:right w:val="nil"/>
            </w:tcBorders>
            <w:shd w:val="clear" w:color="auto" w:fill="auto"/>
            <w:noWrap/>
            <w:hideMark/>
          </w:tcPr>
          <w:p w14:paraId="10C43A7C"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33</w:t>
            </w:r>
          </w:p>
        </w:tc>
        <w:tc>
          <w:tcPr>
            <w:tcW w:w="396" w:type="pct"/>
            <w:tcBorders>
              <w:top w:val="nil"/>
              <w:left w:val="nil"/>
              <w:right w:val="nil"/>
            </w:tcBorders>
            <w:shd w:val="clear" w:color="auto" w:fill="auto"/>
            <w:noWrap/>
            <w:hideMark/>
          </w:tcPr>
          <w:p w14:paraId="5304671C"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137</w:t>
            </w:r>
          </w:p>
        </w:tc>
        <w:tc>
          <w:tcPr>
            <w:tcW w:w="396" w:type="pct"/>
            <w:tcBorders>
              <w:top w:val="nil"/>
              <w:left w:val="nil"/>
              <w:right w:val="nil"/>
            </w:tcBorders>
            <w:shd w:val="clear" w:color="auto" w:fill="auto"/>
            <w:noWrap/>
          </w:tcPr>
          <w:p w14:paraId="6AF4829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175</w:t>
            </w:r>
          </w:p>
        </w:tc>
      </w:tr>
      <w:tr w:rsidR="008A657E" w:rsidRPr="0022572D" w14:paraId="5EEA29E4" w14:textId="77777777" w:rsidTr="009E6A99">
        <w:trPr>
          <w:trHeight w:val="315"/>
        </w:trPr>
        <w:tc>
          <w:tcPr>
            <w:tcW w:w="1038" w:type="pct"/>
            <w:tcBorders>
              <w:top w:val="nil"/>
              <w:left w:val="nil"/>
              <w:right w:val="nil"/>
            </w:tcBorders>
            <w:shd w:val="clear" w:color="auto" w:fill="auto"/>
            <w:noWrap/>
            <w:hideMark/>
          </w:tcPr>
          <w:p w14:paraId="6A82525B"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Nasjonalinntekt</w:t>
            </w:r>
          </w:p>
        </w:tc>
        <w:tc>
          <w:tcPr>
            <w:tcW w:w="396" w:type="pct"/>
            <w:tcBorders>
              <w:top w:val="nil"/>
              <w:left w:val="nil"/>
              <w:right w:val="nil"/>
            </w:tcBorders>
            <w:shd w:val="clear" w:color="auto" w:fill="auto"/>
            <w:noWrap/>
            <w:hideMark/>
          </w:tcPr>
          <w:p w14:paraId="249E55F6"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1919</w:t>
            </w:r>
          </w:p>
        </w:tc>
        <w:tc>
          <w:tcPr>
            <w:tcW w:w="396" w:type="pct"/>
            <w:tcBorders>
              <w:top w:val="nil"/>
              <w:left w:val="nil"/>
              <w:right w:val="nil"/>
            </w:tcBorders>
            <w:shd w:val="clear" w:color="auto" w:fill="auto"/>
            <w:noWrap/>
            <w:hideMark/>
          </w:tcPr>
          <w:p w14:paraId="69547D3B"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2011</w:t>
            </w:r>
          </w:p>
        </w:tc>
        <w:tc>
          <w:tcPr>
            <w:tcW w:w="396" w:type="pct"/>
            <w:tcBorders>
              <w:top w:val="nil"/>
              <w:left w:val="nil"/>
              <w:right w:val="nil"/>
            </w:tcBorders>
            <w:shd w:val="clear" w:color="auto" w:fill="auto"/>
            <w:noWrap/>
            <w:hideMark/>
          </w:tcPr>
          <w:p w14:paraId="6955297B"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2227</w:t>
            </w:r>
          </w:p>
        </w:tc>
        <w:tc>
          <w:tcPr>
            <w:tcW w:w="396" w:type="pct"/>
            <w:tcBorders>
              <w:top w:val="nil"/>
              <w:left w:val="nil"/>
              <w:right w:val="nil"/>
            </w:tcBorders>
            <w:shd w:val="clear" w:color="auto" w:fill="auto"/>
            <w:noWrap/>
            <w:hideMark/>
          </w:tcPr>
          <w:p w14:paraId="032546DA"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2047</w:t>
            </w:r>
          </w:p>
        </w:tc>
        <w:tc>
          <w:tcPr>
            <w:tcW w:w="396" w:type="pct"/>
            <w:tcBorders>
              <w:top w:val="nil"/>
              <w:left w:val="nil"/>
              <w:right w:val="nil"/>
            </w:tcBorders>
            <w:shd w:val="clear" w:color="auto" w:fill="auto"/>
            <w:noWrap/>
            <w:hideMark/>
          </w:tcPr>
          <w:p w14:paraId="481BD3A4"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2205</w:t>
            </w:r>
          </w:p>
        </w:tc>
        <w:tc>
          <w:tcPr>
            <w:tcW w:w="396" w:type="pct"/>
            <w:tcBorders>
              <w:top w:val="nil"/>
              <w:left w:val="nil"/>
              <w:right w:val="nil"/>
            </w:tcBorders>
            <w:shd w:val="clear" w:color="auto" w:fill="auto"/>
            <w:noWrap/>
            <w:hideMark/>
          </w:tcPr>
          <w:p w14:paraId="6E93082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2383</w:t>
            </w:r>
          </w:p>
        </w:tc>
        <w:tc>
          <w:tcPr>
            <w:tcW w:w="396" w:type="pct"/>
            <w:tcBorders>
              <w:top w:val="nil"/>
              <w:left w:val="nil"/>
              <w:right w:val="nil"/>
            </w:tcBorders>
            <w:shd w:val="clear" w:color="auto" w:fill="auto"/>
            <w:noWrap/>
            <w:hideMark/>
          </w:tcPr>
          <w:p w14:paraId="19ABCAC2"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2531</w:t>
            </w:r>
          </w:p>
        </w:tc>
        <w:tc>
          <w:tcPr>
            <w:tcW w:w="396" w:type="pct"/>
            <w:tcBorders>
              <w:top w:val="nil"/>
              <w:left w:val="nil"/>
              <w:right w:val="nil"/>
            </w:tcBorders>
            <w:shd w:val="clear" w:color="auto" w:fill="auto"/>
            <w:noWrap/>
            <w:hideMark/>
          </w:tcPr>
          <w:p w14:paraId="6E8E3630"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2622</w:t>
            </w:r>
          </w:p>
        </w:tc>
        <w:tc>
          <w:tcPr>
            <w:tcW w:w="396" w:type="pct"/>
            <w:tcBorders>
              <w:top w:val="nil"/>
              <w:left w:val="nil"/>
              <w:right w:val="nil"/>
            </w:tcBorders>
            <w:shd w:val="clear" w:color="auto" w:fill="auto"/>
            <w:noWrap/>
            <w:hideMark/>
          </w:tcPr>
          <w:p w14:paraId="60C1B4BD"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2777</w:t>
            </w:r>
          </w:p>
        </w:tc>
        <w:tc>
          <w:tcPr>
            <w:tcW w:w="396" w:type="pct"/>
            <w:tcBorders>
              <w:top w:val="nil"/>
              <w:left w:val="nil"/>
              <w:right w:val="nil"/>
            </w:tcBorders>
            <w:shd w:val="clear" w:color="auto" w:fill="auto"/>
            <w:noWrap/>
            <w:hideMark/>
          </w:tcPr>
          <w:p w14:paraId="023FA6A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2770</w:t>
            </w:r>
          </w:p>
        </w:tc>
      </w:tr>
      <w:tr w:rsidR="008A657E" w:rsidRPr="0022572D" w14:paraId="19E3EA93" w14:textId="77777777" w:rsidTr="009E6A99">
        <w:trPr>
          <w:trHeight w:val="315"/>
        </w:trPr>
        <w:tc>
          <w:tcPr>
            <w:tcW w:w="1038" w:type="pct"/>
            <w:tcBorders>
              <w:top w:val="nil"/>
              <w:left w:val="nil"/>
              <w:right w:val="nil"/>
            </w:tcBorders>
            <w:shd w:val="clear" w:color="auto" w:fill="auto"/>
            <w:noWrap/>
            <w:hideMark/>
          </w:tcPr>
          <w:p w14:paraId="5855F103"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Stønader mv., netto</w:t>
            </w:r>
          </w:p>
        </w:tc>
        <w:tc>
          <w:tcPr>
            <w:tcW w:w="396" w:type="pct"/>
            <w:tcBorders>
              <w:top w:val="nil"/>
              <w:left w:val="nil"/>
              <w:right w:val="nil"/>
            </w:tcBorders>
            <w:shd w:val="clear" w:color="auto" w:fill="auto"/>
            <w:noWrap/>
            <w:hideMark/>
          </w:tcPr>
          <w:p w14:paraId="740BE11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-19</w:t>
            </w:r>
          </w:p>
        </w:tc>
        <w:tc>
          <w:tcPr>
            <w:tcW w:w="396" w:type="pct"/>
            <w:tcBorders>
              <w:top w:val="nil"/>
              <w:left w:val="nil"/>
              <w:right w:val="nil"/>
            </w:tcBorders>
            <w:shd w:val="clear" w:color="auto" w:fill="auto"/>
            <w:noWrap/>
            <w:hideMark/>
          </w:tcPr>
          <w:p w14:paraId="06C844B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-21</w:t>
            </w:r>
          </w:p>
        </w:tc>
        <w:tc>
          <w:tcPr>
            <w:tcW w:w="396" w:type="pct"/>
            <w:tcBorders>
              <w:top w:val="nil"/>
              <w:left w:val="nil"/>
              <w:right w:val="nil"/>
            </w:tcBorders>
            <w:shd w:val="clear" w:color="auto" w:fill="auto"/>
            <w:noWrap/>
            <w:hideMark/>
          </w:tcPr>
          <w:p w14:paraId="4C011465"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w:t>
            </w:r>
          </w:p>
        </w:tc>
        <w:tc>
          <w:tcPr>
            <w:tcW w:w="396" w:type="pct"/>
            <w:tcBorders>
              <w:top w:val="nil"/>
              <w:left w:val="nil"/>
              <w:right w:val="nil"/>
            </w:tcBorders>
            <w:shd w:val="clear" w:color="auto" w:fill="auto"/>
            <w:noWrap/>
            <w:hideMark/>
          </w:tcPr>
          <w:p w14:paraId="60784074"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-30</w:t>
            </w:r>
          </w:p>
        </w:tc>
        <w:tc>
          <w:tcPr>
            <w:tcW w:w="396" w:type="pct"/>
            <w:tcBorders>
              <w:top w:val="nil"/>
              <w:left w:val="nil"/>
              <w:right w:val="nil"/>
            </w:tcBorders>
            <w:shd w:val="clear" w:color="auto" w:fill="auto"/>
            <w:noWrap/>
            <w:hideMark/>
          </w:tcPr>
          <w:p w14:paraId="004D9336"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-36</w:t>
            </w:r>
          </w:p>
        </w:tc>
        <w:tc>
          <w:tcPr>
            <w:tcW w:w="396" w:type="pct"/>
            <w:tcBorders>
              <w:top w:val="nil"/>
              <w:left w:val="nil"/>
              <w:right w:val="nil"/>
            </w:tcBorders>
            <w:shd w:val="clear" w:color="auto" w:fill="auto"/>
            <w:noWrap/>
            <w:hideMark/>
          </w:tcPr>
          <w:p w14:paraId="3B1535C4"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-40</w:t>
            </w:r>
          </w:p>
        </w:tc>
        <w:tc>
          <w:tcPr>
            <w:tcW w:w="396" w:type="pct"/>
            <w:tcBorders>
              <w:top w:val="nil"/>
              <w:left w:val="nil"/>
              <w:right w:val="nil"/>
            </w:tcBorders>
            <w:shd w:val="clear" w:color="auto" w:fill="auto"/>
            <w:noWrap/>
            <w:hideMark/>
          </w:tcPr>
          <w:p w14:paraId="37BC6E0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-39</w:t>
            </w:r>
          </w:p>
        </w:tc>
        <w:tc>
          <w:tcPr>
            <w:tcW w:w="396" w:type="pct"/>
            <w:tcBorders>
              <w:top w:val="nil"/>
              <w:left w:val="nil"/>
              <w:right w:val="nil"/>
            </w:tcBorders>
            <w:shd w:val="clear" w:color="auto" w:fill="auto"/>
            <w:noWrap/>
            <w:hideMark/>
          </w:tcPr>
          <w:p w14:paraId="52D6ECBF"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-47</w:t>
            </w:r>
          </w:p>
        </w:tc>
        <w:tc>
          <w:tcPr>
            <w:tcW w:w="396" w:type="pct"/>
            <w:tcBorders>
              <w:top w:val="nil"/>
              <w:left w:val="nil"/>
              <w:right w:val="nil"/>
            </w:tcBorders>
            <w:shd w:val="clear" w:color="auto" w:fill="auto"/>
            <w:noWrap/>
            <w:hideMark/>
          </w:tcPr>
          <w:p w14:paraId="1A45372D"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-49</w:t>
            </w:r>
          </w:p>
        </w:tc>
        <w:tc>
          <w:tcPr>
            <w:tcW w:w="396" w:type="pct"/>
            <w:tcBorders>
              <w:top w:val="nil"/>
              <w:left w:val="nil"/>
              <w:right w:val="nil"/>
            </w:tcBorders>
            <w:shd w:val="clear" w:color="auto" w:fill="auto"/>
            <w:noWrap/>
            <w:hideMark/>
          </w:tcPr>
          <w:p w14:paraId="6C62806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-58</w:t>
            </w:r>
          </w:p>
        </w:tc>
      </w:tr>
      <w:tr w:rsidR="008A657E" w:rsidRPr="0022572D" w14:paraId="710B2341" w14:textId="77777777" w:rsidTr="009E6A99">
        <w:trPr>
          <w:trHeight w:val="315"/>
        </w:trPr>
        <w:tc>
          <w:tcPr>
            <w:tcW w:w="1038" w:type="pct"/>
            <w:tcBorders>
              <w:left w:val="nil"/>
              <w:bottom w:val="single" w:sz="8" w:space="0" w:color="auto"/>
              <w:right w:val="nil"/>
            </w:tcBorders>
            <w:shd w:val="clear" w:color="auto" w:fill="auto"/>
            <w:noWrap/>
            <w:hideMark/>
          </w:tcPr>
          <w:p w14:paraId="57AABB14" w14:textId="77777777" w:rsidR="008A657E" w:rsidRPr="009E6A99" w:rsidRDefault="008A657E" w:rsidP="008A657E">
            <w:pPr>
              <w:autoSpaceDE w:val="0"/>
              <w:autoSpaceDN w:val="0"/>
              <w:adjustRightInd w:val="0"/>
              <w:spacing w:after="0"/>
              <w:rPr>
                <w:rFonts w:ascii="Times New Roman" w:eastAsia="Times New Roman" w:hAnsi="Times New Roman"/>
                <w:color w:val="000000"/>
                <w:sz w:val="18"/>
                <w:szCs w:val="18"/>
              </w:rPr>
            </w:pPr>
            <w:r w:rsidRPr="009E6A99">
              <w:rPr>
                <w:rFonts w:ascii="Times New Roman" w:eastAsia="Times New Roman" w:hAnsi="Times New Roman"/>
                <w:color w:val="000000"/>
                <w:sz w:val="18"/>
                <w:szCs w:val="18"/>
              </w:rPr>
              <w:t>= Disponibel inntekt for Norge</w:t>
            </w:r>
          </w:p>
        </w:tc>
        <w:tc>
          <w:tcPr>
            <w:tcW w:w="396" w:type="pct"/>
            <w:tcBorders>
              <w:left w:val="nil"/>
              <w:bottom w:val="single" w:sz="8" w:space="0" w:color="auto"/>
              <w:right w:val="nil"/>
            </w:tcBorders>
            <w:shd w:val="clear" w:color="auto" w:fill="auto"/>
            <w:noWrap/>
            <w:hideMark/>
          </w:tcPr>
          <w:p w14:paraId="4BD7D883"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1900</w:t>
            </w:r>
          </w:p>
        </w:tc>
        <w:tc>
          <w:tcPr>
            <w:tcW w:w="396" w:type="pct"/>
            <w:tcBorders>
              <w:left w:val="nil"/>
              <w:bottom w:val="single" w:sz="8" w:space="0" w:color="auto"/>
              <w:right w:val="nil"/>
            </w:tcBorders>
            <w:shd w:val="clear" w:color="auto" w:fill="auto"/>
            <w:noWrap/>
            <w:hideMark/>
          </w:tcPr>
          <w:p w14:paraId="329A0929"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1991</w:t>
            </w:r>
          </w:p>
        </w:tc>
        <w:tc>
          <w:tcPr>
            <w:tcW w:w="396" w:type="pct"/>
            <w:tcBorders>
              <w:left w:val="nil"/>
              <w:bottom w:val="single" w:sz="8" w:space="0" w:color="auto"/>
              <w:right w:val="nil"/>
            </w:tcBorders>
            <w:shd w:val="clear" w:color="auto" w:fill="auto"/>
            <w:noWrap/>
            <w:hideMark/>
          </w:tcPr>
          <w:p w14:paraId="5A5E2F2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2205</w:t>
            </w:r>
          </w:p>
        </w:tc>
        <w:tc>
          <w:tcPr>
            <w:tcW w:w="396" w:type="pct"/>
            <w:tcBorders>
              <w:left w:val="nil"/>
              <w:bottom w:val="single" w:sz="8" w:space="0" w:color="auto"/>
              <w:right w:val="nil"/>
            </w:tcBorders>
            <w:shd w:val="clear" w:color="auto" w:fill="auto"/>
            <w:noWrap/>
            <w:hideMark/>
          </w:tcPr>
          <w:p w14:paraId="6A42D888"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2018</w:t>
            </w:r>
          </w:p>
        </w:tc>
        <w:tc>
          <w:tcPr>
            <w:tcW w:w="396" w:type="pct"/>
            <w:tcBorders>
              <w:left w:val="nil"/>
              <w:bottom w:val="single" w:sz="8" w:space="0" w:color="auto"/>
              <w:right w:val="nil"/>
            </w:tcBorders>
            <w:shd w:val="clear" w:color="auto" w:fill="auto"/>
            <w:noWrap/>
            <w:hideMark/>
          </w:tcPr>
          <w:p w14:paraId="2179C78E"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2169</w:t>
            </w:r>
          </w:p>
        </w:tc>
        <w:tc>
          <w:tcPr>
            <w:tcW w:w="396" w:type="pct"/>
            <w:tcBorders>
              <w:left w:val="nil"/>
              <w:bottom w:val="single" w:sz="8" w:space="0" w:color="auto"/>
              <w:right w:val="nil"/>
            </w:tcBorders>
            <w:shd w:val="clear" w:color="auto" w:fill="auto"/>
            <w:noWrap/>
            <w:hideMark/>
          </w:tcPr>
          <w:p w14:paraId="57E94683"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2343</w:t>
            </w:r>
          </w:p>
        </w:tc>
        <w:tc>
          <w:tcPr>
            <w:tcW w:w="396" w:type="pct"/>
            <w:tcBorders>
              <w:left w:val="nil"/>
              <w:bottom w:val="single" w:sz="8" w:space="0" w:color="auto"/>
              <w:right w:val="nil"/>
            </w:tcBorders>
            <w:shd w:val="clear" w:color="auto" w:fill="auto"/>
            <w:noWrap/>
            <w:hideMark/>
          </w:tcPr>
          <w:p w14:paraId="2B42E4B6"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2491</w:t>
            </w:r>
          </w:p>
        </w:tc>
        <w:tc>
          <w:tcPr>
            <w:tcW w:w="396" w:type="pct"/>
            <w:tcBorders>
              <w:left w:val="nil"/>
              <w:bottom w:val="single" w:sz="8" w:space="0" w:color="auto"/>
              <w:right w:val="nil"/>
            </w:tcBorders>
            <w:shd w:val="clear" w:color="auto" w:fill="auto"/>
            <w:noWrap/>
            <w:hideMark/>
          </w:tcPr>
          <w:p w14:paraId="404CDAC8"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2575</w:t>
            </w:r>
          </w:p>
        </w:tc>
        <w:tc>
          <w:tcPr>
            <w:tcW w:w="396" w:type="pct"/>
            <w:tcBorders>
              <w:left w:val="nil"/>
              <w:bottom w:val="single" w:sz="8" w:space="0" w:color="auto"/>
              <w:right w:val="nil"/>
            </w:tcBorders>
            <w:shd w:val="clear" w:color="auto" w:fill="auto"/>
            <w:noWrap/>
            <w:hideMark/>
          </w:tcPr>
          <w:p w14:paraId="5F71FB21"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2728</w:t>
            </w:r>
          </w:p>
        </w:tc>
        <w:tc>
          <w:tcPr>
            <w:tcW w:w="396" w:type="pct"/>
            <w:tcBorders>
              <w:left w:val="nil"/>
              <w:bottom w:val="single" w:sz="8" w:space="0" w:color="auto"/>
              <w:right w:val="nil"/>
            </w:tcBorders>
            <w:shd w:val="clear" w:color="auto" w:fill="auto"/>
            <w:noWrap/>
          </w:tcPr>
          <w:p w14:paraId="32BBFDFA" w14:textId="77777777" w:rsidR="008A657E" w:rsidRPr="009E6A99" w:rsidRDefault="008A657E" w:rsidP="008A657E">
            <w:pPr>
              <w:autoSpaceDE w:val="0"/>
              <w:autoSpaceDN w:val="0"/>
              <w:adjustRightInd w:val="0"/>
              <w:spacing w:after="0"/>
              <w:jc w:val="right"/>
              <w:rPr>
                <w:rFonts w:ascii="Times New Roman" w:eastAsia="Times New Roman" w:hAnsi="Times New Roman"/>
                <w:color w:val="000000"/>
                <w:sz w:val="16"/>
                <w:szCs w:val="16"/>
              </w:rPr>
            </w:pPr>
            <w:r w:rsidRPr="009E6A99">
              <w:rPr>
                <w:rFonts w:ascii="Times New Roman" w:eastAsia="Times New Roman" w:hAnsi="Times New Roman"/>
                <w:color w:val="000000"/>
                <w:sz w:val="16"/>
                <w:szCs w:val="16"/>
              </w:rPr>
              <w:t>2712</w:t>
            </w:r>
          </w:p>
        </w:tc>
      </w:tr>
    </w:tbl>
    <w:p w14:paraId="535460BC" w14:textId="77777777" w:rsidR="008A657E" w:rsidRPr="00CB4861" w:rsidRDefault="008A657E" w:rsidP="008E4002">
      <w:pPr>
        <w:pStyle w:val="tabell-noter"/>
        <w:spacing w:before="0" w:after="0"/>
        <w:rPr>
          <w:noProof/>
        </w:rPr>
      </w:pPr>
      <w:r w:rsidRPr="00CB4861">
        <w:t xml:space="preserve">* </w:t>
      </w:r>
      <w:r w:rsidRPr="00CB4861">
        <w:rPr>
          <w:noProof/>
        </w:rPr>
        <w:t>Foreløpige tall</w:t>
      </w:r>
      <w:r>
        <w:rPr>
          <w:noProof/>
        </w:rPr>
        <w:t>. Netto formuesinntekter og stønader i 2015 er basert på de tre første kvartalene.</w:t>
      </w:r>
    </w:p>
    <w:p w14:paraId="670FEA54" w14:textId="7200EC84" w:rsidR="008A657E" w:rsidRPr="00DA2C4A" w:rsidRDefault="008A657E" w:rsidP="008643D6">
      <w:pPr>
        <w:pStyle w:val="tabell-noter"/>
        <w:numPr>
          <w:ilvl w:val="0"/>
          <w:numId w:val="94"/>
        </w:numPr>
        <w:tabs>
          <w:tab w:val="clear" w:pos="284"/>
        </w:tabs>
        <w:spacing w:before="0" w:after="0"/>
        <w:ind w:left="142" w:hanging="142"/>
        <w:rPr>
          <w:noProof/>
        </w:rPr>
      </w:pPr>
      <w:r w:rsidRPr="008E4002">
        <w:rPr>
          <w:rStyle w:val="KildeTegn"/>
        </w:rPr>
        <w:t>Uoverensstemmelser</w:t>
      </w:r>
      <w:r w:rsidRPr="00CB4861">
        <w:rPr>
          <w:noProof/>
        </w:rPr>
        <w:t xml:space="preserve"> i tabellen skyldes avrunding.</w:t>
      </w:r>
    </w:p>
    <w:p w14:paraId="689D9724" w14:textId="26A0FE52" w:rsidR="008A657E" w:rsidRPr="00CB4861" w:rsidRDefault="00AE1F5C" w:rsidP="008E4002">
      <w:pPr>
        <w:pStyle w:val="Kilde"/>
        <w:spacing w:before="120"/>
        <w:rPr>
          <w:noProof/>
        </w:rPr>
      </w:pPr>
      <w:r w:rsidRPr="00CB4861">
        <w:rPr>
          <w:noProof/>
        </w:rPr>
        <w:t>Kil</w:t>
      </w:r>
      <w:r>
        <w:rPr>
          <w:noProof/>
        </w:rPr>
        <w:t>de</w:t>
      </w:r>
      <w:r w:rsidR="00901A5E">
        <w:rPr>
          <w:noProof/>
        </w:rPr>
        <w:t>r</w:t>
      </w:r>
      <w:r>
        <w:rPr>
          <w:noProof/>
        </w:rPr>
        <w:t>: Statistisk sentralbyrå og Beregningsutvalget</w:t>
      </w:r>
    </w:p>
    <w:p w14:paraId="00BC3F3C" w14:textId="55028D02" w:rsidR="008A657E" w:rsidRPr="00CB4861" w:rsidRDefault="008A657E" w:rsidP="008A657E">
      <w:pPr>
        <w:spacing w:after="240"/>
        <w:rPr>
          <w:rFonts w:ascii="Times New Roman" w:eastAsia="Times New Roman" w:hAnsi="Times New Roman"/>
          <w:noProof/>
        </w:rPr>
      </w:pPr>
      <w:r w:rsidRPr="00CB4861">
        <w:rPr>
          <w:rFonts w:ascii="Times New Roman" w:eastAsia="Times New Roman" w:hAnsi="Times New Roman"/>
          <w:i/>
          <w:iCs/>
          <w:noProof/>
          <w:color w:val="000000"/>
        </w:rPr>
        <w:t>Disponibel realinntekt</w:t>
      </w:r>
      <w:r w:rsidRPr="00CB4861">
        <w:rPr>
          <w:rFonts w:ascii="Times New Roman" w:eastAsia="Times New Roman" w:hAnsi="Times New Roman"/>
          <w:noProof/>
          <w:color w:val="000000"/>
        </w:rPr>
        <w:t xml:space="preserve"> for Norge </w:t>
      </w:r>
      <w:r>
        <w:rPr>
          <w:rFonts w:ascii="Times New Roman" w:eastAsia="Times New Roman" w:hAnsi="Times New Roman"/>
          <w:noProof/>
          <w:color w:val="000000"/>
        </w:rPr>
        <w:t>falt med 2,6 prosent fra 2014 til 2015, mot en vekst på 3,5 prosent i 2014.</w:t>
      </w:r>
      <w:r w:rsidRPr="00CB4861">
        <w:rPr>
          <w:rFonts w:ascii="Times New Roman" w:eastAsia="Times New Roman" w:hAnsi="Times New Roman"/>
          <w:noProof/>
          <w:color w:val="000000"/>
        </w:rPr>
        <w:t xml:space="preserve"> </w:t>
      </w:r>
      <w:r w:rsidRPr="00093534">
        <w:rPr>
          <w:rFonts w:ascii="Times New Roman" w:eastAsia="Times New Roman" w:hAnsi="Times New Roman"/>
          <w:i/>
          <w:noProof/>
          <w:color w:val="000000"/>
        </w:rPr>
        <w:t>P</w:t>
      </w:r>
      <w:r w:rsidRPr="00CB4861">
        <w:rPr>
          <w:rFonts w:ascii="Times New Roman" w:eastAsia="Times New Roman" w:hAnsi="Times New Roman"/>
          <w:i/>
          <w:noProof/>
          <w:color w:val="000000"/>
        </w:rPr>
        <w:t xml:space="preserve">roduksjonsvekst og endring i rente- og stønadsbalansen </w:t>
      </w:r>
      <w:r w:rsidRPr="00CB4861">
        <w:rPr>
          <w:rFonts w:ascii="Times New Roman" w:eastAsia="Times New Roman" w:hAnsi="Times New Roman"/>
          <w:noProof/>
          <w:color w:val="000000"/>
        </w:rPr>
        <w:t xml:space="preserve">bidro positivt, mens </w:t>
      </w:r>
      <w:r>
        <w:rPr>
          <w:rFonts w:ascii="Times New Roman" w:eastAsia="Times New Roman" w:hAnsi="Times New Roman"/>
          <w:noProof/>
          <w:color w:val="000000"/>
        </w:rPr>
        <w:t>endring</w:t>
      </w:r>
      <w:r w:rsidRPr="00CB4861">
        <w:rPr>
          <w:rFonts w:ascii="Times New Roman" w:eastAsia="Times New Roman" w:hAnsi="Times New Roman"/>
          <w:noProof/>
          <w:color w:val="000000"/>
        </w:rPr>
        <w:t xml:space="preserve"> </w:t>
      </w:r>
      <w:r>
        <w:rPr>
          <w:rFonts w:ascii="Times New Roman" w:eastAsia="Times New Roman" w:hAnsi="Times New Roman"/>
          <w:noProof/>
          <w:color w:val="000000"/>
        </w:rPr>
        <w:t>i</w:t>
      </w:r>
      <w:r w:rsidRPr="00CB4861">
        <w:rPr>
          <w:rFonts w:ascii="Times New Roman" w:eastAsia="Times New Roman" w:hAnsi="Times New Roman"/>
          <w:noProof/>
          <w:color w:val="000000"/>
        </w:rPr>
        <w:t xml:space="preserve"> </w:t>
      </w:r>
      <w:r w:rsidRPr="00CB4861">
        <w:rPr>
          <w:rFonts w:ascii="Times New Roman" w:eastAsia="Times New Roman" w:hAnsi="Times New Roman"/>
          <w:i/>
          <w:noProof/>
          <w:color w:val="000000"/>
        </w:rPr>
        <w:t>bytteforholdet</w:t>
      </w:r>
      <w:r>
        <w:rPr>
          <w:rFonts w:ascii="Times New Roman" w:eastAsia="Times New Roman" w:hAnsi="Times New Roman"/>
          <w:noProof/>
          <w:color w:val="000000"/>
        </w:rPr>
        <w:t xml:space="preserve"> bidro klart negativt, jf. tabell 5</w:t>
      </w:r>
      <w:r w:rsidRPr="00CB4861">
        <w:rPr>
          <w:rFonts w:ascii="Times New Roman" w:eastAsia="Times New Roman" w:hAnsi="Times New Roman"/>
          <w:noProof/>
          <w:color w:val="000000"/>
        </w:rPr>
        <w:t xml:space="preserve">.2. </w:t>
      </w:r>
      <w:r w:rsidRPr="00CB4861">
        <w:rPr>
          <w:rFonts w:ascii="Times New Roman" w:eastAsia="Times New Roman" w:hAnsi="Times New Roman"/>
          <w:i/>
          <w:noProof/>
          <w:color w:val="000000"/>
        </w:rPr>
        <w:t>Produksjonvekst utenom petroleumsvirksomheten</w:t>
      </w:r>
      <w:r>
        <w:rPr>
          <w:rFonts w:ascii="Times New Roman" w:eastAsia="Times New Roman" w:hAnsi="Times New Roman"/>
          <w:noProof/>
          <w:color w:val="000000"/>
        </w:rPr>
        <w:t xml:space="preserve"> bidro til å trekke opp realinntekten med 0,8 prosentpoeng</w:t>
      </w:r>
      <w:r w:rsidRPr="00CB4861">
        <w:rPr>
          <w:rFonts w:ascii="Times New Roman" w:eastAsia="Times New Roman" w:hAnsi="Times New Roman"/>
          <w:noProof/>
          <w:color w:val="000000"/>
        </w:rPr>
        <w:t xml:space="preserve">. </w:t>
      </w:r>
      <w:r w:rsidRPr="00CB4861">
        <w:rPr>
          <w:rFonts w:ascii="Times New Roman" w:eastAsia="Times New Roman" w:hAnsi="Times New Roman"/>
          <w:i/>
          <w:noProof/>
          <w:color w:val="000000"/>
        </w:rPr>
        <w:t>Produksjonen i petroleumsvirksomheten</w:t>
      </w:r>
      <w:r w:rsidR="00093534">
        <w:rPr>
          <w:rFonts w:ascii="Times New Roman" w:eastAsia="Times New Roman" w:hAnsi="Times New Roman"/>
          <w:noProof/>
          <w:color w:val="000000"/>
        </w:rPr>
        <w:t xml:space="preserve"> bidro </w:t>
      </w:r>
      <w:r>
        <w:rPr>
          <w:rFonts w:ascii="Times New Roman" w:eastAsia="Times New Roman" w:hAnsi="Times New Roman"/>
          <w:noProof/>
          <w:color w:val="000000"/>
        </w:rPr>
        <w:t>positivt med 0,7</w:t>
      </w:r>
      <w:r w:rsidRPr="00CB4861">
        <w:rPr>
          <w:rFonts w:ascii="Times New Roman" w:eastAsia="Times New Roman" w:hAnsi="Times New Roman"/>
          <w:noProof/>
          <w:color w:val="000000"/>
        </w:rPr>
        <w:t xml:space="preserve"> prosentpoeng, mot et negativt bidrag til veksten i disponibel realinntekt de ni foregående årene. Utviklingen i bytte</w:t>
      </w:r>
      <w:r>
        <w:rPr>
          <w:rFonts w:ascii="Times New Roman" w:eastAsia="Times New Roman" w:hAnsi="Times New Roman"/>
          <w:noProof/>
          <w:color w:val="000000"/>
        </w:rPr>
        <w:t>forholdet bidro negativt med hele 5</w:t>
      </w:r>
      <w:r w:rsidRPr="00CB4861">
        <w:rPr>
          <w:rFonts w:ascii="Times New Roman" w:eastAsia="Times New Roman" w:hAnsi="Times New Roman"/>
          <w:noProof/>
          <w:color w:val="000000"/>
        </w:rPr>
        <w:t xml:space="preserve"> prosentpoeng, etter negativt bidrag</w:t>
      </w:r>
      <w:r>
        <w:rPr>
          <w:rFonts w:ascii="Times New Roman" w:eastAsia="Times New Roman" w:hAnsi="Times New Roman"/>
          <w:noProof/>
          <w:color w:val="000000"/>
        </w:rPr>
        <w:t xml:space="preserve"> også i 2014 og 2013</w:t>
      </w:r>
      <w:r w:rsidRPr="006F1517">
        <w:rPr>
          <w:rFonts w:ascii="Times New Roman" w:eastAsia="Times New Roman" w:hAnsi="Times New Roman"/>
          <w:noProof/>
          <w:color w:val="000000"/>
        </w:rPr>
        <w:t xml:space="preserve">. </w:t>
      </w:r>
      <w:r w:rsidR="00093534">
        <w:rPr>
          <w:rFonts w:ascii="Times New Roman" w:eastAsia="Times New Roman" w:hAnsi="Times New Roman"/>
          <w:noProof/>
          <w:color w:val="000000"/>
        </w:rPr>
        <w:t xml:space="preserve">I 2014 og </w:t>
      </w:r>
      <w:r>
        <w:rPr>
          <w:rFonts w:ascii="Times New Roman" w:eastAsia="Times New Roman" w:hAnsi="Times New Roman"/>
          <w:noProof/>
          <w:color w:val="000000"/>
        </w:rPr>
        <w:t>2015</w:t>
      </w:r>
      <w:r w:rsidRPr="006F1517">
        <w:rPr>
          <w:rFonts w:ascii="Times New Roman" w:eastAsia="Times New Roman" w:hAnsi="Times New Roman"/>
          <w:noProof/>
          <w:color w:val="000000"/>
        </w:rPr>
        <w:t xml:space="preserve"> førte nedg</w:t>
      </w:r>
      <w:r>
        <w:rPr>
          <w:rFonts w:ascii="Times New Roman" w:eastAsia="Times New Roman" w:hAnsi="Times New Roman"/>
          <w:noProof/>
          <w:color w:val="000000"/>
        </w:rPr>
        <w:t>ang i prisene på olje og gass samt</w:t>
      </w:r>
      <w:r w:rsidR="00093534">
        <w:rPr>
          <w:rFonts w:ascii="Times New Roman" w:eastAsia="Times New Roman" w:hAnsi="Times New Roman"/>
          <w:noProof/>
          <w:color w:val="000000"/>
        </w:rPr>
        <w:t xml:space="preserve"> en</w:t>
      </w:r>
      <w:r w:rsidRPr="006F1517">
        <w:rPr>
          <w:rFonts w:ascii="Times New Roman" w:eastAsia="Times New Roman" w:hAnsi="Times New Roman"/>
          <w:noProof/>
          <w:color w:val="000000"/>
        </w:rPr>
        <w:t xml:space="preserve"> sterkere prisvekst på import enn eksport av for eksempel tradisjonelle varer, til bytteforholdstapet. </w:t>
      </w:r>
      <w:r w:rsidRPr="00CB4861">
        <w:rPr>
          <w:rFonts w:ascii="Times New Roman" w:eastAsiaTheme="majorEastAsia" w:hAnsi="Times New Roman"/>
          <w:i/>
          <w:color w:val="000000"/>
          <w:szCs w:val="24"/>
        </w:rPr>
        <w:t>Endringen i rente- og stønadsbalansen</w:t>
      </w:r>
      <w:r w:rsidRPr="00CB4861">
        <w:rPr>
          <w:rFonts w:ascii="Times New Roman" w:eastAsia="Times New Roman" w:hAnsi="Times New Roman"/>
          <w:noProof/>
          <w:color w:val="000000"/>
        </w:rPr>
        <w:t xml:space="preserve"> trakk disponibel realinntekt opp med </w:t>
      </w:r>
      <w:r>
        <w:rPr>
          <w:rFonts w:ascii="Times New Roman" w:eastAsia="Times New Roman" w:hAnsi="Times New Roman"/>
          <w:noProof/>
          <w:color w:val="000000"/>
        </w:rPr>
        <w:t>0,9 prosentpoeng i 2015, mot et bidrag på 3,9</w:t>
      </w:r>
      <w:r w:rsidRPr="00CB4861">
        <w:rPr>
          <w:rFonts w:ascii="Times New Roman" w:eastAsia="Times New Roman" w:hAnsi="Times New Roman"/>
          <w:noProof/>
          <w:color w:val="000000"/>
        </w:rPr>
        <w:t xml:space="preserve"> prosentpoeng i 201</w:t>
      </w:r>
      <w:r>
        <w:rPr>
          <w:rFonts w:ascii="Times New Roman" w:eastAsia="Times New Roman" w:hAnsi="Times New Roman"/>
          <w:noProof/>
          <w:color w:val="000000"/>
        </w:rPr>
        <w:t>4</w:t>
      </w:r>
      <w:r w:rsidRPr="00CB4861">
        <w:rPr>
          <w:rFonts w:ascii="Times New Roman" w:eastAsia="Times New Roman" w:hAnsi="Times New Roman"/>
          <w:noProof/>
          <w:color w:val="000000"/>
        </w:rPr>
        <w:t xml:space="preserve">. </w:t>
      </w:r>
    </w:p>
    <w:p w14:paraId="3AF662F0" w14:textId="6B79A211" w:rsidR="008A657E" w:rsidRPr="00CB4861" w:rsidRDefault="008A657E" w:rsidP="00966A76">
      <w:pPr>
        <w:rPr>
          <w:rFonts w:ascii="Times New Roman" w:eastAsia="Times New Roman" w:hAnsi="Times New Roman"/>
        </w:rPr>
      </w:pPr>
      <w:r>
        <w:rPr>
          <w:rFonts w:ascii="Times New Roman" w:eastAsia="Times New Roman" w:hAnsi="Times New Roman"/>
          <w:noProof/>
        </w:rPr>
        <w:drawing>
          <wp:inline distT="0" distB="0" distL="0" distR="0" wp14:anchorId="744B4EAE" wp14:editId="2861295C">
            <wp:extent cx="3037399" cy="2726690"/>
            <wp:effectExtent l="0" t="0" r="0" b="0"/>
            <wp:docPr id="204" name="Bilde 204" descr="C:\Users\nba\AppData\Local\Microsoft\Windows\Temporary Internet Files\Content.Outlook\PA0J27GI\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PA0J27GI\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3689" cy="2732337"/>
                    </a:xfrm>
                    <a:prstGeom prst="rect">
                      <a:avLst/>
                    </a:prstGeom>
                    <a:noFill/>
                    <a:ln>
                      <a:noFill/>
                    </a:ln>
                  </pic:spPr>
                </pic:pic>
              </a:graphicData>
            </a:graphic>
          </wp:inline>
        </w:drawing>
      </w:r>
    </w:p>
    <w:p w14:paraId="193E65A2" w14:textId="77777777" w:rsidR="008A657E" w:rsidRPr="002511D0" w:rsidRDefault="008A657E" w:rsidP="008643D6">
      <w:pPr>
        <w:pStyle w:val="figur-tittel"/>
        <w:numPr>
          <w:ilvl w:val="5"/>
          <w:numId w:val="66"/>
        </w:numPr>
        <w:spacing w:after="60"/>
        <w:rPr>
          <w:noProof/>
        </w:rPr>
      </w:pPr>
      <w:r w:rsidRPr="002511D0">
        <w:t>Disponibel</w:t>
      </w:r>
      <w:r w:rsidRPr="002511D0">
        <w:rPr>
          <w:noProof/>
        </w:rPr>
        <w:t xml:space="preserve"> realinntekt for Norge. Prosentvis vekst fra året før.</w:t>
      </w:r>
      <w:r w:rsidRPr="00527EEC">
        <w:rPr>
          <w:noProof/>
          <w:color w:val="FF0000"/>
        </w:rPr>
        <w:t xml:space="preserve"> </w:t>
      </w:r>
    </w:p>
    <w:p w14:paraId="09CDC688" w14:textId="5861A3C8" w:rsidR="008A657E" w:rsidRPr="00CB4861" w:rsidRDefault="008E4002" w:rsidP="008A657E">
      <w:pPr>
        <w:pStyle w:val="figur-noter"/>
        <w:rPr>
          <w:noProof/>
        </w:rPr>
      </w:pPr>
      <w:r>
        <w:rPr>
          <w:noProof/>
        </w:rPr>
        <w:t>*</w:t>
      </w:r>
      <w:r w:rsidR="008A657E" w:rsidRPr="00CB4861">
        <w:rPr>
          <w:noProof/>
        </w:rPr>
        <w:t>Foreløpige tall</w:t>
      </w:r>
    </w:p>
    <w:p w14:paraId="3645F83E" w14:textId="5B45FA52" w:rsidR="008A657E" w:rsidRPr="00CB4861" w:rsidRDefault="00AE1F5C" w:rsidP="008A657E">
      <w:pPr>
        <w:pStyle w:val="Kilde"/>
        <w:rPr>
          <w:noProof/>
        </w:rPr>
      </w:pPr>
      <w:r w:rsidRPr="00CB4861">
        <w:rPr>
          <w:noProof/>
        </w:rPr>
        <w:t>Kil</w:t>
      </w:r>
      <w:r>
        <w:rPr>
          <w:noProof/>
        </w:rPr>
        <w:t>de</w:t>
      </w:r>
      <w:r w:rsidR="00901A5E">
        <w:rPr>
          <w:noProof/>
        </w:rPr>
        <w:t>r</w:t>
      </w:r>
      <w:r>
        <w:rPr>
          <w:noProof/>
        </w:rPr>
        <w:t>: Statistisk sentralbyrå og Beregningsutvalget</w:t>
      </w:r>
    </w:p>
    <w:p w14:paraId="35513C23" w14:textId="77777777" w:rsidR="008A657E" w:rsidRPr="00CB4861" w:rsidRDefault="008A657E" w:rsidP="008A657E">
      <w:pPr>
        <w:pStyle w:val="tabell-tittel"/>
      </w:pPr>
      <w:bookmarkStart w:id="249" w:name="ID_TAB1_46_1"/>
      <w:bookmarkStart w:id="250" w:name="ID_TAB1_46_2"/>
      <w:bookmarkEnd w:id="249"/>
      <w:bookmarkEnd w:id="250"/>
      <w:r w:rsidRPr="00CB4861">
        <w:t>Vekst i disponibel realinntekt for Norge</w:t>
      </w:r>
      <w:r w:rsidRPr="0037479D">
        <w:rPr>
          <w:vertAlign w:val="superscript"/>
        </w:rPr>
        <w:t>1</w:t>
      </w:r>
      <w:r w:rsidRPr="00CB4861">
        <w:t>. Prosent</w:t>
      </w:r>
    </w:p>
    <w:tbl>
      <w:tblPr>
        <w:tblW w:w="5000" w:type="pct"/>
        <w:tblBorders>
          <w:top w:val="single" w:sz="4" w:space="0" w:color="auto"/>
          <w:bottom w:val="single" w:sz="4" w:space="0" w:color="auto"/>
          <w:insideH w:val="single" w:sz="4" w:space="0" w:color="auto"/>
        </w:tblBorders>
        <w:tblLayout w:type="fixed"/>
        <w:tblCellMar>
          <w:left w:w="57" w:type="dxa"/>
          <w:right w:w="28" w:type="dxa"/>
        </w:tblCellMar>
        <w:tblLook w:val="04A0" w:firstRow="1" w:lastRow="0" w:firstColumn="1" w:lastColumn="0" w:noHBand="0" w:noVBand="1"/>
      </w:tblPr>
      <w:tblGrid>
        <w:gridCol w:w="2216"/>
        <w:gridCol w:w="745"/>
        <w:gridCol w:w="85"/>
        <w:gridCol w:w="302"/>
        <w:gridCol w:w="315"/>
        <w:gridCol w:w="522"/>
        <w:gridCol w:w="96"/>
        <w:gridCol w:w="617"/>
        <w:gridCol w:w="617"/>
        <w:gridCol w:w="354"/>
        <w:gridCol w:w="264"/>
        <w:gridCol w:w="564"/>
        <w:gridCol w:w="53"/>
        <w:gridCol w:w="617"/>
        <w:gridCol w:w="20"/>
        <w:gridCol w:w="555"/>
        <w:gridCol w:w="42"/>
        <w:gridCol w:w="617"/>
        <w:gridCol w:w="31"/>
        <w:gridCol w:w="582"/>
      </w:tblGrid>
      <w:tr w:rsidR="008A657E" w:rsidRPr="005409CE" w14:paraId="0DA3126C" w14:textId="77777777" w:rsidTr="008A657E">
        <w:trPr>
          <w:trHeight w:val="350"/>
        </w:trPr>
        <w:tc>
          <w:tcPr>
            <w:tcW w:w="1202" w:type="pct"/>
            <w:tcBorders>
              <w:left w:val="nil"/>
            </w:tcBorders>
            <w:noWrap/>
            <w:hideMark/>
          </w:tcPr>
          <w:p w14:paraId="087CEDD9"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450" w:type="pct"/>
            <w:gridSpan w:val="2"/>
            <w:noWrap/>
            <w:hideMark/>
          </w:tcPr>
          <w:p w14:paraId="3BBD5D39" w14:textId="77777777" w:rsidR="008A657E" w:rsidRPr="0015036C" w:rsidRDefault="008A657E" w:rsidP="00093534">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Gj.snitt 2006-2015</w:t>
            </w:r>
          </w:p>
        </w:tc>
        <w:tc>
          <w:tcPr>
            <w:tcW w:w="335" w:type="pct"/>
            <w:gridSpan w:val="2"/>
            <w:noWrap/>
            <w:hideMark/>
          </w:tcPr>
          <w:p w14:paraId="6AAE20CE"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2006</w:t>
            </w:r>
          </w:p>
        </w:tc>
        <w:tc>
          <w:tcPr>
            <w:tcW w:w="335" w:type="pct"/>
            <w:gridSpan w:val="2"/>
            <w:noWrap/>
            <w:hideMark/>
          </w:tcPr>
          <w:p w14:paraId="352D7B85"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2007</w:t>
            </w:r>
          </w:p>
        </w:tc>
        <w:tc>
          <w:tcPr>
            <w:tcW w:w="335" w:type="pct"/>
            <w:noWrap/>
            <w:hideMark/>
          </w:tcPr>
          <w:p w14:paraId="2CE85A62"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2008</w:t>
            </w:r>
          </w:p>
        </w:tc>
        <w:tc>
          <w:tcPr>
            <w:tcW w:w="335" w:type="pct"/>
            <w:noWrap/>
            <w:hideMark/>
          </w:tcPr>
          <w:p w14:paraId="68E03CDD"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2009</w:t>
            </w:r>
          </w:p>
        </w:tc>
        <w:tc>
          <w:tcPr>
            <w:tcW w:w="335" w:type="pct"/>
            <w:gridSpan w:val="2"/>
            <w:noWrap/>
            <w:hideMark/>
          </w:tcPr>
          <w:p w14:paraId="7D8BCD43"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2010</w:t>
            </w:r>
          </w:p>
        </w:tc>
        <w:tc>
          <w:tcPr>
            <w:tcW w:w="335" w:type="pct"/>
            <w:gridSpan w:val="2"/>
            <w:noWrap/>
            <w:hideMark/>
          </w:tcPr>
          <w:p w14:paraId="774E8184"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2011</w:t>
            </w:r>
          </w:p>
        </w:tc>
        <w:tc>
          <w:tcPr>
            <w:tcW w:w="335" w:type="pct"/>
            <w:noWrap/>
            <w:hideMark/>
          </w:tcPr>
          <w:p w14:paraId="19CBA0AA"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2012</w:t>
            </w:r>
          </w:p>
        </w:tc>
        <w:tc>
          <w:tcPr>
            <w:tcW w:w="335" w:type="pct"/>
            <w:gridSpan w:val="3"/>
            <w:noWrap/>
            <w:hideMark/>
          </w:tcPr>
          <w:p w14:paraId="33DF490A" w14:textId="77777777" w:rsidR="008A657E" w:rsidRPr="0015036C" w:rsidRDefault="008A657E" w:rsidP="008A657E">
            <w:pPr>
              <w:autoSpaceDE w:val="0"/>
              <w:autoSpaceDN w:val="0"/>
              <w:adjustRightInd w:val="0"/>
              <w:spacing w:after="0"/>
              <w:jc w:val="right"/>
              <w:rPr>
                <w:rFonts w:ascii="Times New Roman" w:eastAsia="Times New Roman" w:hAnsi="Times New Roman"/>
                <w:bCs/>
                <w:color w:val="000000"/>
                <w:sz w:val="20"/>
              </w:rPr>
            </w:pPr>
            <w:r w:rsidRPr="0015036C">
              <w:rPr>
                <w:rFonts w:ascii="Times New Roman" w:eastAsia="Times New Roman" w:hAnsi="Times New Roman"/>
                <w:bCs/>
                <w:color w:val="000000"/>
                <w:sz w:val="20"/>
              </w:rPr>
              <w:t>2013</w:t>
            </w:r>
          </w:p>
        </w:tc>
        <w:tc>
          <w:tcPr>
            <w:tcW w:w="335" w:type="pct"/>
            <w:noWrap/>
            <w:hideMark/>
          </w:tcPr>
          <w:p w14:paraId="1801CFB7" w14:textId="77777777" w:rsidR="008A657E" w:rsidRPr="0015036C" w:rsidRDefault="008A657E" w:rsidP="008A657E">
            <w:pPr>
              <w:autoSpaceDE w:val="0"/>
              <w:autoSpaceDN w:val="0"/>
              <w:adjustRightInd w:val="0"/>
              <w:spacing w:after="0"/>
              <w:rPr>
                <w:rFonts w:ascii="Times New Roman" w:eastAsia="Times New Roman" w:hAnsi="Times New Roman"/>
                <w:bCs/>
                <w:color w:val="000000"/>
                <w:sz w:val="20"/>
              </w:rPr>
            </w:pPr>
            <w:r w:rsidRPr="0015036C">
              <w:rPr>
                <w:rFonts w:ascii="Times New Roman" w:eastAsia="Times New Roman" w:hAnsi="Times New Roman"/>
                <w:bCs/>
                <w:color w:val="000000"/>
                <w:sz w:val="20"/>
              </w:rPr>
              <w:t>2014*</w:t>
            </w:r>
          </w:p>
        </w:tc>
        <w:tc>
          <w:tcPr>
            <w:tcW w:w="332" w:type="pct"/>
            <w:gridSpan w:val="2"/>
            <w:tcBorders>
              <w:right w:val="nil"/>
            </w:tcBorders>
            <w:noWrap/>
            <w:hideMark/>
          </w:tcPr>
          <w:p w14:paraId="188A531C" w14:textId="77777777" w:rsidR="008A657E" w:rsidRPr="0015036C" w:rsidRDefault="008A657E" w:rsidP="008A657E">
            <w:pPr>
              <w:autoSpaceDE w:val="0"/>
              <w:autoSpaceDN w:val="0"/>
              <w:adjustRightInd w:val="0"/>
              <w:spacing w:after="0"/>
              <w:rPr>
                <w:rFonts w:ascii="Times New Roman" w:eastAsia="Times New Roman" w:hAnsi="Times New Roman"/>
                <w:bCs/>
                <w:color w:val="000000"/>
                <w:sz w:val="20"/>
              </w:rPr>
            </w:pPr>
            <w:r w:rsidRPr="0015036C">
              <w:rPr>
                <w:rFonts w:ascii="Times New Roman" w:eastAsia="Times New Roman" w:hAnsi="Times New Roman"/>
                <w:bCs/>
                <w:color w:val="000000"/>
                <w:sz w:val="20"/>
              </w:rPr>
              <w:t>2015*</w:t>
            </w:r>
          </w:p>
        </w:tc>
      </w:tr>
      <w:tr w:rsidR="008A657E" w:rsidRPr="00CD4F33" w14:paraId="7536A968" w14:textId="77777777" w:rsidTr="0015036C">
        <w:trPr>
          <w:trHeight w:val="350"/>
        </w:trPr>
        <w:tc>
          <w:tcPr>
            <w:tcW w:w="1202" w:type="pct"/>
            <w:tcBorders>
              <w:left w:val="nil"/>
              <w:bottom w:val="nil"/>
            </w:tcBorders>
            <w:noWrap/>
            <w:hideMark/>
          </w:tcPr>
          <w:p w14:paraId="44066405"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Disponibel realinntekt for Norge</w:t>
            </w:r>
          </w:p>
        </w:tc>
        <w:tc>
          <w:tcPr>
            <w:tcW w:w="450" w:type="pct"/>
            <w:gridSpan w:val="2"/>
            <w:tcBorders>
              <w:bottom w:val="nil"/>
            </w:tcBorders>
            <w:noWrap/>
            <w:hideMark/>
          </w:tcPr>
          <w:p w14:paraId="4437E2CA"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1,5</w:t>
            </w:r>
          </w:p>
        </w:tc>
        <w:tc>
          <w:tcPr>
            <w:tcW w:w="335" w:type="pct"/>
            <w:gridSpan w:val="2"/>
            <w:tcBorders>
              <w:bottom w:val="nil"/>
            </w:tcBorders>
            <w:noWrap/>
            <w:hideMark/>
          </w:tcPr>
          <w:p w14:paraId="2F044A7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6,8</w:t>
            </w:r>
          </w:p>
        </w:tc>
        <w:tc>
          <w:tcPr>
            <w:tcW w:w="335" w:type="pct"/>
            <w:gridSpan w:val="2"/>
            <w:tcBorders>
              <w:bottom w:val="nil"/>
            </w:tcBorders>
            <w:noWrap/>
            <w:hideMark/>
          </w:tcPr>
          <w:p w14:paraId="52A933A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0,9</w:t>
            </w:r>
          </w:p>
        </w:tc>
        <w:tc>
          <w:tcPr>
            <w:tcW w:w="335" w:type="pct"/>
            <w:tcBorders>
              <w:bottom w:val="nil"/>
            </w:tcBorders>
            <w:noWrap/>
            <w:hideMark/>
          </w:tcPr>
          <w:p w14:paraId="402EB27B"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5,9</w:t>
            </w:r>
          </w:p>
        </w:tc>
        <w:tc>
          <w:tcPr>
            <w:tcW w:w="335" w:type="pct"/>
            <w:tcBorders>
              <w:bottom w:val="nil"/>
            </w:tcBorders>
            <w:noWrap/>
            <w:hideMark/>
          </w:tcPr>
          <w:p w14:paraId="5A81F059"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-11,1</w:t>
            </w:r>
          </w:p>
        </w:tc>
        <w:tc>
          <w:tcPr>
            <w:tcW w:w="335" w:type="pct"/>
            <w:gridSpan w:val="2"/>
            <w:tcBorders>
              <w:bottom w:val="nil"/>
            </w:tcBorders>
            <w:noWrap/>
            <w:hideMark/>
          </w:tcPr>
          <w:p w14:paraId="45EE741A"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3,3</w:t>
            </w:r>
          </w:p>
        </w:tc>
        <w:tc>
          <w:tcPr>
            <w:tcW w:w="335" w:type="pct"/>
            <w:gridSpan w:val="2"/>
            <w:tcBorders>
              <w:bottom w:val="nil"/>
            </w:tcBorders>
            <w:noWrap/>
            <w:hideMark/>
          </w:tcPr>
          <w:p w14:paraId="67E8E741"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4,9</w:t>
            </w:r>
          </w:p>
        </w:tc>
        <w:tc>
          <w:tcPr>
            <w:tcW w:w="335" w:type="pct"/>
            <w:tcBorders>
              <w:bottom w:val="nil"/>
            </w:tcBorders>
            <w:noWrap/>
            <w:hideMark/>
          </w:tcPr>
          <w:p w14:paraId="6CFC9256"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3,8</w:t>
            </w:r>
          </w:p>
        </w:tc>
        <w:tc>
          <w:tcPr>
            <w:tcW w:w="335" w:type="pct"/>
            <w:gridSpan w:val="3"/>
            <w:tcBorders>
              <w:bottom w:val="nil"/>
            </w:tcBorders>
            <w:noWrap/>
            <w:hideMark/>
          </w:tcPr>
          <w:p w14:paraId="3086D266"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0,6</w:t>
            </w:r>
          </w:p>
        </w:tc>
        <w:tc>
          <w:tcPr>
            <w:tcW w:w="335" w:type="pct"/>
            <w:tcBorders>
              <w:bottom w:val="nil"/>
            </w:tcBorders>
            <w:noWrap/>
            <w:hideMark/>
          </w:tcPr>
          <w:p w14:paraId="3F424EE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3,5 </w:t>
            </w:r>
          </w:p>
        </w:tc>
        <w:tc>
          <w:tcPr>
            <w:tcW w:w="332" w:type="pct"/>
            <w:gridSpan w:val="2"/>
            <w:tcBorders>
              <w:bottom w:val="nil"/>
              <w:right w:val="nil"/>
            </w:tcBorders>
            <w:noWrap/>
            <w:hideMark/>
          </w:tcPr>
          <w:p w14:paraId="6DDA9297"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-2,6 </w:t>
            </w:r>
          </w:p>
        </w:tc>
      </w:tr>
      <w:tr w:rsidR="008A657E" w:rsidRPr="005409CE" w14:paraId="41B7A84D" w14:textId="77777777" w:rsidTr="0015036C">
        <w:trPr>
          <w:trHeight w:val="350"/>
        </w:trPr>
        <w:tc>
          <w:tcPr>
            <w:tcW w:w="1202" w:type="pct"/>
            <w:tcBorders>
              <w:top w:val="nil"/>
              <w:left w:val="nil"/>
              <w:bottom w:val="nil"/>
            </w:tcBorders>
            <w:noWrap/>
            <w:hideMark/>
          </w:tcPr>
          <w:p w14:paraId="4D0DF30A"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Vekstbidrag fra²:</w:t>
            </w:r>
          </w:p>
        </w:tc>
        <w:tc>
          <w:tcPr>
            <w:tcW w:w="404" w:type="pct"/>
            <w:tcBorders>
              <w:top w:val="nil"/>
              <w:bottom w:val="nil"/>
            </w:tcBorders>
            <w:noWrap/>
            <w:hideMark/>
          </w:tcPr>
          <w:p w14:paraId="2B31B501"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210" w:type="pct"/>
            <w:gridSpan w:val="2"/>
            <w:tcBorders>
              <w:top w:val="nil"/>
              <w:bottom w:val="nil"/>
            </w:tcBorders>
            <w:noWrap/>
            <w:hideMark/>
          </w:tcPr>
          <w:p w14:paraId="2CF9B03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454" w:type="pct"/>
            <w:gridSpan w:val="2"/>
            <w:tcBorders>
              <w:top w:val="nil"/>
              <w:bottom w:val="nil"/>
            </w:tcBorders>
            <w:noWrap/>
            <w:hideMark/>
          </w:tcPr>
          <w:p w14:paraId="01E936E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914" w:type="pct"/>
            <w:gridSpan w:val="4"/>
            <w:tcBorders>
              <w:top w:val="nil"/>
              <w:bottom w:val="nil"/>
            </w:tcBorders>
            <w:noWrap/>
            <w:hideMark/>
          </w:tcPr>
          <w:p w14:paraId="6AECBD8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449" w:type="pct"/>
            <w:gridSpan w:val="2"/>
            <w:tcBorders>
              <w:top w:val="nil"/>
              <w:bottom w:val="nil"/>
            </w:tcBorders>
            <w:noWrap/>
            <w:hideMark/>
          </w:tcPr>
          <w:p w14:paraId="172F839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375" w:type="pct"/>
            <w:gridSpan w:val="3"/>
            <w:tcBorders>
              <w:top w:val="nil"/>
              <w:bottom w:val="nil"/>
            </w:tcBorders>
            <w:noWrap/>
            <w:hideMark/>
          </w:tcPr>
          <w:p w14:paraId="14D8146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301" w:type="pct"/>
            <w:tcBorders>
              <w:top w:val="nil"/>
              <w:bottom w:val="nil"/>
            </w:tcBorders>
            <w:noWrap/>
            <w:hideMark/>
          </w:tcPr>
          <w:p w14:paraId="409326AE"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375" w:type="pct"/>
            <w:gridSpan w:val="3"/>
            <w:tcBorders>
              <w:top w:val="nil"/>
              <w:bottom w:val="nil"/>
            </w:tcBorders>
            <w:noWrap/>
            <w:hideMark/>
          </w:tcPr>
          <w:p w14:paraId="683FBFB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c>
          <w:tcPr>
            <w:tcW w:w="316" w:type="pct"/>
            <w:tcBorders>
              <w:top w:val="nil"/>
              <w:bottom w:val="nil"/>
              <w:right w:val="nil"/>
            </w:tcBorders>
            <w:noWrap/>
            <w:hideMark/>
          </w:tcPr>
          <w:p w14:paraId="70A9EB60"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p>
        </w:tc>
      </w:tr>
      <w:tr w:rsidR="008A657E" w:rsidRPr="005409CE" w14:paraId="428C03D6" w14:textId="77777777" w:rsidTr="0015036C">
        <w:trPr>
          <w:trHeight w:val="350"/>
        </w:trPr>
        <w:tc>
          <w:tcPr>
            <w:tcW w:w="1202" w:type="pct"/>
            <w:tcBorders>
              <w:top w:val="nil"/>
              <w:left w:val="nil"/>
              <w:bottom w:val="nil"/>
            </w:tcBorders>
            <w:noWrap/>
            <w:hideMark/>
          </w:tcPr>
          <w:p w14:paraId="3DC07780"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Produksjonsvekst i oljevirksomhet³</w:t>
            </w:r>
          </w:p>
        </w:tc>
        <w:tc>
          <w:tcPr>
            <w:tcW w:w="450" w:type="pct"/>
            <w:gridSpan w:val="2"/>
            <w:tcBorders>
              <w:top w:val="nil"/>
              <w:bottom w:val="nil"/>
            </w:tcBorders>
            <w:noWrap/>
            <w:hideMark/>
          </w:tcPr>
          <w:p w14:paraId="1BB54810"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-0,8</w:t>
            </w:r>
          </w:p>
        </w:tc>
        <w:tc>
          <w:tcPr>
            <w:tcW w:w="335" w:type="pct"/>
            <w:gridSpan w:val="2"/>
            <w:tcBorders>
              <w:top w:val="nil"/>
              <w:bottom w:val="nil"/>
            </w:tcBorders>
            <w:noWrap/>
            <w:hideMark/>
          </w:tcPr>
          <w:p w14:paraId="149A4A2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-1,7</w:t>
            </w:r>
          </w:p>
        </w:tc>
        <w:tc>
          <w:tcPr>
            <w:tcW w:w="335" w:type="pct"/>
            <w:gridSpan w:val="2"/>
            <w:tcBorders>
              <w:top w:val="nil"/>
              <w:bottom w:val="nil"/>
            </w:tcBorders>
            <w:noWrap/>
            <w:hideMark/>
          </w:tcPr>
          <w:p w14:paraId="7E1AB64A"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-1,5</w:t>
            </w:r>
          </w:p>
        </w:tc>
        <w:tc>
          <w:tcPr>
            <w:tcW w:w="335" w:type="pct"/>
            <w:tcBorders>
              <w:top w:val="nil"/>
              <w:bottom w:val="nil"/>
            </w:tcBorders>
            <w:noWrap/>
            <w:hideMark/>
          </w:tcPr>
          <w:p w14:paraId="61D0411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-0,9</w:t>
            </w:r>
          </w:p>
        </w:tc>
        <w:tc>
          <w:tcPr>
            <w:tcW w:w="335" w:type="pct"/>
            <w:tcBorders>
              <w:top w:val="nil"/>
              <w:bottom w:val="nil"/>
            </w:tcBorders>
            <w:noWrap/>
            <w:hideMark/>
          </w:tcPr>
          <w:p w14:paraId="0D5D4A0D"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-0,5</w:t>
            </w:r>
          </w:p>
        </w:tc>
        <w:tc>
          <w:tcPr>
            <w:tcW w:w="335" w:type="pct"/>
            <w:gridSpan w:val="2"/>
            <w:tcBorders>
              <w:top w:val="nil"/>
              <w:bottom w:val="nil"/>
            </w:tcBorders>
            <w:noWrap/>
            <w:hideMark/>
          </w:tcPr>
          <w:p w14:paraId="4EEE8786"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-1,2</w:t>
            </w:r>
          </w:p>
        </w:tc>
        <w:tc>
          <w:tcPr>
            <w:tcW w:w="335" w:type="pct"/>
            <w:gridSpan w:val="2"/>
            <w:tcBorders>
              <w:top w:val="nil"/>
              <w:bottom w:val="nil"/>
            </w:tcBorders>
            <w:noWrap/>
            <w:hideMark/>
          </w:tcPr>
          <w:p w14:paraId="2FD1FF5D"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-0,9</w:t>
            </w:r>
          </w:p>
        </w:tc>
        <w:tc>
          <w:tcPr>
            <w:tcW w:w="335" w:type="pct"/>
            <w:tcBorders>
              <w:top w:val="nil"/>
              <w:bottom w:val="nil"/>
            </w:tcBorders>
            <w:noWrap/>
            <w:hideMark/>
          </w:tcPr>
          <w:p w14:paraId="263E6AE7"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-0,4</w:t>
            </w:r>
          </w:p>
        </w:tc>
        <w:tc>
          <w:tcPr>
            <w:tcW w:w="335" w:type="pct"/>
            <w:gridSpan w:val="3"/>
            <w:tcBorders>
              <w:top w:val="nil"/>
              <w:bottom w:val="nil"/>
            </w:tcBorders>
            <w:noWrap/>
            <w:hideMark/>
          </w:tcPr>
          <w:p w14:paraId="4397EAC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-1,2</w:t>
            </w:r>
          </w:p>
        </w:tc>
        <w:tc>
          <w:tcPr>
            <w:tcW w:w="335" w:type="pct"/>
            <w:tcBorders>
              <w:top w:val="nil"/>
              <w:bottom w:val="nil"/>
            </w:tcBorders>
            <w:noWrap/>
            <w:hideMark/>
          </w:tcPr>
          <w:p w14:paraId="3616730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-0,0</w:t>
            </w:r>
          </w:p>
        </w:tc>
        <w:tc>
          <w:tcPr>
            <w:tcW w:w="332" w:type="pct"/>
            <w:gridSpan w:val="2"/>
            <w:tcBorders>
              <w:top w:val="nil"/>
              <w:bottom w:val="nil"/>
              <w:right w:val="nil"/>
            </w:tcBorders>
            <w:noWrap/>
            <w:hideMark/>
          </w:tcPr>
          <w:p w14:paraId="16472610"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0,8 </w:t>
            </w:r>
          </w:p>
        </w:tc>
      </w:tr>
      <w:tr w:rsidR="008A657E" w:rsidRPr="005409CE" w14:paraId="2E69F600" w14:textId="77777777" w:rsidTr="0015036C">
        <w:trPr>
          <w:trHeight w:val="350"/>
        </w:trPr>
        <w:tc>
          <w:tcPr>
            <w:tcW w:w="1202" w:type="pct"/>
            <w:tcBorders>
              <w:top w:val="nil"/>
              <w:left w:val="nil"/>
              <w:bottom w:val="nil"/>
            </w:tcBorders>
            <w:noWrap/>
            <w:hideMark/>
          </w:tcPr>
          <w:p w14:paraId="107C0249"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Produksjonsvekst ellers</w:t>
            </w:r>
          </w:p>
        </w:tc>
        <w:tc>
          <w:tcPr>
            <w:tcW w:w="450" w:type="pct"/>
            <w:gridSpan w:val="2"/>
            <w:tcBorders>
              <w:top w:val="nil"/>
              <w:bottom w:val="nil"/>
            </w:tcBorders>
            <w:noWrap/>
            <w:hideMark/>
          </w:tcPr>
          <w:p w14:paraId="0070605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1,7</w:t>
            </w:r>
          </w:p>
        </w:tc>
        <w:tc>
          <w:tcPr>
            <w:tcW w:w="335" w:type="pct"/>
            <w:gridSpan w:val="2"/>
            <w:tcBorders>
              <w:top w:val="nil"/>
              <w:bottom w:val="nil"/>
            </w:tcBorders>
            <w:noWrap/>
            <w:hideMark/>
          </w:tcPr>
          <w:p w14:paraId="722BED4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3,9</w:t>
            </w:r>
          </w:p>
        </w:tc>
        <w:tc>
          <w:tcPr>
            <w:tcW w:w="335" w:type="pct"/>
            <w:gridSpan w:val="2"/>
            <w:tcBorders>
              <w:top w:val="nil"/>
              <w:bottom w:val="nil"/>
            </w:tcBorders>
            <w:noWrap/>
            <w:hideMark/>
          </w:tcPr>
          <w:p w14:paraId="1A3B6FB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4,2</w:t>
            </w:r>
          </w:p>
        </w:tc>
        <w:tc>
          <w:tcPr>
            <w:tcW w:w="335" w:type="pct"/>
            <w:tcBorders>
              <w:top w:val="nil"/>
              <w:bottom w:val="nil"/>
            </w:tcBorders>
            <w:noWrap/>
            <w:hideMark/>
          </w:tcPr>
          <w:p w14:paraId="75390B67"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0,6</w:t>
            </w:r>
          </w:p>
        </w:tc>
        <w:tc>
          <w:tcPr>
            <w:tcW w:w="335" w:type="pct"/>
            <w:tcBorders>
              <w:top w:val="nil"/>
              <w:bottom w:val="nil"/>
            </w:tcBorders>
            <w:noWrap/>
            <w:hideMark/>
          </w:tcPr>
          <w:p w14:paraId="2877656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-2,2</w:t>
            </w:r>
          </w:p>
        </w:tc>
        <w:tc>
          <w:tcPr>
            <w:tcW w:w="335" w:type="pct"/>
            <w:gridSpan w:val="2"/>
            <w:tcBorders>
              <w:top w:val="nil"/>
              <w:bottom w:val="nil"/>
            </w:tcBorders>
            <w:noWrap/>
            <w:hideMark/>
          </w:tcPr>
          <w:p w14:paraId="077A0B5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1,3</w:t>
            </w:r>
          </w:p>
        </w:tc>
        <w:tc>
          <w:tcPr>
            <w:tcW w:w="335" w:type="pct"/>
            <w:gridSpan w:val="2"/>
            <w:tcBorders>
              <w:top w:val="nil"/>
              <w:bottom w:val="nil"/>
            </w:tcBorders>
            <w:noWrap/>
            <w:hideMark/>
          </w:tcPr>
          <w:p w14:paraId="7011EA29"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1,7</w:t>
            </w:r>
          </w:p>
        </w:tc>
        <w:tc>
          <w:tcPr>
            <w:tcW w:w="335" w:type="pct"/>
            <w:tcBorders>
              <w:top w:val="nil"/>
              <w:bottom w:val="nil"/>
            </w:tcBorders>
            <w:noWrap/>
            <w:hideMark/>
          </w:tcPr>
          <w:p w14:paraId="7A5113C3"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3,3</w:t>
            </w:r>
          </w:p>
        </w:tc>
        <w:tc>
          <w:tcPr>
            <w:tcW w:w="335" w:type="pct"/>
            <w:gridSpan w:val="3"/>
            <w:tcBorders>
              <w:top w:val="nil"/>
              <w:bottom w:val="nil"/>
            </w:tcBorders>
            <w:noWrap/>
            <w:hideMark/>
          </w:tcPr>
          <w:p w14:paraId="13701D33"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1,9</w:t>
            </w:r>
          </w:p>
        </w:tc>
        <w:tc>
          <w:tcPr>
            <w:tcW w:w="335" w:type="pct"/>
            <w:tcBorders>
              <w:top w:val="nil"/>
              <w:bottom w:val="nil"/>
            </w:tcBorders>
            <w:noWrap/>
            <w:hideMark/>
          </w:tcPr>
          <w:p w14:paraId="4F1CDCA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1,9</w:t>
            </w:r>
          </w:p>
        </w:tc>
        <w:tc>
          <w:tcPr>
            <w:tcW w:w="332" w:type="pct"/>
            <w:gridSpan w:val="2"/>
            <w:tcBorders>
              <w:top w:val="nil"/>
              <w:bottom w:val="nil"/>
              <w:right w:val="nil"/>
            </w:tcBorders>
            <w:noWrap/>
            <w:hideMark/>
          </w:tcPr>
          <w:p w14:paraId="2149FC8A"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0,7 </w:t>
            </w:r>
          </w:p>
        </w:tc>
      </w:tr>
      <w:tr w:rsidR="008A657E" w:rsidRPr="005409CE" w14:paraId="426D43EC" w14:textId="77777777" w:rsidTr="0015036C">
        <w:trPr>
          <w:trHeight w:val="350"/>
        </w:trPr>
        <w:tc>
          <w:tcPr>
            <w:tcW w:w="1202" w:type="pct"/>
            <w:tcBorders>
              <w:top w:val="nil"/>
              <w:left w:val="nil"/>
              <w:bottom w:val="nil"/>
            </w:tcBorders>
            <w:noWrap/>
            <w:hideMark/>
          </w:tcPr>
          <w:p w14:paraId="320F3CDC"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Endring i bytteforholdet</w:t>
            </w:r>
          </w:p>
        </w:tc>
        <w:tc>
          <w:tcPr>
            <w:tcW w:w="450" w:type="pct"/>
            <w:gridSpan w:val="2"/>
            <w:tcBorders>
              <w:top w:val="nil"/>
              <w:bottom w:val="nil"/>
            </w:tcBorders>
            <w:noWrap/>
            <w:hideMark/>
          </w:tcPr>
          <w:p w14:paraId="0D9E9C1E"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0,2</w:t>
            </w:r>
          </w:p>
        </w:tc>
        <w:tc>
          <w:tcPr>
            <w:tcW w:w="335" w:type="pct"/>
            <w:gridSpan w:val="2"/>
            <w:tcBorders>
              <w:top w:val="nil"/>
              <w:bottom w:val="nil"/>
            </w:tcBorders>
            <w:noWrap/>
            <w:hideMark/>
          </w:tcPr>
          <w:p w14:paraId="18D7D65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5,9</w:t>
            </w:r>
          </w:p>
        </w:tc>
        <w:tc>
          <w:tcPr>
            <w:tcW w:w="335" w:type="pct"/>
            <w:gridSpan w:val="2"/>
            <w:tcBorders>
              <w:top w:val="nil"/>
              <w:bottom w:val="nil"/>
            </w:tcBorders>
            <w:noWrap/>
            <w:hideMark/>
          </w:tcPr>
          <w:p w14:paraId="2B474863"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-1,2</w:t>
            </w:r>
          </w:p>
        </w:tc>
        <w:tc>
          <w:tcPr>
            <w:tcW w:w="335" w:type="pct"/>
            <w:tcBorders>
              <w:top w:val="nil"/>
              <w:bottom w:val="nil"/>
            </w:tcBorders>
            <w:noWrap/>
            <w:hideMark/>
          </w:tcPr>
          <w:p w14:paraId="68B0C3F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6,4</w:t>
            </w:r>
          </w:p>
        </w:tc>
        <w:tc>
          <w:tcPr>
            <w:tcW w:w="335" w:type="pct"/>
            <w:tcBorders>
              <w:top w:val="nil"/>
              <w:bottom w:val="nil"/>
            </w:tcBorders>
            <w:noWrap/>
            <w:hideMark/>
          </w:tcPr>
          <w:p w14:paraId="605A0DC7"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-9,1</w:t>
            </w:r>
          </w:p>
        </w:tc>
        <w:tc>
          <w:tcPr>
            <w:tcW w:w="335" w:type="pct"/>
            <w:gridSpan w:val="2"/>
            <w:tcBorders>
              <w:top w:val="nil"/>
              <w:bottom w:val="nil"/>
            </w:tcBorders>
            <w:noWrap/>
            <w:hideMark/>
          </w:tcPr>
          <w:p w14:paraId="79CF7696"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2,7</w:t>
            </w:r>
          </w:p>
        </w:tc>
        <w:tc>
          <w:tcPr>
            <w:tcW w:w="335" w:type="pct"/>
            <w:gridSpan w:val="2"/>
            <w:tcBorders>
              <w:top w:val="nil"/>
              <w:bottom w:val="nil"/>
            </w:tcBorders>
            <w:noWrap/>
            <w:hideMark/>
          </w:tcPr>
          <w:p w14:paraId="27055CE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4,4</w:t>
            </w:r>
          </w:p>
        </w:tc>
        <w:tc>
          <w:tcPr>
            <w:tcW w:w="335" w:type="pct"/>
            <w:tcBorders>
              <w:top w:val="nil"/>
              <w:bottom w:val="nil"/>
            </w:tcBorders>
            <w:noWrap/>
            <w:hideMark/>
          </w:tcPr>
          <w:p w14:paraId="13C96F2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1,0</w:t>
            </w:r>
          </w:p>
        </w:tc>
        <w:tc>
          <w:tcPr>
            <w:tcW w:w="335" w:type="pct"/>
            <w:gridSpan w:val="3"/>
            <w:tcBorders>
              <w:top w:val="nil"/>
              <w:bottom w:val="nil"/>
            </w:tcBorders>
            <w:noWrap/>
            <w:hideMark/>
          </w:tcPr>
          <w:p w14:paraId="31BAA461"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-0,1</w:t>
            </w:r>
          </w:p>
        </w:tc>
        <w:tc>
          <w:tcPr>
            <w:tcW w:w="335" w:type="pct"/>
            <w:tcBorders>
              <w:top w:val="nil"/>
              <w:bottom w:val="nil"/>
            </w:tcBorders>
            <w:noWrap/>
            <w:hideMark/>
          </w:tcPr>
          <w:p w14:paraId="6040FC5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-2,3</w:t>
            </w:r>
          </w:p>
        </w:tc>
        <w:tc>
          <w:tcPr>
            <w:tcW w:w="332" w:type="pct"/>
            <w:gridSpan w:val="2"/>
            <w:tcBorders>
              <w:top w:val="nil"/>
              <w:bottom w:val="nil"/>
              <w:right w:val="nil"/>
            </w:tcBorders>
            <w:noWrap/>
            <w:hideMark/>
          </w:tcPr>
          <w:p w14:paraId="381CC2E3"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-5,0</w:t>
            </w:r>
          </w:p>
        </w:tc>
      </w:tr>
      <w:tr w:rsidR="008A657E" w:rsidRPr="005409CE" w14:paraId="37AD0AF4" w14:textId="77777777" w:rsidTr="0015036C">
        <w:trPr>
          <w:trHeight w:val="350"/>
        </w:trPr>
        <w:tc>
          <w:tcPr>
            <w:tcW w:w="1202" w:type="pct"/>
            <w:tcBorders>
              <w:top w:val="nil"/>
              <w:left w:val="nil"/>
              <w:bottom w:val="nil"/>
            </w:tcBorders>
            <w:noWrap/>
            <w:hideMark/>
          </w:tcPr>
          <w:p w14:paraId="74D39D2E" w14:textId="77777777"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Herav prisutvikling petroleum</w:t>
            </w:r>
          </w:p>
        </w:tc>
        <w:tc>
          <w:tcPr>
            <w:tcW w:w="450" w:type="pct"/>
            <w:gridSpan w:val="2"/>
            <w:tcBorders>
              <w:top w:val="nil"/>
              <w:bottom w:val="nil"/>
            </w:tcBorders>
            <w:noWrap/>
            <w:hideMark/>
          </w:tcPr>
          <w:p w14:paraId="7541F5DA"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0,2</w:t>
            </w:r>
          </w:p>
        </w:tc>
        <w:tc>
          <w:tcPr>
            <w:tcW w:w="335" w:type="pct"/>
            <w:gridSpan w:val="2"/>
            <w:tcBorders>
              <w:top w:val="nil"/>
              <w:bottom w:val="nil"/>
            </w:tcBorders>
            <w:noWrap/>
            <w:hideMark/>
          </w:tcPr>
          <w:p w14:paraId="7E81AE0B"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4,7</w:t>
            </w:r>
          </w:p>
        </w:tc>
        <w:tc>
          <w:tcPr>
            <w:tcW w:w="335" w:type="pct"/>
            <w:gridSpan w:val="2"/>
            <w:tcBorders>
              <w:top w:val="nil"/>
              <w:bottom w:val="nil"/>
            </w:tcBorders>
            <w:noWrap/>
            <w:hideMark/>
          </w:tcPr>
          <w:p w14:paraId="4FFED3F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-1,3</w:t>
            </w:r>
          </w:p>
        </w:tc>
        <w:tc>
          <w:tcPr>
            <w:tcW w:w="335" w:type="pct"/>
            <w:tcBorders>
              <w:top w:val="nil"/>
              <w:bottom w:val="nil"/>
            </w:tcBorders>
            <w:noWrap/>
            <w:hideMark/>
          </w:tcPr>
          <w:p w14:paraId="7E16307F"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6,0</w:t>
            </w:r>
          </w:p>
        </w:tc>
        <w:tc>
          <w:tcPr>
            <w:tcW w:w="335" w:type="pct"/>
            <w:tcBorders>
              <w:top w:val="nil"/>
              <w:bottom w:val="nil"/>
            </w:tcBorders>
            <w:noWrap/>
            <w:hideMark/>
          </w:tcPr>
          <w:p w14:paraId="344F77D1"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-8,2</w:t>
            </w:r>
          </w:p>
        </w:tc>
        <w:tc>
          <w:tcPr>
            <w:tcW w:w="335" w:type="pct"/>
            <w:gridSpan w:val="2"/>
            <w:tcBorders>
              <w:top w:val="nil"/>
              <w:bottom w:val="nil"/>
            </w:tcBorders>
            <w:noWrap/>
            <w:hideMark/>
          </w:tcPr>
          <w:p w14:paraId="67B4542E"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2,0</w:t>
            </w:r>
          </w:p>
        </w:tc>
        <w:tc>
          <w:tcPr>
            <w:tcW w:w="335" w:type="pct"/>
            <w:gridSpan w:val="2"/>
            <w:tcBorders>
              <w:top w:val="nil"/>
              <w:bottom w:val="nil"/>
            </w:tcBorders>
            <w:noWrap/>
            <w:hideMark/>
          </w:tcPr>
          <w:p w14:paraId="0C0E5EF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4,8</w:t>
            </w:r>
          </w:p>
        </w:tc>
        <w:tc>
          <w:tcPr>
            <w:tcW w:w="335" w:type="pct"/>
            <w:tcBorders>
              <w:top w:val="nil"/>
              <w:bottom w:val="nil"/>
            </w:tcBorders>
            <w:noWrap/>
            <w:hideMark/>
          </w:tcPr>
          <w:p w14:paraId="1E5D5BE2"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1,0</w:t>
            </w:r>
          </w:p>
        </w:tc>
        <w:tc>
          <w:tcPr>
            <w:tcW w:w="335" w:type="pct"/>
            <w:gridSpan w:val="3"/>
            <w:tcBorders>
              <w:top w:val="nil"/>
              <w:bottom w:val="nil"/>
            </w:tcBorders>
            <w:noWrap/>
            <w:hideMark/>
          </w:tcPr>
          <w:p w14:paraId="7E9AAB2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-0,4</w:t>
            </w:r>
          </w:p>
        </w:tc>
        <w:tc>
          <w:tcPr>
            <w:tcW w:w="335" w:type="pct"/>
            <w:tcBorders>
              <w:top w:val="nil"/>
              <w:bottom w:val="nil"/>
            </w:tcBorders>
            <w:noWrap/>
            <w:hideMark/>
          </w:tcPr>
          <w:p w14:paraId="0EA46D3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-2,1</w:t>
            </w:r>
          </w:p>
        </w:tc>
        <w:tc>
          <w:tcPr>
            <w:tcW w:w="332" w:type="pct"/>
            <w:gridSpan w:val="2"/>
            <w:tcBorders>
              <w:top w:val="nil"/>
              <w:bottom w:val="nil"/>
              <w:right w:val="nil"/>
            </w:tcBorders>
            <w:noWrap/>
            <w:hideMark/>
          </w:tcPr>
          <w:p w14:paraId="54FE37B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-4,1</w:t>
            </w:r>
          </w:p>
        </w:tc>
      </w:tr>
      <w:tr w:rsidR="008A657E" w:rsidRPr="00CD4F33" w14:paraId="36F6FE1B" w14:textId="77777777" w:rsidTr="0015036C">
        <w:trPr>
          <w:trHeight w:val="350"/>
        </w:trPr>
        <w:tc>
          <w:tcPr>
            <w:tcW w:w="1202" w:type="pct"/>
            <w:tcBorders>
              <w:top w:val="nil"/>
              <w:left w:val="nil"/>
            </w:tcBorders>
            <w:noWrap/>
            <w:hideMark/>
          </w:tcPr>
          <w:p w14:paraId="0489FC73" w14:textId="5DE87B70" w:rsidR="008A657E" w:rsidRPr="0015036C" w:rsidRDefault="008A657E" w:rsidP="008A657E">
            <w:pPr>
              <w:autoSpaceDE w:val="0"/>
              <w:autoSpaceDN w:val="0"/>
              <w:adjustRightInd w:val="0"/>
              <w:spacing w:after="0"/>
              <w:rPr>
                <w:rFonts w:ascii="Times New Roman" w:eastAsia="Times New Roman" w:hAnsi="Times New Roman"/>
                <w:color w:val="000000"/>
                <w:sz w:val="20"/>
              </w:rPr>
            </w:pPr>
            <w:r w:rsidRPr="0015036C">
              <w:rPr>
                <w:rFonts w:ascii="Times New Roman" w:eastAsia="Times New Roman" w:hAnsi="Times New Roman"/>
                <w:color w:val="000000"/>
                <w:sz w:val="20"/>
              </w:rPr>
              <w:t xml:space="preserve">Endring </w:t>
            </w:r>
            <w:r w:rsidR="00093534">
              <w:rPr>
                <w:rFonts w:ascii="Times New Roman" w:eastAsia="Times New Roman" w:hAnsi="Times New Roman"/>
                <w:color w:val="000000"/>
                <w:sz w:val="20"/>
              </w:rPr>
              <w:t xml:space="preserve">i </w:t>
            </w:r>
            <w:r w:rsidRPr="0015036C">
              <w:rPr>
                <w:rFonts w:ascii="Times New Roman" w:eastAsia="Times New Roman" w:hAnsi="Times New Roman"/>
                <w:color w:val="000000"/>
                <w:sz w:val="20"/>
              </w:rPr>
              <w:t>rente- og stønadsbalansen</w:t>
            </w:r>
          </w:p>
        </w:tc>
        <w:tc>
          <w:tcPr>
            <w:tcW w:w="450" w:type="pct"/>
            <w:gridSpan w:val="2"/>
            <w:tcBorders>
              <w:top w:val="nil"/>
            </w:tcBorders>
            <w:noWrap/>
            <w:hideMark/>
          </w:tcPr>
          <w:p w14:paraId="3CA6780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0,4</w:t>
            </w:r>
          </w:p>
        </w:tc>
        <w:tc>
          <w:tcPr>
            <w:tcW w:w="335" w:type="pct"/>
            <w:gridSpan w:val="2"/>
            <w:tcBorders>
              <w:top w:val="nil"/>
            </w:tcBorders>
            <w:noWrap/>
            <w:hideMark/>
          </w:tcPr>
          <w:p w14:paraId="5957A3D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-1,3</w:t>
            </w:r>
          </w:p>
        </w:tc>
        <w:tc>
          <w:tcPr>
            <w:tcW w:w="335" w:type="pct"/>
            <w:gridSpan w:val="2"/>
            <w:tcBorders>
              <w:top w:val="nil"/>
            </w:tcBorders>
            <w:noWrap/>
            <w:hideMark/>
          </w:tcPr>
          <w:p w14:paraId="1235869D"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-0,5</w:t>
            </w:r>
          </w:p>
        </w:tc>
        <w:tc>
          <w:tcPr>
            <w:tcW w:w="335" w:type="pct"/>
            <w:tcBorders>
              <w:top w:val="nil"/>
            </w:tcBorders>
            <w:noWrap/>
            <w:hideMark/>
          </w:tcPr>
          <w:p w14:paraId="2A79F327"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-0,2</w:t>
            </w:r>
          </w:p>
        </w:tc>
        <w:tc>
          <w:tcPr>
            <w:tcW w:w="335" w:type="pct"/>
            <w:tcBorders>
              <w:top w:val="nil"/>
            </w:tcBorders>
            <w:noWrap/>
            <w:hideMark/>
          </w:tcPr>
          <w:p w14:paraId="2371E8E6"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0,8</w:t>
            </w:r>
          </w:p>
        </w:tc>
        <w:tc>
          <w:tcPr>
            <w:tcW w:w="335" w:type="pct"/>
            <w:gridSpan w:val="2"/>
            <w:tcBorders>
              <w:top w:val="nil"/>
            </w:tcBorders>
            <w:noWrap/>
            <w:hideMark/>
          </w:tcPr>
          <w:p w14:paraId="64008F34"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0,4</w:t>
            </w:r>
          </w:p>
        </w:tc>
        <w:tc>
          <w:tcPr>
            <w:tcW w:w="335" w:type="pct"/>
            <w:gridSpan w:val="2"/>
            <w:tcBorders>
              <w:top w:val="nil"/>
            </w:tcBorders>
            <w:noWrap/>
            <w:hideMark/>
          </w:tcPr>
          <w:p w14:paraId="04829AF5"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-0,2</w:t>
            </w:r>
          </w:p>
        </w:tc>
        <w:tc>
          <w:tcPr>
            <w:tcW w:w="335" w:type="pct"/>
            <w:tcBorders>
              <w:top w:val="nil"/>
            </w:tcBorders>
            <w:noWrap/>
            <w:hideMark/>
          </w:tcPr>
          <w:p w14:paraId="217F4D0C"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0,0</w:t>
            </w:r>
          </w:p>
        </w:tc>
        <w:tc>
          <w:tcPr>
            <w:tcW w:w="335" w:type="pct"/>
            <w:gridSpan w:val="3"/>
            <w:tcBorders>
              <w:top w:val="nil"/>
            </w:tcBorders>
            <w:noWrap/>
            <w:hideMark/>
          </w:tcPr>
          <w:p w14:paraId="2BBB8700"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0,0</w:t>
            </w:r>
          </w:p>
        </w:tc>
        <w:tc>
          <w:tcPr>
            <w:tcW w:w="335" w:type="pct"/>
            <w:tcBorders>
              <w:top w:val="nil"/>
            </w:tcBorders>
            <w:noWrap/>
            <w:hideMark/>
          </w:tcPr>
          <w:p w14:paraId="5436C2F8"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3,9 </w:t>
            </w:r>
          </w:p>
        </w:tc>
        <w:tc>
          <w:tcPr>
            <w:tcW w:w="332" w:type="pct"/>
            <w:gridSpan w:val="2"/>
            <w:tcBorders>
              <w:top w:val="nil"/>
              <w:right w:val="nil"/>
            </w:tcBorders>
            <w:noWrap/>
            <w:hideMark/>
          </w:tcPr>
          <w:p w14:paraId="53E2983B" w14:textId="77777777" w:rsidR="008A657E" w:rsidRPr="0015036C" w:rsidRDefault="008A657E" w:rsidP="008A657E">
            <w:pPr>
              <w:autoSpaceDE w:val="0"/>
              <w:autoSpaceDN w:val="0"/>
              <w:adjustRightInd w:val="0"/>
              <w:spacing w:after="0"/>
              <w:jc w:val="right"/>
              <w:rPr>
                <w:rFonts w:ascii="Times New Roman" w:eastAsia="Times New Roman" w:hAnsi="Times New Roman"/>
                <w:color w:val="000000"/>
                <w:sz w:val="20"/>
              </w:rPr>
            </w:pPr>
            <w:r w:rsidRPr="0015036C">
              <w:rPr>
                <w:rFonts w:ascii="Times New Roman" w:eastAsia="Times New Roman" w:hAnsi="Times New Roman"/>
                <w:color w:val="000000"/>
                <w:sz w:val="20"/>
              </w:rPr>
              <w:t xml:space="preserve">0,9 </w:t>
            </w:r>
          </w:p>
        </w:tc>
      </w:tr>
    </w:tbl>
    <w:p w14:paraId="3C7F1026" w14:textId="77777777" w:rsidR="008A657E" w:rsidRPr="00CB4861" w:rsidRDefault="008A657E" w:rsidP="008E4002">
      <w:pPr>
        <w:pStyle w:val="tabell-noter"/>
        <w:spacing w:before="0" w:after="0"/>
        <w:rPr>
          <w:noProof/>
        </w:rPr>
      </w:pPr>
      <w:r w:rsidRPr="00CB4861">
        <w:rPr>
          <w:noProof/>
        </w:rPr>
        <w:t>* Foreløpige tall.</w:t>
      </w:r>
      <w:r>
        <w:rPr>
          <w:noProof/>
        </w:rPr>
        <w:t xml:space="preserve"> Endring i rente- og stønadsbalansen i 2015 er basert på de tre første kvartalene.</w:t>
      </w:r>
    </w:p>
    <w:p w14:paraId="3696BCB7" w14:textId="77777777" w:rsidR="00527EEC" w:rsidRDefault="008A657E" w:rsidP="008643D6">
      <w:pPr>
        <w:pStyle w:val="tabell-noter"/>
        <w:numPr>
          <w:ilvl w:val="0"/>
          <w:numId w:val="67"/>
        </w:numPr>
        <w:tabs>
          <w:tab w:val="clear" w:pos="284"/>
        </w:tabs>
        <w:spacing w:before="0" w:after="0"/>
        <w:ind w:left="142" w:hanging="142"/>
        <w:contextualSpacing w:val="0"/>
        <w:rPr>
          <w:noProof/>
        </w:rPr>
      </w:pPr>
      <w:r w:rsidRPr="00527EEC">
        <w:rPr>
          <w:noProof/>
          <w:vertAlign w:val="superscript"/>
        </w:rPr>
        <w:t xml:space="preserve"> </w:t>
      </w:r>
      <w:r w:rsidRPr="00CB4861">
        <w:rPr>
          <w:noProof/>
        </w:rPr>
        <w:t>Inntektstallene er deflatert med nasjonalregnskapets prisindeks for netto innenlandsk sluttanvendelse, dvs. innenlandske sluttleveringer inklusive lagerendring, men eksklusive kapitalslit.</w:t>
      </w:r>
    </w:p>
    <w:p w14:paraId="1897C174" w14:textId="77777777" w:rsidR="00527EEC" w:rsidRDefault="008A657E" w:rsidP="008643D6">
      <w:pPr>
        <w:pStyle w:val="tabell-noter"/>
        <w:numPr>
          <w:ilvl w:val="0"/>
          <w:numId w:val="67"/>
        </w:numPr>
        <w:tabs>
          <w:tab w:val="clear" w:pos="284"/>
        </w:tabs>
        <w:spacing w:before="0" w:after="0"/>
        <w:ind w:left="142" w:hanging="142"/>
        <w:contextualSpacing w:val="0"/>
        <w:rPr>
          <w:noProof/>
        </w:rPr>
      </w:pPr>
      <w:r w:rsidRPr="00527EEC">
        <w:rPr>
          <w:noProof/>
          <w:vertAlign w:val="superscript"/>
        </w:rPr>
        <w:t xml:space="preserve"> </w:t>
      </w:r>
      <w:r w:rsidRPr="00CB4861">
        <w:rPr>
          <w:noProof/>
        </w:rPr>
        <w:t>Uoverensstemmelser i tabellen skyldes avrunding.</w:t>
      </w:r>
    </w:p>
    <w:p w14:paraId="662DCB93" w14:textId="186F77EE" w:rsidR="008A657E" w:rsidRPr="00CB4861" w:rsidRDefault="008A657E" w:rsidP="008643D6">
      <w:pPr>
        <w:pStyle w:val="tabell-noter"/>
        <w:numPr>
          <w:ilvl w:val="0"/>
          <w:numId w:val="67"/>
        </w:numPr>
        <w:tabs>
          <w:tab w:val="clear" w:pos="284"/>
        </w:tabs>
        <w:spacing w:before="0" w:after="0"/>
        <w:ind w:left="142" w:hanging="142"/>
        <w:contextualSpacing w:val="0"/>
        <w:rPr>
          <w:noProof/>
        </w:rPr>
      </w:pPr>
      <w:r w:rsidRPr="00527EEC">
        <w:rPr>
          <w:noProof/>
          <w:vertAlign w:val="superscript"/>
        </w:rPr>
        <w:t xml:space="preserve"> </w:t>
      </w:r>
      <w:r w:rsidRPr="00CB4861">
        <w:rPr>
          <w:noProof/>
        </w:rPr>
        <w:t>Produksjonsvekst målt ved nettoproduktet regnet i faste priser.</w:t>
      </w:r>
    </w:p>
    <w:p w14:paraId="25EF0EAD" w14:textId="798415D1" w:rsidR="008A657E" w:rsidRPr="00CB4861" w:rsidRDefault="00AE1F5C" w:rsidP="00AE1F5C">
      <w:pPr>
        <w:pStyle w:val="Kilde"/>
        <w:spacing w:before="120"/>
        <w:rPr>
          <w:rFonts w:ascii="Times New Roman" w:eastAsia="Times New Roman" w:hAnsi="Times New Roman"/>
          <w:noProof/>
        </w:rPr>
      </w:pPr>
      <w:r w:rsidRPr="00CB4861">
        <w:rPr>
          <w:noProof/>
        </w:rPr>
        <w:t>Kil</w:t>
      </w:r>
      <w:r>
        <w:rPr>
          <w:noProof/>
        </w:rPr>
        <w:t>de</w:t>
      </w:r>
      <w:r w:rsidR="00901A5E">
        <w:rPr>
          <w:noProof/>
        </w:rPr>
        <w:t>r</w:t>
      </w:r>
      <w:r>
        <w:rPr>
          <w:noProof/>
        </w:rPr>
        <w:t>: Statistisk sentralbyrå og Beregningsutvalget</w:t>
      </w:r>
      <w:r w:rsidR="008A657E" w:rsidRPr="00CB4861">
        <w:rPr>
          <w:rFonts w:ascii="Times New Roman" w:eastAsia="Times New Roman" w:hAnsi="Times New Roman"/>
          <w:noProof/>
        </w:rPr>
        <w:tab/>
      </w:r>
    </w:p>
    <w:p w14:paraId="5F12BD11" w14:textId="77777777" w:rsidR="008A657E" w:rsidRDefault="008A657E" w:rsidP="008A657E">
      <w:pPr>
        <w:spacing w:after="0"/>
        <w:rPr>
          <w:rFonts w:ascii="Times New Roman" w:eastAsia="Times New Roman" w:hAnsi="Times New Roman"/>
          <w:noProof/>
        </w:rPr>
      </w:pPr>
      <w:bookmarkStart w:id="251" w:name="ID_FIG1_45_2"/>
      <w:bookmarkEnd w:id="251"/>
    </w:p>
    <w:p w14:paraId="6CEC142F" w14:textId="77777777" w:rsidR="008A657E" w:rsidRPr="00CB4861" w:rsidRDefault="008A657E" w:rsidP="008A657E">
      <w:pPr>
        <w:spacing w:after="0"/>
        <w:rPr>
          <w:rFonts w:ascii="Times New Roman" w:eastAsia="Times New Roman" w:hAnsi="Times New Roman"/>
          <w:noProof/>
        </w:rPr>
      </w:pPr>
      <w:r>
        <w:rPr>
          <w:rFonts w:ascii="Times New Roman" w:eastAsia="Times New Roman" w:hAnsi="Times New Roman"/>
          <w:noProof/>
        </w:rPr>
        <w:drawing>
          <wp:inline distT="0" distB="0" distL="0" distR="0" wp14:anchorId="5D1F240B" wp14:editId="0EB6A200">
            <wp:extent cx="2657475" cy="2543175"/>
            <wp:effectExtent l="0" t="0" r="9525" b="9525"/>
            <wp:docPr id="205" name="Bilde 205" descr="C:\Users\nba\AppData\Local\Microsoft\Windows\Temporary Internet Files\Content.Outlook\PA0J27GI\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PA0J27GI\5-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7475" cy="2543175"/>
                    </a:xfrm>
                    <a:prstGeom prst="rect">
                      <a:avLst/>
                    </a:prstGeom>
                    <a:noFill/>
                    <a:ln>
                      <a:noFill/>
                    </a:ln>
                  </pic:spPr>
                </pic:pic>
              </a:graphicData>
            </a:graphic>
          </wp:inline>
        </w:drawing>
      </w:r>
    </w:p>
    <w:p w14:paraId="37CF3534" w14:textId="77777777" w:rsidR="008A657E" w:rsidRPr="002511D0" w:rsidRDefault="008A657E" w:rsidP="008A657E">
      <w:pPr>
        <w:pStyle w:val="figur-tittel"/>
        <w:spacing w:before="120"/>
      </w:pPr>
      <w:r w:rsidRPr="002511D0">
        <w:rPr>
          <w:noProof/>
        </w:rPr>
        <w:t>Bytteforholdet overfor utlandet¹. 200</w:t>
      </w:r>
      <w:r>
        <w:rPr>
          <w:noProof/>
        </w:rPr>
        <w:t>5</w:t>
      </w:r>
      <w:r w:rsidRPr="002511D0">
        <w:rPr>
          <w:noProof/>
        </w:rPr>
        <w:t>=100</w:t>
      </w:r>
    </w:p>
    <w:p w14:paraId="2338D58C" w14:textId="77777777" w:rsidR="008A657E" w:rsidRPr="00CB4861" w:rsidRDefault="008A657E" w:rsidP="008A657E">
      <w:pPr>
        <w:pStyle w:val="figur-noter"/>
        <w:rPr>
          <w:noProof/>
        </w:rPr>
      </w:pPr>
      <w:r w:rsidRPr="00CB4861">
        <w:rPr>
          <w:noProof/>
        </w:rPr>
        <w:t>* Foreløpige tall</w:t>
      </w:r>
    </w:p>
    <w:p w14:paraId="5665248A" w14:textId="498C2902" w:rsidR="008A657E" w:rsidRPr="00CB4861" w:rsidRDefault="008A657E" w:rsidP="008643D6">
      <w:pPr>
        <w:pStyle w:val="tabell-noter"/>
        <w:numPr>
          <w:ilvl w:val="0"/>
          <w:numId w:val="68"/>
        </w:numPr>
        <w:tabs>
          <w:tab w:val="clear" w:pos="284"/>
        </w:tabs>
        <w:spacing w:before="0" w:after="0"/>
        <w:ind w:left="142" w:hanging="142"/>
        <w:contextualSpacing w:val="0"/>
        <w:rPr>
          <w:i/>
          <w:noProof/>
        </w:rPr>
      </w:pPr>
      <w:r w:rsidRPr="007C4997">
        <w:rPr>
          <w:noProof/>
        </w:rPr>
        <w:t xml:space="preserve">Kurvene i figuren er beregnet ved å ta forholdet mellom </w:t>
      </w:r>
      <w:r>
        <w:rPr>
          <w:noProof/>
        </w:rPr>
        <w:t xml:space="preserve">indeksen for eksport- og importpriser. </w:t>
      </w:r>
    </w:p>
    <w:p w14:paraId="0137A352" w14:textId="18150596" w:rsidR="008A657E" w:rsidRPr="00CB4861" w:rsidRDefault="00AE1F5C" w:rsidP="008A657E">
      <w:pPr>
        <w:pStyle w:val="Kilde"/>
        <w:rPr>
          <w:noProof/>
          <w:color w:val="000000"/>
        </w:rPr>
      </w:pPr>
      <w:r w:rsidRPr="00CB4861">
        <w:rPr>
          <w:noProof/>
        </w:rPr>
        <w:t>Kil</w:t>
      </w:r>
      <w:r>
        <w:rPr>
          <w:noProof/>
        </w:rPr>
        <w:t>de</w:t>
      </w:r>
      <w:r w:rsidR="00901A5E">
        <w:rPr>
          <w:noProof/>
        </w:rPr>
        <w:t>r</w:t>
      </w:r>
      <w:r>
        <w:rPr>
          <w:noProof/>
        </w:rPr>
        <w:t>: Statistisk sentralbyrå og Beregningsutvalget</w:t>
      </w:r>
      <w:r w:rsidR="008A657E" w:rsidRPr="00CB4861">
        <w:rPr>
          <w:noProof/>
        </w:rPr>
        <w:t xml:space="preserve"> </w:t>
      </w:r>
    </w:p>
    <w:p w14:paraId="4E812474" w14:textId="4C990F1D" w:rsidR="008A657E" w:rsidRDefault="008A657E" w:rsidP="008A657E">
      <w:pPr>
        <w:rPr>
          <w:noProof/>
        </w:rPr>
      </w:pPr>
      <w:r w:rsidRPr="00CB4861">
        <w:rPr>
          <w:noProof/>
        </w:rPr>
        <w:t xml:space="preserve">Den gjennomsnittlige </w:t>
      </w:r>
      <w:r>
        <w:rPr>
          <w:noProof/>
        </w:rPr>
        <w:t xml:space="preserve">veksten i </w:t>
      </w:r>
      <w:r w:rsidRPr="00CB4861">
        <w:rPr>
          <w:noProof/>
        </w:rPr>
        <w:t>disponib</w:t>
      </w:r>
      <w:r w:rsidR="00093534">
        <w:rPr>
          <w:noProof/>
        </w:rPr>
        <w:t>el</w:t>
      </w:r>
      <w:r>
        <w:rPr>
          <w:noProof/>
        </w:rPr>
        <w:t xml:space="preserve"> realinntekt har vært </w:t>
      </w:r>
      <w:r w:rsidRPr="00CB5844">
        <w:rPr>
          <w:noProof/>
        </w:rPr>
        <w:t>1</w:t>
      </w:r>
      <w:r w:rsidRPr="005D3988">
        <w:rPr>
          <w:noProof/>
        </w:rPr>
        <w:t>,5</w:t>
      </w:r>
      <w:r w:rsidRPr="00CB4861">
        <w:rPr>
          <w:noProof/>
        </w:rPr>
        <w:t xml:space="preserve"> prosent de siste ti årene.</w:t>
      </w:r>
      <w:r>
        <w:rPr>
          <w:noProof/>
        </w:rPr>
        <w:t xml:space="preserve"> I gjennomsnitt har det størst</w:t>
      </w:r>
      <w:r w:rsidRPr="00CB4861">
        <w:rPr>
          <w:noProof/>
        </w:rPr>
        <w:t>e bidraget kommet fra produksjonsveksten i Fastlands-Norge</w:t>
      </w:r>
      <w:r>
        <w:rPr>
          <w:noProof/>
        </w:rPr>
        <w:t>.</w:t>
      </w:r>
      <w:r w:rsidRPr="0090112E">
        <w:rPr>
          <w:noProof/>
        </w:rPr>
        <w:t xml:space="preserve"> </w:t>
      </w:r>
      <w:r>
        <w:rPr>
          <w:noProof/>
        </w:rPr>
        <w:t>Bed</w:t>
      </w:r>
      <w:r w:rsidRPr="00CB4861">
        <w:rPr>
          <w:noProof/>
        </w:rPr>
        <w:t>ring i bytteforholdet overfor utlandet</w:t>
      </w:r>
      <w:r>
        <w:rPr>
          <w:noProof/>
        </w:rPr>
        <w:t xml:space="preserve"> og endring i rente- og stønadsbalansen har også bidratt positivt i gjennomsnitt de siste ti årene, spesielt i 2014 og 2015. </w:t>
      </w:r>
      <w:r w:rsidRPr="00CB4861">
        <w:rPr>
          <w:noProof/>
        </w:rPr>
        <w:t>Produksjonsutviklingen i petroleumsvirksomheten har i gjennomsni</w:t>
      </w:r>
      <w:r>
        <w:rPr>
          <w:noProof/>
        </w:rPr>
        <w:t>tt dratt ned veksten i disponib</w:t>
      </w:r>
      <w:r w:rsidRPr="00CB4861">
        <w:rPr>
          <w:noProof/>
        </w:rPr>
        <w:t>e</w:t>
      </w:r>
      <w:r>
        <w:rPr>
          <w:noProof/>
        </w:rPr>
        <w:t>l</w:t>
      </w:r>
      <w:r w:rsidRPr="00CB4861">
        <w:rPr>
          <w:noProof/>
        </w:rPr>
        <w:t xml:space="preserve"> realinntekt i løpet av per</w:t>
      </w:r>
      <w:r>
        <w:rPr>
          <w:noProof/>
        </w:rPr>
        <w:t xml:space="preserve">ioden. I </w:t>
      </w:r>
      <w:r w:rsidR="00140733">
        <w:rPr>
          <w:noProof/>
        </w:rPr>
        <w:t>ti</w:t>
      </w:r>
      <w:r>
        <w:rPr>
          <w:noProof/>
        </w:rPr>
        <w:t>årsperioden 2006</w:t>
      </w:r>
      <w:r w:rsidR="00140733">
        <w:rPr>
          <w:noProof/>
        </w:rPr>
        <w:t>-</w:t>
      </w:r>
      <w:r w:rsidRPr="00CB4861">
        <w:rPr>
          <w:noProof/>
        </w:rPr>
        <w:t>201</w:t>
      </w:r>
      <w:r>
        <w:rPr>
          <w:noProof/>
        </w:rPr>
        <w:t>5</w:t>
      </w:r>
      <w:r w:rsidRPr="00CB4861">
        <w:rPr>
          <w:noProof/>
        </w:rPr>
        <w:t xml:space="preserve"> økte disponi</w:t>
      </w:r>
      <w:r>
        <w:rPr>
          <w:noProof/>
        </w:rPr>
        <w:t xml:space="preserve">bel realinntekt med til sammen </w:t>
      </w:r>
      <w:r w:rsidRPr="00CB5844">
        <w:rPr>
          <w:noProof/>
        </w:rPr>
        <w:t>1</w:t>
      </w:r>
      <w:r>
        <w:rPr>
          <w:noProof/>
        </w:rPr>
        <w:t>6</w:t>
      </w:r>
      <w:r w:rsidRPr="00CB4861">
        <w:rPr>
          <w:noProof/>
        </w:rPr>
        <w:t xml:space="preserve"> prosent.</w:t>
      </w:r>
    </w:p>
    <w:p w14:paraId="70EAF41C" w14:textId="567945AF" w:rsidR="00055102" w:rsidRPr="008411E4" w:rsidRDefault="00055102" w:rsidP="00055102">
      <w:pPr>
        <w:pStyle w:val="Overskrift2"/>
      </w:pPr>
      <w:bookmarkStart w:id="252" w:name="ID_KAP1_46_4"/>
      <w:bookmarkStart w:id="253" w:name="_Toc443998998"/>
      <w:bookmarkEnd w:id="252"/>
      <w:r>
        <w:t>Faktorinntekt og funksjonell inntektsfordeling</w:t>
      </w:r>
      <w:bookmarkEnd w:id="253"/>
    </w:p>
    <w:p w14:paraId="4B8F8ECC" w14:textId="77777777" w:rsidR="008A657E" w:rsidRDefault="008A657E" w:rsidP="008A657E">
      <w:pPr>
        <w:rPr>
          <w:rFonts w:ascii="Times New Roman" w:eastAsia="Times New Roman" w:hAnsi="Times New Roman"/>
          <w:noProof/>
        </w:rPr>
      </w:pPr>
      <w:r w:rsidRPr="00CB4861">
        <w:rPr>
          <w:rFonts w:ascii="Times New Roman" w:eastAsiaTheme="majorEastAsia" w:hAnsi="Times New Roman"/>
          <w:i/>
          <w:color w:val="000000"/>
        </w:rPr>
        <w:t>Faktorinntekten</w:t>
      </w:r>
      <w:r w:rsidRPr="00CB4861">
        <w:rPr>
          <w:rFonts w:ascii="Times New Roman" w:eastAsia="Times New Roman" w:hAnsi="Times New Roman"/>
          <w:noProof/>
        </w:rPr>
        <w:t xml:space="preserve"> er den inntekten som tilfaller produksjonsfaktorene arbeidskraft og kapital. Faktorinntekten for </w:t>
      </w:r>
      <w:r>
        <w:rPr>
          <w:rFonts w:ascii="Times New Roman" w:eastAsia="Times New Roman" w:hAnsi="Times New Roman"/>
          <w:noProof/>
        </w:rPr>
        <w:t>økonomien som helhet falt med 2,3 prosent i 2015, mot en økning på 1</w:t>
      </w:r>
      <w:r w:rsidRPr="00CB4861">
        <w:rPr>
          <w:rFonts w:ascii="Times New Roman" w:eastAsia="Times New Roman" w:hAnsi="Times New Roman"/>
          <w:noProof/>
        </w:rPr>
        <w:t xml:space="preserve">,7 prosent året før, ifølge foreløpige nasjonalregnskapstall. </w:t>
      </w:r>
    </w:p>
    <w:p w14:paraId="03E611BA" w14:textId="77777777" w:rsidR="008A657E" w:rsidRPr="005409CE" w:rsidRDefault="008A657E" w:rsidP="008A657E">
      <w:pPr>
        <w:pStyle w:val="tabell-tittel"/>
      </w:pPr>
      <w:r w:rsidRPr="00CB4861">
        <w:t>Faktorinntektsutviklingen. Vekst fra året før i prosent</w:t>
      </w:r>
      <w:r w:rsidRPr="005409CE">
        <w:t xml:space="preserve"> </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686"/>
        <w:gridCol w:w="653"/>
        <w:gridCol w:w="653"/>
        <w:gridCol w:w="653"/>
        <w:gridCol w:w="653"/>
        <w:gridCol w:w="654"/>
        <w:gridCol w:w="652"/>
        <w:gridCol w:w="652"/>
        <w:gridCol w:w="652"/>
        <w:gridCol w:w="652"/>
        <w:gridCol w:w="654"/>
      </w:tblGrid>
      <w:tr w:rsidR="008A657E" w:rsidRPr="00CB4861" w14:paraId="05050A70" w14:textId="77777777" w:rsidTr="008A657E">
        <w:trPr>
          <w:trHeight w:val="260"/>
        </w:trPr>
        <w:tc>
          <w:tcPr>
            <w:tcW w:w="1457" w:type="pct"/>
            <w:noWrap/>
          </w:tcPr>
          <w:p w14:paraId="2C42B9C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bookmarkStart w:id="254" w:name="ID_TAB1_46_3"/>
            <w:bookmarkEnd w:id="254"/>
          </w:p>
        </w:tc>
        <w:tc>
          <w:tcPr>
            <w:tcW w:w="354" w:type="pct"/>
            <w:noWrap/>
          </w:tcPr>
          <w:p w14:paraId="16DCE8E6"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2006</w:t>
            </w:r>
          </w:p>
        </w:tc>
        <w:tc>
          <w:tcPr>
            <w:tcW w:w="354" w:type="pct"/>
            <w:noWrap/>
          </w:tcPr>
          <w:p w14:paraId="33DF737B"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2007</w:t>
            </w:r>
          </w:p>
        </w:tc>
        <w:tc>
          <w:tcPr>
            <w:tcW w:w="354" w:type="pct"/>
            <w:noWrap/>
          </w:tcPr>
          <w:p w14:paraId="1E5E0ACE"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2008</w:t>
            </w:r>
          </w:p>
        </w:tc>
        <w:tc>
          <w:tcPr>
            <w:tcW w:w="354" w:type="pct"/>
            <w:noWrap/>
          </w:tcPr>
          <w:p w14:paraId="18D14180"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2009</w:t>
            </w:r>
          </w:p>
        </w:tc>
        <w:tc>
          <w:tcPr>
            <w:tcW w:w="355" w:type="pct"/>
            <w:noWrap/>
          </w:tcPr>
          <w:p w14:paraId="2ECA9BF9"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2010</w:t>
            </w:r>
          </w:p>
        </w:tc>
        <w:tc>
          <w:tcPr>
            <w:tcW w:w="354" w:type="pct"/>
            <w:noWrap/>
          </w:tcPr>
          <w:p w14:paraId="2DCE7C72"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2011</w:t>
            </w:r>
          </w:p>
        </w:tc>
        <w:tc>
          <w:tcPr>
            <w:tcW w:w="354" w:type="pct"/>
            <w:noWrap/>
          </w:tcPr>
          <w:p w14:paraId="6588E4D9"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2012</w:t>
            </w:r>
          </w:p>
        </w:tc>
        <w:tc>
          <w:tcPr>
            <w:tcW w:w="354" w:type="pct"/>
            <w:noWrap/>
          </w:tcPr>
          <w:p w14:paraId="4FC044F4"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2013</w:t>
            </w:r>
          </w:p>
        </w:tc>
        <w:tc>
          <w:tcPr>
            <w:tcW w:w="354" w:type="pct"/>
            <w:noWrap/>
          </w:tcPr>
          <w:p w14:paraId="1E22229A"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2014*</w:t>
            </w:r>
          </w:p>
        </w:tc>
        <w:tc>
          <w:tcPr>
            <w:tcW w:w="355" w:type="pct"/>
            <w:noWrap/>
          </w:tcPr>
          <w:p w14:paraId="1E963F3F" w14:textId="77777777" w:rsidR="008A657E" w:rsidRPr="003677E1" w:rsidRDefault="008A657E" w:rsidP="008A657E">
            <w:pPr>
              <w:autoSpaceDE w:val="0"/>
              <w:autoSpaceDN w:val="0"/>
              <w:adjustRightInd w:val="0"/>
              <w:spacing w:after="0"/>
              <w:jc w:val="center"/>
              <w:rPr>
                <w:rFonts w:ascii="Times New Roman" w:eastAsia="Times New Roman" w:hAnsi="Times New Roman"/>
                <w:color w:val="000000"/>
                <w:sz w:val="20"/>
              </w:rPr>
            </w:pPr>
            <w:r w:rsidRPr="003677E1">
              <w:rPr>
                <w:rFonts w:ascii="Times New Roman" w:eastAsia="Times New Roman" w:hAnsi="Times New Roman"/>
                <w:color w:val="000000"/>
                <w:sz w:val="20"/>
              </w:rPr>
              <w:t>2015*</w:t>
            </w:r>
          </w:p>
        </w:tc>
      </w:tr>
      <w:tr w:rsidR="008A657E" w:rsidRPr="00CB4861" w14:paraId="7F2B9499" w14:textId="77777777" w:rsidTr="0015036C">
        <w:trPr>
          <w:trHeight w:val="260"/>
        </w:trPr>
        <w:tc>
          <w:tcPr>
            <w:tcW w:w="1457" w:type="pct"/>
            <w:tcBorders>
              <w:bottom w:val="nil"/>
            </w:tcBorders>
            <w:noWrap/>
          </w:tcPr>
          <w:p w14:paraId="31389081"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2D6E2728"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Nettonasjonalprodukt</w:t>
            </w:r>
          </w:p>
        </w:tc>
        <w:tc>
          <w:tcPr>
            <w:tcW w:w="354" w:type="pct"/>
            <w:tcBorders>
              <w:bottom w:val="nil"/>
            </w:tcBorders>
            <w:noWrap/>
          </w:tcPr>
          <w:p w14:paraId="75E0F368" w14:textId="44D63701"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11,9 </w:t>
            </w:r>
          </w:p>
        </w:tc>
        <w:tc>
          <w:tcPr>
            <w:tcW w:w="354" w:type="pct"/>
            <w:tcBorders>
              <w:bottom w:val="nil"/>
            </w:tcBorders>
            <w:noWrap/>
          </w:tcPr>
          <w:p w14:paraId="51E6E0B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5,3 </w:t>
            </w:r>
          </w:p>
        </w:tc>
        <w:tc>
          <w:tcPr>
            <w:tcW w:w="354" w:type="pct"/>
            <w:tcBorders>
              <w:bottom w:val="nil"/>
            </w:tcBorders>
            <w:noWrap/>
          </w:tcPr>
          <w:p w14:paraId="21483AD4"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10,9 </w:t>
            </w:r>
          </w:p>
        </w:tc>
        <w:tc>
          <w:tcPr>
            <w:tcW w:w="354" w:type="pct"/>
            <w:tcBorders>
              <w:bottom w:val="nil"/>
            </w:tcBorders>
            <w:noWrap/>
          </w:tcPr>
          <w:p w14:paraId="6B05A922"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-9,2 </w:t>
            </w:r>
          </w:p>
        </w:tc>
        <w:tc>
          <w:tcPr>
            <w:tcW w:w="355" w:type="pct"/>
            <w:tcBorders>
              <w:bottom w:val="nil"/>
            </w:tcBorders>
            <w:noWrap/>
          </w:tcPr>
          <w:p w14:paraId="5336808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7,0 </w:t>
            </w:r>
          </w:p>
        </w:tc>
        <w:tc>
          <w:tcPr>
            <w:tcW w:w="354" w:type="pct"/>
            <w:tcBorders>
              <w:bottom w:val="nil"/>
            </w:tcBorders>
            <w:noWrap/>
          </w:tcPr>
          <w:p w14:paraId="6CEE7D28"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8,2 </w:t>
            </w:r>
          </w:p>
        </w:tc>
        <w:tc>
          <w:tcPr>
            <w:tcW w:w="354" w:type="pct"/>
            <w:tcBorders>
              <w:bottom w:val="nil"/>
            </w:tcBorders>
            <w:noWrap/>
          </w:tcPr>
          <w:p w14:paraId="144462DE"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6,4 </w:t>
            </w:r>
          </w:p>
        </w:tc>
        <w:tc>
          <w:tcPr>
            <w:tcW w:w="354" w:type="pct"/>
            <w:tcBorders>
              <w:bottom w:val="nil"/>
            </w:tcBorders>
            <w:noWrap/>
          </w:tcPr>
          <w:p w14:paraId="1E919187"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3,3 </w:t>
            </w:r>
          </w:p>
        </w:tc>
        <w:tc>
          <w:tcPr>
            <w:tcW w:w="354" w:type="pct"/>
            <w:tcBorders>
              <w:bottom w:val="nil"/>
            </w:tcBorders>
            <w:noWrap/>
          </w:tcPr>
          <w:p w14:paraId="5188A855"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2,0 </w:t>
            </w:r>
          </w:p>
        </w:tc>
        <w:tc>
          <w:tcPr>
            <w:tcW w:w="355" w:type="pct"/>
            <w:tcBorders>
              <w:bottom w:val="nil"/>
            </w:tcBorders>
            <w:noWrap/>
          </w:tcPr>
          <w:p w14:paraId="02AE98E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w:t>
            </w:r>
            <w:r>
              <w:rPr>
                <w:rFonts w:ascii="Times New Roman" w:eastAsia="Times New Roman" w:hAnsi="Times New Roman"/>
                <w:color w:val="000000"/>
                <w:sz w:val="20"/>
              </w:rPr>
              <w:t>7</w:t>
            </w:r>
            <w:r w:rsidRPr="003677E1">
              <w:rPr>
                <w:rFonts w:ascii="Times New Roman" w:eastAsia="Times New Roman" w:hAnsi="Times New Roman"/>
                <w:color w:val="000000"/>
                <w:sz w:val="20"/>
              </w:rPr>
              <w:t xml:space="preserve"> </w:t>
            </w:r>
          </w:p>
        </w:tc>
      </w:tr>
      <w:tr w:rsidR="008A657E" w:rsidRPr="00CB4861" w14:paraId="566654EF" w14:textId="77777777" w:rsidTr="0015036C">
        <w:trPr>
          <w:trHeight w:val="260"/>
        </w:trPr>
        <w:tc>
          <w:tcPr>
            <w:tcW w:w="1457" w:type="pct"/>
            <w:tcBorders>
              <w:top w:val="nil"/>
              <w:bottom w:val="nil"/>
            </w:tcBorders>
            <w:noWrap/>
          </w:tcPr>
          <w:p w14:paraId="620C7050"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45F0BFE0"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Faktorinntekt</w:t>
            </w:r>
          </w:p>
        </w:tc>
        <w:tc>
          <w:tcPr>
            <w:tcW w:w="354" w:type="pct"/>
            <w:tcBorders>
              <w:top w:val="nil"/>
              <w:bottom w:val="nil"/>
            </w:tcBorders>
            <w:noWrap/>
          </w:tcPr>
          <w:p w14:paraId="3FFDBC62"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11,7 </w:t>
            </w:r>
          </w:p>
        </w:tc>
        <w:tc>
          <w:tcPr>
            <w:tcW w:w="354" w:type="pct"/>
            <w:tcBorders>
              <w:top w:val="nil"/>
              <w:bottom w:val="nil"/>
            </w:tcBorders>
            <w:noWrap/>
          </w:tcPr>
          <w:p w14:paraId="0430C470"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4,7 </w:t>
            </w:r>
          </w:p>
        </w:tc>
        <w:tc>
          <w:tcPr>
            <w:tcW w:w="354" w:type="pct"/>
            <w:tcBorders>
              <w:top w:val="nil"/>
              <w:bottom w:val="nil"/>
            </w:tcBorders>
            <w:noWrap/>
          </w:tcPr>
          <w:p w14:paraId="5DEC9F14"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12,7 </w:t>
            </w:r>
          </w:p>
        </w:tc>
        <w:tc>
          <w:tcPr>
            <w:tcW w:w="354" w:type="pct"/>
            <w:tcBorders>
              <w:top w:val="nil"/>
              <w:bottom w:val="nil"/>
            </w:tcBorders>
            <w:noWrap/>
          </w:tcPr>
          <w:p w14:paraId="599FAA6A"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-10,0 </w:t>
            </w:r>
          </w:p>
        </w:tc>
        <w:tc>
          <w:tcPr>
            <w:tcW w:w="355" w:type="pct"/>
            <w:tcBorders>
              <w:top w:val="nil"/>
              <w:bottom w:val="nil"/>
            </w:tcBorders>
            <w:noWrap/>
          </w:tcPr>
          <w:p w14:paraId="5D5990C7"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7,0 </w:t>
            </w:r>
          </w:p>
        </w:tc>
        <w:tc>
          <w:tcPr>
            <w:tcW w:w="354" w:type="pct"/>
            <w:tcBorders>
              <w:top w:val="nil"/>
              <w:bottom w:val="nil"/>
            </w:tcBorders>
            <w:noWrap/>
          </w:tcPr>
          <w:p w14:paraId="50140E30"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8,7 </w:t>
            </w:r>
          </w:p>
        </w:tc>
        <w:tc>
          <w:tcPr>
            <w:tcW w:w="354" w:type="pct"/>
            <w:tcBorders>
              <w:top w:val="nil"/>
              <w:bottom w:val="nil"/>
            </w:tcBorders>
            <w:noWrap/>
          </w:tcPr>
          <w:p w14:paraId="2C7136D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6,6 </w:t>
            </w:r>
          </w:p>
        </w:tc>
        <w:tc>
          <w:tcPr>
            <w:tcW w:w="354" w:type="pct"/>
            <w:tcBorders>
              <w:top w:val="nil"/>
              <w:bottom w:val="nil"/>
            </w:tcBorders>
            <w:noWrap/>
          </w:tcPr>
          <w:p w14:paraId="0E524D3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3,1 </w:t>
            </w:r>
          </w:p>
        </w:tc>
        <w:tc>
          <w:tcPr>
            <w:tcW w:w="354" w:type="pct"/>
            <w:tcBorders>
              <w:top w:val="nil"/>
              <w:bottom w:val="nil"/>
            </w:tcBorders>
            <w:noWrap/>
          </w:tcPr>
          <w:p w14:paraId="06693922"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1,7 </w:t>
            </w:r>
          </w:p>
        </w:tc>
        <w:tc>
          <w:tcPr>
            <w:tcW w:w="355" w:type="pct"/>
            <w:tcBorders>
              <w:top w:val="nil"/>
              <w:bottom w:val="nil"/>
            </w:tcBorders>
            <w:noWrap/>
          </w:tcPr>
          <w:p w14:paraId="0DC19463"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2,3 </w:t>
            </w:r>
            <w:r w:rsidRPr="003677E1">
              <w:rPr>
                <w:rFonts w:ascii="Times New Roman" w:eastAsia="Times New Roman" w:hAnsi="Times New Roman"/>
                <w:color w:val="000000"/>
                <w:sz w:val="20"/>
              </w:rPr>
              <w:t xml:space="preserve"> </w:t>
            </w:r>
          </w:p>
        </w:tc>
      </w:tr>
      <w:tr w:rsidR="008A657E" w:rsidRPr="00CB4861" w14:paraId="60675EFD" w14:textId="77777777" w:rsidTr="0015036C">
        <w:trPr>
          <w:trHeight w:val="260"/>
        </w:trPr>
        <w:tc>
          <w:tcPr>
            <w:tcW w:w="1457" w:type="pct"/>
            <w:tcBorders>
              <w:top w:val="nil"/>
              <w:bottom w:val="nil"/>
            </w:tcBorders>
            <w:noWrap/>
          </w:tcPr>
          <w:p w14:paraId="123DA9E5"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2ED52CCB"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 Lønnskostnader</w:t>
            </w:r>
          </w:p>
        </w:tc>
        <w:tc>
          <w:tcPr>
            <w:tcW w:w="354" w:type="pct"/>
            <w:tcBorders>
              <w:top w:val="nil"/>
              <w:bottom w:val="nil"/>
            </w:tcBorders>
            <w:noWrap/>
          </w:tcPr>
          <w:p w14:paraId="432424AA"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9,3 </w:t>
            </w:r>
          </w:p>
        </w:tc>
        <w:tc>
          <w:tcPr>
            <w:tcW w:w="354" w:type="pct"/>
            <w:tcBorders>
              <w:top w:val="nil"/>
              <w:bottom w:val="nil"/>
            </w:tcBorders>
            <w:noWrap/>
          </w:tcPr>
          <w:p w14:paraId="5C9F5B15"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11,1 </w:t>
            </w:r>
          </w:p>
        </w:tc>
        <w:tc>
          <w:tcPr>
            <w:tcW w:w="354" w:type="pct"/>
            <w:tcBorders>
              <w:top w:val="nil"/>
              <w:bottom w:val="nil"/>
            </w:tcBorders>
            <w:noWrap/>
          </w:tcPr>
          <w:p w14:paraId="68761FD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10,0 </w:t>
            </w:r>
          </w:p>
        </w:tc>
        <w:tc>
          <w:tcPr>
            <w:tcW w:w="354" w:type="pct"/>
            <w:tcBorders>
              <w:top w:val="nil"/>
              <w:bottom w:val="nil"/>
            </w:tcBorders>
            <w:noWrap/>
          </w:tcPr>
          <w:p w14:paraId="16B0C544"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3,0 </w:t>
            </w:r>
          </w:p>
        </w:tc>
        <w:tc>
          <w:tcPr>
            <w:tcW w:w="355" w:type="pct"/>
            <w:tcBorders>
              <w:top w:val="nil"/>
              <w:bottom w:val="nil"/>
            </w:tcBorders>
            <w:noWrap/>
          </w:tcPr>
          <w:p w14:paraId="168C77B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2,8 </w:t>
            </w:r>
          </w:p>
        </w:tc>
        <w:tc>
          <w:tcPr>
            <w:tcW w:w="354" w:type="pct"/>
            <w:tcBorders>
              <w:top w:val="nil"/>
              <w:bottom w:val="nil"/>
            </w:tcBorders>
            <w:noWrap/>
          </w:tcPr>
          <w:p w14:paraId="25D9F2F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6,4 </w:t>
            </w:r>
          </w:p>
        </w:tc>
        <w:tc>
          <w:tcPr>
            <w:tcW w:w="354" w:type="pct"/>
            <w:tcBorders>
              <w:top w:val="nil"/>
              <w:bottom w:val="nil"/>
            </w:tcBorders>
            <w:noWrap/>
          </w:tcPr>
          <w:p w14:paraId="354B9446"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6,8 </w:t>
            </w:r>
          </w:p>
        </w:tc>
        <w:tc>
          <w:tcPr>
            <w:tcW w:w="354" w:type="pct"/>
            <w:tcBorders>
              <w:top w:val="nil"/>
              <w:bottom w:val="nil"/>
            </w:tcBorders>
            <w:noWrap/>
          </w:tcPr>
          <w:p w14:paraId="2F841C65"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5,8 </w:t>
            </w:r>
          </w:p>
        </w:tc>
        <w:tc>
          <w:tcPr>
            <w:tcW w:w="354" w:type="pct"/>
            <w:tcBorders>
              <w:top w:val="nil"/>
              <w:bottom w:val="nil"/>
            </w:tcBorders>
            <w:noWrap/>
          </w:tcPr>
          <w:p w14:paraId="7A4215CC"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4,6 </w:t>
            </w:r>
          </w:p>
        </w:tc>
        <w:tc>
          <w:tcPr>
            <w:tcW w:w="355" w:type="pct"/>
            <w:tcBorders>
              <w:top w:val="nil"/>
              <w:bottom w:val="nil"/>
            </w:tcBorders>
            <w:noWrap/>
          </w:tcPr>
          <w:p w14:paraId="544B1B6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w:t>
            </w:r>
            <w:r>
              <w:rPr>
                <w:rFonts w:ascii="Times New Roman" w:eastAsia="Times New Roman" w:hAnsi="Times New Roman"/>
                <w:color w:val="000000"/>
                <w:sz w:val="20"/>
              </w:rPr>
              <w:t>3,5</w:t>
            </w:r>
            <w:r w:rsidRPr="003677E1">
              <w:rPr>
                <w:rFonts w:ascii="Times New Roman" w:eastAsia="Times New Roman" w:hAnsi="Times New Roman"/>
                <w:color w:val="000000"/>
                <w:sz w:val="20"/>
              </w:rPr>
              <w:t xml:space="preserve"> </w:t>
            </w:r>
          </w:p>
        </w:tc>
      </w:tr>
      <w:tr w:rsidR="008A657E" w:rsidRPr="00CB4861" w14:paraId="26E26EB4" w14:textId="77777777" w:rsidTr="0015036C">
        <w:trPr>
          <w:trHeight w:val="260"/>
        </w:trPr>
        <w:tc>
          <w:tcPr>
            <w:tcW w:w="1457" w:type="pct"/>
            <w:tcBorders>
              <w:top w:val="nil"/>
              <w:bottom w:val="nil"/>
            </w:tcBorders>
            <w:noWrap/>
          </w:tcPr>
          <w:p w14:paraId="62AB8131"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78B3F390"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 Driftsresultat</w:t>
            </w:r>
          </w:p>
        </w:tc>
        <w:tc>
          <w:tcPr>
            <w:tcW w:w="354" w:type="pct"/>
            <w:tcBorders>
              <w:top w:val="nil"/>
              <w:bottom w:val="nil"/>
            </w:tcBorders>
            <w:noWrap/>
          </w:tcPr>
          <w:p w14:paraId="2A93CB7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14,6 </w:t>
            </w:r>
          </w:p>
        </w:tc>
        <w:tc>
          <w:tcPr>
            <w:tcW w:w="354" w:type="pct"/>
            <w:tcBorders>
              <w:top w:val="nil"/>
              <w:bottom w:val="nil"/>
            </w:tcBorders>
            <w:noWrap/>
          </w:tcPr>
          <w:p w14:paraId="02F2046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-2,5 </w:t>
            </w:r>
          </w:p>
        </w:tc>
        <w:tc>
          <w:tcPr>
            <w:tcW w:w="354" w:type="pct"/>
            <w:tcBorders>
              <w:top w:val="nil"/>
              <w:bottom w:val="nil"/>
            </w:tcBorders>
            <w:noWrap/>
          </w:tcPr>
          <w:p w14:paraId="199EB6C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16,2 </w:t>
            </w:r>
          </w:p>
        </w:tc>
        <w:tc>
          <w:tcPr>
            <w:tcW w:w="354" w:type="pct"/>
            <w:tcBorders>
              <w:top w:val="nil"/>
              <w:bottom w:val="nil"/>
            </w:tcBorders>
            <w:noWrap/>
          </w:tcPr>
          <w:p w14:paraId="78D703A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-25,5 </w:t>
            </w:r>
          </w:p>
        </w:tc>
        <w:tc>
          <w:tcPr>
            <w:tcW w:w="355" w:type="pct"/>
            <w:tcBorders>
              <w:top w:val="nil"/>
              <w:bottom w:val="nil"/>
            </w:tcBorders>
            <w:noWrap/>
          </w:tcPr>
          <w:p w14:paraId="6BB4FFB4"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13,8 </w:t>
            </w:r>
          </w:p>
        </w:tc>
        <w:tc>
          <w:tcPr>
            <w:tcW w:w="354" w:type="pct"/>
            <w:tcBorders>
              <w:top w:val="nil"/>
              <w:bottom w:val="nil"/>
            </w:tcBorders>
            <w:noWrap/>
          </w:tcPr>
          <w:p w14:paraId="19C27FF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12,2 </w:t>
            </w:r>
          </w:p>
        </w:tc>
        <w:tc>
          <w:tcPr>
            <w:tcW w:w="354" w:type="pct"/>
            <w:tcBorders>
              <w:top w:val="nil"/>
              <w:bottom w:val="nil"/>
            </w:tcBorders>
            <w:noWrap/>
          </w:tcPr>
          <w:p w14:paraId="55B4365E"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6,4 </w:t>
            </w:r>
          </w:p>
        </w:tc>
        <w:tc>
          <w:tcPr>
            <w:tcW w:w="354" w:type="pct"/>
            <w:tcBorders>
              <w:top w:val="nil"/>
              <w:bottom w:val="nil"/>
            </w:tcBorders>
            <w:noWrap/>
          </w:tcPr>
          <w:p w14:paraId="7D9695DA"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-0,8 </w:t>
            </w:r>
          </w:p>
        </w:tc>
        <w:tc>
          <w:tcPr>
            <w:tcW w:w="354" w:type="pct"/>
            <w:tcBorders>
              <w:top w:val="nil"/>
              <w:bottom w:val="nil"/>
            </w:tcBorders>
            <w:noWrap/>
          </w:tcPr>
          <w:p w14:paraId="14FFC70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-2,5 </w:t>
            </w:r>
          </w:p>
        </w:tc>
        <w:tc>
          <w:tcPr>
            <w:tcW w:w="355" w:type="pct"/>
            <w:tcBorders>
              <w:top w:val="nil"/>
              <w:bottom w:val="nil"/>
            </w:tcBorders>
            <w:noWrap/>
          </w:tcPr>
          <w:p w14:paraId="3382401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-11,</w:t>
            </w:r>
            <w:r>
              <w:rPr>
                <w:rFonts w:ascii="Times New Roman" w:eastAsia="Times New Roman" w:hAnsi="Times New Roman"/>
                <w:color w:val="000000"/>
                <w:sz w:val="20"/>
              </w:rPr>
              <w:t xml:space="preserve">7 </w:t>
            </w:r>
            <w:r w:rsidRPr="003677E1">
              <w:rPr>
                <w:rFonts w:ascii="Times New Roman" w:eastAsia="Times New Roman" w:hAnsi="Times New Roman"/>
                <w:color w:val="000000"/>
                <w:sz w:val="20"/>
              </w:rPr>
              <w:t xml:space="preserve"> </w:t>
            </w:r>
          </w:p>
        </w:tc>
      </w:tr>
      <w:tr w:rsidR="008A657E" w:rsidRPr="00CB4861" w14:paraId="4A17AD7A" w14:textId="77777777" w:rsidTr="0015036C">
        <w:trPr>
          <w:trHeight w:val="260"/>
        </w:trPr>
        <w:tc>
          <w:tcPr>
            <w:tcW w:w="1457" w:type="pct"/>
            <w:tcBorders>
              <w:top w:val="nil"/>
              <w:bottom w:val="nil"/>
            </w:tcBorders>
            <w:noWrap/>
          </w:tcPr>
          <w:p w14:paraId="68882E2F"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57BDC4E2"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 Driftsresultat i olje- og gassutvinning inkl. rørtransport</w:t>
            </w:r>
          </w:p>
        </w:tc>
        <w:tc>
          <w:tcPr>
            <w:tcW w:w="354" w:type="pct"/>
            <w:tcBorders>
              <w:top w:val="nil"/>
              <w:bottom w:val="nil"/>
            </w:tcBorders>
            <w:noWrap/>
          </w:tcPr>
          <w:p w14:paraId="2636F59C"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20,2 </w:t>
            </w:r>
          </w:p>
        </w:tc>
        <w:tc>
          <w:tcPr>
            <w:tcW w:w="354" w:type="pct"/>
            <w:tcBorders>
              <w:top w:val="nil"/>
              <w:bottom w:val="nil"/>
            </w:tcBorders>
            <w:noWrap/>
          </w:tcPr>
          <w:p w14:paraId="25791D8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-9,6 </w:t>
            </w:r>
          </w:p>
        </w:tc>
        <w:tc>
          <w:tcPr>
            <w:tcW w:w="354" w:type="pct"/>
            <w:tcBorders>
              <w:top w:val="nil"/>
              <w:bottom w:val="nil"/>
            </w:tcBorders>
            <w:noWrap/>
          </w:tcPr>
          <w:p w14:paraId="326F15FE"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31,0 </w:t>
            </w:r>
          </w:p>
        </w:tc>
        <w:tc>
          <w:tcPr>
            <w:tcW w:w="354" w:type="pct"/>
            <w:tcBorders>
              <w:top w:val="nil"/>
              <w:bottom w:val="nil"/>
            </w:tcBorders>
            <w:noWrap/>
          </w:tcPr>
          <w:p w14:paraId="6AAB8976"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-39,0 </w:t>
            </w:r>
          </w:p>
        </w:tc>
        <w:tc>
          <w:tcPr>
            <w:tcW w:w="355" w:type="pct"/>
            <w:tcBorders>
              <w:top w:val="nil"/>
              <w:bottom w:val="nil"/>
            </w:tcBorders>
            <w:noWrap/>
          </w:tcPr>
          <w:p w14:paraId="51C56C0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13,0 </w:t>
            </w:r>
          </w:p>
        </w:tc>
        <w:tc>
          <w:tcPr>
            <w:tcW w:w="354" w:type="pct"/>
            <w:tcBorders>
              <w:top w:val="nil"/>
              <w:bottom w:val="nil"/>
            </w:tcBorders>
            <w:noWrap/>
          </w:tcPr>
          <w:p w14:paraId="1DCF160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29,8 </w:t>
            </w:r>
          </w:p>
        </w:tc>
        <w:tc>
          <w:tcPr>
            <w:tcW w:w="354" w:type="pct"/>
            <w:tcBorders>
              <w:top w:val="nil"/>
              <w:bottom w:val="nil"/>
            </w:tcBorders>
            <w:noWrap/>
          </w:tcPr>
          <w:p w14:paraId="2C8DB6B5"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5,2 </w:t>
            </w:r>
          </w:p>
        </w:tc>
        <w:tc>
          <w:tcPr>
            <w:tcW w:w="354" w:type="pct"/>
            <w:tcBorders>
              <w:top w:val="nil"/>
              <w:bottom w:val="nil"/>
            </w:tcBorders>
            <w:noWrap/>
          </w:tcPr>
          <w:p w14:paraId="53A70A4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-7,1 </w:t>
            </w:r>
          </w:p>
        </w:tc>
        <w:tc>
          <w:tcPr>
            <w:tcW w:w="354" w:type="pct"/>
            <w:tcBorders>
              <w:top w:val="nil"/>
              <w:bottom w:val="nil"/>
            </w:tcBorders>
            <w:noWrap/>
          </w:tcPr>
          <w:p w14:paraId="4A414AE9"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-12,0 </w:t>
            </w:r>
          </w:p>
        </w:tc>
        <w:tc>
          <w:tcPr>
            <w:tcW w:w="355" w:type="pct"/>
            <w:tcBorders>
              <w:top w:val="nil"/>
              <w:bottom w:val="nil"/>
            </w:tcBorders>
            <w:noWrap/>
          </w:tcPr>
          <w:p w14:paraId="45E3AAAE"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w:t>
            </w:r>
            <w:r>
              <w:rPr>
                <w:rFonts w:ascii="Times New Roman" w:eastAsia="Times New Roman" w:hAnsi="Times New Roman"/>
                <w:color w:val="000000"/>
                <w:sz w:val="20"/>
              </w:rPr>
              <w:t xml:space="preserve">28,1 </w:t>
            </w:r>
            <w:r w:rsidRPr="003677E1">
              <w:rPr>
                <w:rFonts w:ascii="Times New Roman" w:eastAsia="Times New Roman" w:hAnsi="Times New Roman"/>
                <w:color w:val="000000"/>
                <w:sz w:val="20"/>
              </w:rPr>
              <w:t xml:space="preserve"> </w:t>
            </w:r>
          </w:p>
        </w:tc>
      </w:tr>
      <w:tr w:rsidR="008A657E" w:rsidRPr="00CB4861" w14:paraId="62F912B9" w14:textId="77777777" w:rsidTr="008E4002">
        <w:trPr>
          <w:trHeight w:val="217"/>
        </w:trPr>
        <w:tc>
          <w:tcPr>
            <w:tcW w:w="1457" w:type="pct"/>
            <w:tcBorders>
              <w:top w:val="nil"/>
            </w:tcBorders>
            <w:noWrap/>
          </w:tcPr>
          <w:p w14:paraId="4B60A4CE" w14:textId="77777777" w:rsidR="00093534" w:rsidRDefault="00093534" w:rsidP="008A657E">
            <w:pPr>
              <w:autoSpaceDE w:val="0"/>
              <w:autoSpaceDN w:val="0"/>
              <w:adjustRightInd w:val="0"/>
              <w:spacing w:after="0"/>
              <w:rPr>
                <w:rFonts w:ascii="Times New Roman" w:eastAsia="Times New Roman" w:hAnsi="Times New Roman"/>
                <w:color w:val="000000"/>
                <w:sz w:val="20"/>
              </w:rPr>
            </w:pPr>
          </w:p>
          <w:p w14:paraId="0966FA1D" w14:textId="77777777" w:rsidR="008A657E" w:rsidRPr="003677E1" w:rsidRDefault="008A657E" w:rsidP="008A657E">
            <w:pPr>
              <w:autoSpaceDE w:val="0"/>
              <w:autoSpaceDN w:val="0"/>
              <w:adjustRightInd w:val="0"/>
              <w:spacing w:after="0"/>
              <w:rPr>
                <w:rFonts w:ascii="Times New Roman" w:eastAsia="Times New Roman" w:hAnsi="Times New Roman"/>
                <w:color w:val="000000"/>
                <w:sz w:val="20"/>
              </w:rPr>
            </w:pPr>
            <w:r w:rsidRPr="003677E1">
              <w:rPr>
                <w:rFonts w:ascii="Times New Roman" w:eastAsia="Times New Roman" w:hAnsi="Times New Roman"/>
                <w:color w:val="000000"/>
                <w:sz w:val="20"/>
              </w:rPr>
              <w:t xml:space="preserve"> Driftsresultat i øvrige næringer</w:t>
            </w:r>
          </w:p>
        </w:tc>
        <w:tc>
          <w:tcPr>
            <w:tcW w:w="354" w:type="pct"/>
            <w:tcBorders>
              <w:top w:val="nil"/>
            </w:tcBorders>
            <w:noWrap/>
          </w:tcPr>
          <w:p w14:paraId="4E95E760"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8,4 </w:t>
            </w:r>
          </w:p>
        </w:tc>
        <w:tc>
          <w:tcPr>
            <w:tcW w:w="354" w:type="pct"/>
            <w:tcBorders>
              <w:top w:val="nil"/>
            </w:tcBorders>
            <w:noWrap/>
          </w:tcPr>
          <w:p w14:paraId="67DA3A98"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6,3 </w:t>
            </w:r>
          </w:p>
        </w:tc>
        <w:tc>
          <w:tcPr>
            <w:tcW w:w="354" w:type="pct"/>
            <w:tcBorders>
              <w:top w:val="nil"/>
            </w:tcBorders>
            <w:noWrap/>
          </w:tcPr>
          <w:p w14:paraId="3A06C890"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0,8 </w:t>
            </w:r>
          </w:p>
        </w:tc>
        <w:tc>
          <w:tcPr>
            <w:tcW w:w="354" w:type="pct"/>
            <w:tcBorders>
              <w:top w:val="nil"/>
            </w:tcBorders>
            <w:noWrap/>
          </w:tcPr>
          <w:p w14:paraId="31491301"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-7,4 </w:t>
            </w:r>
          </w:p>
        </w:tc>
        <w:tc>
          <w:tcPr>
            <w:tcW w:w="355" w:type="pct"/>
            <w:tcBorders>
              <w:top w:val="nil"/>
            </w:tcBorders>
            <w:noWrap/>
          </w:tcPr>
          <w:p w14:paraId="5B6AED45"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14,5 </w:t>
            </w:r>
          </w:p>
        </w:tc>
        <w:tc>
          <w:tcPr>
            <w:tcW w:w="354" w:type="pct"/>
            <w:tcBorders>
              <w:top w:val="nil"/>
            </w:tcBorders>
            <w:noWrap/>
          </w:tcPr>
          <w:p w14:paraId="301D5D17"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-3,2 </w:t>
            </w:r>
          </w:p>
        </w:tc>
        <w:tc>
          <w:tcPr>
            <w:tcW w:w="354" w:type="pct"/>
            <w:tcBorders>
              <w:top w:val="nil"/>
            </w:tcBorders>
            <w:noWrap/>
          </w:tcPr>
          <w:p w14:paraId="7188F9D8"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7,7 </w:t>
            </w:r>
          </w:p>
        </w:tc>
        <w:tc>
          <w:tcPr>
            <w:tcW w:w="354" w:type="pct"/>
            <w:tcBorders>
              <w:top w:val="nil"/>
            </w:tcBorders>
            <w:noWrap/>
          </w:tcPr>
          <w:p w14:paraId="2EE5C00B"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6,5 </w:t>
            </w:r>
          </w:p>
        </w:tc>
        <w:tc>
          <w:tcPr>
            <w:tcW w:w="354" w:type="pct"/>
            <w:tcBorders>
              <w:top w:val="nil"/>
            </w:tcBorders>
            <w:noWrap/>
          </w:tcPr>
          <w:p w14:paraId="3F05211D"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7,0 </w:t>
            </w:r>
          </w:p>
        </w:tc>
        <w:tc>
          <w:tcPr>
            <w:tcW w:w="355" w:type="pct"/>
            <w:tcBorders>
              <w:top w:val="nil"/>
            </w:tcBorders>
            <w:noWrap/>
          </w:tcPr>
          <w:p w14:paraId="42D43B70" w14:textId="77777777" w:rsidR="008A657E" w:rsidRPr="003677E1" w:rsidRDefault="008A657E" w:rsidP="008A657E">
            <w:pPr>
              <w:autoSpaceDE w:val="0"/>
              <w:autoSpaceDN w:val="0"/>
              <w:adjustRightInd w:val="0"/>
              <w:spacing w:after="0"/>
              <w:jc w:val="right"/>
              <w:rPr>
                <w:rFonts w:ascii="Times New Roman" w:eastAsia="Times New Roman" w:hAnsi="Times New Roman"/>
                <w:color w:val="000000"/>
                <w:sz w:val="20"/>
              </w:rPr>
            </w:pPr>
            <w:r w:rsidRPr="003677E1">
              <w:rPr>
                <w:rFonts w:ascii="Times New Roman" w:eastAsia="Times New Roman" w:hAnsi="Times New Roman"/>
                <w:color w:val="000000"/>
                <w:sz w:val="20"/>
              </w:rPr>
              <w:t xml:space="preserve">            1,</w:t>
            </w:r>
            <w:r>
              <w:rPr>
                <w:rFonts w:ascii="Times New Roman" w:eastAsia="Times New Roman" w:hAnsi="Times New Roman"/>
                <w:color w:val="000000"/>
                <w:sz w:val="20"/>
              </w:rPr>
              <w:t>7</w:t>
            </w:r>
            <w:r w:rsidRPr="003677E1">
              <w:rPr>
                <w:rFonts w:ascii="Times New Roman" w:eastAsia="Times New Roman" w:hAnsi="Times New Roman"/>
                <w:color w:val="000000"/>
                <w:sz w:val="20"/>
              </w:rPr>
              <w:t xml:space="preserve"> </w:t>
            </w:r>
          </w:p>
        </w:tc>
      </w:tr>
    </w:tbl>
    <w:p w14:paraId="000D4D26" w14:textId="77777777" w:rsidR="00AE1F5C" w:rsidRDefault="008A657E" w:rsidP="00AE1F5C">
      <w:pPr>
        <w:pStyle w:val="tabell-noter"/>
        <w:spacing w:before="0"/>
        <w:rPr>
          <w:noProof/>
        </w:rPr>
      </w:pPr>
      <w:r w:rsidRPr="00CB4861">
        <w:rPr>
          <w:i/>
          <w:noProof/>
        </w:rPr>
        <w:t xml:space="preserve">* </w:t>
      </w:r>
      <w:r w:rsidRPr="00CB4861">
        <w:rPr>
          <w:noProof/>
        </w:rPr>
        <w:t>Foreløpige tall</w:t>
      </w:r>
    </w:p>
    <w:p w14:paraId="08739920" w14:textId="20668550" w:rsidR="008A657E" w:rsidRPr="00CB4861" w:rsidRDefault="00AE1F5C" w:rsidP="00AE1F5C">
      <w:pPr>
        <w:pStyle w:val="tabell-noter"/>
        <w:spacing w:after="240"/>
        <w:rPr>
          <w:noProof/>
        </w:rPr>
      </w:pPr>
      <w:r w:rsidRPr="00CB4861">
        <w:rPr>
          <w:noProof/>
        </w:rPr>
        <w:t>Kil</w:t>
      </w:r>
      <w:r>
        <w:rPr>
          <w:noProof/>
        </w:rPr>
        <w:t>de</w:t>
      </w:r>
      <w:r w:rsidR="00901A5E">
        <w:rPr>
          <w:noProof/>
        </w:rPr>
        <w:t>r</w:t>
      </w:r>
      <w:r>
        <w:rPr>
          <w:noProof/>
        </w:rPr>
        <w:t>: Statistisk sentralbyrå og Beregningsutvalget</w:t>
      </w:r>
    </w:p>
    <w:p w14:paraId="2A2664D1" w14:textId="77777777" w:rsidR="008A657E" w:rsidRPr="005409CE" w:rsidRDefault="008A657E" w:rsidP="00140733">
      <w:pPr>
        <w:pStyle w:val="tabell-tittel"/>
      </w:pPr>
      <w:r w:rsidRPr="00CB4861">
        <w:t>Driftsresultat for noen hovedgrupper av næringer. Milliarder kroner.</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201"/>
        <w:gridCol w:w="701"/>
        <w:gridCol w:w="704"/>
        <w:gridCol w:w="700"/>
        <w:gridCol w:w="702"/>
        <w:gridCol w:w="700"/>
        <w:gridCol w:w="702"/>
        <w:gridCol w:w="700"/>
        <w:gridCol w:w="702"/>
        <w:gridCol w:w="700"/>
        <w:gridCol w:w="702"/>
      </w:tblGrid>
      <w:tr w:rsidR="008A657E" w:rsidRPr="00905559" w14:paraId="329A0FFC" w14:textId="77777777" w:rsidTr="008A657E">
        <w:trPr>
          <w:trHeight w:val="265"/>
        </w:trPr>
        <w:tc>
          <w:tcPr>
            <w:tcW w:w="1194" w:type="pct"/>
            <w:noWrap/>
          </w:tcPr>
          <w:p w14:paraId="1DF6817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p>
        </w:tc>
        <w:tc>
          <w:tcPr>
            <w:tcW w:w="380" w:type="pct"/>
            <w:noWrap/>
          </w:tcPr>
          <w:p w14:paraId="14D270E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2006</w:t>
            </w:r>
          </w:p>
        </w:tc>
        <w:tc>
          <w:tcPr>
            <w:tcW w:w="382" w:type="pct"/>
            <w:noWrap/>
          </w:tcPr>
          <w:p w14:paraId="6842153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2007</w:t>
            </w:r>
          </w:p>
        </w:tc>
        <w:tc>
          <w:tcPr>
            <w:tcW w:w="380" w:type="pct"/>
            <w:noWrap/>
          </w:tcPr>
          <w:p w14:paraId="4A360F1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2008</w:t>
            </w:r>
          </w:p>
        </w:tc>
        <w:tc>
          <w:tcPr>
            <w:tcW w:w="381" w:type="pct"/>
            <w:noWrap/>
          </w:tcPr>
          <w:p w14:paraId="16EDD33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2009</w:t>
            </w:r>
          </w:p>
        </w:tc>
        <w:tc>
          <w:tcPr>
            <w:tcW w:w="380" w:type="pct"/>
            <w:noWrap/>
          </w:tcPr>
          <w:p w14:paraId="3CCC304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2010</w:t>
            </w:r>
          </w:p>
        </w:tc>
        <w:tc>
          <w:tcPr>
            <w:tcW w:w="381" w:type="pct"/>
            <w:noWrap/>
          </w:tcPr>
          <w:p w14:paraId="006605F1"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2011</w:t>
            </w:r>
          </w:p>
        </w:tc>
        <w:tc>
          <w:tcPr>
            <w:tcW w:w="380" w:type="pct"/>
            <w:noWrap/>
          </w:tcPr>
          <w:p w14:paraId="64FEADB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2012</w:t>
            </w:r>
          </w:p>
        </w:tc>
        <w:tc>
          <w:tcPr>
            <w:tcW w:w="381" w:type="pct"/>
            <w:noWrap/>
          </w:tcPr>
          <w:p w14:paraId="195B240B"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2013</w:t>
            </w:r>
          </w:p>
        </w:tc>
        <w:tc>
          <w:tcPr>
            <w:tcW w:w="380" w:type="pct"/>
            <w:noWrap/>
          </w:tcPr>
          <w:p w14:paraId="588284B3"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2014*</w:t>
            </w:r>
          </w:p>
        </w:tc>
        <w:tc>
          <w:tcPr>
            <w:tcW w:w="381" w:type="pct"/>
            <w:noWrap/>
          </w:tcPr>
          <w:p w14:paraId="2229A48A"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2015*</w:t>
            </w:r>
          </w:p>
        </w:tc>
      </w:tr>
      <w:tr w:rsidR="008A657E" w:rsidRPr="00905559" w14:paraId="3EA6B740" w14:textId="77777777" w:rsidTr="008A657E">
        <w:trPr>
          <w:trHeight w:val="265"/>
        </w:trPr>
        <w:tc>
          <w:tcPr>
            <w:tcW w:w="1194" w:type="pct"/>
            <w:noWrap/>
          </w:tcPr>
          <w:p w14:paraId="5B6405D2"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Alle næringer</w:t>
            </w:r>
          </w:p>
        </w:tc>
        <w:tc>
          <w:tcPr>
            <w:tcW w:w="380" w:type="pct"/>
            <w:noWrap/>
          </w:tcPr>
          <w:p w14:paraId="274029E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802,4</w:t>
            </w:r>
          </w:p>
        </w:tc>
        <w:tc>
          <w:tcPr>
            <w:tcW w:w="382" w:type="pct"/>
            <w:noWrap/>
          </w:tcPr>
          <w:p w14:paraId="63932F05"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782,8</w:t>
            </w:r>
          </w:p>
        </w:tc>
        <w:tc>
          <w:tcPr>
            <w:tcW w:w="380" w:type="pct"/>
            <w:noWrap/>
          </w:tcPr>
          <w:p w14:paraId="207FB8F2"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909,4</w:t>
            </w:r>
          </w:p>
        </w:tc>
        <w:tc>
          <w:tcPr>
            <w:tcW w:w="381" w:type="pct"/>
            <w:noWrap/>
          </w:tcPr>
          <w:p w14:paraId="5EE6E57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677,4</w:t>
            </w:r>
          </w:p>
        </w:tc>
        <w:tc>
          <w:tcPr>
            <w:tcW w:w="380" w:type="pct"/>
            <w:noWrap/>
          </w:tcPr>
          <w:p w14:paraId="5AFEFAD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770,9</w:t>
            </w:r>
          </w:p>
        </w:tc>
        <w:tc>
          <w:tcPr>
            <w:tcW w:w="381" w:type="pct"/>
            <w:noWrap/>
          </w:tcPr>
          <w:p w14:paraId="02EA3C2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865,0</w:t>
            </w:r>
          </w:p>
        </w:tc>
        <w:tc>
          <w:tcPr>
            <w:tcW w:w="380" w:type="pct"/>
            <w:noWrap/>
          </w:tcPr>
          <w:p w14:paraId="6F11D45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920,3</w:t>
            </w:r>
          </w:p>
        </w:tc>
        <w:tc>
          <w:tcPr>
            <w:tcW w:w="381" w:type="pct"/>
            <w:noWrap/>
          </w:tcPr>
          <w:p w14:paraId="1A0D0932"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913,4</w:t>
            </w:r>
          </w:p>
        </w:tc>
        <w:tc>
          <w:tcPr>
            <w:tcW w:w="380" w:type="pct"/>
            <w:noWrap/>
          </w:tcPr>
          <w:p w14:paraId="01269511"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890,4</w:t>
            </w:r>
          </w:p>
        </w:tc>
        <w:tc>
          <w:tcPr>
            <w:tcW w:w="381" w:type="pct"/>
            <w:noWrap/>
          </w:tcPr>
          <w:p w14:paraId="40314EB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78</w:t>
            </w:r>
            <w:r>
              <w:rPr>
                <w:rFonts w:ascii="Times New Roman" w:eastAsia="Times New Roman" w:hAnsi="Times New Roman"/>
                <w:color w:val="000000"/>
                <w:sz w:val="22"/>
                <w:szCs w:val="22"/>
              </w:rPr>
              <w:t xml:space="preserve">5,8 </w:t>
            </w:r>
          </w:p>
        </w:tc>
      </w:tr>
      <w:tr w:rsidR="008A657E" w:rsidRPr="00905559" w14:paraId="2D1FDD55" w14:textId="77777777" w:rsidTr="008A657E">
        <w:trPr>
          <w:trHeight w:val="265"/>
        </w:trPr>
        <w:tc>
          <w:tcPr>
            <w:tcW w:w="1194" w:type="pct"/>
            <w:noWrap/>
          </w:tcPr>
          <w:p w14:paraId="1CD0EA98"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Pr>
                <w:rFonts w:ascii="Times New Roman" w:eastAsia="Times New Roman" w:hAnsi="Times New Roman"/>
                <w:color w:val="000000"/>
                <w:sz w:val="22"/>
                <w:szCs w:val="22"/>
              </w:rPr>
              <w:t>B</w:t>
            </w:r>
            <w:r w:rsidRPr="00A170D3">
              <w:rPr>
                <w:rFonts w:ascii="Times New Roman" w:eastAsia="Times New Roman" w:hAnsi="Times New Roman"/>
                <w:color w:val="000000"/>
                <w:sz w:val="22"/>
                <w:szCs w:val="22"/>
              </w:rPr>
              <w:t>oligtjenester, eget bruk, lønnet arbeid priv.hus</w:t>
            </w:r>
          </w:p>
        </w:tc>
        <w:tc>
          <w:tcPr>
            <w:tcW w:w="380" w:type="pct"/>
            <w:noWrap/>
          </w:tcPr>
          <w:p w14:paraId="15C4829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34,</w:t>
            </w:r>
            <w:r>
              <w:rPr>
                <w:rFonts w:ascii="Times New Roman" w:eastAsia="Times New Roman" w:hAnsi="Times New Roman"/>
                <w:color w:val="000000"/>
                <w:sz w:val="22"/>
                <w:szCs w:val="22"/>
              </w:rPr>
              <w:t>6</w:t>
            </w:r>
          </w:p>
        </w:tc>
        <w:tc>
          <w:tcPr>
            <w:tcW w:w="382" w:type="pct"/>
            <w:noWrap/>
          </w:tcPr>
          <w:p w14:paraId="2ED3A01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32,1</w:t>
            </w:r>
          </w:p>
        </w:tc>
        <w:tc>
          <w:tcPr>
            <w:tcW w:w="380" w:type="pct"/>
            <w:noWrap/>
          </w:tcPr>
          <w:p w14:paraId="07B28BF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30,1</w:t>
            </w:r>
          </w:p>
        </w:tc>
        <w:tc>
          <w:tcPr>
            <w:tcW w:w="381" w:type="pct"/>
            <w:noWrap/>
          </w:tcPr>
          <w:p w14:paraId="67B17B18"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23,2</w:t>
            </w:r>
          </w:p>
        </w:tc>
        <w:tc>
          <w:tcPr>
            <w:tcW w:w="380" w:type="pct"/>
            <w:noWrap/>
          </w:tcPr>
          <w:p w14:paraId="1ECC302C"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24,1</w:t>
            </w:r>
          </w:p>
        </w:tc>
        <w:tc>
          <w:tcPr>
            <w:tcW w:w="381" w:type="pct"/>
            <w:noWrap/>
          </w:tcPr>
          <w:p w14:paraId="1A60C368"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22,5</w:t>
            </w:r>
          </w:p>
        </w:tc>
        <w:tc>
          <w:tcPr>
            <w:tcW w:w="380" w:type="pct"/>
            <w:noWrap/>
          </w:tcPr>
          <w:p w14:paraId="0D3521D5"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15,2</w:t>
            </w:r>
          </w:p>
        </w:tc>
        <w:tc>
          <w:tcPr>
            <w:tcW w:w="381" w:type="pct"/>
            <w:noWrap/>
          </w:tcPr>
          <w:p w14:paraId="4A5FB2E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12,1</w:t>
            </w:r>
          </w:p>
        </w:tc>
        <w:tc>
          <w:tcPr>
            <w:tcW w:w="380" w:type="pct"/>
            <w:noWrap/>
          </w:tcPr>
          <w:p w14:paraId="54604A6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14,1</w:t>
            </w:r>
          </w:p>
        </w:tc>
        <w:tc>
          <w:tcPr>
            <w:tcW w:w="381" w:type="pct"/>
            <w:noWrap/>
          </w:tcPr>
          <w:p w14:paraId="0D13012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16,6 </w:t>
            </w:r>
          </w:p>
        </w:tc>
      </w:tr>
      <w:tr w:rsidR="008A657E" w:rsidRPr="00905559" w14:paraId="45EA20E1" w14:textId="77777777" w:rsidTr="008A657E">
        <w:trPr>
          <w:trHeight w:val="265"/>
        </w:trPr>
        <w:tc>
          <w:tcPr>
            <w:tcW w:w="1194" w:type="pct"/>
            <w:noWrap/>
          </w:tcPr>
          <w:p w14:paraId="3A7AC724"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 xml:space="preserve">Markedsrettet virksomhet </w:t>
            </w:r>
          </w:p>
        </w:tc>
        <w:tc>
          <w:tcPr>
            <w:tcW w:w="380" w:type="pct"/>
            <w:noWrap/>
          </w:tcPr>
          <w:p w14:paraId="133691F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767,9</w:t>
            </w:r>
          </w:p>
        </w:tc>
        <w:tc>
          <w:tcPr>
            <w:tcW w:w="382" w:type="pct"/>
            <w:noWrap/>
          </w:tcPr>
          <w:p w14:paraId="2F896035"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750,7</w:t>
            </w:r>
          </w:p>
        </w:tc>
        <w:tc>
          <w:tcPr>
            <w:tcW w:w="380" w:type="pct"/>
            <w:noWrap/>
          </w:tcPr>
          <w:p w14:paraId="443C97B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879,2</w:t>
            </w:r>
          </w:p>
        </w:tc>
        <w:tc>
          <w:tcPr>
            <w:tcW w:w="381" w:type="pct"/>
            <w:noWrap/>
          </w:tcPr>
          <w:p w14:paraId="63940AE2"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654,2</w:t>
            </w:r>
          </w:p>
        </w:tc>
        <w:tc>
          <w:tcPr>
            <w:tcW w:w="380" w:type="pct"/>
            <w:noWrap/>
          </w:tcPr>
          <w:p w14:paraId="4172790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746,8</w:t>
            </w:r>
          </w:p>
        </w:tc>
        <w:tc>
          <w:tcPr>
            <w:tcW w:w="381" w:type="pct"/>
            <w:noWrap/>
          </w:tcPr>
          <w:p w14:paraId="5F9A2E8D"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842,5</w:t>
            </w:r>
          </w:p>
        </w:tc>
        <w:tc>
          <w:tcPr>
            <w:tcW w:w="380" w:type="pct"/>
            <w:noWrap/>
          </w:tcPr>
          <w:p w14:paraId="38F8C0B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905,1</w:t>
            </w:r>
          </w:p>
        </w:tc>
        <w:tc>
          <w:tcPr>
            <w:tcW w:w="381" w:type="pct"/>
            <w:noWrap/>
          </w:tcPr>
          <w:p w14:paraId="3A064975"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901,3</w:t>
            </w:r>
          </w:p>
        </w:tc>
        <w:tc>
          <w:tcPr>
            <w:tcW w:w="380" w:type="pct"/>
            <w:noWrap/>
          </w:tcPr>
          <w:p w14:paraId="1E3CD59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876,3</w:t>
            </w:r>
          </w:p>
        </w:tc>
        <w:tc>
          <w:tcPr>
            <w:tcW w:w="381" w:type="pct"/>
            <w:noWrap/>
          </w:tcPr>
          <w:p w14:paraId="1EDAAB4B"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769,</w:t>
            </w:r>
            <w:r>
              <w:rPr>
                <w:rFonts w:ascii="Times New Roman" w:eastAsia="Times New Roman" w:hAnsi="Times New Roman"/>
                <w:color w:val="000000"/>
                <w:sz w:val="22"/>
                <w:szCs w:val="22"/>
              </w:rPr>
              <w:t>3</w:t>
            </w:r>
          </w:p>
        </w:tc>
      </w:tr>
      <w:tr w:rsidR="008A657E" w:rsidRPr="00905559" w14:paraId="74B5762C" w14:textId="77777777" w:rsidTr="008A657E">
        <w:trPr>
          <w:trHeight w:val="265"/>
        </w:trPr>
        <w:tc>
          <w:tcPr>
            <w:tcW w:w="1194" w:type="pct"/>
          </w:tcPr>
          <w:p w14:paraId="41FC4043"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Olje- og gassutvinning inkl. rørtransport</w:t>
            </w:r>
          </w:p>
        </w:tc>
        <w:tc>
          <w:tcPr>
            <w:tcW w:w="380" w:type="pct"/>
            <w:noWrap/>
          </w:tcPr>
          <w:p w14:paraId="053A3318"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440,6</w:t>
            </w:r>
          </w:p>
        </w:tc>
        <w:tc>
          <w:tcPr>
            <w:tcW w:w="382" w:type="pct"/>
            <w:noWrap/>
          </w:tcPr>
          <w:p w14:paraId="24C6D0A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398,3</w:t>
            </w:r>
          </w:p>
        </w:tc>
        <w:tc>
          <w:tcPr>
            <w:tcW w:w="380" w:type="pct"/>
            <w:noWrap/>
          </w:tcPr>
          <w:p w14:paraId="7A3F3B3B"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521,9</w:t>
            </w:r>
          </w:p>
        </w:tc>
        <w:tc>
          <w:tcPr>
            <w:tcW w:w="381" w:type="pct"/>
            <w:noWrap/>
          </w:tcPr>
          <w:p w14:paraId="66D038D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318,5</w:t>
            </w:r>
          </w:p>
        </w:tc>
        <w:tc>
          <w:tcPr>
            <w:tcW w:w="380" w:type="pct"/>
            <w:noWrap/>
          </w:tcPr>
          <w:p w14:paraId="5D21C4C2"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359,9</w:t>
            </w:r>
          </w:p>
        </w:tc>
        <w:tc>
          <w:tcPr>
            <w:tcW w:w="381" w:type="pct"/>
            <w:noWrap/>
          </w:tcPr>
          <w:p w14:paraId="73861DD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467,1</w:t>
            </w:r>
          </w:p>
        </w:tc>
        <w:tc>
          <w:tcPr>
            <w:tcW w:w="380" w:type="pct"/>
            <w:noWrap/>
          </w:tcPr>
          <w:p w14:paraId="7B33B95D"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491,6</w:t>
            </w:r>
          </w:p>
        </w:tc>
        <w:tc>
          <w:tcPr>
            <w:tcW w:w="381" w:type="pct"/>
            <w:noWrap/>
          </w:tcPr>
          <w:p w14:paraId="0A5B1328"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456,7</w:t>
            </w:r>
          </w:p>
        </w:tc>
        <w:tc>
          <w:tcPr>
            <w:tcW w:w="380" w:type="pct"/>
            <w:noWrap/>
          </w:tcPr>
          <w:p w14:paraId="62FAAE6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401,9</w:t>
            </w:r>
          </w:p>
        </w:tc>
        <w:tc>
          <w:tcPr>
            <w:tcW w:w="381" w:type="pct"/>
            <w:noWrap/>
          </w:tcPr>
          <w:p w14:paraId="4602CE6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Pr>
                <w:rFonts w:ascii="Times New Roman" w:eastAsia="Times New Roman" w:hAnsi="Times New Roman"/>
                <w:color w:val="000000"/>
                <w:sz w:val="22"/>
                <w:szCs w:val="22"/>
              </w:rPr>
              <w:t>288,9</w:t>
            </w:r>
          </w:p>
        </w:tc>
      </w:tr>
      <w:tr w:rsidR="008A657E" w:rsidRPr="00905559" w14:paraId="52D3E780" w14:textId="77777777" w:rsidTr="008A657E">
        <w:trPr>
          <w:trHeight w:val="265"/>
        </w:trPr>
        <w:tc>
          <w:tcPr>
            <w:tcW w:w="1194" w:type="pct"/>
            <w:noWrap/>
          </w:tcPr>
          <w:p w14:paraId="708362A1"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Markedsrettet virksomhet Fastlands-Norge</w:t>
            </w:r>
          </w:p>
        </w:tc>
        <w:tc>
          <w:tcPr>
            <w:tcW w:w="380" w:type="pct"/>
            <w:noWrap/>
          </w:tcPr>
          <w:p w14:paraId="7B6BA303"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326,6</w:t>
            </w:r>
          </w:p>
        </w:tc>
        <w:tc>
          <w:tcPr>
            <w:tcW w:w="382" w:type="pct"/>
            <w:noWrap/>
          </w:tcPr>
          <w:p w14:paraId="6B5992EA"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350,8</w:t>
            </w:r>
          </w:p>
        </w:tc>
        <w:tc>
          <w:tcPr>
            <w:tcW w:w="380" w:type="pct"/>
            <w:noWrap/>
          </w:tcPr>
          <w:p w14:paraId="6665F95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353,1</w:t>
            </w:r>
          </w:p>
        </w:tc>
        <w:tc>
          <w:tcPr>
            <w:tcW w:w="381" w:type="pct"/>
            <w:noWrap/>
          </w:tcPr>
          <w:p w14:paraId="711B72D1"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332,6</w:t>
            </w:r>
          </w:p>
        </w:tc>
        <w:tc>
          <w:tcPr>
            <w:tcW w:w="380" w:type="pct"/>
            <w:noWrap/>
          </w:tcPr>
          <w:p w14:paraId="4510B19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381,5</w:t>
            </w:r>
          </w:p>
        </w:tc>
        <w:tc>
          <w:tcPr>
            <w:tcW w:w="381" w:type="pct"/>
            <w:noWrap/>
          </w:tcPr>
          <w:p w14:paraId="2C78C20C"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369,7</w:t>
            </w:r>
          </w:p>
        </w:tc>
        <w:tc>
          <w:tcPr>
            <w:tcW w:w="380" w:type="pct"/>
            <w:noWrap/>
          </w:tcPr>
          <w:p w14:paraId="2FB90CF1"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407,1</w:t>
            </w:r>
          </w:p>
        </w:tc>
        <w:tc>
          <w:tcPr>
            <w:tcW w:w="381" w:type="pct"/>
            <w:noWrap/>
          </w:tcPr>
          <w:p w14:paraId="6932576F"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435,2</w:t>
            </w:r>
          </w:p>
        </w:tc>
        <w:tc>
          <w:tcPr>
            <w:tcW w:w="380" w:type="pct"/>
            <w:noWrap/>
          </w:tcPr>
          <w:p w14:paraId="4B512E0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451,2</w:t>
            </w:r>
          </w:p>
        </w:tc>
        <w:tc>
          <w:tcPr>
            <w:tcW w:w="381" w:type="pct"/>
            <w:noWrap/>
          </w:tcPr>
          <w:p w14:paraId="045F307D"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Pr>
                <w:rFonts w:ascii="Times New Roman" w:eastAsia="Times New Roman" w:hAnsi="Times New Roman"/>
                <w:color w:val="000000"/>
                <w:sz w:val="22"/>
                <w:szCs w:val="22"/>
              </w:rPr>
              <w:t>452,9</w:t>
            </w:r>
          </w:p>
        </w:tc>
      </w:tr>
      <w:tr w:rsidR="008A657E" w:rsidRPr="00905559" w14:paraId="1AE06BB4" w14:textId="77777777" w:rsidTr="008A657E">
        <w:trPr>
          <w:trHeight w:val="265"/>
        </w:trPr>
        <w:tc>
          <w:tcPr>
            <w:tcW w:w="1194" w:type="pct"/>
          </w:tcPr>
          <w:p w14:paraId="26650D44" w14:textId="77777777" w:rsidR="008A657E" w:rsidRPr="00A170D3" w:rsidRDefault="008A657E" w:rsidP="008A657E">
            <w:pPr>
              <w:autoSpaceDE w:val="0"/>
              <w:autoSpaceDN w:val="0"/>
              <w:adjustRightInd w:val="0"/>
              <w:spacing w:after="0"/>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Industri</w:t>
            </w:r>
          </w:p>
        </w:tc>
        <w:tc>
          <w:tcPr>
            <w:tcW w:w="380" w:type="pct"/>
            <w:noWrap/>
          </w:tcPr>
          <w:p w14:paraId="0DBAB589"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42,1</w:t>
            </w:r>
          </w:p>
        </w:tc>
        <w:tc>
          <w:tcPr>
            <w:tcW w:w="382" w:type="pct"/>
            <w:noWrap/>
          </w:tcPr>
          <w:p w14:paraId="4ED2F55A"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42,3</w:t>
            </w:r>
          </w:p>
        </w:tc>
        <w:tc>
          <w:tcPr>
            <w:tcW w:w="380" w:type="pct"/>
            <w:noWrap/>
          </w:tcPr>
          <w:p w14:paraId="0E1B5A7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38,7</w:t>
            </w:r>
          </w:p>
        </w:tc>
        <w:tc>
          <w:tcPr>
            <w:tcW w:w="381" w:type="pct"/>
            <w:noWrap/>
          </w:tcPr>
          <w:p w14:paraId="4A6A0F6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18,2</w:t>
            </w:r>
          </w:p>
        </w:tc>
        <w:tc>
          <w:tcPr>
            <w:tcW w:w="380" w:type="pct"/>
            <w:noWrap/>
          </w:tcPr>
          <w:p w14:paraId="61DD8E2D"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28,5</w:t>
            </w:r>
          </w:p>
        </w:tc>
        <w:tc>
          <w:tcPr>
            <w:tcW w:w="381" w:type="pct"/>
            <w:noWrap/>
          </w:tcPr>
          <w:p w14:paraId="0BA4313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25,0</w:t>
            </w:r>
          </w:p>
        </w:tc>
        <w:tc>
          <w:tcPr>
            <w:tcW w:w="380" w:type="pct"/>
            <w:noWrap/>
          </w:tcPr>
          <w:p w14:paraId="34FFB3F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23,9</w:t>
            </w:r>
          </w:p>
        </w:tc>
        <w:tc>
          <w:tcPr>
            <w:tcW w:w="381" w:type="pct"/>
            <w:noWrap/>
          </w:tcPr>
          <w:p w14:paraId="50A6CC30"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22,9</w:t>
            </w:r>
          </w:p>
        </w:tc>
        <w:tc>
          <w:tcPr>
            <w:tcW w:w="380" w:type="pct"/>
            <w:noWrap/>
          </w:tcPr>
          <w:p w14:paraId="29F42AA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color w:val="000000"/>
                <w:sz w:val="22"/>
                <w:szCs w:val="22"/>
              </w:rPr>
              <w:t>32,8</w:t>
            </w:r>
          </w:p>
        </w:tc>
        <w:tc>
          <w:tcPr>
            <w:tcW w:w="381" w:type="pct"/>
            <w:noWrap/>
          </w:tcPr>
          <w:p w14:paraId="1714FAA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43,0 </w:t>
            </w:r>
          </w:p>
        </w:tc>
      </w:tr>
      <w:tr w:rsidR="008A657E" w:rsidRPr="00905559" w14:paraId="6860F35D" w14:textId="77777777" w:rsidTr="008A657E">
        <w:trPr>
          <w:trHeight w:val="265"/>
        </w:trPr>
        <w:tc>
          <w:tcPr>
            <w:tcW w:w="1194" w:type="pct"/>
            <w:noWrap/>
          </w:tcPr>
          <w:p w14:paraId="2E90911D" w14:textId="15098152" w:rsidR="008A657E" w:rsidRPr="00A170D3" w:rsidRDefault="006C022E" w:rsidP="008A657E">
            <w:pPr>
              <w:autoSpaceDE w:val="0"/>
              <w:autoSpaceDN w:val="0"/>
              <w:adjustRightInd w:val="0"/>
              <w:spacing w:after="0"/>
              <w:rPr>
                <w:rFonts w:ascii="Times New Roman" w:eastAsia="Times New Roman" w:hAnsi="Times New Roman"/>
                <w:color w:val="000000"/>
                <w:sz w:val="22"/>
                <w:szCs w:val="22"/>
              </w:rPr>
            </w:pPr>
            <w:r>
              <w:rPr>
                <w:rFonts w:ascii="Times New Roman" w:eastAsia="Times New Roman" w:hAnsi="Times New Roman"/>
                <w:sz w:val="22"/>
                <w:szCs w:val="22"/>
              </w:rPr>
              <w:t xml:space="preserve">  </w:t>
            </w:r>
            <w:r w:rsidR="008A657E" w:rsidRPr="00A170D3">
              <w:rPr>
                <w:rFonts w:ascii="Times New Roman" w:eastAsia="Times New Roman" w:hAnsi="Times New Roman"/>
                <w:sz w:val="22"/>
                <w:szCs w:val="22"/>
              </w:rPr>
              <w:t>Verkstedindustri og skipsbyggingsindustri mv.</w:t>
            </w:r>
          </w:p>
        </w:tc>
        <w:tc>
          <w:tcPr>
            <w:tcW w:w="380" w:type="pct"/>
            <w:noWrap/>
          </w:tcPr>
          <w:p w14:paraId="7B1BCC4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12,6</w:t>
            </w:r>
          </w:p>
        </w:tc>
        <w:tc>
          <w:tcPr>
            <w:tcW w:w="382" w:type="pct"/>
            <w:noWrap/>
          </w:tcPr>
          <w:p w14:paraId="7478388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13,9</w:t>
            </w:r>
          </w:p>
        </w:tc>
        <w:tc>
          <w:tcPr>
            <w:tcW w:w="380" w:type="pct"/>
            <w:noWrap/>
          </w:tcPr>
          <w:p w14:paraId="431D553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15,7</w:t>
            </w:r>
          </w:p>
        </w:tc>
        <w:tc>
          <w:tcPr>
            <w:tcW w:w="381" w:type="pct"/>
            <w:noWrap/>
          </w:tcPr>
          <w:p w14:paraId="575A94B7"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15,3</w:t>
            </w:r>
          </w:p>
        </w:tc>
        <w:tc>
          <w:tcPr>
            <w:tcW w:w="380" w:type="pct"/>
            <w:noWrap/>
          </w:tcPr>
          <w:p w14:paraId="49080EBD"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15,7</w:t>
            </w:r>
          </w:p>
        </w:tc>
        <w:tc>
          <w:tcPr>
            <w:tcW w:w="381" w:type="pct"/>
            <w:noWrap/>
          </w:tcPr>
          <w:p w14:paraId="552A55D4"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16,0</w:t>
            </w:r>
          </w:p>
        </w:tc>
        <w:tc>
          <w:tcPr>
            <w:tcW w:w="380" w:type="pct"/>
            <w:noWrap/>
          </w:tcPr>
          <w:p w14:paraId="542B98CE"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16,8</w:t>
            </w:r>
          </w:p>
        </w:tc>
        <w:tc>
          <w:tcPr>
            <w:tcW w:w="381" w:type="pct"/>
            <w:noWrap/>
          </w:tcPr>
          <w:p w14:paraId="2791FB2B"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16,0</w:t>
            </w:r>
          </w:p>
        </w:tc>
        <w:tc>
          <w:tcPr>
            <w:tcW w:w="380" w:type="pct"/>
            <w:noWrap/>
          </w:tcPr>
          <w:p w14:paraId="265D5C6A"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sidRPr="00A170D3">
              <w:rPr>
                <w:rFonts w:ascii="Times New Roman" w:eastAsia="Times New Roman" w:hAnsi="Times New Roman"/>
                <w:sz w:val="22"/>
                <w:szCs w:val="22"/>
              </w:rPr>
              <w:t>19,0</w:t>
            </w:r>
          </w:p>
        </w:tc>
        <w:tc>
          <w:tcPr>
            <w:tcW w:w="381" w:type="pct"/>
            <w:noWrap/>
          </w:tcPr>
          <w:p w14:paraId="66AF2666" w14:textId="77777777" w:rsidR="008A657E" w:rsidRPr="00A170D3" w:rsidRDefault="008A657E" w:rsidP="008A657E">
            <w:pPr>
              <w:autoSpaceDE w:val="0"/>
              <w:autoSpaceDN w:val="0"/>
              <w:adjustRightInd w:val="0"/>
              <w:spacing w:after="0"/>
              <w:jc w:val="right"/>
              <w:rPr>
                <w:rFonts w:ascii="Times New Roman" w:eastAsia="Times New Roman" w:hAnsi="Times New Roman"/>
                <w:color w:val="000000"/>
                <w:sz w:val="22"/>
                <w:szCs w:val="22"/>
              </w:rPr>
            </w:pPr>
            <w:r>
              <w:rPr>
                <w:rFonts w:ascii="Times New Roman" w:eastAsia="Times New Roman" w:hAnsi="Times New Roman"/>
                <w:sz w:val="22"/>
                <w:szCs w:val="22"/>
              </w:rPr>
              <w:t>18,7</w:t>
            </w:r>
          </w:p>
        </w:tc>
      </w:tr>
      <w:tr w:rsidR="008A657E" w:rsidRPr="00A170D3" w14:paraId="6701936C" w14:textId="77777777" w:rsidTr="008A657E">
        <w:trPr>
          <w:trHeight w:val="265"/>
        </w:trPr>
        <w:tc>
          <w:tcPr>
            <w:tcW w:w="1194" w:type="pct"/>
            <w:noWrap/>
          </w:tcPr>
          <w:p w14:paraId="6A652E98" w14:textId="77777777" w:rsidR="008A657E" w:rsidRPr="00A170D3" w:rsidRDefault="008A657E" w:rsidP="008A657E">
            <w:pPr>
              <w:autoSpaceDE w:val="0"/>
              <w:autoSpaceDN w:val="0"/>
              <w:adjustRightInd w:val="0"/>
              <w:spacing w:after="0"/>
              <w:rPr>
                <w:rFonts w:ascii="Times New Roman" w:eastAsia="Times New Roman" w:hAnsi="Times New Roman"/>
                <w:sz w:val="22"/>
                <w:szCs w:val="22"/>
              </w:rPr>
            </w:pPr>
            <w:r w:rsidRPr="00A170D3">
              <w:rPr>
                <w:rFonts w:ascii="Times New Roman" w:eastAsia="Times New Roman" w:hAnsi="Times New Roman"/>
                <w:sz w:val="22"/>
                <w:szCs w:val="22"/>
              </w:rPr>
              <w:t xml:space="preserve">  Råvarebasert industri</w:t>
            </w:r>
          </w:p>
        </w:tc>
        <w:tc>
          <w:tcPr>
            <w:tcW w:w="380" w:type="pct"/>
            <w:noWrap/>
          </w:tcPr>
          <w:p w14:paraId="46B96811"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14,0</w:t>
            </w:r>
          </w:p>
        </w:tc>
        <w:tc>
          <w:tcPr>
            <w:tcW w:w="382" w:type="pct"/>
            <w:noWrap/>
          </w:tcPr>
          <w:p w14:paraId="51DA2EC3"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16,0</w:t>
            </w:r>
          </w:p>
        </w:tc>
        <w:tc>
          <w:tcPr>
            <w:tcW w:w="380" w:type="pct"/>
            <w:noWrap/>
          </w:tcPr>
          <w:p w14:paraId="3A40DFD5"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15,6</w:t>
            </w:r>
          </w:p>
        </w:tc>
        <w:tc>
          <w:tcPr>
            <w:tcW w:w="381" w:type="pct"/>
            <w:noWrap/>
          </w:tcPr>
          <w:p w14:paraId="65D7C4EB"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-0,9</w:t>
            </w:r>
          </w:p>
        </w:tc>
        <w:tc>
          <w:tcPr>
            <w:tcW w:w="380" w:type="pct"/>
            <w:noWrap/>
          </w:tcPr>
          <w:p w14:paraId="21AA63B5"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4,4</w:t>
            </w:r>
          </w:p>
        </w:tc>
        <w:tc>
          <w:tcPr>
            <w:tcW w:w="381" w:type="pct"/>
            <w:noWrap/>
          </w:tcPr>
          <w:p w14:paraId="20BFE5A8"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0,9</w:t>
            </w:r>
          </w:p>
        </w:tc>
        <w:tc>
          <w:tcPr>
            <w:tcW w:w="380" w:type="pct"/>
            <w:noWrap/>
          </w:tcPr>
          <w:p w14:paraId="7CDA1BC5"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0,4</w:t>
            </w:r>
          </w:p>
        </w:tc>
        <w:tc>
          <w:tcPr>
            <w:tcW w:w="381" w:type="pct"/>
            <w:noWrap/>
          </w:tcPr>
          <w:p w14:paraId="5668482E"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-0,3</w:t>
            </w:r>
          </w:p>
        </w:tc>
        <w:tc>
          <w:tcPr>
            <w:tcW w:w="380" w:type="pct"/>
            <w:noWrap/>
          </w:tcPr>
          <w:p w14:paraId="79A5F109"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3,8</w:t>
            </w:r>
          </w:p>
        </w:tc>
        <w:tc>
          <w:tcPr>
            <w:tcW w:w="381" w:type="pct"/>
            <w:noWrap/>
          </w:tcPr>
          <w:p w14:paraId="6E1CEEC9"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Pr>
                <w:rFonts w:ascii="Times New Roman" w:eastAsia="Times New Roman" w:hAnsi="Times New Roman"/>
                <w:sz w:val="22"/>
                <w:szCs w:val="22"/>
              </w:rPr>
              <w:t>13,5</w:t>
            </w:r>
          </w:p>
        </w:tc>
      </w:tr>
      <w:tr w:rsidR="008A657E" w:rsidRPr="00A170D3" w14:paraId="09C856E6" w14:textId="77777777" w:rsidTr="008A657E">
        <w:trPr>
          <w:trHeight w:val="265"/>
        </w:trPr>
        <w:tc>
          <w:tcPr>
            <w:tcW w:w="1194" w:type="pct"/>
            <w:noWrap/>
          </w:tcPr>
          <w:p w14:paraId="4281808F" w14:textId="77777777" w:rsidR="008A657E" w:rsidRPr="00A170D3" w:rsidRDefault="008A657E" w:rsidP="008A657E">
            <w:pPr>
              <w:autoSpaceDE w:val="0"/>
              <w:autoSpaceDN w:val="0"/>
              <w:adjustRightInd w:val="0"/>
              <w:spacing w:after="0"/>
              <w:rPr>
                <w:rFonts w:ascii="Times New Roman" w:eastAsia="Times New Roman" w:hAnsi="Times New Roman"/>
                <w:sz w:val="22"/>
                <w:szCs w:val="22"/>
              </w:rPr>
            </w:pPr>
            <w:r w:rsidRPr="00A170D3">
              <w:rPr>
                <w:rFonts w:ascii="Times New Roman" w:eastAsia="Times New Roman" w:hAnsi="Times New Roman"/>
                <w:sz w:val="22"/>
                <w:szCs w:val="22"/>
              </w:rPr>
              <w:t xml:space="preserve">  Øvrige industrinæringer</w:t>
            </w:r>
          </w:p>
        </w:tc>
        <w:tc>
          <w:tcPr>
            <w:tcW w:w="380" w:type="pct"/>
            <w:noWrap/>
          </w:tcPr>
          <w:p w14:paraId="7D2DBE1E"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15,5</w:t>
            </w:r>
          </w:p>
        </w:tc>
        <w:tc>
          <w:tcPr>
            <w:tcW w:w="382" w:type="pct"/>
            <w:noWrap/>
          </w:tcPr>
          <w:p w14:paraId="5EE392BC"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12,3</w:t>
            </w:r>
          </w:p>
        </w:tc>
        <w:tc>
          <w:tcPr>
            <w:tcW w:w="380" w:type="pct"/>
            <w:noWrap/>
          </w:tcPr>
          <w:p w14:paraId="5B8130A7"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7,5</w:t>
            </w:r>
          </w:p>
        </w:tc>
        <w:tc>
          <w:tcPr>
            <w:tcW w:w="381" w:type="pct"/>
            <w:noWrap/>
          </w:tcPr>
          <w:p w14:paraId="06346843"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3,8</w:t>
            </w:r>
          </w:p>
        </w:tc>
        <w:tc>
          <w:tcPr>
            <w:tcW w:w="380" w:type="pct"/>
            <w:noWrap/>
          </w:tcPr>
          <w:p w14:paraId="239093E7"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8,5</w:t>
            </w:r>
          </w:p>
        </w:tc>
        <w:tc>
          <w:tcPr>
            <w:tcW w:w="381" w:type="pct"/>
            <w:noWrap/>
          </w:tcPr>
          <w:p w14:paraId="7C86DC48"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8,1</w:t>
            </w:r>
          </w:p>
        </w:tc>
        <w:tc>
          <w:tcPr>
            <w:tcW w:w="380" w:type="pct"/>
            <w:noWrap/>
          </w:tcPr>
          <w:p w14:paraId="5CBDAE6A"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6,7</w:t>
            </w:r>
          </w:p>
        </w:tc>
        <w:tc>
          <w:tcPr>
            <w:tcW w:w="381" w:type="pct"/>
            <w:noWrap/>
          </w:tcPr>
          <w:p w14:paraId="73D906E0"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7,2</w:t>
            </w:r>
          </w:p>
        </w:tc>
        <w:tc>
          <w:tcPr>
            <w:tcW w:w="380" w:type="pct"/>
            <w:noWrap/>
          </w:tcPr>
          <w:p w14:paraId="67E9AE91"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sidRPr="00A170D3">
              <w:rPr>
                <w:rFonts w:ascii="Times New Roman" w:eastAsia="Times New Roman" w:hAnsi="Times New Roman"/>
                <w:sz w:val="22"/>
                <w:szCs w:val="22"/>
              </w:rPr>
              <w:t>10,0</w:t>
            </w:r>
          </w:p>
        </w:tc>
        <w:tc>
          <w:tcPr>
            <w:tcW w:w="381" w:type="pct"/>
            <w:noWrap/>
          </w:tcPr>
          <w:p w14:paraId="0ADADFCC" w14:textId="77777777" w:rsidR="008A657E" w:rsidRPr="00A170D3" w:rsidRDefault="008A657E" w:rsidP="008A657E">
            <w:pPr>
              <w:autoSpaceDE w:val="0"/>
              <w:autoSpaceDN w:val="0"/>
              <w:adjustRightInd w:val="0"/>
              <w:spacing w:after="0"/>
              <w:jc w:val="right"/>
              <w:rPr>
                <w:rFonts w:ascii="Times New Roman" w:eastAsia="Times New Roman" w:hAnsi="Times New Roman"/>
                <w:sz w:val="22"/>
                <w:szCs w:val="22"/>
              </w:rPr>
            </w:pPr>
            <w:r>
              <w:rPr>
                <w:rFonts w:ascii="Times New Roman" w:eastAsia="Times New Roman" w:hAnsi="Times New Roman"/>
                <w:sz w:val="22"/>
                <w:szCs w:val="22"/>
              </w:rPr>
              <w:t>10,9</w:t>
            </w:r>
          </w:p>
        </w:tc>
      </w:tr>
    </w:tbl>
    <w:p w14:paraId="667B0FE0" w14:textId="01CEA2A3" w:rsidR="008A657E" w:rsidRPr="00CB4861" w:rsidRDefault="00140733" w:rsidP="00140733">
      <w:pPr>
        <w:pStyle w:val="tabell-noter"/>
        <w:tabs>
          <w:tab w:val="clear" w:pos="284"/>
        </w:tabs>
        <w:ind w:left="142" w:hanging="142"/>
        <w:rPr>
          <w:noProof/>
        </w:rPr>
      </w:pPr>
      <w:r w:rsidRPr="00140733">
        <w:rPr>
          <w:noProof/>
        </w:rPr>
        <w:t xml:space="preserve">* </w:t>
      </w:r>
      <w:r w:rsidR="008A657E" w:rsidRPr="00A170D3">
        <w:rPr>
          <w:noProof/>
        </w:rPr>
        <w:t>Foreløpige tall. Residuale størrelser</w:t>
      </w:r>
      <w:r w:rsidR="008A657E">
        <w:rPr>
          <w:noProof/>
        </w:rPr>
        <w:t xml:space="preserve"> i nasjonalregnskapet</w:t>
      </w:r>
      <w:r w:rsidR="008A657E" w:rsidRPr="00A170D3">
        <w:rPr>
          <w:noProof/>
        </w:rPr>
        <w:t xml:space="preserve"> som driftsresultatet</w:t>
      </w:r>
      <w:r w:rsidR="008A657E">
        <w:rPr>
          <w:noProof/>
        </w:rPr>
        <w:t xml:space="preserve">, </w:t>
      </w:r>
      <w:r w:rsidR="008A657E" w:rsidRPr="00A170D3">
        <w:rPr>
          <w:noProof/>
        </w:rPr>
        <w:t xml:space="preserve"> kan bli gjenstand for </w:t>
      </w:r>
      <w:r w:rsidR="008A657E">
        <w:rPr>
          <w:noProof/>
        </w:rPr>
        <w:t>store</w:t>
      </w:r>
      <w:r w:rsidR="008A657E" w:rsidRPr="00A170D3">
        <w:rPr>
          <w:noProof/>
        </w:rPr>
        <w:t xml:space="preserve"> revisjoner når endelig </w:t>
      </w:r>
      <w:r w:rsidR="008A657E" w:rsidRPr="00CB4861">
        <w:rPr>
          <w:noProof/>
        </w:rPr>
        <w:t xml:space="preserve">årsregnskap foreligger. </w:t>
      </w:r>
      <w:r w:rsidR="008A657E">
        <w:rPr>
          <w:noProof/>
        </w:rPr>
        <w:t>Dette gjelder særlig når man ser på enkelte næringer. For markedsrettet virksomhet for perioden 2009-2013 varierte  revisjonene mellom foreløpige og endelige tall mellom -57 milliarder i 2009 og +54 milliarder i 2011.</w:t>
      </w:r>
    </w:p>
    <w:p w14:paraId="1A1D0508" w14:textId="6C7759DB" w:rsidR="008A657E" w:rsidRPr="00CB4861" w:rsidRDefault="008A657E" w:rsidP="008643D6">
      <w:pPr>
        <w:pStyle w:val="tabell-noter"/>
        <w:numPr>
          <w:ilvl w:val="0"/>
          <w:numId w:val="69"/>
        </w:numPr>
        <w:tabs>
          <w:tab w:val="clear" w:pos="284"/>
        </w:tabs>
        <w:spacing w:before="0" w:after="0"/>
        <w:ind w:left="142" w:hanging="142"/>
        <w:contextualSpacing w:val="0"/>
        <w:rPr>
          <w:noProof/>
        </w:rPr>
      </w:pPr>
      <w:r w:rsidRPr="00CB4861">
        <w:rPr>
          <w:noProof/>
        </w:rPr>
        <w:t xml:space="preserve">Markedsrettet virksomhet omfatter  produksjonsenheter som </w:t>
      </w:r>
      <w:r>
        <w:rPr>
          <w:noProof/>
        </w:rPr>
        <w:t>har</w:t>
      </w:r>
      <w:r w:rsidRPr="00CB4861">
        <w:rPr>
          <w:noProof/>
        </w:rPr>
        <w:t xml:space="preserve"> mer enn 50 prosent av sine inntekter fra salg i markedet </w:t>
      </w:r>
    </w:p>
    <w:p w14:paraId="6656B2A9" w14:textId="08041A02" w:rsidR="008A657E" w:rsidRPr="00964232" w:rsidRDefault="008A657E" w:rsidP="00140733">
      <w:pPr>
        <w:pStyle w:val="Kilde"/>
        <w:spacing w:before="120"/>
      </w:pPr>
      <w:r w:rsidRPr="00CB4861">
        <w:rPr>
          <w:noProof/>
        </w:rPr>
        <w:t>Kil</w:t>
      </w:r>
      <w:r w:rsidR="00140733">
        <w:rPr>
          <w:noProof/>
        </w:rPr>
        <w:t>de</w:t>
      </w:r>
      <w:r w:rsidR="00901A5E">
        <w:rPr>
          <w:noProof/>
        </w:rPr>
        <w:t>r</w:t>
      </w:r>
      <w:r w:rsidR="00140733">
        <w:rPr>
          <w:noProof/>
        </w:rPr>
        <w:t>: Statistisk sentralbyrå</w:t>
      </w:r>
      <w:r w:rsidR="00AE1F5C">
        <w:rPr>
          <w:noProof/>
        </w:rPr>
        <w:t xml:space="preserve"> og Beregningsutvalget</w:t>
      </w:r>
    </w:p>
    <w:p w14:paraId="2710E46C" w14:textId="77777777" w:rsidR="008A657E" w:rsidRPr="00CB4861" w:rsidRDefault="008A657E" w:rsidP="008A657E">
      <w:pPr>
        <w:rPr>
          <w:noProof/>
        </w:rPr>
      </w:pPr>
      <w:r w:rsidRPr="00CB4861">
        <w:rPr>
          <w:rFonts w:eastAsiaTheme="majorEastAsia"/>
          <w:i/>
          <w:color w:val="000000"/>
        </w:rPr>
        <w:t>Driftsresultatet</w:t>
      </w:r>
      <w:r w:rsidRPr="00CB4861">
        <w:rPr>
          <w:noProof/>
        </w:rPr>
        <w:t xml:space="preserve"> påvirkes av den generelle konjunktursituasjonen i norsk og internasjonal økonomi, og kan derfor vise betydelige svingninger fra år til år. Prisene på en del norske eksportprodukter er spesielt konjunkturfølsomme, noe som fører til store fluktuasjoner i driftsresultatet for enkelte næringsgrupper. Bevegelsene i olje- og gasspriser er av særlig betydning ettersom </w:t>
      </w:r>
      <w:r>
        <w:rPr>
          <w:noProof/>
        </w:rPr>
        <w:t>driftsresultatet</w:t>
      </w:r>
      <w:r w:rsidRPr="00CB4861">
        <w:rPr>
          <w:noProof/>
        </w:rPr>
        <w:t xml:space="preserve"> i petroleumsvirksomheten utgjør en betydelig del av samlet driftsresultat i Norge. </w:t>
      </w:r>
    </w:p>
    <w:p w14:paraId="4E17D3B5" w14:textId="749F4401" w:rsidR="008A657E" w:rsidRPr="00CB4861" w:rsidRDefault="008A657E" w:rsidP="008A657E">
      <w:pPr>
        <w:rPr>
          <w:noProof/>
        </w:rPr>
      </w:pPr>
      <w:r w:rsidRPr="00CB4861">
        <w:rPr>
          <w:rFonts w:eastAsiaTheme="majorEastAsia"/>
          <w:i/>
          <w:color w:val="000000"/>
        </w:rPr>
        <w:t>Driftsresultatet</w:t>
      </w:r>
      <w:r w:rsidRPr="00CB4861">
        <w:rPr>
          <w:i/>
          <w:noProof/>
        </w:rPr>
        <w:t xml:space="preserve"> for økonomien som helhet</w:t>
      </w:r>
      <w:r>
        <w:rPr>
          <w:noProof/>
        </w:rPr>
        <w:t xml:space="preserve"> falt med 12 prosent fra 890 milliarder i 2014 til 786 milliarder i 2015</w:t>
      </w:r>
      <w:r w:rsidRPr="00CB4861">
        <w:rPr>
          <w:noProof/>
        </w:rPr>
        <w:t>. Forløpet i denne størrelsen er sterkt påvirket av utviklingen i petroleumsvirksomheten</w:t>
      </w:r>
      <w:r>
        <w:rPr>
          <w:noProof/>
        </w:rPr>
        <w:t xml:space="preserve"> og prisendringer på olje og gass</w:t>
      </w:r>
      <w:r w:rsidRPr="00CB4861">
        <w:rPr>
          <w:noProof/>
        </w:rPr>
        <w:t>. Driftsresultatet i petroleumsutvin</w:t>
      </w:r>
      <w:r>
        <w:rPr>
          <w:noProof/>
        </w:rPr>
        <w:t>ning og rørtransport sank med 28 prosent fra 2014 til 2015</w:t>
      </w:r>
      <w:r w:rsidRPr="00CB4861">
        <w:rPr>
          <w:noProof/>
        </w:rPr>
        <w:t>,</w:t>
      </w:r>
      <w:r>
        <w:rPr>
          <w:noProof/>
        </w:rPr>
        <w:t xml:space="preserve"> etter å ha </w:t>
      </w:r>
      <w:r w:rsidRPr="00CB4861">
        <w:rPr>
          <w:noProof/>
        </w:rPr>
        <w:t xml:space="preserve">falt </w:t>
      </w:r>
      <w:r>
        <w:rPr>
          <w:noProof/>
        </w:rPr>
        <w:t>med  12</w:t>
      </w:r>
      <w:r w:rsidRPr="00CB4861">
        <w:rPr>
          <w:noProof/>
        </w:rPr>
        <w:t xml:space="preserve"> prosent</w:t>
      </w:r>
      <w:r>
        <w:rPr>
          <w:noProof/>
        </w:rPr>
        <w:t xml:space="preserve"> året før</w:t>
      </w:r>
      <w:r w:rsidRPr="00CB4861">
        <w:rPr>
          <w:noProof/>
        </w:rPr>
        <w:t>. Petroleumsvirksomhetens andel av det samlede dri</w:t>
      </w:r>
      <w:r>
        <w:rPr>
          <w:noProof/>
        </w:rPr>
        <w:t>ftsresultatet sank fra om lag 45 prosent i 2014 til om lag 37 prosent i 2015</w:t>
      </w:r>
      <w:r w:rsidR="006C022E">
        <w:rPr>
          <w:noProof/>
        </w:rPr>
        <w:t xml:space="preserve"> i</w:t>
      </w:r>
      <w:r w:rsidRPr="00CB4861">
        <w:rPr>
          <w:noProof/>
        </w:rPr>
        <w:t xml:space="preserve">følge foreløpige tall. </w:t>
      </w:r>
    </w:p>
    <w:p w14:paraId="0321A3BE" w14:textId="45A24306" w:rsidR="008A657E" w:rsidRPr="00CB4861" w:rsidRDefault="008A657E" w:rsidP="008A657E">
      <w:pPr>
        <w:rPr>
          <w:noProof/>
        </w:rPr>
      </w:pPr>
      <w:r w:rsidRPr="00CB4861">
        <w:rPr>
          <w:noProof/>
        </w:rPr>
        <w:t xml:space="preserve">Driftsresultatet i </w:t>
      </w:r>
      <w:r w:rsidRPr="00CB4861">
        <w:rPr>
          <w:rFonts w:eastAsiaTheme="majorEastAsia"/>
          <w:i/>
          <w:color w:val="000000"/>
        </w:rPr>
        <w:t>markedsrettet virksomhet i Fastlands-Norge</w:t>
      </w:r>
      <w:r w:rsidRPr="00CB4861">
        <w:rPr>
          <w:noProof/>
        </w:rPr>
        <w:t xml:space="preserve"> </w:t>
      </w:r>
      <w:r>
        <w:rPr>
          <w:noProof/>
        </w:rPr>
        <w:t>var,</w:t>
      </w:r>
      <w:r w:rsidRPr="00CB4861">
        <w:rPr>
          <w:noProof/>
        </w:rPr>
        <w:t xml:space="preserve"> ifølge de foreløpige tallene</w:t>
      </w:r>
      <w:r w:rsidR="006C022E">
        <w:rPr>
          <w:noProof/>
        </w:rPr>
        <w:t>, om lag u</w:t>
      </w:r>
      <w:r>
        <w:rPr>
          <w:noProof/>
        </w:rPr>
        <w:t>endret fra 2014 til 2015</w:t>
      </w:r>
      <w:r w:rsidR="006C022E">
        <w:rPr>
          <w:noProof/>
        </w:rPr>
        <w:t>. F</w:t>
      </w:r>
      <w:r>
        <w:rPr>
          <w:noProof/>
        </w:rPr>
        <w:t xml:space="preserve">ra 2013 til 2014 økte </w:t>
      </w:r>
      <w:r w:rsidR="006C022E">
        <w:rPr>
          <w:noProof/>
        </w:rPr>
        <w:t xml:space="preserve">driftsresultatet </w:t>
      </w:r>
      <w:r>
        <w:rPr>
          <w:noProof/>
        </w:rPr>
        <w:t>med nesten 4 prosent.</w:t>
      </w:r>
    </w:p>
    <w:p w14:paraId="3C937376" w14:textId="77777777" w:rsidR="008A657E" w:rsidRDefault="008A657E" w:rsidP="008A657E">
      <w:pPr>
        <w:rPr>
          <w:noProof/>
          <w:color w:val="000000"/>
        </w:rPr>
      </w:pPr>
      <w:r w:rsidRPr="00CB4861">
        <w:rPr>
          <w:i/>
          <w:iCs/>
          <w:noProof/>
          <w:color w:val="000000"/>
        </w:rPr>
        <w:t>Industriens driftsresultat</w:t>
      </w:r>
      <w:r>
        <w:rPr>
          <w:i/>
          <w:iCs/>
          <w:noProof/>
          <w:color w:val="000000"/>
        </w:rPr>
        <w:t xml:space="preserve"> </w:t>
      </w:r>
      <w:r>
        <w:rPr>
          <w:iCs/>
          <w:noProof/>
          <w:color w:val="000000"/>
        </w:rPr>
        <w:t>økte med 31 prosent fra 33 millarder i 2014 til 43 milliarder i 2015</w:t>
      </w:r>
      <w:r w:rsidRPr="00CB4861">
        <w:rPr>
          <w:noProof/>
          <w:color w:val="000000"/>
        </w:rPr>
        <w:t>.</w:t>
      </w:r>
      <w:r>
        <w:rPr>
          <w:noProof/>
          <w:color w:val="000000"/>
        </w:rPr>
        <w:t xml:space="preserve"> </w:t>
      </w:r>
      <w:r w:rsidRPr="00CB4861">
        <w:rPr>
          <w:noProof/>
          <w:color w:val="000000"/>
        </w:rPr>
        <w:t xml:space="preserve"> </w:t>
      </w:r>
      <w:r>
        <w:rPr>
          <w:noProof/>
          <w:color w:val="000000"/>
        </w:rPr>
        <w:t xml:space="preserve">Råvarebasert industri, hovedsaklig oljeraffinering, kjemisk og farmasøytisk industri, hadde en stor økning i driftsresultat fra 2014 til 2015.  I verkstedsindustri og skipsbyggingsindustri var bildet mer sammensatt. Produksjon av metallvarer, elektrisk utstyr og maskiner hadde en økning i driftsresultatet mellom fra 2014 til 2015, mens verftsindustri og annen transportmiddelindustri hadde en negativ utvikling. </w:t>
      </w:r>
      <w:r w:rsidRPr="00CB4861">
        <w:rPr>
          <w:rFonts w:eastAsiaTheme="majorEastAsia"/>
          <w:i/>
        </w:rPr>
        <w:t>Industriens andel</w:t>
      </w:r>
      <w:r w:rsidRPr="00CB4861">
        <w:rPr>
          <w:noProof/>
        </w:rPr>
        <w:t xml:space="preserve"> av det samlede driftsresultatet i markedsrettet virksomhet i Fastlands-Norge økte fra</w:t>
      </w:r>
      <w:r>
        <w:rPr>
          <w:noProof/>
        </w:rPr>
        <w:t xml:space="preserve"> nærmere 4 prosent til om lag 5 prosent fra 2014 til 2015</w:t>
      </w:r>
      <w:r w:rsidRPr="00CB4861">
        <w:rPr>
          <w:noProof/>
        </w:rPr>
        <w:t xml:space="preserve">. </w:t>
      </w:r>
      <w:r>
        <w:rPr>
          <w:noProof/>
        </w:rPr>
        <w:t>Se vedlegg 6 for en nærmere omtale av driftsresultatet i industrien og andre næringer. I vedlegget er næringene gruppert annerledes enn i kapittel 6.</w:t>
      </w:r>
      <w:r w:rsidRPr="00CB4861">
        <w:rPr>
          <w:noProof/>
          <w:color w:val="000000"/>
        </w:rPr>
        <w:t xml:space="preserve"> </w:t>
      </w:r>
    </w:p>
    <w:p w14:paraId="7FC13BA0" w14:textId="4F930DB9" w:rsidR="008A657E" w:rsidRPr="00CB4861" w:rsidRDefault="008A657E" w:rsidP="008A657E">
      <w:pPr>
        <w:rPr>
          <w:noProof/>
        </w:rPr>
      </w:pPr>
      <w:r w:rsidRPr="00CB4861">
        <w:rPr>
          <w:noProof/>
        </w:rPr>
        <w:t>De foreløpige tallene for 201</w:t>
      </w:r>
      <w:r>
        <w:rPr>
          <w:noProof/>
        </w:rPr>
        <w:t>5</w:t>
      </w:r>
      <w:r w:rsidRPr="00CB4861">
        <w:rPr>
          <w:noProof/>
        </w:rPr>
        <w:t xml:space="preserve"> viser at de </w:t>
      </w:r>
      <w:r w:rsidRPr="00CB4861">
        <w:rPr>
          <w:rFonts w:eastAsiaTheme="majorEastAsia"/>
          <w:i/>
          <w:color w:val="000000"/>
          <w:szCs w:val="24"/>
        </w:rPr>
        <w:t>samlede lønnskostnadene</w:t>
      </w:r>
      <w:r>
        <w:rPr>
          <w:noProof/>
        </w:rPr>
        <w:t xml:space="preserve"> var 1498</w:t>
      </w:r>
      <w:r w:rsidRPr="00CB4861">
        <w:rPr>
          <w:noProof/>
        </w:rPr>
        <w:t xml:space="preserve"> mill</w:t>
      </w:r>
      <w:r w:rsidR="006C022E">
        <w:rPr>
          <w:noProof/>
        </w:rPr>
        <w:t xml:space="preserve">iarder kroner, en økning på </w:t>
      </w:r>
      <w:r>
        <w:rPr>
          <w:noProof/>
        </w:rPr>
        <w:t>3,5 prosent fra 2014</w:t>
      </w:r>
      <w:r w:rsidR="006C022E">
        <w:rPr>
          <w:noProof/>
        </w:rPr>
        <w:t xml:space="preserve">. </w:t>
      </w:r>
      <w:r w:rsidRPr="00867EB1">
        <w:rPr>
          <w:i/>
          <w:noProof/>
        </w:rPr>
        <w:t>Markedsrettet virksomhet</w:t>
      </w:r>
      <w:r w:rsidRPr="00CB4861">
        <w:rPr>
          <w:noProof/>
        </w:rPr>
        <w:t xml:space="preserve"> ha</w:t>
      </w:r>
      <w:r>
        <w:rPr>
          <w:noProof/>
        </w:rPr>
        <w:t>dde en lønnskostnadsvekst på 2,6 prosent fra 2014 til 2015</w:t>
      </w:r>
      <w:r w:rsidRPr="00CB4861">
        <w:rPr>
          <w:noProof/>
        </w:rPr>
        <w:t>, o</w:t>
      </w:r>
      <w:r>
        <w:rPr>
          <w:noProof/>
        </w:rPr>
        <w:t>g lønnskostnadene var om lag 996</w:t>
      </w:r>
      <w:r w:rsidRPr="00CB4861">
        <w:rPr>
          <w:noProof/>
        </w:rPr>
        <w:t xml:space="preserve"> milliarder kroner i 201</w:t>
      </w:r>
      <w:r>
        <w:rPr>
          <w:noProof/>
        </w:rPr>
        <w:t>5</w:t>
      </w:r>
      <w:r w:rsidRPr="00CB4861">
        <w:rPr>
          <w:noProof/>
        </w:rPr>
        <w:t>. Forskjellen mellom totale lønnskostnader og lønnskostnader i markedsrettet virksomhet utgjøres av lønnskostnadene i offentlig forvaltning og ideelle organisasjoner som hadde en vekst på h</w:t>
      </w:r>
      <w:r>
        <w:rPr>
          <w:noProof/>
        </w:rPr>
        <w:t>enholdsvis 5,2 og 4,8 prosent. Se vedleggstabell 4.9 for en oversikt over lønnskostnader for noen hovedgrupper av næringer.</w:t>
      </w:r>
    </w:p>
    <w:p w14:paraId="33195E17" w14:textId="77777777" w:rsidR="008A657E" w:rsidRPr="00964232" w:rsidRDefault="008A657E" w:rsidP="008A657E">
      <w:pPr>
        <w:rPr>
          <w:noProof/>
        </w:rPr>
      </w:pPr>
      <w:r w:rsidRPr="00CB4861">
        <w:rPr>
          <w:noProof/>
        </w:rPr>
        <w:t>Figur 5.3 viser utviklingen i lønnskostnader som andel av faktorinntekten for noen næringsgrupper innenfor markedsret</w:t>
      </w:r>
      <w:r>
        <w:rPr>
          <w:noProof/>
        </w:rPr>
        <w:t>tet virksomhet</w:t>
      </w:r>
      <w:r w:rsidRPr="00CB4861">
        <w:rPr>
          <w:noProof/>
        </w:rPr>
        <w:t>. Tjenestenæringer som har et stort innslag av selvstendig næringsdrivende samt finansiell tjenesteyting</w:t>
      </w:r>
      <w:r>
        <w:rPr>
          <w:noProof/>
        </w:rPr>
        <w:t>,</w:t>
      </w:r>
      <w:r w:rsidRPr="00CB4861">
        <w:rPr>
          <w:noProof/>
        </w:rPr>
        <w:t xml:space="preserve"> er ikke inkludert som egne aggregater, men inngår i totalen for markedsrettet virksomhet Fastlands-Norge.</w:t>
      </w:r>
      <w:r>
        <w:rPr>
          <w:noProof/>
        </w:rPr>
        <w:t xml:space="preserve"> L</w:t>
      </w:r>
      <w:r w:rsidRPr="00CB4861">
        <w:rPr>
          <w:noProof/>
        </w:rPr>
        <w:t xml:space="preserve">ønnskostnadsandelen for </w:t>
      </w:r>
      <w:r w:rsidRPr="00CB4861">
        <w:rPr>
          <w:i/>
          <w:noProof/>
        </w:rPr>
        <w:t>markedsrettet virksomhet i Fastlands-Norge</w:t>
      </w:r>
      <w:r>
        <w:rPr>
          <w:noProof/>
        </w:rPr>
        <w:t xml:space="preserve"> var 68 prosent i 2015</w:t>
      </w:r>
      <w:r w:rsidRPr="00CB4861">
        <w:rPr>
          <w:noProof/>
        </w:rPr>
        <w:t>,</w:t>
      </w:r>
      <w:r>
        <w:rPr>
          <w:noProof/>
        </w:rPr>
        <w:t xml:space="preserve"> som er om lag som gjennomsnitte</w:t>
      </w:r>
      <w:r w:rsidRPr="00CB4861">
        <w:rPr>
          <w:noProof/>
        </w:rPr>
        <w:t xml:space="preserve">t de fem </w:t>
      </w:r>
      <w:r>
        <w:rPr>
          <w:noProof/>
        </w:rPr>
        <w:t>siste</w:t>
      </w:r>
      <w:r w:rsidRPr="00CB4861">
        <w:rPr>
          <w:noProof/>
        </w:rPr>
        <w:t xml:space="preserve"> årene.</w:t>
      </w:r>
    </w:p>
    <w:p w14:paraId="53F81819" w14:textId="77777777" w:rsidR="008A657E" w:rsidRDefault="008A657E" w:rsidP="008A657E">
      <w:pPr>
        <w:suppressAutoHyphens/>
        <w:autoSpaceDE w:val="0"/>
        <w:autoSpaceDN w:val="0"/>
        <w:adjustRightInd w:val="0"/>
        <w:spacing w:after="0"/>
        <w:rPr>
          <w:rFonts w:ascii="Times New Roman" w:eastAsia="Times New Roman" w:hAnsi="Times New Roman"/>
          <w:noProof/>
          <w:color w:val="000000"/>
        </w:rPr>
      </w:pPr>
    </w:p>
    <w:p w14:paraId="6FC155B7" w14:textId="77777777" w:rsidR="008A657E" w:rsidRPr="00CB4861" w:rsidRDefault="008A657E" w:rsidP="008A657E">
      <w:pPr>
        <w:suppressAutoHyphens/>
        <w:autoSpaceDE w:val="0"/>
        <w:autoSpaceDN w:val="0"/>
        <w:adjustRightInd w:val="0"/>
        <w:spacing w:after="0"/>
        <w:rPr>
          <w:rFonts w:ascii="Times New Roman" w:eastAsia="Times New Roman" w:hAnsi="Times New Roman"/>
          <w:noProof/>
          <w:color w:val="000000"/>
        </w:rPr>
      </w:pPr>
      <w:r>
        <w:rPr>
          <w:rFonts w:ascii="Times New Roman" w:eastAsia="Times New Roman" w:hAnsi="Times New Roman"/>
          <w:noProof/>
          <w:color w:val="000000"/>
        </w:rPr>
        <w:drawing>
          <wp:inline distT="0" distB="0" distL="0" distR="0" wp14:anchorId="0F7191FA" wp14:editId="12F9CB3C">
            <wp:extent cx="3387437" cy="3105150"/>
            <wp:effectExtent l="0" t="0" r="3810" b="0"/>
            <wp:docPr id="206" name="Bilde 206" descr="C:\Users\nba\AppData\Local\Microsoft\Windows\Temporary Internet Files\Content.Outlook\PA0J27GI\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a\AppData\Local\Microsoft\Windows\Temporary Internet Files\Content.Outlook\PA0J27GI\5-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7437" cy="3105150"/>
                    </a:xfrm>
                    <a:prstGeom prst="rect">
                      <a:avLst/>
                    </a:prstGeom>
                    <a:noFill/>
                    <a:ln>
                      <a:noFill/>
                    </a:ln>
                  </pic:spPr>
                </pic:pic>
              </a:graphicData>
            </a:graphic>
          </wp:inline>
        </w:drawing>
      </w:r>
    </w:p>
    <w:p w14:paraId="67023721" w14:textId="77777777" w:rsidR="008A657E" w:rsidRDefault="008A657E" w:rsidP="008A657E">
      <w:pPr>
        <w:pStyle w:val="figur-tittel"/>
        <w:rPr>
          <w:noProof/>
        </w:rPr>
      </w:pPr>
      <w:bookmarkStart w:id="255" w:name="ID_FIG1_45_3"/>
      <w:bookmarkEnd w:id="255"/>
      <w:r w:rsidRPr="002511D0">
        <w:t>Lønnskostnader</w:t>
      </w:r>
      <w:r w:rsidRPr="002511D0">
        <w:rPr>
          <w:noProof/>
        </w:rPr>
        <w:t xml:space="preserve"> i prosent av faktorinntekt i noen hovedgrupper av næringer</w:t>
      </w:r>
      <w:r w:rsidRPr="00805FB1">
        <w:rPr>
          <w:noProof/>
          <w:vertAlign w:val="superscript"/>
        </w:rPr>
        <w:t>1</w:t>
      </w:r>
      <w:r>
        <w:rPr>
          <w:noProof/>
        </w:rPr>
        <w:t xml:space="preserve"> </w:t>
      </w:r>
    </w:p>
    <w:p w14:paraId="5B09CB52" w14:textId="2390F400" w:rsidR="008A657E" w:rsidRPr="00A653E1" w:rsidRDefault="008A657E" w:rsidP="008643D6">
      <w:pPr>
        <w:pStyle w:val="tabell-noter"/>
        <w:numPr>
          <w:ilvl w:val="0"/>
          <w:numId w:val="70"/>
        </w:numPr>
        <w:tabs>
          <w:tab w:val="clear" w:pos="284"/>
        </w:tabs>
        <w:spacing w:before="0" w:after="0"/>
        <w:ind w:left="142" w:hanging="142"/>
        <w:contextualSpacing w:val="0"/>
      </w:pPr>
      <w:r w:rsidRPr="00A653E1">
        <w:t>Teknisk og forretningsmessig tjenesteyting, inkludert tjenester til petroleumsnæringen omfatter tjenester tilknyttet utvinning av råolje- og naturgass, teknisk konsulentvirksomhet og forretningsmessig tjenesteyting.</w:t>
      </w:r>
    </w:p>
    <w:p w14:paraId="21C9FCEE" w14:textId="3195C9C0" w:rsidR="008A657E" w:rsidRPr="00CB4861" w:rsidRDefault="008A657E" w:rsidP="003D2444">
      <w:pPr>
        <w:pStyle w:val="figur-noter"/>
        <w:spacing w:before="0"/>
        <w:ind w:left="142" w:hanging="142"/>
        <w:rPr>
          <w:noProof/>
        </w:rPr>
      </w:pPr>
      <w:r>
        <w:rPr>
          <w:noProof/>
        </w:rPr>
        <w:t>*</w:t>
      </w:r>
      <w:r w:rsidR="003D2444">
        <w:rPr>
          <w:noProof/>
        </w:rPr>
        <w:t xml:space="preserve"> </w:t>
      </w:r>
      <w:r w:rsidRPr="00CB4861">
        <w:rPr>
          <w:noProof/>
        </w:rPr>
        <w:t>Foreløpige tall</w:t>
      </w:r>
    </w:p>
    <w:p w14:paraId="5CF8FEC4" w14:textId="3D913DFE" w:rsidR="008A657E" w:rsidRDefault="00913E35" w:rsidP="008A657E">
      <w:pPr>
        <w:pStyle w:val="Kilde"/>
        <w:rPr>
          <w:noProof/>
        </w:rPr>
      </w:pPr>
      <w:r w:rsidRPr="00CB4861">
        <w:rPr>
          <w:noProof/>
        </w:rPr>
        <w:t>Kil</w:t>
      </w:r>
      <w:r>
        <w:rPr>
          <w:noProof/>
        </w:rPr>
        <w:t>de</w:t>
      </w:r>
      <w:r w:rsidR="00901A5E">
        <w:rPr>
          <w:noProof/>
        </w:rPr>
        <w:t>r</w:t>
      </w:r>
      <w:r>
        <w:rPr>
          <w:noProof/>
        </w:rPr>
        <w:t>: Statistisk sentralbyrå og Beregningsutvalget</w:t>
      </w:r>
    </w:p>
    <w:p w14:paraId="575289E8" w14:textId="6BD31239" w:rsidR="008A657E" w:rsidRPr="00CB4861" w:rsidRDefault="008A657E" w:rsidP="008A657E">
      <w:pPr>
        <w:spacing w:after="240"/>
        <w:rPr>
          <w:rFonts w:ascii="Times New Roman" w:eastAsia="Times New Roman" w:hAnsi="Times New Roman"/>
        </w:rPr>
      </w:pPr>
      <w:r>
        <w:rPr>
          <w:rFonts w:ascii="Times New Roman" w:eastAsia="Times New Roman" w:hAnsi="Times New Roman"/>
          <w:noProof/>
        </w:rPr>
        <w:t xml:space="preserve">Lønnskostnadsandelen i </w:t>
      </w:r>
      <w:r w:rsidRPr="0030088E">
        <w:rPr>
          <w:rFonts w:ascii="Times New Roman" w:eastAsia="Times New Roman" w:hAnsi="Times New Roman"/>
          <w:i/>
          <w:noProof/>
        </w:rPr>
        <w:t>industrien</w:t>
      </w:r>
      <w:r>
        <w:rPr>
          <w:rFonts w:ascii="Times New Roman" w:eastAsia="Times New Roman" w:hAnsi="Times New Roman"/>
          <w:noProof/>
        </w:rPr>
        <w:t xml:space="preserve"> er bereg</w:t>
      </w:r>
      <w:r w:rsidR="006C022E">
        <w:rPr>
          <w:rFonts w:ascii="Times New Roman" w:eastAsia="Times New Roman" w:hAnsi="Times New Roman"/>
          <w:noProof/>
        </w:rPr>
        <w:t xml:space="preserve">net til 78 prosent i 2015, mot </w:t>
      </w:r>
      <w:r>
        <w:rPr>
          <w:rFonts w:ascii="Times New Roman" w:eastAsia="Times New Roman" w:hAnsi="Times New Roman"/>
          <w:noProof/>
        </w:rPr>
        <w:t>82 prosent i 2014. Forklaringen bak den reduserte lønnskostandsandelen var den sterke økningen i driftsresultatet for store deler av råvarebasert industri</w:t>
      </w:r>
      <w:r w:rsidR="006C022E">
        <w:rPr>
          <w:rFonts w:ascii="Times New Roman" w:eastAsia="Times New Roman" w:hAnsi="Times New Roman"/>
          <w:noProof/>
        </w:rPr>
        <w:t>,</w:t>
      </w:r>
      <w:r>
        <w:rPr>
          <w:rFonts w:ascii="Times New Roman" w:eastAsia="Times New Roman" w:hAnsi="Times New Roman"/>
          <w:noProof/>
        </w:rPr>
        <w:t xml:space="preserve"> noe som førte til en stor redusjon i lønnskostandsandelen for gruppen. Fra 2014 til 2015 ble andelen redusert med rundt 20 prosentpoeng til 68 prosent. Gjennomsnittlig lønnskostnadsandel for industrien for perioden 2011</w:t>
      </w:r>
      <w:r w:rsidR="001046BE">
        <w:rPr>
          <w:rFonts w:ascii="Times New Roman" w:eastAsia="Times New Roman" w:hAnsi="Times New Roman"/>
          <w:noProof/>
        </w:rPr>
        <w:t>-</w:t>
      </w:r>
      <w:r>
        <w:rPr>
          <w:rFonts w:ascii="Times New Roman" w:eastAsia="Times New Roman" w:hAnsi="Times New Roman"/>
          <w:noProof/>
        </w:rPr>
        <w:t>2015 var 83 prosent</w:t>
      </w:r>
      <w:r w:rsidR="001046BE">
        <w:rPr>
          <w:rFonts w:ascii="Times New Roman" w:eastAsia="Times New Roman" w:hAnsi="Times New Roman"/>
          <w:noProof/>
        </w:rPr>
        <w:t>,</w:t>
      </w:r>
      <w:r>
        <w:rPr>
          <w:rFonts w:ascii="Times New Roman" w:eastAsia="Times New Roman" w:hAnsi="Times New Roman"/>
          <w:noProof/>
        </w:rPr>
        <w:t xml:space="preserve"> og nærmere 79 prosent i perioden 2006-2010. I tiårsperioden 2006-2015 var gjennomsnittlig lønnskostnadsandel 81 prosent, dette er to prosentpoeng over gjennomsnittet i den foregående ti-årsperioden 1996-2005. </w:t>
      </w:r>
      <w:r>
        <w:rPr>
          <w:noProof/>
        </w:rPr>
        <w:t xml:space="preserve">Se vedlegg 6 for en nærmere omtale av lønnskostnadsandelen i industrien og andre næringer. </w:t>
      </w:r>
    </w:p>
    <w:p w14:paraId="148167EB" w14:textId="74C67F5F" w:rsidR="008A657E" w:rsidRDefault="008A657E" w:rsidP="008A657E">
      <w:pPr>
        <w:rPr>
          <w:rFonts w:ascii="Times New Roman" w:eastAsia="Times New Roman" w:hAnsi="Times New Roman"/>
          <w:noProof/>
        </w:rPr>
      </w:pPr>
      <w:bookmarkStart w:id="256" w:name="ID_FIG1_45_4"/>
      <w:bookmarkStart w:id="257" w:name="ID_FIG1_45_5"/>
      <w:bookmarkEnd w:id="256"/>
      <w:bookmarkEnd w:id="257"/>
      <w:r w:rsidRPr="00CB4861">
        <w:rPr>
          <w:rFonts w:ascii="Times New Roman" w:eastAsia="Times New Roman" w:hAnsi="Times New Roman"/>
          <w:noProof/>
        </w:rPr>
        <w:t xml:space="preserve">For næringer i </w:t>
      </w:r>
      <w:r>
        <w:rPr>
          <w:rFonts w:ascii="Times New Roman" w:eastAsia="Times New Roman" w:hAnsi="Times New Roman"/>
          <w:noProof/>
        </w:rPr>
        <w:t>teknisk og forretningsmessig tjenesteyting, inkludert tjenester til petroleumsnæringen</w:t>
      </w:r>
      <w:r w:rsidR="001046BE">
        <w:rPr>
          <w:rFonts w:ascii="Times New Roman" w:eastAsia="Times New Roman" w:hAnsi="Times New Roman"/>
          <w:noProof/>
        </w:rPr>
        <w:t xml:space="preserve"> </w:t>
      </w:r>
      <w:r w:rsidRPr="00CB4861">
        <w:rPr>
          <w:rFonts w:ascii="Times New Roman" w:eastAsia="Times New Roman" w:hAnsi="Times New Roman"/>
          <w:noProof/>
        </w:rPr>
        <w:t>lå lønnskostn</w:t>
      </w:r>
      <w:r>
        <w:rPr>
          <w:rFonts w:ascii="Times New Roman" w:eastAsia="Times New Roman" w:hAnsi="Times New Roman"/>
          <w:noProof/>
        </w:rPr>
        <w:t>adsandelen på 83 prosent i 2015, dette var en økning fra 79 prosent i 2014.</w:t>
      </w:r>
      <w:r w:rsidRPr="00CB4861">
        <w:rPr>
          <w:rFonts w:ascii="Times New Roman" w:eastAsia="Times New Roman" w:hAnsi="Times New Roman"/>
          <w:noProof/>
        </w:rPr>
        <w:t xml:space="preserve"> </w:t>
      </w:r>
      <w:r>
        <w:rPr>
          <w:rFonts w:ascii="Times New Roman" w:eastAsia="Times New Roman" w:hAnsi="Times New Roman"/>
          <w:noProof/>
        </w:rPr>
        <w:t xml:space="preserve">Gjennomsnittet i perioden 2011-2015 var 79 prosent. </w:t>
      </w:r>
      <w:r w:rsidRPr="00CB4861">
        <w:rPr>
          <w:rFonts w:ascii="Times New Roman" w:eastAsia="Times New Roman" w:hAnsi="Times New Roman"/>
          <w:noProof/>
        </w:rPr>
        <w:t xml:space="preserve">Lønnskostnadsandelen varierte </w:t>
      </w:r>
      <w:r w:rsidRPr="005849F6">
        <w:rPr>
          <w:rFonts w:ascii="Times New Roman" w:eastAsia="Times New Roman" w:hAnsi="Times New Roman"/>
          <w:noProof/>
        </w:rPr>
        <w:t>mellom 7</w:t>
      </w:r>
      <w:r>
        <w:rPr>
          <w:rFonts w:ascii="Times New Roman" w:eastAsia="Times New Roman" w:hAnsi="Times New Roman"/>
          <w:noProof/>
        </w:rPr>
        <w:t>5 og 83 prosent i ti-års-perioden 2006-2015</w:t>
      </w:r>
      <w:r w:rsidRPr="00CB4861">
        <w:rPr>
          <w:rFonts w:ascii="Times New Roman" w:eastAsia="Times New Roman" w:hAnsi="Times New Roman"/>
          <w:noProof/>
        </w:rPr>
        <w:t xml:space="preserve">. Lønnskostnadsandelen innenfor </w:t>
      </w:r>
      <w:r w:rsidRPr="00CB4861">
        <w:rPr>
          <w:rFonts w:ascii="Times New Roman" w:eastAsia="Times New Roman" w:hAnsi="Times New Roman"/>
          <w:i/>
          <w:noProof/>
        </w:rPr>
        <w:t xml:space="preserve">informasjon og kommunikasjon </w:t>
      </w:r>
      <w:r w:rsidRPr="00CB4861">
        <w:rPr>
          <w:rFonts w:ascii="Times New Roman" w:eastAsia="Times New Roman" w:hAnsi="Times New Roman"/>
          <w:noProof/>
        </w:rPr>
        <w:t xml:space="preserve">var </w:t>
      </w:r>
      <w:r>
        <w:rPr>
          <w:rFonts w:ascii="Times New Roman" w:eastAsia="Times New Roman" w:hAnsi="Times New Roman"/>
          <w:noProof/>
        </w:rPr>
        <w:t>78 prosent i 2015</w:t>
      </w:r>
      <w:r w:rsidRPr="00CB4861">
        <w:rPr>
          <w:rFonts w:ascii="Times New Roman" w:eastAsia="Times New Roman" w:hAnsi="Times New Roman"/>
          <w:noProof/>
        </w:rPr>
        <w:t xml:space="preserve">, </w:t>
      </w:r>
      <w:r>
        <w:rPr>
          <w:rFonts w:ascii="Times New Roman" w:eastAsia="Times New Roman" w:hAnsi="Times New Roman"/>
          <w:noProof/>
        </w:rPr>
        <w:t>dette var om lag</w:t>
      </w:r>
      <w:r w:rsidR="001046BE">
        <w:rPr>
          <w:rFonts w:ascii="Times New Roman" w:eastAsia="Times New Roman" w:hAnsi="Times New Roman"/>
          <w:noProof/>
        </w:rPr>
        <w:t xml:space="preserve"> </w:t>
      </w:r>
      <w:r>
        <w:rPr>
          <w:rFonts w:ascii="Times New Roman" w:eastAsia="Times New Roman" w:hAnsi="Times New Roman"/>
          <w:noProof/>
        </w:rPr>
        <w:t>som</w:t>
      </w:r>
      <w:r w:rsidR="001046BE">
        <w:rPr>
          <w:rFonts w:ascii="Times New Roman" w:eastAsia="Times New Roman" w:hAnsi="Times New Roman"/>
          <w:noProof/>
        </w:rPr>
        <w:t xml:space="preserve"> gjennomsn</w:t>
      </w:r>
      <w:r w:rsidRPr="00CB4861">
        <w:rPr>
          <w:rFonts w:ascii="Times New Roman" w:eastAsia="Times New Roman" w:hAnsi="Times New Roman"/>
          <w:noProof/>
        </w:rPr>
        <w:t xml:space="preserve">ittet </w:t>
      </w:r>
      <w:r>
        <w:rPr>
          <w:rFonts w:ascii="Times New Roman" w:eastAsia="Times New Roman" w:hAnsi="Times New Roman"/>
          <w:noProof/>
        </w:rPr>
        <w:t>for perioden 2011-2015.</w:t>
      </w:r>
      <w:r w:rsidRPr="00CB4861">
        <w:rPr>
          <w:rFonts w:ascii="Times New Roman" w:eastAsia="Times New Roman" w:hAnsi="Times New Roman"/>
          <w:noProof/>
        </w:rPr>
        <w:t xml:space="preserve"> </w:t>
      </w:r>
      <w:r>
        <w:rPr>
          <w:rFonts w:ascii="Times New Roman" w:eastAsia="Times New Roman" w:hAnsi="Times New Roman"/>
          <w:noProof/>
        </w:rPr>
        <w:t>Lønnskostnadsandelen lå</w:t>
      </w:r>
      <w:r w:rsidRPr="005849F6">
        <w:rPr>
          <w:rFonts w:ascii="Times New Roman" w:eastAsia="Times New Roman" w:hAnsi="Times New Roman"/>
          <w:noProof/>
        </w:rPr>
        <w:t xml:space="preserve"> mell</w:t>
      </w:r>
      <w:r>
        <w:rPr>
          <w:rFonts w:ascii="Times New Roman" w:eastAsia="Times New Roman" w:hAnsi="Times New Roman"/>
          <w:noProof/>
        </w:rPr>
        <w:t>om 73 og 81 prosent mellom 2006 og 2015</w:t>
      </w:r>
      <w:r w:rsidRPr="005849F6">
        <w:rPr>
          <w:rFonts w:ascii="Times New Roman" w:eastAsia="Times New Roman" w:hAnsi="Times New Roman"/>
          <w:noProof/>
        </w:rPr>
        <w:t xml:space="preserve"> i </w:t>
      </w:r>
      <w:r>
        <w:rPr>
          <w:rFonts w:ascii="Times New Roman" w:eastAsia="Times New Roman" w:hAnsi="Times New Roman"/>
          <w:noProof/>
        </w:rPr>
        <w:t xml:space="preserve">denne </w:t>
      </w:r>
      <w:r w:rsidRPr="005849F6">
        <w:rPr>
          <w:rFonts w:ascii="Times New Roman" w:eastAsia="Times New Roman" w:hAnsi="Times New Roman"/>
          <w:noProof/>
        </w:rPr>
        <w:t>næring</w:t>
      </w:r>
      <w:r>
        <w:rPr>
          <w:rFonts w:ascii="Times New Roman" w:eastAsia="Times New Roman" w:hAnsi="Times New Roman"/>
          <w:noProof/>
        </w:rPr>
        <w:t>sgruppen</w:t>
      </w:r>
      <w:r w:rsidR="001046BE">
        <w:rPr>
          <w:rFonts w:ascii="Times New Roman" w:eastAsia="Times New Roman" w:hAnsi="Times New Roman"/>
          <w:noProof/>
        </w:rPr>
        <w:t>.</w:t>
      </w:r>
      <w:r w:rsidRPr="005849F6">
        <w:rPr>
          <w:rFonts w:ascii="Times New Roman" w:eastAsia="Times New Roman" w:hAnsi="Times New Roman"/>
          <w:noProof/>
        </w:rPr>
        <w:t xml:space="preserve"> Lønnskostnadsandelen i </w:t>
      </w:r>
      <w:r w:rsidRPr="005849F6">
        <w:rPr>
          <w:rFonts w:ascii="Times New Roman" w:eastAsia="Times New Roman" w:hAnsi="Times New Roman"/>
          <w:i/>
          <w:noProof/>
        </w:rPr>
        <w:t>bygg og anlegg</w:t>
      </w:r>
      <w:r>
        <w:rPr>
          <w:rFonts w:ascii="Times New Roman" w:eastAsia="Times New Roman" w:hAnsi="Times New Roman"/>
          <w:noProof/>
        </w:rPr>
        <w:t xml:space="preserve"> var 73 prosent i 2015, dette var over gjennomsnittet </w:t>
      </w:r>
      <w:r w:rsidRPr="005849F6">
        <w:rPr>
          <w:rFonts w:ascii="Times New Roman" w:eastAsia="Times New Roman" w:hAnsi="Times New Roman"/>
          <w:noProof/>
        </w:rPr>
        <w:t xml:space="preserve">på </w:t>
      </w:r>
      <w:r>
        <w:rPr>
          <w:rFonts w:ascii="Times New Roman" w:eastAsia="Times New Roman" w:hAnsi="Times New Roman"/>
          <w:noProof/>
        </w:rPr>
        <w:t>70</w:t>
      </w:r>
      <w:r w:rsidRPr="005849F6">
        <w:rPr>
          <w:rFonts w:ascii="Times New Roman" w:eastAsia="Times New Roman" w:hAnsi="Times New Roman"/>
          <w:noProof/>
        </w:rPr>
        <w:t xml:space="preserve"> prosent</w:t>
      </w:r>
      <w:r>
        <w:rPr>
          <w:rFonts w:ascii="Times New Roman" w:eastAsia="Times New Roman" w:hAnsi="Times New Roman"/>
          <w:noProof/>
        </w:rPr>
        <w:t xml:space="preserve"> i perioden 2011-2015. </w:t>
      </w:r>
    </w:p>
    <w:p w14:paraId="4BC5702F" w14:textId="77777777" w:rsidR="008A657E" w:rsidRPr="001046BE" w:rsidRDefault="008A657E" w:rsidP="008A657E">
      <w:pPr>
        <w:pBdr>
          <w:top w:val="single" w:sz="4" w:space="1" w:color="auto"/>
          <w:left w:val="single" w:sz="4" w:space="1" w:color="auto"/>
          <w:bottom w:val="single" w:sz="4" w:space="1" w:color="auto"/>
          <w:right w:val="single" w:sz="4" w:space="1" w:color="auto"/>
        </w:pBdr>
        <w:tabs>
          <w:tab w:val="left" w:pos="1620"/>
        </w:tabs>
        <w:spacing w:before="240" w:after="80"/>
        <w:jc w:val="center"/>
        <w:rPr>
          <w:rFonts w:ascii="Arial" w:eastAsia="Times New Roman" w:hAnsi="Arial" w:cs="Arial"/>
          <w:b/>
          <w:noProof/>
        </w:rPr>
      </w:pPr>
      <w:r w:rsidRPr="001046BE">
        <w:rPr>
          <w:rFonts w:ascii="Arial" w:eastAsia="Times New Roman" w:hAnsi="Arial" w:cs="Arial"/>
          <w:b/>
          <w:noProof/>
        </w:rPr>
        <w:t>Boks 5.1 Inntektsbegreper i nasjonalregnskapet</w:t>
      </w:r>
    </w:p>
    <w:p w14:paraId="706D8B9F" w14:textId="77777777" w:rsidR="008A657E" w:rsidRPr="00CB4861" w:rsidRDefault="008A657E" w:rsidP="008A657E">
      <w:pPr>
        <w:pBdr>
          <w:top w:val="single" w:sz="4" w:space="1" w:color="auto"/>
          <w:left w:val="single" w:sz="4" w:space="1" w:color="auto"/>
          <w:bottom w:val="single" w:sz="4" w:space="1" w:color="auto"/>
          <w:right w:val="single" w:sz="4" w:space="1" w:color="auto"/>
        </w:pBdr>
        <w:spacing w:after="0"/>
        <w:rPr>
          <w:rFonts w:ascii="Times New Roman" w:eastAsia="Times New Roman" w:hAnsi="Times New Roman"/>
        </w:rPr>
      </w:pPr>
    </w:p>
    <w:p w14:paraId="359236B8" w14:textId="77777777" w:rsidR="008A657E" w:rsidRPr="00CB4861" w:rsidRDefault="008A657E" w:rsidP="008A657E">
      <w:pPr>
        <w:pBdr>
          <w:top w:val="single" w:sz="4" w:space="1" w:color="auto"/>
          <w:left w:val="single" w:sz="4" w:space="1" w:color="auto"/>
          <w:bottom w:val="single" w:sz="4" w:space="1" w:color="auto"/>
          <w:right w:val="single" w:sz="4" w:space="1" w:color="auto"/>
        </w:pBdr>
        <w:rPr>
          <w:rFonts w:ascii="Times New Roman" w:eastAsia="Times New Roman" w:hAnsi="Times New Roman"/>
          <w:noProof/>
        </w:rPr>
      </w:pPr>
      <w:r w:rsidRPr="00CB4861">
        <w:rPr>
          <w:rFonts w:ascii="Times New Roman" w:eastAsiaTheme="majorEastAsia" w:hAnsi="Times New Roman"/>
          <w:i/>
        </w:rPr>
        <w:t>Bruttonasjonalproduktet</w:t>
      </w:r>
      <w:r w:rsidRPr="00CB4861">
        <w:rPr>
          <w:rFonts w:ascii="Times New Roman" w:eastAsia="Times New Roman" w:hAnsi="Times New Roman"/>
          <w:noProof/>
        </w:rPr>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CB4861">
        <w:rPr>
          <w:rFonts w:ascii="Times New Roman" w:eastAsiaTheme="majorEastAsia" w:hAnsi="Times New Roman"/>
          <w:i/>
        </w:rPr>
        <w:t>nettonasjonalproduktet.</w:t>
      </w:r>
    </w:p>
    <w:p w14:paraId="065CE15B" w14:textId="77777777" w:rsidR="007C35C1" w:rsidRDefault="008A657E" w:rsidP="007C35C1">
      <w:pPr>
        <w:pBdr>
          <w:top w:val="single" w:sz="4" w:space="1" w:color="auto"/>
          <w:left w:val="single" w:sz="4" w:space="1" w:color="auto"/>
          <w:bottom w:val="single" w:sz="4" w:space="1" w:color="auto"/>
          <w:right w:val="single" w:sz="4" w:space="1" w:color="auto"/>
        </w:pBdr>
        <w:rPr>
          <w:rFonts w:ascii="Times New Roman" w:eastAsia="Times New Roman" w:hAnsi="Times New Roman"/>
          <w:noProof/>
        </w:rPr>
      </w:pPr>
      <w:r w:rsidRPr="00CB4861">
        <w:rPr>
          <w:rFonts w:ascii="Times New Roman" w:eastAsia="Times New Roman" w:hAnsi="Times New Roman"/>
          <w:noProof/>
        </w:rPr>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på fordringer på oss, og vi kan motta og gi inntektsoverføringer. </w:t>
      </w:r>
      <w:r w:rsidRPr="00CB4861">
        <w:rPr>
          <w:rFonts w:ascii="Times New Roman" w:eastAsiaTheme="majorEastAsia" w:hAnsi="Times New Roman"/>
          <w:i/>
        </w:rPr>
        <w:t xml:space="preserve">Nasjonalinntekten </w:t>
      </w:r>
      <w:r w:rsidRPr="00CB4861">
        <w:rPr>
          <w:rFonts w:ascii="Times New Roman" w:eastAsia="Times New Roman" w:hAnsi="Times New Roman"/>
          <w:noProof/>
        </w:rPr>
        <w:t xml:space="preserve">er den samlede inntekt som tilfaller nordmenn, og framkommer ved å legge netto renter, aksjeutbytte og andre  inntekter fra utlandet til nettonasjonalproduktet. Ved i tillegg å legge netto stønader og andre løpende overføringer fra utlandet til nasjonalinntekten, får en fram </w:t>
      </w:r>
      <w:r w:rsidRPr="00CB4861">
        <w:rPr>
          <w:rFonts w:ascii="Times New Roman" w:eastAsiaTheme="majorEastAsia" w:hAnsi="Times New Roman"/>
          <w:i/>
        </w:rPr>
        <w:t>disponibel inntekt for Norge</w:t>
      </w:r>
      <w:r w:rsidRPr="00CB4861">
        <w:rPr>
          <w:rFonts w:ascii="Times New Roman" w:eastAsia="Times New Roman" w:hAnsi="Times New Roman"/>
          <w:noProof/>
        </w:rPr>
        <w:t xml:space="preserve">. Ved å deflatere disponibel inntekt for Norge med nasjonalregnskapets prisindeks for netto innenlandsk sluttanvendelse, kommer en fram til begrepet </w:t>
      </w:r>
      <w:r w:rsidRPr="00CB4861">
        <w:rPr>
          <w:rFonts w:ascii="Times New Roman" w:eastAsiaTheme="majorEastAsia" w:hAnsi="Times New Roman"/>
          <w:i/>
        </w:rPr>
        <w:t>disponibel realinntekt for Norge</w:t>
      </w:r>
      <w:r w:rsidRPr="00CB4861">
        <w:rPr>
          <w:rFonts w:ascii="Times New Roman" w:eastAsia="Times New Roman" w:hAnsi="Times New Roman"/>
          <w:noProof/>
        </w:rPr>
        <w:t>.</w:t>
      </w:r>
    </w:p>
    <w:p w14:paraId="4094DAC5" w14:textId="343E1E7A" w:rsidR="008A657E" w:rsidRPr="00CB4861" w:rsidRDefault="008A657E" w:rsidP="007C35C1">
      <w:pPr>
        <w:pBdr>
          <w:top w:val="single" w:sz="4" w:space="1" w:color="auto"/>
          <w:left w:val="single" w:sz="4" w:space="1" w:color="auto"/>
          <w:bottom w:val="single" w:sz="4" w:space="1" w:color="auto"/>
          <w:right w:val="single" w:sz="4" w:space="1" w:color="auto"/>
        </w:pBdr>
        <w:rPr>
          <w:rFonts w:ascii="Times New Roman" w:eastAsia="Times New Roman" w:hAnsi="Times New Roman"/>
          <w:noProof/>
        </w:rPr>
      </w:pPr>
      <w:r w:rsidRPr="00CB4861">
        <w:rPr>
          <w:rFonts w:ascii="Times New Roman" w:eastAsiaTheme="majorEastAsia" w:hAnsi="Times New Roman"/>
          <w:i/>
        </w:rPr>
        <w:t>Bytteforholdet overfor utlandet</w:t>
      </w:r>
      <w:r w:rsidRPr="00CB4861">
        <w:rPr>
          <w:rFonts w:ascii="Times New Roman" w:eastAsia="Times New Roman" w:hAnsi="Times New Roman"/>
          <w:noProof/>
        </w:rPr>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14:paraId="0246E1A6" w14:textId="4E23ED8F" w:rsidR="008A657E" w:rsidRPr="00CB4861" w:rsidRDefault="008A657E" w:rsidP="007C35C1">
      <w:pPr>
        <w:pBdr>
          <w:top w:val="single" w:sz="4" w:space="1" w:color="auto"/>
          <w:left w:val="single" w:sz="4" w:space="1" w:color="auto"/>
          <w:bottom w:val="single" w:sz="4" w:space="1" w:color="auto"/>
          <w:right w:val="single" w:sz="4" w:space="1" w:color="auto"/>
        </w:pBdr>
        <w:rPr>
          <w:rFonts w:ascii="Times New Roman" w:eastAsia="Times New Roman" w:hAnsi="Times New Roman"/>
        </w:rPr>
      </w:pPr>
      <w:r w:rsidRPr="00CB4861">
        <w:rPr>
          <w:rFonts w:ascii="Times New Roman" w:eastAsia="Times New Roman" w:hAnsi="Times New Roman"/>
          <w:i/>
          <w:iCs/>
          <w:noProof/>
        </w:rPr>
        <w:t xml:space="preserve">Faktorinntekten </w:t>
      </w:r>
      <w:r w:rsidRPr="00CB4861">
        <w:rPr>
          <w:rFonts w:ascii="Times New Roman" w:eastAsia="Times New Roman" w:hAnsi="Times New Roman"/>
          <w:noProof/>
        </w:rPr>
        <w:t xml:space="preserve">gir uttrykk for den inntekt som tilfaller produksjonsfaktorene arbeidskraft og kapital. </w:t>
      </w:r>
      <w:r w:rsidRPr="00CB4861">
        <w:rPr>
          <w:rFonts w:ascii="Times New Roman" w:eastAsia="Times New Roman" w:hAnsi="Times New Roman"/>
          <w:i/>
          <w:noProof/>
        </w:rPr>
        <w:t>Faktorinntekt for Norge</w:t>
      </w:r>
      <w:r w:rsidRPr="00CB4861">
        <w:rPr>
          <w:rFonts w:ascii="Times New Roman" w:eastAsia="Times New Roman" w:hAnsi="Times New Roman"/>
          <w:noProof/>
        </w:rPr>
        <w:t xml:space="preserve">, eller for en enkelt næring, er således lik summen av lønnskostnader og driftsresultat. Faktorinntekt for Norge er videre lik nettonasjonalprodukt fratrukket netto produksjonsskatter. </w:t>
      </w:r>
      <w:r w:rsidRPr="00CB4861">
        <w:rPr>
          <w:rFonts w:ascii="Times New Roman" w:eastAsia="Times New Roman" w:hAnsi="Times New Roman"/>
          <w:i/>
          <w:noProof/>
        </w:rPr>
        <w:t>Lønnskostnadene</w:t>
      </w:r>
      <w:r w:rsidRPr="00CB4861">
        <w:rPr>
          <w:rFonts w:ascii="Times New Roman" w:eastAsia="Times New Roman" w:hAnsi="Times New Roman"/>
          <w:noProof/>
        </w:rPr>
        <w:t xml:space="preserve"> omfatter kontant- og naturallønn utbetalt til arbeidstakerne og arbeidsgivers trygde- og pensjonspremier. </w:t>
      </w:r>
      <w:r w:rsidRPr="00CB4861">
        <w:rPr>
          <w:rFonts w:ascii="Times New Roman" w:eastAsia="Times New Roman" w:hAnsi="Times New Roman"/>
          <w:i/>
          <w:noProof/>
        </w:rPr>
        <w:t>Driftsresultatet</w:t>
      </w:r>
      <w:r w:rsidRPr="00CB4861">
        <w:rPr>
          <w:rFonts w:ascii="Times New Roman" w:eastAsia="Times New Roman" w:hAnsi="Times New Roman"/>
          <w:noProof/>
        </w:rPr>
        <w:t xml:space="preserve"> utgjør det beregnede overskuddet og kan tolkes som godtgjøring til produksjonsfaktorene kapital og eiernes egen arbeidsi</w:t>
      </w:r>
      <w:r>
        <w:rPr>
          <w:rFonts w:ascii="Times New Roman" w:eastAsia="Times New Roman" w:hAnsi="Times New Roman"/>
          <w:noProof/>
        </w:rPr>
        <w:t>nnsats. Som følge av at</w:t>
      </w:r>
      <w:r w:rsidRPr="00CB4861">
        <w:rPr>
          <w:rFonts w:ascii="Times New Roman" w:eastAsia="Times New Roman" w:hAnsi="Times New Roman"/>
          <w:noProof/>
        </w:rPr>
        <w:t xml:space="preserve"> driftsresultat</w:t>
      </w:r>
      <w:r>
        <w:rPr>
          <w:rFonts w:ascii="Times New Roman" w:eastAsia="Times New Roman" w:hAnsi="Times New Roman"/>
          <w:noProof/>
        </w:rPr>
        <w:t>et</w:t>
      </w:r>
      <w:r w:rsidRPr="00CB4861">
        <w:rPr>
          <w:rFonts w:ascii="Times New Roman" w:eastAsia="Times New Roman" w:hAnsi="Times New Roman"/>
          <w:noProof/>
        </w:rPr>
        <w:t xml:space="preserve"> beregnes som</w:t>
      </w:r>
      <w:r>
        <w:rPr>
          <w:rFonts w:ascii="Times New Roman" w:eastAsia="Times New Roman" w:hAnsi="Times New Roman"/>
          <w:noProof/>
        </w:rPr>
        <w:t xml:space="preserve"> restpost</w:t>
      </w:r>
      <w:r w:rsidRPr="00CB4861">
        <w:rPr>
          <w:rFonts w:ascii="Times New Roman" w:eastAsia="Times New Roman" w:hAnsi="Times New Roman"/>
          <w:noProof/>
        </w:rPr>
        <w:t>, må en regne med til dels stor</w:t>
      </w:r>
      <w:r>
        <w:rPr>
          <w:rFonts w:ascii="Times New Roman" w:eastAsia="Times New Roman" w:hAnsi="Times New Roman"/>
          <w:noProof/>
        </w:rPr>
        <w:t>e feilmarginer i disse tallene</w:t>
      </w:r>
      <w:r w:rsidRPr="00CB4861">
        <w:rPr>
          <w:rFonts w:ascii="Times New Roman" w:eastAsia="Times New Roman" w:hAnsi="Times New Roman"/>
          <w:noProof/>
        </w:rPr>
        <w:t>.</w:t>
      </w:r>
    </w:p>
    <w:p w14:paraId="16244978" w14:textId="7BB09226" w:rsidR="0015036C" w:rsidRDefault="0015036C">
      <w:pPr>
        <w:spacing w:after="0"/>
        <w:rPr>
          <w:sz w:val="20"/>
        </w:rPr>
      </w:pPr>
      <w:r>
        <w:rPr>
          <w:sz w:val="20"/>
        </w:rPr>
        <w:br w:type="page"/>
      </w:r>
    </w:p>
    <w:p w14:paraId="2D04E817" w14:textId="4C357A18" w:rsidR="004F3723" w:rsidRPr="008411E4" w:rsidRDefault="004F3723" w:rsidP="004F3723">
      <w:pPr>
        <w:pStyle w:val="Overskrift2"/>
      </w:pPr>
      <w:bookmarkStart w:id="258" w:name="_Toc443998999"/>
      <w:r>
        <w:t>Disponibel realinntekt i husholdningssektoren</w:t>
      </w:r>
      <w:bookmarkEnd w:id="258"/>
    </w:p>
    <w:p w14:paraId="0222EFFC" w14:textId="77777777" w:rsidR="00663770" w:rsidRPr="00E56ABF" w:rsidRDefault="00663770" w:rsidP="00663770">
      <w:pPr>
        <w:autoSpaceDE w:val="0"/>
        <w:autoSpaceDN w:val="0"/>
        <w:adjustRightInd w:val="0"/>
      </w:pPr>
      <w:r w:rsidRPr="00E56ABF">
        <w:t xml:space="preserve">Nasjonalregnskapets inntektsregnskap gir en samlet oversikt over husholdningssektorens inntekter og utgifter, det vil si etter at en har summert alle økonomiske enheter hjemmehørende i husholdningssektoren. (For en nærmere redegjørelse av hva som inngår i husholdningssektoren, se boks 5.1). </w:t>
      </w:r>
    </w:p>
    <w:p w14:paraId="4412CCAA" w14:textId="77777777" w:rsidR="00663770" w:rsidRPr="00E56ABF" w:rsidRDefault="00663770" w:rsidP="00663770">
      <w:pPr>
        <w:autoSpaceDE w:val="0"/>
        <w:autoSpaceDN w:val="0"/>
        <w:adjustRightInd w:val="0"/>
      </w:pPr>
      <w:r w:rsidRPr="00E56ABF">
        <w:t xml:space="preserve">Figur 5.4 viser husholdningenes disponible inntekt i prosent av disponibel inntekt for Norge, og i prosent av disponibel inntekt for Norge eksklusive driftsresultatet i petroleumsnæringene. </w:t>
      </w:r>
    </w:p>
    <w:p w14:paraId="20426170" w14:textId="77777777" w:rsidR="00663770" w:rsidRPr="00E56ABF" w:rsidRDefault="00663770" w:rsidP="00663770">
      <w:pPr>
        <w:autoSpaceDE w:val="0"/>
        <w:autoSpaceDN w:val="0"/>
        <w:adjustRightInd w:val="0"/>
      </w:pPr>
      <w:r w:rsidRPr="00E56ABF">
        <w:t>Husholdningenes andel av samlet disponibel inntekt for Norge påvirkes mye av hvordan driftsresultatet i petroleumsnæringene utvikler seg. Andelen av total disponibel inntekt for Norge var på 50 prosent i 2015, mens andelen av disponibel inntekt utenom petroleumsnæringene var på 56 prosent. I 2014 var andelene på henholdsvis 46 og 54 prosent.</w:t>
      </w:r>
    </w:p>
    <w:p w14:paraId="0C8CF3AC" w14:textId="77777777" w:rsidR="00663770" w:rsidRPr="00E56ABF" w:rsidRDefault="00663770" w:rsidP="00663770">
      <w:pPr>
        <w:rPr>
          <w:strike/>
          <w:color w:val="FF0000"/>
        </w:rPr>
      </w:pPr>
      <w:r w:rsidRPr="00E56ABF">
        <w:t xml:space="preserve">Husholdningenes disponible inntekt økte nominelt med 4,4 prosent i 2015. Prisveksten i husholdningenes konsum, målt med nasjonalregnskapets konsumdeflator, var på 2,2 prosent i 2015. Dette førte til en vekst i disponibel realinntekt på 2,2 prosent, ned fra 3,0 prosent i 2014. </w:t>
      </w:r>
    </w:p>
    <w:p w14:paraId="44503C55" w14:textId="77777777" w:rsidR="00663770" w:rsidRPr="00E56ABF" w:rsidRDefault="00663770" w:rsidP="00663770">
      <w:r w:rsidRPr="0030619D">
        <w:rPr>
          <w:noProof/>
        </w:rPr>
        <w:drawing>
          <wp:inline distT="0" distB="0" distL="0" distR="0" wp14:anchorId="14E6AB3C" wp14:editId="6C484031">
            <wp:extent cx="3583940" cy="2946716"/>
            <wp:effectExtent l="0" t="0" r="0" b="6350"/>
            <wp:docPr id="207" name="Bilde 207"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3700" cy="2954741"/>
                    </a:xfrm>
                    <a:prstGeom prst="rect">
                      <a:avLst/>
                    </a:prstGeom>
                    <a:noFill/>
                    <a:ln>
                      <a:noFill/>
                    </a:ln>
                  </pic:spPr>
                </pic:pic>
              </a:graphicData>
            </a:graphic>
          </wp:inline>
        </w:drawing>
      </w:r>
    </w:p>
    <w:p w14:paraId="1C9763DC" w14:textId="2A7A687E" w:rsidR="00663770" w:rsidRPr="00663770" w:rsidRDefault="00663770" w:rsidP="008701F8">
      <w:pPr>
        <w:pStyle w:val="figur-tittel"/>
        <w:rPr>
          <w:rFonts w:cs="Arial"/>
          <w:color w:val="808080"/>
        </w:rPr>
      </w:pPr>
      <w:r w:rsidRPr="00663770">
        <w:rPr>
          <w:rFonts w:cs="Arial"/>
          <w:noProof/>
        </w:rPr>
        <w:t xml:space="preserve">Disponibel inntekt for husholdninger. Andel av disponibel inntekt for Norge i prosent </w:t>
      </w:r>
    </w:p>
    <w:p w14:paraId="76DEB487" w14:textId="77777777" w:rsidR="00663770" w:rsidRPr="007C35C1" w:rsidRDefault="00663770" w:rsidP="00663770">
      <w:pPr>
        <w:tabs>
          <w:tab w:val="left" w:pos="4560"/>
        </w:tabs>
        <w:rPr>
          <w:sz w:val="20"/>
        </w:rPr>
      </w:pPr>
      <w:r w:rsidRPr="007C35C1">
        <w:rPr>
          <w:sz w:val="20"/>
        </w:rPr>
        <w:t>* Foreløpige tall for 2014 og 2015</w:t>
      </w:r>
    </w:p>
    <w:p w14:paraId="58C0956E" w14:textId="09496429" w:rsidR="00663770" w:rsidRPr="007C35C1" w:rsidRDefault="008701F8" w:rsidP="00663770">
      <w:pPr>
        <w:tabs>
          <w:tab w:val="left" w:pos="4560"/>
        </w:tabs>
        <w:rPr>
          <w:sz w:val="20"/>
        </w:rPr>
      </w:pPr>
      <w:r w:rsidRPr="007C35C1">
        <w:rPr>
          <w:sz w:val="20"/>
        </w:rPr>
        <w:t>Kilde</w:t>
      </w:r>
      <w:r w:rsidR="00901A5E">
        <w:rPr>
          <w:sz w:val="20"/>
        </w:rPr>
        <w:t>r</w:t>
      </w:r>
      <w:r w:rsidRPr="007C35C1">
        <w:rPr>
          <w:sz w:val="20"/>
        </w:rPr>
        <w:t>: Statistisk sentralbyrå og Beregningsutvalget.</w:t>
      </w:r>
    </w:p>
    <w:p w14:paraId="031CCDE3" w14:textId="77777777" w:rsidR="00237CC1" w:rsidRPr="00E56ABF" w:rsidRDefault="00237CC1" w:rsidP="00237CC1">
      <w:r w:rsidRPr="00E56ABF">
        <w:t>Tabell 5.5 viser hvordan de ulike inntekts- og utgiftskomponentene bidro til veksten i husholdningenes disponible realinntekter i perioden 2006-2015.</w:t>
      </w:r>
    </w:p>
    <w:p w14:paraId="031333F1" w14:textId="77777777" w:rsidR="00237CC1" w:rsidRPr="00E56ABF" w:rsidRDefault="00237CC1" w:rsidP="00237CC1">
      <w:pPr>
        <w:rPr>
          <w:b/>
        </w:rPr>
      </w:pPr>
      <w:r w:rsidRPr="00E56ABF">
        <w:rPr>
          <w:i/>
        </w:rPr>
        <w:t xml:space="preserve">Lønn, </w:t>
      </w:r>
      <w:r w:rsidRPr="00E56ABF">
        <w:t xml:space="preserve">som er den største inntektskomponenten i husholdningssektoren, bidro med 0,7 prosentpoeng til veksten i disponibel realinntekt i 2015. Dette er det laveste bidraget siste 10 år. Bidraget fra lønn var på 1,9 prosentpoeng i 2014. </w:t>
      </w:r>
    </w:p>
    <w:p w14:paraId="12BC5A0E" w14:textId="77777777" w:rsidR="00237CC1" w:rsidRPr="00E56ABF" w:rsidRDefault="00237CC1" w:rsidP="00237CC1">
      <w:pPr>
        <w:rPr>
          <w:i/>
        </w:rPr>
      </w:pPr>
      <w:r w:rsidRPr="00E56ABF">
        <w:t xml:space="preserve">Bidraget fra </w:t>
      </w:r>
      <w:r w:rsidRPr="00E56ABF">
        <w:rPr>
          <w:i/>
        </w:rPr>
        <w:t>skatt av inntekt og formue</w:t>
      </w:r>
      <w:r w:rsidRPr="00E56ABF">
        <w:t xml:space="preserve"> til utviklingen i disponibel inntekt vil, med denne type dekomponering, være negativt så lenge realinntektene øker og det ikke er store reduksjoner i beskatningen. Til tross for skatteletter bidro skatt av inntekt og formue til å redusere veksten i husholdningenes disponible realinntekt med 1,2 prosentpoeng i 2015. Bidraget har i gjennomsnitt redusert veksten i disponibel realinntekt med 2,0 prosentpoeng i perioden 2006 til 2015.</w:t>
      </w:r>
    </w:p>
    <w:p w14:paraId="20C03489" w14:textId="370DD523" w:rsidR="00663770" w:rsidRPr="00E56ABF" w:rsidRDefault="00E04418" w:rsidP="00E04418">
      <w:pPr>
        <w:pStyle w:val="tabell-tittel"/>
      </w:pPr>
      <w:r>
        <w:t>Bidrag til vekst i disponibel realinntekt. Prosentpoeng</w:t>
      </w:r>
      <w:r w:rsidRPr="00CB4861">
        <w:t>.</w:t>
      </w:r>
      <w:r w:rsidRPr="00E56ABF">
        <w:t xml:space="preserve"> </w:t>
      </w:r>
    </w:p>
    <w:tbl>
      <w:tblPr>
        <w:tblW w:w="5000" w:type="pct"/>
        <w:tblCellMar>
          <w:left w:w="70" w:type="dxa"/>
          <w:right w:w="70" w:type="dxa"/>
        </w:tblCellMar>
        <w:tblLook w:val="04A0" w:firstRow="1" w:lastRow="0" w:firstColumn="1" w:lastColumn="0" w:noHBand="0" w:noVBand="1"/>
      </w:tblPr>
      <w:tblGrid>
        <w:gridCol w:w="2480"/>
        <w:gridCol w:w="695"/>
        <w:gridCol w:w="499"/>
        <w:gridCol w:w="488"/>
        <w:gridCol w:w="488"/>
        <w:gridCol w:w="569"/>
        <w:gridCol w:w="569"/>
        <w:gridCol w:w="569"/>
        <w:gridCol w:w="569"/>
        <w:gridCol w:w="569"/>
        <w:gridCol w:w="569"/>
        <w:gridCol w:w="569"/>
        <w:gridCol w:w="581"/>
      </w:tblGrid>
      <w:tr w:rsidR="00E04418" w:rsidRPr="00E04418" w14:paraId="31747897" w14:textId="77777777" w:rsidTr="00E04418">
        <w:trPr>
          <w:trHeight w:val="450"/>
        </w:trPr>
        <w:tc>
          <w:tcPr>
            <w:tcW w:w="1346" w:type="pct"/>
            <w:tcBorders>
              <w:top w:val="single" w:sz="4" w:space="0" w:color="auto"/>
              <w:left w:val="nil"/>
              <w:bottom w:val="single" w:sz="4" w:space="0" w:color="auto"/>
              <w:right w:val="nil"/>
            </w:tcBorders>
            <w:shd w:val="clear" w:color="000000" w:fill="FFFFFF"/>
            <w:noWrap/>
            <w:vAlign w:val="bottom"/>
            <w:hideMark/>
          </w:tcPr>
          <w:p w14:paraId="72BC11DF"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7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0681F6" w14:textId="75AD802E" w:rsidR="00E04418" w:rsidRPr="00E04418" w:rsidRDefault="00E04418" w:rsidP="00E04418">
            <w:pPr>
              <w:jc w:val="right"/>
              <w:rPr>
                <w:rFonts w:ascii="Times New Roman" w:hAnsi="Times New Roman"/>
                <w:sz w:val="16"/>
                <w:szCs w:val="16"/>
              </w:rPr>
            </w:pPr>
            <w:r w:rsidRPr="00E04418">
              <w:rPr>
                <w:rFonts w:ascii="Times New Roman" w:hAnsi="Times New Roman"/>
                <w:sz w:val="16"/>
                <w:szCs w:val="16"/>
              </w:rPr>
              <w:t>2013</w:t>
            </w:r>
          </w:p>
        </w:tc>
        <w:tc>
          <w:tcPr>
            <w:tcW w:w="271" w:type="pct"/>
            <w:tcBorders>
              <w:top w:val="single" w:sz="4" w:space="0" w:color="auto"/>
              <w:left w:val="nil"/>
              <w:bottom w:val="single" w:sz="4" w:space="0" w:color="auto"/>
              <w:right w:val="nil"/>
            </w:tcBorders>
            <w:shd w:val="clear" w:color="000000" w:fill="FFFFFF"/>
            <w:noWrap/>
            <w:vAlign w:val="bottom"/>
            <w:hideMark/>
          </w:tcPr>
          <w:p w14:paraId="78B48E3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2006</w:t>
            </w:r>
          </w:p>
        </w:tc>
        <w:tc>
          <w:tcPr>
            <w:tcW w:w="265" w:type="pct"/>
            <w:tcBorders>
              <w:top w:val="single" w:sz="4" w:space="0" w:color="auto"/>
              <w:left w:val="nil"/>
              <w:bottom w:val="single" w:sz="4" w:space="0" w:color="auto"/>
              <w:right w:val="nil"/>
            </w:tcBorders>
            <w:shd w:val="clear" w:color="000000" w:fill="FFFFFF"/>
            <w:noWrap/>
            <w:vAlign w:val="bottom"/>
            <w:hideMark/>
          </w:tcPr>
          <w:p w14:paraId="41C0914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2007</w:t>
            </w:r>
          </w:p>
        </w:tc>
        <w:tc>
          <w:tcPr>
            <w:tcW w:w="265" w:type="pct"/>
            <w:tcBorders>
              <w:top w:val="single" w:sz="4" w:space="0" w:color="auto"/>
              <w:left w:val="nil"/>
              <w:bottom w:val="single" w:sz="4" w:space="0" w:color="auto"/>
              <w:right w:val="nil"/>
            </w:tcBorders>
            <w:shd w:val="clear" w:color="000000" w:fill="FFFFFF"/>
            <w:noWrap/>
            <w:vAlign w:val="bottom"/>
            <w:hideMark/>
          </w:tcPr>
          <w:p w14:paraId="1391F463"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2008</w:t>
            </w:r>
          </w:p>
        </w:tc>
        <w:tc>
          <w:tcPr>
            <w:tcW w:w="309" w:type="pct"/>
            <w:tcBorders>
              <w:top w:val="single" w:sz="4" w:space="0" w:color="auto"/>
              <w:left w:val="nil"/>
              <w:bottom w:val="single" w:sz="4" w:space="0" w:color="auto"/>
              <w:right w:val="nil"/>
            </w:tcBorders>
            <w:shd w:val="clear" w:color="000000" w:fill="FFFFFF"/>
            <w:noWrap/>
            <w:vAlign w:val="bottom"/>
            <w:hideMark/>
          </w:tcPr>
          <w:p w14:paraId="6159382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2009</w:t>
            </w:r>
          </w:p>
        </w:tc>
        <w:tc>
          <w:tcPr>
            <w:tcW w:w="309" w:type="pct"/>
            <w:tcBorders>
              <w:top w:val="single" w:sz="4" w:space="0" w:color="auto"/>
              <w:left w:val="nil"/>
              <w:bottom w:val="single" w:sz="4" w:space="0" w:color="auto"/>
              <w:right w:val="nil"/>
            </w:tcBorders>
            <w:shd w:val="clear" w:color="000000" w:fill="FFFFFF"/>
            <w:noWrap/>
            <w:vAlign w:val="bottom"/>
            <w:hideMark/>
          </w:tcPr>
          <w:p w14:paraId="36CC273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2010</w:t>
            </w:r>
          </w:p>
        </w:tc>
        <w:tc>
          <w:tcPr>
            <w:tcW w:w="309" w:type="pct"/>
            <w:tcBorders>
              <w:top w:val="single" w:sz="4" w:space="0" w:color="auto"/>
              <w:left w:val="nil"/>
              <w:bottom w:val="single" w:sz="4" w:space="0" w:color="auto"/>
              <w:right w:val="nil"/>
            </w:tcBorders>
            <w:shd w:val="clear" w:color="000000" w:fill="FFFFFF"/>
            <w:noWrap/>
            <w:vAlign w:val="bottom"/>
            <w:hideMark/>
          </w:tcPr>
          <w:p w14:paraId="5109CDF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2011</w:t>
            </w:r>
          </w:p>
        </w:tc>
        <w:tc>
          <w:tcPr>
            <w:tcW w:w="309" w:type="pct"/>
            <w:tcBorders>
              <w:top w:val="single" w:sz="4" w:space="0" w:color="auto"/>
              <w:left w:val="nil"/>
              <w:bottom w:val="single" w:sz="4" w:space="0" w:color="auto"/>
              <w:right w:val="nil"/>
            </w:tcBorders>
            <w:shd w:val="clear" w:color="000000" w:fill="FFFFFF"/>
            <w:noWrap/>
            <w:vAlign w:val="bottom"/>
            <w:hideMark/>
          </w:tcPr>
          <w:p w14:paraId="002F33C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2012</w:t>
            </w:r>
          </w:p>
        </w:tc>
        <w:tc>
          <w:tcPr>
            <w:tcW w:w="309" w:type="pct"/>
            <w:tcBorders>
              <w:top w:val="single" w:sz="4" w:space="0" w:color="auto"/>
              <w:left w:val="nil"/>
              <w:bottom w:val="single" w:sz="4" w:space="0" w:color="auto"/>
              <w:right w:val="nil"/>
            </w:tcBorders>
            <w:shd w:val="clear" w:color="000000" w:fill="FFFFFF"/>
            <w:noWrap/>
            <w:vAlign w:val="bottom"/>
            <w:hideMark/>
          </w:tcPr>
          <w:p w14:paraId="2DE32CB8"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2013</w:t>
            </w:r>
          </w:p>
        </w:tc>
        <w:tc>
          <w:tcPr>
            <w:tcW w:w="309" w:type="pct"/>
            <w:tcBorders>
              <w:top w:val="single" w:sz="4" w:space="0" w:color="auto"/>
              <w:left w:val="nil"/>
              <w:bottom w:val="single" w:sz="4" w:space="0" w:color="auto"/>
              <w:right w:val="nil"/>
            </w:tcBorders>
            <w:shd w:val="clear" w:color="000000" w:fill="FFFFFF"/>
            <w:noWrap/>
            <w:vAlign w:val="bottom"/>
            <w:hideMark/>
          </w:tcPr>
          <w:p w14:paraId="7F37623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2014*</w:t>
            </w:r>
          </w:p>
        </w:tc>
        <w:tc>
          <w:tcPr>
            <w:tcW w:w="309" w:type="pct"/>
            <w:tcBorders>
              <w:top w:val="single" w:sz="4" w:space="0" w:color="auto"/>
              <w:left w:val="nil"/>
              <w:bottom w:val="single" w:sz="4" w:space="0" w:color="auto"/>
              <w:right w:val="nil"/>
            </w:tcBorders>
            <w:shd w:val="clear" w:color="000000" w:fill="FFFFFF"/>
            <w:noWrap/>
            <w:vAlign w:val="bottom"/>
            <w:hideMark/>
          </w:tcPr>
          <w:p w14:paraId="0AC0ACC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2015*</w:t>
            </w:r>
          </w:p>
        </w:tc>
        <w:tc>
          <w:tcPr>
            <w:tcW w:w="315" w:type="pct"/>
            <w:tcBorders>
              <w:top w:val="single" w:sz="4" w:space="0" w:color="auto"/>
              <w:left w:val="nil"/>
              <w:bottom w:val="single" w:sz="4" w:space="0" w:color="auto"/>
              <w:right w:val="nil"/>
            </w:tcBorders>
            <w:shd w:val="clear" w:color="000000" w:fill="FFFFFF"/>
            <w:vAlign w:val="bottom"/>
            <w:hideMark/>
          </w:tcPr>
          <w:p w14:paraId="1CB045DA"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gj.snitt 06-15</w:t>
            </w:r>
          </w:p>
        </w:tc>
      </w:tr>
      <w:tr w:rsidR="00E04418" w:rsidRPr="00E04418" w14:paraId="7036CD6D" w14:textId="77777777" w:rsidTr="00E04418">
        <w:trPr>
          <w:trHeight w:val="645"/>
        </w:trPr>
        <w:tc>
          <w:tcPr>
            <w:tcW w:w="1346" w:type="pct"/>
            <w:tcBorders>
              <w:top w:val="nil"/>
              <w:left w:val="nil"/>
              <w:bottom w:val="nil"/>
              <w:right w:val="nil"/>
            </w:tcBorders>
            <w:shd w:val="clear" w:color="000000" w:fill="FFFFFF"/>
            <w:vAlign w:val="bottom"/>
            <w:hideMark/>
          </w:tcPr>
          <w:p w14:paraId="5C42FBC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Vekst i disponibel realinntekt i prosent</w:t>
            </w:r>
          </w:p>
        </w:tc>
        <w:tc>
          <w:tcPr>
            <w:tcW w:w="377" w:type="pct"/>
            <w:tcBorders>
              <w:top w:val="nil"/>
              <w:left w:val="single" w:sz="4" w:space="0" w:color="auto"/>
              <w:bottom w:val="nil"/>
              <w:right w:val="single" w:sz="4" w:space="0" w:color="auto"/>
            </w:tcBorders>
            <w:shd w:val="clear" w:color="000000" w:fill="FFFFFF"/>
            <w:vAlign w:val="bottom"/>
            <w:hideMark/>
          </w:tcPr>
          <w:p w14:paraId="10C16FEA"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3,8</w:t>
            </w:r>
          </w:p>
        </w:tc>
        <w:tc>
          <w:tcPr>
            <w:tcW w:w="271" w:type="pct"/>
            <w:tcBorders>
              <w:top w:val="nil"/>
              <w:left w:val="nil"/>
              <w:bottom w:val="nil"/>
              <w:right w:val="nil"/>
            </w:tcBorders>
            <w:shd w:val="clear" w:color="000000" w:fill="FFFFFF"/>
            <w:noWrap/>
            <w:vAlign w:val="bottom"/>
            <w:hideMark/>
          </w:tcPr>
          <w:p w14:paraId="67EF121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-6,8</w:t>
            </w:r>
          </w:p>
        </w:tc>
        <w:tc>
          <w:tcPr>
            <w:tcW w:w="265" w:type="pct"/>
            <w:tcBorders>
              <w:top w:val="nil"/>
              <w:left w:val="nil"/>
              <w:bottom w:val="nil"/>
              <w:right w:val="nil"/>
            </w:tcBorders>
            <w:shd w:val="clear" w:color="000000" w:fill="FFFFFF"/>
            <w:noWrap/>
            <w:vAlign w:val="bottom"/>
            <w:hideMark/>
          </w:tcPr>
          <w:p w14:paraId="5995CB0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6,5</w:t>
            </w:r>
          </w:p>
        </w:tc>
        <w:tc>
          <w:tcPr>
            <w:tcW w:w="265" w:type="pct"/>
            <w:tcBorders>
              <w:top w:val="nil"/>
              <w:left w:val="nil"/>
              <w:bottom w:val="nil"/>
              <w:right w:val="nil"/>
            </w:tcBorders>
            <w:shd w:val="clear" w:color="000000" w:fill="FFFFFF"/>
            <w:noWrap/>
            <w:vAlign w:val="bottom"/>
            <w:hideMark/>
          </w:tcPr>
          <w:p w14:paraId="629AC11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3,0</w:t>
            </w:r>
          </w:p>
        </w:tc>
        <w:tc>
          <w:tcPr>
            <w:tcW w:w="309" w:type="pct"/>
            <w:tcBorders>
              <w:top w:val="nil"/>
              <w:left w:val="nil"/>
              <w:bottom w:val="nil"/>
              <w:right w:val="nil"/>
            </w:tcBorders>
            <w:shd w:val="clear" w:color="000000" w:fill="FFFFFF"/>
            <w:noWrap/>
            <w:vAlign w:val="bottom"/>
            <w:hideMark/>
          </w:tcPr>
          <w:p w14:paraId="65EF026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3,2</w:t>
            </w:r>
          </w:p>
        </w:tc>
        <w:tc>
          <w:tcPr>
            <w:tcW w:w="309" w:type="pct"/>
            <w:tcBorders>
              <w:top w:val="nil"/>
              <w:left w:val="nil"/>
              <w:bottom w:val="nil"/>
              <w:right w:val="nil"/>
            </w:tcBorders>
            <w:shd w:val="clear" w:color="000000" w:fill="FFFFFF"/>
            <w:noWrap/>
            <w:vAlign w:val="bottom"/>
            <w:hideMark/>
          </w:tcPr>
          <w:p w14:paraId="1D3CCC5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2,5</w:t>
            </w:r>
          </w:p>
        </w:tc>
        <w:tc>
          <w:tcPr>
            <w:tcW w:w="309" w:type="pct"/>
            <w:tcBorders>
              <w:top w:val="nil"/>
              <w:left w:val="nil"/>
              <w:bottom w:val="nil"/>
              <w:right w:val="nil"/>
            </w:tcBorders>
            <w:shd w:val="clear" w:color="000000" w:fill="FFFFFF"/>
            <w:noWrap/>
            <w:vAlign w:val="bottom"/>
            <w:hideMark/>
          </w:tcPr>
          <w:p w14:paraId="4078F18A"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4,1</w:t>
            </w:r>
          </w:p>
        </w:tc>
        <w:tc>
          <w:tcPr>
            <w:tcW w:w="309" w:type="pct"/>
            <w:tcBorders>
              <w:top w:val="nil"/>
              <w:left w:val="nil"/>
              <w:bottom w:val="nil"/>
              <w:right w:val="nil"/>
            </w:tcBorders>
            <w:shd w:val="clear" w:color="000000" w:fill="FFFFFF"/>
            <w:noWrap/>
            <w:vAlign w:val="bottom"/>
            <w:hideMark/>
          </w:tcPr>
          <w:p w14:paraId="7AD7083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4,4</w:t>
            </w:r>
          </w:p>
        </w:tc>
        <w:tc>
          <w:tcPr>
            <w:tcW w:w="309" w:type="pct"/>
            <w:tcBorders>
              <w:top w:val="nil"/>
              <w:left w:val="nil"/>
              <w:bottom w:val="nil"/>
              <w:right w:val="nil"/>
            </w:tcBorders>
            <w:shd w:val="clear" w:color="000000" w:fill="FFFFFF"/>
            <w:noWrap/>
            <w:vAlign w:val="bottom"/>
            <w:hideMark/>
          </w:tcPr>
          <w:p w14:paraId="2663BC1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3,8</w:t>
            </w:r>
          </w:p>
        </w:tc>
        <w:tc>
          <w:tcPr>
            <w:tcW w:w="309" w:type="pct"/>
            <w:tcBorders>
              <w:top w:val="nil"/>
              <w:left w:val="nil"/>
              <w:bottom w:val="nil"/>
              <w:right w:val="nil"/>
            </w:tcBorders>
            <w:shd w:val="clear" w:color="000000" w:fill="FFFFFF"/>
            <w:noWrap/>
            <w:vAlign w:val="bottom"/>
            <w:hideMark/>
          </w:tcPr>
          <w:p w14:paraId="5B3487F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3,0</w:t>
            </w:r>
          </w:p>
        </w:tc>
        <w:tc>
          <w:tcPr>
            <w:tcW w:w="309" w:type="pct"/>
            <w:tcBorders>
              <w:top w:val="nil"/>
              <w:left w:val="nil"/>
              <w:bottom w:val="nil"/>
              <w:right w:val="nil"/>
            </w:tcBorders>
            <w:shd w:val="clear" w:color="000000" w:fill="FFFFFF"/>
            <w:noWrap/>
            <w:vAlign w:val="bottom"/>
            <w:hideMark/>
          </w:tcPr>
          <w:p w14:paraId="0950E9F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2,2</w:t>
            </w:r>
          </w:p>
        </w:tc>
        <w:tc>
          <w:tcPr>
            <w:tcW w:w="315" w:type="pct"/>
            <w:tcBorders>
              <w:top w:val="nil"/>
              <w:left w:val="nil"/>
              <w:bottom w:val="nil"/>
              <w:right w:val="nil"/>
            </w:tcBorders>
            <w:shd w:val="clear" w:color="000000" w:fill="FFFFFF"/>
            <w:noWrap/>
            <w:vAlign w:val="bottom"/>
            <w:hideMark/>
          </w:tcPr>
          <w:p w14:paraId="002D984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2,5</w:t>
            </w:r>
          </w:p>
        </w:tc>
      </w:tr>
      <w:tr w:rsidR="00E04418" w:rsidRPr="00E04418" w14:paraId="4731537B" w14:textId="77777777" w:rsidTr="00E04418">
        <w:trPr>
          <w:trHeight w:val="450"/>
        </w:trPr>
        <w:tc>
          <w:tcPr>
            <w:tcW w:w="1346" w:type="pct"/>
            <w:tcBorders>
              <w:top w:val="nil"/>
              <w:left w:val="nil"/>
              <w:bottom w:val="single" w:sz="4" w:space="0" w:color="auto"/>
              <w:right w:val="nil"/>
            </w:tcBorders>
            <w:shd w:val="clear" w:color="000000" w:fill="FFFFFF"/>
            <w:vAlign w:val="bottom"/>
            <w:hideMark/>
          </w:tcPr>
          <w:p w14:paraId="0173CA4F"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Vekst i disp. realinntekt ekskl. aksjeutbytte</w:t>
            </w:r>
          </w:p>
        </w:tc>
        <w:tc>
          <w:tcPr>
            <w:tcW w:w="377" w:type="pct"/>
            <w:tcBorders>
              <w:top w:val="nil"/>
              <w:left w:val="single" w:sz="4" w:space="0" w:color="auto"/>
              <w:bottom w:val="single" w:sz="4" w:space="0" w:color="auto"/>
              <w:right w:val="single" w:sz="4" w:space="0" w:color="auto"/>
            </w:tcBorders>
            <w:shd w:val="clear" w:color="000000" w:fill="FFFFFF"/>
            <w:vAlign w:val="bottom"/>
            <w:hideMark/>
          </w:tcPr>
          <w:p w14:paraId="5224F65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3,7</w:t>
            </w:r>
          </w:p>
        </w:tc>
        <w:tc>
          <w:tcPr>
            <w:tcW w:w="271" w:type="pct"/>
            <w:tcBorders>
              <w:top w:val="nil"/>
              <w:left w:val="nil"/>
              <w:bottom w:val="single" w:sz="4" w:space="0" w:color="auto"/>
              <w:right w:val="nil"/>
            </w:tcBorders>
            <w:shd w:val="clear" w:color="000000" w:fill="FFFFFF"/>
            <w:noWrap/>
            <w:vAlign w:val="bottom"/>
            <w:hideMark/>
          </w:tcPr>
          <w:p w14:paraId="6F0C3A6E"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4,6</w:t>
            </w:r>
          </w:p>
        </w:tc>
        <w:tc>
          <w:tcPr>
            <w:tcW w:w="265" w:type="pct"/>
            <w:tcBorders>
              <w:top w:val="nil"/>
              <w:left w:val="nil"/>
              <w:bottom w:val="single" w:sz="4" w:space="0" w:color="auto"/>
              <w:right w:val="nil"/>
            </w:tcBorders>
            <w:shd w:val="clear" w:color="000000" w:fill="FFFFFF"/>
            <w:noWrap/>
            <w:vAlign w:val="bottom"/>
            <w:hideMark/>
          </w:tcPr>
          <w:p w14:paraId="432A81CD"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5,4</w:t>
            </w:r>
          </w:p>
        </w:tc>
        <w:tc>
          <w:tcPr>
            <w:tcW w:w="265" w:type="pct"/>
            <w:tcBorders>
              <w:top w:val="nil"/>
              <w:left w:val="nil"/>
              <w:bottom w:val="single" w:sz="4" w:space="0" w:color="auto"/>
              <w:right w:val="nil"/>
            </w:tcBorders>
            <w:shd w:val="clear" w:color="000000" w:fill="FFFFFF"/>
            <w:noWrap/>
            <w:vAlign w:val="bottom"/>
            <w:hideMark/>
          </w:tcPr>
          <w:p w14:paraId="50C2686B"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2,3</w:t>
            </w:r>
          </w:p>
        </w:tc>
        <w:tc>
          <w:tcPr>
            <w:tcW w:w="309" w:type="pct"/>
            <w:tcBorders>
              <w:top w:val="nil"/>
              <w:left w:val="nil"/>
              <w:bottom w:val="single" w:sz="4" w:space="0" w:color="auto"/>
              <w:right w:val="nil"/>
            </w:tcBorders>
            <w:shd w:val="clear" w:color="000000" w:fill="FFFFFF"/>
            <w:noWrap/>
            <w:vAlign w:val="bottom"/>
            <w:hideMark/>
          </w:tcPr>
          <w:p w14:paraId="4D2CADA2"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3,4</w:t>
            </w:r>
          </w:p>
        </w:tc>
        <w:tc>
          <w:tcPr>
            <w:tcW w:w="309" w:type="pct"/>
            <w:tcBorders>
              <w:top w:val="nil"/>
              <w:left w:val="nil"/>
              <w:bottom w:val="single" w:sz="4" w:space="0" w:color="auto"/>
              <w:right w:val="nil"/>
            </w:tcBorders>
            <w:shd w:val="clear" w:color="000000" w:fill="FFFFFF"/>
            <w:noWrap/>
            <w:vAlign w:val="bottom"/>
            <w:hideMark/>
          </w:tcPr>
          <w:p w14:paraId="460DF4BF"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2,0</w:t>
            </w:r>
          </w:p>
        </w:tc>
        <w:tc>
          <w:tcPr>
            <w:tcW w:w="309" w:type="pct"/>
            <w:tcBorders>
              <w:top w:val="nil"/>
              <w:left w:val="nil"/>
              <w:bottom w:val="single" w:sz="4" w:space="0" w:color="auto"/>
              <w:right w:val="nil"/>
            </w:tcBorders>
            <w:shd w:val="clear" w:color="000000" w:fill="FFFFFF"/>
            <w:noWrap/>
            <w:vAlign w:val="bottom"/>
            <w:hideMark/>
          </w:tcPr>
          <w:p w14:paraId="20731583"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4,1</w:t>
            </w:r>
          </w:p>
        </w:tc>
        <w:tc>
          <w:tcPr>
            <w:tcW w:w="309" w:type="pct"/>
            <w:tcBorders>
              <w:top w:val="nil"/>
              <w:left w:val="nil"/>
              <w:bottom w:val="single" w:sz="4" w:space="0" w:color="auto"/>
              <w:right w:val="nil"/>
            </w:tcBorders>
            <w:shd w:val="clear" w:color="000000" w:fill="FFFFFF"/>
            <w:noWrap/>
            <w:vAlign w:val="bottom"/>
            <w:hideMark/>
          </w:tcPr>
          <w:p w14:paraId="7A0CF90F"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4,4</w:t>
            </w:r>
          </w:p>
        </w:tc>
        <w:tc>
          <w:tcPr>
            <w:tcW w:w="309" w:type="pct"/>
            <w:tcBorders>
              <w:top w:val="nil"/>
              <w:left w:val="nil"/>
              <w:bottom w:val="single" w:sz="4" w:space="0" w:color="auto"/>
              <w:right w:val="nil"/>
            </w:tcBorders>
            <w:shd w:val="clear" w:color="000000" w:fill="FFFFFF"/>
            <w:noWrap/>
            <w:vAlign w:val="bottom"/>
            <w:hideMark/>
          </w:tcPr>
          <w:p w14:paraId="5EBBB6AC"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3,7</w:t>
            </w:r>
          </w:p>
        </w:tc>
        <w:tc>
          <w:tcPr>
            <w:tcW w:w="309" w:type="pct"/>
            <w:tcBorders>
              <w:top w:val="nil"/>
              <w:left w:val="nil"/>
              <w:bottom w:val="single" w:sz="4" w:space="0" w:color="auto"/>
              <w:right w:val="nil"/>
            </w:tcBorders>
            <w:shd w:val="clear" w:color="000000" w:fill="FFFFFF"/>
            <w:noWrap/>
            <w:vAlign w:val="bottom"/>
            <w:hideMark/>
          </w:tcPr>
          <w:p w14:paraId="625BD8FF"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2,9</w:t>
            </w:r>
          </w:p>
        </w:tc>
        <w:tc>
          <w:tcPr>
            <w:tcW w:w="309" w:type="pct"/>
            <w:tcBorders>
              <w:top w:val="nil"/>
              <w:left w:val="nil"/>
              <w:bottom w:val="single" w:sz="4" w:space="0" w:color="auto"/>
              <w:right w:val="nil"/>
            </w:tcBorders>
            <w:shd w:val="clear" w:color="000000" w:fill="FFFFFF"/>
            <w:noWrap/>
            <w:vAlign w:val="bottom"/>
            <w:hideMark/>
          </w:tcPr>
          <w:p w14:paraId="78A099C8" w14:textId="77777777" w:rsidR="00E04418" w:rsidRPr="00E04418" w:rsidRDefault="00E04418" w:rsidP="00AF6955">
            <w:pPr>
              <w:jc w:val="right"/>
              <w:rPr>
                <w:rFonts w:ascii="Times New Roman" w:hAnsi="Times New Roman"/>
                <w:i/>
                <w:iCs/>
                <w:sz w:val="16"/>
                <w:szCs w:val="16"/>
              </w:rPr>
            </w:pPr>
            <w:r w:rsidRPr="00E04418">
              <w:rPr>
                <w:rFonts w:ascii="Times New Roman" w:hAnsi="Times New Roman"/>
                <w:i/>
                <w:iCs/>
                <w:sz w:val="16"/>
                <w:szCs w:val="16"/>
              </w:rPr>
              <w:t>2,3</w:t>
            </w:r>
          </w:p>
        </w:tc>
        <w:tc>
          <w:tcPr>
            <w:tcW w:w="315" w:type="pct"/>
            <w:tcBorders>
              <w:top w:val="nil"/>
              <w:left w:val="nil"/>
              <w:bottom w:val="single" w:sz="4" w:space="0" w:color="auto"/>
              <w:right w:val="nil"/>
            </w:tcBorders>
            <w:shd w:val="clear" w:color="000000" w:fill="FFFFFF"/>
            <w:noWrap/>
            <w:vAlign w:val="bottom"/>
            <w:hideMark/>
          </w:tcPr>
          <w:p w14:paraId="4438841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3,5</w:t>
            </w:r>
          </w:p>
        </w:tc>
      </w:tr>
      <w:tr w:rsidR="00E04418" w:rsidRPr="00E04418" w14:paraId="34E059F2" w14:textId="77777777" w:rsidTr="00E04418">
        <w:trPr>
          <w:trHeight w:val="255"/>
        </w:trPr>
        <w:tc>
          <w:tcPr>
            <w:tcW w:w="1346" w:type="pct"/>
            <w:tcBorders>
              <w:top w:val="nil"/>
              <w:left w:val="nil"/>
              <w:bottom w:val="nil"/>
              <w:right w:val="nil"/>
            </w:tcBorders>
            <w:shd w:val="clear" w:color="000000" w:fill="FFFFFF"/>
            <w:vAlign w:val="bottom"/>
            <w:hideMark/>
          </w:tcPr>
          <w:p w14:paraId="4A5C74B1"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Bidrag fra</w:t>
            </w:r>
          </w:p>
        </w:tc>
        <w:tc>
          <w:tcPr>
            <w:tcW w:w="377" w:type="pct"/>
            <w:tcBorders>
              <w:top w:val="nil"/>
              <w:left w:val="single" w:sz="4" w:space="0" w:color="auto"/>
              <w:bottom w:val="nil"/>
              <w:right w:val="single" w:sz="4" w:space="0" w:color="auto"/>
            </w:tcBorders>
            <w:shd w:val="clear" w:color="000000" w:fill="FFFFFF"/>
            <w:vAlign w:val="bottom"/>
            <w:hideMark/>
          </w:tcPr>
          <w:p w14:paraId="57F5906D"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71" w:type="pct"/>
            <w:tcBorders>
              <w:top w:val="nil"/>
              <w:left w:val="nil"/>
              <w:bottom w:val="nil"/>
              <w:right w:val="nil"/>
            </w:tcBorders>
            <w:shd w:val="clear" w:color="000000" w:fill="FFFFFF"/>
            <w:noWrap/>
            <w:vAlign w:val="bottom"/>
            <w:hideMark/>
          </w:tcPr>
          <w:p w14:paraId="02B2958B"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181FB736"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13C45190"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6D79BB9B"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21F0F49"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2C9A459A"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 </w:t>
            </w:r>
          </w:p>
        </w:tc>
        <w:tc>
          <w:tcPr>
            <w:tcW w:w="309" w:type="pct"/>
            <w:tcBorders>
              <w:top w:val="nil"/>
              <w:left w:val="nil"/>
              <w:bottom w:val="nil"/>
              <w:right w:val="nil"/>
            </w:tcBorders>
            <w:shd w:val="clear" w:color="000000" w:fill="FFFFFF"/>
            <w:noWrap/>
            <w:vAlign w:val="bottom"/>
            <w:hideMark/>
          </w:tcPr>
          <w:p w14:paraId="356CF5F2"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 </w:t>
            </w:r>
          </w:p>
        </w:tc>
        <w:tc>
          <w:tcPr>
            <w:tcW w:w="309" w:type="pct"/>
            <w:tcBorders>
              <w:top w:val="nil"/>
              <w:left w:val="nil"/>
              <w:bottom w:val="nil"/>
              <w:right w:val="nil"/>
            </w:tcBorders>
            <w:shd w:val="clear" w:color="000000" w:fill="FFFFFF"/>
            <w:noWrap/>
            <w:vAlign w:val="bottom"/>
            <w:hideMark/>
          </w:tcPr>
          <w:p w14:paraId="302405F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1052E97"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6ED94599"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15" w:type="pct"/>
            <w:tcBorders>
              <w:top w:val="nil"/>
              <w:left w:val="nil"/>
              <w:bottom w:val="nil"/>
              <w:right w:val="nil"/>
            </w:tcBorders>
            <w:shd w:val="clear" w:color="000000" w:fill="FFFFFF"/>
            <w:noWrap/>
            <w:vAlign w:val="bottom"/>
            <w:hideMark/>
          </w:tcPr>
          <w:p w14:paraId="204FEA68"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r>
      <w:tr w:rsidR="00E04418" w:rsidRPr="00E04418" w14:paraId="2073C04F" w14:textId="77777777" w:rsidTr="00E04418">
        <w:trPr>
          <w:trHeight w:val="255"/>
        </w:trPr>
        <w:tc>
          <w:tcPr>
            <w:tcW w:w="1346" w:type="pct"/>
            <w:tcBorders>
              <w:top w:val="nil"/>
              <w:left w:val="nil"/>
              <w:bottom w:val="nil"/>
              <w:right w:val="nil"/>
            </w:tcBorders>
            <w:shd w:val="clear" w:color="000000" w:fill="FFFFFF"/>
            <w:vAlign w:val="bottom"/>
            <w:hideMark/>
          </w:tcPr>
          <w:p w14:paraId="1DE75B4E"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Inntekter</w:t>
            </w:r>
          </w:p>
        </w:tc>
        <w:tc>
          <w:tcPr>
            <w:tcW w:w="377" w:type="pct"/>
            <w:tcBorders>
              <w:top w:val="nil"/>
              <w:left w:val="single" w:sz="4" w:space="0" w:color="auto"/>
              <w:bottom w:val="nil"/>
              <w:right w:val="single" w:sz="4" w:space="0" w:color="auto"/>
            </w:tcBorders>
            <w:shd w:val="clear" w:color="000000" w:fill="FFFFFF"/>
            <w:vAlign w:val="bottom"/>
            <w:hideMark/>
          </w:tcPr>
          <w:p w14:paraId="4FA67043"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71" w:type="pct"/>
            <w:tcBorders>
              <w:top w:val="nil"/>
              <w:left w:val="nil"/>
              <w:bottom w:val="nil"/>
              <w:right w:val="nil"/>
            </w:tcBorders>
            <w:shd w:val="clear" w:color="000000" w:fill="FFFFFF"/>
            <w:noWrap/>
            <w:vAlign w:val="bottom"/>
            <w:hideMark/>
          </w:tcPr>
          <w:p w14:paraId="3F2DABA2"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561E31E7"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5F6D52C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000D1FF8"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12901CC0"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3DABB94F"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FF0DEBC"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569DD485"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FEEE6D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0B1A3E2B"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15" w:type="pct"/>
            <w:tcBorders>
              <w:top w:val="nil"/>
              <w:left w:val="nil"/>
              <w:bottom w:val="nil"/>
              <w:right w:val="nil"/>
            </w:tcBorders>
            <w:shd w:val="clear" w:color="000000" w:fill="FFFFFF"/>
            <w:noWrap/>
            <w:vAlign w:val="bottom"/>
            <w:hideMark/>
          </w:tcPr>
          <w:p w14:paraId="08CFA182"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r>
      <w:tr w:rsidR="00E04418" w:rsidRPr="00E04418" w14:paraId="19A4509F" w14:textId="77777777" w:rsidTr="00E04418">
        <w:trPr>
          <w:trHeight w:val="255"/>
        </w:trPr>
        <w:tc>
          <w:tcPr>
            <w:tcW w:w="1346" w:type="pct"/>
            <w:tcBorders>
              <w:top w:val="nil"/>
              <w:left w:val="nil"/>
              <w:bottom w:val="nil"/>
              <w:right w:val="nil"/>
            </w:tcBorders>
            <w:shd w:val="clear" w:color="000000" w:fill="FFFFFF"/>
            <w:vAlign w:val="bottom"/>
            <w:hideMark/>
          </w:tcPr>
          <w:p w14:paraId="13A56680"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Lønn</w:t>
            </w:r>
          </w:p>
        </w:tc>
        <w:tc>
          <w:tcPr>
            <w:tcW w:w="377" w:type="pct"/>
            <w:tcBorders>
              <w:top w:val="nil"/>
              <w:left w:val="single" w:sz="4" w:space="0" w:color="auto"/>
              <w:bottom w:val="nil"/>
              <w:right w:val="single" w:sz="4" w:space="0" w:color="auto"/>
            </w:tcBorders>
            <w:shd w:val="clear" w:color="000000" w:fill="FFFFFF"/>
            <w:vAlign w:val="bottom"/>
            <w:hideMark/>
          </w:tcPr>
          <w:p w14:paraId="4B5A0122" w14:textId="618991DC"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1097,5</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56EA5DE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5,5</w:t>
            </w:r>
          </w:p>
        </w:tc>
        <w:tc>
          <w:tcPr>
            <w:tcW w:w="265" w:type="pct"/>
            <w:tcBorders>
              <w:top w:val="nil"/>
              <w:left w:val="nil"/>
              <w:bottom w:val="nil"/>
              <w:right w:val="nil"/>
            </w:tcBorders>
            <w:shd w:val="clear" w:color="000000" w:fill="FFFFFF"/>
            <w:noWrap/>
            <w:vAlign w:val="bottom"/>
            <w:hideMark/>
          </w:tcPr>
          <w:p w14:paraId="7820431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8,3</w:t>
            </w:r>
          </w:p>
        </w:tc>
        <w:tc>
          <w:tcPr>
            <w:tcW w:w="265" w:type="pct"/>
            <w:tcBorders>
              <w:top w:val="nil"/>
              <w:left w:val="nil"/>
              <w:bottom w:val="nil"/>
              <w:right w:val="nil"/>
            </w:tcBorders>
            <w:shd w:val="clear" w:color="000000" w:fill="FFFFFF"/>
            <w:noWrap/>
            <w:vAlign w:val="bottom"/>
            <w:hideMark/>
          </w:tcPr>
          <w:p w14:paraId="08BBF9E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5,3</w:t>
            </w:r>
          </w:p>
        </w:tc>
        <w:tc>
          <w:tcPr>
            <w:tcW w:w="309" w:type="pct"/>
            <w:tcBorders>
              <w:top w:val="nil"/>
              <w:left w:val="nil"/>
              <w:bottom w:val="nil"/>
              <w:right w:val="nil"/>
            </w:tcBorders>
            <w:shd w:val="clear" w:color="000000" w:fill="FFFFFF"/>
            <w:noWrap/>
            <w:vAlign w:val="bottom"/>
            <w:hideMark/>
          </w:tcPr>
          <w:p w14:paraId="2E6F776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054370E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1,2</w:t>
            </w:r>
          </w:p>
        </w:tc>
        <w:tc>
          <w:tcPr>
            <w:tcW w:w="309" w:type="pct"/>
            <w:tcBorders>
              <w:top w:val="nil"/>
              <w:left w:val="nil"/>
              <w:bottom w:val="nil"/>
              <w:right w:val="nil"/>
            </w:tcBorders>
            <w:shd w:val="clear" w:color="000000" w:fill="FFFFFF"/>
            <w:noWrap/>
            <w:vAlign w:val="bottom"/>
            <w:hideMark/>
          </w:tcPr>
          <w:p w14:paraId="074EE4E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4,8</w:t>
            </w:r>
          </w:p>
        </w:tc>
        <w:tc>
          <w:tcPr>
            <w:tcW w:w="309" w:type="pct"/>
            <w:tcBorders>
              <w:top w:val="nil"/>
              <w:left w:val="nil"/>
              <w:bottom w:val="nil"/>
              <w:right w:val="nil"/>
            </w:tcBorders>
            <w:shd w:val="clear" w:color="000000" w:fill="FFFFFF"/>
            <w:noWrap/>
            <w:vAlign w:val="bottom"/>
            <w:hideMark/>
          </w:tcPr>
          <w:p w14:paraId="78B10281"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4,6</w:t>
            </w:r>
          </w:p>
        </w:tc>
        <w:tc>
          <w:tcPr>
            <w:tcW w:w="309" w:type="pct"/>
            <w:tcBorders>
              <w:top w:val="nil"/>
              <w:left w:val="nil"/>
              <w:bottom w:val="nil"/>
              <w:right w:val="nil"/>
            </w:tcBorders>
            <w:shd w:val="clear" w:color="000000" w:fill="FFFFFF"/>
            <w:noWrap/>
            <w:vAlign w:val="bottom"/>
            <w:hideMark/>
          </w:tcPr>
          <w:p w14:paraId="39BA07B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3,0</w:t>
            </w:r>
          </w:p>
        </w:tc>
        <w:tc>
          <w:tcPr>
            <w:tcW w:w="309" w:type="pct"/>
            <w:tcBorders>
              <w:top w:val="nil"/>
              <w:left w:val="nil"/>
              <w:bottom w:val="nil"/>
              <w:right w:val="nil"/>
            </w:tcBorders>
            <w:shd w:val="clear" w:color="000000" w:fill="FFFFFF"/>
            <w:noWrap/>
            <w:vAlign w:val="bottom"/>
            <w:hideMark/>
          </w:tcPr>
          <w:p w14:paraId="30C71D9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1,9</w:t>
            </w:r>
          </w:p>
        </w:tc>
        <w:tc>
          <w:tcPr>
            <w:tcW w:w="309" w:type="pct"/>
            <w:tcBorders>
              <w:top w:val="nil"/>
              <w:left w:val="nil"/>
              <w:bottom w:val="nil"/>
              <w:right w:val="nil"/>
            </w:tcBorders>
            <w:shd w:val="clear" w:color="000000" w:fill="FFFFFF"/>
            <w:noWrap/>
            <w:vAlign w:val="bottom"/>
            <w:hideMark/>
          </w:tcPr>
          <w:p w14:paraId="61C744C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15" w:type="pct"/>
            <w:tcBorders>
              <w:top w:val="nil"/>
              <w:left w:val="nil"/>
              <w:bottom w:val="nil"/>
              <w:right w:val="nil"/>
            </w:tcBorders>
            <w:shd w:val="clear" w:color="000000" w:fill="FFFFFF"/>
            <w:noWrap/>
            <w:vAlign w:val="bottom"/>
            <w:hideMark/>
          </w:tcPr>
          <w:p w14:paraId="34A784F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3,6</w:t>
            </w:r>
          </w:p>
        </w:tc>
      </w:tr>
      <w:tr w:rsidR="00E04418" w:rsidRPr="00E04418" w14:paraId="2850649D" w14:textId="77777777" w:rsidTr="00E04418">
        <w:trPr>
          <w:trHeight w:val="255"/>
        </w:trPr>
        <w:tc>
          <w:tcPr>
            <w:tcW w:w="1346" w:type="pct"/>
            <w:tcBorders>
              <w:top w:val="nil"/>
              <w:left w:val="nil"/>
              <w:bottom w:val="nil"/>
              <w:right w:val="nil"/>
            </w:tcBorders>
            <w:shd w:val="clear" w:color="000000" w:fill="FFFFFF"/>
            <w:noWrap/>
            <w:vAlign w:val="bottom"/>
            <w:hideMark/>
          </w:tcPr>
          <w:p w14:paraId="4FB59E48" w14:textId="5AE99B86" w:rsidR="00E04418" w:rsidRPr="00E04418" w:rsidRDefault="00E04418" w:rsidP="00E04418">
            <w:pPr>
              <w:rPr>
                <w:rFonts w:ascii="Times New Roman" w:hAnsi="Times New Roman"/>
                <w:sz w:val="16"/>
                <w:szCs w:val="16"/>
              </w:rPr>
            </w:pPr>
            <w:r w:rsidRPr="00E04418">
              <w:rPr>
                <w:rFonts w:ascii="Times New Roman" w:hAnsi="Times New Roman"/>
                <w:sz w:val="16"/>
                <w:szCs w:val="16"/>
              </w:rPr>
              <w:t>- Blandet inntekt</w:t>
            </w:r>
            <w:r w:rsidRPr="00E04418">
              <w:rPr>
                <w:rFonts w:ascii="Times New Roman" w:hAnsi="Times New Roman"/>
                <w:sz w:val="16"/>
                <w:szCs w:val="16"/>
                <w:vertAlign w:val="superscript"/>
              </w:rPr>
              <w:t>1</w:t>
            </w:r>
            <w:r w:rsidRPr="00E04418">
              <w:rPr>
                <w:rFonts w:ascii="Times New Roman" w:hAnsi="Times New Roman"/>
                <w:sz w:val="16"/>
                <w:szCs w:val="16"/>
              </w:rPr>
              <w:t>/driftsresultat</w:t>
            </w:r>
          </w:p>
        </w:tc>
        <w:tc>
          <w:tcPr>
            <w:tcW w:w="377" w:type="pct"/>
            <w:tcBorders>
              <w:top w:val="nil"/>
              <w:left w:val="single" w:sz="4" w:space="0" w:color="auto"/>
              <w:bottom w:val="nil"/>
              <w:right w:val="single" w:sz="4" w:space="0" w:color="auto"/>
            </w:tcBorders>
            <w:shd w:val="clear" w:color="000000" w:fill="FFFFFF"/>
            <w:vAlign w:val="bottom"/>
            <w:hideMark/>
          </w:tcPr>
          <w:p w14:paraId="058604AE" w14:textId="1095E54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106,0</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016E367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265" w:type="pct"/>
            <w:tcBorders>
              <w:top w:val="nil"/>
              <w:left w:val="nil"/>
              <w:bottom w:val="nil"/>
              <w:right w:val="nil"/>
            </w:tcBorders>
            <w:shd w:val="clear" w:color="000000" w:fill="FFFFFF"/>
            <w:noWrap/>
            <w:vAlign w:val="bottom"/>
            <w:hideMark/>
          </w:tcPr>
          <w:p w14:paraId="7C2D4AD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265" w:type="pct"/>
            <w:tcBorders>
              <w:top w:val="nil"/>
              <w:left w:val="nil"/>
              <w:bottom w:val="nil"/>
              <w:right w:val="nil"/>
            </w:tcBorders>
            <w:shd w:val="clear" w:color="000000" w:fill="FFFFFF"/>
            <w:noWrap/>
            <w:vAlign w:val="bottom"/>
            <w:hideMark/>
          </w:tcPr>
          <w:p w14:paraId="709D672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nil"/>
              <w:right w:val="nil"/>
            </w:tcBorders>
            <w:shd w:val="clear" w:color="000000" w:fill="FFFFFF"/>
            <w:noWrap/>
            <w:vAlign w:val="bottom"/>
            <w:hideMark/>
          </w:tcPr>
          <w:p w14:paraId="618C614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-2,5</w:t>
            </w:r>
          </w:p>
        </w:tc>
        <w:tc>
          <w:tcPr>
            <w:tcW w:w="309" w:type="pct"/>
            <w:tcBorders>
              <w:top w:val="nil"/>
              <w:left w:val="nil"/>
              <w:bottom w:val="nil"/>
              <w:right w:val="nil"/>
            </w:tcBorders>
            <w:shd w:val="clear" w:color="000000" w:fill="FFFFFF"/>
            <w:noWrap/>
            <w:vAlign w:val="bottom"/>
            <w:hideMark/>
          </w:tcPr>
          <w:p w14:paraId="617D77C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w:t>
            </w:r>
          </w:p>
        </w:tc>
        <w:tc>
          <w:tcPr>
            <w:tcW w:w="309" w:type="pct"/>
            <w:tcBorders>
              <w:top w:val="nil"/>
              <w:left w:val="nil"/>
              <w:bottom w:val="nil"/>
              <w:right w:val="nil"/>
            </w:tcBorders>
            <w:shd w:val="clear" w:color="000000" w:fill="FFFFFF"/>
            <w:noWrap/>
            <w:vAlign w:val="bottom"/>
            <w:hideMark/>
          </w:tcPr>
          <w:p w14:paraId="2567E41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0,3</w:t>
            </w:r>
          </w:p>
        </w:tc>
        <w:tc>
          <w:tcPr>
            <w:tcW w:w="309" w:type="pct"/>
            <w:tcBorders>
              <w:top w:val="nil"/>
              <w:left w:val="nil"/>
              <w:bottom w:val="nil"/>
              <w:right w:val="nil"/>
            </w:tcBorders>
            <w:shd w:val="clear" w:color="000000" w:fill="FFFFFF"/>
            <w:noWrap/>
            <w:vAlign w:val="bottom"/>
            <w:hideMark/>
          </w:tcPr>
          <w:p w14:paraId="1DA6B41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309" w:type="pct"/>
            <w:tcBorders>
              <w:top w:val="nil"/>
              <w:left w:val="nil"/>
              <w:bottom w:val="nil"/>
              <w:right w:val="nil"/>
            </w:tcBorders>
            <w:shd w:val="clear" w:color="000000" w:fill="FFFFFF"/>
            <w:noWrap/>
            <w:vAlign w:val="bottom"/>
            <w:hideMark/>
          </w:tcPr>
          <w:p w14:paraId="1F58308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nil"/>
              <w:right w:val="nil"/>
            </w:tcBorders>
            <w:shd w:val="clear" w:color="000000" w:fill="FFFFFF"/>
            <w:noWrap/>
            <w:vAlign w:val="bottom"/>
            <w:hideMark/>
          </w:tcPr>
          <w:p w14:paraId="154B424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0,5</w:t>
            </w:r>
          </w:p>
        </w:tc>
        <w:tc>
          <w:tcPr>
            <w:tcW w:w="309" w:type="pct"/>
            <w:tcBorders>
              <w:top w:val="nil"/>
              <w:left w:val="nil"/>
              <w:bottom w:val="nil"/>
              <w:right w:val="nil"/>
            </w:tcBorders>
            <w:shd w:val="clear" w:color="000000" w:fill="FFFFFF"/>
            <w:noWrap/>
            <w:vAlign w:val="bottom"/>
            <w:hideMark/>
          </w:tcPr>
          <w:p w14:paraId="033B5CD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315" w:type="pct"/>
            <w:tcBorders>
              <w:top w:val="nil"/>
              <w:left w:val="nil"/>
              <w:bottom w:val="nil"/>
              <w:right w:val="nil"/>
            </w:tcBorders>
            <w:shd w:val="clear" w:color="000000" w:fill="FFFFFF"/>
            <w:noWrap/>
            <w:vAlign w:val="bottom"/>
            <w:hideMark/>
          </w:tcPr>
          <w:p w14:paraId="176567E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0,0</w:t>
            </w:r>
          </w:p>
        </w:tc>
      </w:tr>
      <w:tr w:rsidR="00E04418" w:rsidRPr="00E04418" w14:paraId="432932F7" w14:textId="77777777" w:rsidTr="00E04418">
        <w:trPr>
          <w:trHeight w:val="255"/>
        </w:trPr>
        <w:tc>
          <w:tcPr>
            <w:tcW w:w="1346" w:type="pct"/>
            <w:tcBorders>
              <w:top w:val="nil"/>
              <w:left w:val="nil"/>
              <w:bottom w:val="nil"/>
              <w:right w:val="nil"/>
            </w:tcBorders>
            <w:shd w:val="clear" w:color="000000" w:fill="FFFFFF"/>
            <w:vAlign w:val="bottom"/>
            <w:hideMark/>
          </w:tcPr>
          <w:p w14:paraId="2F309508"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Formuesinntekter</w:t>
            </w:r>
          </w:p>
        </w:tc>
        <w:tc>
          <w:tcPr>
            <w:tcW w:w="377" w:type="pct"/>
            <w:tcBorders>
              <w:top w:val="nil"/>
              <w:left w:val="single" w:sz="4" w:space="0" w:color="auto"/>
              <w:bottom w:val="nil"/>
              <w:right w:val="single" w:sz="4" w:space="0" w:color="auto"/>
            </w:tcBorders>
            <w:shd w:val="clear" w:color="000000" w:fill="FFFFFF"/>
            <w:vAlign w:val="bottom"/>
            <w:hideMark/>
          </w:tcPr>
          <w:p w14:paraId="75D21E02" w14:textId="6269D178"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109,3</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18D62538"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-10,4</w:t>
            </w:r>
          </w:p>
        </w:tc>
        <w:tc>
          <w:tcPr>
            <w:tcW w:w="265" w:type="pct"/>
            <w:tcBorders>
              <w:top w:val="nil"/>
              <w:left w:val="nil"/>
              <w:bottom w:val="nil"/>
              <w:right w:val="nil"/>
            </w:tcBorders>
            <w:shd w:val="clear" w:color="000000" w:fill="FFFFFF"/>
            <w:noWrap/>
            <w:vAlign w:val="bottom"/>
            <w:hideMark/>
          </w:tcPr>
          <w:p w14:paraId="6A5E9DC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3,4</w:t>
            </w:r>
          </w:p>
        </w:tc>
        <w:tc>
          <w:tcPr>
            <w:tcW w:w="265" w:type="pct"/>
            <w:tcBorders>
              <w:top w:val="nil"/>
              <w:left w:val="nil"/>
              <w:bottom w:val="nil"/>
              <w:right w:val="nil"/>
            </w:tcBorders>
            <w:shd w:val="clear" w:color="000000" w:fill="FFFFFF"/>
            <w:noWrap/>
            <w:vAlign w:val="bottom"/>
            <w:hideMark/>
          </w:tcPr>
          <w:p w14:paraId="4AD88DC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2,4</w:t>
            </w:r>
          </w:p>
        </w:tc>
        <w:tc>
          <w:tcPr>
            <w:tcW w:w="309" w:type="pct"/>
            <w:tcBorders>
              <w:top w:val="nil"/>
              <w:left w:val="nil"/>
              <w:bottom w:val="nil"/>
              <w:right w:val="nil"/>
            </w:tcBorders>
            <w:shd w:val="clear" w:color="000000" w:fill="FFFFFF"/>
            <w:noWrap/>
            <w:vAlign w:val="bottom"/>
            <w:hideMark/>
          </w:tcPr>
          <w:p w14:paraId="70C2D52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-2,6</w:t>
            </w:r>
          </w:p>
        </w:tc>
        <w:tc>
          <w:tcPr>
            <w:tcW w:w="309" w:type="pct"/>
            <w:tcBorders>
              <w:top w:val="nil"/>
              <w:left w:val="nil"/>
              <w:bottom w:val="nil"/>
              <w:right w:val="nil"/>
            </w:tcBorders>
            <w:shd w:val="clear" w:color="000000" w:fill="FFFFFF"/>
            <w:noWrap/>
            <w:vAlign w:val="bottom"/>
            <w:hideMark/>
          </w:tcPr>
          <w:p w14:paraId="7D77B07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73BA0F7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09" w:type="pct"/>
            <w:tcBorders>
              <w:top w:val="nil"/>
              <w:left w:val="nil"/>
              <w:bottom w:val="nil"/>
              <w:right w:val="nil"/>
            </w:tcBorders>
            <w:shd w:val="clear" w:color="000000" w:fill="FFFFFF"/>
            <w:noWrap/>
            <w:vAlign w:val="bottom"/>
            <w:hideMark/>
          </w:tcPr>
          <w:p w14:paraId="43F0054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09" w:type="pct"/>
            <w:tcBorders>
              <w:top w:val="nil"/>
              <w:left w:val="nil"/>
              <w:bottom w:val="nil"/>
              <w:right w:val="nil"/>
            </w:tcBorders>
            <w:shd w:val="clear" w:color="000000" w:fill="FFFFFF"/>
            <w:noWrap/>
            <w:vAlign w:val="bottom"/>
            <w:hideMark/>
          </w:tcPr>
          <w:p w14:paraId="6A080FF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nil"/>
              <w:right w:val="nil"/>
            </w:tcBorders>
            <w:shd w:val="clear" w:color="000000" w:fill="FFFFFF"/>
            <w:noWrap/>
            <w:vAlign w:val="bottom"/>
            <w:hideMark/>
          </w:tcPr>
          <w:p w14:paraId="5258A0D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nil"/>
              <w:right w:val="nil"/>
            </w:tcBorders>
            <w:shd w:val="clear" w:color="000000" w:fill="FFFFFF"/>
            <w:noWrap/>
            <w:vAlign w:val="bottom"/>
            <w:hideMark/>
          </w:tcPr>
          <w:p w14:paraId="2D2011F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315" w:type="pct"/>
            <w:tcBorders>
              <w:top w:val="nil"/>
              <w:left w:val="nil"/>
              <w:bottom w:val="nil"/>
              <w:right w:val="nil"/>
            </w:tcBorders>
            <w:shd w:val="clear" w:color="000000" w:fill="FFFFFF"/>
            <w:noWrap/>
            <w:vAlign w:val="bottom"/>
            <w:hideMark/>
          </w:tcPr>
          <w:p w14:paraId="425E9FE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-0,6</w:t>
            </w:r>
          </w:p>
        </w:tc>
      </w:tr>
      <w:tr w:rsidR="00E04418" w:rsidRPr="00E04418" w14:paraId="17A1A274" w14:textId="77777777" w:rsidTr="00E04418">
        <w:trPr>
          <w:trHeight w:val="255"/>
        </w:trPr>
        <w:tc>
          <w:tcPr>
            <w:tcW w:w="1346" w:type="pct"/>
            <w:tcBorders>
              <w:top w:val="nil"/>
              <w:left w:val="nil"/>
              <w:bottom w:val="nil"/>
              <w:right w:val="nil"/>
            </w:tcBorders>
            <w:shd w:val="clear" w:color="000000" w:fill="FFFFFF"/>
            <w:vAlign w:val="bottom"/>
            <w:hideMark/>
          </w:tcPr>
          <w:p w14:paraId="1E95039A"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 xml:space="preserve">  herav: mottatt aksjeutbytte</w:t>
            </w:r>
          </w:p>
        </w:tc>
        <w:tc>
          <w:tcPr>
            <w:tcW w:w="377" w:type="pct"/>
            <w:tcBorders>
              <w:top w:val="nil"/>
              <w:left w:val="single" w:sz="4" w:space="0" w:color="auto"/>
              <w:bottom w:val="nil"/>
              <w:right w:val="single" w:sz="4" w:space="0" w:color="auto"/>
            </w:tcBorders>
            <w:shd w:val="clear" w:color="000000" w:fill="FFFFFF"/>
            <w:vAlign w:val="bottom"/>
            <w:hideMark/>
          </w:tcPr>
          <w:p w14:paraId="55B7E490" w14:textId="3D4A31EB"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38,1</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0AC85C4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-10,9</w:t>
            </w:r>
          </w:p>
        </w:tc>
        <w:tc>
          <w:tcPr>
            <w:tcW w:w="265" w:type="pct"/>
            <w:tcBorders>
              <w:top w:val="nil"/>
              <w:left w:val="nil"/>
              <w:bottom w:val="nil"/>
              <w:right w:val="nil"/>
            </w:tcBorders>
            <w:shd w:val="clear" w:color="000000" w:fill="FFFFFF"/>
            <w:noWrap/>
            <w:vAlign w:val="bottom"/>
            <w:hideMark/>
          </w:tcPr>
          <w:p w14:paraId="4389D6B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1,2</w:t>
            </w:r>
          </w:p>
        </w:tc>
        <w:tc>
          <w:tcPr>
            <w:tcW w:w="265" w:type="pct"/>
            <w:tcBorders>
              <w:top w:val="nil"/>
              <w:left w:val="nil"/>
              <w:bottom w:val="nil"/>
              <w:right w:val="nil"/>
            </w:tcBorders>
            <w:shd w:val="clear" w:color="000000" w:fill="FFFFFF"/>
            <w:noWrap/>
            <w:vAlign w:val="bottom"/>
            <w:hideMark/>
          </w:tcPr>
          <w:p w14:paraId="19FEA45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58F3552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nil"/>
              <w:right w:val="nil"/>
            </w:tcBorders>
            <w:shd w:val="clear" w:color="000000" w:fill="FFFFFF"/>
            <w:noWrap/>
            <w:vAlign w:val="bottom"/>
            <w:hideMark/>
          </w:tcPr>
          <w:p w14:paraId="0A159D5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0,5</w:t>
            </w:r>
          </w:p>
        </w:tc>
        <w:tc>
          <w:tcPr>
            <w:tcW w:w="309" w:type="pct"/>
            <w:tcBorders>
              <w:top w:val="nil"/>
              <w:left w:val="nil"/>
              <w:bottom w:val="nil"/>
              <w:right w:val="nil"/>
            </w:tcBorders>
            <w:shd w:val="clear" w:color="000000" w:fill="FFFFFF"/>
            <w:noWrap/>
            <w:vAlign w:val="bottom"/>
            <w:hideMark/>
          </w:tcPr>
          <w:p w14:paraId="7A410D7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nil"/>
              <w:right w:val="nil"/>
            </w:tcBorders>
            <w:shd w:val="clear" w:color="000000" w:fill="FFFFFF"/>
            <w:noWrap/>
            <w:vAlign w:val="bottom"/>
            <w:hideMark/>
          </w:tcPr>
          <w:p w14:paraId="2CAE23F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nil"/>
              <w:right w:val="nil"/>
            </w:tcBorders>
            <w:shd w:val="clear" w:color="000000" w:fill="FFFFFF"/>
            <w:noWrap/>
            <w:vAlign w:val="bottom"/>
            <w:hideMark/>
          </w:tcPr>
          <w:p w14:paraId="2FA661E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0,3</w:t>
            </w:r>
          </w:p>
        </w:tc>
        <w:tc>
          <w:tcPr>
            <w:tcW w:w="309" w:type="pct"/>
            <w:tcBorders>
              <w:top w:val="nil"/>
              <w:left w:val="nil"/>
              <w:bottom w:val="nil"/>
              <w:right w:val="nil"/>
            </w:tcBorders>
            <w:shd w:val="clear" w:color="000000" w:fill="FFFFFF"/>
            <w:noWrap/>
            <w:vAlign w:val="bottom"/>
            <w:hideMark/>
          </w:tcPr>
          <w:p w14:paraId="1D074E23"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nil"/>
              <w:right w:val="nil"/>
            </w:tcBorders>
            <w:shd w:val="clear" w:color="000000" w:fill="FFFFFF"/>
            <w:noWrap/>
            <w:vAlign w:val="bottom"/>
            <w:hideMark/>
          </w:tcPr>
          <w:p w14:paraId="3C4D5F6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0,0</w:t>
            </w:r>
          </w:p>
        </w:tc>
        <w:tc>
          <w:tcPr>
            <w:tcW w:w="315" w:type="pct"/>
            <w:tcBorders>
              <w:top w:val="nil"/>
              <w:left w:val="nil"/>
              <w:bottom w:val="nil"/>
              <w:right w:val="nil"/>
            </w:tcBorders>
            <w:shd w:val="clear" w:color="000000" w:fill="FFFFFF"/>
            <w:noWrap/>
            <w:vAlign w:val="bottom"/>
            <w:hideMark/>
          </w:tcPr>
          <w:p w14:paraId="7F526961"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r>
      <w:tr w:rsidR="00E04418" w:rsidRPr="00E04418" w14:paraId="429F45AB" w14:textId="77777777" w:rsidTr="00E04418">
        <w:trPr>
          <w:trHeight w:val="255"/>
        </w:trPr>
        <w:tc>
          <w:tcPr>
            <w:tcW w:w="1346" w:type="pct"/>
            <w:tcBorders>
              <w:top w:val="nil"/>
              <w:left w:val="nil"/>
              <w:bottom w:val="nil"/>
              <w:right w:val="nil"/>
            </w:tcBorders>
            <w:shd w:val="clear" w:color="000000" w:fill="FFFFFF"/>
            <w:vAlign w:val="bottom"/>
            <w:hideMark/>
          </w:tcPr>
          <w:p w14:paraId="2EE20B7E"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Offentlige stønader</w:t>
            </w:r>
          </w:p>
        </w:tc>
        <w:tc>
          <w:tcPr>
            <w:tcW w:w="377" w:type="pct"/>
            <w:tcBorders>
              <w:top w:val="nil"/>
              <w:left w:val="single" w:sz="4" w:space="0" w:color="auto"/>
              <w:bottom w:val="nil"/>
              <w:right w:val="single" w:sz="4" w:space="0" w:color="auto"/>
            </w:tcBorders>
            <w:shd w:val="clear" w:color="000000" w:fill="FFFFFF"/>
            <w:vAlign w:val="bottom"/>
            <w:hideMark/>
          </w:tcPr>
          <w:p w14:paraId="30DFA1F6" w14:textId="3E542632"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397,6</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0E55354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265" w:type="pct"/>
            <w:tcBorders>
              <w:top w:val="nil"/>
              <w:left w:val="nil"/>
              <w:bottom w:val="nil"/>
              <w:right w:val="nil"/>
            </w:tcBorders>
            <w:shd w:val="clear" w:color="000000" w:fill="FFFFFF"/>
            <w:noWrap/>
            <w:vAlign w:val="bottom"/>
            <w:hideMark/>
          </w:tcPr>
          <w:p w14:paraId="75E8E51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w:t>
            </w:r>
          </w:p>
        </w:tc>
        <w:tc>
          <w:tcPr>
            <w:tcW w:w="265" w:type="pct"/>
            <w:tcBorders>
              <w:top w:val="nil"/>
              <w:left w:val="nil"/>
              <w:bottom w:val="nil"/>
              <w:right w:val="nil"/>
            </w:tcBorders>
            <w:shd w:val="clear" w:color="000000" w:fill="FFFFFF"/>
            <w:noWrap/>
            <w:vAlign w:val="bottom"/>
            <w:hideMark/>
          </w:tcPr>
          <w:p w14:paraId="02AA75F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1,2</w:t>
            </w:r>
          </w:p>
        </w:tc>
        <w:tc>
          <w:tcPr>
            <w:tcW w:w="309" w:type="pct"/>
            <w:tcBorders>
              <w:top w:val="nil"/>
              <w:left w:val="nil"/>
              <w:bottom w:val="nil"/>
              <w:right w:val="nil"/>
            </w:tcBorders>
            <w:shd w:val="clear" w:color="000000" w:fill="FFFFFF"/>
            <w:noWrap/>
            <w:vAlign w:val="bottom"/>
            <w:hideMark/>
          </w:tcPr>
          <w:p w14:paraId="607C0B8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w:t>
            </w:r>
          </w:p>
        </w:tc>
        <w:tc>
          <w:tcPr>
            <w:tcW w:w="309" w:type="pct"/>
            <w:tcBorders>
              <w:top w:val="nil"/>
              <w:left w:val="nil"/>
              <w:bottom w:val="nil"/>
              <w:right w:val="nil"/>
            </w:tcBorders>
            <w:shd w:val="clear" w:color="000000" w:fill="FFFFFF"/>
            <w:noWrap/>
            <w:vAlign w:val="bottom"/>
            <w:hideMark/>
          </w:tcPr>
          <w:p w14:paraId="11D3E80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w:t>
            </w:r>
          </w:p>
        </w:tc>
        <w:tc>
          <w:tcPr>
            <w:tcW w:w="309" w:type="pct"/>
            <w:tcBorders>
              <w:top w:val="nil"/>
              <w:left w:val="nil"/>
              <w:bottom w:val="nil"/>
              <w:right w:val="nil"/>
            </w:tcBorders>
            <w:shd w:val="clear" w:color="000000" w:fill="FFFFFF"/>
            <w:noWrap/>
            <w:vAlign w:val="bottom"/>
            <w:hideMark/>
          </w:tcPr>
          <w:p w14:paraId="09785FA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1,4</w:t>
            </w:r>
          </w:p>
        </w:tc>
        <w:tc>
          <w:tcPr>
            <w:tcW w:w="309" w:type="pct"/>
            <w:tcBorders>
              <w:top w:val="nil"/>
              <w:left w:val="nil"/>
              <w:bottom w:val="nil"/>
              <w:right w:val="nil"/>
            </w:tcBorders>
            <w:shd w:val="clear" w:color="000000" w:fill="FFFFFF"/>
            <w:noWrap/>
            <w:vAlign w:val="bottom"/>
            <w:hideMark/>
          </w:tcPr>
          <w:p w14:paraId="69FA7C1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1,6</w:t>
            </w:r>
          </w:p>
        </w:tc>
        <w:tc>
          <w:tcPr>
            <w:tcW w:w="309" w:type="pct"/>
            <w:tcBorders>
              <w:top w:val="nil"/>
              <w:left w:val="nil"/>
              <w:bottom w:val="nil"/>
              <w:right w:val="nil"/>
            </w:tcBorders>
            <w:shd w:val="clear" w:color="000000" w:fill="FFFFFF"/>
            <w:noWrap/>
            <w:vAlign w:val="bottom"/>
            <w:hideMark/>
          </w:tcPr>
          <w:p w14:paraId="4977197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7919541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1,3</w:t>
            </w:r>
          </w:p>
        </w:tc>
        <w:tc>
          <w:tcPr>
            <w:tcW w:w="309" w:type="pct"/>
            <w:tcBorders>
              <w:top w:val="nil"/>
              <w:left w:val="nil"/>
              <w:bottom w:val="nil"/>
              <w:right w:val="nil"/>
            </w:tcBorders>
            <w:shd w:val="clear" w:color="000000" w:fill="FFFFFF"/>
            <w:noWrap/>
            <w:vAlign w:val="bottom"/>
            <w:hideMark/>
          </w:tcPr>
          <w:p w14:paraId="5BBB7FA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1,6</w:t>
            </w:r>
          </w:p>
        </w:tc>
        <w:tc>
          <w:tcPr>
            <w:tcW w:w="315" w:type="pct"/>
            <w:tcBorders>
              <w:top w:val="nil"/>
              <w:left w:val="nil"/>
              <w:bottom w:val="nil"/>
              <w:right w:val="nil"/>
            </w:tcBorders>
            <w:shd w:val="clear" w:color="000000" w:fill="FFFFFF"/>
            <w:noWrap/>
            <w:vAlign w:val="bottom"/>
            <w:hideMark/>
          </w:tcPr>
          <w:p w14:paraId="431CCAD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1,3</w:t>
            </w:r>
          </w:p>
        </w:tc>
      </w:tr>
      <w:tr w:rsidR="00E04418" w:rsidRPr="00E04418" w14:paraId="62771C89" w14:textId="77777777" w:rsidTr="00E04418">
        <w:trPr>
          <w:trHeight w:val="255"/>
        </w:trPr>
        <w:tc>
          <w:tcPr>
            <w:tcW w:w="1346" w:type="pct"/>
            <w:tcBorders>
              <w:top w:val="nil"/>
              <w:left w:val="nil"/>
              <w:bottom w:val="nil"/>
              <w:right w:val="nil"/>
            </w:tcBorders>
            <w:shd w:val="clear" w:color="000000" w:fill="FFFFFF"/>
            <w:vAlign w:val="bottom"/>
            <w:hideMark/>
          </w:tcPr>
          <w:p w14:paraId="7340929A"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Andre inntekter, netto</w:t>
            </w:r>
          </w:p>
        </w:tc>
        <w:tc>
          <w:tcPr>
            <w:tcW w:w="377" w:type="pct"/>
            <w:tcBorders>
              <w:top w:val="nil"/>
              <w:left w:val="single" w:sz="4" w:space="0" w:color="auto"/>
              <w:bottom w:val="nil"/>
              <w:right w:val="single" w:sz="4" w:space="0" w:color="auto"/>
            </w:tcBorders>
            <w:shd w:val="clear" w:color="000000" w:fill="FFFFFF"/>
            <w:vAlign w:val="bottom"/>
            <w:hideMark/>
          </w:tcPr>
          <w:p w14:paraId="0F4503DA" w14:textId="3D09DC45"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154,0</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65B176D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265" w:type="pct"/>
            <w:tcBorders>
              <w:top w:val="nil"/>
              <w:left w:val="nil"/>
              <w:bottom w:val="nil"/>
              <w:right w:val="nil"/>
            </w:tcBorders>
            <w:shd w:val="clear" w:color="000000" w:fill="FFFFFF"/>
            <w:noWrap/>
            <w:vAlign w:val="bottom"/>
            <w:hideMark/>
          </w:tcPr>
          <w:p w14:paraId="642A171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1,5</w:t>
            </w:r>
          </w:p>
        </w:tc>
        <w:tc>
          <w:tcPr>
            <w:tcW w:w="265" w:type="pct"/>
            <w:tcBorders>
              <w:top w:val="nil"/>
              <w:left w:val="nil"/>
              <w:bottom w:val="nil"/>
              <w:right w:val="nil"/>
            </w:tcBorders>
            <w:shd w:val="clear" w:color="000000" w:fill="FFFFFF"/>
            <w:noWrap/>
            <w:vAlign w:val="bottom"/>
            <w:hideMark/>
          </w:tcPr>
          <w:p w14:paraId="3DC48B2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-0,6</w:t>
            </w:r>
          </w:p>
        </w:tc>
        <w:tc>
          <w:tcPr>
            <w:tcW w:w="309" w:type="pct"/>
            <w:tcBorders>
              <w:top w:val="nil"/>
              <w:left w:val="nil"/>
              <w:bottom w:val="nil"/>
              <w:right w:val="nil"/>
            </w:tcBorders>
            <w:shd w:val="clear" w:color="000000" w:fill="FFFFFF"/>
            <w:noWrap/>
            <w:vAlign w:val="bottom"/>
            <w:hideMark/>
          </w:tcPr>
          <w:p w14:paraId="381BEB3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1,5</w:t>
            </w:r>
          </w:p>
        </w:tc>
        <w:tc>
          <w:tcPr>
            <w:tcW w:w="309" w:type="pct"/>
            <w:tcBorders>
              <w:top w:val="nil"/>
              <w:left w:val="nil"/>
              <w:bottom w:val="nil"/>
              <w:right w:val="nil"/>
            </w:tcBorders>
            <w:shd w:val="clear" w:color="000000" w:fill="FFFFFF"/>
            <w:noWrap/>
            <w:vAlign w:val="bottom"/>
            <w:hideMark/>
          </w:tcPr>
          <w:p w14:paraId="221B0A0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09" w:type="pct"/>
            <w:tcBorders>
              <w:top w:val="nil"/>
              <w:left w:val="nil"/>
              <w:bottom w:val="nil"/>
              <w:right w:val="nil"/>
            </w:tcBorders>
            <w:shd w:val="clear" w:color="000000" w:fill="FFFFFF"/>
            <w:noWrap/>
            <w:vAlign w:val="bottom"/>
            <w:hideMark/>
          </w:tcPr>
          <w:p w14:paraId="025C63B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c>
          <w:tcPr>
            <w:tcW w:w="309" w:type="pct"/>
            <w:tcBorders>
              <w:top w:val="nil"/>
              <w:left w:val="nil"/>
              <w:bottom w:val="nil"/>
              <w:right w:val="nil"/>
            </w:tcBorders>
            <w:shd w:val="clear" w:color="000000" w:fill="FFFFFF"/>
            <w:noWrap/>
            <w:vAlign w:val="bottom"/>
            <w:hideMark/>
          </w:tcPr>
          <w:p w14:paraId="2D6B488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0,6</w:t>
            </w:r>
          </w:p>
        </w:tc>
        <w:tc>
          <w:tcPr>
            <w:tcW w:w="309" w:type="pct"/>
            <w:tcBorders>
              <w:top w:val="nil"/>
              <w:left w:val="nil"/>
              <w:bottom w:val="nil"/>
              <w:right w:val="nil"/>
            </w:tcBorders>
            <w:shd w:val="clear" w:color="000000" w:fill="FFFFFF"/>
            <w:noWrap/>
            <w:vAlign w:val="bottom"/>
            <w:hideMark/>
          </w:tcPr>
          <w:p w14:paraId="07C9B74A"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1,3</w:t>
            </w:r>
          </w:p>
        </w:tc>
        <w:tc>
          <w:tcPr>
            <w:tcW w:w="309" w:type="pct"/>
            <w:tcBorders>
              <w:top w:val="nil"/>
              <w:left w:val="nil"/>
              <w:bottom w:val="nil"/>
              <w:right w:val="nil"/>
            </w:tcBorders>
            <w:shd w:val="clear" w:color="000000" w:fill="FFFFFF"/>
            <w:noWrap/>
            <w:vAlign w:val="bottom"/>
            <w:hideMark/>
          </w:tcPr>
          <w:p w14:paraId="6089595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nil"/>
              <w:right w:val="nil"/>
            </w:tcBorders>
            <w:shd w:val="clear" w:color="000000" w:fill="FFFFFF"/>
            <w:noWrap/>
            <w:vAlign w:val="bottom"/>
            <w:hideMark/>
          </w:tcPr>
          <w:p w14:paraId="10362991"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15" w:type="pct"/>
            <w:tcBorders>
              <w:top w:val="nil"/>
              <w:left w:val="nil"/>
              <w:bottom w:val="nil"/>
              <w:right w:val="nil"/>
            </w:tcBorders>
            <w:shd w:val="clear" w:color="000000" w:fill="FFFFFF"/>
            <w:noWrap/>
            <w:vAlign w:val="bottom"/>
            <w:hideMark/>
          </w:tcPr>
          <w:p w14:paraId="08E55EE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0,5</w:t>
            </w:r>
          </w:p>
        </w:tc>
      </w:tr>
      <w:tr w:rsidR="00E04418" w:rsidRPr="00E04418" w14:paraId="04EED68E" w14:textId="77777777" w:rsidTr="00E04418">
        <w:trPr>
          <w:trHeight w:val="255"/>
        </w:trPr>
        <w:tc>
          <w:tcPr>
            <w:tcW w:w="1346" w:type="pct"/>
            <w:tcBorders>
              <w:top w:val="nil"/>
              <w:left w:val="nil"/>
              <w:bottom w:val="nil"/>
              <w:right w:val="nil"/>
            </w:tcBorders>
            <w:shd w:val="clear" w:color="000000" w:fill="FFFFFF"/>
            <w:vAlign w:val="bottom"/>
            <w:hideMark/>
          </w:tcPr>
          <w:p w14:paraId="0E8E9255"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Utgifter</w:t>
            </w:r>
          </w:p>
        </w:tc>
        <w:tc>
          <w:tcPr>
            <w:tcW w:w="377" w:type="pct"/>
            <w:tcBorders>
              <w:top w:val="nil"/>
              <w:left w:val="single" w:sz="4" w:space="0" w:color="auto"/>
              <w:bottom w:val="nil"/>
              <w:right w:val="single" w:sz="4" w:space="0" w:color="auto"/>
            </w:tcBorders>
            <w:shd w:val="clear" w:color="000000" w:fill="FFFFFF"/>
            <w:vAlign w:val="bottom"/>
            <w:hideMark/>
          </w:tcPr>
          <w:p w14:paraId="0E908333"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71" w:type="pct"/>
            <w:tcBorders>
              <w:top w:val="nil"/>
              <w:left w:val="nil"/>
              <w:bottom w:val="nil"/>
              <w:right w:val="nil"/>
            </w:tcBorders>
            <w:shd w:val="clear" w:color="000000" w:fill="FFFFFF"/>
            <w:noWrap/>
            <w:vAlign w:val="bottom"/>
            <w:hideMark/>
          </w:tcPr>
          <w:p w14:paraId="5905F778"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54F39C6C"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20C4AF4E"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34861589"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16F4E637"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4C307D5C"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B4600CB"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47996BCC"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63C95B48"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3EBFC1C2"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15" w:type="pct"/>
            <w:tcBorders>
              <w:top w:val="nil"/>
              <w:left w:val="nil"/>
              <w:bottom w:val="nil"/>
              <w:right w:val="nil"/>
            </w:tcBorders>
            <w:shd w:val="clear" w:color="000000" w:fill="FFFFFF"/>
            <w:noWrap/>
            <w:vAlign w:val="bottom"/>
            <w:hideMark/>
          </w:tcPr>
          <w:p w14:paraId="5D78F8D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r>
      <w:tr w:rsidR="00E04418" w:rsidRPr="00E04418" w14:paraId="2B6E4519" w14:textId="77777777" w:rsidTr="00E04418">
        <w:trPr>
          <w:trHeight w:val="255"/>
        </w:trPr>
        <w:tc>
          <w:tcPr>
            <w:tcW w:w="1346" w:type="pct"/>
            <w:tcBorders>
              <w:top w:val="nil"/>
              <w:left w:val="nil"/>
              <w:bottom w:val="nil"/>
              <w:right w:val="nil"/>
            </w:tcBorders>
            <w:shd w:val="clear" w:color="000000" w:fill="FFFFFF"/>
            <w:vAlign w:val="bottom"/>
            <w:hideMark/>
          </w:tcPr>
          <w:p w14:paraId="59A9AA86"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Skatt av inntekt og formue</w:t>
            </w:r>
          </w:p>
        </w:tc>
        <w:tc>
          <w:tcPr>
            <w:tcW w:w="377" w:type="pct"/>
            <w:tcBorders>
              <w:top w:val="nil"/>
              <w:left w:val="single" w:sz="4" w:space="0" w:color="auto"/>
              <w:bottom w:val="nil"/>
              <w:right w:val="single" w:sz="4" w:space="0" w:color="auto"/>
            </w:tcBorders>
            <w:shd w:val="clear" w:color="000000" w:fill="FFFFFF"/>
            <w:vAlign w:val="bottom"/>
            <w:hideMark/>
          </w:tcPr>
          <w:p w14:paraId="5CFFC592" w14:textId="3C0593F4"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619,2</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5B4B6BA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-2,1</w:t>
            </w:r>
          </w:p>
        </w:tc>
        <w:tc>
          <w:tcPr>
            <w:tcW w:w="265" w:type="pct"/>
            <w:tcBorders>
              <w:top w:val="nil"/>
              <w:left w:val="nil"/>
              <w:bottom w:val="nil"/>
              <w:right w:val="nil"/>
            </w:tcBorders>
            <w:shd w:val="clear" w:color="000000" w:fill="FFFFFF"/>
            <w:noWrap/>
            <w:vAlign w:val="bottom"/>
            <w:hideMark/>
          </w:tcPr>
          <w:p w14:paraId="776D9193"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-4,6</w:t>
            </w:r>
          </w:p>
        </w:tc>
        <w:tc>
          <w:tcPr>
            <w:tcW w:w="265" w:type="pct"/>
            <w:tcBorders>
              <w:top w:val="nil"/>
              <w:left w:val="nil"/>
              <w:bottom w:val="nil"/>
              <w:right w:val="nil"/>
            </w:tcBorders>
            <w:shd w:val="clear" w:color="000000" w:fill="FFFFFF"/>
            <w:noWrap/>
            <w:vAlign w:val="bottom"/>
            <w:hideMark/>
          </w:tcPr>
          <w:p w14:paraId="41769F2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-1,9</w:t>
            </w:r>
          </w:p>
        </w:tc>
        <w:tc>
          <w:tcPr>
            <w:tcW w:w="309" w:type="pct"/>
            <w:tcBorders>
              <w:top w:val="nil"/>
              <w:left w:val="nil"/>
              <w:bottom w:val="nil"/>
              <w:right w:val="nil"/>
            </w:tcBorders>
            <w:shd w:val="clear" w:color="000000" w:fill="FFFFFF"/>
            <w:noWrap/>
            <w:vAlign w:val="bottom"/>
            <w:hideMark/>
          </w:tcPr>
          <w:p w14:paraId="7EC5550A"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735C5CB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-1,6</w:t>
            </w:r>
          </w:p>
        </w:tc>
        <w:tc>
          <w:tcPr>
            <w:tcW w:w="309" w:type="pct"/>
            <w:tcBorders>
              <w:top w:val="nil"/>
              <w:left w:val="nil"/>
              <w:bottom w:val="nil"/>
              <w:right w:val="nil"/>
            </w:tcBorders>
            <w:shd w:val="clear" w:color="000000" w:fill="FFFFFF"/>
            <w:noWrap/>
            <w:vAlign w:val="bottom"/>
            <w:hideMark/>
          </w:tcPr>
          <w:p w14:paraId="395DAA8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-2,6</w:t>
            </w:r>
          </w:p>
        </w:tc>
        <w:tc>
          <w:tcPr>
            <w:tcW w:w="309" w:type="pct"/>
            <w:tcBorders>
              <w:top w:val="nil"/>
              <w:left w:val="nil"/>
              <w:bottom w:val="nil"/>
              <w:right w:val="nil"/>
            </w:tcBorders>
            <w:shd w:val="clear" w:color="000000" w:fill="FFFFFF"/>
            <w:noWrap/>
            <w:vAlign w:val="bottom"/>
            <w:hideMark/>
          </w:tcPr>
          <w:p w14:paraId="5963D2F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-2,8</w:t>
            </w:r>
          </w:p>
        </w:tc>
        <w:tc>
          <w:tcPr>
            <w:tcW w:w="309" w:type="pct"/>
            <w:tcBorders>
              <w:top w:val="nil"/>
              <w:left w:val="nil"/>
              <w:bottom w:val="nil"/>
              <w:right w:val="nil"/>
            </w:tcBorders>
            <w:shd w:val="clear" w:color="000000" w:fill="FFFFFF"/>
            <w:noWrap/>
            <w:vAlign w:val="bottom"/>
            <w:hideMark/>
          </w:tcPr>
          <w:p w14:paraId="65A1F47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-1,8</w:t>
            </w:r>
          </w:p>
        </w:tc>
        <w:tc>
          <w:tcPr>
            <w:tcW w:w="309" w:type="pct"/>
            <w:tcBorders>
              <w:top w:val="nil"/>
              <w:left w:val="nil"/>
              <w:bottom w:val="nil"/>
              <w:right w:val="nil"/>
            </w:tcBorders>
            <w:shd w:val="clear" w:color="000000" w:fill="FFFFFF"/>
            <w:noWrap/>
            <w:vAlign w:val="bottom"/>
            <w:hideMark/>
          </w:tcPr>
          <w:p w14:paraId="112D9C02"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w:t>
            </w:r>
          </w:p>
        </w:tc>
        <w:tc>
          <w:tcPr>
            <w:tcW w:w="309" w:type="pct"/>
            <w:tcBorders>
              <w:top w:val="nil"/>
              <w:left w:val="nil"/>
              <w:bottom w:val="nil"/>
              <w:right w:val="nil"/>
            </w:tcBorders>
            <w:shd w:val="clear" w:color="000000" w:fill="FFFFFF"/>
            <w:noWrap/>
            <w:vAlign w:val="bottom"/>
            <w:hideMark/>
          </w:tcPr>
          <w:p w14:paraId="1DC6B37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-1,2</w:t>
            </w:r>
          </w:p>
        </w:tc>
        <w:tc>
          <w:tcPr>
            <w:tcW w:w="315" w:type="pct"/>
            <w:tcBorders>
              <w:top w:val="nil"/>
              <w:left w:val="nil"/>
              <w:bottom w:val="nil"/>
              <w:right w:val="nil"/>
            </w:tcBorders>
            <w:shd w:val="clear" w:color="000000" w:fill="FFFFFF"/>
            <w:noWrap/>
            <w:vAlign w:val="bottom"/>
            <w:hideMark/>
          </w:tcPr>
          <w:p w14:paraId="6ADFEC0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-2,0</w:t>
            </w:r>
          </w:p>
        </w:tc>
      </w:tr>
      <w:tr w:rsidR="00E04418" w:rsidRPr="00E04418" w14:paraId="7BF3B5BD" w14:textId="77777777" w:rsidTr="00E04418">
        <w:trPr>
          <w:trHeight w:val="255"/>
        </w:trPr>
        <w:tc>
          <w:tcPr>
            <w:tcW w:w="1346" w:type="pct"/>
            <w:tcBorders>
              <w:top w:val="nil"/>
              <w:left w:val="nil"/>
              <w:bottom w:val="nil"/>
              <w:right w:val="nil"/>
            </w:tcBorders>
            <w:shd w:val="clear" w:color="000000" w:fill="FFFFFF"/>
            <w:vAlign w:val="bottom"/>
            <w:hideMark/>
          </w:tcPr>
          <w:p w14:paraId="405D9C6F"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Formuesutgifter</w:t>
            </w:r>
          </w:p>
        </w:tc>
        <w:tc>
          <w:tcPr>
            <w:tcW w:w="377" w:type="pct"/>
            <w:tcBorders>
              <w:top w:val="nil"/>
              <w:left w:val="single" w:sz="4" w:space="0" w:color="auto"/>
              <w:bottom w:val="nil"/>
              <w:right w:val="single" w:sz="4" w:space="0" w:color="auto"/>
            </w:tcBorders>
            <w:shd w:val="clear" w:color="000000" w:fill="FFFFFF"/>
            <w:vAlign w:val="bottom"/>
            <w:hideMark/>
          </w:tcPr>
          <w:p w14:paraId="62472BAF" w14:textId="01A542F0"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113,8</w:t>
            </w:r>
            <w:r w:rsidR="009A5154" w:rsidRPr="009A5154">
              <w:rPr>
                <w:rFonts w:ascii="Times New Roman" w:hAnsi="Times New Roman"/>
                <w:sz w:val="16"/>
                <w:szCs w:val="16"/>
                <w:vertAlign w:val="superscript"/>
              </w:rPr>
              <w:t>3</w:t>
            </w:r>
          </w:p>
        </w:tc>
        <w:tc>
          <w:tcPr>
            <w:tcW w:w="271" w:type="pct"/>
            <w:tcBorders>
              <w:top w:val="nil"/>
              <w:left w:val="nil"/>
              <w:bottom w:val="nil"/>
              <w:right w:val="nil"/>
            </w:tcBorders>
            <w:shd w:val="clear" w:color="000000" w:fill="FFFFFF"/>
            <w:noWrap/>
            <w:vAlign w:val="bottom"/>
            <w:hideMark/>
          </w:tcPr>
          <w:p w14:paraId="5F63BEDA"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-1,1</w:t>
            </w:r>
          </w:p>
        </w:tc>
        <w:tc>
          <w:tcPr>
            <w:tcW w:w="265" w:type="pct"/>
            <w:tcBorders>
              <w:top w:val="nil"/>
              <w:left w:val="nil"/>
              <w:bottom w:val="nil"/>
              <w:right w:val="nil"/>
            </w:tcBorders>
            <w:shd w:val="clear" w:color="000000" w:fill="FFFFFF"/>
            <w:noWrap/>
            <w:vAlign w:val="bottom"/>
            <w:hideMark/>
          </w:tcPr>
          <w:p w14:paraId="109D88B7"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-3,5</w:t>
            </w:r>
          </w:p>
        </w:tc>
        <w:tc>
          <w:tcPr>
            <w:tcW w:w="265" w:type="pct"/>
            <w:tcBorders>
              <w:top w:val="nil"/>
              <w:left w:val="nil"/>
              <w:bottom w:val="nil"/>
              <w:right w:val="nil"/>
            </w:tcBorders>
            <w:shd w:val="clear" w:color="000000" w:fill="FFFFFF"/>
            <w:noWrap/>
            <w:vAlign w:val="bottom"/>
            <w:hideMark/>
          </w:tcPr>
          <w:p w14:paraId="06928DF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-3,6</w:t>
            </w:r>
          </w:p>
        </w:tc>
        <w:tc>
          <w:tcPr>
            <w:tcW w:w="309" w:type="pct"/>
            <w:tcBorders>
              <w:top w:val="nil"/>
              <w:left w:val="nil"/>
              <w:bottom w:val="nil"/>
              <w:right w:val="nil"/>
            </w:tcBorders>
            <w:shd w:val="clear" w:color="000000" w:fill="FFFFFF"/>
            <w:noWrap/>
            <w:vAlign w:val="bottom"/>
            <w:hideMark/>
          </w:tcPr>
          <w:p w14:paraId="3F5C8954"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4,1</w:t>
            </w:r>
          </w:p>
        </w:tc>
        <w:tc>
          <w:tcPr>
            <w:tcW w:w="309" w:type="pct"/>
            <w:tcBorders>
              <w:top w:val="nil"/>
              <w:left w:val="nil"/>
              <w:bottom w:val="nil"/>
              <w:right w:val="nil"/>
            </w:tcBorders>
            <w:shd w:val="clear" w:color="000000" w:fill="FFFFFF"/>
            <w:noWrap/>
            <w:vAlign w:val="bottom"/>
            <w:hideMark/>
          </w:tcPr>
          <w:p w14:paraId="5C0D447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09" w:type="pct"/>
            <w:tcBorders>
              <w:top w:val="nil"/>
              <w:left w:val="nil"/>
              <w:bottom w:val="nil"/>
              <w:right w:val="nil"/>
            </w:tcBorders>
            <w:shd w:val="clear" w:color="000000" w:fill="FFFFFF"/>
            <w:noWrap/>
            <w:vAlign w:val="bottom"/>
            <w:hideMark/>
          </w:tcPr>
          <w:p w14:paraId="04095B9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nil"/>
              <w:right w:val="nil"/>
            </w:tcBorders>
            <w:shd w:val="clear" w:color="000000" w:fill="FFFFFF"/>
            <w:noWrap/>
            <w:vAlign w:val="bottom"/>
            <w:hideMark/>
          </w:tcPr>
          <w:p w14:paraId="760C2E3C"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w:t>
            </w:r>
          </w:p>
        </w:tc>
        <w:tc>
          <w:tcPr>
            <w:tcW w:w="309" w:type="pct"/>
            <w:tcBorders>
              <w:top w:val="nil"/>
              <w:left w:val="nil"/>
              <w:bottom w:val="nil"/>
              <w:right w:val="nil"/>
            </w:tcBorders>
            <w:shd w:val="clear" w:color="000000" w:fill="FFFFFF"/>
            <w:noWrap/>
            <w:vAlign w:val="bottom"/>
            <w:hideMark/>
          </w:tcPr>
          <w:p w14:paraId="4C56A75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nil"/>
              <w:right w:val="nil"/>
            </w:tcBorders>
            <w:shd w:val="clear" w:color="000000" w:fill="FFFFFF"/>
            <w:noWrap/>
            <w:vAlign w:val="bottom"/>
            <w:hideMark/>
          </w:tcPr>
          <w:p w14:paraId="335E6BA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0,0</w:t>
            </w:r>
          </w:p>
        </w:tc>
        <w:tc>
          <w:tcPr>
            <w:tcW w:w="309" w:type="pct"/>
            <w:tcBorders>
              <w:top w:val="nil"/>
              <w:left w:val="nil"/>
              <w:bottom w:val="nil"/>
              <w:right w:val="nil"/>
            </w:tcBorders>
            <w:shd w:val="clear" w:color="000000" w:fill="FFFFFF"/>
            <w:noWrap/>
            <w:vAlign w:val="bottom"/>
            <w:hideMark/>
          </w:tcPr>
          <w:p w14:paraId="4855B918"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1,3</w:t>
            </w:r>
          </w:p>
        </w:tc>
        <w:tc>
          <w:tcPr>
            <w:tcW w:w="315" w:type="pct"/>
            <w:tcBorders>
              <w:top w:val="nil"/>
              <w:left w:val="nil"/>
              <w:bottom w:val="nil"/>
              <w:right w:val="nil"/>
            </w:tcBorders>
            <w:shd w:val="clear" w:color="000000" w:fill="FFFFFF"/>
            <w:noWrap/>
            <w:vAlign w:val="bottom"/>
            <w:hideMark/>
          </w:tcPr>
          <w:p w14:paraId="1BAAA11E"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-0,4</w:t>
            </w:r>
          </w:p>
        </w:tc>
      </w:tr>
      <w:tr w:rsidR="00E04418" w:rsidRPr="00E04418" w14:paraId="28D0942C" w14:textId="77777777" w:rsidTr="00E04418">
        <w:trPr>
          <w:trHeight w:val="255"/>
        </w:trPr>
        <w:tc>
          <w:tcPr>
            <w:tcW w:w="1346" w:type="pct"/>
            <w:tcBorders>
              <w:top w:val="nil"/>
              <w:left w:val="nil"/>
              <w:bottom w:val="nil"/>
              <w:right w:val="nil"/>
            </w:tcBorders>
            <w:shd w:val="clear" w:color="000000" w:fill="FFFFFF"/>
            <w:vAlign w:val="bottom"/>
            <w:hideMark/>
          </w:tcPr>
          <w:p w14:paraId="7E689E4B"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77" w:type="pct"/>
            <w:tcBorders>
              <w:top w:val="nil"/>
              <w:left w:val="single" w:sz="4" w:space="0" w:color="auto"/>
              <w:bottom w:val="nil"/>
              <w:right w:val="single" w:sz="4" w:space="0" w:color="auto"/>
            </w:tcBorders>
            <w:shd w:val="clear" w:color="000000" w:fill="FFFFFF"/>
            <w:vAlign w:val="bottom"/>
            <w:hideMark/>
          </w:tcPr>
          <w:p w14:paraId="0E8DA27A"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71" w:type="pct"/>
            <w:tcBorders>
              <w:top w:val="nil"/>
              <w:left w:val="nil"/>
              <w:bottom w:val="nil"/>
              <w:right w:val="nil"/>
            </w:tcBorders>
            <w:shd w:val="clear" w:color="000000" w:fill="FFFFFF"/>
            <w:noWrap/>
            <w:vAlign w:val="bottom"/>
            <w:hideMark/>
          </w:tcPr>
          <w:p w14:paraId="6A9EE647"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6CF5285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265" w:type="pct"/>
            <w:tcBorders>
              <w:top w:val="nil"/>
              <w:left w:val="nil"/>
              <w:bottom w:val="nil"/>
              <w:right w:val="nil"/>
            </w:tcBorders>
            <w:shd w:val="clear" w:color="000000" w:fill="FFFFFF"/>
            <w:noWrap/>
            <w:vAlign w:val="bottom"/>
            <w:hideMark/>
          </w:tcPr>
          <w:p w14:paraId="141905FF"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1F07B545"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05C1E34C"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7A399C2B"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 </w:t>
            </w:r>
          </w:p>
        </w:tc>
        <w:tc>
          <w:tcPr>
            <w:tcW w:w="309" w:type="pct"/>
            <w:tcBorders>
              <w:top w:val="nil"/>
              <w:left w:val="nil"/>
              <w:bottom w:val="nil"/>
              <w:right w:val="nil"/>
            </w:tcBorders>
            <w:shd w:val="clear" w:color="000000" w:fill="FFFFFF"/>
            <w:noWrap/>
            <w:vAlign w:val="bottom"/>
            <w:hideMark/>
          </w:tcPr>
          <w:p w14:paraId="0F291B5B" w14:textId="77777777" w:rsidR="00E04418" w:rsidRPr="00E04418" w:rsidRDefault="00E04418" w:rsidP="00AF6955">
            <w:pPr>
              <w:rPr>
                <w:rFonts w:ascii="Times New Roman" w:hAnsi="Times New Roman"/>
                <w:i/>
                <w:iCs/>
                <w:sz w:val="16"/>
                <w:szCs w:val="16"/>
              </w:rPr>
            </w:pPr>
            <w:r w:rsidRPr="00E04418">
              <w:rPr>
                <w:rFonts w:ascii="Times New Roman" w:hAnsi="Times New Roman"/>
                <w:i/>
                <w:iCs/>
                <w:sz w:val="16"/>
                <w:szCs w:val="16"/>
              </w:rPr>
              <w:t> </w:t>
            </w:r>
          </w:p>
        </w:tc>
        <w:tc>
          <w:tcPr>
            <w:tcW w:w="309" w:type="pct"/>
            <w:tcBorders>
              <w:top w:val="nil"/>
              <w:left w:val="nil"/>
              <w:bottom w:val="nil"/>
              <w:right w:val="nil"/>
            </w:tcBorders>
            <w:shd w:val="clear" w:color="000000" w:fill="FFFFFF"/>
            <w:noWrap/>
            <w:vAlign w:val="bottom"/>
            <w:hideMark/>
          </w:tcPr>
          <w:p w14:paraId="370B1DBE"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4080D7E4"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09" w:type="pct"/>
            <w:tcBorders>
              <w:top w:val="nil"/>
              <w:left w:val="nil"/>
              <w:bottom w:val="nil"/>
              <w:right w:val="nil"/>
            </w:tcBorders>
            <w:shd w:val="clear" w:color="000000" w:fill="FFFFFF"/>
            <w:noWrap/>
            <w:vAlign w:val="bottom"/>
            <w:hideMark/>
          </w:tcPr>
          <w:p w14:paraId="29E725D0"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c>
          <w:tcPr>
            <w:tcW w:w="315" w:type="pct"/>
            <w:tcBorders>
              <w:top w:val="nil"/>
              <w:left w:val="nil"/>
              <w:bottom w:val="nil"/>
              <w:right w:val="nil"/>
            </w:tcBorders>
            <w:shd w:val="clear" w:color="000000" w:fill="FFFFFF"/>
            <w:noWrap/>
            <w:vAlign w:val="bottom"/>
            <w:hideMark/>
          </w:tcPr>
          <w:p w14:paraId="23A26A31" w14:textId="77777777" w:rsidR="00E04418" w:rsidRPr="00E04418" w:rsidRDefault="00E04418" w:rsidP="00AF6955">
            <w:pPr>
              <w:rPr>
                <w:rFonts w:ascii="Times New Roman" w:hAnsi="Times New Roman"/>
                <w:sz w:val="16"/>
                <w:szCs w:val="16"/>
              </w:rPr>
            </w:pPr>
            <w:r w:rsidRPr="00E04418">
              <w:rPr>
                <w:rFonts w:ascii="Times New Roman" w:hAnsi="Times New Roman"/>
                <w:sz w:val="16"/>
                <w:szCs w:val="16"/>
              </w:rPr>
              <w:t> </w:t>
            </w:r>
          </w:p>
        </w:tc>
      </w:tr>
      <w:tr w:rsidR="00E04418" w:rsidRPr="00E04418" w14:paraId="3F7A8550" w14:textId="77777777" w:rsidTr="00E04418">
        <w:trPr>
          <w:trHeight w:val="450"/>
        </w:trPr>
        <w:tc>
          <w:tcPr>
            <w:tcW w:w="1346" w:type="pct"/>
            <w:tcBorders>
              <w:top w:val="nil"/>
              <w:left w:val="nil"/>
              <w:bottom w:val="single" w:sz="4" w:space="0" w:color="auto"/>
              <w:right w:val="nil"/>
            </w:tcBorders>
            <w:shd w:val="clear" w:color="000000" w:fill="FFFFFF"/>
            <w:vAlign w:val="bottom"/>
            <w:hideMark/>
          </w:tcPr>
          <w:p w14:paraId="64D12291" w14:textId="5A6CA4A5" w:rsidR="00E04418" w:rsidRPr="00E04418" w:rsidRDefault="00E04418" w:rsidP="00E04418">
            <w:pPr>
              <w:rPr>
                <w:rFonts w:ascii="Times New Roman" w:hAnsi="Times New Roman"/>
                <w:sz w:val="16"/>
                <w:szCs w:val="16"/>
              </w:rPr>
            </w:pPr>
            <w:r w:rsidRPr="00E04418">
              <w:rPr>
                <w:rFonts w:ascii="Times New Roman" w:hAnsi="Times New Roman"/>
                <w:sz w:val="16"/>
                <w:szCs w:val="16"/>
              </w:rPr>
              <w:t>Korreksjon for indirekte målte banktjenester</w:t>
            </w:r>
            <w:r w:rsidRPr="00E04418">
              <w:rPr>
                <w:rFonts w:ascii="Times New Roman" w:hAnsi="Times New Roman"/>
                <w:sz w:val="16"/>
                <w:szCs w:val="16"/>
                <w:vertAlign w:val="superscript"/>
              </w:rPr>
              <w:t>2</w:t>
            </w:r>
          </w:p>
        </w:tc>
        <w:tc>
          <w:tcPr>
            <w:tcW w:w="377" w:type="pct"/>
            <w:tcBorders>
              <w:top w:val="nil"/>
              <w:left w:val="single" w:sz="4" w:space="0" w:color="auto"/>
              <w:bottom w:val="single" w:sz="4" w:space="0" w:color="auto"/>
              <w:right w:val="single" w:sz="4" w:space="0" w:color="auto"/>
            </w:tcBorders>
            <w:shd w:val="clear" w:color="000000" w:fill="FFFFFF"/>
            <w:vAlign w:val="bottom"/>
            <w:hideMark/>
          </w:tcPr>
          <w:p w14:paraId="4627F290" w14:textId="65C1741C"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63,1</w:t>
            </w:r>
            <w:r w:rsidR="009A5154" w:rsidRPr="009A5154">
              <w:rPr>
                <w:rFonts w:ascii="Times New Roman" w:hAnsi="Times New Roman"/>
                <w:sz w:val="16"/>
                <w:szCs w:val="16"/>
                <w:vertAlign w:val="superscript"/>
              </w:rPr>
              <w:t>3</w:t>
            </w:r>
          </w:p>
        </w:tc>
        <w:tc>
          <w:tcPr>
            <w:tcW w:w="271" w:type="pct"/>
            <w:tcBorders>
              <w:top w:val="nil"/>
              <w:left w:val="nil"/>
              <w:bottom w:val="single" w:sz="4" w:space="0" w:color="auto"/>
              <w:right w:val="nil"/>
            </w:tcBorders>
            <w:shd w:val="clear" w:color="000000" w:fill="FFFFFF"/>
            <w:noWrap/>
            <w:vAlign w:val="bottom"/>
            <w:hideMark/>
          </w:tcPr>
          <w:p w14:paraId="059148A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-0,3</w:t>
            </w:r>
          </w:p>
        </w:tc>
        <w:tc>
          <w:tcPr>
            <w:tcW w:w="265" w:type="pct"/>
            <w:tcBorders>
              <w:top w:val="nil"/>
              <w:left w:val="nil"/>
              <w:bottom w:val="single" w:sz="4" w:space="0" w:color="auto"/>
              <w:right w:val="nil"/>
            </w:tcBorders>
            <w:shd w:val="clear" w:color="000000" w:fill="FFFFFF"/>
            <w:noWrap/>
            <w:vAlign w:val="bottom"/>
            <w:hideMark/>
          </w:tcPr>
          <w:p w14:paraId="319C9C9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265" w:type="pct"/>
            <w:tcBorders>
              <w:top w:val="nil"/>
              <w:left w:val="nil"/>
              <w:bottom w:val="single" w:sz="4" w:space="0" w:color="auto"/>
              <w:right w:val="nil"/>
            </w:tcBorders>
            <w:shd w:val="clear" w:color="000000" w:fill="FFFFFF"/>
            <w:noWrap/>
            <w:vAlign w:val="bottom"/>
            <w:hideMark/>
          </w:tcPr>
          <w:p w14:paraId="6030EF2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0,3</w:t>
            </w:r>
          </w:p>
        </w:tc>
        <w:tc>
          <w:tcPr>
            <w:tcW w:w="309" w:type="pct"/>
            <w:tcBorders>
              <w:top w:val="nil"/>
              <w:left w:val="nil"/>
              <w:bottom w:val="single" w:sz="4" w:space="0" w:color="auto"/>
              <w:right w:val="nil"/>
            </w:tcBorders>
            <w:shd w:val="clear" w:color="000000" w:fill="FFFFFF"/>
            <w:noWrap/>
            <w:vAlign w:val="bottom"/>
            <w:hideMark/>
          </w:tcPr>
          <w:p w14:paraId="50529263"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0,8</w:t>
            </w:r>
          </w:p>
        </w:tc>
        <w:tc>
          <w:tcPr>
            <w:tcW w:w="309" w:type="pct"/>
            <w:tcBorders>
              <w:top w:val="nil"/>
              <w:left w:val="nil"/>
              <w:bottom w:val="single" w:sz="4" w:space="0" w:color="auto"/>
              <w:right w:val="nil"/>
            </w:tcBorders>
            <w:shd w:val="clear" w:color="000000" w:fill="FFFFFF"/>
            <w:noWrap/>
            <w:vAlign w:val="bottom"/>
            <w:hideMark/>
          </w:tcPr>
          <w:p w14:paraId="0AC6D229"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single" w:sz="4" w:space="0" w:color="auto"/>
              <w:right w:val="nil"/>
            </w:tcBorders>
            <w:shd w:val="clear" w:color="000000" w:fill="FFFFFF"/>
            <w:noWrap/>
            <w:vAlign w:val="bottom"/>
            <w:hideMark/>
          </w:tcPr>
          <w:p w14:paraId="08791B7B"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09" w:type="pct"/>
            <w:tcBorders>
              <w:top w:val="nil"/>
              <w:left w:val="nil"/>
              <w:bottom w:val="single" w:sz="4" w:space="0" w:color="auto"/>
              <w:right w:val="nil"/>
            </w:tcBorders>
            <w:shd w:val="clear" w:color="000000" w:fill="FFFFFF"/>
            <w:noWrap/>
            <w:vAlign w:val="bottom"/>
            <w:hideMark/>
          </w:tcPr>
          <w:p w14:paraId="291FF415"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1,0</w:t>
            </w:r>
          </w:p>
        </w:tc>
        <w:tc>
          <w:tcPr>
            <w:tcW w:w="309" w:type="pct"/>
            <w:tcBorders>
              <w:top w:val="nil"/>
              <w:left w:val="nil"/>
              <w:bottom w:val="single" w:sz="4" w:space="0" w:color="auto"/>
              <w:right w:val="nil"/>
            </w:tcBorders>
            <w:shd w:val="clear" w:color="000000" w:fill="FFFFFF"/>
            <w:noWrap/>
            <w:vAlign w:val="bottom"/>
            <w:hideMark/>
          </w:tcPr>
          <w:p w14:paraId="49E39E86"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0,7</w:t>
            </w:r>
          </w:p>
        </w:tc>
        <w:tc>
          <w:tcPr>
            <w:tcW w:w="309" w:type="pct"/>
            <w:tcBorders>
              <w:top w:val="nil"/>
              <w:left w:val="nil"/>
              <w:bottom w:val="single" w:sz="4" w:space="0" w:color="auto"/>
              <w:right w:val="nil"/>
            </w:tcBorders>
            <w:shd w:val="clear" w:color="000000" w:fill="FFFFFF"/>
            <w:noWrap/>
            <w:vAlign w:val="bottom"/>
            <w:hideMark/>
          </w:tcPr>
          <w:p w14:paraId="3C454CCD"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-0,1</w:t>
            </w:r>
          </w:p>
        </w:tc>
        <w:tc>
          <w:tcPr>
            <w:tcW w:w="309" w:type="pct"/>
            <w:tcBorders>
              <w:top w:val="nil"/>
              <w:left w:val="nil"/>
              <w:bottom w:val="single" w:sz="4" w:space="0" w:color="auto"/>
              <w:right w:val="nil"/>
            </w:tcBorders>
            <w:shd w:val="clear" w:color="000000" w:fill="FFFFFF"/>
            <w:noWrap/>
            <w:vAlign w:val="bottom"/>
            <w:hideMark/>
          </w:tcPr>
          <w:p w14:paraId="49A0314F"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c>
          <w:tcPr>
            <w:tcW w:w="315" w:type="pct"/>
            <w:tcBorders>
              <w:top w:val="nil"/>
              <w:left w:val="nil"/>
              <w:bottom w:val="single" w:sz="4" w:space="0" w:color="auto"/>
              <w:right w:val="nil"/>
            </w:tcBorders>
            <w:shd w:val="clear" w:color="000000" w:fill="FFFFFF"/>
            <w:noWrap/>
            <w:vAlign w:val="bottom"/>
            <w:hideMark/>
          </w:tcPr>
          <w:p w14:paraId="21907F90" w14:textId="77777777" w:rsidR="00E04418" w:rsidRPr="00E04418" w:rsidRDefault="00E04418" w:rsidP="00AF6955">
            <w:pPr>
              <w:jc w:val="right"/>
              <w:rPr>
                <w:rFonts w:ascii="Times New Roman" w:hAnsi="Times New Roman"/>
                <w:sz w:val="16"/>
                <w:szCs w:val="16"/>
              </w:rPr>
            </w:pPr>
            <w:r w:rsidRPr="00E04418">
              <w:rPr>
                <w:rFonts w:ascii="Times New Roman" w:hAnsi="Times New Roman"/>
                <w:sz w:val="16"/>
                <w:szCs w:val="16"/>
              </w:rPr>
              <w:t>0,2</w:t>
            </w:r>
          </w:p>
        </w:tc>
      </w:tr>
    </w:tbl>
    <w:p w14:paraId="3441AD49" w14:textId="733FF1CB" w:rsidR="00E04418" w:rsidRPr="00E04418" w:rsidRDefault="00E04418" w:rsidP="00E04418">
      <w:pPr>
        <w:spacing w:after="0"/>
        <w:rPr>
          <w:rFonts w:ascii="Times New Roman" w:hAnsi="Times New Roman"/>
          <w:sz w:val="20"/>
        </w:rPr>
      </w:pPr>
      <w:r w:rsidRPr="00E04418">
        <w:rPr>
          <w:rFonts w:ascii="Times New Roman" w:hAnsi="Times New Roman"/>
          <w:sz w:val="20"/>
        </w:rPr>
        <w:t xml:space="preserve">* Foreløpige tall. </w:t>
      </w:r>
    </w:p>
    <w:p w14:paraId="56A1A7DA" w14:textId="05344479" w:rsidR="00E04418" w:rsidRPr="00E04418" w:rsidRDefault="00E04418" w:rsidP="001F5BDC">
      <w:pPr>
        <w:pStyle w:val="Listeavsnitt"/>
        <w:numPr>
          <w:ilvl w:val="0"/>
          <w:numId w:val="98"/>
        </w:numPr>
        <w:spacing w:before="0"/>
        <w:ind w:left="142" w:hanging="142"/>
        <w:rPr>
          <w:rFonts w:cs="Times New Roman"/>
          <w:sz w:val="20"/>
          <w:szCs w:val="20"/>
        </w:rPr>
      </w:pPr>
      <w:r w:rsidRPr="00E04418">
        <w:rPr>
          <w:rFonts w:cs="Times New Roman"/>
          <w:sz w:val="20"/>
          <w:szCs w:val="20"/>
        </w:rPr>
        <w:t>Blandet inntekt er den delen av driftsresultatet som tilfaller husholdningssektoren. Dette inkluderer også beregnet avkastning av boligkapitalen.</w:t>
      </w:r>
    </w:p>
    <w:p w14:paraId="367D8D8D" w14:textId="06FC3EE9" w:rsidR="00E04418" w:rsidRPr="00E04418" w:rsidRDefault="00E04418" w:rsidP="001F5BDC">
      <w:pPr>
        <w:pStyle w:val="Listeavsnitt"/>
        <w:numPr>
          <w:ilvl w:val="0"/>
          <w:numId w:val="98"/>
        </w:numPr>
        <w:spacing w:before="0"/>
        <w:ind w:left="142" w:hanging="142"/>
        <w:rPr>
          <w:rFonts w:cs="Times New Roman"/>
          <w:sz w:val="20"/>
          <w:szCs w:val="20"/>
        </w:rPr>
      </w:pPr>
      <w:r w:rsidRPr="00E04418">
        <w:rPr>
          <w:rFonts w:cs="Times New Roman"/>
          <w:sz w:val="20"/>
          <w:szCs w:val="20"/>
        </w:rPr>
        <w:t xml:space="preserve">Se boks 5.1 for begrepsforklaring. </w:t>
      </w:r>
    </w:p>
    <w:p w14:paraId="09AC1891" w14:textId="093CF3BF" w:rsidR="00E04418" w:rsidRPr="00E04418" w:rsidRDefault="009A5154" w:rsidP="001F5BDC">
      <w:pPr>
        <w:pStyle w:val="Listeavsnitt"/>
        <w:numPr>
          <w:ilvl w:val="0"/>
          <w:numId w:val="98"/>
        </w:numPr>
        <w:spacing w:before="0"/>
        <w:ind w:left="142" w:hanging="142"/>
        <w:rPr>
          <w:rFonts w:cs="Times New Roman"/>
          <w:sz w:val="20"/>
          <w:szCs w:val="20"/>
        </w:rPr>
      </w:pPr>
      <w:r>
        <w:rPr>
          <w:rFonts w:cs="Times New Roman"/>
          <w:sz w:val="20"/>
          <w:szCs w:val="20"/>
        </w:rPr>
        <w:t>Størrelsene</w:t>
      </w:r>
      <w:r w:rsidR="00394537">
        <w:rPr>
          <w:rFonts w:cs="Times New Roman"/>
          <w:sz w:val="20"/>
          <w:szCs w:val="20"/>
        </w:rPr>
        <w:t xml:space="preserve"> </w:t>
      </w:r>
      <w:r w:rsidR="00E04418">
        <w:rPr>
          <w:rFonts w:cs="Times New Roman"/>
          <w:sz w:val="20"/>
          <w:szCs w:val="20"/>
        </w:rPr>
        <w:t>i millioner</w:t>
      </w:r>
      <w:r w:rsidR="00394537">
        <w:rPr>
          <w:rFonts w:cs="Times New Roman"/>
          <w:sz w:val="20"/>
          <w:szCs w:val="20"/>
        </w:rPr>
        <w:t>.</w:t>
      </w:r>
      <w:r w:rsidR="00E04418" w:rsidRPr="00E04418">
        <w:rPr>
          <w:rFonts w:cs="Times New Roman"/>
          <w:sz w:val="20"/>
          <w:szCs w:val="20"/>
        </w:rPr>
        <w:t xml:space="preserve"> </w:t>
      </w:r>
    </w:p>
    <w:p w14:paraId="08AC3D5F" w14:textId="0B201B53" w:rsidR="00663770" w:rsidRPr="00E04418" w:rsidRDefault="00E04418" w:rsidP="00E04418">
      <w:pPr>
        <w:spacing w:before="120" w:after="240"/>
        <w:rPr>
          <w:rFonts w:ascii="Times New Roman" w:hAnsi="Times New Roman"/>
          <w:sz w:val="20"/>
        </w:rPr>
      </w:pPr>
      <w:r w:rsidRPr="00E04418">
        <w:rPr>
          <w:rFonts w:ascii="Times New Roman" w:hAnsi="Times New Roman"/>
          <w:sz w:val="20"/>
        </w:rPr>
        <w:t>Kilde</w:t>
      </w:r>
      <w:r w:rsidR="007D3BFD">
        <w:rPr>
          <w:rFonts w:ascii="Times New Roman" w:hAnsi="Times New Roman"/>
          <w:sz w:val="20"/>
        </w:rPr>
        <w:t>r</w:t>
      </w:r>
      <w:r w:rsidRPr="00E04418">
        <w:rPr>
          <w:rFonts w:ascii="Times New Roman" w:hAnsi="Times New Roman"/>
          <w:sz w:val="20"/>
        </w:rPr>
        <w:t xml:space="preserve">: Statistisk sentralbyrå og </w:t>
      </w:r>
      <w:r w:rsidR="00AE1F5C">
        <w:rPr>
          <w:rFonts w:ascii="Times New Roman" w:hAnsi="Times New Roman"/>
          <w:sz w:val="20"/>
        </w:rPr>
        <w:t>Beregningsutvalget.</w:t>
      </w:r>
    </w:p>
    <w:p w14:paraId="6492C0E8" w14:textId="6EFE1640" w:rsidR="00663770" w:rsidRPr="00E56ABF" w:rsidRDefault="00663770" w:rsidP="00663770">
      <w:pPr>
        <w:rPr>
          <w:rFonts w:cs="Times"/>
        </w:rPr>
      </w:pPr>
      <w:r w:rsidRPr="00E56ABF">
        <w:rPr>
          <w:i/>
        </w:rPr>
        <w:t>Offentlige stønader</w:t>
      </w:r>
      <w:r w:rsidRPr="00E56ABF">
        <w:t xml:space="preserve">, som er den viktigste inntektskilden for pensjonister og trygdede, har i hele perioden 2006 - 2015 gitt positive bidrag til veksten i husholdningenes disponible realinntekt. Bidraget i 2015 var på hele 1,6 prosentpoeng, en oppgang fra 1,3 prosentpoeng året før. Mye av økningen skyldes nye regler med beskatning av uføretrygd fra folketrygden, som motsvares av tilsvarende økning i utbetalingene. I tillegg bidro økte alderspensjoner, samt stønader tilknyttet arbeidsledighet til utviklingen. </w:t>
      </w:r>
    </w:p>
    <w:p w14:paraId="3B0D898E" w14:textId="7CF20D46" w:rsidR="00663770" w:rsidRPr="00663770" w:rsidRDefault="00663770" w:rsidP="00663770">
      <w:pPr>
        <w:rPr>
          <w:color w:val="FF99CC"/>
        </w:rPr>
      </w:pPr>
      <w:r w:rsidRPr="00E56ABF">
        <w:rPr>
          <w:rFonts w:cs="Times"/>
        </w:rPr>
        <w:t xml:space="preserve">Husholdningenes </w:t>
      </w:r>
      <w:r w:rsidRPr="00E56ABF">
        <w:rPr>
          <w:rFonts w:cs="Times"/>
          <w:bCs/>
          <w:i/>
        </w:rPr>
        <w:t>formuesinntekter</w:t>
      </w:r>
      <w:r w:rsidRPr="00E56ABF">
        <w:rPr>
          <w:rFonts w:cs="Times"/>
          <w:i/>
        </w:rPr>
        <w:t xml:space="preserve"> </w:t>
      </w:r>
      <w:r w:rsidRPr="00E56ABF">
        <w:rPr>
          <w:rFonts w:cs="Times"/>
        </w:rPr>
        <w:t xml:space="preserve">består i hovedsak av renter på bankinnskudd og aksjeutbytte samt beregnet avkastning på forsikringskrav, mens </w:t>
      </w:r>
      <w:r w:rsidRPr="00E56ABF">
        <w:rPr>
          <w:rFonts w:cs="Times"/>
          <w:bCs/>
          <w:i/>
        </w:rPr>
        <w:t>formuesutgiftene</w:t>
      </w:r>
      <w:r w:rsidRPr="00E56ABF">
        <w:rPr>
          <w:rFonts w:cs="Times"/>
          <w:i/>
        </w:rPr>
        <w:t xml:space="preserve"> </w:t>
      </w:r>
      <w:r w:rsidRPr="00E56ABF">
        <w:rPr>
          <w:rFonts w:cs="Times"/>
        </w:rPr>
        <w:t xml:space="preserve">stort sett omfatter gjeldsrenter. </w:t>
      </w:r>
      <w:r w:rsidRPr="00E56ABF">
        <w:t>Husholdningene har langt høyere rentebærende gjeld enn rentebærende fordringer, når vi holder husholdningenes forsikringskrav utenom (se boks 5.</w:t>
      </w:r>
      <w:r w:rsidR="00831418">
        <w:t>2</w:t>
      </w:r>
      <w:r w:rsidRPr="00E56ABF">
        <w:t xml:space="preserve">). I 2015 trakk formuesinntektene disponibel realinntekt ned med 0,4 prosentpoeng. Reduserte formuesutgifter (renteutgifter) bidro derimot til å trekke opp disponibel realinntekt med 1,3 prosentpoeng. </w:t>
      </w:r>
    </w:p>
    <w:p w14:paraId="1F22FBFF" w14:textId="46A0D6E9" w:rsidR="00663770" w:rsidRPr="00E56ABF" w:rsidRDefault="00663770" w:rsidP="00663770">
      <w:r w:rsidRPr="00E56ABF">
        <w:t xml:space="preserve">Tall fra inntektsregnskapet for husholdningssektoren er summariske i den forstand at de ikke gjenspeiler endringer i husholdningenes antall og sammensetning. </w:t>
      </w:r>
      <w:r w:rsidRPr="00E56ABF">
        <w:rPr>
          <w:i/>
        </w:rPr>
        <w:t xml:space="preserve">Disponibel inntekt regnet per innbygger </w:t>
      </w:r>
      <w:r w:rsidRPr="00E56ABF">
        <w:t xml:space="preserve">kan for 2015 anslås til om lag 253 000 kroner mot 244 000 i 2014. </w:t>
      </w:r>
    </w:p>
    <w:p w14:paraId="0FC1A151" w14:textId="77777777" w:rsidR="00C35AF2" w:rsidRDefault="00C35AF2" w:rsidP="00663770"/>
    <w:p w14:paraId="1C2A1ECF" w14:textId="70E08B03" w:rsidR="00663770" w:rsidRDefault="00663770" w:rsidP="00663770">
      <w:r w:rsidRPr="00E56ABF">
        <w:t xml:space="preserve">Tabell 5.6 viser vekst i disponibel realinntekt per innbygger fra 2006 til 2015, både med og uten aksjeutbytte. I denne 10-årsperioden var den gjennomsnittlige årlige veksten per person 1,4 prosent, mens veksten utenom aksjeutbytte var 2,3 prosent. I 2015 økte disponibel realinntekt per person med </w:t>
      </w:r>
      <w:r w:rsidR="00831418">
        <w:t>1,5</w:t>
      </w:r>
      <w:r w:rsidRPr="00E56ABF">
        <w:t xml:space="preserve"> prosent, mot 1,9 prosent året før. </w:t>
      </w:r>
    </w:p>
    <w:p w14:paraId="1A807262" w14:textId="1FB4B2D8" w:rsidR="00C35AF2" w:rsidRPr="00E56ABF" w:rsidRDefault="00C35AF2" w:rsidP="00C35AF2">
      <w:pPr>
        <w:pStyle w:val="tabell-tittel"/>
      </w:pPr>
      <w:r>
        <w:t>Vekst i disponibel realinntekt per innbygger. Vekst fra året før i prosent</w:t>
      </w:r>
    </w:p>
    <w:tbl>
      <w:tblPr>
        <w:tblW w:w="5000" w:type="pct"/>
        <w:jc w:val="center"/>
        <w:tblCellMar>
          <w:left w:w="70" w:type="dxa"/>
          <w:right w:w="70" w:type="dxa"/>
        </w:tblCellMar>
        <w:tblLook w:val="04A0" w:firstRow="1" w:lastRow="0" w:firstColumn="1" w:lastColumn="0" w:noHBand="0" w:noVBand="1"/>
      </w:tblPr>
      <w:tblGrid>
        <w:gridCol w:w="3398"/>
        <w:gridCol w:w="500"/>
        <w:gridCol w:w="500"/>
        <w:gridCol w:w="500"/>
        <w:gridCol w:w="500"/>
        <w:gridCol w:w="500"/>
        <w:gridCol w:w="500"/>
        <w:gridCol w:w="500"/>
        <w:gridCol w:w="500"/>
        <w:gridCol w:w="590"/>
        <w:gridCol w:w="590"/>
        <w:gridCol w:w="636"/>
      </w:tblGrid>
      <w:tr w:rsidR="00C35AF2" w:rsidRPr="008D0F8A" w14:paraId="0A7A6C5B" w14:textId="77777777" w:rsidTr="00C35AF2">
        <w:trPr>
          <w:trHeight w:val="397"/>
          <w:jc w:val="center"/>
        </w:trPr>
        <w:tc>
          <w:tcPr>
            <w:tcW w:w="1844" w:type="pct"/>
            <w:tcBorders>
              <w:top w:val="single" w:sz="4" w:space="0" w:color="auto"/>
              <w:left w:val="nil"/>
              <w:bottom w:val="single" w:sz="4" w:space="0" w:color="auto"/>
              <w:right w:val="nil"/>
            </w:tcBorders>
            <w:shd w:val="clear" w:color="000000" w:fill="FFFFFF"/>
            <w:noWrap/>
            <w:vAlign w:val="bottom"/>
            <w:hideMark/>
          </w:tcPr>
          <w:p w14:paraId="28CE2C16" w14:textId="77777777" w:rsidR="00C35AF2" w:rsidRPr="008D0F8A" w:rsidRDefault="00C35AF2" w:rsidP="00C35AF2">
            <w:pPr>
              <w:rPr>
                <w:rFonts w:ascii="Times New Roman" w:hAnsi="Times New Roman"/>
                <w:sz w:val="18"/>
                <w:szCs w:val="18"/>
              </w:rPr>
            </w:pPr>
            <w:r w:rsidRPr="008D0F8A">
              <w:rPr>
                <w:rFonts w:ascii="Times New Roman" w:hAnsi="Times New Roman"/>
                <w:sz w:val="18"/>
                <w:szCs w:val="18"/>
              </w:rPr>
              <w:t> </w:t>
            </w:r>
          </w:p>
        </w:tc>
        <w:tc>
          <w:tcPr>
            <w:tcW w:w="271" w:type="pct"/>
            <w:tcBorders>
              <w:top w:val="single" w:sz="4" w:space="0" w:color="auto"/>
              <w:left w:val="nil"/>
              <w:bottom w:val="single" w:sz="4" w:space="0" w:color="auto"/>
              <w:right w:val="nil"/>
            </w:tcBorders>
            <w:shd w:val="clear" w:color="000000" w:fill="FFFFFF"/>
            <w:noWrap/>
            <w:vAlign w:val="bottom"/>
            <w:hideMark/>
          </w:tcPr>
          <w:p w14:paraId="087E0C2E"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2006</w:t>
            </w:r>
          </w:p>
        </w:tc>
        <w:tc>
          <w:tcPr>
            <w:tcW w:w="271" w:type="pct"/>
            <w:tcBorders>
              <w:top w:val="single" w:sz="4" w:space="0" w:color="auto"/>
              <w:left w:val="nil"/>
              <w:bottom w:val="single" w:sz="4" w:space="0" w:color="auto"/>
              <w:right w:val="nil"/>
            </w:tcBorders>
            <w:shd w:val="clear" w:color="000000" w:fill="FFFFFF"/>
            <w:noWrap/>
            <w:vAlign w:val="bottom"/>
            <w:hideMark/>
          </w:tcPr>
          <w:p w14:paraId="66A5FF6D"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2007</w:t>
            </w:r>
          </w:p>
        </w:tc>
        <w:tc>
          <w:tcPr>
            <w:tcW w:w="271" w:type="pct"/>
            <w:tcBorders>
              <w:top w:val="single" w:sz="4" w:space="0" w:color="auto"/>
              <w:left w:val="nil"/>
              <w:bottom w:val="single" w:sz="4" w:space="0" w:color="auto"/>
              <w:right w:val="nil"/>
            </w:tcBorders>
            <w:shd w:val="clear" w:color="000000" w:fill="FFFFFF"/>
            <w:noWrap/>
            <w:vAlign w:val="bottom"/>
            <w:hideMark/>
          </w:tcPr>
          <w:p w14:paraId="0944D3B7"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2008</w:t>
            </w:r>
          </w:p>
        </w:tc>
        <w:tc>
          <w:tcPr>
            <w:tcW w:w="271" w:type="pct"/>
            <w:tcBorders>
              <w:top w:val="single" w:sz="4" w:space="0" w:color="auto"/>
              <w:left w:val="nil"/>
              <w:bottom w:val="single" w:sz="4" w:space="0" w:color="auto"/>
              <w:right w:val="nil"/>
            </w:tcBorders>
            <w:shd w:val="clear" w:color="000000" w:fill="FFFFFF"/>
            <w:noWrap/>
            <w:vAlign w:val="bottom"/>
            <w:hideMark/>
          </w:tcPr>
          <w:p w14:paraId="307AC229"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2009</w:t>
            </w:r>
          </w:p>
        </w:tc>
        <w:tc>
          <w:tcPr>
            <w:tcW w:w="271" w:type="pct"/>
            <w:tcBorders>
              <w:top w:val="single" w:sz="4" w:space="0" w:color="auto"/>
              <w:left w:val="nil"/>
              <w:bottom w:val="single" w:sz="4" w:space="0" w:color="auto"/>
              <w:right w:val="nil"/>
            </w:tcBorders>
            <w:shd w:val="clear" w:color="000000" w:fill="FFFFFF"/>
            <w:noWrap/>
            <w:vAlign w:val="bottom"/>
            <w:hideMark/>
          </w:tcPr>
          <w:p w14:paraId="70777EF3"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2010</w:t>
            </w:r>
          </w:p>
        </w:tc>
        <w:tc>
          <w:tcPr>
            <w:tcW w:w="271" w:type="pct"/>
            <w:tcBorders>
              <w:top w:val="single" w:sz="4" w:space="0" w:color="auto"/>
              <w:left w:val="nil"/>
              <w:bottom w:val="single" w:sz="4" w:space="0" w:color="auto"/>
              <w:right w:val="nil"/>
            </w:tcBorders>
            <w:shd w:val="clear" w:color="000000" w:fill="FFFFFF"/>
            <w:noWrap/>
            <w:vAlign w:val="bottom"/>
            <w:hideMark/>
          </w:tcPr>
          <w:p w14:paraId="334E2B3C"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2011</w:t>
            </w:r>
          </w:p>
        </w:tc>
        <w:tc>
          <w:tcPr>
            <w:tcW w:w="271" w:type="pct"/>
            <w:tcBorders>
              <w:top w:val="single" w:sz="4" w:space="0" w:color="auto"/>
              <w:left w:val="nil"/>
              <w:bottom w:val="single" w:sz="4" w:space="0" w:color="auto"/>
              <w:right w:val="nil"/>
            </w:tcBorders>
            <w:shd w:val="clear" w:color="000000" w:fill="FFFFFF"/>
            <w:noWrap/>
            <w:vAlign w:val="bottom"/>
            <w:hideMark/>
          </w:tcPr>
          <w:p w14:paraId="58DD797B"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2012</w:t>
            </w:r>
          </w:p>
        </w:tc>
        <w:tc>
          <w:tcPr>
            <w:tcW w:w="271" w:type="pct"/>
            <w:tcBorders>
              <w:top w:val="single" w:sz="4" w:space="0" w:color="auto"/>
              <w:left w:val="nil"/>
              <w:bottom w:val="single" w:sz="4" w:space="0" w:color="auto"/>
              <w:right w:val="nil"/>
            </w:tcBorders>
            <w:shd w:val="clear" w:color="000000" w:fill="FFFFFF"/>
            <w:noWrap/>
            <w:vAlign w:val="bottom"/>
            <w:hideMark/>
          </w:tcPr>
          <w:p w14:paraId="438A57F9"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2013</w:t>
            </w:r>
          </w:p>
        </w:tc>
        <w:tc>
          <w:tcPr>
            <w:tcW w:w="320" w:type="pct"/>
            <w:tcBorders>
              <w:top w:val="single" w:sz="4" w:space="0" w:color="auto"/>
              <w:left w:val="nil"/>
              <w:bottom w:val="single" w:sz="4" w:space="0" w:color="auto"/>
              <w:right w:val="nil"/>
            </w:tcBorders>
            <w:shd w:val="clear" w:color="000000" w:fill="FFFFFF"/>
            <w:noWrap/>
            <w:vAlign w:val="bottom"/>
            <w:hideMark/>
          </w:tcPr>
          <w:p w14:paraId="2D5DC1B3"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2014*</w:t>
            </w:r>
          </w:p>
        </w:tc>
        <w:tc>
          <w:tcPr>
            <w:tcW w:w="320" w:type="pct"/>
            <w:tcBorders>
              <w:top w:val="single" w:sz="4" w:space="0" w:color="auto"/>
              <w:left w:val="nil"/>
              <w:bottom w:val="single" w:sz="4" w:space="0" w:color="auto"/>
              <w:right w:val="nil"/>
            </w:tcBorders>
            <w:shd w:val="clear" w:color="000000" w:fill="FFFFFF"/>
            <w:noWrap/>
            <w:vAlign w:val="bottom"/>
            <w:hideMark/>
          </w:tcPr>
          <w:p w14:paraId="00DCCC7E"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2015*</w:t>
            </w:r>
          </w:p>
        </w:tc>
        <w:tc>
          <w:tcPr>
            <w:tcW w:w="345" w:type="pct"/>
            <w:tcBorders>
              <w:top w:val="single" w:sz="4" w:space="0" w:color="auto"/>
              <w:left w:val="nil"/>
              <w:bottom w:val="single" w:sz="4" w:space="0" w:color="auto"/>
              <w:right w:val="nil"/>
            </w:tcBorders>
            <w:shd w:val="clear" w:color="000000" w:fill="FFFFFF"/>
            <w:vAlign w:val="bottom"/>
            <w:hideMark/>
          </w:tcPr>
          <w:p w14:paraId="319DB6CC" w14:textId="77777777" w:rsidR="00C35AF2" w:rsidRPr="008D0F8A" w:rsidRDefault="00C35AF2" w:rsidP="00C35AF2">
            <w:pPr>
              <w:rPr>
                <w:rFonts w:ascii="Times New Roman" w:hAnsi="Times New Roman"/>
                <w:i/>
                <w:iCs/>
                <w:sz w:val="18"/>
                <w:szCs w:val="18"/>
              </w:rPr>
            </w:pPr>
            <w:r w:rsidRPr="008D0F8A">
              <w:rPr>
                <w:rFonts w:ascii="Times New Roman" w:hAnsi="Times New Roman"/>
                <w:i/>
                <w:iCs/>
                <w:sz w:val="18"/>
                <w:szCs w:val="18"/>
              </w:rPr>
              <w:t>gj.snitt 06-15</w:t>
            </w:r>
          </w:p>
        </w:tc>
      </w:tr>
      <w:tr w:rsidR="00C35AF2" w:rsidRPr="008D0F8A" w14:paraId="5A32614B" w14:textId="77777777" w:rsidTr="00C35AF2">
        <w:trPr>
          <w:trHeight w:val="304"/>
          <w:jc w:val="center"/>
        </w:trPr>
        <w:tc>
          <w:tcPr>
            <w:tcW w:w="1844" w:type="pct"/>
            <w:tcBorders>
              <w:top w:val="nil"/>
              <w:left w:val="nil"/>
              <w:bottom w:val="nil"/>
              <w:right w:val="nil"/>
            </w:tcBorders>
            <w:shd w:val="clear" w:color="000000" w:fill="FFFFFF"/>
            <w:vAlign w:val="bottom"/>
            <w:hideMark/>
          </w:tcPr>
          <w:p w14:paraId="159B9F8A" w14:textId="77777777" w:rsidR="00C35AF2" w:rsidRPr="008D0F8A" w:rsidRDefault="00C35AF2" w:rsidP="00C35AF2">
            <w:pPr>
              <w:rPr>
                <w:rFonts w:ascii="Times New Roman" w:hAnsi="Times New Roman"/>
                <w:bCs/>
                <w:sz w:val="18"/>
                <w:szCs w:val="18"/>
              </w:rPr>
            </w:pPr>
            <w:r w:rsidRPr="008D0F8A">
              <w:rPr>
                <w:rFonts w:ascii="Times New Roman" w:hAnsi="Times New Roman"/>
                <w:bCs/>
                <w:sz w:val="18"/>
                <w:szCs w:val="18"/>
              </w:rPr>
              <w:t>Disponibel realinntekt per innbygger</w:t>
            </w:r>
          </w:p>
        </w:tc>
        <w:tc>
          <w:tcPr>
            <w:tcW w:w="271" w:type="pct"/>
            <w:tcBorders>
              <w:top w:val="nil"/>
              <w:left w:val="nil"/>
              <w:bottom w:val="nil"/>
              <w:right w:val="nil"/>
            </w:tcBorders>
            <w:shd w:val="clear" w:color="000000" w:fill="FFFFFF"/>
            <w:noWrap/>
            <w:vAlign w:val="bottom"/>
            <w:hideMark/>
          </w:tcPr>
          <w:p w14:paraId="0E441D02"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-7,5</w:t>
            </w:r>
          </w:p>
        </w:tc>
        <w:tc>
          <w:tcPr>
            <w:tcW w:w="271" w:type="pct"/>
            <w:tcBorders>
              <w:top w:val="nil"/>
              <w:left w:val="nil"/>
              <w:bottom w:val="nil"/>
              <w:right w:val="nil"/>
            </w:tcBorders>
            <w:shd w:val="clear" w:color="000000" w:fill="FFFFFF"/>
            <w:noWrap/>
            <w:vAlign w:val="bottom"/>
            <w:hideMark/>
          </w:tcPr>
          <w:p w14:paraId="66198378"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5,4</w:t>
            </w:r>
          </w:p>
        </w:tc>
        <w:tc>
          <w:tcPr>
            <w:tcW w:w="271" w:type="pct"/>
            <w:tcBorders>
              <w:top w:val="nil"/>
              <w:left w:val="nil"/>
              <w:bottom w:val="nil"/>
              <w:right w:val="nil"/>
            </w:tcBorders>
            <w:shd w:val="clear" w:color="000000" w:fill="FFFFFF"/>
            <w:noWrap/>
            <w:vAlign w:val="bottom"/>
            <w:hideMark/>
          </w:tcPr>
          <w:p w14:paraId="7BD57B74"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1,7</w:t>
            </w:r>
          </w:p>
        </w:tc>
        <w:tc>
          <w:tcPr>
            <w:tcW w:w="271" w:type="pct"/>
            <w:tcBorders>
              <w:top w:val="nil"/>
              <w:left w:val="nil"/>
              <w:bottom w:val="nil"/>
              <w:right w:val="nil"/>
            </w:tcBorders>
            <w:shd w:val="clear" w:color="000000" w:fill="FFFFFF"/>
            <w:noWrap/>
            <w:vAlign w:val="bottom"/>
            <w:hideMark/>
          </w:tcPr>
          <w:p w14:paraId="47EE0607"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1,9</w:t>
            </w:r>
          </w:p>
        </w:tc>
        <w:tc>
          <w:tcPr>
            <w:tcW w:w="271" w:type="pct"/>
            <w:tcBorders>
              <w:top w:val="nil"/>
              <w:left w:val="nil"/>
              <w:bottom w:val="nil"/>
              <w:right w:val="nil"/>
            </w:tcBorders>
            <w:shd w:val="clear" w:color="000000" w:fill="FFFFFF"/>
            <w:noWrap/>
            <w:vAlign w:val="bottom"/>
            <w:hideMark/>
          </w:tcPr>
          <w:p w14:paraId="116A222C"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1,2</w:t>
            </w:r>
          </w:p>
        </w:tc>
        <w:tc>
          <w:tcPr>
            <w:tcW w:w="271" w:type="pct"/>
            <w:tcBorders>
              <w:top w:val="nil"/>
              <w:left w:val="nil"/>
              <w:bottom w:val="nil"/>
              <w:right w:val="nil"/>
            </w:tcBorders>
            <w:shd w:val="clear" w:color="000000" w:fill="FFFFFF"/>
            <w:noWrap/>
            <w:vAlign w:val="bottom"/>
            <w:hideMark/>
          </w:tcPr>
          <w:p w14:paraId="2FADAD7B"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2,8</w:t>
            </w:r>
          </w:p>
        </w:tc>
        <w:tc>
          <w:tcPr>
            <w:tcW w:w="271" w:type="pct"/>
            <w:tcBorders>
              <w:top w:val="nil"/>
              <w:left w:val="nil"/>
              <w:bottom w:val="nil"/>
              <w:right w:val="nil"/>
            </w:tcBorders>
            <w:shd w:val="clear" w:color="000000" w:fill="FFFFFF"/>
            <w:noWrap/>
            <w:vAlign w:val="bottom"/>
            <w:hideMark/>
          </w:tcPr>
          <w:p w14:paraId="34E503B4"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3,1</w:t>
            </w:r>
          </w:p>
        </w:tc>
        <w:tc>
          <w:tcPr>
            <w:tcW w:w="271" w:type="pct"/>
            <w:tcBorders>
              <w:top w:val="nil"/>
              <w:left w:val="nil"/>
              <w:bottom w:val="nil"/>
              <w:right w:val="nil"/>
            </w:tcBorders>
            <w:shd w:val="clear" w:color="000000" w:fill="FFFFFF"/>
            <w:noWrap/>
            <w:vAlign w:val="bottom"/>
            <w:hideMark/>
          </w:tcPr>
          <w:p w14:paraId="50CBD6D3"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2,6</w:t>
            </w:r>
          </w:p>
        </w:tc>
        <w:tc>
          <w:tcPr>
            <w:tcW w:w="320" w:type="pct"/>
            <w:tcBorders>
              <w:top w:val="nil"/>
              <w:left w:val="nil"/>
              <w:bottom w:val="nil"/>
              <w:right w:val="nil"/>
            </w:tcBorders>
            <w:shd w:val="clear" w:color="000000" w:fill="FFFFFF"/>
            <w:noWrap/>
            <w:vAlign w:val="bottom"/>
            <w:hideMark/>
          </w:tcPr>
          <w:p w14:paraId="36FD2C9A"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1,9</w:t>
            </w:r>
          </w:p>
        </w:tc>
        <w:tc>
          <w:tcPr>
            <w:tcW w:w="320" w:type="pct"/>
            <w:tcBorders>
              <w:top w:val="nil"/>
              <w:left w:val="nil"/>
              <w:bottom w:val="nil"/>
              <w:right w:val="nil"/>
            </w:tcBorders>
            <w:shd w:val="clear" w:color="000000" w:fill="FFFFFF"/>
            <w:noWrap/>
            <w:vAlign w:val="bottom"/>
            <w:hideMark/>
          </w:tcPr>
          <w:p w14:paraId="29A4E285"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1,5</w:t>
            </w:r>
          </w:p>
        </w:tc>
        <w:tc>
          <w:tcPr>
            <w:tcW w:w="345" w:type="pct"/>
            <w:tcBorders>
              <w:top w:val="nil"/>
              <w:left w:val="nil"/>
              <w:bottom w:val="nil"/>
              <w:right w:val="nil"/>
            </w:tcBorders>
            <w:shd w:val="clear" w:color="000000" w:fill="FFFFFF"/>
            <w:noWrap/>
            <w:vAlign w:val="bottom"/>
            <w:hideMark/>
          </w:tcPr>
          <w:p w14:paraId="3592C23D"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1,4</w:t>
            </w:r>
          </w:p>
        </w:tc>
      </w:tr>
      <w:tr w:rsidR="00C35AF2" w:rsidRPr="008D0F8A" w14:paraId="732EF92F" w14:textId="77777777" w:rsidTr="00C35AF2">
        <w:trPr>
          <w:trHeight w:val="383"/>
          <w:jc w:val="center"/>
        </w:trPr>
        <w:tc>
          <w:tcPr>
            <w:tcW w:w="1844" w:type="pct"/>
            <w:tcBorders>
              <w:top w:val="nil"/>
              <w:left w:val="nil"/>
              <w:bottom w:val="single" w:sz="4" w:space="0" w:color="auto"/>
              <w:right w:val="nil"/>
            </w:tcBorders>
            <w:shd w:val="clear" w:color="000000" w:fill="FFFFFF"/>
            <w:vAlign w:val="bottom"/>
            <w:hideMark/>
          </w:tcPr>
          <w:p w14:paraId="59CB70DB" w14:textId="77777777" w:rsidR="00C35AF2" w:rsidRPr="008D0F8A" w:rsidRDefault="00C35AF2" w:rsidP="00C35AF2">
            <w:pPr>
              <w:rPr>
                <w:rFonts w:ascii="Times New Roman" w:hAnsi="Times New Roman"/>
                <w:bCs/>
                <w:sz w:val="18"/>
                <w:szCs w:val="18"/>
              </w:rPr>
            </w:pPr>
            <w:r w:rsidRPr="008D0F8A">
              <w:rPr>
                <w:rFonts w:ascii="Times New Roman" w:hAnsi="Times New Roman"/>
                <w:bCs/>
                <w:sz w:val="18"/>
                <w:szCs w:val="18"/>
              </w:rPr>
              <w:t>Disponibel realinntekt utenom aksjeutbytte per innbygger</w:t>
            </w:r>
          </w:p>
        </w:tc>
        <w:tc>
          <w:tcPr>
            <w:tcW w:w="271" w:type="pct"/>
            <w:tcBorders>
              <w:top w:val="nil"/>
              <w:left w:val="nil"/>
              <w:bottom w:val="single" w:sz="4" w:space="0" w:color="auto"/>
              <w:right w:val="nil"/>
            </w:tcBorders>
            <w:shd w:val="clear" w:color="000000" w:fill="FFFFFF"/>
            <w:noWrap/>
            <w:vAlign w:val="bottom"/>
            <w:hideMark/>
          </w:tcPr>
          <w:p w14:paraId="6CB57000"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3,8</w:t>
            </w:r>
          </w:p>
        </w:tc>
        <w:tc>
          <w:tcPr>
            <w:tcW w:w="271" w:type="pct"/>
            <w:tcBorders>
              <w:top w:val="nil"/>
              <w:left w:val="nil"/>
              <w:bottom w:val="single" w:sz="4" w:space="0" w:color="auto"/>
              <w:right w:val="nil"/>
            </w:tcBorders>
            <w:shd w:val="clear" w:color="000000" w:fill="FFFFFF"/>
            <w:noWrap/>
            <w:vAlign w:val="bottom"/>
            <w:hideMark/>
          </w:tcPr>
          <w:p w14:paraId="0796A62A"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4,3</w:t>
            </w:r>
          </w:p>
        </w:tc>
        <w:tc>
          <w:tcPr>
            <w:tcW w:w="271" w:type="pct"/>
            <w:tcBorders>
              <w:top w:val="nil"/>
              <w:left w:val="nil"/>
              <w:bottom w:val="single" w:sz="4" w:space="0" w:color="auto"/>
              <w:right w:val="nil"/>
            </w:tcBorders>
            <w:shd w:val="clear" w:color="000000" w:fill="FFFFFF"/>
            <w:noWrap/>
            <w:vAlign w:val="bottom"/>
            <w:hideMark/>
          </w:tcPr>
          <w:p w14:paraId="39715DF8"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1,0</w:t>
            </w:r>
          </w:p>
        </w:tc>
        <w:tc>
          <w:tcPr>
            <w:tcW w:w="271" w:type="pct"/>
            <w:tcBorders>
              <w:top w:val="nil"/>
              <w:left w:val="nil"/>
              <w:bottom w:val="single" w:sz="4" w:space="0" w:color="auto"/>
              <w:right w:val="nil"/>
            </w:tcBorders>
            <w:shd w:val="clear" w:color="000000" w:fill="FFFFFF"/>
            <w:noWrap/>
            <w:vAlign w:val="bottom"/>
            <w:hideMark/>
          </w:tcPr>
          <w:p w14:paraId="4D2EBC39"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2,1</w:t>
            </w:r>
          </w:p>
        </w:tc>
        <w:tc>
          <w:tcPr>
            <w:tcW w:w="271" w:type="pct"/>
            <w:tcBorders>
              <w:top w:val="nil"/>
              <w:left w:val="nil"/>
              <w:bottom w:val="single" w:sz="4" w:space="0" w:color="auto"/>
              <w:right w:val="nil"/>
            </w:tcBorders>
            <w:shd w:val="clear" w:color="000000" w:fill="FFFFFF"/>
            <w:noWrap/>
            <w:vAlign w:val="bottom"/>
            <w:hideMark/>
          </w:tcPr>
          <w:p w14:paraId="14F7BB57"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0,8</w:t>
            </w:r>
          </w:p>
        </w:tc>
        <w:tc>
          <w:tcPr>
            <w:tcW w:w="271" w:type="pct"/>
            <w:tcBorders>
              <w:top w:val="nil"/>
              <w:left w:val="nil"/>
              <w:bottom w:val="single" w:sz="4" w:space="0" w:color="auto"/>
              <w:right w:val="nil"/>
            </w:tcBorders>
            <w:shd w:val="clear" w:color="000000" w:fill="FFFFFF"/>
            <w:noWrap/>
            <w:vAlign w:val="bottom"/>
            <w:hideMark/>
          </w:tcPr>
          <w:p w14:paraId="7EDAA9E8"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2,8</w:t>
            </w:r>
          </w:p>
        </w:tc>
        <w:tc>
          <w:tcPr>
            <w:tcW w:w="271" w:type="pct"/>
            <w:tcBorders>
              <w:top w:val="nil"/>
              <w:left w:val="nil"/>
              <w:bottom w:val="single" w:sz="4" w:space="0" w:color="auto"/>
              <w:right w:val="nil"/>
            </w:tcBorders>
            <w:shd w:val="clear" w:color="000000" w:fill="FFFFFF"/>
            <w:noWrap/>
            <w:vAlign w:val="bottom"/>
            <w:hideMark/>
          </w:tcPr>
          <w:p w14:paraId="25B5170E"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3,0</w:t>
            </w:r>
          </w:p>
        </w:tc>
        <w:tc>
          <w:tcPr>
            <w:tcW w:w="271" w:type="pct"/>
            <w:tcBorders>
              <w:top w:val="nil"/>
              <w:left w:val="nil"/>
              <w:bottom w:val="single" w:sz="4" w:space="0" w:color="auto"/>
              <w:right w:val="nil"/>
            </w:tcBorders>
            <w:shd w:val="clear" w:color="000000" w:fill="FFFFFF"/>
            <w:noWrap/>
            <w:vAlign w:val="bottom"/>
            <w:hideMark/>
          </w:tcPr>
          <w:p w14:paraId="2F422B9C"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2,4</w:t>
            </w:r>
          </w:p>
        </w:tc>
        <w:tc>
          <w:tcPr>
            <w:tcW w:w="320" w:type="pct"/>
            <w:tcBorders>
              <w:top w:val="nil"/>
              <w:left w:val="nil"/>
              <w:bottom w:val="single" w:sz="4" w:space="0" w:color="auto"/>
              <w:right w:val="nil"/>
            </w:tcBorders>
            <w:shd w:val="clear" w:color="000000" w:fill="FFFFFF"/>
            <w:noWrap/>
            <w:vAlign w:val="bottom"/>
            <w:hideMark/>
          </w:tcPr>
          <w:p w14:paraId="188FCA01"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1,8</w:t>
            </w:r>
          </w:p>
        </w:tc>
        <w:tc>
          <w:tcPr>
            <w:tcW w:w="320" w:type="pct"/>
            <w:tcBorders>
              <w:top w:val="nil"/>
              <w:left w:val="nil"/>
              <w:bottom w:val="single" w:sz="4" w:space="0" w:color="auto"/>
              <w:right w:val="nil"/>
            </w:tcBorders>
            <w:shd w:val="clear" w:color="000000" w:fill="FFFFFF"/>
            <w:noWrap/>
            <w:vAlign w:val="bottom"/>
            <w:hideMark/>
          </w:tcPr>
          <w:p w14:paraId="5F454308"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1,6</w:t>
            </w:r>
          </w:p>
        </w:tc>
        <w:tc>
          <w:tcPr>
            <w:tcW w:w="345" w:type="pct"/>
            <w:tcBorders>
              <w:top w:val="nil"/>
              <w:left w:val="nil"/>
              <w:bottom w:val="single" w:sz="4" w:space="0" w:color="auto"/>
              <w:right w:val="nil"/>
            </w:tcBorders>
            <w:shd w:val="clear" w:color="000000" w:fill="FFFFFF"/>
            <w:noWrap/>
            <w:vAlign w:val="bottom"/>
            <w:hideMark/>
          </w:tcPr>
          <w:p w14:paraId="7F296C5C" w14:textId="77777777" w:rsidR="00C35AF2" w:rsidRPr="008D0F8A" w:rsidRDefault="00C35AF2" w:rsidP="00C35AF2">
            <w:pPr>
              <w:jc w:val="right"/>
              <w:rPr>
                <w:rFonts w:ascii="Times New Roman" w:hAnsi="Times New Roman"/>
                <w:sz w:val="18"/>
                <w:szCs w:val="18"/>
              </w:rPr>
            </w:pPr>
            <w:r w:rsidRPr="008D0F8A">
              <w:rPr>
                <w:rFonts w:ascii="Times New Roman" w:hAnsi="Times New Roman"/>
                <w:sz w:val="18"/>
                <w:szCs w:val="18"/>
              </w:rPr>
              <w:t>2,3</w:t>
            </w:r>
          </w:p>
        </w:tc>
      </w:tr>
    </w:tbl>
    <w:p w14:paraId="45AEC39B" w14:textId="4BFA3CAB" w:rsidR="00C35AF2" w:rsidRPr="00C35AF2" w:rsidRDefault="00C35AF2" w:rsidP="00C35AF2">
      <w:pPr>
        <w:spacing w:after="0"/>
        <w:rPr>
          <w:sz w:val="20"/>
        </w:rPr>
      </w:pPr>
      <w:r w:rsidRPr="00C35AF2">
        <w:rPr>
          <w:sz w:val="20"/>
        </w:rPr>
        <w:t xml:space="preserve">* </w:t>
      </w:r>
      <w:r>
        <w:rPr>
          <w:sz w:val="20"/>
        </w:rPr>
        <w:t>F</w:t>
      </w:r>
      <w:r w:rsidRPr="00C35AF2">
        <w:rPr>
          <w:sz w:val="20"/>
        </w:rPr>
        <w:t>oreløpige tall</w:t>
      </w:r>
    </w:p>
    <w:p w14:paraId="11B47D25" w14:textId="69C506C8" w:rsidR="00C35AF2" w:rsidRDefault="00C35AF2" w:rsidP="00C35AF2">
      <w:pPr>
        <w:spacing w:before="120" w:after="240"/>
        <w:rPr>
          <w:sz w:val="20"/>
        </w:rPr>
      </w:pPr>
      <w:r w:rsidRPr="00C35AF2">
        <w:rPr>
          <w:sz w:val="20"/>
        </w:rPr>
        <w:t>Kilde</w:t>
      </w:r>
      <w:r w:rsidR="007D3BFD">
        <w:rPr>
          <w:sz w:val="20"/>
        </w:rPr>
        <w:t>r</w:t>
      </w:r>
      <w:r w:rsidRPr="00C35AF2">
        <w:rPr>
          <w:sz w:val="20"/>
        </w:rPr>
        <w:t xml:space="preserve">: Statistisk sentralbyrå og </w:t>
      </w:r>
      <w:r w:rsidR="00452DE3">
        <w:rPr>
          <w:sz w:val="20"/>
        </w:rPr>
        <w:t>Beregningsutvalget.</w:t>
      </w:r>
    </w:p>
    <w:p w14:paraId="58E77A67" w14:textId="77777777" w:rsidR="001F5BDC" w:rsidRPr="00C35AF2" w:rsidRDefault="001F5BDC" w:rsidP="00C35AF2">
      <w:pPr>
        <w:spacing w:before="120" w:after="240"/>
        <w:rPr>
          <w:sz w:val="20"/>
        </w:rPr>
      </w:pPr>
    </w:p>
    <w:p w14:paraId="47D85DBE" w14:textId="77777777" w:rsidR="00663770" w:rsidRDefault="00663770" w:rsidP="00663770">
      <w:pPr>
        <w:rPr>
          <w:i/>
        </w:rPr>
      </w:pPr>
      <w:r w:rsidRPr="004035E5">
        <w:rPr>
          <w:i/>
          <w:noProof/>
        </w:rPr>
        <w:drawing>
          <wp:inline distT="0" distB="0" distL="0" distR="0" wp14:anchorId="0C0EE312" wp14:editId="1388E613">
            <wp:extent cx="3630930" cy="3048000"/>
            <wp:effectExtent l="0" t="0" r="7620" b="0"/>
            <wp:docPr id="210" name="Bilde 21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
                    <pic:cNvPicPr>
                      <a:picLocks noChangeAspect="1" noChangeArrowheads="1"/>
                    </pic:cNvPicPr>
                  </pic:nvPicPr>
                  <pic:blipFill>
                    <a:blip r:embed="rId60">
                      <a:extLst>
                        <a:ext uri="{28A0092B-C50C-407E-A947-70E740481C1C}">
                          <a14:useLocalDpi xmlns:a14="http://schemas.microsoft.com/office/drawing/2010/main" val="0"/>
                        </a:ext>
                      </a:extLst>
                    </a:blip>
                    <a:srcRect b="42128"/>
                    <a:stretch>
                      <a:fillRect/>
                    </a:stretch>
                  </pic:blipFill>
                  <pic:spPr bwMode="auto">
                    <a:xfrm>
                      <a:off x="0" y="0"/>
                      <a:ext cx="3652379" cy="3066005"/>
                    </a:xfrm>
                    <a:prstGeom prst="rect">
                      <a:avLst/>
                    </a:prstGeom>
                    <a:noFill/>
                    <a:ln>
                      <a:noFill/>
                    </a:ln>
                  </pic:spPr>
                </pic:pic>
              </a:graphicData>
            </a:graphic>
          </wp:inline>
        </w:drawing>
      </w:r>
    </w:p>
    <w:p w14:paraId="7FEB1413" w14:textId="0896BD24" w:rsidR="00663770" w:rsidRPr="00663770" w:rsidRDefault="00663770" w:rsidP="00D86FDB">
      <w:pPr>
        <w:pStyle w:val="figur-tittel"/>
        <w:rPr>
          <w:rFonts w:cs="Arial"/>
          <w:noProof/>
        </w:rPr>
      </w:pPr>
      <w:r w:rsidRPr="00663770">
        <w:rPr>
          <w:rFonts w:cs="Arial"/>
          <w:noProof/>
        </w:rPr>
        <w:t xml:space="preserve">Vekst i disponibel realinntekt for husholdninger. Prosentvis endring fra året før </w:t>
      </w:r>
    </w:p>
    <w:p w14:paraId="347639F0" w14:textId="77777777" w:rsidR="00663770" w:rsidRPr="00831418" w:rsidRDefault="00663770" w:rsidP="00663770">
      <w:pPr>
        <w:rPr>
          <w:sz w:val="20"/>
        </w:rPr>
      </w:pPr>
      <w:r w:rsidRPr="00831418">
        <w:rPr>
          <w:sz w:val="20"/>
        </w:rPr>
        <w:t xml:space="preserve">* Foreløpige tall for 2014 og 2015 </w:t>
      </w:r>
    </w:p>
    <w:p w14:paraId="3699758B" w14:textId="46A2195F" w:rsidR="00D26D86" w:rsidRPr="00831418" w:rsidRDefault="00D86FDB">
      <w:pPr>
        <w:spacing w:after="0"/>
        <w:rPr>
          <w:sz w:val="20"/>
        </w:rPr>
      </w:pPr>
      <w:r w:rsidRPr="00831418">
        <w:rPr>
          <w:sz w:val="20"/>
        </w:rPr>
        <w:t>Kilde</w:t>
      </w:r>
      <w:r w:rsidR="007D3BFD">
        <w:rPr>
          <w:sz w:val="20"/>
        </w:rPr>
        <w:t>r</w:t>
      </w:r>
      <w:r w:rsidRPr="00831418">
        <w:rPr>
          <w:sz w:val="20"/>
        </w:rPr>
        <w:t>: Statistisk sentralbyrå og Beregni</w:t>
      </w:r>
      <w:r w:rsidR="00831418" w:rsidRPr="00831418">
        <w:rPr>
          <w:sz w:val="20"/>
        </w:rPr>
        <w:t>n</w:t>
      </w:r>
      <w:r w:rsidRPr="00831418">
        <w:rPr>
          <w:sz w:val="20"/>
        </w:rPr>
        <w:t>gsutvalget.</w:t>
      </w:r>
      <w:r w:rsidR="00D26D86" w:rsidRPr="00831418">
        <w:rPr>
          <w:sz w:val="20"/>
        </w:rPr>
        <w:br w:type="page"/>
      </w:r>
    </w:p>
    <w:p w14:paraId="418EA415" w14:textId="2F4F7B5C" w:rsidR="00597FFD" w:rsidRPr="00831418" w:rsidRDefault="00663770" w:rsidP="00597FFD">
      <w:pPr>
        <w:pBdr>
          <w:top w:val="single" w:sz="4" w:space="1" w:color="auto"/>
          <w:left w:val="single" w:sz="4" w:space="4" w:color="auto"/>
          <w:bottom w:val="single" w:sz="4" w:space="16" w:color="auto"/>
          <w:right w:val="single" w:sz="4" w:space="4" w:color="auto"/>
        </w:pBdr>
        <w:tabs>
          <w:tab w:val="left" w:pos="4560"/>
        </w:tabs>
        <w:spacing w:after="0"/>
        <w:jc w:val="center"/>
        <w:rPr>
          <w:rFonts w:ascii="Arial" w:hAnsi="Arial" w:cs="Arial"/>
        </w:rPr>
      </w:pPr>
      <w:r w:rsidRPr="00831418">
        <w:rPr>
          <w:rFonts w:ascii="Arial" w:hAnsi="Arial" w:cs="Arial"/>
          <w:b/>
          <w:noProof/>
        </w:rPr>
        <w:t>Boks 5.</w:t>
      </w:r>
      <w:r w:rsidR="00597FFD" w:rsidRPr="00831418">
        <w:rPr>
          <w:rFonts w:ascii="Arial" w:hAnsi="Arial" w:cs="Arial"/>
          <w:b/>
          <w:noProof/>
        </w:rPr>
        <w:t>2</w:t>
      </w:r>
      <w:r w:rsidRPr="00831418">
        <w:rPr>
          <w:rFonts w:ascii="Arial" w:hAnsi="Arial" w:cs="Arial"/>
          <w:b/>
          <w:noProof/>
        </w:rPr>
        <w:t xml:space="preserve"> Noen begreper knyttet til husholdningenes inntekter</w:t>
      </w:r>
      <w:r w:rsidR="00597FFD" w:rsidRPr="00831418">
        <w:rPr>
          <w:rFonts w:ascii="Arial" w:hAnsi="Arial" w:cs="Arial"/>
          <w:b/>
          <w:noProof/>
        </w:rPr>
        <w:br/>
      </w:r>
    </w:p>
    <w:p w14:paraId="282DCB3E" w14:textId="4B0955CE" w:rsidR="00597FFD" w:rsidRDefault="00663770" w:rsidP="00597FFD">
      <w:pPr>
        <w:pBdr>
          <w:top w:val="single" w:sz="4" w:space="1" w:color="auto"/>
          <w:left w:val="single" w:sz="4" w:space="4" w:color="auto"/>
          <w:bottom w:val="single" w:sz="4" w:space="16" w:color="auto"/>
          <w:right w:val="single" w:sz="4" w:space="4" w:color="auto"/>
        </w:pBdr>
        <w:tabs>
          <w:tab w:val="left" w:pos="4560"/>
        </w:tabs>
      </w:pPr>
      <w:r w:rsidRPr="00E56ABF">
        <w:t xml:space="preserve">En personhusholdning kan ha </w:t>
      </w:r>
      <w:r w:rsidRPr="00E56ABF">
        <w:rPr>
          <w:i/>
        </w:rPr>
        <w:t>inntekt</w:t>
      </w:r>
      <w:r w:rsidRPr="00E56ABF">
        <w:t xml:space="preserve"> fra flere kilder, utenom lønnsinntekt. </w:t>
      </w:r>
      <w:r w:rsidRPr="00E56ABF">
        <w:rPr>
          <w:i/>
        </w:rPr>
        <w:t>Blandet inntekt</w:t>
      </w:r>
      <w:r w:rsidRPr="00E56ABF">
        <w:t xml:space="preserve"> er driftsres</w:t>
      </w:r>
      <w:r w:rsidR="00831418">
        <w:t>ultatet fra næringsvirksomhet</w:t>
      </w:r>
      <w:r w:rsidRPr="00E56ABF">
        <w:t xml:space="preserve">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 </w:t>
      </w:r>
    </w:p>
    <w:p w14:paraId="28EBE8A9" w14:textId="77777777" w:rsidR="00597FFD" w:rsidRDefault="00663770" w:rsidP="00597FFD">
      <w:pPr>
        <w:pBdr>
          <w:top w:val="single" w:sz="4" w:space="1" w:color="auto"/>
          <w:left w:val="single" w:sz="4" w:space="4" w:color="auto"/>
          <w:bottom w:val="single" w:sz="4" w:space="16" w:color="auto"/>
          <w:right w:val="single" w:sz="4" w:space="4" w:color="auto"/>
        </w:pBdr>
        <w:tabs>
          <w:tab w:val="left" w:pos="4560"/>
        </w:tabs>
      </w:pPr>
      <w:r w:rsidRPr="00E56ABF">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legges til inntekten.</w:t>
      </w:r>
    </w:p>
    <w:p w14:paraId="76EE30C7" w14:textId="77777777" w:rsidR="00597FFD" w:rsidRDefault="00663770" w:rsidP="00597FFD">
      <w:pPr>
        <w:pBdr>
          <w:top w:val="single" w:sz="4" w:space="1" w:color="auto"/>
          <w:left w:val="single" w:sz="4" w:space="4" w:color="auto"/>
          <w:bottom w:val="single" w:sz="4" w:space="16" w:color="auto"/>
          <w:right w:val="single" w:sz="4" w:space="4" w:color="auto"/>
        </w:pBdr>
        <w:tabs>
          <w:tab w:val="left" w:pos="4560"/>
        </w:tabs>
      </w:pPr>
      <w:r w:rsidRPr="00E56ABF">
        <w:t xml:space="preserve">Beregninger av </w:t>
      </w:r>
      <w:r w:rsidRPr="00E56ABF">
        <w:rPr>
          <w:i/>
        </w:rPr>
        <w:t>disponibel realinntekt</w:t>
      </w:r>
      <w:r w:rsidRPr="00E56ABF">
        <w:t xml:space="preserve"> krever en omregning til faste priser, dvs. en må dividere den løpende inntekten med en </w:t>
      </w:r>
      <w:r w:rsidRPr="00E56ABF">
        <w:rPr>
          <w:i/>
        </w:rPr>
        <w:t>prisindeks</w:t>
      </w:r>
      <w:r w:rsidRPr="00E56ABF">
        <w:t>. Valget av prisindeks er ikke opplagt. Det vanlige er å deflatere husholdningenes inntekter med en felles prisindeks – enten konsumprisindeksen eller nasjonalregnskapets prisindeks for husholdningers totale forbruk. I beregningene i kapittel 5.3 er den sistnevnte prisindeksen benyttet.</w:t>
      </w:r>
    </w:p>
    <w:p w14:paraId="2C2F0B34" w14:textId="77777777" w:rsidR="00597FFD" w:rsidRDefault="00663770" w:rsidP="00597FFD">
      <w:pPr>
        <w:pBdr>
          <w:top w:val="single" w:sz="4" w:space="1" w:color="auto"/>
          <w:left w:val="single" w:sz="4" w:space="4" w:color="auto"/>
          <w:bottom w:val="single" w:sz="4" w:space="16" w:color="auto"/>
          <w:right w:val="single" w:sz="4" w:space="4" w:color="auto"/>
        </w:pBdr>
        <w:tabs>
          <w:tab w:val="left" w:pos="4560"/>
        </w:tabs>
        <w:rPr>
          <w:i/>
        </w:rPr>
      </w:pPr>
      <w:r w:rsidRPr="00E56ABF">
        <w:rPr>
          <w:noProof/>
        </w:rPr>
        <w:t xml:space="preserve">Et grunnleggende prinsipp i nasjonalregnskapet er at inntekter og utgifter skal føres påløpt. Det innebærer at enkelte inntektskomponenter som inntektsføres i nasjonalregnskapet, ikke nødvendigvis utbetales til husholdningene det aktuelle året. Et eksempel på dette er avkastning på husholdningenes </w:t>
      </w:r>
      <w:r w:rsidRPr="00E56ABF">
        <w:rPr>
          <w:i/>
          <w:iCs/>
          <w:noProof/>
        </w:rPr>
        <w:t xml:space="preserve">forsikringskrav </w:t>
      </w:r>
      <w:r w:rsidRPr="00E56ABF">
        <w:rPr>
          <w:iCs/>
          <w:noProof/>
        </w:rPr>
        <w:t>som føres som inntekt og betraktes dermed som sparing og finansinvestering.</w:t>
      </w:r>
      <w:r w:rsidRPr="00E56ABF">
        <w:rPr>
          <w:noProof/>
        </w:rPr>
        <w:t xml:space="preserve"> Husholdningenes forsikringskrav er i hovedsak verdien av beholdningene i livsforsikring og pensjonsfond.</w:t>
      </w:r>
      <w:r w:rsidRPr="00E56ABF">
        <w:rPr>
          <w:i/>
        </w:rPr>
        <w:t xml:space="preserve"> </w:t>
      </w:r>
    </w:p>
    <w:p w14:paraId="596A4CB6" w14:textId="77777777" w:rsidR="00597FFD" w:rsidRDefault="00663770" w:rsidP="00597FFD">
      <w:pPr>
        <w:pBdr>
          <w:top w:val="single" w:sz="4" w:space="1" w:color="auto"/>
          <w:left w:val="single" w:sz="4" w:space="4" w:color="auto"/>
          <w:bottom w:val="single" w:sz="4" w:space="16" w:color="auto"/>
          <w:right w:val="single" w:sz="4" w:space="4" w:color="auto"/>
        </w:pBdr>
        <w:tabs>
          <w:tab w:val="left" w:pos="4560"/>
        </w:tabs>
        <w:rPr>
          <w:noProof/>
        </w:rPr>
      </w:pPr>
      <w:r w:rsidRPr="00E56ABF">
        <w:rPr>
          <w:i/>
        </w:rPr>
        <w:t>Omvurdering</w:t>
      </w:r>
      <w:r w:rsidRPr="00E56ABF">
        <w:rPr>
          <w:noProof/>
        </w:rPr>
        <w:t xml:space="preserve"> av aktiva og lignende ikke realiserte aksjegevinster/tap, endringer i verdien av boligkapitalen og lignende, inngår ikke i begrepet disponibel inntekt. Slike omvurderinger av aktiva vil påvirke forbruksmulighetene over tid, men hører begrepsmessig hjemme i et kapitalregnskap for husholdningene.</w:t>
      </w:r>
    </w:p>
    <w:p w14:paraId="52275A5D" w14:textId="334D326A" w:rsidR="00663770" w:rsidRPr="00DD161C" w:rsidRDefault="00663770" w:rsidP="00597FFD">
      <w:pPr>
        <w:pBdr>
          <w:top w:val="single" w:sz="4" w:space="1" w:color="auto"/>
          <w:left w:val="single" w:sz="4" w:space="4" w:color="auto"/>
          <w:bottom w:val="single" w:sz="4" w:space="16" w:color="auto"/>
          <w:right w:val="single" w:sz="4" w:space="4" w:color="auto"/>
        </w:pBdr>
        <w:tabs>
          <w:tab w:val="left" w:pos="4560"/>
        </w:tabs>
      </w:pPr>
      <w:r w:rsidRPr="00E56ABF">
        <w:rPr>
          <w:i/>
        </w:rPr>
        <w:t xml:space="preserve">Indirekte målte bank- og finanstjenester </w:t>
      </w:r>
      <w:r w:rsidRPr="00E56ABF">
        <w:t>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betraktes de som produksjon i finansinstitusjonene og kalles indirekte målte bank- og finanstjenester.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”betalt” via produktinnsats, til den disponible inntekten. Denne tekniske korreksjone</w:t>
      </w:r>
      <w:r w:rsidR="00831418">
        <w:t xml:space="preserve">n sørger altså for at effekten </w:t>
      </w:r>
      <w:r w:rsidRPr="00E56ABF">
        <w:t xml:space="preserve">av rentemarginen ikke påvirker husholdningenes sparing.   </w:t>
      </w:r>
    </w:p>
    <w:p w14:paraId="4AC28883" w14:textId="77777777" w:rsidR="00663770" w:rsidRPr="00DD161C" w:rsidRDefault="00663770" w:rsidP="00663770"/>
    <w:p w14:paraId="101F4BCA" w14:textId="13EE0B32" w:rsidR="006A380D" w:rsidRPr="00831418" w:rsidRDefault="006A380D" w:rsidP="00831418">
      <w:pPr>
        <w:pStyle w:val="del-tittel0"/>
        <w:spacing w:after="120"/>
        <w:rPr>
          <w:i w:val="0"/>
          <w:sz w:val="32"/>
          <w:szCs w:val="32"/>
        </w:rPr>
      </w:pPr>
      <w:r w:rsidRPr="00660FFB">
        <w:rPr>
          <w:i w:val="0"/>
        </w:rPr>
        <w:t>Kapittel 6</w:t>
      </w:r>
      <w:r w:rsidR="00546A02">
        <w:rPr>
          <w:i w:val="0"/>
        </w:rPr>
        <w:br/>
      </w:r>
    </w:p>
    <w:p w14:paraId="1BAB3BAF" w14:textId="77777777" w:rsidR="006A380D" w:rsidRPr="00E0429F" w:rsidRDefault="006A380D" w:rsidP="00546A02">
      <w:pPr>
        <w:pStyle w:val="Overskrift1"/>
        <w:jc w:val="center"/>
      </w:pPr>
      <w:bookmarkStart w:id="259" w:name="_Toc443999000"/>
      <w:r>
        <w:t>Inntektsutviklingen for utvalgte inntektstakergrupper</w:t>
      </w:r>
      <w:bookmarkEnd w:id="259"/>
    </w:p>
    <w:p w14:paraId="7621551F" w14:textId="77777777" w:rsidR="006A380D" w:rsidRPr="003836D4" w:rsidRDefault="006A380D" w:rsidP="008643D6">
      <w:pPr>
        <w:pStyle w:val="Overskrift2"/>
        <w:numPr>
          <w:ilvl w:val="1"/>
          <w:numId w:val="29"/>
        </w:numPr>
      </w:pPr>
      <w:bookmarkStart w:id="260" w:name="_Toc443999001"/>
      <w:r w:rsidRPr="003836D4">
        <w:t>Vekst i reallønn etter skatt for utvalgte lønnstakerhusholdninger</w:t>
      </w:r>
      <w:bookmarkEnd w:id="260"/>
    </w:p>
    <w:p w14:paraId="77CB8FE7" w14:textId="35B26C35" w:rsidR="006A380D" w:rsidRPr="00E511F7" w:rsidRDefault="006A380D" w:rsidP="006A380D">
      <w:pPr>
        <w:rPr>
          <w:noProof/>
        </w:rPr>
      </w:pPr>
      <w:r w:rsidRPr="00E511F7">
        <w:rPr>
          <w:noProof/>
        </w:rPr>
        <w:t xml:space="preserve">I </w:t>
      </w:r>
      <w:r w:rsidR="000C0D53">
        <w:rPr>
          <w:noProof/>
        </w:rPr>
        <w:t xml:space="preserve">kapittel </w:t>
      </w:r>
      <w:r>
        <w:rPr>
          <w:noProof/>
        </w:rPr>
        <w:t>5.3</w:t>
      </w:r>
      <w:r w:rsidRPr="00E511F7">
        <w:rPr>
          <w:noProof/>
        </w:rPr>
        <w:t xml:space="preserve"> </w:t>
      </w:r>
      <w:r>
        <w:rPr>
          <w:noProof/>
        </w:rPr>
        <w:t>er</w:t>
      </w:r>
      <w:r w:rsidRPr="00E511F7">
        <w:rPr>
          <w:noProof/>
        </w:rPr>
        <w:t xml:space="preserve"> husholdningenes samlede disponible realinntekt, hvor alle typer inntekter inngår (jf. boks </w:t>
      </w:r>
      <w:r>
        <w:rPr>
          <w:noProof/>
        </w:rPr>
        <w:t>5</w:t>
      </w:r>
      <w:r w:rsidRPr="00E511F7">
        <w:rPr>
          <w:noProof/>
        </w:rPr>
        <w:t>.</w:t>
      </w:r>
      <w:r>
        <w:rPr>
          <w:noProof/>
        </w:rPr>
        <w:t>1</w:t>
      </w:r>
      <w:r w:rsidRPr="00E511F7">
        <w:rPr>
          <w:noProof/>
        </w:rPr>
        <w:t>), omtalt. I dette avsnittet er det utviklingen i</w:t>
      </w:r>
      <w:r>
        <w:rPr>
          <w:noProof/>
        </w:rPr>
        <w:t xml:space="preserve"> reallønn etter skatt </w:t>
      </w:r>
      <w:r w:rsidRPr="00E511F7">
        <w:rPr>
          <w:noProof/>
        </w:rPr>
        <w:t xml:space="preserve">for ulike grupper som studeres. Utviklingen i </w:t>
      </w:r>
      <w:r>
        <w:rPr>
          <w:noProof/>
        </w:rPr>
        <w:t>reallønn etter skatt</w:t>
      </w:r>
      <w:r w:rsidRPr="00E511F7">
        <w:rPr>
          <w:noProof/>
        </w:rPr>
        <w:t xml:space="preserve"> bestemmes av forløpene til lønn, skatt og prisstigning. </w:t>
      </w:r>
    </w:p>
    <w:p w14:paraId="575C84AE" w14:textId="77777777" w:rsidR="006A380D" w:rsidRPr="00083A65" w:rsidRDefault="006A380D" w:rsidP="006A380D">
      <w:pPr>
        <w:pStyle w:val="Overskrift3"/>
        <w:rPr>
          <w:noProof/>
        </w:rPr>
      </w:pPr>
      <w:bookmarkStart w:id="261" w:name="ID_KAP2_46_2_46_1"/>
      <w:bookmarkStart w:id="262" w:name="_Toc96946393"/>
      <w:bookmarkStart w:id="263" w:name="_Toc96946563"/>
      <w:bookmarkStart w:id="264" w:name="_Toc96946788"/>
      <w:bookmarkStart w:id="265" w:name="_Toc286073396"/>
      <w:bookmarkStart w:id="266" w:name="_Toc286075040"/>
      <w:bookmarkStart w:id="267" w:name="_Toc286075289"/>
      <w:bookmarkStart w:id="268" w:name="_Toc286077010"/>
      <w:bookmarkStart w:id="269" w:name="_Toc317589344"/>
      <w:bookmarkStart w:id="270" w:name="_Toc348968315"/>
      <w:bookmarkStart w:id="271" w:name="_Toc411849499"/>
      <w:bookmarkStart w:id="272" w:name="_Toc443999002"/>
      <w:bookmarkEnd w:id="261"/>
      <w:r>
        <w:rPr>
          <w:noProof/>
        </w:rPr>
        <w:t>R</w:t>
      </w:r>
      <w:r w:rsidRPr="00083A65">
        <w:rPr>
          <w:noProof/>
        </w:rPr>
        <w:t>eallønn etter skatt fra 20</w:t>
      </w:r>
      <w:r>
        <w:rPr>
          <w:noProof/>
        </w:rPr>
        <w:t>13</w:t>
      </w:r>
      <w:r w:rsidRPr="00083A65">
        <w:rPr>
          <w:noProof/>
        </w:rPr>
        <w:t xml:space="preserve"> til </w:t>
      </w:r>
      <w:bookmarkEnd w:id="262"/>
      <w:bookmarkEnd w:id="263"/>
      <w:bookmarkEnd w:id="264"/>
      <w:bookmarkEnd w:id="265"/>
      <w:bookmarkEnd w:id="266"/>
      <w:bookmarkEnd w:id="267"/>
      <w:bookmarkEnd w:id="268"/>
      <w:bookmarkEnd w:id="269"/>
      <w:bookmarkEnd w:id="270"/>
      <w:bookmarkEnd w:id="271"/>
      <w:r w:rsidRPr="00083A65">
        <w:rPr>
          <w:noProof/>
        </w:rPr>
        <w:t>20</w:t>
      </w:r>
      <w:r>
        <w:rPr>
          <w:noProof/>
        </w:rPr>
        <w:t>15</w:t>
      </w:r>
      <w:bookmarkEnd w:id="272"/>
      <w:r w:rsidRPr="00083A65">
        <w:rPr>
          <w:noProof/>
        </w:rPr>
        <w:t xml:space="preserve"> </w:t>
      </w:r>
    </w:p>
    <w:p w14:paraId="135AF97B" w14:textId="06B19EC3" w:rsidR="006A380D" w:rsidRDefault="006A380D" w:rsidP="006A380D">
      <w:pPr>
        <w:rPr>
          <w:noProof/>
        </w:rPr>
      </w:pPr>
      <w:r>
        <w:rPr>
          <w:noProof/>
        </w:rPr>
        <w:t>Skattesatsen for</w:t>
      </w:r>
      <w:r w:rsidRPr="000F188B">
        <w:rPr>
          <w:noProof/>
        </w:rPr>
        <w:t xml:space="preserve"> alminnelig inntekt </w:t>
      </w:r>
      <w:r>
        <w:rPr>
          <w:noProof/>
        </w:rPr>
        <w:t>var</w:t>
      </w:r>
      <w:r w:rsidRPr="000F188B">
        <w:rPr>
          <w:noProof/>
        </w:rPr>
        <w:t xml:space="preserve"> 28 prosent </w:t>
      </w:r>
      <w:r>
        <w:rPr>
          <w:noProof/>
        </w:rPr>
        <w:t xml:space="preserve">fra </w:t>
      </w:r>
      <w:r w:rsidRPr="000F188B">
        <w:rPr>
          <w:noProof/>
        </w:rPr>
        <w:t>1992</w:t>
      </w:r>
      <w:r>
        <w:rPr>
          <w:noProof/>
        </w:rPr>
        <w:t xml:space="preserve"> til og med 2013</w:t>
      </w:r>
      <w:r w:rsidRPr="000F188B">
        <w:rPr>
          <w:noProof/>
        </w:rPr>
        <w:t xml:space="preserve">. </w:t>
      </w:r>
      <w:r>
        <w:rPr>
          <w:noProof/>
        </w:rPr>
        <w:t xml:space="preserve">Fra 2014 ble denne skattesatsen redusert til 27 prosent kombinert med at trygdeavgiften ble økt fra 7,8 prosent til 8,2 prosent. Fra 2016 er skattesatsen redusert ytterligere til 25 </w:t>
      </w:r>
      <w:r w:rsidR="000C0D53">
        <w:rPr>
          <w:noProof/>
        </w:rPr>
        <w:t>prosent</w:t>
      </w:r>
      <w:r>
        <w:rPr>
          <w:noProof/>
        </w:rPr>
        <w:t xml:space="preserve"> kombinert med innføringen av en ny trinnskatt til erstatning for toppskatten. Se nærmere omtale av skatteendringene fra 2016 i avsnitt 6.1.2. M</w:t>
      </w:r>
      <w:r w:rsidRPr="000F188B">
        <w:rPr>
          <w:noProof/>
        </w:rPr>
        <w:t xml:space="preserve">aksimal marginalskatt på lønn </w:t>
      </w:r>
      <w:r>
        <w:rPr>
          <w:noProof/>
        </w:rPr>
        <w:t xml:space="preserve">fra 1992 </w:t>
      </w:r>
      <w:r w:rsidRPr="00C00B17">
        <w:rPr>
          <w:noProof/>
        </w:rPr>
        <w:t>er</w:t>
      </w:r>
      <w:r>
        <w:rPr>
          <w:noProof/>
        </w:rPr>
        <w:t xml:space="preserve"> gjengitt i tabell 6.1.</w:t>
      </w:r>
      <w:r w:rsidRPr="00217DD6">
        <w:rPr>
          <w:noProof/>
        </w:rPr>
        <w:t xml:space="preserve"> </w:t>
      </w:r>
      <w:r w:rsidRPr="00E511F7">
        <w:rPr>
          <w:noProof/>
        </w:rPr>
        <w:t>Inntektsgrenser mv. for inntektsårene fra 200</w:t>
      </w:r>
      <w:r>
        <w:rPr>
          <w:noProof/>
        </w:rPr>
        <w:t>9</w:t>
      </w:r>
      <w:r w:rsidRPr="00E511F7">
        <w:rPr>
          <w:noProof/>
        </w:rPr>
        <w:t xml:space="preserve"> til 20</w:t>
      </w:r>
      <w:r>
        <w:rPr>
          <w:noProof/>
        </w:rPr>
        <w:t>16</w:t>
      </w:r>
      <w:r w:rsidRPr="00E511F7">
        <w:rPr>
          <w:noProof/>
        </w:rPr>
        <w:t xml:space="preserve"> framgår i tabell 4.1 i vedlegg 4.</w:t>
      </w:r>
    </w:p>
    <w:p w14:paraId="2421973C" w14:textId="77777777" w:rsidR="006A380D" w:rsidRPr="002F4691" w:rsidRDefault="006A380D" w:rsidP="006A380D">
      <w:pPr>
        <w:pStyle w:val="tabell-tittel"/>
      </w:pPr>
      <w:r w:rsidRPr="00C00B17">
        <w:t>Maksimal skatt på alminnelig inntekt og lønn. 1992-</w:t>
      </w:r>
      <w:bookmarkStart w:id="273" w:name="ID_TAB2_46_5"/>
      <w:bookmarkEnd w:id="273"/>
      <w:r w:rsidRPr="00C00B17">
        <w:t>201</w:t>
      </w:r>
      <w:r>
        <w:t>6</w:t>
      </w:r>
    </w:p>
    <w:tbl>
      <w:tblPr>
        <w:tblW w:w="5000" w:type="pct"/>
        <w:tblLook w:val="01E0" w:firstRow="1" w:lastRow="1" w:firstColumn="1" w:lastColumn="1" w:noHBand="0" w:noVBand="0"/>
      </w:tblPr>
      <w:tblGrid>
        <w:gridCol w:w="2868"/>
        <w:gridCol w:w="2985"/>
        <w:gridCol w:w="3361"/>
      </w:tblGrid>
      <w:tr w:rsidR="006A380D" w14:paraId="7BD30D89" w14:textId="77777777" w:rsidTr="00A14364">
        <w:tc>
          <w:tcPr>
            <w:tcW w:w="1556" w:type="pct"/>
            <w:tcBorders>
              <w:top w:val="single" w:sz="4" w:space="0" w:color="auto"/>
              <w:bottom w:val="single" w:sz="4" w:space="0" w:color="auto"/>
            </w:tcBorders>
          </w:tcPr>
          <w:p w14:paraId="37B3B170" w14:textId="77777777" w:rsidR="006A380D" w:rsidRDefault="006A380D" w:rsidP="00A14364">
            <w:pPr>
              <w:rPr>
                <w:noProof/>
              </w:rPr>
            </w:pPr>
            <w:r>
              <w:rPr>
                <w:noProof/>
              </w:rPr>
              <w:t>År</w:t>
            </w:r>
          </w:p>
        </w:tc>
        <w:tc>
          <w:tcPr>
            <w:tcW w:w="1620" w:type="pct"/>
            <w:tcBorders>
              <w:top w:val="single" w:sz="4" w:space="0" w:color="auto"/>
              <w:bottom w:val="single" w:sz="4" w:space="0" w:color="auto"/>
            </w:tcBorders>
          </w:tcPr>
          <w:p w14:paraId="03AAEAF6" w14:textId="77777777" w:rsidR="006A380D" w:rsidRDefault="006A380D" w:rsidP="00A14364">
            <w:pPr>
              <w:jc w:val="right"/>
              <w:rPr>
                <w:noProof/>
              </w:rPr>
            </w:pPr>
            <w:r w:rsidRPr="000F188B">
              <w:rPr>
                <w:noProof/>
              </w:rPr>
              <w:t>Maksimal skatt på alminnelig inntekt</w:t>
            </w:r>
            <w:r>
              <w:rPr>
                <w:noProof/>
              </w:rPr>
              <w:t>. Prosent</w:t>
            </w:r>
          </w:p>
        </w:tc>
        <w:tc>
          <w:tcPr>
            <w:tcW w:w="1825" w:type="pct"/>
            <w:tcBorders>
              <w:top w:val="single" w:sz="4" w:space="0" w:color="auto"/>
              <w:bottom w:val="single" w:sz="4" w:space="0" w:color="auto"/>
            </w:tcBorders>
          </w:tcPr>
          <w:p w14:paraId="4F04879A" w14:textId="7633D7F1" w:rsidR="006A380D" w:rsidRDefault="006A380D" w:rsidP="00297466">
            <w:pPr>
              <w:jc w:val="right"/>
              <w:rPr>
                <w:noProof/>
              </w:rPr>
            </w:pPr>
            <w:r w:rsidRPr="000F188B">
              <w:rPr>
                <w:noProof/>
              </w:rPr>
              <w:t>Maksimal marginalskatt på lønn</w:t>
            </w:r>
            <w:r>
              <w:rPr>
                <w:noProof/>
              </w:rPr>
              <w:t>sinntekt.</w:t>
            </w:r>
            <w:r w:rsidR="00297466">
              <w:rPr>
                <w:noProof/>
              </w:rPr>
              <w:t xml:space="preserve"> </w:t>
            </w:r>
            <w:r>
              <w:rPr>
                <w:noProof/>
              </w:rPr>
              <w:t>Prosent</w:t>
            </w:r>
          </w:p>
        </w:tc>
      </w:tr>
      <w:tr w:rsidR="006A380D" w14:paraId="0999BCE7" w14:textId="77777777" w:rsidTr="00A14364">
        <w:tc>
          <w:tcPr>
            <w:tcW w:w="1556" w:type="pct"/>
            <w:tcBorders>
              <w:top w:val="single" w:sz="4" w:space="0" w:color="auto"/>
            </w:tcBorders>
            <w:vAlign w:val="bottom"/>
          </w:tcPr>
          <w:p w14:paraId="6ABB44DE" w14:textId="77777777" w:rsidR="006A380D" w:rsidRDefault="006A380D" w:rsidP="00A14364">
            <w:pPr>
              <w:rPr>
                <w:noProof/>
              </w:rPr>
            </w:pPr>
            <w:r>
              <w:rPr>
                <w:noProof/>
              </w:rPr>
              <w:t>1992</w:t>
            </w:r>
          </w:p>
        </w:tc>
        <w:tc>
          <w:tcPr>
            <w:tcW w:w="1620" w:type="pct"/>
            <w:tcBorders>
              <w:top w:val="single" w:sz="4" w:space="0" w:color="auto"/>
            </w:tcBorders>
            <w:vAlign w:val="bottom"/>
          </w:tcPr>
          <w:p w14:paraId="2D4DDB7B" w14:textId="77777777" w:rsidR="006A380D" w:rsidRDefault="006A380D" w:rsidP="00A14364">
            <w:pPr>
              <w:jc w:val="right"/>
              <w:rPr>
                <w:noProof/>
              </w:rPr>
            </w:pPr>
            <w:r>
              <w:rPr>
                <w:noProof/>
              </w:rPr>
              <w:t>28</w:t>
            </w:r>
          </w:p>
        </w:tc>
        <w:tc>
          <w:tcPr>
            <w:tcW w:w="1825" w:type="pct"/>
            <w:tcBorders>
              <w:top w:val="single" w:sz="4" w:space="0" w:color="auto"/>
            </w:tcBorders>
            <w:vAlign w:val="bottom"/>
          </w:tcPr>
          <w:p w14:paraId="1EE9C791" w14:textId="77777777" w:rsidR="006A380D" w:rsidRDefault="006A380D" w:rsidP="00A14364">
            <w:pPr>
              <w:jc w:val="right"/>
              <w:rPr>
                <w:noProof/>
              </w:rPr>
            </w:pPr>
            <w:r>
              <w:rPr>
                <w:noProof/>
              </w:rPr>
              <w:t>48,8</w:t>
            </w:r>
          </w:p>
        </w:tc>
      </w:tr>
      <w:tr w:rsidR="006A380D" w14:paraId="7C1D38FC" w14:textId="77777777" w:rsidTr="00A14364">
        <w:tc>
          <w:tcPr>
            <w:tcW w:w="1556" w:type="pct"/>
            <w:vAlign w:val="bottom"/>
          </w:tcPr>
          <w:p w14:paraId="69F0985F" w14:textId="77777777" w:rsidR="006A380D" w:rsidRDefault="006A380D" w:rsidP="00A14364">
            <w:pPr>
              <w:rPr>
                <w:noProof/>
              </w:rPr>
            </w:pPr>
            <w:r>
              <w:rPr>
                <w:noProof/>
              </w:rPr>
              <w:t>1993-1998</w:t>
            </w:r>
          </w:p>
        </w:tc>
        <w:tc>
          <w:tcPr>
            <w:tcW w:w="1620" w:type="pct"/>
            <w:vAlign w:val="bottom"/>
          </w:tcPr>
          <w:p w14:paraId="4E126607" w14:textId="77777777" w:rsidR="006A380D" w:rsidRDefault="006A380D" w:rsidP="00A14364">
            <w:pPr>
              <w:jc w:val="right"/>
              <w:rPr>
                <w:noProof/>
              </w:rPr>
            </w:pPr>
            <w:r>
              <w:rPr>
                <w:noProof/>
              </w:rPr>
              <w:t>28</w:t>
            </w:r>
          </w:p>
        </w:tc>
        <w:tc>
          <w:tcPr>
            <w:tcW w:w="1825" w:type="pct"/>
            <w:vAlign w:val="bottom"/>
          </w:tcPr>
          <w:p w14:paraId="32E0FB80" w14:textId="77777777" w:rsidR="006A380D" w:rsidRDefault="006A380D" w:rsidP="00A14364">
            <w:pPr>
              <w:jc w:val="right"/>
              <w:rPr>
                <w:noProof/>
              </w:rPr>
            </w:pPr>
            <w:r w:rsidRPr="000F188B">
              <w:rPr>
                <w:noProof/>
              </w:rPr>
              <w:t>49,5</w:t>
            </w:r>
          </w:p>
        </w:tc>
      </w:tr>
      <w:tr w:rsidR="006A380D" w14:paraId="05A4FFD9" w14:textId="77777777" w:rsidTr="00A14364">
        <w:tc>
          <w:tcPr>
            <w:tcW w:w="1556" w:type="pct"/>
            <w:vAlign w:val="bottom"/>
          </w:tcPr>
          <w:p w14:paraId="08201370" w14:textId="77777777" w:rsidR="006A380D" w:rsidRDefault="006A380D" w:rsidP="00A14364">
            <w:pPr>
              <w:rPr>
                <w:noProof/>
              </w:rPr>
            </w:pPr>
            <w:r>
              <w:rPr>
                <w:noProof/>
              </w:rPr>
              <w:t>1999</w:t>
            </w:r>
          </w:p>
        </w:tc>
        <w:tc>
          <w:tcPr>
            <w:tcW w:w="1620" w:type="pct"/>
            <w:vAlign w:val="bottom"/>
          </w:tcPr>
          <w:p w14:paraId="519654C7" w14:textId="77777777" w:rsidR="006A380D" w:rsidRDefault="006A380D" w:rsidP="00A14364">
            <w:pPr>
              <w:jc w:val="right"/>
              <w:rPr>
                <w:noProof/>
              </w:rPr>
            </w:pPr>
            <w:r>
              <w:rPr>
                <w:noProof/>
              </w:rPr>
              <w:t>28</w:t>
            </w:r>
          </w:p>
        </w:tc>
        <w:tc>
          <w:tcPr>
            <w:tcW w:w="1825" w:type="pct"/>
            <w:vAlign w:val="bottom"/>
          </w:tcPr>
          <w:p w14:paraId="0F3F2CC3" w14:textId="77777777" w:rsidR="006A380D" w:rsidRDefault="006A380D" w:rsidP="00A14364">
            <w:pPr>
              <w:jc w:val="right"/>
              <w:rPr>
                <w:noProof/>
              </w:rPr>
            </w:pPr>
            <w:r w:rsidRPr="000F188B">
              <w:rPr>
                <w:noProof/>
              </w:rPr>
              <w:t>49,3</w:t>
            </w:r>
          </w:p>
        </w:tc>
      </w:tr>
      <w:tr w:rsidR="006A380D" w14:paraId="0156B9B2" w14:textId="77777777" w:rsidTr="00A14364">
        <w:tc>
          <w:tcPr>
            <w:tcW w:w="1556" w:type="pct"/>
            <w:vAlign w:val="bottom"/>
          </w:tcPr>
          <w:p w14:paraId="25F7D47E" w14:textId="77777777" w:rsidR="006A380D" w:rsidRDefault="006A380D" w:rsidP="00A14364">
            <w:pPr>
              <w:rPr>
                <w:noProof/>
              </w:rPr>
            </w:pPr>
            <w:r>
              <w:rPr>
                <w:noProof/>
              </w:rPr>
              <w:t>2000-2004</w:t>
            </w:r>
          </w:p>
        </w:tc>
        <w:tc>
          <w:tcPr>
            <w:tcW w:w="1620" w:type="pct"/>
            <w:vAlign w:val="bottom"/>
          </w:tcPr>
          <w:p w14:paraId="2F9FA324" w14:textId="77777777" w:rsidR="006A380D" w:rsidRDefault="006A380D" w:rsidP="00A14364">
            <w:pPr>
              <w:jc w:val="right"/>
              <w:rPr>
                <w:noProof/>
              </w:rPr>
            </w:pPr>
            <w:r>
              <w:rPr>
                <w:noProof/>
              </w:rPr>
              <w:t>28</w:t>
            </w:r>
          </w:p>
        </w:tc>
        <w:tc>
          <w:tcPr>
            <w:tcW w:w="1825" w:type="pct"/>
            <w:vAlign w:val="bottom"/>
          </w:tcPr>
          <w:p w14:paraId="1A426CDA" w14:textId="77777777" w:rsidR="006A380D" w:rsidRDefault="006A380D" w:rsidP="00A14364">
            <w:pPr>
              <w:jc w:val="right"/>
              <w:rPr>
                <w:noProof/>
              </w:rPr>
            </w:pPr>
            <w:r w:rsidRPr="000F188B">
              <w:rPr>
                <w:noProof/>
              </w:rPr>
              <w:t>55,3</w:t>
            </w:r>
          </w:p>
        </w:tc>
      </w:tr>
      <w:tr w:rsidR="006A380D" w14:paraId="159D9FEB" w14:textId="77777777" w:rsidTr="00A14364">
        <w:tc>
          <w:tcPr>
            <w:tcW w:w="1556" w:type="pct"/>
            <w:vAlign w:val="bottom"/>
          </w:tcPr>
          <w:p w14:paraId="771E949D" w14:textId="77777777" w:rsidR="006A380D" w:rsidRDefault="006A380D" w:rsidP="00A14364">
            <w:pPr>
              <w:rPr>
                <w:noProof/>
              </w:rPr>
            </w:pPr>
            <w:r>
              <w:rPr>
                <w:noProof/>
              </w:rPr>
              <w:t>2005</w:t>
            </w:r>
          </w:p>
        </w:tc>
        <w:tc>
          <w:tcPr>
            <w:tcW w:w="1620" w:type="pct"/>
            <w:vAlign w:val="bottom"/>
          </w:tcPr>
          <w:p w14:paraId="6B3838A7" w14:textId="77777777" w:rsidR="006A380D" w:rsidRDefault="006A380D" w:rsidP="00A14364">
            <w:pPr>
              <w:jc w:val="right"/>
              <w:rPr>
                <w:noProof/>
              </w:rPr>
            </w:pPr>
            <w:r>
              <w:rPr>
                <w:noProof/>
              </w:rPr>
              <w:t>28</w:t>
            </w:r>
          </w:p>
        </w:tc>
        <w:tc>
          <w:tcPr>
            <w:tcW w:w="1825" w:type="pct"/>
            <w:vAlign w:val="bottom"/>
          </w:tcPr>
          <w:p w14:paraId="66E26084" w14:textId="77777777" w:rsidR="006A380D" w:rsidRDefault="006A380D" w:rsidP="00A14364">
            <w:pPr>
              <w:jc w:val="right"/>
              <w:rPr>
                <w:noProof/>
              </w:rPr>
            </w:pPr>
            <w:r>
              <w:rPr>
                <w:noProof/>
              </w:rPr>
              <w:t>51,3</w:t>
            </w:r>
          </w:p>
        </w:tc>
      </w:tr>
      <w:tr w:rsidR="006A380D" w14:paraId="349624C4" w14:textId="77777777" w:rsidTr="00A14364">
        <w:tc>
          <w:tcPr>
            <w:tcW w:w="1556" w:type="pct"/>
            <w:vAlign w:val="bottom"/>
          </w:tcPr>
          <w:p w14:paraId="5B0CA66D" w14:textId="77777777" w:rsidR="006A380D" w:rsidRDefault="006A380D" w:rsidP="00A14364">
            <w:pPr>
              <w:rPr>
                <w:noProof/>
              </w:rPr>
            </w:pPr>
            <w:r>
              <w:rPr>
                <w:noProof/>
              </w:rPr>
              <w:t>2006-2013</w:t>
            </w:r>
          </w:p>
        </w:tc>
        <w:tc>
          <w:tcPr>
            <w:tcW w:w="1620" w:type="pct"/>
            <w:vAlign w:val="bottom"/>
          </w:tcPr>
          <w:p w14:paraId="0F599C4F" w14:textId="77777777" w:rsidR="006A380D" w:rsidRDefault="006A380D" w:rsidP="00A14364">
            <w:pPr>
              <w:jc w:val="right"/>
              <w:rPr>
                <w:noProof/>
              </w:rPr>
            </w:pPr>
            <w:r>
              <w:rPr>
                <w:noProof/>
              </w:rPr>
              <w:t>28</w:t>
            </w:r>
          </w:p>
        </w:tc>
        <w:tc>
          <w:tcPr>
            <w:tcW w:w="1825" w:type="pct"/>
            <w:vAlign w:val="bottom"/>
          </w:tcPr>
          <w:p w14:paraId="7BCE4E13" w14:textId="77777777" w:rsidR="006A380D" w:rsidRDefault="006A380D" w:rsidP="00A14364">
            <w:pPr>
              <w:jc w:val="right"/>
              <w:rPr>
                <w:noProof/>
              </w:rPr>
            </w:pPr>
            <w:r>
              <w:rPr>
                <w:noProof/>
              </w:rPr>
              <w:t>47,8</w:t>
            </w:r>
          </w:p>
        </w:tc>
      </w:tr>
      <w:tr w:rsidR="006A380D" w14:paraId="655CD805" w14:textId="77777777" w:rsidTr="00A14364">
        <w:tc>
          <w:tcPr>
            <w:tcW w:w="1556" w:type="pct"/>
            <w:vAlign w:val="bottom"/>
          </w:tcPr>
          <w:p w14:paraId="7F0D4266" w14:textId="77777777" w:rsidR="006A380D" w:rsidRDefault="006A380D" w:rsidP="00A14364">
            <w:pPr>
              <w:rPr>
                <w:noProof/>
              </w:rPr>
            </w:pPr>
            <w:r>
              <w:rPr>
                <w:noProof/>
              </w:rPr>
              <w:t>2014-2015</w:t>
            </w:r>
          </w:p>
        </w:tc>
        <w:tc>
          <w:tcPr>
            <w:tcW w:w="1620" w:type="pct"/>
            <w:vAlign w:val="bottom"/>
          </w:tcPr>
          <w:p w14:paraId="3AB94308" w14:textId="77777777" w:rsidR="006A380D" w:rsidRDefault="006A380D" w:rsidP="00A14364">
            <w:pPr>
              <w:jc w:val="right"/>
              <w:rPr>
                <w:noProof/>
              </w:rPr>
            </w:pPr>
            <w:r>
              <w:rPr>
                <w:noProof/>
              </w:rPr>
              <w:t>27</w:t>
            </w:r>
          </w:p>
        </w:tc>
        <w:tc>
          <w:tcPr>
            <w:tcW w:w="1825" w:type="pct"/>
            <w:vAlign w:val="bottom"/>
          </w:tcPr>
          <w:p w14:paraId="704D6D09" w14:textId="77777777" w:rsidR="006A380D" w:rsidRDefault="006A380D" w:rsidP="00A14364">
            <w:pPr>
              <w:jc w:val="right"/>
              <w:rPr>
                <w:noProof/>
              </w:rPr>
            </w:pPr>
            <w:r>
              <w:rPr>
                <w:noProof/>
              </w:rPr>
              <w:t>47,2</w:t>
            </w:r>
          </w:p>
        </w:tc>
      </w:tr>
      <w:tr w:rsidR="006A380D" w14:paraId="0D3499A3" w14:textId="77777777" w:rsidTr="00A14364">
        <w:tc>
          <w:tcPr>
            <w:tcW w:w="1556" w:type="pct"/>
            <w:tcBorders>
              <w:bottom w:val="single" w:sz="4" w:space="0" w:color="auto"/>
            </w:tcBorders>
            <w:vAlign w:val="bottom"/>
          </w:tcPr>
          <w:p w14:paraId="35D82B6F" w14:textId="77777777" w:rsidR="006A380D" w:rsidRDefault="006A380D" w:rsidP="00A14364">
            <w:pPr>
              <w:rPr>
                <w:noProof/>
              </w:rPr>
            </w:pPr>
            <w:r>
              <w:rPr>
                <w:noProof/>
              </w:rPr>
              <w:t>2016</w:t>
            </w:r>
          </w:p>
        </w:tc>
        <w:tc>
          <w:tcPr>
            <w:tcW w:w="1620" w:type="pct"/>
            <w:tcBorders>
              <w:bottom w:val="single" w:sz="4" w:space="0" w:color="auto"/>
            </w:tcBorders>
            <w:vAlign w:val="bottom"/>
          </w:tcPr>
          <w:p w14:paraId="4106FF37" w14:textId="77777777" w:rsidR="006A380D" w:rsidRDefault="006A380D" w:rsidP="00A14364">
            <w:pPr>
              <w:jc w:val="right"/>
              <w:rPr>
                <w:noProof/>
              </w:rPr>
            </w:pPr>
            <w:r>
              <w:rPr>
                <w:noProof/>
              </w:rPr>
              <w:t>25</w:t>
            </w:r>
          </w:p>
        </w:tc>
        <w:tc>
          <w:tcPr>
            <w:tcW w:w="1825" w:type="pct"/>
            <w:tcBorders>
              <w:bottom w:val="single" w:sz="4" w:space="0" w:color="auto"/>
            </w:tcBorders>
            <w:vAlign w:val="bottom"/>
          </w:tcPr>
          <w:p w14:paraId="4479BC2B" w14:textId="77777777" w:rsidR="006A380D" w:rsidRDefault="006A380D" w:rsidP="00A14364">
            <w:pPr>
              <w:jc w:val="right"/>
              <w:rPr>
                <w:noProof/>
              </w:rPr>
            </w:pPr>
            <w:r>
              <w:rPr>
                <w:noProof/>
              </w:rPr>
              <w:t>46,9</w:t>
            </w:r>
          </w:p>
        </w:tc>
      </w:tr>
    </w:tbl>
    <w:p w14:paraId="35F6B7CA" w14:textId="77777777" w:rsidR="006A380D" w:rsidRDefault="006A380D" w:rsidP="006A380D">
      <w:pPr>
        <w:pStyle w:val="Kilde"/>
        <w:rPr>
          <w:noProof/>
        </w:rPr>
      </w:pPr>
      <w:r>
        <w:rPr>
          <w:noProof/>
        </w:rPr>
        <w:t xml:space="preserve">Kilde: Finansdepartementet. </w:t>
      </w:r>
    </w:p>
    <w:p w14:paraId="54F5955A" w14:textId="77777777" w:rsidR="006A380D" w:rsidRDefault="006A380D" w:rsidP="006A380D">
      <w:pPr>
        <w:spacing w:after="0"/>
      </w:pPr>
      <w:r w:rsidRPr="00217DD6">
        <w:rPr>
          <w:noProof/>
        </w:rPr>
        <w:t xml:space="preserve">I tabell </w:t>
      </w:r>
      <w:r>
        <w:rPr>
          <w:noProof/>
        </w:rPr>
        <w:t>6</w:t>
      </w:r>
      <w:r w:rsidRPr="00217DD6">
        <w:rPr>
          <w:noProof/>
        </w:rPr>
        <w:t>.</w:t>
      </w:r>
      <w:r>
        <w:rPr>
          <w:noProof/>
        </w:rPr>
        <w:t>2</w:t>
      </w:r>
      <w:r w:rsidRPr="00217DD6">
        <w:rPr>
          <w:noProof/>
        </w:rPr>
        <w:t xml:space="preserve"> legger </w:t>
      </w:r>
      <w:r>
        <w:rPr>
          <w:noProof/>
        </w:rPr>
        <w:t>u</w:t>
      </w:r>
      <w:r w:rsidRPr="00217DD6">
        <w:rPr>
          <w:noProof/>
        </w:rPr>
        <w:t xml:space="preserve">tvalget fram beregninger av utviklingen i reallønn etter skatt for </w:t>
      </w:r>
      <w:r>
        <w:rPr>
          <w:noProof/>
        </w:rPr>
        <w:t>de viktigste forhandlingsområdene</w:t>
      </w:r>
      <w:r w:rsidRPr="00217DD6">
        <w:rPr>
          <w:noProof/>
        </w:rPr>
        <w:t xml:space="preserve"> fra 20</w:t>
      </w:r>
      <w:r>
        <w:rPr>
          <w:noProof/>
        </w:rPr>
        <w:t>13</w:t>
      </w:r>
      <w:r w:rsidRPr="00217DD6">
        <w:rPr>
          <w:noProof/>
        </w:rPr>
        <w:t xml:space="preserve"> til 20</w:t>
      </w:r>
      <w:r>
        <w:rPr>
          <w:noProof/>
        </w:rPr>
        <w:t>15</w:t>
      </w:r>
      <w:r w:rsidRPr="00217DD6">
        <w:rPr>
          <w:noProof/>
        </w:rPr>
        <w:t>. Det er tatt utgangspunkt i gjennomsnittlig nivå og vekst i årslønn som vist i tabell</w:t>
      </w:r>
      <w:r>
        <w:rPr>
          <w:noProof/>
        </w:rPr>
        <w:t>ene</w:t>
      </w:r>
      <w:r w:rsidRPr="00217DD6">
        <w:rPr>
          <w:noProof/>
        </w:rPr>
        <w:t xml:space="preserve"> 1.1</w:t>
      </w:r>
      <w:r>
        <w:rPr>
          <w:noProof/>
        </w:rPr>
        <w:t xml:space="preserve"> og 1.2</w:t>
      </w:r>
      <w:r w:rsidRPr="00217DD6">
        <w:rPr>
          <w:noProof/>
        </w:rPr>
        <w:t>.</w:t>
      </w:r>
      <w:r w:rsidRPr="00217DD6">
        <w:t xml:space="preserve"> Det er videre sett bort fra endringer i skattemessige fradrag den enkelte måtte ha hatt utover standardfradrag. </w:t>
      </w:r>
    </w:p>
    <w:p w14:paraId="6C6F76C8" w14:textId="77777777" w:rsidR="006A380D" w:rsidRDefault="006A380D" w:rsidP="006A380D">
      <w:pPr>
        <w:spacing w:after="0"/>
      </w:pPr>
    </w:p>
    <w:p w14:paraId="0B2CD5BD" w14:textId="672440A1" w:rsidR="006A380D" w:rsidRDefault="006A380D" w:rsidP="006A380D">
      <w:pPr>
        <w:spacing w:after="0"/>
      </w:pPr>
      <w:r w:rsidRPr="00B40AF5">
        <w:t xml:space="preserve">Tabell </w:t>
      </w:r>
      <w:r>
        <w:t>6</w:t>
      </w:r>
      <w:r w:rsidRPr="00B40AF5">
        <w:t>.</w:t>
      </w:r>
      <w:r>
        <w:t>2</w:t>
      </w:r>
      <w:r w:rsidRPr="00B40AF5">
        <w:t xml:space="preserve"> viser at lønnstakere som har hatt en årslønn og en lønnsvekst som tilsvarer </w:t>
      </w:r>
      <w:r w:rsidRPr="00160B88">
        <w:t xml:space="preserve">gjennomsnittet for alle grupper, har </w:t>
      </w:r>
      <w:r w:rsidRPr="000603EE">
        <w:t xml:space="preserve">fått en økning i reallønn etter skatt på </w:t>
      </w:r>
      <w:r>
        <w:t>0,9</w:t>
      </w:r>
      <w:r w:rsidRPr="000603EE">
        <w:t xml:space="preserve"> prosent fra 201</w:t>
      </w:r>
      <w:r>
        <w:t>4</w:t>
      </w:r>
      <w:r w:rsidRPr="000603EE">
        <w:t xml:space="preserve"> til 201</w:t>
      </w:r>
      <w:r>
        <w:t>5</w:t>
      </w:r>
      <w:r w:rsidRPr="000603EE">
        <w:t>. Dette er noe lavere enn veksten i reallønn etter skatt fra 201</w:t>
      </w:r>
      <w:r>
        <w:t>3</w:t>
      </w:r>
      <w:r w:rsidRPr="000603EE">
        <w:t xml:space="preserve"> til 201</w:t>
      </w:r>
      <w:r>
        <w:t>4</w:t>
      </w:r>
      <w:r w:rsidRPr="000603EE">
        <w:t xml:space="preserve">, noe som </w:t>
      </w:r>
      <w:r>
        <w:t xml:space="preserve">dels </w:t>
      </w:r>
      <w:r w:rsidRPr="000603EE">
        <w:t>skyldes en lavere lønnsvekst før skatt</w:t>
      </w:r>
      <w:r w:rsidR="00297466">
        <w:t>,</w:t>
      </w:r>
      <w:r>
        <w:t xml:space="preserve"> dels at det ble gitt større lettelser i skatt på lønn i 2014 enn i 2015</w:t>
      </w:r>
      <w:r w:rsidRPr="000603EE">
        <w:t>. Lavere skatt på lønn bidrar til å dempe virkningen av lavere lønnsvekst</w:t>
      </w:r>
      <w:r>
        <w:t xml:space="preserve"> i både 2014 og 2015</w:t>
      </w:r>
      <w:r w:rsidRPr="000603EE">
        <w:t xml:space="preserve">. Reallønnsveksten etter skatt var noe lavere enn snittet for industriarbeidere </w:t>
      </w:r>
      <w:r>
        <w:t xml:space="preserve">og industrifunksjonærer </w:t>
      </w:r>
      <w:r w:rsidRPr="000603EE">
        <w:t>i NHO-bedrifter</w:t>
      </w:r>
      <w:r>
        <w:t xml:space="preserve"> og statsansatte</w:t>
      </w:r>
      <w:r w:rsidRPr="000603EE">
        <w:t>, og noe høyere for ansatte i Virke-bedrifter i varehandel</w:t>
      </w:r>
      <w:r>
        <w:t xml:space="preserve">, ansatte i </w:t>
      </w:r>
      <w:r w:rsidR="00297466">
        <w:t>finanstjenester</w:t>
      </w:r>
      <w:r>
        <w:t xml:space="preserve"> og kommuneansatte.</w:t>
      </w:r>
    </w:p>
    <w:p w14:paraId="5AAD773F" w14:textId="77777777" w:rsidR="006A380D" w:rsidRDefault="006A380D" w:rsidP="006A380D">
      <w:pPr>
        <w:pStyle w:val="tabell-tittel"/>
      </w:pPr>
      <w:r>
        <w:t>Gjennomsnittlig årslønn, lønnsvekst, og reallønnsvekst etter skatt</w:t>
      </w:r>
      <w:r w:rsidRPr="00BB68A3">
        <w:t xml:space="preserve"> for utvalgte </w:t>
      </w:r>
      <w:r>
        <w:t>forhandlingsområder</w:t>
      </w:r>
      <w:r w:rsidRPr="00BB68A3">
        <w:t>. Lønnstakere i klasse 1 med gjennomsnittlig årslønn og med standardfradrag. Vekst i prosent</w:t>
      </w:r>
    </w:p>
    <w:tbl>
      <w:tblPr>
        <w:tblW w:w="5061" w:type="pct"/>
        <w:tblBorders>
          <w:top w:val="single" w:sz="4" w:space="0" w:color="auto"/>
        </w:tblBorders>
        <w:tblCellMar>
          <w:left w:w="70" w:type="dxa"/>
          <w:right w:w="70" w:type="dxa"/>
        </w:tblCellMar>
        <w:tblLook w:val="0000" w:firstRow="0" w:lastRow="0" w:firstColumn="0" w:lastColumn="0" w:noHBand="0" w:noVBand="0"/>
      </w:tblPr>
      <w:tblGrid>
        <w:gridCol w:w="3300"/>
        <w:gridCol w:w="1041"/>
        <w:gridCol w:w="1155"/>
        <w:gridCol w:w="1097"/>
        <w:gridCol w:w="509"/>
        <w:gridCol w:w="1155"/>
        <w:gridCol w:w="1069"/>
      </w:tblGrid>
      <w:tr w:rsidR="006A380D" w:rsidRPr="00A16F91" w14:paraId="33920DE4" w14:textId="77777777" w:rsidTr="00A14364">
        <w:tc>
          <w:tcPr>
            <w:tcW w:w="1770" w:type="pct"/>
            <w:tcBorders>
              <w:top w:val="single" w:sz="4" w:space="0" w:color="auto"/>
              <w:bottom w:val="nil"/>
            </w:tcBorders>
            <w:vAlign w:val="bottom"/>
          </w:tcPr>
          <w:p w14:paraId="4BC49ADB" w14:textId="77777777" w:rsidR="006A380D" w:rsidRPr="00BB68A3" w:rsidRDefault="006A380D" w:rsidP="00A14364">
            <w:pPr>
              <w:rPr>
                <w:sz w:val="18"/>
              </w:rPr>
            </w:pPr>
          </w:p>
        </w:tc>
        <w:tc>
          <w:tcPr>
            <w:tcW w:w="558" w:type="pct"/>
            <w:tcBorders>
              <w:top w:val="single" w:sz="4" w:space="0" w:color="auto"/>
              <w:bottom w:val="nil"/>
            </w:tcBorders>
            <w:vAlign w:val="bottom"/>
          </w:tcPr>
          <w:p w14:paraId="50759DC6" w14:textId="77777777" w:rsidR="006A380D" w:rsidRPr="00BB68A3" w:rsidRDefault="006A380D" w:rsidP="00A14364">
            <w:pPr>
              <w:jc w:val="center"/>
              <w:rPr>
                <w:noProof/>
              </w:rPr>
            </w:pPr>
          </w:p>
        </w:tc>
        <w:tc>
          <w:tcPr>
            <w:tcW w:w="1207" w:type="pct"/>
            <w:gridSpan w:val="2"/>
            <w:tcBorders>
              <w:top w:val="single" w:sz="4" w:space="0" w:color="auto"/>
              <w:bottom w:val="single" w:sz="4" w:space="0" w:color="auto"/>
            </w:tcBorders>
            <w:vAlign w:val="bottom"/>
          </w:tcPr>
          <w:p w14:paraId="4B328314" w14:textId="77777777" w:rsidR="006A380D" w:rsidRPr="00A16F91" w:rsidRDefault="006A380D" w:rsidP="00A14364">
            <w:pPr>
              <w:jc w:val="center"/>
              <w:rPr>
                <w:sz w:val="18"/>
              </w:rPr>
            </w:pPr>
            <w:r w:rsidRPr="00A16F91">
              <w:rPr>
                <w:sz w:val="18"/>
              </w:rPr>
              <w:t>20</w:t>
            </w:r>
            <w:r>
              <w:rPr>
                <w:sz w:val="18"/>
              </w:rPr>
              <w:t>14</w:t>
            </w:r>
          </w:p>
        </w:tc>
        <w:tc>
          <w:tcPr>
            <w:tcW w:w="273" w:type="pct"/>
            <w:tcBorders>
              <w:top w:val="single" w:sz="4" w:space="0" w:color="auto"/>
              <w:bottom w:val="nil"/>
            </w:tcBorders>
          </w:tcPr>
          <w:p w14:paraId="6BDB8169" w14:textId="77777777" w:rsidR="006A380D" w:rsidRPr="00A16F91" w:rsidRDefault="006A380D" w:rsidP="00A14364">
            <w:pPr>
              <w:jc w:val="center"/>
              <w:rPr>
                <w:sz w:val="18"/>
              </w:rPr>
            </w:pPr>
          </w:p>
        </w:tc>
        <w:tc>
          <w:tcPr>
            <w:tcW w:w="1193" w:type="pct"/>
            <w:gridSpan w:val="2"/>
            <w:tcBorders>
              <w:top w:val="single" w:sz="4" w:space="0" w:color="auto"/>
              <w:bottom w:val="single" w:sz="4" w:space="0" w:color="auto"/>
            </w:tcBorders>
            <w:vAlign w:val="bottom"/>
          </w:tcPr>
          <w:p w14:paraId="5F008F9B" w14:textId="77777777" w:rsidR="006A380D" w:rsidRPr="00A16F91" w:rsidRDefault="006A380D" w:rsidP="00A14364">
            <w:pPr>
              <w:jc w:val="center"/>
              <w:rPr>
                <w:sz w:val="18"/>
              </w:rPr>
            </w:pPr>
            <w:r>
              <w:rPr>
                <w:sz w:val="18"/>
              </w:rPr>
              <w:t xml:space="preserve">2015 </w:t>
            </w:r>
          </w:p>
        </w:tc>
      </w:tr>
      <w:tr w:rsidR="006A380D" w:rsidRPr="00A16F91" w14:paraId="4709CBDD" w14:textId="77777777" w:rsidTr="00A14364">
        <w:tc>
          <w:tcPr>
            <w:tcW w:w="1770" w:type="pct"/>
            <w:tcBorders>
              <w:top w:val="nil"/>
              <w:bottom w:val="single" w:sz="4" w:space="0" w:color="auto"/>
            </w:tcBorders>
            <w:vAlign w:val="bottom"/>
          </w:tcPr>
          <w:p w14:paraId="052BC2D7" w14:textId="77777777" w:rsidR="006A380D" w:rsidRPr="00A16F91" w:rsidRDefault="006A380D" w:rsidP="00A14364">
            <w:pPr>
              <w:rPr>
                <w:sz w:val="18"/>
              </w:rPr>
            </w:pPr>
            <w:r w:rsidRPr="004B2D3A">
              <w:rPr>
                <w:sz w:val="22"/>
                <w:szCs w:val="22"/>
              </w:rPr>
              <w:t>Grupper</w:t>
            </w:r>
          </w:p>
        </w:tc>
        <w:tc>
          <w:tcPr>
            <w:tcW w:w="558" w:type="pct"/>
            <w:tcBorders>
              <w:top w:val="nil"/>
              <w:bottom w:val="single" w:sz="4" w:space="0" w:color="auto"/>
            </w:tcBorders>
            <w:vAlign w:val="bottom"/>
          </w:tcPr>
          <w:p w14:paraId="7ADE71DE" w14:textId="77777777" w:rsidR="006A380D" w:rsidRPr="00E80B14" w:rsidRDefault="006A380D" w:rsidP="00A14364">
            <w:pPr>
              <w:jc w:val="center"/>
              <w:rPr>
                <w:szCs w:val="22"/>
              </w:rPr>
            </w:pPr>
            <w:r w:rsidRPr="00E80B14">
              <w:rPr>
                <w:noProof/>
                <w:sz w:val="22"/>
                <w:szCs w:val="22"/>
              </w:rPr>
              <w:t>Årslønn i 201</w:t>
            </w:r>
            <w:r>
              <w:rPr>
                <w:noProof/>
                <w:sz w:val="22"/>
                <w:szCs w:val="22"/>
              </w:rPr>
              <w:t>4</w:t>
            </w:r>
            <w:r w:rsidRPr="00E80B14">
              <w:rPr>
                <w:noProof/>
                <w:sz w:val="22"/>
                <w:szCs w:val="22"/>
                <w:vertAlign w:val="superscript"/>
              </w:rPr>
              <w:t>1</w:t>
            </w:r>
            <w:r w:rsidRPr="00E80B14">
              <w:rPr>
                <w:noProof/>
                <w:sz w:val="22"/>
                <w:szCs w:val="22"/>
              </w:rPr>
              <w:t>, kr</w:t>
            </w:r>
          </w:p>
        </w:tc>
        <w:tc>
          <w:tcPr>
            <w:tcW w:w="619" w:type="pct"/>
            <w:tcBorders>
              <w:top w:val="single" w:sz="4" w:space="0" w:color="auto"/>
              <w:bottom w:val="single" w:sz="4" w:space="0" w:color="auto"/>
            </w:tcBorders>
            <w:vAlign w:val="bottom"/>
          </w:tcPr>
          <w:p w14:paraId="42C34197" w14:textId="77777777" w:rsidR="006A380D" w:rsidRPr="00E80B14" w:rsidRDefault="006A380D" w:rsidP="00A14364">
            <w:pPr>
              <w:jc w:val="center"/>
              <w:rPr>
                <w:szCs w:val="22"/>
              </w:rPr>
            </w:pPr>
            <w:r w:rsidRPr="00E80B14">
              <w:rPr>
                <w:sz w:val="22"/>
                <w:szCs w:val="22"/>
              </w:rPr>
              <w:t>Lønnsvekst</w:t>
            </w:r>
          </w:p>
        </w:tc>
        <w:tc>
          <w:tcPr>
            <w:tcW w:w="588" w:type="pct"/>
            <w:tcBorders>
              <w:top w:val="single" w:sz="4" w:space="0" w:color="auto"/>
              <w:bottom w:val="single" w:sz="4" w:space="0" w:color="auto"/>
            </w:tcBorders>
            <w:vAlign w:val="bottom"/>
          </w:tcPr>
          <w:p w14:paraId="57B82614" w14:textId="77777777" w:rsidR="006A380D" w:rsidRPr="00E80B14" w:rsidRDefault="006A380D" w:rsidP="00A14364">
            <w:pPr>
              <w:jc w:val="center"/>
              <w:rPr>
                <w:szCs w:val="22"/>
              </w:rPr>
            </w:pPr>
            <w:r w:rsidRPr="00E80B14">
              <w:rPr>
                <w:sz w:val="22"/>
                <w:szCs w:val="22"/>
              </w:rPr>
              <w:t>Vekst i reallønn etter skatt</w:t>
            </w:r>
          </w:p>
        </w:tc>
        <w:tc>
          <w:tcPr>
            <w:tcW w:w="273" w:type="pct"/>
            <w:tcBorders>
              <w:top w:val="nil"/>
              <w:bottom w:val="single" w:sz="4" w:space="0" w:color="auto"/>
            </w:tcBorders>
          </w:tcPr>
          <w:p w14:paraId="4E99C081" w14:textId="77777777" w:rsidR="006A380D" w:rsidRPr="00E80B14" w:rsidRDefault="006A380D" w:rsidP="00A14364">
            <w:pPr>
              <w:jc w:val="center"/>
              <w:rPr>
                <w:szCs w:val="22"/>
              </w:rPr>
            </w:pPr>
          </w:p>
        </w:tc>
        <w:tc>
          <w:tcPr>
            <w:tcW w:w="619" w:type="pct"/>
            <w:tcBorders>
              <w:top w:val="single" w:sz="4" w:space="0" w:color="auto"/>
              <w:bottom w:val="single" w:sz="4" w:space="0" w:color="auto"/>
            </w:tcBorders>
            <w:vAlign w:val="bottom"/>
          </w:tcPr>
          <w:p w14:paraId="7B7AFCA3" w14:textId="77777777" w:rsidR="006A380D" w:rsidRPr="00E80B14" w:rsidRDefault="006A380D" w:rsidP="00A14364">
            <w:pPr>
              <w:jc w:val="center"/>
              <w:rPr>
                <w:szCs w:val="22"/>
              </w:rPr>
            </w:pPr>
            <w:r w:rsidRPr="00E80B14">
              <w:rPr>
                <w:sz w:val="22"/>
                <w:szCs w:val="22"/>
              </w:rPr>
              <w:t>Lønnsvekst</w:t>
            </w:r>
          </w:p>
        </w:tc>
        <w:tc>
          <w:tcPr>
            <w:tcW w:w="573" w:type="pct"/>
            <w:tcBorders>
              <w:top w:val="single" w:sz="4" w:space="0" w:color="auto"/>
              <w:bottom w:val="single" w:sz="4" w:space="0" w:color="auto"/>
            </w:tcBorders>
            <w:vAlign w:val="bottom"/>
          </w:tcPr>
          <w:p w14:paraId="383AE902" w14:textId="77777777" w:rsidR="006A380D" w:rsidRPr="00E80B14" w:rsidRDefault="006A380D" w:rsidP="00A14364">
            <w:pPr>
              <w:jc w:val="center"/>
              <w:rPr>
                <w:szCs w:val="22"/>
              </w:rPr>
            </w:pPr>
            <w:r w:rsidRPr="00E80B14">
              <w:rPr>
                <w:sz w:val="22"/>
                <w:szCs w:val="22"/>
              </w:rPr>
              <w:t>Vekst i reallønn etter skatt</w:t>
            </w:r>
          </w:p>
        </w:tc>
      </w:tr>
      <w:tr w:rsidR="006A380D" w:rsidRPr="00A16F91" w14:paraId="418A2022" w14:textId="77777777" w:rsidTr="00A14364">
        <w:tc>
          <w:tcPr>
            <w:tcW w:w="1770" w:type="pct"/>
            <w:vAlign w:val="bottom"/>
          </w:tcPr>
          <w:p w14:paraId="5DDECAD4" w14:textId="77777777" w:rsidR="006A380D" w:rsidRPr="0016286A" w:rsidRDefault="006A380D" w:rsidP="00A14364">
            <w:pPr>
              <w:rPr>
                <w:szCs w:val="22"/>
              </w:rPr>
            </w:pPr>
            <w:r w:rsidRPr="0016286A">
              <w:rPr>
                <w:sz w:val="22"/>
                <w:szCs w:val="22"/>
              </w:rPr>
              <w:t>Industriarbeidere</w:t>
            </w:r>
            <w:r>
              <w:rPr>
                <w:sz w:val="22"/>
                <w:szCs w:val="22"/>
                <w:vertAlign w:val="superscript"/>
              </w:rPr>
              <w:t>2</w:t>
            </w:r>
          </w:p>
        </w:tc>
        <w:tc>
          <w:tcPr>
            <w:tcW w:w="558" w:type="pct"/>
            <w:vAlign w:val="bottom"/>
          </w:tcPr>
          <w:p w14:paraId="47181649" w14:textId="77777777" w:rsidR="006A380D" w:rsidRPr="00E80B14" w:rsidRDefault="006A380D" w:rsidP="00A14364">
            <w:pPr>
              <w:jc w:val="center"/>
              <w:rPr>
                <w:szCs w:val="22"/>
              </w:rPr>
            </w:pPr>
            <w:r>
              <w:rPr>
                <w:sz w:val="22"/>
                <w:szCs w:val="22"/>
              </w:rPr>
              <w:t>431 100</w:t>
            </w:r>
          </w:p>
        </w:tc>
        <w:tc>
          <w:tcPr>
            <w:tcW w:w="619" w:type="pct"/>
            <w:vAlign w:val="bottom"/>
          </w:tcPr>
          <w:p w14:paraId="021BBE3F" w14:textId="77777777" w:rsidR="006A380D" w:rsidRPr="00E80B14" w:rsidRDefault="006A380D" w:rsidP="00A14364">
            <w:pPr>
              <w:jc w:val="center"/>
              <w:rPr>
                <w:szCs w:val="22"/>
              </w:rPr>
            </w:pPr>
            <w:r>
              <w:rPr>
                <w:sz w:val="22"/>
                <w:szCs w:val="22"/>
              </w:rPr>
              <w:t xml:space="preserve">3,0 </w:t>
            </w:r>
          </w:p>
        </w:tc>
        <w:tc>
          <w:tcPr>
            <w:tcW w:w="588" w:type="pct"/>
            <w:tcBorders>
              <w:top w:val="single" w:sz="4" w:space="0" w:color="auto"/>
            </w:tcBorders>
            <w:vAlign w:val="bottom"/>
          </w:tcPr>
          <w:p w14:paraId="7D5E348D" w14:textId="77777777" w:rsidR="006A380D" w:rsidRPr="00E80B14" w:rsidRDefault="006A380D" w:rsidP="00A14364">
            <w:pPr>
              <w:jc w:val="center"/>
              <w:rPr>
                <w:szCs w:val="22"/>
              </w:rPr>
            </w:pPr>
            <w:r>
              <w:rPr>
                <w:sz w:val="22"/>
                <w:szCs w:val="22"/>
              </w:rPr>
              <w:t>1,4</w:t>
            </w:r>
          </w:p>
        </w:tc>
        <w:tc>
          <w:tcPr>
            <w:tcW w:w="273" w:type="pct"/>
            <w:tcBorders>
              <w:top w:val="single" w:sz="4" w:space="0" w:color="auto"/>
            </w:tcBorders>
            <w:vAlign w:val="bottom"/>
          </w:tcPr>
          <w:p w14:paraId="2212F1E0" w14:textId="77777777" w:rsidR="006A380D" w:rsidRPr="00E80B14" w:rsidDel="00564D99" w:rsidRDefault="006A380D" w:rsidP="00A14364">
            <w:pPr>
              <w:jc w:val="center"/>
              <w:rPr>
                <w:szCs w:val="22"/>
              </w:rPr>
            </w:pPr>
          </w:p>
        </w:tc>
        <w:tc>
          <w:tcPr>
            <w:tcW w:w="619" w:type="pct"/>
            <w:vAlign w:val="bottom"/>
          </w:tcPr>
          <w:p w14:paraId="4BD5D11A" w14:textId="77777777" w:rsidR="006A380D" w:rsidRPr="00CC4F3E" w:rsidRDefault="006A380D" w:rsidP="00A14364">
            <w:pPr>
              <w:jc w:val="center"/>
              <w:rPr>
                <w:sz w:val="22"/>
                <w:szCs w:val="22"/>
              </w:rPr>
            </w:pPr>
            <w:r>
              <w:rPr>
                <w:sz w:val="22"/>
                <w:szCs w:val="22"/>
              </w:rPr>
              <w:t>2</w:t>
            </w:r>
            <w:r w:rsidRPr="00CC4F3E">
              <w:rPr>
                <w:sz w:val="22"/>
                <w:szCs w:val="22"/>
              </w:rPr>
              <w:t xml:space="preserve"> ½ </w:t>
            </w:r>
          </w:p>
        </w:tc>
        <w:tc>
          <w:tcPr>
            <w:tcW w:w="573" w:type="pct"/>
            <w:vAlign w:val="bottom"/>
          </w:tcPr>
          <w:p w14:paraId="64C3AB29" w14:textId="77777777" w:rsidR="006A380D" w:rsidRPr="00CC4F3E" w:rsidRDefault="006A380D" w:rsidP="00A14364">
            <w:pPr>
              <w:jc w:val="center"/>
              <w:rPr>
                <w:sz w:val="22"/>
                <w:szCs w:val="22"/>
              </w:rPr>
            </w:pPr>
            <w:r w:rsidRPr="00CC4F3E">
              <w:rPr>
                <w:sz w:val="22"/>
                <w:szCs w:val="22"/>
              </w:rPr>
              <w:t>0,7</w:t>
            </w:r>
          </w:p>
        </w:tc>
      </w:tr>
      <w:tr w:rsidR="006A380D" w:rsidRPr="00A16F91" w14:paraId="1D5D142C" w14:textId="77777777" w:rsidTr="00A14364">
        <w:tc>
          <w:tcPr>
            <w:tcW w:w="1770" w:type="pct"/>
            <w:vAlign w:val="bottom"/>
          </w:tcPr>
          <w:p w14:paraId="6AFF82D4" w14:textId="77777777" w:rsidR="006A380D" w:rsidRPr="0016286A" w:rsidRDefault="006A380D" w:rsidP="00A14364">
            <w:pPr>
              <w:rPr>
                <w:szCs w:val="22"/>
              </w:rPr>
            </w:pPr>
            <w:r w:rsidRPr="0016286A">
              <w:rPr>
                <w:sz w:val="22"/>
                <w:szCs w:val="22"/>
              </w:rPr>
              <w:t>Industrifunksjonærer</w:t>
            </w:r>
            <w:r>
              <w:rPr>
                <w:sz w:val="22"/>
                <w:szCs w:val="22"/>
                <w:vertAlign w:val="superscript"/>
              </w:rPr>
              <w:t>3</w:t>
            </w:r>
          </w:p>
        </w:tc>
        <w:tc>
          <w:tcPr>
            <w:tcW w:w="558" w:type="pct"/>
            <w:vAlign w:val="bottom"/>
          </w:tcPr>
          <w:p w14:paraId="674AEDFB" w14:textId="77777777" w:rsidR="006A380D" w:rsidRPr="00E80B14" w:rsidRDefault="006A380D" w:rsidP="00A14364">
            <w:pPr>
              <w:jc w:val="center"/>
              <w:rPr>
                <w:szCs w:val="22"/>
              </w:rPr>
            </w:pPr>
            <w:r>
              <w:rPr>
                <w:sz w:val="22"/>
                <w:szCs w:val="22"/>
              </w:rPr>
              <w:t>669 500</w:t>
            </w:r>
          </w:p>
        </w:tc>
        <w:tc>
          <w:tcPr>
            <w:tcW w:w="619" w:type="pct"/>
            <w:vAlign w:val="bottom"/>
          </w:tcPr>
          <w:p w14:paraId="4098B6D6" w14:textId="77777777" w:rsidR="006A380D" w:rsidRPr="00E80B14" w:rsidRDefault="006A380D" w:rsidP="00A14364">
            <w:pPr>
              <w:jc w:val="center"/>
              <w:rPr>
                <w:szCs w:val="22"/>
              </w:rPr>
            </w:pPr>
            <w:r>
              <w:rPr>
                <w:sz w:val="22"/>
                <w:szCs w:val="22"/>
              </w:rPr>
              <w:t xml:space="preserve">3,2 </w:t>
            </w:r>
          </w:p>
        </w:tc>
        <w:tc>
          <w:tcPr>
            <w:tcW w:w="588" w:type="pct"/>
            <w:vAlign w:val="bottom"/>
          </w:tcPr>
          <w:p w14:paraId="3DAB04DC" w14:textId="77777777" w:rsidR="006A380D" w:rsidRPr="00E80B14" w:rsidRDefault="006A380D" w:rsidP="00A14364">
            <w:pPr>
              <w:jc w:val="center"/>
              <w:rPr>
                <w:szCs w:val="22"/>
              </w:rPr>
            </w:pPr>
            <w:r>
              <w:rPr>
                <w:sz w:val="22"/>
                <w:szCs w:val="22"/>
              </w:rPr>
              <w:t>1,8</w:t>
            </w:r>
          </w:p>
        </w:tc>
        <w:tc>
          <w:tcPr>
            <w:tcW w:w="273" w:type="pct"/>
            <w:tcBorders>
              <w:top w:val="nil"/>
            </w:tcBorders>
            <w:vAlign w:val="bottom"/>
          </w:tcPr>
          <w:p w14:paraId="64E652F2" w14:textId="77777777" w:rsidR="006A380D" w:rsidRPr="00E80B14" w:rsidDel="00564D99" w:rsidRDefault="006A380D" w:rsidP="00A14364">
            <w:pPr>
              <w:jc w:val="center"/>
              <w:rPr>
                <w:szCs w:val="22"/>
              </w:rPr>
            </w:pPr>
          </w:p>
        </w:tc>
        <w:tc>
          <w:tcPr>
            <w:tcW w:w="619" w:type="pct"/>
            <w:vAlign w:val="bottom"/>
          </w:tcPr>
          <w:p w14:paraId="730904BF" w14:textId="77777777" w:rsidR="006A380D" w:rsidRPr="00CC4F3E" w:rsidRDefault="006A380D" w:rsidP="00A14364">
            <w:pPr>
              <w:jc w:val="center"/>
              <w:rPr>
                <w:sz w:val="22"/>
                <w:szCs w:val="22"/>
              </w:rPr>
            </w:pPr>
            <w:r>
              <w:rPr>
                <w:sz w:val="22"/>
                <w:szCs w:val="22"/>
              </w:rPr>
              <w:t>2</w:t>
            </w:r>
            <w:r w:rsidRPr="00CC4F3E">
              <w:rPr>
                <w:sz w:val="22"/>
                <w:szCs w:val="22"/>
              </w:rPr>
              <w:t xml:space="preserve"> ½ </w:t>
            </w:r>
          </w:p>
        </w:tc>
        <w:tc>
          <w:tcPr>
            <w:tcW w:w="573" w:type="pct"/>
            <w:vAlign w:val="bottom"/>
          </w:tcPr>
          <w:p w14:paraId="3C0816BD" w14:textId="77777777" w:rsidR="006A380D" w:rsidRPr="00CC4F3E" w:rsidRDefault="006A380D" w:rsidP="00A14364">
            <w:pPr>
              <w:jc w:val="center"/>
              <w:rPr>
                <w:sz w:val="22"/>
                <w:szCs w:val="22"/>
              </w:rPr>
            </w:pPr>
            <w:r w:rsidRPr="00CC4F3E">
              <w:rPr>
                <w:sz w:val="22"/>
                <w:szCs w:val="22"/>
              </w:rPr>
              <w:t>0,8</w:t>
            </w:r>
          </w:p>
        </w:tc>
      </w:tr>
      <w:tr w:rsidR="006A380D" w:rsidRPr="00A16F91" w14:paraId="6BDAFF2B" w14:textId="77777777" w:rsidTr="00A14364">
        <w:tc>
          <w:tcPr>
            <w:tcW w:w="1770" w:type="pct"/>
            <w:vAlign w:val="bottom"/>
          </w:tcPr>
          <w:p w14:paraId="16DBA8B7" w14:textId="77777777" w:rsidR="006A380D" w:rsidRPr="0016286A" w:rsidRDefault="006A380D" w:rsidP="00A14364">
            <w:pPr>
              <w:rPr>
                <w:szCs w:val="22"/>
              </w:rPr>
            </w:pPr>
            <w:r>
              <w:rPr>
                <w:sz w:val="22"/>
                <w:szCs w:val="22"/>
              </w:rPr>
              <w:t>Ansatte i Virke</w:t>
            </w:r>
            <w:r w:rsidRPr="0016286A">
              <w:rPr>
                <w:sz w:val="22"/>
                <w:szCs w:val="22"/>
              </w:rPr>
              <w:t>-bedrifter i varehandel</w:t>
            </w:r>
            <w:r>
              <w:rPr>
                <w:sz w:val="22"/>
                <w:szCs w:val="22"/>
                <w:vertAlign w:val="superscript"/>
              </w:rPr>
              <w:t>4</w:t>
            </w:r>
          </w:p>
        </w:tc>
        <w:tc>
          <w:tcPr>
            <w:tcW w:w="558" w:type="pct"/>
            <w:vAlign w:val="bottom"/>
          </w:tcPr>
          <w:p w14:paraId="03E427F6" w14:textId="77777777" w:rsidR="006A380D" w:rsidRPr="00E80B14" w:rsidRDefault="006A380D" w:rsidP="00A14364">
            <w:pPr>
              <w:jc w:val="center"/>
              <w:rPr>
                <w:szCs w:val="22"/>
              </w:rPr>
            </w:pPr>
            <w:r>
              <w:rPr>
                <w:sz w:val="22"/>
                <w:szCs w:val="22"/>
              </w:rPr>
              <w:t>457 700</w:t>
            </w:r>
          </w:p>
        </w:tc>
        <w:tc>
          <w:tcPr>
            <w:tcW w:w="619" w:type="pct"/>
            <w:vAlign w:val="bottom"/>
          </w:tcPr>
          <w:p w14:paraId="62DDB3AD" w14:textId="77777777" w:rsidR="006A380D" w:rsidRPr="00E80B14" w:rsidRDefault="006A380D" w:rsidP="00A14364">
            <w:pPr>
              <w:jc w:val="center"/>
              <w:rPr>
                <w:szCs w:val="22"/>
              </w:rPr>
            </w:pPr>
            <w:r>
              <w:rPr>
                <w:sz w:val="22"/>
                <w:szCs w:val="22"/>
              </w:rPr>
              <w:t>3,5</w:t>
            </w:r>
          </w:p>
        </w:tc>
        <w:tc>
          <w:tcPr>
            <w:tcW w:w="588" w:type="pct"/>
            <w:vAlign w:val="bottom"/>
          </w:tcPr>
          <w:p w14:paraId="6E42CD3C" w14:textId="77777777" w:rsidR="006A380D" w:rsidRPr="00E80B14" w:rsidRDefault="006A380D" w:rsidP="00A14364">
            <w:pPr>
              <w:jc w:val="center"/>
              <w:rPr>
                <w:szCs w:val="22"/>
              </w:rPr>
            </w:pPr>
            <w:r>
              <w:rPr>
                <w:sz w:val="22"/>
                <w:szCs w:val="22"/>
              </w:rPr>
              <w:t>1,9</w:t>
            </w:r>
          </w:p>
        </w:tc>
        <w:tc>
          <w:tcPr>
            <w:tcW w:w="273" w:type="pct"/>
            <w:tcBorders>
              <w:top w:val="nil"/>
            </w:tcBorders>
            <w:vAlign w:val="bottom"/>
          </w:tcPr>
          <w:p w14:paraId="13C86B63" w14:textId="77777777" w:rsidR="006A380D" w:rsidRPr="00E80B14" w:rsidDel="00564D99" w:rsidRDefault="006A380D" w:rsidP="00A14364">
            <w:pPr>
              <w:jc w:val="center"/>
              <w:rPr>
                <w:szCs w:val="22"/>
              </w:rPr>
            </w:pPr>
          </w:p>
        </w:tc>
        <w:tc>
          <w:tcPr>
            <w:tcW w:w="619" w:type="pct"/>
            <w:vAlign w:val="bottom"/>
          </w:tcPr>
          <w:p w14:paraId="0ACC80B9" w14:textId="77777777" w:rsidR="006A380D" w:rsidRPr="00CC4F3E" w:rsidRDefault="006A380D" w:rsidP="00A14364">
            <w:pPr>
              <w:jc w:val="center"/>
              <w:rPr>
                <w:sz w:val="22"/>
                <w:szCs w:val="22"/>
              </w:rPr>
            </w:pPr>
            <w:r w:rsidRPr="00CC4F3E">
              <w:rPr>
                <w:sz w:val="22"/>
                <w:szCs w:val="22"/>
              </w:rPr>
              <w:t>3,3</w:t>
            </w:r>
          </w:p>
        </w:tc>
        <w:tc>
          <w:tcPr>
            <w:tcW w:w="573" w:type="pct"/>
            <w:vAlign w:val="bottom"/>
          </w:tcPr>
          <w:p w14:paraId="6272DED2" w14:textId="77777777" w:rsidR="006A380D" w:rsidRPr="00CC4F3E" w:rsidRDefault="006A380D" w:rsidP="00A14364">
            <w:pPr>
              <w:jc w:val="center"/>
              <w:rPr>
                <w:sz w:val="22"/>
                <w:szCs w:val="22"/>
              </w:rPr>
            </w:pPr>
            <w:r w:rsidRPr="00CC4F3E">
              <w:rPr>
                <w:sz w:val="22"/>
                <w:szCs w:val="22"/>
              </w:rPr>
              <w:t>1,3</w:t>
            </w:r>
          </w:p>
        </w:tc>
      </w:tr>
      <w:tr w:rsidR="006A380D" w:rsidRPr="00A16F91" w14:paraId="45F3B8E9" w14:textId="77777777" w:rsidTr="00A14364">
        <w:tc>
          <w:tcPr>
            <w:tcW w:w="1770" w:type="pct"/>
            <w:vAlign w:val="bottom"/>
          </w:tcPr>
          <w:p w14:paraId="4B7C0F81" w14:textId="78A45D46" w:rsidR="006A380D" w:rsidRPr="0016286A" w:rsidRDefault="006A380D" w:rsidP="00297466">
            <w:pPr>
              <w:rPr>
                <w:szCs w:val="22"/>
              </w:rPr>
            </w:pPr>
            <w:r>
              <w:rPr>
                <w:sz w:val="22"/>
                <w:szCs w:val="22"/>
              </w:rPr>
              <w:t xml:space="preserve">Ansatte i </w:t>
            </w:r>
            <w:r w:rsidR="00297466">
              <w:rPr>
                <w:sz w:val="22"/>
                <w:szCs w:val="22"/>
              </w:rPr>
              <w:t>finanstjenester</w:t>
            </w:r>
            <w:r>
              <w:rPr>
                <w:sz w:val="22"/>
                <w:szCs w:val="22"/>
                <w:vertAlign w:val="superscript"/>
              </w:rPr>
              <w:t>5</w:t>
            </w:r>
          </w:p>
        </w:tc>
        <w:tc>
          <w:tcPr>
            <w:tcW w:w="558" w:type="pct"/>
            <w:vAlign w:val="bottom"/>
          </w:tcPr>
          <w:p w14:paraId="716B9D81" w14:textId="77777777" w:rsidR="006A380D" w:rsidRPr="00E80B14" w:rsidRDefault="006A380D" w:rsidP="00A14364">
            <w:pPr>
              <w:jc w:val="center"/>
              <w:rPr>
                <w:szCs w:val="22"/>
              </w:rPr>
            </w:pPr>
            <w:r>
              <w:rPr>
                <w:sz w:val="22"/>
                <w:szCs w:val="22"/>
              </w:rPr>
              <w:t>659 300</w:t>
            </w:r>
          </w:p>
        </w:tc>
        <w:tc>
          <w:tcPr>
            <w:tcW w:w="619" w:type="pct"/>
            <w:vAlign w:val="bottom"/>
          </w:tcPr>
          <w:p w14:paraId="48864F4E" w14:textId="77777777" w:rsidR="006A380D" w:rsidRPr="00E80B14" w:rsidRDefault="006A380D" w:rsidP="00A14364">
            <w:pPr>
              <w:keepNext/>
              <w:jc w:val="center"/>
              <w:rPr>
                <w:szCs w:val="22"/>
                <w:vertAlign w:val="superscript"/>
              </w:rPr>
            </w:pPr>
            <w:r w:rsidRPr="00D91CCE">
              <w:rPr>
                <w:sz w:val="22"/>
                <w:szCs w:val="22"/>
              </w:rPr>
              <w:t>2,9</w:t>
            </w:r>
            <w:r w:rsidRPr="00E80B14">
              <w:rPr>
                <w:sz w:val="22"/>
                <w:szCs w:val="22"/>
                <w:vertAlign w:val="superscript"/>
              </w:rPr>
              <w:t>6</w:t>
            </w:r>
          </w:p>
        </w:tc>
        <w:tc>
          <w:tcPr>
            <w:tcW w:w="588" w:type="pct"/>
            <w:vAlign w:val="bottom"/>
          </w:tcPr>
          <w:p w14:paraId="639D3D79" w14:textId="77777777" w:rsidR="006A380D" w:rsidRPr="00E80B14" w:rsidRDefault="006A380D" w:rsidP="00A14364">
            <w:pPr>
              <w:jc w:val="center"/>
              <w:rPr>
                <w:szCs w:val="22"/>
              </w:rPr>
            </w:pPr>
            <w:r>
              <w:rPr>
                <w:sz w:val="22"/>
                <w:szCs w:val="22"/>
              </w:rPr>
              <w:t>1,6</w:t>
            </w:r>
          </w:p>
        </w:tc>
        <w:tc>
          <w:tcPr>
            <w:tcW w:w="273" w:type="pct"/>
            <w:tcBorders>
              <w:top w:val="nil"/>
            </w:tcBorders>
            <w:vAlign w:val="bottom"/>
          </w:tcPr>
          <w:p w14:paraId="224C3881" w14:textId="77777777" w:rsidR="006A380D" w:rsidRPr="00E80B14" w:rsidRDefault="006A380D" w:rsidP="00A14364">
            <w:pPr>
              <w:jc w:val="center"/>
              <w:rPr>
                <w:szCs w:val="22"/>
              </w:rPr>
            </w:pPr>
          </w:p>
        </w:tc>
        <w:tc>
          <w:tcPr>
            <w:tcW w:w="619" w:type="pct"/>
            <w:vAlign w:val="bottom"/>
          </w:tcPr>
          <w:p w14:paraId="612075C4" w14:textId="77777777" w:rsidR="006A380D" w:rsidRPr="00CC4F3E" w:rsidRDefault="006A380D" w:rsidP="00A14364">
            <w:pPr>
              <w:jc w:val="center"/>
              <w:rPr>
                <w:sz w:val="22"/>
                <w:szCs w:val="22"/>
              </w:rPr>
            </w:pPr>
            <w:r w:rsidRPr="00CC4F3E">
              <w:rPr>
                <w:sz w:val="22"/>
                <w:szCs w:val="22"/>
              </w:rPr>
              <w:t>4,2</w:t>
            </w:r>
            <w:r w:rsidRPr="007C3885">
              <w:rPr>
                <w:sz w:val="22"/>
                <w:szCs w:val="22"/>
                <w:vertAlign w:val="superscript"/>
              </w:rPr>
              <w:t>6</w:t>
            </w:r>
          </w:p>
        </w:tc>
        <w:tc>
          <w:tcPr>
            <w:tcW w:w="573" w:type="pct"/>
            <w:vAlign w:val="bottom"/>
          </w:tcPr>
          <w:p w14:paraId="3552D64B" w14:textId="77777777" w:rsidR="006A380D" w:rsidRPr="00CC4F3E" w:rsidRDefault="006A380D" w:rsidP="00A14364">
            <w:pPr>
              <w:jc w:val="center"/>
              <w:rPr>
                <w:sz w:val="22"/>
                <w:szCs w:val="22"/>
              </w:rPr>
            </w:pPr>
            <w:r w:rsidRPr="00CC4F3E">
              <w:rPr>
                <w:sz w:val="22"/>
                <w:szCs w:val="22"/>
              </w:rPr>
              <w:t>2,1</w:t>
            </w:r>
          </w:p>
        </w:tc>
      </w:tr>
      <w:tr w:rsidR="006A380D" w:rsidRPr="00A16F91" w14:paraId="1E62D347" w14:textId="77777777" w:rsidTr="00A14364">
        <w:tc>
          <w:tcPr>
            <w:tcW w:w="1770" w:type="pct"/>
            <w:vAlign w:val="bottom"/>
          </w:tcPr>
          <w:p w14:paraId="3209AF4B" w14:textId="77777777" w:rsidR="006A380D" w:rsidRPr="00B73647" w:rsidRDefault="006A380D" w:rsidP="00A14364">
            <w:pPr>
              <w:keepNext/>
              <w:rPr>
                <w:szCs w:val="22"/>
                <w:vertAlign w:val="superscript"/>
              </w:rPr>
            </w:pPr>
            <w:r w:rsidRPr="0016286A">
              <w:rPr>
                <w:sz w:val="22"/>
                <w:szCs w:val="22"/>
              </w:rPr>
              <w:t>Statsansatte</w:t>
            </w:r>
            <w:r>
              <w:rPr>
                <w:sz w:val="22"/>
                <w:szCs w:val="22"/>
                <w:vertAlign w:val="superscript"/>
              </w:rPr>
              <w:t>7</w:t>
            </w:r>
          </w:p>
        </w:tc>
        <w:tc>
          <w:tcPr>
            <w:tcW w:w="558" w:type="pct"/>
            <w:vAlign w:val="bottom"/>
          </w:tcPr>
          <w:p w14:paraId="38969242" w14:textId="77777777" w:rsidR="006A380D" w:rsidRPr="00E80B14" w:rsidRDefault="006A380D" w:rsidP="00A14364">
            <w:pPr>
              <w:jc w:val="center"/>
              <w:rPr>
                <w:szCs w:val="22"/>
              </w:rPr>
            </w:pPr>
            <w:r>
              <w:rPr>
                <w:sz w:val="22"/>
                <w:szCs w:val="22"/>
              </w:rPr>
              <w:t>524 300</w:t>
            </w:r>
          </w:p>
        </w:tc>
        <w:tc>
          <w:tcPr>
            <w:tcW w:w="619" w:type="pct"/>
            <w:vAlign w:val="bottom"/>
          </w:tcPr>
          <w:p w14:paraId="0375C8CB" w14:textId="77777777" w:rsidR="006A380D" w:rsidRPr="00E80B14" w:rsidRDefault="006A380D" w:rsidP="00A14364">
            <w:pPr>
              <w:keepNext/>
              <w:jc w:val="center"/>
              <w:rPr>
                <w:szCs w:val="22"/>
                <w:vertAlign w:val="superscript"/>
              </w:rPr>
            </w:pPr>
            <w:r>
              <w:rPr>
                <w:sz w:val="22"/>
                <w:szCs w:val="22"/>
              </w:rPr>
              <w:t xml:space="preserve">3,4 </w:t>
            </w:r>
          </w:p>
        </w:tc>
        <w:tc>
          <w:tcPr>
            <w:tcW w:w="588" w:type="pct"/>
            <w:vAlign w:val="bottom"/>
          </w:tcPr>
          <w:p w14:paraId="58A4CCEA" w14:textId="77777777" w:rsidR="006A380D" w:rsidRPr="00E80B14" w:rsidRDefault="006A380D" w:rsidP="00A14364">
            <w:pPr>
              <w:jc w:val="center"/>
              <w:rPr>
                <w:szCs w:val="22"/>
              </w:rPr>
            </w:pPr>
            <w:r>
              <w:rPr>
                <w:sz w:val="22"/>
                <w:szCs w:val="22"/>
              </w:rPr>
              <w:t>1,9</w:t>
            </w:r>
          </w:p>
        </w:tc>
        <w:tc>
          <w:tcPr>
            <w:tcW w:w="273" w:type="pct"/>
            <w:tcBorders>
              <w:top w:val="nil"/>
            </w:tcBorders>
            <w:vAlign w:val="bottom"/>
          </w:tcPr>
          <w:p w14:paraId="45561D8D" w14:textId="77777777" w:rsidR="006A380D" w:rsidRPr="00E80B14" w:rsidDel="00564D99" w:rsidRDefault="006A380D" w:rsidP="00A14364">
            <w:pPr>
              <w:jc w:val="center"/>
              <w:rPr>
                <w:szCs w:val="22"/>
              </w:rPr>
            </w:pPr>
          </w:p>
        </w:tc>
        <w:tc>
          <w:tcPr>
            <w:tcW w:w="619" w:type="pct"/>
            <w:vAlign w:val="bottom"/>
          </w:tcPr>
          <w:p w14:paraId="13B87D52" w14:textId="77777777" w:rsidR="006A380D" w:rsidRPr="00CC4F3E" w:rsidRDefault="006A380D" w:rsidP="00A14364">
            <w:pPr>
              <w:jc w:val="center"/>
              <w:rPr>
                <w:sz w:val="22"/>
                <w:szCs w:val="22"/>
              </w:rPr>
            </w:pPr>
            <w:r>
              <w:rPr>
                <w:sz w:val="22"/>
                <w:szCs w:val="22"/>
              </w:rPr>
              <w:t>2 ¾</w:t>
            </w:r>
          </w:p>
        </w:tc>
        <w:tc>
          <w:tcPr>
            <w:tcW w:w="573" w:type="pct"/>
            <w:vAlign w:val="bottom"/>
          </w:tcPr>
          <w:p w14:paraId="27AC7720" w14:textId="77777777" w:rsidR="006A380D" w:rsidRPr="00CC4F3E" w:rsidRDefault="006A380D" w:rsidP="00A14364">
            <w:pPr>
              <w:jc w:val="center"/>
              <w:rPr>
                <w:sz w:val="22"/>
                <w:szCs w:val="22"/>
              </w:rPr>
            </w:pPr>
            <w:r>
              <w:rPr>
                <w:sz w:val="22"/>
                <w:szCs w:val="22"/>
              </w:rPr>
              <w:t>0,8</w:t>
            </w:r>
          </w:p>
        </w:tc>
      </w:tr>
      <w:tr w:rsidR="006A380D" w:rsidRPr="00A16F91" w14:paraId="2D6BAB0D" w14:textId="77777777" w:rsidTr="00A14364">
        <w:tc>
          <w:tcPr>
            <w:tcW w:w="1770" w:type="pct"/>
            <w:tcBorders>
              <w:top w:val="nil"/>
              <w:bottom w:val="single" w:sz="4" w:space="0" w:color="auto"/>
            </w:tcBorders>
            <w:vAlign w:val="bottom"/>
          </w:tcPr>
          <w:p w14:paraId="50501DAA" w14:textId="77777777" w:rsidR="006A380D" w:rsidRPr="0016286A" w:rsidRDefault="006A380D" w:rsidP="00A14364">
            <w:pPr>
              <w:rPr>
                <w:szCs w:val="22"/>
              </w:rPr>
            </w:pPr>
            <w:r w:rsidRPr="0016286A">
              <w:rPr>
                <w:sz w:val="22"/>
                <w:szCs w:val="22"/>
              </w:rPr>
              <w:t>Kommuneansatte</w:t>
            </w:r>
            <w:r>
              <w:rPr>
                <w:sz w:val="22"/>
                <w:szCs w:val="22"/>
                <w:vertAlign w:val="superscript"/>
              </w:rPr>
              <w:t>8</w:t>
            </w:r>
          </w:p>
        </w:tc>
        <w:tc>
          <w:tcPr>
            <w:tcW w:w="558" w:type="pct"/>
            <w:tcBorders>
              <w:top w:val="nil"/>
              <w:bottom w:val="single" w:sz="4" w:space="0" w:color="auto"/>
            </w:tcBorders>
            <w:vAlign w:val="bottom"/>
          </w:tcPr>
          <w:p w14:paraId="2C8ED88D" w14:textId="77777777" w:rsidR="006A380D" w:rsidRPr="00E80B14" w:rsidRDefault="006A380D" w:rsidP="00A14364">
            <w:pPr>
              <w:jc w:val="center"/>
              <w:rPr>
                <w:szCs w:val="22"/>
              </w:rPr>
            </w:pPr>
            <w:r>
              <w:rPr>
                <w:sz w:val="22"/>
                <w:szCs w:val="22"/>
              </w:rPr>
              <w:t>462 000</w:t>
            </w:r>
          </w:p>
        </w:tc>
        <w:tc>
          <w:tcPr>
            <w:tcW w:w="619" w:type="pct"/>
            <w:tcBorders>
              <w:top w:val="nil"/>
              <w:bottom w:val="single" w:sz="4" w:space="0" w:color="auto"/>
            </w:tcBorders>
            <w:vAlign w:val="bottom"/>
          </w:tcPr>
          <w:p w14:paraId="7F16723C" w14:textId="77777777" w:rsidR="006A380D" w:rsidRPr="00E80B14" w:rsidRDefault="006A380D" w:rsidP="00A14364">
            <w:pPr>
              <w:jc w:val="center"/>
              <w:rPr>
                <w:szCs w:val="22"/>
              </w:rPr>
            </w:pPr>
            <w:r>
              <w:rPr>
                <w:sz w:val="22"/>
                <w:szCs w:val="22"/>
              </w:rPr>
              <w:t>3,2</w:t>
            </w:r>
          </w:p>
        </w:tc>
        <w:tc>
          <w:tcPr>
            <w:tcW w:w="588" w:type="pct"/>
            <w:tcBorders>
              <w:top w:val="nil"/>
              <w:bottom w:val="single" w:sz="4" w:space="0" w:color="auto"/>
            </w:tcBorders>
            <w:vAlign w:val="bottom"/>
          </w:tcPr>
          <w:p w14:paraId="1B295FE9" w14:textId="77777777" w:rsidR="006A380D" w:rsidRPr="00E80B14" w:rsidRDefault="006A380D" w:rsidP="00A14364">
            <w:pPr>
              <w:jc w:val="center"/>
              <w:rPr>
                <w:szCs w:val="22"/>
              </w:rPr>
            </w:pPr>
            <w:r>
              <w:rPr>
                <w:sz w:val="22"/>
                <w:szCs w:val="22"/>
              </w:rPr>
              <w:t>1,6</w:t>
            </w:r>
          </w:p>
        </w:tc>
        <w:tc>
          <w:tcPr>
            <w:tcW w:w="273" w:type="pct"/>
            <w:tcBorders>
              <w:top w:val="nil"/>
              <w:bottom w:val="single" w:sz="4" w:space="0" w:color="auto"/>
            </w:tcBorders>
            <w:vAlign w:val="bottom"/>
          </w:tcPr>
          <w:p w14:paraId="1D5127B7" w14:textId="77777777" w:rsidR="006A380D" w:rsidRPr="00E80B14" w:rsidDel="00564D99" w:rsidRDefault="006A380D" w:rsidP="00A14364">
            <w:pPr>
              <w:jc w:val="center"/>
              <w:rPr>
                <w:szCs w:val="22"/>
              </w:rPr>
            </w:pPr>
          </w:p>
        </w:tc>
        <w:tc>
          <w:tcPr>
            <w:tcW w:w="619" w:type="pct"/>
            <w:tcBorders>
              <w:top w:val="nil"/>
              <w:bottom w:val="single" w:sz="4" w:space="0" w:color="auto"/>
            </w:tcBorders>
            <w:vAlign w:val="bottom"/>
          </w:tcPr>
          <w:p w14:paraId="4D6D688D" w14:textId="77777777" w:rsidR="006A380D" w:rsidRPr="00CC4F3E" w:rsidRDefault="006A380D" w:rsidP="00A14364">
            <w:pPr>
              <w:jc w:val="center"/>
              <w:rPr>
                <w:sz w:val="22"/>
                <w:szCs w:val="22"/>
              </w:rPr>
            </w:pPr>
            <w:r>
              <w:rPr>
                <w:sz w:val="22"/>
                <w:szCs w:val="22"/>
              </w:rPr>
              <w:t xml:space="preserve">3 ¼ </w:t>
            </w:r>
          </w:p>
        </w:tc>
        <w:tc>
          <w:tcPr>
            <w:tcW w:w="573" w:type="pct"/>
            <w:tcBorders>
              <w:top w:val="nil"/>
              <w:bottom w:val="single" w:sz="4" w:space="0" w:color="auto"/>
            </w:tcBorders>
            <w:vAlign w:val="bottom"/>
          </w:tcPr>
          <w:p w14:paraId="7950D797" w14:textId="77777777" w:rsidR="006A380D" w:rsidRPr="00CC4F3E" w:rsidRDefault="006A380D" w:rsidP="00A14364">
            <w:pPr>
              <w:jc w:val="center"/>
              <w:rPr>
                <w:sz w:val="22"/>
                <w:szCs w:val="22"/>
              </w:rPr>
            </w:pPr>
            <w:r>
              <w:rPr>
                <w:sz w:val="22"/>
                <w:szCs w:val="22"/>
              </w:rPr>
              <w:t>1,3</w:t>
            </w:r>
          </w:p>
        </w:tc>
      </w:tr>
      <w:tr w:rsidR="006A380D" w:rsidRPr="00A16F91" w14:paraId="7D55AD7D" w14:textId="77777777" w:rsidTr="00A14364">
        <w:tc>
          <w:tcPr>
            <w:tcW w:w="1770" w:type="pct"/>
            <w:tcBorders>
              <w:top w:val="nil"/>
              <w:bottom w:val="single" w:sz="4" w:space="0" w:color="auto"/>
            </w:tcBorders>
            <w:vAlign w:val="bottom"/>
          </w:tcPr>
          <w:p w14:paraId="168DDA7B" w14:textId="77777777" w:rsidR="006A380D" w:rsidRPr="0016286A" w:rsidRDefault="006A380D" w:rsidP="00A14364">
            <w:pPr>
              <w:rPr>
                <w:szCs w:val="22"/>
              </w:rPr>
            </w:pPr>
            <w:r>
              <w:rPr>
                <w:sz w:val="22"/>
                <w:szCs w:val="22"/>
              </w:rPr>
              <w:t>Alle</w:t>
            </w:r>
            <w:r>
              <w:rPr>
                <w:sz w:val="22"/>
                <w:szCs w:val="22"/>
                <w:vertAlign w:val="superscript"/>
              </w:rPr>
              <w:t>9</w:t>
            </w:r>
          </w:p>
        </w:tc>
        <w:tc>
          <w:tcPr>
            <w:tcW w:w="558" w:type="pct"/>
            <w:tcBorders>
              <w:top w:val="nil"/>
              <w:bottom w:val="single" w:sz="4" w:space="0" w:color="auto"/>
            </w:tcBorders>
            <w:vAlign w:val="bottom"/>
          </w:tcPr>
          <w:p w14:paraId="5B036278" w14:textId="77777777" w:rsidR="006A380D" w:rsidRPr="00E80B14" w:rsidRDefault="006A380D" w:rsidP="00A14364">
            <w:pPr>
              <w:jc w:val="center"/>
              <w:rPr>
                <w:szCs w:val="22"/>
              </w:rPr>
            </w:pPr>
            <w:r>
              <w:rPr>
                <w:sz w:val="22"/>
                <w:szCs w:val="22"/>
              </w:rPr>
              <w:t>505 400</w:t>
            </w:r>
          </w:p>
        </w:tc>
        <w:tc>
          <w:tcPr>
            <w:tcW w:w="619" w:type="pct"/>
            <w:tcBorders>
              <w:top w:val="nil"/>
              <w:bottom w:val="single" w:sz="4" w:space="0" w:color="auto"/>
            </w:tcBorders>
            <w:vAlign w:val="bottom"/>
          </w:tcPr>
          <w:p w14:paraId="2BE581DE" w14:textId="77777777" w:rsidR="006A380D" w:rsidRPr="00E80B14" w:rsidRDefault="006A380D" w:rsidP="00A14364">
            <w:pPr>
              <w:jc w:val="center"/>
              <w:rPr>
                <w:szCs w:val="22"/>
              </w:rPr>
            </w:pPr>
            <w:r>
              <w:rPr>
                <w:sz w:val="22"/>
                <w:szCs w:val="22"/>
              </w:rPr>
              <w:t>3,1</w:t>
            </w:r>
          </w:p>
        </w:tc>
        <w:tc>
          <w:tcPr>
            <w:tcW w:w="588" w:type="pct"/>
            <w:tcBorders>
              <w:top w:val="nil"/>
              <w:bottom w:val="single" w:sz="4" w:space="0" w:color="auto"/>
            </w:tcBorders>
            <w:vAlign w:val="bottom"/>
          </w:tcPr>
          <w:p w14:paraId="1EB3E72F" w14:textId="77777777" w:rsidR="006A380D" w:rsidRPr="00E80B14" w:rsidRDefault="006A380D" w:rsidP="00A14364">
            <w:pPr>
              <w:jc w:val="center"/>
              <w:rPr>
                <w:szCs w:val="22"/>
              </w:rPr>
            </w:pPr>
            <w:r>
              <w:rPr>
                <w:sz w:val="22"/>
                <w:szCs w:val="22"/>
              </w:rPr>
              <w:t>1,6</w:t>
            </w:r>
          </w:p>
        </w:tc>
        <w:tc>
          <w:tcPr>
            <w:tcW w:w="273" w:type="pct"/>
            <w:tcBorders>
              <w:top w:val="single" w:sz="4" w:space="0" w:color="auto"/>
              <w:bottom w:val="single" w:sz="4" w:space="0" w:color="auto"/>
            </w:tcBorders>
            <w:vAlign w:val="bottom"/>
          </w:tcPr>
          <w:p w14:paraId="76B8BF20" w14:textId="77777777" w:rsidR="006A380D" w:rsidRPr="00E80B14" w:rsidDel="00564D99" w:rsidRDefault="006A380D" w:rsidP="00A14364">
            <w:pPr>
              <w:jc w:val="center"/>
              <w:rPr>
                <w:szCs w:val="22"/>
              </w:rPr>
            </w:pPr>
          </w:p>
        </w:tc>
        <w:tc>
          <w:tcPr>
            <w:tcW w:w="619" w:type="pct"/>
            <w:tcBorders>
              <w:top w:val="single" w:sz="4" w:space="0" w:color="auto"/>
              <w:bottom w:val="single" w:sz="4" w:space="0" w:color="auto"/>
            </w:tcBorders>
            <w:vAlign w:val="bottom"/>
          </w:tcPr>
          <w:p w14:paraId="288932A7" w14:textId="77777777" w:rsidR="006A380D" w:rsidRPr="00CC4F3E" w:rsidRDefault="006A380D" w:rsidP="00A14364">
            <w:pPr>
              <w:jc w:val="center"/>
              <w:rPr>
                <w:sz w:val="22"/>
                <w:szCs w:val="22"/>
              </w:rPr>
            </w:pPr>
            <w:r w:rsidRPr="00CC4F3E">
              <w:rPr>
                <w:sz w:val="22"/>
                <w:szCs w:val="22"/>
              </w:rPr>
              <w:t>2,8</w:t>
            </w:r>
          </w:p>
        </w:tc>
        <w:tc>
          <w:tcPr>
            <w:tcW w:w="573" w:type="pct"/>
            <w:tcBorders>
              <w:top w:val="nil"/>
              <w:bottom w:val="single" w:sz="4" w:space="0" w:color="auto"/>
            </w:tcBorders>
            <w:vAlign w:val="bottom"/>
          </w:tcPr>
          <w:p w14:paraId="3268E63E" w14:textId="77777777" w:rsidR="006A380D" w:rsidRPr="00CC4F3E" w:rsidRDefault="006A380D" w:rsidP="00A14364">
            <w:pPr>
              <w:jc w:val="center"/>
              <w:rPr>
                <w:sz w:val="22"/>
                <w:szCs w:val="22"/>
              </w:rPr>
            </w:pPr>
            <w:r>
              <w:rPr>
                <w:sz w:val="22"/>
                <w:szCs w:val="22"/>
              </w:rPr>
              <w:t>0,9</w:t>
            </w:r>
          </w:p>
        </w:tc>
      </w:tr>
    </w:tbl>
    <w:p w14:paraId="34C5C601" w14:textId="77777777" w:rsidR="00546A02" w:rsidRDefault="006A380D" w:rsidP="008643D6">
      <w:pPr>
        <w:pStyle w:val="tabell-noter"/>
        <w:numPr>
          <w:ilvl w:val="0"/>
          <w:numId w:val="71"/>
        </w:numPr>
        <w:tabs>
          <w:tab w:val="clear" w:pos="284"/>
        </w:tabs>
        <w:spacing w:before="0" w:after="0"/>
        <w:ind w:left="142" w:hanging="142"/>
        <w:contextualSpacing w:val="0"/>
        <w:rPr>
          <w:noProof/>
        </w:rPr>
      </w:pPr>
      <w:r w:rsidRPr="00546A02">
        <w:rPr>
          <w:noProof/>
          <w:vertAlign w:val="superscript"/>
        </w:rPr>
        <w:t xml:space="preserve"> </w:t>
      </w:r>
      <w:r>
        <w:rPr>
          <w:noProof/>
        </w:rPr>
        <w:t>Tallene for årslønn i tabellen er konsistente med tallene for årslønn i tabell 1.1 og tabell 1.2.</w:t>
      </w:r>
    </w:p>
    <w:p w14:paraId="6001FEBA" w14:textId="77777777" w:rsidR="00546A02" w:rsidRDefault="006A380D" w:rsidP="008643D6">
      <w:pPr>
        <w:pStyle w:val="tabell-noter"/>
        <w:numPr>
          <w:ilvl w:val="0"/>
          <w:numId w:val="71"/>
        </w:numPr>
        <w:tabs>
          <w:tab w:val="clear" w:pos="284"/>
        </w:tabs>
        <w:spacing w:before="0" w:after="0"/>
        <w:ind w:left="142" w:hanging="142"/>
        <w:contextualSpacing w:val="0"/>
        <w:rPr>
          <w:noProof/>
        </w:rPr>
      </w:pPr>
      <w:r w:rsidRPr="00546A02">
        <w:rPr>
          <w:noProof/>
          <w:vertAlign w:val="superscript"/>
        </w:rPr>
        <w:t xml:space="preserve"> </w:t>
      </w:r>
      <w:r w:rsidRPr="00654A52">
        <w:rPr>
          <w:noProof/>
        </w:rPr>
        <w:t xml:space="preserve">Gjelder for industriarbeidere i NHO-bedrifter med gjennomsnittlig avtalefestet normalarbeidstid, for dagarbeidere betyr dette 37,5 t/uke. </w:t>
      </w:r>
    </w:p>
    <w:p w14:paraId="2633B19C" w14:textId="3AF5ED7A" w:rsidR="00546A02" w:rsidRPr="00546A02" w:rsidRDefault="006A380D" w:rsidP="008643D6">
      <w:pPr>
        <w:pStyle w:val="tabell-noter"/>
        <w:numPr>
          <w:ilvl w:val="0"/>
          <w:numId w:val="71"/>
        </w:numPr>
        <w:tabs>
          <w:tab w:val="clear" w:pos="284"/>
        </w:tabs>
        <w:spacing w:before="0" w:after="0"/>
        <w:ind w:left="142" w:hanging="142"/>
        <w:contextualSpacing w:val="0"/>
        <w:rPr>
          <w:vertAlign w:val="superscript"/>
        </w:rPr>
      </w:pPr>
      <w:r w:rsidRPr="00654A52">
        <w:rPr>
          <w:noProof/>
        </w:rPr>
        <w:t>Industrifunksjonærer i NHO-bedrifter.</w:t>
      </w:r>
    </w:p>
    <w:p w14:paraId="5029DF8F" w14:textId="706DAF95" w:rsidR="00546A02" w:rsidRDefault="006A380D" w:rsidP="008643D6">
      <w:pPr>
        <w:pStyle w:val="tabell-noter"/>
        <w:numPr>
          <w:ilvl w:val="0"/>
          <w:numId w:val="71"/>
        </w:numPr>
        <w:tabs>
          <w:tab w:val="clear" w:pos="284"/>
        </w:tabs>
        <w:spacing w:before="0" w:after="0"/>
        <w:ind w:left="142" w:hanging="142"/>
        <w:contextualSpacing w:val="0"/>
        <w:rPr>
          <w:noProof/>
        </w:rPr>
      </w:pPr>
      <w:r w:rsidRPr="00654A52">
        <w:rPr>
          <w:noProof/>
        </w:rPr>
        <w:t>Tall for Virke-bedrifter i varehandel er for heltidsansatte.</w:t>
      </w:r>
    </w:p>
    <w:p w14:paraId="5EA40E11" w14:textId="0BC777CD" w:rsidR="00546A02" w:rsidRDefault="006A380D" w:rsidP="008643D6">
      <w:pPr>
        <w:pStyle w:val="tabell-noter"/>
        <w:numPr>
          <w:ilvl w:val="0"/>
          <w:numId w:val="71"/>
        </w:numPr>
        <w:tabs>
          <w:tab w:val="clear" w:pos="284"/>
        </w:tabs>
        <w:spacing w:before="0" w:after="0"/>
        <w:ind w:left="142" w:hanging="142"/>
        <w:contextualSpacing w:val="0"/>
        <w:rPr>
          <w:noProof/>
        </w:rPr>
      </w:pPr>
      <w:r w:rsidRPr="00654A52">
        <w:rPr>
          <w:noProof/>
        </w:rPr>
        <w:t xml:space="preserve">Dekker noen flere grupper enn forhandlingsområdet bank og forsikring. </w:t>
      </w:r>
      <w:r w:rsidR="00297466">
        <w:rPr>
          <w:noProof/>
        </w:rPr>
        <w:t>H</w:t>
      </w:r>
      <w:r w:rsidRPr="00654A52">
        <w:rPr>
          <w:noProof/>
        </w:rPr>
        <w:t>eltidsansatte.</w:t>
      </w:r>
    </w:p>
    <w:p w14:paraId="67508048" w14:textId="4C5E34EC" w:rsidR="00546A02" w:rsidRDefault="006A380D" w:rsidP="008643D6">
      <w:pPr>
        <w:pStyle w:val="tabell-noter"/>
        <w:numPr>
          <w:ilvl w:val="0"/>
          <w:numId w:val="71"/>
        </w:numPr>
        <w:tabs>
          <w:tab w:val="clear" w:pos="284"/>
        </w:tabs>
        <w:spacing w:before="0" w:after="0"/>
        <w:ind w:left="142" w:hanging="142"/>
        <w:contextualSpacing w:val="0"/>
        <w:rPr>
          <w:noProof/>
        </w:rPr>
      </w:pPr>
      <w:r>
        <w:rPr>
          <w:noProof/>
        </w:rPr>
        <w:t>Bonusutbe</w:t>
      </w:r>
      <w:r w:rsidR="0054354B">
        <w:rPr>
          <w:noProof/>
        </w:rPr>
        <w:t>talinger trakk lønnsveksten ned</w:t>
      </w:r>
      <w:r>
        <w:rPr>
          <w:noProof/>
        </w:rPr>
        <w:t xml:space="preserve"> i 2014 og opp i 2015.</w:t>
      </w:r>
    </w:p>
    <w:p w14:paraId="7763C353" w14:textId="77777777" w:rsidR="00FE5B6B" w:rsidRDefault="006A380D" w:rsidP="008643D6">
      <w:pPr>
        <w:pStyle w:val="tabell-noter"/>
        <w:numPr>
          <w:ilvl w:val="0"/>
          <w:numId w:val="71"/>
        </w:numPr>
        <w:tabs>
          <w:tab w:val="clear" w:pos="284"/>
        </w:tabs>
        <w:spacing w:before="0" w:after="0"/>
        <w:ind w:left="142" w:hanging="142"/>
        <w:contextualSpacing w:val="0"/>
      </w:pPr>
      <w:r>
        <w:rPr>
          <w:noProof/>
        </w:rPr>
        <w:t>Eksklusiv de statlig eide helseforetakene. Anslag for årslønnsveksten baserer seg på opplysninger fra A-ordningen. Nivå på årslønn for 2014 vil bli endret iht. dette i TBUs endelige rapport.</w:t>
      </w:r>
    </w:p>
    <w:p w14:paraId="2E7BF919" w14:textId="77777777" w:rsidR="00FE5B6B" w:rsidRDefault="006A380D" w:rsidP="008643D6">
      <w:pPr>
        <w:pStyle w:val="tabell-noter"/>
        <w:numPr>
          <w:ilvl w:val="0"/>
          <w:numId w:val="71"/>
        </w:numPr>
        <w:tabs>
          <w:tab w:val="clear" w:pos="284"/>
        </w:tabs>
        <w:spacing w:before="0" w:after="0"/>
        <w:ind w:left="142" w:hanging="142"/>
        <w:contextualSpacing w:val="0"/>
      </w:pPr>
      <w:r w:rsidRPr="00654A52">
        <w:t>Inklusive skoleverket.</w:t>
      </w:r>
    </w:p>
    <w:p w14:paraId="17DD661C" w14:textId="12AA82D0" w:rsidR="006A380D" w:rsidRPr="00654A52" w:rsidRDefault="006A380D" w:rsidP="008643D6">
      <w:pPr>
        <w:pStyle w:val="tabell-noter"/>
        <w:numPr>
          <w:ilvl w:val="0"/>
          <w:numId w:val="71"/>
        </w:numPr>
        <w:tabs>
          <w:tab w:val="clear" w:pos="284"/>
        </w:tabs>
        <w:spacing w:before="0" w:after="0"/>
        <w:ind w:left="142" w:hanging="142"/>
        <w:contextualSpacing w:val="0"/>
      </w:pPr>
      <w:r w:rsidRPr="00654A52">
        <w:rPr>
          <w:noProof/>
        </w:rPr>
        <w:t>Gjennomsnittet gjelder alle grupper, ogs</w:t>
      </w:r>
      <w:r>
        <w:rPr>
          <w:noProof/>
        </w:rPr>
        <w:t>å de som ikke inngår i tabellen. Tallene er basert på lønnsveksten i nasjonalregnskapet.</w:t>
      </w:r>
    </w:p>
    <w:p w14:paraId="23A30662" w14:textId="77777777" w:rsidR="006A380D" w:rsidRDefault="006A380D" w:rsidP="00140733">
      <w:pPr>
        <w:pStyle w:val="Kilde"/>
        <w:spacing w:before="120"/>
        <w:rPr>
          <w:noProof/>
        </w:rPr>
      </w:pPr>
      <w:r w:rsidRPr="00BB68A3">
        <w:t>Kilde</w:t>
      </w:r>
      <w:r>
        <w:t>r</w:t>
      </w:r>
      <w:r w:rsidRPr="00BB68A3">
        <w:t>:</w:t>
      </w:r>
      <w:r w:rsidRPr="008F0135">
        <w:rPr>
          <w:szCs w:val="16"/>
        </w:rPr>
        <w:t xml:space="preserve"> </w:t>
      </w:r>
      <w:r w:rsidRPr="0088637F">
        <w:rPr>
          <w:szCs w:val="16"/>
        </w:rPr>
        <w:t>S</w:t>
      </w:r>
      <w:r w:rsidRPr="008F0135">
        <w:rPr>
          <w:szCs w:val="16"/>
        </w:rPr>
        <w:t>tatistisk</w:t>
      </w:r>
      <w:r w:rsidRPr="00BB68A3">
        <w:t xml:space="preserve"> sentralbyrå og Beregningsutvalget.</w:t>
      </w:r>
    </w:p>
    <w:p w14:paraId="403898A5" w14:textId="48DF57D8" w:rsidR="006A380D" w:rsidRPr="00BA67D0" w:rsidRDefault="006A380D" w:rsidP="006A380D">
      <w:pPr>
        <w:rPr>
          <w:noProof/>
        </w:rPr>
      </w:pPr>
      <w:r w:rsidRPr="00BA67D0">
        <w:rPr>
          <w:noProof/>
        </w:rPr>
        <w:t>Beregningsutvalget har også sett på kjøpekraftsutviklingen</w:t>
      </w:r>
      <w:r w:rsidRPr="00207A83">
        <w:rPr>
          <w:noProof/>
        </w:rPr>
        <w:t xml:space="preserve"> </w:t>
      </w:r>
      <w:r>
        <w:rPr>
          <w:noProof/>
        </w:rPr>
        <w:t>for ulike husholdnings</w:t>
      </w:r>
      <w:r w:rsidRPr="00BA67D0">
        <w:rPr>
          <w:noProof/>
        </w:rPr>
        <w:t xml:space="preserve">typer. I tabell </w:t>
      </w:r>
      <w:r>
        <w:rPr>
          <w:noProof/>
        </w:rPr>
        <w:t>6</w:t>
      </w:r>
      <w:r w:rsidRPr="00BA67D0">
        <w:rPr>
          <w:noProof/>
        </w:rPr>
        <w:t>.</w:t>
      </w:r>
      <w:r w:rsidR="008340C8">
        <w:rPr>
          <w:noProof/>
        </w:rPr>
        <w:t>3</w:t>
      </w:r>
      <w:r w:rsidRPr="00BA67D0">
        <w:rPr>
          <w:noProof/>
        </w:rPr>
        <w:t xml:space="preserve"> har en beregnet utvikling i reallønn etter skatt for lønnstakere med en lønnsinntekt i 20</w:t>
      </w:r>
      <w:r>
        <w:rPr>
          <w:noProof/>
        </w:rPr>
        <w:t>15</w:t>
      </w:r>
      <w:r w:rsidRPr="00BA67D0">
        <w:rPr>
          <w:noProof/>
        </w:rPr>
        <w:t xml:space="preserve"> på henholdsvis 300 000 kroner, 550 000 kroner og 750 000 kroner. Beregningene er utført for enslige lønnstakere hhv. uten barn og med ett barn, for lønnstakere som forsørger ektefelle og to barn, og for ektepar</w:t>
      </w:r>
      <w:r>
        <w:rPr>
          <w:noProof/>
        </w:rPr>
        <w:t xml:space="preserve"> med to barn</w:t>
      </w:r>
      <w:r w:rsidRPr="00BA67D0">
        <w:rPr>
          <w:noProof/>
        </w:rPr>
        <w:t xml:space="preserve"> der begge ektefeller </w:t>
      </w:r>
      <w:r>
        <w:rPr>
          <w:noProof/>
        </w:rPr>
        <w:t>er sysselsatt</w:t>
      </w:r>
      <w:r w:rsidRPr="00BA67D0">
        <w:rPr>
          <w:noProof/>
        </w:rPr>
        <w:t>.</w:t>
      </w:r>
    </w:p>
    <w:p w14:paraId="5644D0E0" w14:textId="77777777" w:rsidR="006A380D" w:rsidRPr="00BA67D0" w:rsidRDefault="006A380D" w:rsidP="006A380D">
      <w:pPr>
        <w:rPr>
          <w:noProof/>
          <w:szCs w:val="24"/>
        </w:rPr>
      </w:pPr>
      <w:r w:rsidRPr="00A16F91">
        <w:rPr>
          <w:noProof/>
        </w:rPr>
        <w:t xml:space="preserve">De generelle forutsetningene for beregningene er nærmere omtalt i boks </w:t>
      </w:r>
      <w:r>
        <w:rPr>
          <w:noProof/>
        </w:rPr>
        <w:t>6</w:t>
      </w:r>
      <w:r w:rsidRPr="00A16F91">
        <w:rPr>
          <w:noProof/>
        </w:rPr>
        <w:t>.</w:t>
      </w:r>
      <w:r>
        <w:rPr>
          <w:noProof/>
        </w:rPr>
        <w:t>1</w:t>
      </w:r>
      <w:r w:rsidRPr="00A16F91">
        <w:rPr>
          <w:noProof/>
        </w:rPr>
        <w:t xml:space="preserve">. </w:t>
      </w:r>
      <w:r w:rsidRPr="00A16F91">
        <w:rPr>
          <w:noProof/>
          <w:szCs w:val="24"/>
        </w:rPr>
        <w:t xml:space="preserve">Utvalget har i beregningene i tabell </w:t>
      </w:r>
      <w:r>
        <w:rPr>
          <w:noProof/>
          <w:szCs w:val="24"/>
        </w:rPr>
        <w:t>6</w:t>
      </w:r>
      <w:r w:rsidRPr="00A16F91">
        <w:rPr>
          <w:noProof/>
          <w:szCs w:val="24"/>
        </w:rPr>
        <w:t>.</w:t>
      </w:r>
      <w:r>
        <w:rPr>
          <w:noProof/>
          <w:szCs w:val="24"/>
        </w:rPr>
        <w:t>3</w:t>
      </w:r>
      <w:r w:rsidRPr="00A16F91">
        <w:rPr>
          <w:noProof/>
          <w:szCs w:val="24"/>
        </w:rPr>
        <w:t xml:space="preserve"> lagt til grunn en lønnsvekst på </w:t>
      </w:r>
      <w:r>
        <w:rPr>
          <w:noProof/>
          <w:szCs w:val="24"/>
        </w:rPr>
        <w:t>3,1</w:t>
      </w:r>
      <w:r w:rsidRPr="00A16F91">
        <w:rPr>
          <w:noProof/>
          <w:szCs w:val="24"/>
        </w:rPr>
        <w:t xml:space="preserve"> prosent fra 20</w:t>
      </w:r>
      <w:r>
        <w:rPr>
          <w:noProof/>
          <w:szCs w:val="24"/>
        </w:rPr>
        <w:t>13</w:t>
      </w:r>
      <w:r w:rsidRPr="00A16F91">
        <w:rPr>
          <w:noProof/>
          <w:szCs w:val="24"/>
        </w:rPr>
        <w:t xml:space="preserve"> til 20</w:t>
      </w:r>
      <w:r>
        <w:rPr>
          <w:noProof/>
          <w:szCs w:val="24"/>
        </w:rPr>
        <w:t>14</w:t>
      </w:r>
      <w:r w:rsidRPr="00A16F91">
        <w:rPr>
          <w:noProof/>
          <w:szCs w:val="24"/>
        </w:rPr>
        <w:t xml:space="preserve"> og </w:t>
      </w:r>
      <w:r>
        <w:rPr>
          <w:iCs/>
        </w:rPr>
        <w:t xml:space="preserve">2,8 </w:t>
      </w:r>
      <w:r w:rsidRPr="00A16F91">
        <w:rPr>
          <w:noProof/>
          <w:szCs w:val="24"/>
        </w:rPr>
        <w:t>prosent fra 20</w:t>
      </w:r>
      <w:r>
        <w:rPr>
          <w:noProof/>
          <w:szCs w:val="24"/>
        </w:rPr>
        <w:t>14</w:t>
      </w:r>
      <w:r w:rsidRPr="00A16F91">
        <w:rPr>
          <w:noProof/>
          <w:szCs w:val="24"/>
        </w:rPr>
        <w:t xml:space="preserve"> til 20</w:t>
      </w:r>
      <w:r>
        <w:rPr>
          <w:noProof/>
          <w:szCs w:val="24"/>
        </w:rPr>
        <w:t>15</w:t>
      </w:r>
      <w:r w:rsidRPr="00A16F91">
        <w:rPr>
          <w:noProof/>
          <w:szCs w:val="24"/>
        </w:rPr>
        <w:t>.</w:t>
      </w:r>
    </w:p>
    <w:p w14:paraId="1C355A13" w14:textId="03032986" w:rsidR="006A380D" w:rsidRPr="00DE5237" w:rsidRDefault="006A380D" w:rsidP="00DE5237">
      <w:pPr>
        <w:rPr>
          <w:noProof/>
          <w:szCs w:val="24"/>
        </w:rPr>
      </w:pPr>
      <w:r w:rsidRPr="00A34D0D">
        <w:rPr>
          <w:noProof/>
          <w:szCs w:val="24"/>
        </w:rPr>
        <w:t xml:space="preserve">Tabell </w:t>
      </w:r>
      <w:r>
        <w:rPr>
          <w:noProof/>
          <w:szCs w:val="24"/>
        </w:rPr>
        <w:t>6</w:t>
      </w:r>
      <w:r w:rsidRPr="00A34D0D">
        <w:rPr>
          <w:noProof/>
          <w:szCs w:val="24"/>
        </w:rPr>
        <w:t>.</w:t>
      </w:r>
      <w:r>
        <w:rPr>
          <w:noProof/>
          <w:szCs w:val="24"/>
        </w:rPr>
        <w:t>3</w:t>
      </w:r>
      <w:r w:rsidRPr="00A34D0D">
        <w:rPr>
          <w:noProof/>
          <w:szCs w:val="24"/>
        </w:rPr>
        <w:t xml:space="preserve"> illustrerer hvordan kjøpekraften for noen utvalgte husholdningstyper, med og uten barn, påvirkes av skatteendringene de to siste årene. Med de forutsetningene som er valgt</w:t>
      </w:r>
      <w:r>
        <w:rPr>
          <w:noProof/>
          <w:szCs w:val="24"/>
        </w:rPr>
        <w:t>,</w:t>
      </w:r>
      <w:r w:rsidRPr="00A34D0D">
        <w:rPr>
          <w:noProof/>
          <w:szCs w:val="24"/>
        </w:rPr>
        <w:t xml:space="preserve"> varierer økningen i </w:t>
      </w:r>
      <w:r w:rsidRPr="00160B88">
        <w:rPr>
          <w:noProof/>
          <w:szCs w:val="24"/>
        </w:rPr>
        <w:t>reallønnen etter skatt fra 201</w:t>
      </w:r>
      <w:r>
        <w:rPr>
          <w:noProof/>
          <w:szCs w:val="24"/>
        </w:rPr>
        <w:t>4</w:t>
      </w:r>
      <w:r w:rsidRPr="00160B88">
        <w:rPr>
          <w:noProof/>
          <w:szCs w:val="24"/>
        </w:rPr>
        <w:t xml:space="preserve"> til 201</w:t>
      </w:r>
      <w:r>
        <w:rPr>
          <w:noProof/>
          <w:szCs w:val="24"/>
        </w:rPr>
        <w:t>5</w:t>
      </w:r>
      <w:r w:rsidRPr="00160B88">
        <w:rPr>
          <w:noProof/>
          <w:szCs w:val="24"/>
        </w:rPr>
        <w:t xml:space="preserve"> for de utvalgte husholdningstyper fra </w:t>
      </w:r>
      <w:r w:rsidRPr="00297466">
        <w:rPr>
          <w:noProof/>
          <w:szCs w:val="24"/>
        </w:rPr>
        <w:t xml:space="preserve">0,6 </w:t>
      </w:r>
      <w:r w:rsidRPr="00160B88">
        <w:rPr>
          <w:noProof/>
          <w:szCs w:val="24"/>
        </w:rPr>
        <w:t xml:space="preserve">prosent til </w:t>
      </w:r>
      <w:r w:rsidRPr="00297466">
        <w:rPr>
          <w:noProof/>
          <w:szCs w:val="24"/>
        </w:rPr>
        <w:t xml:space="preserve">1,1 </w:t>
      </w:r>
      <w:r w:rsidRPr="00160B88">
        <w:rPr>
          <w:noProof/>
          <w:szCs w:val="24"/>
        </w:rPr>
        <w:t xml:space="preserve">prosent. </w:t>
      </w:r>
      <w:r w:rsidRPr="0014303A">
        <w:rPr>
          <w:noProof/>
          <w:szCs w:val="24"/>
        </w:rPr>
        <w:t xml:space="preserve">Veksten i reallønn etter skatt var lavest for husholdningstyper med barn. </w:t>
      </w:r>
      <w:bookmarkStart w:id="274" w:name="ID_BOX2_46_2"/>
      <w:bookmarkEnd w:id="274"/>
      <w:r w:rsidR="001A7F81">
        <w:rPr>
          <w:noProof/>
          <w:szCs w:val="24"/>
        </w:rPr>
        <w:t>Det skyldes at barnetrygden var nominelt uendret fra 2014 til 2015.</w:t>
      </w:r>
    </w:p>
    <w:p w14:paraId="72E7F579" w14:textId="106993B4" w:rsidR="006A380D" w:rsidRPr="00DE5237" w:rsidRDefault="00DE5237" w:rsidP="00DE5237">
      <w:pPr>
        <w:pStyle w:val="Liste"/>
        <w:numPr>
          <w:ilvl w:val="0"/>
          <w:numId w:val="0"/>
        </w:numPr>
      </w:pPr>
      <w:r>
        <w:rPr>
          <w:noProof/>
        </w:rPr>
        <mc:AlternateContent>
          <mc:Choice Requires="wps">
            <w:drawing>
              <wp:anchor distT="45720" distB="45720" distL="114300" distR="114300" simplePos="0" relativeHeight="251668480" behindDoc="0" locked="0" layoutInCell="1" allowOverlap="1" wp14:anchorId="580F43CD" wp14:editId="497B91C4">
                <wp:simplePos x="0" y="0"/>
                <wp:positionH relativeFrom="column">
                  <wp:posOffset>-2540</wp:posOffset>
                </wp:positionH>
                <wp:positionV relativeFrom="paragraph">
                  <wp:posOffset>248285</wp:posOffset>
                </wp:positionV>
                <wp:extent cx="5267325" cy="6082665"/>
                <wp:effectExtent l="0" t="0" r="28575" b="13335"/>
                <wp:wrapSquare wrapText="bothSides"/>
                <wp:docPr id="2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6082665"/>
                        </a:xfrm>
                        <a:prstGeom prst="rect">
                          <a:avLst/>
                        </a:prstGeom>
                        <a:solidFill>
                          <a:srgbClr val="FFFFFF"/>
                        </a:solidFill>
                        <a:ln w="9525">
                          <a:solidFill>
                            <a:srgbClr val="000000"/>
                          </a:solidFill>
                          <a:miter lim="800000"/>
                          <a:headEnd/>
                          <a:tailEnd/>
                        </a:ln>
                      </wps:spPr>
                      <wps:txbx>
                        <w:txbxContent>
                          <w:p w14:paraId="4544902C" w14:textId="77777777" w:rsidR="003D053D" w:rsidRPr="0014546A" w:rsidRDefault="003D053D" w:rsidP="00297466">
                            <w:pPr>
                              <w:pStyle w:val="tittel-ramme"/>
                              <w:numPr>
                                <w:ilvl w:val="0"/>
                                <w:numId w:val="0"/>
                              </w:numPr>
                              <w:spacing w:before="120"/>
                              <w:rPr>
                                <w:noProof/>
                              </w:rPr>
                            </w:pPr>
                            <w:r>
                              <w:rPr>
                                <w:noProof/>
                              </w:rPr>
                              <w:t xml:space="preserve">Boks 6.1 </w:t>
                            </w:r>
                            <w:r w:rsidRPr="0014546A">
                              <w:rPr>
                                <w:noProof/>
                              </w:rPr>
                              <w:t>Beregninger av endringer i reallønn etter skatt</w:t>
                            </w:r>
                          </w:p>
                          <w:p w14:paraId="725BBE99" w14:textId="77777777" w:rsidR="003D053D" w:rsidRPr="0061481D" w:rsidRDefault="003D053D" w:rsidP="00DE5237">
                            <w:pPr>
                              <w:rPr>
                                <w:noProof/>
                              </w:rPr>
                            </w:pPr>
                            <w:r w:rsidRPr="0061481D">
                              <w:rPr>
                                <w:noProof/>
                              </w:rPr>
                              <w:t>Beregningene av endringer i reallønn etter skatt i dette avsnittet bygger på følgende forutsetninger:</w:t>
                            </w:r>
                          </w:p>
                          <w:p w14:paraId="44ABF2E3" w14:textId="77777777" w:rsidR="003D053D" w:rsidRPr="0061481D" w:rsidRDefault="003D053D" w:rsidP="00DE5237">
                            <w:pPr>
                              <w:pStyle w:val="Liste"/>
                            </w:pPr>
                            <w:r w:rsidRPr="0061481D">
                              <w:t>Inntektstakeren mottar bare én inntektsart (lønn).</w:t>
                            </w:r>
                          </w:p>
                          <w:p w14:paraId="1391B952" w14:textId="77777777" w:rsidR="003D053D" w:rsidRPr="0061481D" w:rsidRDefault="003D053D" w:rsidP="00DE5237">
                            <w:pPr>
                              <w:pStyle w:val="Liste"/>
                              <w:rPr>
                                <w:noProof/>
                                <w:szCs w:val="24"/>
                              </w:rPr>
                            </w:pPr>
                            <w:r w:rsidRPr="0061481D">
                              <w:t>Det er bare tatt hensyn til skatteregler som berører alle eller de fleste lønnstakere. Det vil bl.a. si at det kun gis standardfradrag i inntekt (personfradrag og minstefradrag).</w:t>
                            </w:r>
                          </w:p>
                          <w:p w14:paraId="587F43DF" w14:textId="77777777" w:rsidR="003D053D" w:rsidRPr="0061481D" w:rsidRDefault="003D053D" w:rsidP="00DE5237">
                            <w:pPr>
                              <w:pStyle w:val="Liste"/>
                              <w:rPr>
                                <w:noProof/>
                                <w:szCs w:val="24"/>
                              </w:rPr>
                            </w:pPr>
                            <w:r w:rsidRPr="0061481D">
                              <w:t>Barnetrygd er regnet som negativ skatt. Det er ikke tatt hensyn til andre overføringer fra offentlige budsjetter, herunder kontantstøtten som ble innført fom. 1. august 1998.</w:t>
                            </w:r>
                          </w:p>
                          <w:p w14:paraId="255BADFC" w14:textId="77777777" w:rsidR="003D053D" w:rsidRPr="0061481D" w:rsidRDefault="003D053D" w:rsidP="00DE5237">
                            <w:pPr>
                              <w:rPr>
                                <w:noProof/>
                                <w:szCs w:val="24"/>
                              </w:rPr>
                            </w:pPr>
                            <w:r w:rsidRPr="0061481D">
                              <w:t xml:space="preserve">Det er brukt samme prisindeks (konsumprisindeksen) for alle husholdningstyper ved omregning til reallønn. Konsumprisindeksen økte med </w:t>
                            </w:r>
                            <w:r>
                              <w:t>2,0</w:t>
                            </w:r>
                            <w:r w:rsidRPr="0061481D">
                              <w:t xml:space="preserve"> </w:t>
                            </w:r>
                            <w:r w:rsidRPr="007C3EEC">
                              <w:t>prosent</w:t>
                            </w:r>
                            <w:r w:rsidRPr="0061481D">
                              <w:t xml:space="preserve"> fra 20</w:t>
                            </w:r>
                            <w:r>
                              <w:t>13</w:t>
                            </w:r>
                            <w:r w:rsidRPr="0061481D">
                              <w:t xml:space="preserve"> til 20</w:t>
                            </w:r>
                            <w:r>
                              <w:t>14</w:t>
                            </w:r>
                            <w:r w:rsidRPr="0061481D">
                              <w:t xml:space="preserve"> og med </w:t>
                            </w:r>
                            <w:r>
                              <w:t>2,1</w:t>
                            </w:r>
                            <w:r w:rsidRPr="0061481D">
                              <w:t xml:space="preserve"> prosent fra 20</w:t>
                            </w:r>
                            <w:r>
                              <w:t xml:space="preserve">14 </w:t>
                            </w:r>
                            <w:r w:rsidRPr="0061481D">
                              <w:t>til 201</w:t>
                            </w:r>
                            <w:r>
                              <w:t>5</w:t>
                            </w:r>
                            <w:r w:rsidRPr="0061481D">
                              <w:t>.</w:t>
                            </w:r>
                          </w:p>
                          <w:p w14:paraId="492E6C92" w14:textId="77777777" w:rsidR="003D053D" w:rsidRPr="0061481D" w:rsidRDefault="003D053D" w:rsidP="00DE5237">
                            <w:pPr>
                              <w:rPr>
                                <w:noProof/>
                                <w:szCs w:val="24"/>
                              </w:rPr>
                            </w:pPr>
                            <w:r w:rsidRPr="0061481D">
                              <w:rPr>
                                <w:noProof/>
                                <w:szCs w:val="24"/>
                              </w:rPr>
                              <w:t xml:space="preserve">Beregninger basert på så enkle forutsetninger </w:t>
                            </w:r>
                            <w:r>
                              <w:rPr>
                                <w:noProof/>
                                <w:szCs w:val="24"/>
                              </w:rPr>
                              <w:t xml:space="preserve">som her </w:t>
                            </w:r>
                            <w:r w:rsidRPr="0061481D">
                              <w:rPr>
                                <w:noProof/>
                                <w:szCs w:val="24"/>
                              </w:rPr>
                              <w:t>må brukes med forsiktighet. Beregningsutvalget mener likevel av flere grunner at denne type beregninger kan ha interesse:</w:t>
                            </w:r>
                          </w:p>
                          <w:p w14:paraId="1507F695" w14:textId="77777777" w:rsidR="003D053D" w:rsidRPr="0061481D" w:rsidRDefault="003D053D" w:rsidP="00DE5237">
                            <w:pPr>
                              <w:pStyle w:val="Liste"/>
                            </w:pPr>
                            <w:r w:rsidRPr="0061481D">
                              <w:t>Resultatene indikerer i hvilken retning endringer i sentrale skatteregler isolert sett trekker.</w:t>
                            </w:r>
                          </w:p>
                          <w:p w14:paraId="6D8B67ED" w14:textId="77777777" w:rsidR="003D053D" w:rsidRPr="0061481D" w:rsidRDefault="003D053D" w:rsidP="00DE5237">
                            <w:pPr>
                              <w:pStyle w:val="Liste"/>
                              <w:rPr>
                                <w:noProof/>
                              </w:rPr>
                            </w:pPr>
                            <w:r w:rsidRPr="0061481D">
                              <w:t>Siden det bare forhandles om lønn, kan beregninger der en kun endrer lønnsinntekten være av særlig interesse.</w:t>
                            </w:r>
                          </w:p>
                          <w:p w14:paraId="72769541" w14:textId="3D18F655" w:rsidR="003D053D" w:rsidRDefault="003D053D" w:rsidP="00DE5237">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F43CD" id="_x0000_s1030" type="#_x0000_t202" style="position:absolute;margin-left:-.2pt;margin-top:19.55pt;width:414.75pt;height:478.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">
                <v:textbox>
                  <w:txbxContent>
                    <w:p w14:paraId="4544902C" w14:textId="77777777" w:rsidR="003D053D" w:rsidRPr="0014546A" w:rsidRDefault="003D053D" w:rsidP="00297466">
                      <w:pPr>
                        <w:pStyle w:val="tittel-ramme"/>
                        <w:numPr>
                          <w:ilvl w:val="0"/>
                          <w:numId w:val="0"/>
                        </w:numPr>
                        <w:spacing w:before="120"/>
                        <w:rPr>
                          <w:noProof/>
                        </w:rPr>
                      </w:pPr>
                      <w:r>
                        <w:rPr>
                          <w:noProof/>
                        </w:rPr>
                        <w:t xml:space="preserve">Boks 6.1 </w:t>
                      </w:r>
                      <w:r w:rsidRPr="0014546A">
                        <w:rPr>
                          <w:noProof/>
                        </w:rPr>
                        <w:t>Beregninger av endringer i reallønn etter skatt</w:t>
                      </w:r>
                    </w:p>
                    <w:p w14:paraId="725BBE99" w14:textId="77777777" w:rsidR="003D053D" w:rsidRPr="0061481D" w:rsidRDefault="003D053D" w:rsidP="00DE5237">
                      <w:pPr>
                        <w:rPr>
                          <w:noProof/>
                        </w:rPr>
                      </w:pPr>
                      <w:r w:rsidRPr="0061481D">
                        <w:rPr>
                          <w:noProof/>
                        </w:rPr>
                        <w:t>Beregningene av endringer i reallønn etter skatt i dette avsnittet bygger på følgende forutsetninger:</w:t>
                      </w:r>
                    </w:p>
                    <w:p w14:paraId="44ABF2E3" w14:textId="77777777" w:rsidR="003D053D" w:rsidRPr="0061481D" w:rsidRDefault="003D053D" w:rsidP="00DE5237">
                      <w:pPr>
                        <w:pStyle w:val="Liste"/>
                      </w:pPr>
                      <w:r w:rsidRPr="0061481D">
                        <w:t>Inntektstakeren mottar bare én inntektsart (lønn).</w:t>
                      </w:r>
                    </w:p>
                    <w:p w14:paraId="1391B952" w14:textId="77777777" w:rsidR="003D053D" w:rsidRPr="0061481D" w:rsidRDefault="003D053D" w:rsidP="00DE5237">
                      <w:pPr>
                        <w:pStyle w:val="Liste"/>
                        <w:rPr>
                          <w:noProof/>
                          <w:szCs w:val="24"/>
                        </w:rPr>
                      </w:pPr>
                      <w:r w:rsidRPr="0061481D">
                        <w:t>Det er bare tatt hensyn til skatteregler som berører alle eller de fleste lønnstakere. Det vil bl.a. si at det kun gis standardfradrag i inntekt (personfradrag og minstefradrag).</w:t>
                      </w:r>
                    </w:p>
                    <w:p w14:paraId="587F43DF" w14:textId="77777777" w:rsidR="003D053D" w:rsidRPr="0061481D" w:rsidRDefault="003D053D" w:rsidP="00DE5237">
                      <w:pPr>
                        <w:pStyle w:val="Liste"/>
                        <w:rPr>
                          <w:noProof/>
                          <w:szCs w:val="24"/>
                        </w:rPr>
                      </w:pPr>
                      <w:r w:rsidRPr="0061481D">
                        <w:t>Barnetrygd er regnet som negativ skatt. Det er ikke tatt hensyn til andre overføringer fra offentlige budsjetter, herunder kontantstøtten som ble innført fom. 1. august 1998.</w:t>
                      </w:r>
                    </w:p>
                    <w:p w14:paraId="255BADFC" w14:textId="77777777" w:rsidR="003D053D" w:rsidRPr="0061481D" w:rsidRDefault="003D053D" w:rsidP="00DE5237">
                      <w:pPr>
                        <w:rPr>
                          <w:noProof/>
                          <w:szCs w:val="24"/>
                        </w:rPr>
                      </w:pPr>
                      <w:r w:rsidRPr="0061481D">
                        <w:t xml:space="preserve">Det er brukt samme prisindeks (konsumprisindeksen) for alle husholdningstyper ved omregning til reallønn. Konsumprisindeksen økte med </w:t>
                      </w:r>
                      <w:r>
                        <w:t>2,0</w:t>
                      </w:r>
                      <w:r w:rsidRPr="0061481D">
                        <w:t xml:space="preserve"> </w:t>
                      </w:r>
                      <w:r w:rsidRPr="007C3EEC">
                        <w:t>prosent</w:t>
                      </w:r>
                      <w:r w:rsidRPr="0061481D">
                        <w:t xml:space="preserve"> fra 20</w:t>
                      </w:r>
                      <w:r>
                        <w:t>13</w:t>
                      </w:r>
                      <w:r w:rsidRPr="0061481D">
                        <w:t xml:space="preserve"> til 20</w:t>
                      </w:r>
                      <w:r>
                        <w:t>14</w:t>
                      </w:r>
                      <w:r w:rsidRPr="0061481D">
                        <w:t xml:space="preserve"> og med </w:t>
                      </w:r>
                      <w:r>
                        <w:t>2,1</w:t>
                      </w:r>
                      <w:r w:rsidRPr="0061481D">
                        <w:t xml:space="preserve"> prosent fra 20</w:t>
                      </w:r>
                      <w:r>
                        <w:t xml:space="preserve">14 </w:t>
                      </w:r>
                      <w:r w:rsidRPr="0061481D">
                        <w:t>til 201</w:t>
                      </w:r>
                      <w:r>
                        <w:t>5</w:t>
                      </w:r>
                      <w:r w:rsidRPr="0061481D">
                        <w:t>.</w:t>
                      </w:r>
                    </w:p>
                    <w:p w14:paraId="492E6C92" w14:textId="77777777" w:rsidR="003D053D" w:rsidRPr="0061481D" w:rsidRDefault="003D053D" w:rsidP="00DE5237">
                      <w:pPr>
                        <w:rPr>
                          <w:noProof/>
                          <w:szCs w:val="24"/>
                        </w:rPr>
                      </w:pPr>
                      <w:r w:rsidRPr="0061481D">
                        <w:rPr>
                          <w:noProof/>
                          <w:szCs w:val="24"/>
                        </w:rPr>
                        <w:t xml:space="preserve">Beregninger basert på så enkle forutsetninger </w:t>
                      </w:r>
                      <w:r>
                        <w:rPr>
                          <w:noProof/>
                          <w:szCs w:val="24"/>
                        </w:rPr>
                        <w:t xml:space="preserve">som her </w:t>
                      </w:r>
                      <w:r w:rsidRPr="0061481D">
                        <w:rPr>
                          <w:noProof/>
                          <w:szCs w:val="24"/>
                        </w:rPr>
                        <w:t>må brukes med forsiktighet. Beregningsutvalget mener likevel av flere grunner at denne type beregninger kan ha interesse:</w:t>
                      </w:r>
                    </w:p>
                    <w:p w14:paraId="1507F695" w14:textId="77777777" w:rsidR="003D053D" w:rsidRPr="0061481D" w:rsidRDefault="003D053D" w:rsidP="00DE5237">
                      <w:pPr>
                        <w:pStyle w:val="Liste"/>
                      </w:pPr>
                      <w:r w:rsidRPr="0061481D">
                        <w:t>Resultatene indikerer i hvilken retning endringer i sentrale skatteregler isolert sett trekker.</w:t>
                      </w:r>
                    </w:p>
                    <w:p w14:paraId="6D8B67ED" w14:textId="77777777" w:rsidR="003D053D" w:rsidRPr="0061481D" w:rsidRDefault="003D053D" w:rsidP="00DE5237">
                      <w:pPr>
                        <w:pStyle w:val="Liste"/>
                        <w:rPr>
                          <w:noProof/>
                        </w:rPr>
                      </w:pPr>
                      <w:r w:rsidRPr="0061481D">
                        <w:t>Siden det bare forhandles om lønn, kan beregninger der en kun endrer lønnsinntekten være av særlig interesse.</w:t>
                      </w:r>
                    </w:p>
                    <w:p w14:paraId="72769541" w14:textId="3D18F655" w:rsidR="003D053D" w:rsidRDefault="003D053D" w:rsidP="00DE5237">
                      <w:r w:rsidRPr="0061481D">
                        <w:rPr>
                          <w:noProof/>
                        </w:rPr>
                        <w:t xml:space="preserve">Den nominelle lønnsinntekten etter skatt beregnes ved å trekke inntektsskatter og avgifter til folketrygden fra lønnsinntekten. For barnefamilier tas </w:t>
                      </w:r>
                      <w:r>
                        <w:rPr>
                          <w:noProof/>
                        </w:rPr>
                        <w:t xml:space="preserve">det </w:t>
                      </w:r>
                      <w:r w:rsidRPr="0061481D">
                        <w:rPr>
                          <w:noProof/>
                        </w:rPr>
                        <w:t>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txbxContent>
                </v:textbox>
                <w10:wrap type="square"/>
              </v:shape>
            </w:pict>
          </mc:Fallback>
        </mc:AlternateContent>
      </w:r>
    </w:p>
    <w:p w14:paraId="7446CD92" w14:textId="3578E00A" w:rsidR="006A380D" w:rsidRDefault="006A380D" w:rsidP="006A380D"/>
    <w:p w14:paraId="5B4951A0" w14:textId="77777777" w:rsidR="006A380D" w:rsidRPr="004F7B12" w:rsidRDefault="006A380D" w:rsidP="006A380D">
      <w:pPr>
        <w:rPr>
          <w:noProof/>
        </w:rPr>
      </w:pPr>
    </w:p>
    <w:p w14:paraId="26CD3D12" w14:textId="77777777" w:rsidR="006A380D" w:rsidRPr="000570E8" w:rsidRDefault="006A380D" w:rsidP="006A380D">
      <w:pPr>
        <w:pStyle w:val="tabell-tittel"/>
      </w:pPr>
      <w:bookmarkStart w:id="275" w:name="ID_TAB2_46_6"/>
      <w:bookmarkEnd w:id="275"/>
      <w:r w:rsidRPr="000570E8">
        <w:t>Beregnet vekst i reallønn etter skatt for utvalgte husholdning</w:t>
      </w:r>
      <w:r>
        <w:t>styper</w:t>
      </w:r>
      <w:r w:rsidRPr="000570E8">
        <w:t>. Vekst i prosent</w:t>
      </w:r>
    </w:p>
    <w:tbl>
      <w:tblPr>
        <w:tblW w:w="8900" w:type="dxa"/>
        <w:tblLayout w:type="fixed"/>
        <w:tblCellMar>
          <w:left w:w="0" w:type="dxa"/>
          <w:right w:w="0" w:type="dxa"/>
        </w:tblCellMar>
        <w:tblLook w:val="0000" w:firstRow="0" w:lastRow="0" w:firstColumn="0" w:lastColumn="0" w:noHBand="0" w:noVBand="0"/>
      </w:tblPr>
      <w:tblGrid>
        <w:gridCol w:w="2800"/>
        <w:gridCol w:w="1283"/>
        <w:gridCol w:w="1698"/>
        <w:gridCol w:w="1307"/>
        <w:gridCol w:w="1812"/>
      </w:tblGrid>
      <w:tr w:rsidR="006A380D" w:rsidRPr="000570E8" w14:paraId="2F32E68A" w14:textId="77777777" w:rsidTr="00A14364">
        <w:trPr>
          <w:tblHeader/>
        </w:trPr>
        <w:tc>
          <w:tcPr>
            <w:tcW w:w="2800" w:type="dxa"/>
            <w:tcBorders>
              <w:top w:val="single" w:sz="8" w:space="0" w:color="auto"/>
              <w:left w:val="nil"/>
              <w:bottom w:val="nil"/>
              <w:right w:val="nil"/>
            </w:tcBorders>
          </w:tcPr>
          <w:p w14:paraId="3AEE677E" w14:textId="77777777" w:rsidR="006A380D" w:rsidRPr="000570E8" w:rsidRDefault="006A380D" w:rsidP="00A14364">
            <w:pPr>
              <w:spacing w:line="160" w:lineRule="exact"/>
              <w:rPr>
                <w:noProof/>
              </w:rPr>
            </w:pPr>
          </w:p>
        </w:tc>
        <w:tc>
          <w:tcPr>
            <w:tcW w:w="2981" w:type="dxa"/>
            <w:gridSpan w:val="2"/>
            <w:tcBorders>
              <w:top w:val="single" w:sz="8" w:space="0" w:color="auto"/>
              <w:left w:val="nil"/>
              <w:bottom w:val="single" w:sz="8" w:space="0" w:color="auto"/>
              <w:right w:val="nil"/>
            </w:tcBorders>
          </w:tcPr>
          <w:p w14:paraId="67052DE1" w14:textId="77777777" w:rsidR="006A380D" w:rsidRPr="000570E8" w:rsidRDefault="006A380D" w:rsidP="00A14364">
            <w:pPr>
              <w:spacing w:before="80" w:after="80" w:line="220" w:lineRule="exact"/>
              <w:ind w:left="80" w:right="80"/>
              <w:jc w:val="center"/>
              <w:rPr>
                <w:noProof/>
              </w:rPr>
            </w:pPr>
            <w:r w:rsidRPr="000570E8">
              <w:rPr>
                <w:noProof/>
              </w:rPr>
              <w:t>20</w:t>
            </w:r>
            <w:r>
              <w:rPr>
                <w:noProof/>
              </w:rPr>
              <w:t>14</w:t>
            </w:r>
            <w:r w:rsidRPr="001814CE">
              <w:rPr>
                <w:noProof/>
                <w:vertAlign w:val="superscript"/>
              </w:rPr>
              <w:t>1</w:t>
            </w:r>
          </w:p>
        </w:tc>
        <w:tc>
          <w:tcPr>
            <w:tcW w:w="3119" w:type="dxa"/>
            <w:gridSpan w:val="2"/>
            <w:tcBorders>
              <w:top w:val="single" w:sz="8" w:space="0" w:color="auto"/>
              <w:left w:val="nil"/>
              <w:bottom w:val="single" w:sz="8" w:space="0" w:color="auto"/>
              <w:right w:val="nil"/>
            </w:tcBorders>
          </w:tcPr>
          <w:p w14:paraId="4CBDFA29" w14:textId="77777777" w:rsidR="006A380D" w:rsidRPr="000570E8" w:rsidRDefault="006A380D" w:rsidP="00A14364">
            <w:pPr>
              <w:spacing w:before="80" w:after="80" w:line="220" w:lineRule="exact"/>
              <w:ind w:left="80" w:right="80"/>
              <w:jc w:val="center"/>
              <w:rPr>
                <w:noProof/>
              </w:rPr>
            </w:pPr>
            <w:r>
              <w:rPr>
                <w:noProof/>
              </w:rPr>
              <w:t>2015</w:t>
            </w:r>
          </w:p>
        </w:tc>
      </w:tr>
      <w:tr w:rsidR="006A380D" w:rsidRPr="000570E8" w14:paraId="3BA4978D" w14:textId="77777777" w:rsidTr="0054354B">
        <w:trPr>
          <w:tblHeader/>
        </w:trPr>
        <w:tc>
          <w:tcPr>
            <w:tcW w:w="2800" w:type="dxa"/>
            <w:tcBorders>
              <w:top w:val="nil"/>
              <w:left w:val="nil"/>
              <w:bottom w:val="single" w:sz="8" w:space="0" w:color="auto"/>
              <w:right w:val="nil"/>
            </w:tcBorders>
          </w:tcPr>
          <w:p w14:paraId="4EC30856" w14:textId="77777777" w:rsidR="006A380D" w:rsidRPr="000570E8" w:rsidRDefault="006A380D" w:rsidP="00A14364">
            <w:pPr>
              <w:spacing w:before="80" w:after="80" w:line="220" w:lineRule="exact"/>
              <w:ind w:right="80"/>
              <w:jc w:val="center"/>
              <w:rPr>
                <w:noProof/>
              </w:rPr>
            </w:pPr>
            <w:r w:rsidRPr="000570E8">
              <w:rPr>
                <w:noProof/>
              </w:rPr>
              <w:t>Lønnsinntekt i 20</w:t>
            </w:r>
            <w:r>
              <w:rPr>
                <w:noProof/>
              </w:rPr>
              <w:t>15</w:t>
            </w:r>
          </w:p>
        </w:tc>
        <w:tc>
          <w:tcPr>
            <w:tcW w:w="1283" w:type="dxa"/>
            <w:tcBorders>
              <w:top w:val="nil"/>
              <w:left w:val="nil"/>
              <w:bottom w:val="single" w:sz="8" w:space="0" w:color="auto"/>
              <w:right w:val="nil"/>
            </w:tcBorders>
          </w:tcPr>
          <w:p w14:paraId="2B239AAB" w14:textId="77777777" w:rsidR="006A380D" w:rsidRPr="000570E8" w:rsidRDefault="006A380D" w:rsidP="00A14364">
            <w:pPr>
              <w:spacing w:before="80" w:after="80" w:line="220" w:lineRule="exact"/>
              <w:ind w:left="80" w:right="80"/>
              <w:jc w:val="center"/>
              <w:rPr>
                <w:noProof/>
              </w:rPr>
            </w:pPr>
            <w:r w:rsidRPr="000570E8">
              <w:rPr>
                <w:noProof/>
              </w:rPr>
              <w:t>Nominell lønnsvekst</w:t>
            </w:r>
          </w:p>
        </w:tc>
        <w:tc>
          <w:tcPr>
            <w:tcW w:w="1698" w:type="dxa"/>
            <w:tcBorders>
              <w:top w:val="nil"/>
              <w:left w:val="nil"/>
              <w:bottom w:val="single" w:sz="8" w:space="0" w:color="auto"/>
              <w:right w:val="nil"/>
            </w:tcBorders>
          </w:tcPr>
          <w:p w14:paraId="0FF15A48" w14:textId="77777777" w:rsidR="006A380D" w:rsidRPr="000570E8" w:rsidRDefault="006A380D" w:rsidP="00A14364">
            <w:pPr>
              <w:spacing w:before="80" w:after="80" w:line="220" w:lineRule="exact"/>
              <w:ind w:left="80" w:right="80"/>
              <w:jc w:val="center"/>
              <w:rPr>
                <w:noProof/>
              </w:rPr>
            </w:pPr>
            <w:r w:rsidRPr="000570E8">
              <w:rPr>
                <w:noProof/>
              </w:rPr>
              <w:t>Vekst i reallønn etter skatt</w:t>
            </w:r>
          </w:p>
        </w:tc>
        <w:tc>
          <w:tcPr>
            <w:tcW w:w="1307" w:type="dxa"/>
            <w:tcBorders>
              <w:top w:val="nil"/>
              <w:left w:val="nil"/>
              <w:bottom w:val="single" w:sz="8" w:space="0" w:color="auto"/>
              <w:right w:val="nil"/>
            </w:tcBorders>
          </w:tcPr>
          <w:p w14:paraId="39212C90" w14:textId="77777777" w:rsidR="006A380D" w:rsidRPr="000570E8" w:rsidRDefault="006A380D" w:rsidP="00A14364">
            <w:pPr>
              <w:spacing w:before="80" w:after="80" w:line="220" w:lineRule="exact"/>
              <w:ind w:left="80" w:right="80"/>
              <w:jc w:val="center"/>
              <w:rPr>
                <w:noProof/>
              </w:rPr>
            </w:pPr>
            <w:r w:rsidRPr="000570E8">
              <w:rPr>
                <w:noProof/>
              </w:rPr>
              <w:t>Nominell lønnsvekst</w:t>
            </w:r>
          </w:p>
        </w:tc>
        <w:tc>
          <w:tcPr>
            <w:tcW w:w="1812" w:type="dxa"/>
            <w:tcBorders>
              <w:top w:val="nil"/>
              <w:left w:val="nil"/>
              <w:bottom w:val="single" w:sz="8" w:space="0" w:color="auto"/>
              <w:right w:val="nil"/>
            </w:tcBorders>
          </w:tcPr>
          <w:p w14:paraId="48B750D3" w14:textId="77777777" w:rsidR="006A380D" w:rsidRPr="000570E8" w:rsidRDefault="006A380D" w:rsidP="00A14364">
            <w:pPr>
              <w:spacing w:before="80" w:after="80" w:line="220" w:lineRule="exact"/>
              <w:ind w:left="80" w:right="80"/>
              <w:jc w:val="center"/>
              <w:rPr>
                <w:noProof/>
              </w:rPr>
            </w:pPr>
            <w:r w:rsidRPr="000570E8">
              <w:rPr>
                <w:noProof/>
              </w:rPr>
              <w:t>Vekst i reallønn etter skatt</w:t>
            </w:r>
          </w:p>
        </w:tc>
      </w:tr>
      <w:tr w:rsidR="006A380D" w:rsidRPr="00690597" w14:paraId="1A6D5908" w14:textId="77777777" w:rsidTr="0054354B">
        <w:tc>
          <w:tcPr>
            <w:tcW w:w="2800" w:type="dxa"/>
            <w:tcBorders>
              <w:top w:val="single" w:sz="8" w:space="0" w:color="auto"/>
              <w:left w:val="nil"/>
              <w:bottom w:val="nil"/>
              <w:right w:val="nil"/>
            </w:tcBorders>
          </w:tcPr>
          <w:p w14:paraId="3456E174" w14:textId="77777777" w:rsidR="006A380D" w:rsidRPr="00690597" w:rsidRDefault="006A380D" w:rsidP="00A14364">
            <w:pPr>
              <w:spacing w:before="80" w:after="80" w:line="220" w:lineRule="exact"/>
              <w:ind w:right="80"/>
              <w:jc w:val="both"/>
              <w:rPr>
                <w:i/>
                <w:noProof/>
              </w:rPr>
            </w:pPr>
            <w:r w:rsidRPr="00690597">
              <w:rPr>
                <w:rStyle w:val="kursiv"/>
              </w:rPr>
              <w:t xml:space="preserve">300 000 kroner </w:t>
            </w:r>
          </w:p>
        </w:tc>
        <w:tc>
          <w:tcPr>
            <w:tcW w:w="1283" w:type="dxa"/>
            <w:tcBorders>
              <w:top w:val="single" w:sz="8" w:space="0" w:color="auto"/>
              <w:left w:val="nil"/>
              <w:bottom w:val="nil"/>
              <w:right w:val="nil"/>
            </w:tcBorders>
          </w:tcPr>
          <w:p w14:paraId="09CB4ED2" w14:textId="77777777" w:rsidR="006A380D" w:rsidRPr="00690597" w:rsidRDefault="006A380D" w:rsidP="00A14364">
            <w:pPr>
              <w:spacing w:line="160" w:lineRule="exact"/>
              <w:rPr>
                <w:i/>
                <w:noProof/>
              </w:rPr>
            </w:pPr>
          </w:p>
        </w:tc>
        <w:tc>
          <w:tcPr>
            <w:tcW w:w="1698" w:type="dxa"/>
            <w:tcBorders>
              <w:top w:val="single" w:sz="8" w:space="0" w:color="auto"/>
              <w:left w:val="nil"/>
              <w:bottom w:val="nil"/>
              <w:right w:val="nil"/>
            </w:tcBorders>
          </w:tcPr>
          <w:p w14:paraId="04D961DA" w14:textId="77777777" w:rsidR="006A380D" w:rsidRPr="00690597" w:rsidRDefault="006A380D" w:rsidP="00A14364">
            <w:pPr>
              <w:spacing w:line="160" w:lineRule="exact"/>
              <w:rPr>
                <w:i/>
                <w:noProof/>
              </w:rPr>
            </w:pPr>
          </w:p>
        </w:tc>
        <w:tc>
          <w:tcPr>
            <w:tcW w:w="1307" w:type="dxa"/>
            <w:tcBorders>
              <w:top w:val="single" w:sz="8" w:space="0" w:color="auto"/>
              <w:left w:val="nil"/>
              <w:bottom w:val="nil"/>
              <w:right w:val="nil"/>
            </w:tcBorders>
          </w:tcPr>
          <w:p w14:paraId="228B9B99" w14:textId="77777777" w:rsidR="006A380D" w:rsidRPr="00690597" w:rsidRDefault="006A380D" w:rsidP="00A14364">
            <w:pPr>
              <w:spacing w:line="160" w:lineRule="exact"/>
              <w:rPr>
                <w:i/>
                <w:noProof/>
              </w:rPr>
            </w:pPr>
          </w:p>
        </w:tc>
        <w:tc>
          <w:tcPr>
            <w:tcW w:w="1812" w:type="dxa"/>
            <w:tcBorders>
              <w:top w:val="single" w:sz="8" w:space="0" w:color="auto"/>
              <w:left w:val="nil"/>
              <w:bottom w:val="nil"/>
              <w:right w:val="nil"/>
            </w:tcBorders>
          </w:tcPr>
          <w:p w14:paraId="60DD0749" w14:textId="77777777" w:rsidR="006A380D" w:rsidRPr="00690597" w:rsidRDefault="006A380D" w:rsidP="00A14364">
            <w:pPr>
              <w:spacing w:line="160" w:lineRule="exact"/>
              <w:rPr>
                <w:i/>
                <w:noProof/>
              </w:rPr>
            </w:pPr>
          </w:p>
        </w:tc>
      </w:tr>
      <w:tr w:rsidR="006A380D" w:rsidRPr="00E87E20" w14:paraId="54388647" w14:textId="77777777" w:rsidTr="0054354B">
        <w:tc>
          <w:tcPr>
            <w:tcW w:w="2800" w:type="dxa"/>
            <w:tcBorders>
              <w:top w:val="nil"/>
              <w:left w:val="nil"/>
              <w:bottom w:val="nil"/>
              <w:right w:val="nil"/>
            </w:tcBorders>
          </w:tcPr>
          <w:p w14:paraId="6FFD55C1" w14:textId="77777777" w:rsidR="006A380D" w:rsidRPr="000570E8" w:rsidRDefault="006A380D" w:rsidP="00A14364">
            <w:pPr>
              <w:spacing w:before="80" w:after="80" w:line="220" w:lineRule="exact"/>
              <w:ind w:right="80"/>
              <w:rPr>
                <w:noProof/>
              </w:rPr>
            </w:pPr>
            <w:r w:rsidRPr="000570E8">
              <w:rPr>
                <w:noProof/>
              </w:rPr>
              <w:t>Enslig lønnstaker uten barn</w:t>
            </w:r>
            <w:r>
              <w:rPr>
                <w:vertAlign w:val="superscript"/>
              </w:rPr>
              <w:t>2</w:t>
            </w:r>
          </w:p>
        </w:tc>
        <w:tc>
          <w:tcPr>
            <w:tcW w:w="1283" w:type="dxa"/>
            <w:tcBorders>
              <w:top w:val="nil"/>
              <w:left w:val="nil"/>
              <w:bottom w:val="nil"/>
              <w:right w:val="nil"/>
            </w:tcBorders>
            <w:vAlign w:val="bottom"/>
          </w:tcPr>
          <w:p w14:paraId="64CFC2C0"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116F207C" w14:textId="77777777" w:rsidR="006A380D" w:rsidRPr="008833DD" w:rsidRDefault="006A380D" w:rsidP="00A14364">
            <w:pPr>
              <w:spacing w:before="80" w:after="80" w:line="220" w:lineRule="exact"/>
              <w:ind w:left="80" w:right="80"/>
              <w:jc w:val="center"/>
              <w:rPr>
                <w:noProof/>
              </w:rPr>
            </w:pPr>
            <w:r>
              <w:rPr>
                <w:noProof/>
              </w:rPr>
              <w:t>1,3</w:t>
            </w:r>
          </w:p>
        </w:tc>
        <w:tc>
          <w:tcPr>
            <w:tcW w:w="1307" w:type="dxa"/>
            <w:tcBorders>
              <w:top w:val="nil"/>
              <w:left w:val="nil"/>
              <w:bottom w:val="nil"/>
              <w:right w:val="nil"/>
            </w:tcBorders>
            <w:vAlign w:val="bottom"/>
          </w:tcPr>
          <w:p w14:paraId="6F3DFBA0"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37EB2D60" w14:textId="77777777" w:rsidR="006A380D" w:rsidRPr="00E87E20" w:rsidRDefault="006A380D" w:rsidP="00A14364">
            <w:pPr>
              <w:spacing w:before="80" w:after="80" w:line="220" w:lineRule="exact"/>
              <w:ind w:left="80" w:right="80"/>
              <w:jc w:val="center"/>
              <w:rPr>
                <w:noProof/>
              </w:rPr>
            </w:pPr>
            <w:r>
              <w:rPr>
                <w:noProof/>
              </w:rPr>
              <w:t>1,0</w:t>
            </w:r>
          </w:p>
        </w:tc>
      </w:tr>
      <w:tr w:rsidR="006A380D" w:rsidRPr="00E87E20" w14:paraId="705ECE4A" w14:textId="77777777" w:rsidTr="0054354B">
        <w:tc>
          <w:tcPr>
            <w:tcW w:w="2800" w:type="dxa"/>
            <w:tcBorders>
              <w:top w:val="nil"/>
              <w:left w:val="nil"/>
              <w:bottom w:val="nil"/>
              <w:right w:val="nil"/>
            </w:tcBorders>
          </w:tcPr>
          <w:p w14:paraId="178439CC" w14:textId="77777777" w:rsidR="006A380D" w:rsidRPr="000570E8" w:rsidRDefault="006A380D" w:rsidP="00A14364">
            <w:pPr>
              <w:spacing w:before="80" w:after="80" w:line="220" w:lineRule="exact"/>
              <w:ind w:right="80"/>
              <w:rPr>
                <w:noProof/>
              </w:rPr>
            </w:pPr>
            <w:r w:rsidRPr="000570E8">
              <w:rPr>
                <w:noProof/>
              </w:rPr>
              <w:t>Ektepar med én inntekt og 2 barn mellom 3 og 16 år</w:t>
            </w:r>
            <w:r>
              <w:rPr>
                <w:noProof/>
                <w:vertAlign w:val="superscript"/>
              </w:rPr>
              <w:t>3</w:t>
            </w:r>
          </w:p>
        </w:tc>
        <w:tc>
          <w:tcPr>
            <w:tcW w:w="1283" w:type="dxa"/>
            <w:tcBorders>
              <w:top w:val="nil"/>
              <w:left w:val="nil"/>
              <w:bottom w:val="nil"/>
              <w:right w:val="nil"/>
            </w:tcBorders>
            <w:vAlign w:val="bottom"/>
          </w:tcPr>
          <w:p w14:paraId="46A9FF15"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02AB9669" w14:textId="77777777" w:rsidR="006A380D" w:rsidRPr="008833DD" w:rsidRDefault="006A380D" w:rsidP="00A14364">
            <w:pPr>
              <w:spacing w:before="80" w:after="80" w:line="220" w:lineRule="exact"/>
              <w:ind w:left="80" w:right="80"/>
              <w:jc w:val="center"/>
              <w:rPr>
                <w:noProof/>
              </w:rPr>
            </w:pPr>
            <w:r>
              <w:rPr>
                <w:noProof/>
              </w:rPr>
              <w:t>-1,8</w:t>
            </w:r>
          </w:p>
        </w:tc>
        <w:tc>
          <w:tcPr>
            <w:tcW w:w="1307" w:type="dxa"/>
            <w:tcBorders>
              <w:top w:val="nil"/>
              <w:left w:val="nil"/>
              <w:bottom w:val="nil"/>
              <w:right w:val="nil"/>
            </w:tcBorders>
            <w:vAlign w:val="bottom"/>
          </w:tcPr>
          <w:p w14:paraId="0BB5DC17"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5AC91CB2" w14:textId="77777777" w:rsidR="006A380D" w:rsidRPr="00E87E20" w:rsidRDefault="006A380D" w:rsidP="00A14364">
            <w:pPr>
              <w:spacing w:before="80" w:after="80" w:line="220" w:lineRule="exact"/>
              <w:ind w:left="80" w:right="80"/>
              <w:jc w:val="center"/>
              <w:rPr>
                <w:noProof/>
              </w:rPr>
            </w:pPr>
            <w:r>
              <w:rPr>
                <w:noProof/>
              </w:rPr>
              <w:t>0,7</w:t>
            </w:r>
          </w:p>
        </w:tc>
      </w:tr>
      <w:tr w:rsidR="006A380D" w:rsidRPr="00E87E20" w14:paraId="6F1CF148" w14:textId="77777777" w:rsidTr="0054354B">
        <w:tc>
          <w:tcPr>
            <w:tcW w:w="2800" w:type="dxa"/>
            <w:tcBorders>
              <w:top w:val="nil"/>
              <w:left w:val="nil"/>
              <w:bottom w:val="nil"/>
              <w:right w:val="nil"/>
            </w:tcBorders>
          </w:tcPr>
          <w:p w14:paraId="001CE48C" w14:textId="77777777" w:rsidR="006A380D" w:rsidRPr="000570E8" w:rsidRDefault="006A380D" w:rsidP="00A14364">
            <w:pPr>
              <w:spacing w:before="80" w:after="80" w:line="220" w:lineRule="exact"/>
              <w:ind w:right="80"/>
              <w:rPr>
                <w:noProof/>
              </w:rPr>
            </w:pPr>
            <w:r>
              <w:rPr>
                <w:noProof/>
              </w:rPr>
              <w:t>Enslig lønnstaker med 1 barn</w:t>
            </w:r>
            <w:r w:rsidRPr="00C74A21">
              <w:rPr>
                <w:noProof/>
                <w:vertAlign w:val="superscript"/>
              </w:rPr>
              <w:t>3</w:t>
            </w:r>
          </w:p>
        </w:tc>
        <w:tc>
          <w:tcPr>
            <w:tcW w:w="1283" w:type="dxa"/>
            <w:tcBorders>
              <w:top w:val="nil"/>
              <w:left w:val="nil"/>
              <w:bottom w:val="nil"/>
              <w:right w:val="nil"/>
            </w:tcBorders>
            <w:vAlign w:val="bottom"/>
          </w:tcPr>
          <w:p w14:paraId="6F78857B"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7DA5A97B" w14:textId="77777777" w:rsidR="006A380D" w:rsidRPr="008833DD" w:rsidRDefault="006A380D" w:rsidP="00A14364">
            <w:pPr>
              <w:spacing w:before="80" w:after="80" w:line="220" w:lineRule="exact"/>
              <w:ind w:left="80" w:right="80"/>
              <w:jc w:val="center"/>
              <w:rPr>
                <w:noProof/>
              </w:rPr>
            </w:pPr>
            <w:r>
              <w:rPr>
                <w:noProof/>
              </w:rPr>
              <w:t>0,8</w:t>
            </w:r>
          </w:p>
        </w:tc>
        <w:tc>
          <w:tcPr>
            <w:tcW w:w="1307" w:type="dxa"/>
            <w:tcBorders>
              <w:top w:val="nil"/>
              <w:left w:val="nil"/>
              <w:bottom w:val="nil"/>
              <w:right w:val="nil"/>
            </w:tcBorders>
            <w:vAlign w:val="bottom"/>
          </w:tcPr>
          <w:p w14:paraId="5763CE31"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2AEA070B" w14:textId="77777777" w:rsidR="006A380D" w:rsidRPr="00E87E20" w:rsidRDefault="006A380D" w:rsidP="00A14364">
            <w:pPr>
              <w:spacing w:before="80" w:after="80" w:line="220" w:lineRule="exact"/>
              <w:ind w:left="80" w:right="80"/>
              <w:jc w:val="center"/>
              <w:rPr>
                <w:noProof/>
              </w:rPr>
            </w:pPr>
            <w:r>
              <w:rPr>
                <w:noProof/>
              </w:rPr>
              <w:t>0,6</w:t>
            </w:r>
          </w:p>
        </w:tc>
      </w:tr>
      <w:tr w:rsidR="006A380D" w:rsidRPr="00E87E20" w14:paraId="5BA1D9FE" w14:textId="77777777" w:rsidTr="0054354B">
        <w:tc>
          <w:tcPr>
            <w:tcW w:w="2800" w:type="dxa"/>
            <w:tcBorders>
              <w:top w:val="nil"/>
              <w:left w:val="nil"/>
              <w:bottom w:val="nil"/>
              <w:right w:val="nil"/>
            </w:tcBorders>
          </w:tcPr>
          <w:p w14:paraId="44615184" w14:textId="77777777" w:rsidR="006A380D" w:rsidRPr="000570E8" w:rsidRDefault="006A380D" w:rsidP="00A14364">
            <w:pPr>
              <w:spacing w:before="80" w:after="80" w:line="220" w:lineRule="exact"/>
              <w:ind w:right="80"/>
              <w:rPr>
                <w:i/>
                <w:noProof/>
              </w:rPr>
            </w:pPr>
            <w:r w:rsidRPr="000570E8">
              <w:rPr>
                <w:i/>
              </w:rPr>
              <w:t>550 000 kron</w:t>
            </w:r>
            <w:r w:rsidRPr="00E70DAA">
              <w:t>e</w:t>
            </w:r>
            <w:r w:rsidRPr="00E70DAA">
              <w:rPr>
                <w:rStyle w:val="kursiv"/>
              </w:rPr>
              <w:t>r</w:t>
            </w:r>
            <w:r w:rsidRPr="000570E8">
              <w:rPr>
                <w:rStyle w:val="kursiv"/>
              </w:rPr>
              <w:t xml:space="preserve"> </w:t>
            </w:r>
          </w:p>
        </w:tc>
        <w:tc>
          <w:tcPr>
            <w:tcW w:w="1283" w:type="dxa"/>
            <w:tcBorders>
              <w:top w:val="nil"/>
              <w:left w:val="nil"/>
              <w:bottom w:val="nil"/>
              <w:right w:val="nil"/>
            </w:tcBorders>
            <w:vAlign w:val="bottom"/>
          </w:tcPr>
          <w:p w14:paraId="64810041" w14:textId="77777777" w:rsidR="006A380D" w:rsidRPr="008833DD" w:rsidRDefault="006A380D" w:rsidP="00A14364">
            <w:pPr>
              <w:spacing w:line="160" w:lineRule="exact"/>
              <w:jc w:val="center"/>
              <w:rPr>
                <w:noProof/>
              </w:rPr>
            </w:pPr>
          </w:p>
        </w:tc>
        <w:tc>
          <w:tcPr>
            <w:tcW w:w="1698" w:type="dxa"/>
            <w:tcBorders>
              <w:top w:val="nil"/>
              <w:left w:val="nil"/>
              <w:bottom w:val="nil"/>
              <w:right w:val="nil"/>
            </w:tcBorders>
            <w:vAlign w:val="bottom"/>
          </w:tcPr>
          <w:p w14:paraId="43F3AC82" w14:textId="77777777" w:rsidR="006A380D" w:rsidRPr="008833DD" w:rsidRDefault="006A380D" w:rsidP="00A14364">
            <w:pPr>
              <w:spacing w:line="160" w:lineRule="exact"/>
              <w:jc w:val="center"/>
              <w:rPr>
                <w:noProof/>
              </w:rPr>
            </w:pPr>
          </w:p>
        </w:tc>
        <w:tc>
          <w:tcPr>
            <w:tcW w:w="1307" w:type="dxa"/>
            <w:tcBorders>
              <w:top w:val="nil"/>
              <w:left w:val="nil"/>
              <w:bottom w:val="nil"/>
              <w:right w:val="nil"/>
            </w:tcBorders>
            <w:vAlign w:val="bottom"/>
          </w:tcPr>
          <w:p w14:paraId="762DCA78" w14:textId="77777777" w:rsidR="006A380D" w:rsidRPr="00E87E20" w:rsidRDefault="006A380D" w:rsidP="00A14364">
            <w:pPr>
              <w:spacing w:line="160" w:lineRule="exact"/>
              <w:jc w:val="center"/>
              <w:rPr>
                <w:noProof/>
              </w:rPr>
            </w:pPr>
          </w:p>
        </w:tc>
        <w:tc>
          <w:tcPr>
            <w:tcW w:w="1812" w:type="dxa"/>
            <w:tcBorders>
              <w:top w:val="nil"/>
              <w:left w:val="nil"/>
              <w:bottom w:val="nil"/>
              <w:right w:val="nil"/>
            </w:tcBorders>
            <w:vAlign w:val="bottom"/>
          </w:tcPr>
          <w:p w14:paraId="55BD563A" w14:textId="77777777" w:rsidR="006A380D" w:rsidRPr="00E87E20" w:rsidRDefault="006A380D" w:rsidP="00A14364">
            <w:pPr>
              <w:spacing w:line="160" w:lineRule="exact"/>
              <w:jc w:val="center"/>
              <w:rPr>
                <w:noProof/>
              </w:rPr>
            </w:pPr>
          </w:p>
        </w:tc>
      </w:tr>
      <w:tr w:rsidR="006A380D" w:rsidRPr="00E87E20" w14:paraId="40B16A6B" w14:textId="77777777" w:rsidTr="0054354B">
        <w:tc>
          <w:tcPr>
            <w:tcW w:w="2800" w:type="dxa"/>
            <w:tcBorders>
              <w:top w:val="nil"/>
              <w:left w:val="nil"/>
              <w:bottom w:val="nil"/>
              <w:right w:val="nil"/>
            </w:tcBorders>
          </w:tcPr>
          <w:p w14:paraId="6B34C6D4" w14:textId="77777777" w:rsidR="006A380D" w:rsidRPr="000570E8" w:rsidRDefault="006A380D" w:rsidP="00A14364">
            <w:pPr>
              <w:spacing w:before="80" w:after="80" w:line="220" w:lineRule="exact"/>
              <w:ind w:right="80"/>
              <w:rPr>
                <w:noProof/>
              </w:rPr>
            </w:pPr>
            <w:r w:rsidRPr="000570E8">
              <w:rPr>
                <w:noProof/>
              </w:rPr>
              <w:t>Enslig lønnstaker uten barn</w:t>
            </w:r>
            <w:r>
              <w:rPr>
                <w:rStyle w:val="skrift-hevet"/>
              </w:rPr>
              <w:t>2</w:t>
            </w:r>
          </w:p>
        </w:tc>
        <w:tc>
          <w:tcPr>
            <w:tcW w:w="1283" w:type="dxa"/>
            <w:tcBorders>
              <w:top w:val="nil"/>
              <w:left w:val="nil"/>
              <w:bottom w:val="nil"/>
              <w:right w:val="nil"/>
            </w:tcBorders>
            <w:vAlign w:val="bottom"/>
          </w:tcPr>
          <w:p w14:paraId="62BC9FE2"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794E9E74" w14:textId="77777777" w:rsidR="006A380D" w:rsidRPr="008833DD" w:rsidRDefault="006A380D" w:rsidP="00A14364">
            <w:pPr>
              <w:spacing w:before="80" w:after="80" w:line="220" w:lineRule="exact"/>
              <w:ind w:left="80" w:right="80"/>
              <w:jc w:val="center"/>
              <w:rPr>
                <w:noProof/>
              </w:rPr>
            </w:pPr>
            <w:r>
              <w:rPr>
                <w:noProof/>
              </w:rPr>
              <w:t>1,7</w:t>
            </w:r>
          </w:p>
        </w:tc>
        <w:tc>
          <w:tcPr>
            <w:tcW w:w="1307" w:type="dxa"/>
            <w:tcBorders>
              <w:top w:val="nil"/>
              <w:left w:val="nil"/>
              <w:bottom w:val="nil"/>
              <w:right w:val="nil"/>
            </w:tcBorders>
            <w:vAlign w:val="bottom"/>
          </w:tcPr>
          <w:p w14:paraId="5821C3EC"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22661146" w14:textId="77777777" w:rsidR="006A380D" w:rsidRPr="00E87E20" w:rsidRDefault="006A380D" w:rsidP="00A14364">
            <w:pPr>
              <w:spacing w:before="80" w:after="80" w:line="220" w:lineRule="exact"/>
              <w:ind w:left="80" w:right="80"/>
              <w:jc w:val="center"/>
              <w:rPr>
                <w:noProof/>
              </w:rPr>
            </w:pPr>
            <w:r>
              <w:rPr>
                <w:noProof/>
              </w:rPr>
              <w:t>1,1</w:t>
            </w:r>
          </w:p>
        </w:tc>
      </w:tr>
      <w:tr w:rsidR="006A380D" w:rsidRPr="00E87E20" w14:paraId="0D830DB3" w14:textId="77777777" w:rsidTr="0054354B">
        <w:tc>
          <w:tcPr>
            <w:tcW w:w="2800" w:type="dxa"/>
            <w:tcBorders>
              <w:top w:val="nil"/>
              <w:left w:val="nil"/>
              <w:bottom w:val="nil"/>
              <w:right w:val="nil"/>
            </w:tcBorders>
          </w:tcPr>
          <w:p w14:paraId="714C695A" w14:textId="77777777" w:rsidR="006A380D" w:rsidRPr="000570E8" w:rsidRDefault="006A380D" w:rsidP="00A14364">
            <w:pPr>
              <w:spacing w:before="80" w:after="80" w:line="220" w:lineRule="exact"/>
              <w:ind w:right="80"/>
              <w:rPr>
                <w:noProof/>
              </w:rPr>
            </w:pPr>
            <w:r w:rsidRPr="000570E8">
              <w:rPr>
                <w:noProof/>
              </w:rPr>
              <w:t>Ektepar med én inntekt og 2 barn mellom 3 og 16 år</w:t>
            </w:r>
            <w:r>
              <w:rPr>
                <w:rStyle w:val="skrift-hevet"/>
              </w:rPr>
              <w:t>3</w:t>
            </w:r>
          </w:p>
        </w:tc>
        <w:tc>
          <w:tcPr>
            <w:tcW w:w="1283" w:type="dxa"/>
            <w:tcBorders>
              <w:top w:val="nil"/>
              <w:left w:val="nil"/>
              <w:bottom w:val="nil"/>
              <w:right w:val="nil"/>
            </w:tcBorders>
            <w:vAlign w:val="bottom"/>
          </w:tcPr>
          <w:p w14:paraId="1B72A3C6"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1801A2FF" w14:textId="77777777" w:rsidR="006A380D" w:rsidRPr="008833DD" w:rsidRDefault="006A380D" w:rsidP="00A14364">
            <w:pPr>
              <w:spacing w:before="80" w:after="80" w:line="220" w:lineRule="exact"/>
              <w:ind w:left="80" w:right="80"/>
              <w:jc w:val="center"/>
              <w:rPr>
                <w:noProof/>
              </w:rPr>
            </w:pPr>
            <w:r>
              <w:rPr>
                <w:noProof/>
              </w:rPr>
              <w:t>-0,3</w:t>
            </w:r>
          </w:p>
        </w:tc>
        <w:tc>
          <w:tcPr>
            <w:tcW w:w="1307" w:type="dxa"/>
            <w:tcBorders>
              <w:top w:val="nil"/>
              <w:left w:val="nil"/>
              <w:bottom w:val="nil"/>
              <w:right w:val="nil"/>
            </w:tcBorders>
            <w:vAlign w:val="bottom"/>
          </w:tcPr>
          <w:p w14:paraId="11D6CFBB"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78EBEA29" w14:textId="77777777" w:rsidR="006A380D" w:rsidRPr="00E87E20" w:rsidRDefault="006A380D" w:rsidP="00A14364">
            <w:pPr>
              <w:spacing w:before="80" w:after="80" w:line="220" w:lineRule="exact"/>
              <w:ind w:left="80" w:right="80"/>
              <w:jc w:val="center"/>
              <w:rPr>
                <w:noProof/>
              </w:rPr>
            </w:pPr>
            <w:r>
              <w:rPr>
                <w:noProof/>
              </w:rPr>
              <w:t>0,9</w:t>
            </w:r>
          </w:p>
        </w:tc>
      </w:tr>
      <w:tr w:rsidR="006A380D" w:rsidRPr="00E87E20" w14:paraId="538155CE" w14:textId="77777777" w:rsidTr="0054354B">
        <w:tc>
          <w:tcPr>
            <w:tcW w:w="2800" w:type="dxa"/>
            <w:tcBorders>
              <w:top w:val="nil"/>
              <w:left w:val="nil"/>
              <w:bottom w:val="nil"/>
              <w:right w:val="nil"/>
            </w:tcBorders>
          </w:tcPr>
          <w:p w14:paraId="77B14798" w14:textId="77777777" w:rsidR="006A380D" w:rsidRPr="000570E8" w:rsidRDefault="006A380D" w:rsidP="00A14364">
            <w:pPr>
              <w:spacing w:before="80" w:after="80" w:line="220" w:lineRule="exact"/>
              <w:ind w:right="80"/>
              <w:rPr>
                <w:noProof/>
              </w:rPr>
            </w:pPr>
            <w:r>
              <w:rPr>
                <w:noProof/>
              </w:rPr>
              <w:t>Enslig lønnstaker med 1 barn</w:t>
            </w:r>
            <w:r>
              <w:rPr>
                <w:noProof/>
                <w:vertAlign w:val="superscript"/>
              </w:rPr>
              <w:t>4</w:t>
            </w:r>
          </w:p>
        </w:tc>
        <w:tc>
          <w:tcPr>
            <w:tcW w:w="1283" w:type="dxa"/>
            <w:tcBorders>
              <w:top w:val="nil"/>
              <w:left w:val="nil"/>
              <w:bottom w:val="nil"/>
              <w:right w:val="nil"/>
            </w:tcBorders>
            <w:vAlign w:val="bottom"/>
          </w:tcPr>
          <w:p w14:paraId="67147B91"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17D55281" w14:textId="77777777" w:rsidR="006A380D" w:rsidRPr="008833DD" w:rsidRDefault="006A380D" w:rsidP="00A14364">
            <w:pPr>
              <w:spacing w:before="80" w:after="80" w:line="220" w:lineRule="exact"/>
              <w:ind w:left="80" w:right="80"/>
              <w:jc w:val="center"/>
              <w:rPr>
                <w:noProof/>
              </w:rPr>
            </w:pPr>
            <w:r>
              <w:rPr>
                <w:noProof/>
              </w:rPr>
              <w:t>1,3</w:t>
            </w:r>
          </w:p>
        </w:tc>
        <w:tc>
          <w:tcPr>
            <w:tcW w:w="1307" w:type="dxa"/>
            <w:tcBorders>
              <w:top w:val="nil"/>
              <w:left w:val="nil"/>
              <w:bottom w:val="nil"/>
              <w:right w:val="nil"/>
            </w:tcBorders>
            <w:vAlign w:val="bottom"/>
          </w:tcPr>
          <w:p w14:paraId="6DCAD6C2"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199DBDA6" w14:textId="77777777" w:rsidR="006A380D" w:rsidRPr="00E87E20" w:rsidRDefault="006A380D" w:rsidP="00A14364">
            <w:pPr>
              <w:spacing w:before="80" w:after="80" w:line="220" w:lineRule="exact"/>
              <w:ind w:left="80" w:right="80"/>
              <w:jc w:val="center"/>
              <w:rPr>
                <w:noProof/>
              </w:rPr>
            </w:pPr>
            <w:r>
              <w:rPr>
                <w:noProof/>
              </w:rPr>
              <w:t>0,8</w:t>
            </w:r>
          </w:p>
        </w:tc>
      </w:tr>
      <w:tr w:rsidR="006A380D" w:rsidRPr="00E87E20" w14:paraId="3A5BFF26" w14:textId="77777777" w:rsidTr="0054354B">
        <w:tc>
          <w:tcPr>
            <w:tcW w:w="2800" w:type="dxa"/>
            <w:tcBorders>
              <w:top w:val="nil"/>
              <w:left w:val="nil"/>
              <w:bottom w:val="nil"/>
              <w:right w:val="nil"/>
            </w:tcBorders>
          </w:tcPr>
          <w:p w14:paraId="23C5AB23" w14:textId="13328A1D" w:rsidR="006A380D" w:rsidRPr="000570E8" w:rsidRDefault="006A380D" w:rsidP="00A14364">
            <w:pPr>
              <w:spacing w:before="80" w:after="80" w:line="220" w:lineRule="exact"/>
              <w:ind w:right="80"/>
              <w:rPr>
                <w:noProof/>
              </w:rPr>
            </w:pPr>
            <w:r w:rsidRPr="000570E8">
              <w:rPr>
                <w:noProof/>
              </w:rPr>
              <w:t xml:space="preserve">Ektepar med 2 barn mellom 3 og 16 år, hvor den ene ektefellen tjener 350 000 kroner og den andre </w:t>
            </w:r>
            <w:r w:rsidR="0054354B">
              <w:rPr>
                <w:noProof/>
              </w:rPr>
              <w:br/>
            </w:r>
            <w:r w:rsidRPr="000570E8">
              <w:rPr>
                <w:noProof/>
              </w:rPr>
              <w:t>200 000 kroner</w:t>
            </w:r>
            <w:r>
              <w:rPr>
                <w:rStyle w:val="skrift-hevet"/>
              </w:rPr>
              <w:t>5</w:t>
            </w:r>
          </w:p>
        </w:tc>
        <w:tc>
          <w:tcPr>
            <w:tcW w:w="1283" w:type="dxa"/>
            <w:tcBorders>
              <w:top w:val="nil"/>
              <w:left w:val="nil"/>
              <w:bottom w:val="nil"/>
              <w:right w:val="nil"/>
            </w:tcBorders>
            <w:vAlign w:val="bottom"/>
          </w:tcPr>
          <w:p w14:paraId="71431562"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bottom w:val="nil"/>
              <w:right w:val="nil"/>
            </w:tcBorders>
            <w:vAlign w:val="bottom"/>
          </w:tcPr>
          <w:p w14:paraId="35984F3B" w14:textId="77777777" w:rsidR="006A380D" w:rsidRPr="008833DD" w:rsidRDefault="006A380D" w:rsidP="00A14364">
            <w:pPr>
              <w:spacing w:before="80" w:after="80" w:line="220" w:lineRule="exact"/>
              <w:ind w:left="80" w:right="80"/>
              <w:jc w:val="center"/>
              <w:rPr>
                <w:noProof/>
              </w:rPr>
            </w:pPr>
            <w:r>
              <w:rPr>
                <w:noProof/>
              </w:rPr>
              <w:t>1,5</w:t>
            </w:r>
          </w:p>
        </w:tc>
        <w:tc>
          <w:tcPr>
            <w:tcW w:w="1307" w:type="dxa"/>
            <w:tcBorders>
              <w:top w:val="nil"/>
              <w:left w:val="nil"/>
              <w:bottom w:val="nil"/>
              <w:right w:val="nil"/>
            </w:tcBorders>
            <w:vAlign w:val="bottom"/>
          </w:tcPr>
          <w:p w14:paraId="2F246360" w14:textId="77777777" w:rsidR="006A380D" w:rsidRPr="00E87E20" w:rsidRDefault="006A380D" w:rsidP="00A14364">
            <w:pPr>
              <w:spacing w:before="80" w:after="80" w:line="220" w:lineRule="exact"/>
              <w:ind w:left="80" w:right="80"/>
              <w:jc w:val="center"/>
              <w:rPr>
                <w:noProof/>
              </w:rPr>
            </w:pPr>
            <w:r>
              <w:rPr>
                <w:noProof/>
              </w:rPr>
              <w:t>2,8</w:t>
            </w:r>
          </w:p>
        </w:tc>
        <w:tc>
          <w:tcPr>
            <w:tcW w:w="1812" w:type="dxa"/>
            <w:tcBorders>
              <w:top w:val="nil"/>
              <w:left w:val="nil"/>
              <w:bottom w:val="nil"/>
              <w:right w:val="nil"/>
            </w:tcBorders>
            <w:vAlign w:val="bottom"/>
          </w:tcPr>
          <w:p w14:paraId="220524A8" w14:textId="77777777" w:rsidR="006A380D" w:rsidRPr="00E87E20" w:rsidRDefault="006A380D" w:rsidP="00A14364">
            <w:pPr>
              <w:spacing w:before="80" w:after="80" w:line="220" w:lineRule="exact"/>
              <w:ind w:left="80" w:right="80"/>
              <w:jc w:val="center"/>
              <w:rPr>
                <w:noProof/>
              </w:rPr>
            </w:pPr>
            <w:r>
              <w:rPr>
                <w:noProof/>
              </w:rPr>
              <w:t>0,7</w:t>
            </w:r>
          </w:p>
        </w:tc>
      </w:tr>
      <w:tr w:rsidR="006A380D" w:rsidRPr="00E87E20" w14:paraId="7DD06F26" w14:textId="77777777" w:rsidTr="0054354B">
        <w:tc>
          <w:tcPr>
            <w:tcW w:w="2800" w:type="dxa"/>
            <w:tcBorders>
              <w:top w:val="nil"/>
              <w:left w:val="nil"/>
              <w:bottom w:val="nil"/>
              <w:right w:val="nil"/>
            </w:tcBorders>
          </w:tcPr>
          <w:p w14:paraId="76581E88" w14:textId="77777777" w:rsidR="006A380D" w:rsidRPr="00690597" w:rsidRDefault="006A380D" w:rsidP="00A14364">
            <w:pPr>
              <w:spacing w:before="80" w:after="80" w:line="220" w:lineRule="exact"/>
              <w:ind w:right="80"/>
              <w:rPr>
                <w:i/>
                <w:noProof/>
              </w:rPr>
            </w:pPr>
            <w:r w:rsidRPr="00690597">
              <w:rPr>
                <w:rStyle w:val="kursiv"/>
              </w:rPr>
              <w:t xml:space="preserve">750 000 kroner </w:t>
            </w:r>
          </w:p>
        </w:tc>
        <w:tc>
          <w:tcPr>
            <w:tcW w:w="1283" w:type="dxa"/>
            <w:tcBorders>
              <w:top w:val="nil"/>
              <w:left w:val="nil"/>
              <w:bottom w:val="nil"/>
              <w:right w:val="nil"/>
            </w:tcBorders>
            <w:vAlign w:val="bottom"/>
          </w:tcPr>
          <w:p w14:paraId="2D983D6B" w14:textId="77777777" w:rsidR="006A380D" w:rsidRPr="008833DD" w:rsidRDefault="006A380D" w:rsidP="00A14364">
            <w:pPr>
              <w:spacing w:before="80" w:after="80" w:line="220" w:lineRule="exact"/>
              <w:ind w:left="80" w:right="80"/>
              <w:jc w:val="center"/>
              <w:rPr>
                <w:i/>
              </w:rPr>
            </w:pPr>
          </w:p>
        </w:tc>
        <w:tc>
          <w:tcPr>
            <w:tcW w:w="1698" w:type="dxa"/>
            <w:tcBorders>
              <w:top w:val="nil"/>
              <w:left w:val="nil"/>
              <w:bottom w:val="nil"/>
              <w:right w:val="nil"/>
            </w:tcBorders>
            <w:vAlign w:val="bottom"/>
          </w:tcPr>
          <w:p w14:paraId="44790F02" w14:textId="77777777" w:rsidR="006A380D" w:rsidRPr="008833DD" w:rsidRDefault="006A380D" w:rsidP="00A14364">
            <w:pPr>
              <w:spacing w:before="80" w:after="80" w:line="220" w:lineRule="exact"/>
              <w:ind w:left="80" w:right="80"/>
              <w:jc w:val="center"/>
              <w:rPr>
                <w:i/>
                <w:szCs w:val="22"/>
              </w:rPr>
            </w:pPr>
          </w:p>
        </w:tc>
        <w:tc>
          <w:tcPr>
            <w:tcW w:w="1307" w:type="dxa"/>
            <w:tcBorders>
              <w:top w:val="nil"/>
              <w:left w:val="nil"/>
              <w:bottom w:val="nil"/>
              <w:right w:val="nil"/>
            </w:tcBorders>
            <w:vAlign w:val="bottom"/>
          </w:tcPr>
          <w:p w14:paraId="73419119" w14:textId="77777777" w:rsidR="006A380D" w:rsidRPr="00E87E20" w:rsidRDefault="006A380D" w:rsidP="00A14364">
            <w:pPr>
              <w:spacing w:before="80" w:after="80" w:line="220" w:lineRule="exact"/>
              <w:ind w:left="80" w:right="80"/>
              <w:jc w:val="center"/>
              <w:rPr>
                <w:i/>
              </w:rPr>
            </w:pPr>
          </w:p>
        </w:tc>
        <w:tc>
          <w:tcPr>
            <w:tcW w:w="1812" w:type="dxa"/>
            <w:tcBorders>
              <w:top w:val="nil"/>
              <w:left w:val="nil"/>
              <w:bottom w:val="nil"/>
              <w:right w:val="nil"/>
            </w:tcBorders>
            <w:vAlign w:val="bottom"/>
          </w:tcPr>
          <w:p w14:paraId="35684FF6" w14:textId="77777777" w:rsidR="006A380D" w:rsidRPr="00E87E20" w:rsidRDefault="006A380D" w:rsidP="00A14364">
            <w:pPr>
              <w:spacing w:before="80" w:after="80" w:line="220" w:lineRule="exact"/>
              <w:ind w:left="80" w:right="80"/>
              <w:jc w:val="center"/>
              <w:rPr>
                <w:i/>
                <w:szCs w:val="22"/>
              </w:rPr>
            </w:pPr>
          </w:p>
        </w:tc>
      </w:tr>
      <w:tr w:rsidR="006A380D" w:rsidRPr="00E87E20" w14:paraId="705DE17C" w14:textId="77777777" w:rsidTr="0054354B">
        <w:tc>
          <w:tcPr>
            <w:tcW w:w="2800" w:type="dxa"/>
            <w:tcBorders>
              <w:top w:val="nil"/>
              <w:left w:val="nil"/>
              <w:bottom w:val="nil"/>
              <w:right w:val="nil"/>
            </w:tcBorders>
          </w:tcPr>
          <w:p w14:paraId="4044FC64" w14:textId="77777777" w:rsidR="006A380D" w:rsidRPr="000570E8" w:rsidRDefault="006A380D" w:rsidP="00A14364">
            <w:pPr>
              <w:spacing w:before="80" w:after="80" w:line="220" w:lineRule="exact"/>
              <w:ind w:right="80"/>
              <w:rPr>
                <w:noProof/>
              </w:rPr>
            </w:pPr>
            <w:r w:rsidRPr="000570E8">
              <w:rPr>
                <w:noProof/>
              </w:rPr>
              <w:t>Enslig lønnstaker uten barn</w:t>
            </w:r>
            <w:r>
              <w:rPr>
                <w:rStyle w:val="skrift-hevet"/>
              </w:rPr>
              <w:t>2</w:t>
            </w:r>
          </w:p>
        </w:tc>
        <w:tc>
          <w:tcPr>
            <w:tcW w:w="1283" w:type="dxa"/>
            <w:tcBorders>
              <w:top w:val="nil"/>
              <w:left w:val="nil"/>
              <w:bottom w:val="nil"/>
              <w:right w:val="nil"/>
            </w:tcBorders>
            <w:vAlign w:val="bottom"/>
          </w:tcPr>
          <w:p w14:paraId="31935E46" w14:textId="77777777" w:rsidR="006A380D" w:rsidRPr="008833DD" w:rsidRDefault="006A380D" w:rsidP="00A14364">
            <w:pPr>
              <w:spacing w:before="80" w:after="80" w:line="220" w:lineRule="exact"/>
              <w:ind w:left="80" w:right="80"/>
              <w:jc w:val="center"/>
            </w:pPr>
            <w:r>
              <w:rPr>
                <w:noProof/>
              </w:rPr>
              <w:t>3,1</w:t>
            </w:r>
          </w:p>
        </w:tc>
        <w:tc>
          <w:tcPr>
            <w:tcW w:w="1698" w:type="dxa"/>
            <w:tcBorders>
              <w:top w:val="nil"/>
              <w:left w:val="nil"/>
              <w:bottom w:val="nil"/>
              <w:right w:val="nil"/>
            </w:tcBorders>
            <w:vAlign w:val="bottom"/>
          </w:tcPr>
          <w:p w14:paraId="7D946404" w14:textId="77777777" w:rsidR="006A380D" w:rsidRPr="008833DD" w:rsidRDefault="006A380D" w:rsidP="00A14364">
            <w:pPr>
              <w:spacing w:before="80" w:after="80" w:line="220" w:lineRule="exact"/>
              <w:ind w:left="80" w:right="80"/>
              <w:jc w:val="center"/>
            </w:pPr>
            <w:r>
              <w:t>1,8</w:t>
            </w:r>
          </w:p>
        </w:tc>
        <w:tc>
          <w:tcPr>
            <w:tcW w:w="1307" w:type="dxa"/>
            <w:tcBorders>
              <w:top w:val="nil"/>
              <w:left w:val="nil"/>
              <w:bottom w:val="nil"/>
              <w:right w:val="nil"/>
            </w:tcBorders>
            <w:vAlign w:val="bottom"/>
          </w:tcPr>
          <w:p w14:paraId="40CDDD52" w14:textId="77777777" w:rsidR="006A380D" w:rsidRPr="00E87E20" w:rsidRDefault="006A380D" w:rsidP="00A14364">
            <w:pPr>
              <w:spacing w:before="80" w:after="80" w:line="220" w:lineRule="exact"/>
              <w:ind w:left="80" w:right="80"/>
              <w:jc w:val="center"/>
            </w:pPr>
            <w:r>
              <w:t>2,8</w:t>
            </w:r>
          </w:p>
        </w:tc>
        <w:tc>
          <w:tcPr>
            <w:tcW w:w="1812" w:type="dxa"/>
            <w:tcBorders>
              <w:top w:val="nil"/>
              <w:left w:val="nil"/>
              <w:bottom w:val="nil"/>
              <w:right w:val="nil"/>
            </w:tcBorders>
            <w:vAlign w:val="bottom"/>
          </w:tcPr>
          <w:p w14:paraId="34B073F9" w14:textId="77777777" w:rsidR="006A380D" w:rsidRPr="00E87E20" w:rsidRDefault="006A380D" w:rsidP="00A14364">
            <w:pPr>
              <w:spacing w:before="80" w:after="80" w:line="220" w:lineRule="exact"/>
              <w:ind w:left="80" w:right="80"/>
              <w:jc w:val="center"/>
            </w:pPr>
            <w:r>
              <w:t>1,0</w:t>
            </w:r>
          </w:p>
        </w:tc>
      </w:tr>
      <w:tr w:rsidR="006A380D" w:rsidRPr="00E87E20" w14:paraId="7A0FCF71" w14:textId="77777777" w:rsidTr="0054354B">
        <w:tc>
          <w:tcPr>
            <w:tcW w:w="2800" w:type="dxa"/>
            <w:tcBorders>
              <w:top w:val="nil"/>
              <w:left w:val="nil"/>
              <w:right w:val="nil"/>
            </w:tcBorders>
          </w:tcPr>
          <w:p w14:paraId="5CA03D91" w14:textId="77777777" w:rsidR="006A380D" w:rsidRPr="000570E8" w:rsidRDefault="006A380D" w:rsidP="00A14364">
            <w:pPr>
              <w:spacing w:before="80" w:after="80" w:line="220" w:lineRule="exact"/>
              <w:ind w:right="80"/>
              <w:rPr>
                <w:noProof/>
              </w:rPr>
            </w:pPr>
            <w:r w:rsidRPr="000570E8">
              <w:rPr>
                <w:noProof/>
              </w:rPr>
              <w:t>Ektepar med én inntekt og 2 barn mellom 3 og 16 år</w:t>
            </w:r>
            <w:r>
              <w:rPr>
                <w:rStyle w:val="skrift-hevet"/>
              </w:rPr>
              <w:t>3</w:t>
            </w:r>
          </w:p>
        </w:tc>
        <w:tc>
          <w:tcPr>
            <w:tcW w:w="1283" w:type="dxa"/>
            <w:tcBorders>
              <w:top w:val="nil"/>
              <w:left w:val="nil"/>
              <w:right w:val="nil"/>
            </w:tcBorders>
            <w:vAlign w:val="bottom"/>
          </w:tcPr>
          <w:p w14:paraId="0A66D6B2" w14:textId="77777777" w:rsidR="006A380D" w:rsidRPr="008833DD" w:rsidRDefault="006A380D" w:rsidP="00A14364">
            <w:pPr>
              <w:spacing w:before="80" w:after="80" w:line="220" w:lineRule="exact"/>
              <w:ind w:left="80" w:right="80"/>
              <w:jc w:val="center"/>
            </w:pPr>
            <w:r>
              <w:rPr>
                <w:noProof/>
              </w:rPr>
              <w:t>3,1</w:t>
            </w:r>
          </w:p>
        </w:tc>
        <w:tc>
          <w:tcPr>
            <w:tcW w:w="1698" w:type="dxa"/>
            <w:tcBorders>
              <w:top w:val="nil"/>
              <w:left w:val="nil"/>
              <w:right w:val="nil"/>
            </w:tcBorders>
            <w:vAlign w:val="bottom"/>
          </w:tcPr>
          <w:p w14:paraId="2647172C" w14:textId="77777777" w:rsidR="006A380D" w:rsidRPr="008833DD" w:rsidRDefault="006A380D" w:rsidP="00A14364">
            <w:pPr>
              <w:spacing w:before="80" w:after="80" w:line="220" w:lineRule="exact"/>
              <w:ind w:left="80" w:right="80"/>
              <w:jc w:val="center"/>
            </w:pPr>
            <w:r>
              <w:t>0,2</w:t>
            </w:r>
          </w:p>
        </w:tc>
        <w:tc>
          <w:tcPr>
            <w:tcW w:w="1307" w:type="dxa"/>
            <w:tcBorders>
              <w:top w:val="nil"/>
              <w:left w:val="nil"/>
              <w:right w:val="nil"/>
            </w:tcBorders>
            <w:vAlign w:val="bottom"/>
          </w:tcPr>
          <w:p w14:paraId="1050C8C8" w14:textId="77777777" w:rsidR="006A380D" w:rsidRPr="00E87E20" w:rsidRDefault="006A380D" w:rsidP="00A14364">
            <w:pPr>
              <w:spacing w:before="80" w:after="80" w:line="220" w:lineRule="exact"/>
              <w:ind w:left="80" w:right="80"/>
              <w:jc w:val="center"/>
            </w:pPr>
            <w:r>
              <w:t>2,8</w:t>
            </w:r>
          </w:p>
        </w:tc>
        <w:tc>
          <w:tcPr>
            <w:tcW w:w="1812" w:type="dxa"/>
            <w:tcBorders>
              <w:top w:val="nil"/>
              <w:left w:val="nil"/>
              <w:right w:val="nil"/>
            </w:tcBorders>
            <w:vAlign w:val="bottom"/>
          </w:tcPr>
          <w:p w14:paraId="06335350" w14:textId="77777777" w:rsidR="006A380D" w:rsidRPr="00E87E20" w:rsidRDefault="006A380D" w:rsidP="00A14364">
            <w:pPr>
              <w:spacing w:before="80" w:after="80" w:line="220" w:lineRule="exact"/>
              <w:ind w:left="80" w:right="80"/>
              <w:jc w:val="center"/>
            </w:pPr>
            <w:r>
              <w:t>0,8</w:t>
            </w:r>
          </w:p>
        </w:tc>
      </w:tr>
      <w:tr w:rsidR="006A380D" w:rsidRPr="00E87E20" w14:paraId="09B1D2C8" w14:textId="77777777" w:rsidTr="0054354B">
        <w:tc>
          <w:tcPr>
            <w:tcW w:w="2800" w:type="dxa"/>
            <w:tcBorders>
              <w:top w:val="nil"/>
              <w:left w:val="nil"/>
              <w:right w:val="nil"/>
            </w:tcBorders>
          </w:tcPr>
          <w:p w14:paraId="4B9628C5" w14:textId="77777777" w:rsidR="006A380D" w:rsidRPr="000570E8" w:rsidRDefault="006A380D" w:rsidP="00A14364">
            <w:pPr>
              <w:spacing w:before="80" w:after="80" w:line="220" w:lineRule="exact"/>
              <w:ind w:right="80"/>
              <w:rPr>
                <w:noProof/>
              </w:rPr>
            </w:pPr>
            <w:r>
              <w:rPr>
                <w:noProof/>
              </w:rPr>
              <w:t>Enslig lønnstaker med 1 barn</w:t>
            </w:r>
            <w:r>
              <w:rPr>
                <w:noProof/>
                <w:vertAlign w:val="superscript"/>
              </w:rPr>
              <w:t>4</w:t>
            </w:r>
          </w:p>
        </w:tc>
        <w:tc>
          <w:tcPr>
            <w:tcW w:w="1283" w:type="dxa"/>
            <w:tcBorders>
              <w:top w:val="nil"/>
              <w:left w:val="nil"/>
              <w:right w:val="nil"/>
            </w:tcBorders>
            <w:vAlign w:val="bottom"/>
          </w:tcPr>
          <w:p w14:paraId="5AA6FE2F" w14:textId="77777777" w:rsidR="006A380D" w:rsidRPr="008833DD" w:rsidRDefault="006A380D" w:rsidP="00A14364">
            <w:pPr>
              <w:spacing w:before="80" w:after="80" w:line="220" w:lineRule="exact"/>
              <w:ind w:left="80" w:right="80"/>
              <w:jc w:val="center"/>
              <w:rPr>
                <w:noProof/>
              </w:rPr>
            </w:pPr>
            <w:r>
              <w:rPr>
                <w:noProof/>
              </w:rPr>
              <w:t>3,1</w:t>
            </w:r>
          </w:p>
        </w:tc>
        <w:tc>
          <w:tcPr>
            <w:tcW w:w="1698" w:type="dxa"/>
            <w:tcBorders>
              <w:top w:val="nil"/>
              <w:left w:val="nil"/>
              <w:right w:val="nil"/>
            </w:tcBorders>
            <w:vAlign w:val="bottom"/>
          </w:tcPr>
          <w:p w14:paraId="53722B23" w14:textId="77777777" w:rsidR="006A380D" w:rsidRPr="008833DD" w:rsidRDefault="006A380D" w:rsidP="00A14364">
            <w:pPr>
              <w:spacing w:before="80" w:after="80" w:line="220" w:lineRule="exact"/>
              <w:ind w:left="80" w:right="80"/>
              <w:jc w:val="center"/>
            </w:pPr>
            <w:r>
              <w:t>1,5</w:t>
            </w:r>
          </w:p>
        </w:tc>
        <w:tc>
          <w:tcPr>
            <w:tcW w:w="1307" w:type="dxa"/>
            <w:tcBorders>
              <w:top w:val="nil"/>
              <w:left w:val="nil"/>
              <w:right w:val="nil"/>
            </w:tcBorders>
            <w:vAlign w:val="bottom"/>
          </w:tcPr>
          <w:p w14:paraId="5DEDC44A" w14:textId="77777777" w:rsidR="006A380D" w:rsidRPr="00E87E20" w:rsidRDefault="006A380D" w:rsidP="00A14364">
            <w:pPr>
              <w:spacing w:before="80" w:after="80" w:line="220" w:lineRule="exact"/>
              <w:ind w:left="80" w:right="80"/>
              <w:jc w:val="center"/>
            </w:pPr>
            <w:r>
              <w:t>2,8</w:t>
            </w:r>
          </w:p>
        </w:tc>
        <w:tc>
          <w:tcPr>
            <w:tcW w:w="1812" w:type="dxa"/>
            <w:tcBorders>
              <w:top w:val="nil"/>
              <w:left w:val="nil"/>
              <w:right w:val="nil"/>
            </w:tcBorders>
            <w:vAlign w:val="bottom"/>
          </w:tcPr>
          <w:p w14:paraId="05903E47" w14:textId="77777777" w:rsidR="006A380D" w:rsidRPr="00E87E20" w:rsidRDefault="006A380D" w:rsidP="00A14364">
            <w:pPr>
              <w:spacing w:before="80" w:after="80" w:line="220" w:lineRule="exact"/>
              <w:ind w:left="80" w:right="80"/>
              <w:jc w:val="center"/>
            </w:pPr>
            <w:r>
              <w:t>0,8</w:t>
            </w:r>
          </w:p>
        </w:tc>
      </w:tr>
      <w:tr w:rsidR="006A380D" w:rsidRPr="00E87E20" w14:paraId="43799E5C" w14:textId="77777777" w:rsidTr="0054354B">
        <w:tc>
          <w:tcPr>
            <w:tcW w:w="2800" w:type="dxa"/>
            <w:tcBorders>
              <w:left w:val="nil"/>
              <w:bottom w:val="single" w:sz="8" w:space="0" w:color="auto"/>
              <w:right w:val="nil"/>
            </w:tcBorders>
          </w:tcPr>
          <w:p w14:paraId="05F003D9" w14:textId="14E93DC0" w:rsidR="006A380D" w:rsidRPr="000570E8" w:rsidRDefault="006A380D" w:rsidP="00A14364">
            <w:pPr>
              <w:spacing w:before="80" w:after="80" w:line="220" w:lineRule="exact"/>
              <w:ind w:right="80"/>
              <w:rPr>
                <w:noProof/>
              </w:rPr>
            </w:pPr>
            <w:r w:rsidRPr="000570E8">
              <w:rPr>
                <w:noProof/>
              </w:rPr>
              <w:t xml:space="preserve">Ektepar med 2 barn mellom 3 og 16 år, hvor den ene ektefellen tjener 500 000 kroner og den andre </w:t>
            </w:r>
            <w:r w:rsidR="0054354B">
              <w:rPr>
                <w:noProof/>
              </w:rPr>
              <w:br/>
            </w:r>
            <w:r w:rsidRPr="000570E8">
              <w:rPr>
                <w:noProof/>
              </w:rPr>
              <w:t>250 000 kroner</w:t>
            </w:r>
            <w:r>
              <w:rPr>
                <w:rStyle w:val="skrift-hevet"/>
              </w:rPr>
              <w:t>5</w:t>
            </w:r>
          </w:p>
        </w:tc>
        <w:tc>
          <w:tcPr>
            <w:tcW w:w="1283" w:type="dxa"/>
            <w:tcBorders>
              <w:left w:val="nil"/>
              <w:bottom w:val="single" w:sz="8" w:space="0" w:color="auto"/>
              <w:right w:val="nil"/>
            </w:tcBorders>
            <w:vAlign w:val="bottom"/>
          </w:tcPr>
          <w:p w14:paraId="63D0505B" w14:textId="77777777" w:rsidR="006A380D" w:rsidRPr="008833DD" w:rsidRDefault="006A380D" w:rsidP="00A14364">
            <w:pPr>
              <w:spacing w:before="80" w:after="80" w:line="220" w:lineRule="exact"/>
              <w:ind w:left="80" w:right="80"/>
              <w:jc w:val="center"/>
            </w:pPr>
            <w:r>
              <w:rPr>
                <w:noProof/>
              </w:rPr>
              <w:t>3,1</w:t>
            </w:r>
          </w:p>
        </w:tc>
        <w:tc>
          <w:tcPr>
            <w:tcW w:w="1698" w:type="dxa"/>
            <w:tcBorders>
              <w:left w:val="nil"/>
              <w:bottom w:val="single" w:sz="8" w:space="0" w:color="auto"/>
              <w:right w:val="nil"/>
            </w:tcBorders>
            <w:vAlign w:val="bottom"/>
          </w:tcPr>
          <w:p w14:paraId="49A7998F" w14:textId="77777777" w:rsidR="006A380D" w:rsidRPr="008833DD" w:rsidRDefault="006A380D" w:rsidP="00A14364">
            <w:pPr>
              <w:spacing w:before="80" w:after="80" w:line="220" w:lineRule="exact"/>
              <w:ind w:left="80" w:right="80"/>
              <w:jc w:val="center"/>
            </w:pPr>
            <w:r>
              <w:t>1,3</w:t>
            </w:r>
          </w:p>
        </w:tc>
        <w:tc>
          <w:tcPr>
            <w:tcW w:w="1307" w:type="dxa"/>
            <w:tcBorders>
              <w:left w:val="nil"/>
              <w:bottom w:val="single" w:sz="8" w:space="0" w:color="auto"/>
              <w:right w:val="nil"/>
            </w:tcBorders>
            <w:vAlign w:val="bottom"/>
          </w:tcPr>
          <w:p w14:paraId="3DBAEF5F" w14:textId="77777777" w:rsidR="006A380D" w:rsidRPr="00E87E20" w:rsidRDefault="006A380D" w:rsidP="00A14364">
            <w:pPr>
              <w:spacing w:before="80" w:after="80" w:line="220" w:lineRule="exact"/>
              <w:ind w:left="80" w:right="80"/>
              <w:jc w:val="center"/>
            </w:pPr>
            <w:r>
              <w:t>2,8</w:t>
            </w:r>
          </w:p>
        </w:tc>
        <w:tc>
          <w:tcPr>
            <w:tcW w:w="1812" w:type="dxa"/>
            <w:tcBorders>
              <w:left w:val="nil"/>
              <w:bottom w:val="single" w:sz="8" w:space="0" w:color="auto"/>
              <w:right w:val="nil"/>
            </w:tcBorders>
            <w:vAlign w:val="bottom"/>
          </w:tcPr>
          <w:p w14:paraId="477DE2FB" w14:textId="77777777" w:rsidR="006A380D" w:rsidRPr="00E87E20" w:rsidRDefault="006A380D" w:rsidP="00A14364">
            <w:pPr>
              <w:spacing w:before="80" w:after="80" w:line="220" w:lineRule="exact"/>
              <w:ind w:left="80" w:right="80"/>
              <w:jc w:val="center"/>
            </w:pPr>
            <w:r>
              <w:t>0,8</w:t>
            </w:r>
          </w:p>
        </w:tc>
      </w:tr>
    </w:tbl>
    <w:p w14:paraId="2BBD0DD5" w14:textId="77777777" w:rsidR="006A380D" w:rsidRPr="000570E8" w:rsidRDefault="006A380D" w:rsidP="006A380D">
      <w:pPr>
        <w:suppressAutoHyphens/>
        <w:spacing w:line="1" w:lineRule="exact"/>
        <w:rPr>
          <w:noProof/>
        </w:rPr>
      </w:pPr>
    </w:p>
    <w:p w14:paraId="5343983A" w14:textId="77777777" w:rsidR="001A7F81" w:rsidRDefault="006A380D" w:rsidP="008643D6">
      <w:pPr>
        <w:pStyle w:val="tabell-noter"/>
        <w:numPr>
          <w:ilvl w:val="0"/>
          <w:numId w:val="72"/>
        </w:numPr>
        <w:tabs>
          <w:tab w:val="clear" w:pos="284"/>
        </w:tabs>
        <w:spacing w:before="0" w:after="0"/>
        <w:ind w:left="142" w:hanging="142"/>
        <w:contextualSpacing w:val="0"/>
      </w:pPr>
      <w:r>
        <w:rPr>
          <w:noProof/>
        </w:rPr>
        <w:t>Korrigert sammenlignet med</w:t>
      </w:r>
      <w:r w:rsidRPr="00754B40">
        <w:rPr>
          <w:noProof/>
        </w:rPr>
        <w:t xml:space="preserve"> rapporten for 2015 (NOU 2015:6).</w:t>
      </w:r>
    </w:p>
    <w:p w14:paraId="00E495E9" w14:textId="77777777" w:rsidR="001A7F81" w:rsidRDefault="006A380D" w:rsidP="008643D6">
      <w:pPr>
        <w:pStyle w:val="tabell-noter"/>
        <w:numPr>
          <w:ilvl w:val="0"/>
          <w:numId w:val="72"/>
        </w:numPr>
        <w:tabs>
          <w:tab w:val="clear" w:pos="284"/>
        </w:tabs>
        <w:spacing w:before="0" w:after="0"/>
        <w:ind w:left="142" w:hanging="142"/>
        <w:contextualSpacing w:val="0"/>
      </w:pPr>
      <w:r w:rsidRPr="001A7F81">
        <w:t xml:space="preserve">Enslige lønnstakere blir liknet i klasse 1. </w:t>
      </w:r>
    </w:p>
    <w:p w14:paraId="0CBFED89" w14:textId="77777777" w:rsidR="001A7F81" w:rsidRDefault="006A380D" w:rsidP="008643D6">
      <w:pPr>
        <w:pStyle w:val="tabell-noter"/>
        <w:numPr>
          <w:ilvl w:val="0"/>
          <w:numId w:val="72"/>
        </w:numPr>
        <w:tabs>
          <w:tab w:val="clear" w:pos="284"/>
        </w:tabs>
        <w:spacing w:before="0" w:after="0"/>
        <w:ind w:left="142" w:hanging="142"/>
        <w:contextualSpacing w:val="0"/>
      </w:pPr>
      <w:r w:rsidRPr="001A7F81">
        <w:t xml:space="preserve">Ektepar med én inntekt blir liknet i klasse 2. </w:t>
      </w:r>
    </w:p>
    <w:p w14:paraId="372A5FB6" w14:textId="77777777" w:rsidR="001A7F81" w:rsidRDefault="006A380D" w:rsidP="008643D6">
      <w:pPr>
        <w:pStyle w:val="tabell-noter"/>
        <w:numPr>
          <w:ilvl w:val="0"/>
          <w:numId w:val="72"/>
        </w:numPr>
        <w:tabs>
          <w:tab w:val="clear" w:pos="284"/>
        </w:tabs>
        <w:spacing w:before="0" w:after="0"/>
        <w:ind w:left="142" w:hanging="142"/>
        <w:contextualSpacing w:val="0"/>
      </w:pPr>
      <w:r w:rsidRPr="001A7F81">
        <w:t>Enslige forsørgere får barnetrygd for ett barn mer enn de forsørger og særfradrag for enslige forsørgere.</w:t>
      </w:r>
    </w:p>
    <w:p w14:paraId="3D12AD53" w14:textId="6FA68DD3" w:rsidR="006A380D" w:rsidRPr="001A7F81" w:rsidRDefault="006A380D" w:rsidP="008643D6">
      <w:pPr>
        <w:pStyle w:val="tabell-noter"/>
        <w:numPr>
          <w:ilvl w:val="0"/>
          <w:numId w:val="72"/>
        </w:numPr>
        <w:tabs>
          <w:tab w:val="clear" w:pos="284"/>
        </w:tabs>
        <w:spacing w:before="0" w:after="0"/>
        <w:ind w:left="142" w:hanging="142"/>
        <w:contextualSpacing w:val="0"/>
      </w:pPr>
      <w:r w:rsidRPr="001A7F81">
        <w:t>Ektefellene i denne husholdningstypen blir liknet særskilt i klasse 1.</w:t>
      </w:r>
    </w:p>
    <w:p w14:paraId="10902937" w14:textId="77777777" w:rsidR="006A380D" w:rsidRDefault="006A380D" w:rsidP="00140733">
      <w:pPr>
        <w:pStyle w:val="Kilde"/>
        <w:spacing w:before="120"/>
        <w:rPr>
          <w:noProof/>
        </w:rPr>
      </w:pPr>
      <w:r w:rsidRPr="000570E8">
        <w:rPr>
          <w:noProof/>
        </w:rPr>
        <w:t>Kilde: Beregningsutvalget.</w:t>
      </w:r>
    </w:p>
    <w:p w14:paraId="0589D137" w14:textId="77777777" w:rsidR="006A380D" w:rsidRPr="00083A65" w:rsidRDefault="006A380D" w:rsidP="006A380D">
      <w:pPr>
        <w:pStyle w:val="Overskrift3"/>
        <w:rPr>
          <w:noProof/>
        </w:rPr>
      </w:pPr>
      <w:bookmarkStart w:id="276" w:name="ID_KAP2_46_2_46_2"/>
      <w:bookmarkStart w:id="277" w:name="_Toc96946394"/>
      <w:bookmarkStart w:id="278" w:name="_Toc96946564"/>
      <w:bookmarkStart w:id="279" w:name="_Toc96946789"/>
      <w:bookmarkStart w:id="280" w:name="_Toc286073397"/>
      <w:bookmarkStart w:id="281" w:name="_Toc286075041"/>
      <w:bookmarkStart w:id="282" w:name="_Toc286075290"/>
      <w:bookmarkStart w:id="283" w:name="_Toc286077011"/>
      <w:bookmarkStart w:id="284" w:name="_Toc317589345"/>
      <w:bookmarkStart w:id="285" w:name="_Toc348968316"/>
      <w:bookmarkStart w:id="286" w:name="_Toc411849500"/>
      <w:bookmarkStart w:id="287" w:name="_Toc443999003"/>
      <w:bookmarkEnd w:id="276"/>
      <w:r w:rsidRPr="00083A65">
        <w:rPr>
          <w:noProof/>
        </w:rPr>
        <w:t>Endringer i skatteregler for lønnstakere fra 20</w:t>
      </w:r>
      <w:r>
        <w:rPr>
          <w:noProof/>
        </w:rPr>
        <w:t>15</w:t>
      </w:r>
      <w:r w:rsidRPr="00083A65">
        <w:rPr>
          <w:noProof/>
        </w:rPr>
        <w:t xml:space="preserve"> til </w:t>
      </w:r>
      <w:bookmarkEnd w:id="277"/>
      <w:bookmarkEnd w:id="278"/>
      <w:bookmarkEnd w:id="279"/>
      <w:bookmarkEnd w:id="280"/>
      <w:bookmarkEnd w:id="281"/>
      <w:bookmarkEnd w:id="282"/>
      <w:bookmarkEnd w:id="283"/>
      <w:bookmarkEnd w:id="284"/>
      <w:bookmarkEnd w:id="285"/>
      <w:bookmarkEnd w:id="286"/>
      <w:r w:rsidRPr="00083A65">
        <w:rPr>
          <w:noProof/>
        </w:rPr>
        <w:t>20</w:t>
      </w:r>
      <w:r>
        <w:rPr>
          <w:noProof/>
        </w:rPr>
        <w:t>16</w:t>
      </w:r>
      <w:bookmarkEnd w:id="287"/>
    </w:p>
    <w:p w14:paraId="132BE13B" w14:textId="01AEF6D2" w:rsidR="006A380D" w:rsidRDefault="006A380D" w:rsidP="006A380D">
      <w:pPr>
        <w:spacing w:after="0"/>
        <w:rPr>
          <w:noProof/>
        </w:rPr>
      </w:pPr>
      <w:r>
        <w:rPr>
          <w:noProof/>
        </w:rPr>
        <w:t xml:space="preserve">I 2016 ble skattesatsen på alminnelig inntekt ble redusert fra 27 til 25 pst. Det ble innført en ny skatt på personinntekt (trinnskatten) som erstatning for den tidligere toppskatten. Trinnskatten ble innført med 4 trinn. Trinn 1 gjelder for personinntekt fra 159 800 kroner med en sats på 0,44 pst. Trinn 2 gjelder for personinntekt fra 224 900 kroner med en sats på 1,7 pst. Trinn 3 gjelder for personinntekt fra 565 400 kroner med en sats på 10,7 pst. (8,7 pst. i Finnmark og Nord-Troms). Trinn 4 gjelder for personinntekt fra 909 500 kroner med en sats på 13,7 pst. Innslagspunktene i trinn 3 og 4 tilsvarer innslagspunktene i den tidligere toppskatten justert for anslått lønnsvekst (2,7 pst.). For lønnstakere med personinntekt over 224 900 kroner tilsvarer denne en netto satsreduksjon på lønn på 0,3 prosentenheter. </w:t>
      </w:r>
    </w:p>
    <w:p w14:paraId="156C5B65" w14:textId="77777777" w:rsidR="006A380D" w:rsidRDefault="006A380D" w:rsidP="006A380D">
      <w:pPr>
        <w:spacing w:after="0"/>
        <w:rPr>
          <w:noProof/>
        </w:rPr>
      </w:pPr>
    </w:p>
    <w:p w14:paraId="78FAE5B0" w14:textId="77777777" w:rsidR="006A380D" w:rsidRDefault="006A380D" w:rsidP="006A380D">
      <w:pPr>
        <w:rPr>
          <w:noProof/>
        </w:rPr>
      </w:pPr>
      <w:r>
        <w:rPr>
          <w:noProof/>
        </w:rPr>
        <w:t xml:space="preserve">Øvre grense i minstefradraget for lønn og trygd og personfradraget ble oppjustert </w:t>
      </w:r>
      <w:r w:rsidRPr="007F7A2B">
        <w:rPr>
          <w:noProof/>
        </w:rPr>
        <w:t>i tråd med anslått lønnsvekst</w:t>
      </w:r>
      <w:r>
        <w:rPr>
          <w:noProof/>
        </w:rPr>
        <w:t xml:space="preserve"> på 2,7 prosent</w:t>
      </w:r>
      <w:r w:rsidRPr="007F7A2B">
        <w:rPr>
          <w:noProof/>
        </w:rPr>
        <w:t xml:space="preserve"> fra 201</w:t>
      </w:r>
      <w:r>
        <w:rPr>
          <w:noProof/>
        </w:rPr>
        <w:t>5</w:t>
      </w:r>
      <w:r w:rsidRPr="00AB552D">
        <w:rPr>
          <w:noProof/>
        </w:rPr>
        <w:t xml:space="preserve"> til 201</w:t>
      </w:r>
      <w:r>
        <w:rPr>
          <w:noProof/>
        </w:rPr>
        <w:t>6</w:t>
      </w:r>
      <w:r w:rsidRPr="007F7A2B">
        <w:rPr>
          <w:noProof/>
        </w:rPr>
        <w:t xml:space="preserve">. </w:t>
      </w:r>
      <w:r>
        <w:rPr>
          <w:noProof/>
        </w:rPr>
        <w:t xml:space="preserve">Nedre grense i fradraget for reiser mellom hjem og arbeid ble økt fra 16 000 kroner til 22 000 kroner. Særskilt fradrag for enslige forsørgere ble økt fra 48 804 til 51 804 kroner. Grensen for skattefri kilometergodtgjørelse ved yrkeskjøring med privatbil ble redusert fra 4,10 til 3,80 kroner per km. Videre ble skattefritaket for sluttvederlag fjernet. </w:t>
      </w:r>
      <w:r w:rsidRPr="00AB552D">
        <w:rPr>
          <w:noProof/>
        </w:rPr>
        <w:t xml:space="preserve">Enkelte beløpsgrenser holdes nominelt uendret. Det gjelder blant annet </w:t>
      </w:r>
      <w:r>
        <w:rPr>
          <w:noProof/>
        </w:rPr>
        <w:t xml:space="preserve">fradraget for fagforeningskontingent, </w:t>
      </w:r>
      <w:r w:rsidRPr="00AB552D">
        <w:rPr>
          <w:noProof/>
        </w:rPr>
        <w:t>det særskilte fradraget i l</w:t>
      </w:r>
      <w:r w:rsidRPr="007F7A2B">
        <w:rPr>
          <w:noProof/>
        </w:rPr>
        <w:t>ønnsinntekt, det særskilte fradraget i Finnmark og Nord-Troms</w:t>
      </w:r>
      <w:r>
        <w:rPr>
          <w:noProof/>
        </w:rPr>
        <w:t xml:space="preserve"> </w:t>
      </w:r>
      <w:r w:rsidRPr="007F7A2B">
        <w:rPr>
          <w:noProof/>
        </w:rPr>
        <w:t>mv. Også barnetrygden holdes nominelt uendret fra 201</w:t>
      </w:r>
      <w:r>
        <w:rPr>
          <w:noProof/>
        </w:rPr>
        <w:t>5</w:t>
      </w:r>
      <w:r w:rsidRPr="007F7A2B">
        <w:rPr>
          <w:noProof/>
        </w:rPr>
        <w:t xml:space="preserve"> til 201</w:t>
      </w:r>
      <w:r>
        <w:rPr>
          <w:noProof/>
        </w:rPr>
        <w:t>6</w:t>
      </w:r>
      <w:r w:rsidRPr="007F7A2B">
        <w:rPr>
          <w:noProof/>
        </w:rPr>
        <w:t>.</w:t>
      </w:r>
      <w:r>
        <w:rPr>
          <w:noProof/>
        </w:rPr>
        <w:t xml:space="preserve"> </w:t>
      </w:r>
    </w:p>
    <w:p w14:paraId="64051FF1" w14:textId="77777777" w:rsidR="006A380D" w:rsidRDefault="006A380D" w:rsidP="006A380D">
      <w:pPr>
        <w:rPr>
          <w:noProof/>
        </w:rPr>
      </w:pPr>
      <w:r>
        <w:rPr>
          <w:noProof/>
        </w:rPr>
        <w:t>I formuesskatten økes ligningsverdiene av sekundærbolig og næringseiendom fra 70 prosent til 80 prosent av beregnet markedsverdi. Bunnfradraget økes fra 1 200 000 kroner til 1 400 000 kroner (fra 2,4 mill. kroner til 2,8 mill. kroner for ektepar).</w:t>
      </w:r>
      <w:r w:rsidDel="00A87AA5">
        <w:rPr>
          <w:noProof/>
        </w:rPr>
        <w:t xml:space="preserve"> </w:t>
      </w:r>
    </w:p>
    <w:p w14:paraId="33A75EBB" w14:textId="77777777" w:rsidR="006A380D" w:rsidRDefault="006A380D" w:rsidP="006A380D">
      <w:pPr>
        <w:rPr>
          <w:noProof/>
        </w:rPr>
      </w:pPr>
      <w:r>
        <w:rPr>
          <w:noProof/>
        </w:rPr>
        <w:t>Det vises til tabell 4.1 i vedlegg 4 for en oversikt over satser, grenser og fradrag for 2010-2016.</w:t>
      </w:r>
    </w:p>
    <w:p w14:paraId="36EA0147" w14:textId="77777777" w:rsidR="006A380D" w:rsidRDefault="006A380D" w:rsidP="008643D6">
      <w:pPr>
        <w:pStyle w:val="Overskrift2"/>
        <w:keepLines w:val="0"/>
        <w:numPr>
          <w:ilvl w:val="1"/>
          <w:numId w:val="30"/>
        </w:numPr>
        <w:spacing w:line="240" w:lineRule="auto"/>
        <w:rPr>
          <w:noProof/>
        </w:rPr>
      </w:pPr>
      <w:bookmarkStart w:id="288" w:name="_Toc443999004"/>
      <w:r>
        <w:rPr>
          <w:noProof/>
        </w:rPr>
        <w:t>Inntektsutviklingen for pensjonister og trygdede</w:t>
      </w:r>
      <w:bookmarkEnd w:id="288"/>
      <w:r>
        <w:rPr>
          <w:noProof/>
        </w:rPr>
        <w:t xml:space="preserve"> </w:t>
      </w:r>
    </w:p>
    <w:p w14:paraId="4A3FD65C" w14:textId="77777777" w:rsidR="006A380D" w:rsidRDefault="006A380D" w:rsidP="006A380D">
      <w:r w:rsidRPr="009E1EFC">
        <w:t>Pensjonsreformen og utviklingen ellers på pensjonsområdet med bl</w:t>
      </w:r>
      <w:r>
        <w:t xml:space="preserve">ant </w:t>
      </w:r>
      <w:r w:rsidRPr="009E1EFC">
        <w:t>a</w:t>
      </w:r>
      <w:r>
        <w:t>nnet</w:t>
      </w:r>
      <w:r w:rsidRPr="009E1EFC">
        <w:t xml:space="preserve"> tiltakende kombinasjon av pensjon og lønn tilsier en bredere beskrivelse av slike inntekter. Utvalget gir i denne rapporten typeeksempler og </w:t>
      </w:r>
      <w:r>
        <w:t xml:space="preserve">redegjør for </w:t>
      </w:r>
      <w:r w:rsidRPr="009E1EFC">
        <w:t>noe</w:t>
      </w:r>
      <w:r>
        <w:t>n</w:t>
      </w:r>
      <w:r w:rsidRPr="009E1EFC">
        <w:t xml:space="preserve"> av </w:t>
      </w:r>
      <w:r>
        <w:t xml:space="preserve">de </w:t>
      </w:r>
      <w:r w:rsidRPr="009E1EFC">
        <w:t>tilgjengelige data</w:t>
      </w:r>
      <w:r>
        <w:t>ene</w:t>
      </w:r>
      <w:r w:rsidRPr="009E1EFC">
        <w:t xml:space="preserve"> på dette områ</w:t>
      </w:r>
      <w:r>
        <w:t>det. Utvalget vil i senere rapporter </w:t>
      </w:r>
      <w:r w:rsidRPr="009E1EFC">
        <w:t xml:space="preserve">utvikle </w:t>
      </w:r>
      <w:r>
        <w:t xml:space="preserve">mer </w:t>
      </w:r>
      <w:r w:rsidRPr="009E1EFC">
        <w:t>stoff som gir en større grad av parallellitet med de samle</w:t>
      </w:r>
      <w:r>
        <w:t xml:space="preserve">de </w:t>
      </w:r>
      <w:r w:rsidRPr="009E1EFC">
        <w:t>tall som gis for lønnsutvikling</w:t>
      </w:r>
      <w:r>
        <w:t>en.</w:t>
      </w:r>
    </w:p>
    <w:p w14:paraId="0E0F71E6" w14:textId="77777777" w:rsidR="006A380D" w:rsidRDefault="006A380D" w:rsidP="006A380D">
      <w:r w:rsidRPr="006240E3">
        <w:t>Pensjonsytelsene fra folketrygden er alderspensjon</w:t>
      </w:r>
      <w:r w:rsidRPr="00234513">
        <w:t xml:space="preserve"> </w:t>
      </w:r>
      <w:r w:rsidRPr="006240E3">
        <w:t>og etterlattepensjon.</w:t>
      </w:r>
      <w:r>
        <w:t xml:space="preserve"> I tillegg kommer en rekke trygder, herunder uføretrygd.</w:t>
      </w:r>
      <w:r w:rsidRPr="006240E3">
        <w:t xml:space="preserve"> Hovedkomponentene i etterlattepensjon er grunnpensjon, særtillegg og tilleggspensjon. Alderspensjonen til personer som tok ut pensjon før 2011 består av de samme komponentene. For alle som har tatt ut alderspensjon etter 1. januar 2011 er særtillegget erstattet med et pensjonstillegg. Fra 2016 vil den nye alderspensjonen bestående av inntektspensjon og garantipensjon bli faset gradvis inn for personer født fra og med 1954. </w:t>
      </w:r>
    </w:p>
    <w:p w14:paraId="01913C4E" w14:textId="13416F68" w:rsidR="006A380D" w:rsidRPr="00D506BC" w:rsidRDefault="006A380D" w:rsidP="006A380D">
      <w:r>
        <w:t>Fra 2015 erstatter ny uføretrygd den tidligere u</w:t>
      </w:r>
      <w:r w:rsidR="002D4225">
        <w:t>førepensjonen fra folketrygden.</w:t>
      </w:r>
      <w:r>
        <w:t xml:space="preserve"> </w:t>
      </w:r>
      <w:r w:rsidRPr="00D506BC">
        <w:t>Den nye uføretrygden utgjør 66 prosent av et beregningsgrunnlaget som består av et gjennomsnitt av årsinntekten opp til 6G for de tre beste av de fem siste årene før uførhet. Uføretrygden justeres i forhold til uføregraden. Ved lavt eller intet beregningsgrunnlag mottas en garantert minsteytelse. Størrelsen på minsteytelsen avhenger av om mottakeren er enslig eller bor sammen med ektefelle eller samboer. Personer som er født uføre eller blir uføre i ung alder har en høyere minsteytelse. Uføre som forsørger barn mottar barnetillegg. Ny uføretrygd skattlegges som lønn.</w:t>
      </w:r>
      <w:r>
        <w:t xml:space="preserve"> </w:t>
      </w:r>
    </w:p>
    <w:p w14:paraId="3BC33535" w14:textId="77777777" w:rsidR="006A380D" w:rsidRPr="006A7339" w:rsidRDefault="006A380D" w:rsidP="008643D6">
      <w:pPr>
        <w:pStyle w:val="Overskrift3"/>
        <w:numPr>
          <w:ilvl w:val="2"/>
          <w:numId w:val="30"/>
        </w:numPr>
        <w:spacing w:line="240" w:lineRule="auto"/>
        <w:rPr>
          <w:noProof/>
        </w:rPr>
      </w:pPr>
      <w:bookmarkStart w:id="289" w:name="_Toc286073399"/>
      <w:bookmarkStart w:id="290" w:name="_Toc286075043"/>
      <w:bookmarkStart w:id="291" w:name="_Toc286075292"/>
      <w:bookmarkStart w:id="292" w:name="_Toc286077013"/>
      <w:bookmarkStart w:id="293" w:name="_Toc317589347"/>
      <w:bookmarkStart w:id="294" w:name="_Toc348968318"/>
      <w:bookmarkStart w:id="295" w:name="_Toc443999005"/>
      <w:r w:rsidRPr="006A7339">
        <w:rPr>
          <w:noProof/>
        </w:rPr>
        <w:t xml:space="preserve">Utviklingen i ytelser fra folketrygden fra </w:t>
      </w:r>
      <w:bookmarkEnd w:id="289"/>
      <w:bookmarkEnd w:id="290"/>
      <w:bookmarkEnd w:id="291"/>
      <w:bookmarkEnd w:id="292"/>
      <w:bookmarkEnd w:id="293"/>
      <w:bookmarkEnd w:id="294"/>
      <w:r w:rsidRPr="006A7339">
        <w:rPr>
          <w:noProof/>
        </w:rPr>
        <w:t>20</w:t>
      </w:r>
      <w:r>
        <w:rPr>
          <w:noProof/>
        </w:rPr>
        <w:t>12</w:t>
      </w:r>
      <w:bookmarkEnd w:id="295"/>
    </w:p>
    <w:p w14:paraId="4ADD06EC" w14:textId="77777777" w:rsidR="006A380D" w:rsidRDefault="006A380D" w:rsidP="006A380D">
      <w:pPr>
        <w:pStyle w:val="Def"/>
      </w:pPr>
      <w:r w:rsidRPr="006240E3">
        <w:t xml:space="preserve">Minstepensjonen for uførepensjonister </w:t>
      </w:r>
      <w:r>
        <w:t xml:space="preserve">(før 2015) </w:t>
      </w:r>
      <w:r w:rsidRPr="006240E3">
        <w:t xml:space="preserve">og etterlattepensjonister består av grunnpensjon og særtillegg. Grunnpensjonen utgjør 1 G for enslige og 0,85 G for gifte/samboende. Særtillegg gis til pensjonister som ikke har opptjent tilleggspensjon, eller som har tilleggspensjon lavere enn særtillegget. Særtilleggets ordinære sats </w:t>
      </w:r>
      <w:r>
        <w:t xml:space="preserve">er </w:t>
      </w:r>
      <w:r w:rsidRPr="006240E3">
        <w:t xml:space="preserve">1 G. Dersom ektefellen har tilleggspensjon, kan særtillegget bli redusert og ligger mellom 0,74 og 1 G. Satsene utgjør en fast andel av grunnbeløpet, som årlig reguleres med </w:t>
      </w:r>
      <w:r w:rsidRPr="00AF05AE">
        <w:t>lønnsveksten.</w:t>
      </w:r>
      <w:r>
        <w:rPr>
          <w:rStyle w:val="Fotnotereferanse"/>
        </w:rPr>
        <w:footnoteReference w:id="9"/>
      </w:r>
      <w:r w:rsidRPr="00AF05AE">
        <w:t xml:space="preserve"> </w:t>
      </w:r>
      <w:r>
        <w:t>Fra og med 2015 er minsteytelsen for uføretrygdede fastsatt til 2,48 G for enslige og 2,28 G for ektefeller/samboere.</w:t>
      </w:r>
      <w:r>
        <w:rPr>
          <w:rStyle w:val="Fotnotereferanse"/>
        </w:rPr>
        <w:footnoteReference w:id="10"/>
      </w:r>
    </w:p>
    <w:p w14:paraId="15F6057A" w14:textId="625C6C81" w:rsidR="006A380D" w:rsidRDefault="006A380D" w:rsidP="006A380D">
      <w:pPr>
        <w:pStyle w:val="Def"/>
        <w:rPr>
          <w:noProof/>
        </w:rPr>
      </w:pPr>
      <w:r w:rsidRPr="006240E3">
        <w:rPr>
          <w:noProof/>
        </w:rPr>
        <w:t xml:space="preserve">Utviklingen i grunnbeløpet i folketrygden, minstepensjonene for enslige og ektepar og i pensjonene til enslige </w:t>
      </w:r>
      <w:r>
        <w:rPr>
          <w:noProof/>
        </w:rPr>
        <w:t>unge uføre</w:t>
      </w:r>
      <w:r w:rsidRPr="006240E3">
        <w:rPr>
          <w:noProof/>
        </w:rPr>
        <w:t xml:space="preserve">, i </w:t>
      </w:r>
      <w:r w:rsidRPr="00F91086">
        <w:rPr>
          <w:noProof/>
        </w:rPr>
        <w:t>perioden 1.5</w:t>
      </w:r>
      <w:r>
        <w:rPr>
          <w:noProof/>
        </w:rPr>
        <w:t>.</w:t>
      </w:r>
      <w:r w:rsidRPr="00F91086">
        <w:rPr>
          <w:noProof/>
        </w:rPr>
        <w:t>199</w:t>
      </w:r>
      <w:r w:rsidR="00C92D78">
        <w:rPr>
          <w:noProof/>
        </w:rPr>
        <w:t>5</w:t>
      </w:r>
      <w:r w:rsidRPr="006240E3">
        <w:rPr>
          <w:noProof/>
        </w:rPr>
        <w:t xml:space="preserve"> til 30.4</w:t>
      </w:r>
      <w:r>
        <w:rPr>
          <w:noProof/>
        </w:rPr>
        <w:t>.</w:t>
      </w:r>
      <w:r w:rsidRPr="006240E3">
        <w:rPr>
          <w:noProof/>
        </w:rPr>
        <w:t xml:space="preserve"> 201</w:t>
      </w:r>
      <w:r>
        <w:rPr>
          <w:noProof/>
        </w:rPr>
        <w:t>6</w:t>
      </w:r>
      <w:r w:rsidRPr="006240E3">
        <w:rPr>
          <w:noProof/>
        </w:rPr>
        <w:t xml:space="preserve"> framgår av tabell 4.2 i vedlegg 4.</w:t>
      </w:r>
    </w:p>
    <w:p w14:paraId="2CEAB8DB" w14:textId="77777777" w:rsidR="006A380D" w:rsidRDefault="006A380D" w:rsidP="006A380D">
      <w:pPr>
        <w:pStyle w:val="Def"/>
      </w:pPr>
      <w:r w:rsidRPr="006240E3">
        <w:t xml:space="preserve">Som en følge av nye reguleringsregler for alderspensjon fra 2011 er satsene for minste pensjonsnivå for alderspensjonister </w:t>
      </w:r>
      <w:r>
        <w:t>ikke lenger koblet til</w:t>
      </w:r>
      <w:r w:rsidRPr="006240E3">
        <w:t xml:space="preserve"> grunnbeløpet</w:t>
      </w:r>
      <w:r>
        <w:t>, men</w:t>
      </w:r>
      <w:r w:rsidRPr="006240E3">
        <w:t xml:space="preserve"> fasts</w:t>
      </w:r>
      <w:r>
        <w:t>att</w:t>
      </w:r>
      <w:r w:rsidRPr="006240E3">
        <w:t xml:space="preserve"> i forskrift med et kronebeløp.  Alderspensjon under utbetaling </w:t>
      </w:r>
      <w:r>
        <w:t>blir regulert</w:t>
      </w:r>
      <w:r w:rsidRPr="006240E3">
        <w:t xml:space="preserve"> med lønnsveksten og deretter fratrukket 0,75 prosent, mens satsene for minstenivåene blir regulert med lønnsveksten justert for </w:t>
      </w:r>
      <w:r>
        <w:t>effekten av levealdersjusteringen for</w:t>
      </w:r>
      <w:r w:rsidRPr="006240E3">
        <w:t xml:space="preserve"> 67</w:t>
      </w:r>
      <w:r>
        <w:t>-åringer i reguleringsåret</w:t>
      </w:r>
      <w:r w:rsidRPr="006240E3">
        <w:t xml:space="preserve">. Satsene for minste pensjonsnivå for alderspensjon utgjør p.t. </w:t>
      </w:r>
      <w:r>
        <w:t>139 728</w:t>
      </w:r>
      <w:r w:rsidRPr="006240E3">
        <w:t xml:space="preserve"> kroner for lav sats (gift med alderspensjonist med høy tilleggspensjon), </w:t>
      </w:r>
      <w:r>
        <w:t>162 566</w:t>
      </w:r>
      <w:r w:rsidRPr="006240E3">
        <w:t xml:space="preserve"> kroner for ordinær sats (gift med minstepensjonist) og </w:t>
      </w:r>
      <w:r>
        <w:t>175 739</w:t>
      </w:r>
      <w:r w:rsidRPr="006240E3">
        <w:t xml:space="preserve"> kroner for høy sats (enslig). Ulik regulering </w:t>
      </w:r>
      <w:r>
        <w:t xml:space="preserve">og uførereformen fra 2015 </w:t>
      </w:r>
      <w:r w:rsidRPr="006240E3">
        <w:t>gjør at minsteytelsen til hhv</w:t>
      </w:r>
      <w:r>
        <w:t>.</w:t>
      </w:r>
      <w:r w:rsidRPr="006240E3">
        <w:t xml:space="preserve"> uføre</w:t>
      </w:r>
      <w:r>
        <w:t xml:space="preserve">, </w:t>
      </w:r>
      <w:r w:rsidRPr="006240E3">
        <w:t>etterlattepensjonister og alderspensjonister ikke lenger utgjør samme beløp. Reguleringen skjer med virkning fra 1. mai hvert år.</w:t>
      </w:r>
    </w:p>
    <w:p w14:paraId="163AE89F" w14:textId="7E4BAAC4" w:rsidR="006A380D" w:rsidRDefault="006A380D" w:rsidP="006A380D">
      <w:pPr>
        <w:pStyle w:val="Def"/>
      </w:pPr>
      <w:r w:rsidRPr="006240E3">
        <w:t xml:space="preserve">Tabell </w:t>
      </w:r>
      <w:r>
        <w:t>6.4</w:t>
      </w:r>
      <w:r w:rsidRPr="006240E3">
        <w:t xml:space="preserve"> viser beregnet vekst i utbetalt pensjon og realvekst </w:t>
      </w:r>
      <w:r>
        <w:t xml:space="preserve">etter skatt </w:t>
      </w:r>
      <w:r w:rsidRPr="006240E3">
        <w:t xml:space="preserve">i minstepensjon for enslige og ektepar </w:t>
      </w:r>
      <w:r>
        <w:t xml:space="preserve">og enkelte utvalgte husholdningstyper for </w:t>
      </w:r>
      <w:r w:rsidRPr="006240E3">
        <w:t>de siste tre årene. For 201</w:t>
      </w:r>
      <w:r>
        <w:t>5</w:t>
      </w:r>
      <w:r w:rsidRPr="006240E3">
        <w:t xml:space="preserve"> sett under ett økte minste pensjonsnivå </w:t>
      </w:r>
      <w:r>
        <w:t xml:space="preserve">med 2,0 prosent </w:t>
      </w:r>
      <w:r w:rsidRPr="006240E3">
        <w:t xml:space="preserve">til </w:t>
      </w:r>
      <w:r>
        <w:t>174 917</w:t>
      </w:r>
      <w:r w:rsidRPr="006240E3">
        <w:t xml:space="preserve"> kroner for enslige og </w:t>
      </w:r>
      <w:r>
        <w:t>323 611</w:t>
      </w:r>
      <w:r w:rsidRPr="006240E3">
        <w:t xml:space="preserve"> kroner for minstepensjonistektepar.</w:t>
      </w:r>
      <w:bookmarkStart w:id="296" w:name="ID_TAB2_46_7"/>
      <w:bookmarkEnd w:id="296"/>
      <w:r>
        <w:t xml:space="preserve"> Fra 2014 til 2015 falt realveksten i pensjon etter skatt fra om lag 1,2 til -0,1 prosent for både enslige minstepensjonister og minstepensjonistektepar. Det kan i hovedsak forklares ved fallet i den nominelle veksten i minste pensjo</w:t>
      </w:r>
      <w:r w:rsidR="002D4225">
        <w:t>nsnivå (fra 3,2 til 2,0 prosent).</w:t>
      </w:r>
    </w:p>
    <w:p w14:paraId="6CF008B3" w14:textId="1FD0212B" w:rsidR="006A380D" w:rsidRDefault="006A380D" w:rsidP="006A380D">
      <w:pPr>
        <w:pStyle w:val="Def"/>
      </w:pPr>
      <w:r w:rsidRPr="006240E3" w:rsidDel="00930B27">
        <w:rPr>
          <w:noProof/>
        </w:rPr>
        <w:t>Pensjonistenes inntektsforhold bestemmes også av tilleggspensjon (inntektspensjon i ny alderspensjon) fra folketrygden, andre pensjonsordninger og andre inntekts- og formuesforhold.</w:t>
      </w:r>
      <w:r>
        <w:rPr>
          <w:noProof/>
        </w:rPr>
        <w:t xml:space="preserve"> </w:t>
      </w:r>
      <w:r>
        <w:t xml:space="preserve">Tabellen inneholder derfor også beregninger for enslige alderspensjonister med pensjon på henholdsvis 250 000 kroner og 550 000 kroner og for pensjonistektepar med en samlet inntekt på 550 000 kroner og 750 000 kroner. Det er forutsatt at de kun har alderspensjon som inntekt (inkl. tjenestepensjon) og ikke betaler skatt på formue. Dette er tilsvarende forutsetninger som ligger til grunn for tabell 6.3, jf. boks 6.1. Beregningene viser at realveksten etter skatt endret seg med inntil +/- 0,3 prosentpoeng fra 2013 til 2014 for de ulike gruppene, mens den nominelle veksten i utbetalt alderspensjon falt fra 3,0 til 2,9 prosent. Variasjonen skyldes endringer i skatt på pensjon i 2014 som slo ulikt ut på ulike inntektsnivå. Fra 2014 til 2015 falt den nominelle veksten i utbetalt alderspensjon fra folketrygden til 1,7 </w:t>
      </w:r>
      <w:r w:rsidR="002D4225">
        <w:t>prosent</w:t>
      </w:r>
      <w:r>
        <w:t xml:space="preserve">. Blant annet økt sats i minstefradraget for pensjonsinntekt bidro imidlertid til å dempe fallet i realveksten i pensjon etter skatt fra 2014 til 2015 slik at realveksten etter skatt ikke ble negativ på tross av en prisvekst på 2,1 </w:t>
      </w:r>
      <w:r w:rsidR="002D4225">
        <w:t>prosent</w:t>
      </w:r>
      <w:r>
        <w:t xml:space="preserve">. </w:t>
      </w:r>
    </w:p>
    <w:p w14:paraId="35832BA1" w14:textId="64DDE538" w:rsidR="002B4E9B" w:rsidRDefault="006A380D" w:rsidP="006A380D">
      <w:pPr>
        <w:spacing w:after="0"/>
      </w:pPr>
      <w:r>
        <w:t xml:space="preserve">Uføre med minsteytelse hadde en realvekst etter skatt på 1,6 </w:t>
      </w:r>
      <w:r w:rsidR="002D4225">
        <w:t>prosent</w:t>
      </w:r>
      <w:r>
        <w:t xml:space="preserve"> fra 2012 til 2013 og 1,7 </w:t>
      </w:r>
      <w:r w:rsidR="002D4225">
        <w:t>prosent</w:t>
      </w:r>
      <w:r>
        <w:t xml:space="preserve"> fra 2013 til 2014. Den høyere realveksten sammenlignet alderspensjonistene skyldes en høyere vekst i brutto ytelse. Fra 2014 til 2015 var realveksten etter skatt henholdsvis 1,8 </w:t>
      </w:r>
      <w:r w:rsidR="002D4225">
        <w:t>prosent</w:t>
      </w:r>
      <w:r>
        <w:t xml:space="preserve"> for enslige uføre og 2,8 </w:t>
      </w:r>
      <w:r w:rsidR="002D4225">
        <w:t>prosent</w:t>
      </w:r>
      <w:r>
        <w:t xml:space="preserve"> for uføre ektefeller. Den relativt høye realveksten etter skatt kan forklares med at man tok utgangspunkt i skattereglene for 2011 når man økte satsene for minste uføreytelse ved overgangen til ny skattepliktig uføretrygd. Etter 2011 har imidlertid skattenivået på inntekter på nivå med minsteytelsene for uføre blitt redusert, spesielt gjennom økninger i minstefradraget for lønn og trygd. Ved overgangen i 2015 var derfor realveksten etter skatt relativt høy.</w:t>
      </w:r>
    </w:p>
    <w:p w14:paraId="042D997B" w14:textId="77777777" w:rsidR="006A380D" w:rsidRPr="00385272" w:rsidRDefault="006A380D" w:rsidP="008643D6">
      <w:pPr>
        <w:pStyle w:val="tabell-tittel"/>
        <w:keepNext w:val="0"/>
        <w:keepLines w:val="0"/>
        <w:numPr>
          <w:ilvl w:val="6"/>
          <w:numId w:val="30"/>
        </w:numPr>
        <w:spacing w:line="240" w:lineRule="auto"/>
      </w:pPr>
      <w:r>
        <w:t>Beregnet realvekst i pensjon og trygd etter skatt for utvalgte husholdningstyper</w:t>
      </w:r>
      <w:r w:rsidRPr="00385272">
        <w:t xml:space="preserve">. </w:t>
      </w:r>
      <w:r>
        <w:t>Vekst i prosent fra året før</w:t>
      </w:r>
    </w:p>
    <w:tbl>
      <w:tblPr>
        <w:tblW w:w="5308" w:type="pct"/>
        <w:tblLayout w:type="fixed"/>
        <w:tblCellMar>
          <w:left w:w="0" w:type="dxa"/>
          <w:right w:w="0" w:type="dxa"/>
        </w:tblCellMar>
        <w:tblLook w:val="0000" w:firstRow="0" w:lastRow="0" w:firstColumn="0" w:lastColumn="0" w:noHBand="0" w:noVBand="0"/>
      </w:tblPr>
      <w:tblGrid>
        <w:gridCol w:w="2581"/>
        <w:gridCol w:w="1096"/>
        <w:gridCol w:w="1285"/>
        <w:gridCol w:w="1180"/>
        <w:gridCol w:w="1213"/>
        <w:gridCol w:w="14"/>
        <w:gridCol w:w="732"/>
        <w:gridCol w:w="448"/>
        <w:gridCol w:w="1233"/>
      </w:tblGrid>
      <w:tr w:rsidR="006A380D" w14:paraId="54111D95" w14:textId="77777777" w:rsidTr="00EC6DCF">
        <w:trPr>
          <w:trHeight w:val="324"/>
          <w:tblHeader/>
        </w:trPr>
        <w:tc>
          <w:tcPr>
            <w:tcW w:w="1320" w:type="pct"/>
            <w:tcBorders>
              <w:top w:val="single" w:sz="8" w:space="0" w:color="auto"/>
              <w:left w:val="nil"/>
              <w:bottom w:val="nil"/>
              <w:right w:val="nil"/>
            </w:tcBorders>
          </w:tcPr>
          <w:p w14:paraId="6465BCED" w14:textId="77777777" w:rsidR="006A380D" w:rsidRDefault="006A380D" w:rsidP="00A14364">
            <w:pPr>
              <w:rPr>
                <w:noProof/>
              </w:rPr>
            </w:pPr>
          </w:p>
        </w:tc>
        <w:tc>
          <w:tcPr>
            <w:tcW w:w="1217" w:type="pct"/>
            <w:gridSpan w:val="2"/>
            <w:tcBorders>
              <w:top w:val="single" w:sz="8" w:space="0" w:color="auto"/>
              <w:left w:val="nil"/>
              <w:bottom w:val="single" w:sz="8" w:space="0" w:color="auto"/>
              <w:right w:val="nil"/>
            </w:tcBorders>
          </w:tcPr>
          <w:p w14:paraId="2E0DC79C" w14:textId="77777777" w:rsidR="006A380D" w:rsidRDefault="006A380D" w:rsidP="00A14364">
            <w:pPr>
              <w:jc w:val="center"/>
              <w:rPr>
                <w:noProof/>
              </w:rPr>
            </w:pPr>
            <w:r>
              <w:rPr>
                <w:noProof/>
              </w:rPr>
              <w:t>2013</w:t>
            </w:r>
          </w:p>
        </w:tc>
        <w:tc>
          <w:tcPr>
            <w:tcW w:w="1230" w:type="pct"/>
            <w:gridSpan w:val="3"/>
            <w:tcBorders>
              <w:top w:val="single" w:sz="8" w:space="0" w:color="auto"/>
              <w:left w:val="nil"/>
              <w:bottom w:val="single" w:sz="8" w:space="0" w:color="auto"/>
              <w:right w:val="nil"/>
            </w:tcBorders>
          </w:tcPr>
          <w:p w14:paraId="61AF7AA5" w14:textId="77777777" w:rsidR="006A380D" w:rsidRDefault="006A380D" w:rsidP="00A14364">
            <w:pPr>
              <w:jc w:val="center"/>
              <w:rPr>
                <w:noProof/>
              </w:rPr>
            </w:pPr>
            <w:r>
              <w:rPr>
                <w:noProof/>
              </w:rPr>
              <w:t>2014</w:t>
            </w:r>
          </w:p>
        </w:tc>
        <w:tc>
          <w:tcPr>
            <w:tcW w:w="1232" w:type="pct"/>
            <w:gridSpan w:val="3"/>
            <w:tcBorders>
              <w:top w:val="single" w:sz="8" w:space="0" w:color="auto"/>
              <w:left w:val="nil"/>
              <w:bottom w:val="single" w:sz="8" w:space="0" w:color="auto"/>
              <w:right w:val="nil"/>
            </w:tcBorders>
          </w:tcPr>
          <w:p w14:paraId="2400F704" w14:textId="77777777" w:rsidR="006A380D" w:rsidRDefault="006A380D" w:rsidP="00A14364">
            <w:pPr>
              <w:jc w:val="center"/>
              <w:rPr>
                <w:noProof/>
              </w:rPr>
            </w:pPr>
            <w:r>
              <w:rPr>
                <w:noProof/>
              </w:rPr>
              <w:t>2015</w:t>
            </w:r>
          </w:p>
        </w:tc>
      </w:tr>
      <w:tr w:rsidR="00EC6DCF" w14:paraId="62669C2F" w14:textId="77777777" w:rsidTr="00EC6DCF">
        <w:trPr>
          <w:tblHeader/>
        </w:trPr>
        <w:tc>
          <w:tcPr>
            <w:tcW w:w="1320" w:type="pct"/>
            <w:tcBorders>
              <w:top w:val="nil"/>
              <w:left w:val="nil"/>
              <w:bottom w:val="single" w:sz="4" w:space="0" w:color="auto"/>
              <w:right w:val="nil"/>
            </w:tcBorders>
            <w:vAlign w:val="bottom"/>
          </w:tcPr>
          <w:p w14:paraId="2FA8C1C2" w14:textId="77777777" w:rsidR="006A380D" w:rsidRDefault="006A380D" w:rsidP="00EC6DCF">
            <w:pPr>
              <w:spacing w:after="0"/>
              <w:rPr>
                <w:noProof/>
              </w:rPr>
            </w:pPr>
          </w:p>
          <w:p w14:paraId="781E0724" w14:textId="77777777" w:rsidR="006A380D" w:rsidRDefault="006A380D" w:rsidP="00EC6DCF">
            <w:pPr>
              <w:spacing w:after="0"/>
              <w:rPr>
                <w:noProof/>
              </w:rPr>
            </w:pPr>
            <w:r>
              <w:rPr>
                <w:noProof/>
              </w:rPr>
              <w:t>Pensjon/trygd i 2015</w:t>
            </w:r>
          </w:p>
        </w:tc>
        <w:tc>
          <w:tcPr>
            <w:tcW w:w="560" w:type="pct"/>
            <w:tcBorders>
              <w:top w:val="nil"/>
              <w:left w:val="nil"/>
              <w:bottom w:val="single" w:sz="4" w:space="0" w:color="auto"/>
              <w:right w:val="nil"/>
            </w:tcBorders>
            <w:vAlign w:val="bottom"/>
          </w:tcPr>
          <w:p w14:paraId="3304DDD9" w14:textId="77777777" w:rsidR="006A380D" w:rsidRDefault="006A380D" w:rsidP="00EC6DCF">
            <w:pPr>
              <w:spacing w:after="0"/>
              <w:ind w:left="80" w:right="80"/>
              <w:rPr>
                <w:noProof/>
              </w:rPr>
            </w:pPr>
            <w:r>
              <w:rPr>
                <w:noProof/>
              </w:rPr>
              <w:t xml:space="preserve">Nominell vekst </w:t>
            </w:r>
          </w:p>
        </w:tc>
        <w:tc>
          <w:tcPr>
            <w:tcW w:w="657" w:type="pct"/>
            <w:tcBorders>
              <w:top w:val="nil"/>
              <w:left w:val="nil"/>
              <w:bottom w:val="single" w:sz="4" w:space="0" w:color="auto"/>
              <w:right w:val="nil"/>
            </w:tcBorders>
            <w:vAlign w:val="bottom"/>
          </w:tcPr>
          <w:p w14:paraId="5CBFABB7" w14:textId="331856B7" w:rsidR="006A380D" w:rsidRDefault="006A380D" w:rsidP="00EC6DCF">
            <w:pPr>
              <w:spacing w:after="0"/>
              <w:ind w:left="80" w:right="80"/>
              <w:rPr>
                <w:noProof/>
              </w:rPr>
            </w:pPr>
            <w:r>
              <w:rPr>
                <w:noProof/>
              </w:rPr>
              <w:t>Realvekst etter skatt</w:t>
            </w:r>
          </w:p>
        </w:tc>
        <w:tc>
          <w:tcPr>
            <w:tcW w:w="603" w:type="pct"/>
            <w:tcBorders>
              <w:top w:val="nil"/>
              <w:left w:val="nil"/>
              <w:bottom w:val="single" w:sz="4" w:space="0" w:color="auto"/>
              <w:right w:val="nil"/>
            </w:tcBorders>
            <w:vAlign w:val="bottom"/>
          </w:tcPr>
          <w:p w14:paraId="402B7C2C" w14:textId="77777777" w:rsidR="006A380D" w:rsidRDefault="006A380D" w:rsidP="00EC6DCF">
            <w:pPr>
              <w:spacing w:after="0"/>
              <w:ind w:left="80" w:right="80"/>
              <w:rPr>
                <w:noProof/>
              </w:rPr>
            </w:pPr>
            <w:r>
              <w:rPr>
                <w:noProof/>
              </w:rPr>
              <w:t xml:space="preserve">Nominell vekst </w:t>
            </w:r>
          </w:p>
        </w:tc>
        <w:tc>
          <w:tcPr>
            <w:tcW w:w="620" w:type="pct"/>
            <w:tcBorders>
              <w:top w:val="nil"/>
              <w:left w:val="nil"/>
              <w:bottom w:val="single" w:sz="4" w:space="0" w:color="auto"/>
              <w:right w:val="nil"/>
            </w:tcBorders>
            <w:vAlign w:val="bottom"/>
          </w:tcPr>
          <w:p w14:paraId="5F478504" w14:textId="77777777" w:rsidR="006A380D" w:rsidRDefault="006A380D" w:rsidP="00EC6DCF">
            <w:pPr>
              <w:spacing w:after="0"/>
              <w:ind w:left="80" w:right="80"/>
              <w:rPr>
                <w:noProof/>
              </w:rPr>
            </w:pPr>
            <w:r>
              <w:rPr>
                <w:noProof/>
              </w:rPr>
              <w:t>Realvekst etter skatt</w:t>
            </w:r>
          </w:p>
        </w:tc>
        <w:tc>
          <w:tcPr>
            <w:tcW w:w="610" w:type="pct"/>
            <w:gridSpan w:val="3"/>
            <w:tcBorders>
              <w:top w:val="nil"/>
              <w:left w:val="nil"/>
              <w:bottom w:val="single" w:sz="4" w:space="0" w:color="auto"/>
            </w:tcBorders>
            <w:vAlign w:val="bottom"/>
          </w:tcPr>
          <w:p w14:paraId="55C6CCE8" w14:textId="77777777" w:rsidR="006A380D" w:rsidRPr="00AB13F7" w:rsidRDefault="006A380D" w:rsidP="00EC6DCF">
            <w:pPr>
              <w:spacing w:after="0"/>
              <w:ind w:left="80" w:right="80"/>
              <w:rPr>
                <w:noProof/>
              </w:rPr>
            </w:pPr>
            <w:r>
              <w:rPr>
                <w:noProof/>
              </w:rPr>
              <w:t>Nominell v</w:t>
            </w:r>
            <w:r w:rsidRPr="00AB13F7">
              <w:rPr>
                <w:noProof/>
              </w:rPr>
              <w:t>ekst</w:t>
            </w:r>
          </w:p>
        </w:tc>
        <w:tc>
          <w:tcPr>
            <w:tcW w:w="630" w:type="pct"/>
            <w:tcBorders>
              <w:top w:val="nil"/>
              <w:left w:val="nil"/>
              <w:bottom w:val="single" w:sz="4" w:space="0" w:color="auto"/>
            </w:tcBorders>
            <w:vAlign w:val="bottom"/>
          </w:tcPr>
          <w:p w14:paraId="46AFD40C" w14:textId="54BD9E59" w:rsidR="006A380D" w:rsidRPr="00AB13F7" w:rsidRDefault="006A380D" w:rsidP="00EC6DCF">
            <w:pPr>
              <w:spacing w:after="0"/>
              <w:ind w:right="80"/>
              <w:rPr>
                <w:noProof/>
              </w:rPr>
            </w:pPr>
            <w:r w:rsidRPr="00AB13F7">
              <w:rPr>
                <w:noProof/>
              </w:rPr>
              <w:t>Realvekst</w:t>
            </w:r>
            <w:r>
              <w:rPr>
                <w:noProof/>
              </w:rPr>
              <w:t xml:space="preserve"> etter skatt</w:t>
            </w:r>
          </w:p>
        </w:tc>
      </w:tr>
      <w:tr w:rsidR="006A380D" w14:paraId="7D15FA4D" w14:textId="77777777" w:rsidTr="00EC6DCF">
        <w:tc>
          <w:tcPr>
            <w:tcW w:w="1320" w:type="pct"/>
            <w:tcBorders>
              <w:top w:val="single" w:sz="4" w:space="0" w:color="auto"/>
              <w:left w:val="nil"/>
              <w:right w:val="nil"/>
            </w:tcBorders>
          </w:tcPr>
          <w:p w14:paraId="1582B063" w14:textId="77777777" w:rsidR="006A380D" w:rsidRDefault="006A380D" w:rsidP="00A14364">
            <w:pPr>
              <w:ind w:right="80"/>
              <w:rPr>
                <w:noProof/>
              </w:rPr>
            </w:pPr>
            <w:r>
              <w:rPr>
                <w:noProof/>
              </w:rPr>
              <w:t>Enslig ufør, minsteytelse (221 965 kroner)</w:t>
            </w:r>
          </w:p>
        </w:tc>
        <w:tc>
          <w:tcPr>
            <w:tcW w:w="560" w:type="pct"/>
            <w:tcBorders>
              <w:top w:val="single" w:sz="4" w:space="0" w:color="auto"/>
              <w:left w:val="nil"/>
              <w:right w:val="nil"/>
            </w:tcBorders>
            <w:vAlign w:val="bottom"/>
          </w:tcPr>
          <w:p w14:paraId="51B57C5D" w14:textId="77777777" w:rsidR="006A380D" w:rsidRDefault="006A380D" w:rsidP="00A14364">
            <w:pPr>
              <w:ind w:left="80" w:right="80"/>
              <w:jc w:val="center"/>
              <w:rPr>
                <w:noProof/>
              </w:rPr>
            </w:pPr>
            <w:r>
              <w:rPr>
                <w:noProof/>
              </w:rPr>
              <w:t>3,8</w:t>
            </w:r>
          </w:p>
        </w:tc>
        <w:tc>
          <w:tcPr>
            <w:tcW w:w="657" w:type="pct"/>
            <w:tcBorders>
              <w:top w:val="single" w:sz="4" w:space="0" w:color="auto"/>
              <w:left w:val="nil"/>
              <w:right w:val="nil"/>
            </w:tcBorders>
            <w:vAlign w:val="bottom"/>
          </w:tcPr>
          <w:p w14:paraId="3A70D0AE" w14:textId="77777777" w:rsidR="006A380D" w:rsidRDefault="006A380D" w:rsidP="00A14364">
            <w:pPr>
              <w:ind w:left="80" w:right="80"/>
              <w:jc w:val="center"/>
              <w:rPr>
                <w:noProof/>
              </w:rPr>
            </w:pPr>
            <w:r>
              <w:rPr>
                <w:noProof/>
              </w:rPr>
              <w:t>1,6</w:t>
            </w:r>
          </w:p>
        </w:tc>
        <w:tc>
          <w:tcPr>
            <w:tcW w:w="603" w:type="pct"/>
            <w:tcBorders>
              <w:top w:val="single" w:sz="4" w:space="0" w:color="auto"/>
              <w:left w:val="nil"/>
              <w:right w:val="nil"/>
            </w:tcBorders>
            <w:vAlign w:val="bottom"/>
          </w:tcPr>
          <w:p w14:paraId="15027556" w14:textId="77777777" w:rsidR="006A380D" w:rsidRDefault="006A380D" w:rsidP="00A14364">
            <w:pPr>
              <w:ind w:left="80" w:right="80"/>
              <w:jc w:val="center"/>
              <w:rPr>
                <w:noProof/>
              </w:rPr>
            </w:pPr>
            <w:r>
              <w:rPr>
                <w:noProof/>
              </w:rPr>
              <w:t>3,7</w:t>
            </w:r>
          </w:p>
        </w:tc>
        <w:tc>
          <w:tcPr>
            <w:tcW w:w="620" w:type="pct"/>
            <w:tcBorders>
              <w:top w:val="single" w:sz="4" w:space="0" w:color="auto"/>
              <w:left w:val="nil"/>
              <w:right w:val="nil"/>
            </w:tcBorders>
            <w:vAlign w:val="bottom"/>
          </w:tcPr>
          <w:p w14:paraId="1A5C1AB8" w14:textId="77777777" w:rsidR="006A380D" w:rsidRDefault="006A380D" w:rsidP="00A14364">
            <w:pPr>
              <w:ind w:left="80" w:right="80"/>
              <w:jc w:val="center"/>
              <w:rPr>
                <w:noProof/>
              </w:rPr>
            </w:pPr>
            <w:r>
              <w:rPr>
                <w:noProof/>
              </w:rPr>
              <w:t>1,7</w:t>
            </w:r>
          </w:p>
        </w:tc>
        <w:tc>
          <w:tcPr>
            <w:tcW w:w="381" w:type="pct"/>
            <w:gridSpan w:val="2"/>
            <w:tcBorders>
              <w:top w:val="single" w:sz="4" w:space="0" w:color="auto"/>
              <w:left w:val="nil"/>
              <w:right w:val="nil"/>
            </w:tcBorders>
            <w:vAlign w:val="bottom"/>
          </w:tcPr>
          <w:p w14:paraId="5A79BA57" w14:textId="77777777" w:rsidR="006A380D" w:rsidRDefault="006A380D" w:rsidP="00A14364">
            <w:pPr>
              <w:ind w:left="80" w:right="80"/>
              <w:jc w:val="center"/>
              <w:rPr>
                <w:noProof/>
              </w:rPr>
            </w:pPr>
            <w:r>
              <w:rPr>
                <w:noProof/>
              </w:rPr>
              <w:t>27,1</w:t>
            </w:r>
            <w:r w:rsidRPr="00F94F26">
              <w:rPr>
                <w:noProof/>
                <w:vertAlign w:val="superscript"/>
              </w:rPr>
              <w:t>1</w:t>
            </w:r>
          </w:p>
        </w:tc>
        <w:tc>
          <w:tcPr>
            <w:tcW w:w="859" w:type="pct"/>
            <w:gridSpan w:val="2"/>
            <w:tcBorders>
              <w:top w:val="single" w:sz="4" w:space="0" w:color="auto"/>
              <w:left w:val="nil"/>
              <w:right w:val="nil"/>
            </w:tcBorders>
            <w:vAlign w:val="bottom"/>
          </w:tcPr>
          <w:p w14:paraId="0AEE8FF9" w14:textId="77777777" w:rsidR="006A380D" w:rsidRDefault="006A380D" w:rsidP="00A14364">
            <w:pPr>
              <w:ind w:left="80" w:right="80"/>
              <w:jc w:val="center"/>
              <w:rPr>
                <w:noProof/>
              </w:rPr>
            </w:pPr>
            <w:r>
              <w:rPr>
                <w:noProof/>
              </w:rPr>
              <w:t>1,8</w:t>
            </w:r>
          </w:p>
        </w:tc>
      </w:tr>
      <w:tr w:rsidR="006A380D" w14:paraId="2EB4DDCA" w14:textId="77777777" w:rsidTr="00EC6DCF">
        <w:tc>
          <w:tcPr>
            <w:tcW w:w="1320" w:type="pct"/>
            <w:tcBorders>
              <w:left w:val="nil"/>
              <w:bottom w:val="nil"/>
              <w:right w:val="nil"/>
            </w:tcBorders>
          </w:tcPr>
          <w:p w14:paraId="4F305AAD" w14:textId="77777777" w:rsidR="006A380D" w:rsidRDefault="006A380D" w:rsidP="00A14364">
            <w:pPr>
              <w:ind w:right="80"/>
              <w:rPr>
                <w:noProof/>
              </w:rPr>
            </w:pPr>
            <w:r>
              <w:rPr>
                <w:noProof/>
              </w:rPr>
              <w:t>Ektepar ufør, begge har minsteytelse (408 129 kroner)</w:t>
            </w:r>
          </w:p>
        </w:tc>
        <w:tc>
          <w:tcPr>
            <w:tcW w:w="560" w:type="pct"/>
            <w:tcBorders>
              <w:left w:val="nil"/>
              <w:bottom w:val="nil"/>
              <w:right w:val="nil"/>
            </w:tcBorders>
            <w:vAlign w:val="bottom"/>
          </w:tcPr>
          <w:p w14:paraId="0D137EAF" w14:textId="77777777" w:rsidR="006A380D" w:rsidRDefault="006A380D" w:rsidP="00A14364">
            <w:pPr>
              <w:ind w:left="80" w:right="80"/>
              <w:jc w:val="center"/>
              <w:rPr>
                <w:noProof/>
              </w:rPr>
            </w:pPr>
            <w:r>
              <w:rPr>
                <w:noProof/>
              </w:rPr>
              <w:t>3,8</w:t>
            </w:r>
          </w:p>
        </w:tc>
        <w:tc>
          <w:tcPr>
            <w:tcW w:w="657" w:type="pct"/>
            <w:tcBorders>
              <w:left w:val="nil"/>
              <w:bottom w:val="nil"/>
              <w:right w:val="nil"/>
            </w:tcBorders>
            <w:vAlign w:val="bottom"/>
          </w:tcPr>
          <w:p w14:paraId="3FEFBF43" w14:textId="77777777" w:rsidR="006A380D" w:rsidRDefault="006A380D" w:rsidP="00A14364">
            <w:pPr>
              <w:ind w:left="80" w:right="80"/>
              <w:jc w:val="center"/>
              <w:rPr>
                <w:noProof/>
              </w:rPr>
            </w:pPr>
            <w:r>
              <w:rPr>
                <w:noProof/>
              </w:rPr>
              <w:t>1,6</w:t>
            </w:r>
          </w:p>
        </w:tc>
        <w:tc>
          <w:tcPr>
            <w:tcW w:w="603" w:type="pct"/>
            <w:tcBorders>
              <w:left w:val="nil"/>
              <w:bottom w:val="nil"/>
              <w:right w:val="nil"/>
            </w:tcBorders>
            <w:vAlign w:val="bottom"/>
          </w:tcPr>
          <w:p w14:paraId="6B895650" w14:textId="77777777" w:rsidR="006A380D" w:rsidRDefault="006A380D" w:rsidP="00A14364">
            <w:pPr>
              <w:ind w:left="80" w:right="80"/>
              <w:jc w:val="center"/>
              <w:rPr>
                <w:noProof/>
              </w:rPr>
            </w:pPr>
            <w:r>
              <w:rPr>
                <w:noProof/>
              </w:rPr>
              <w:t>3,7</w:t>
            </w:r>
          </w:p>
        </w:tc>
        <w:tc>
          <w:tcPr>
            <w:tcW w:w="620" w:type="pct"/>
            <w:tcBorders>
              <w:left w:val="nil"/>
              <w:bottom w:val="nil"/>
              <w:right w:val="nil"/>
            </w:tcBorders>
            <w:vAlign w:val="bottom"/>
          </w:tcPr>
          <w:p w14:paraId="0EC12743" w14:textId="77777777" w:rsidR="006A380D" w:rsidRDefault="006A380D" w:rsidP="00A14364">
            <w:pPr>
              <w:ind w:left="80" w:right="80"/>
              <w:jc w:val="center"/>
              <w:rPr>
                <w:noProof/>
              </w:rPr>
            </w:pPr>
            <w:r>
              <w:rPr>
                <w:noProof/>
              </w:rPr>
              <w:t>1,7</w:t>
            </w:r>
          </w:p>
        </w:tc>
        <w:tc>
          <w:tcPr>
            <w:tcW w:w="381" w:type="pct"/>
            <w:gridSpan w:val="2"/>
            <w:tcBorders>
              <w:left w:val="nil"/>
              <w:bottom w:val="nil"/>
              <w:right w:val="nil"/>
            </w:tcBorders>
            <w:vAlign w:val="bottom"/>
          </w:tcPr>
          <w:p w14:paraId="230BF3E8" w14:textId="77777777" w:rsidR="006A380D" w:rsidRDefault="006A380D" w:rsidP="00A14364">
            <w:pPr>
              <w:ind w:left="80" w:right="80"/>
              <w:jc w:val="center"/>
              <w:rPr>
                <w:noProof/>
              </w:rPr>
            </w:pPr>
            <w:r>
              <w:rPr>
                <w:noProof/>
              </w:rPr>
              <w:t>26,3</w:t>
            </w:r>
            <w:r w:rsidRPr="00F94F26">
              <w:rPr>
                <w:noProof/>
                <w:vertAlign w:val="superscript"/>
              </w:rPr>
              <w:t>1</w:t>
            </w:r>
          </w:p>
        </w:tc>
        <w:tc>
          <w:tcPr>
            <w:tcW w:w="859" w:type="pct"/>
            <w:gridSpan w:val="2"/>
            <w:tcBorders>
              <w:left w:val="nil"/>
              <w:bottom w:val="nil"/>
              <w:right w:val="nil"/>
            </w:tcBorders>
            <w:vAlign w:val="bottom"/>
          </w:tcPr>
          <w:p w14:paraId="1C98D876" w14:textId="77777777" w:rsidR="006A380D" w:rsidRDefault="006A380D" w:rsidP="00A14364">
            <w:pPr>
              <w:ind w:left="80" w:right="80"/>
              <w:jc w:val="center"/>
              <w:rPr>
                <w:noProof/>
              </w:rPr>
            </w:pPr>
            <w:r>
              <w:rPr>
                <w:noProof/>
              </w:rPr>
              <w:t>2,8</w:t>
            </w:r>
          </w:p>
        </w:tc>
      </w:tr>
      <w:tr w:rsidR="00EC6DCF" w14:paraId="02DF8E87" w14:textId="77777777" w:rsidTr="00EC6DCF">
        <w:tc>
          <w:tcPr>
            <w:tcW w:w="1320" w:type="pct"/>
            <w:tcBorders>
              <w:left w:val="nil"/>
              <w:bottom w:val="nil"/>
              <w:right w:val="nil"/>
            </w:tcBorders>
          </w:tcPr>
          <w:p w14:paraId="6BAD6DB0" w14:textId="77777777" w:rsidR="006A380D" w:rsidRDefault="006A380D" w:rsidP="00EC6DCF">
            <w:pPr>
              <w:spacing w:after="0"/>
              <w:ind w:right="80"/>
              <w:rPr>
                <w:noProof/>
              </w:rPr>
            </w:pPr>
            <w:r>
              <w:rPr>
                <w:noProof/>
              </w:rPr>
              <w:t>Enslig minstepensjonist (174 917 kroner)</w:t>
            </w:r>
          </w:p>
        </w:tc>
        <w:tc>
          <w:tcPr>
            <w:tcW w:w="560" w:type="pct"/>
            <w:tcBorders>
              <w:left w:val="nil"/>
              <w:bottom w:val="nil"/>
              <w:right w:val="nil"/>
            </w:tcBorders>
            <w:vAlign w:val="bottom"/>
          </w:tcPr>
          <w:p w14:paraId="7755FAEF" w14:textId="77777777" w:rsidR="006A380D" w:rsidRPr="00AE06AC" w:rsidRDefault="006A380D" w:rsidP="00EC6DCF">
            <w:pPr>
              <w:spacing w:after="0"/>
              <w:ind w:left="80" w:right="80"/>
              <w:jc w:val="center"/>
              <w:rPr>
                <w:noProof/>
              </w:rPr>
            </w:pPr>
            <w:r>
              <w:rPr>
                <w:noProof/>
              </w:rPr>
              <w:t>3,2</w:t>
            </w:r>
          </w:p>
        </w:tc>
        <w:tc>
          <w:tcPr>
            <w:tcW w:w="657" w:type="pct"/>
            <w:tcBorders>
              <w:left w:val="nil"/>
              <w:bottom w:val="nil"/>
              <w:right w:val="nil"/>
            </w:tcBorders>
            <w:vAlign w:val="bottom"/>
          </w:tcPr>
          <w:p w14:paraId="3888A8B9" w14:textId="77777777" w:rsidR="006A380D" w:rsidRPr="00AE06AC" w:rsidRDefault="006A380D" w:rsidP="00EC6DCF">
            <w:pPr>
              <w:spacing w:after="0"/>
              <w:ind w:left="80" w:right="80"/>
              <w:jc w:val="center"/>
              <w:rPr>
                <w:noProof/>
              </w:rPr>
            </w:pPr>
            <w:r>
              <w:rPr>
                <w:noProof/>
              </w:rPr>
              <w:t>1,1</w:t>
            </w:r>
          </w:p>
        </w:tc>
        <w:tc>
          <w:tcPr>
            <w:tcW w:w="603" w:type="pct"/>
            <w:tcBorders>
              <w:left w:val="nil"/>
              <w:bottom w:val="nil"/>
              <w:right w:val="nil"/>
            </w:tcBorders>
            <w:vAlign w:val="bottom"/>
          </w:tcPr>
          <w:p w14:paraId="6DBD8B75" w14:textId="77777777" w:rsidR="006A380D" w:rsidRPr="00AE06AC" w:rsidRDefault="006A380D" w:rsidP="00EC6DCF">
            <w:pPr>
              <w:spacing w:after="0"/>
              <w:ind w:left="80" w:right="80"/>
              <w:jc w:val="center"/>
              <w:rPr>
                <w:noProof/>
              </w:rPr>
            </w:pPr>
            <w:r>
              <w:rPr>
                <w:noProof/>
              </w:rPr>
              <w:t>3,2</w:t>
            </w:r>
          </w:p>
        </w:tc>
        <w:tc>
          <w:tcPr>
            <w:tcW w:w="620" w:type="pct"/>
            <w:tcBorders>
              <w:left w:val="nil"/>
              <w:bottom w:val="nil"/>
              <w:right w:val="nil"/>
            </w:tcBorders>
            <w:vAlign w:val="bottom"/>
          </w:tcPr>
          <w:p w14:paraId="1B9C07EF" w14:textId="77777777" w:rsidR="006A380D" w:rsidRPr="00AE06AC" w:rsidRDefault="006A380D" w:rsidP="00EC6DCF">
            <w:pPr>
              <w:spacing w:after="0"/>
              <w:ind w:left="80" w:right="80"/>
              <w:jc w:val="center"/>
              <w:rPr>
                <w:noProof/>
              </w:rPr>
            </w:pPr>
            <w:r>
              <w:rPr>
                <w:noProof/>
              </w:rPr>
              <w:t>1,2</w:t>
            </w:r>
          </w:p>
        </w:tc>
        <w:tc>
          <w:tcPr>
            <w:tcW w:w="381" w:type="pct"/>
            <w:gridSpan w:val="2"/>
            <w:tcBorders>
              <w:left w:val="nil"/>
              <w:bottom w:val="nil"/>
              <w:right w:val="nil"/>
            </w:tcBorders>
            <w:vAlign w:val="bottom"/>
          </w:tcPr>
          <w:p w14:paraId="4BE91C30" w14:textId="77777777" w:rsidR="006A380D" w:rsidRPr="00AE06AC" w:rsidRDefault="006A380D" w:rsidP="00EC6DCF">
            <w:pPr>
              <w:spacing w:after="0"/>
              <w:ind w:left="80" w:right="80"/>
              <w:jc w:val="center"/>
              <w:rPr>
                <w:noProof/>
              </w:rPr>
            </w:pPr>
            <w:r>
              <w:rPr>
                <w:noProof/>
              </w:rPr>
              <w:t>2,0</w:t>
            </w:r>
          </w:p>
        </w:tc>
        <w:tc>
          <w:tcPr>
            <w:tcW w:w="859" w:type="pct"/>
            <w:gridSpan w:val="2"/>
            <w:tcBorders>
              <w:left w:val="nil"/>
              <w:bottom w:val="nil"/>
              <w:right w:val="nil"/>
            </w:tcBorders>
            <w:vAlign w:val="bottom"/>
          </w:tcPr>
          <w:p w14:paraId="48EB3866" w14:textId="77777777" w:rsidR="006A380D" w:rsidRPr="00AE06AC" w:rsidRDefault="006A380D" w:rsidP="00EC6DCF">
            <w:pPr>
              <w:spacing w:after="0"/>
              <w:ind w:left="80" w:right="80"/>
              <w:jc w:val="center"/>
              <w:rPr>
                <w:noProof/>
              </w:rPr>
            </w:pPr>
            <w:r>
              <w:rPr>
                <w:noProof/>
              </w:rPr>
              <w:t>-0,1</w:t>
            </w:r>
          </w:p>
        </w:tc>
      </w:tr>
      <w:tr w:rsidR="006A380D" w14:paraId="70E11BA4" w14:textId="77777777" w:rsidTr="00EC6DCF">
        <w:trPr>
          <w:trHeight w:val="247"/>
        </w:trPr>
        <w:tc>
          <w:tcPr>
            <w:tcW w:w="1320" w:type="pct"/>
            <w:tcBorders>
              <w:top w:val="nil"/>
              <w:left w:val="nil"/>
              <w:bottom w:val="nil"/>
              <w:right w:val="nil"/>
            </w:tcBorders>
          </w:tcPr>
          <w:p w14:paraId="556B92FB" w14:textId="77777777" w:rsidR="006A380D" w:rsidRPr="00FE4963" w:rsidRDefault="006A380D" w:rsidP="00A14364">
            <w:pPr>
              <w:pStyle w:val="tabell-noter"/>
              <w:rPr>
                <w:noProof/>
                <w:sz w:val="24"/>
                <w:szCs w:val="24"/>
              </w:rPr>
            </w:pPr>
            <w:r w:rsidRPr="00FE4963">
              <w:rPr>
                <w:noProof/>
                <w:sz w:val="24"/>
                <w:szCs w:val="24"/>
              </w:rPr>
              <w:t>Ektepar, begge har minstepensjon</w:t>
            </w:r>
            <w:r>
              <w:rPr>
                <w:noProof/>
                <w:sz w:val="24"/>
                <w:szCs w:val="24"/>
              </w:rPr>
              <w:t xml:space="preserve"> (323 611 kroner)</w:t>
            </w:r>
          </w:p>
        </w:tc>
        <w:tc>
          <w:tcPr>
            <w:tcW w:w="560" w:type="pct"/>
            <w:tcBorders>
              <w:top w:val="nil"/>
              <w:left w:val="nil"/>
              <w:bottom w:val="nil"/>
              <w:right w:val="nil"/>
            </w:tcBorders>
            <w:vAlign w:val="bottom"/>
          </w:tcPr>
          <w:p w14:paraId="1AF27B09" w14:textId="77777777" w:rsidR="006A380D" w:rsidRPr="00AE06AC" w:rsidRDefault="006A380D" w:rsidP="00A14364">
            <w:pPr>
              <w:ind w:left="80" w:right="80"/>
              <w:jc w:val="center"/>
              <w:rPr>
                <w:noProof/>
              </w:rPr>
            </w:pPr>
            <w:r>
              <w:rPr>
                <w:noProof/>
              </w:rPr>
              <w:t>3,2</w:t>
            </w:r>
          </w:p>
        </w:tc>
        <w:tc>
          <w:tcPr>
            <w:tcW w:w="657" w:type="pct"/>
            <w:tcBorders>
              <w:top w:val="nil"/>
              <w:left w:val="nil"/>
              <w:bottom w:val="nil"/>
              <w:right w:val="nil"/>
            </w:tcBorders>
            <w:vAlign w:val="bottom"/>
          </w:tcPr>
          <w:p w14:paraId="6366B633" w14:textId="77777777" w:rsidR="006A380D" w:rsidRPr="00AE06AC" w:rsidRDefault="006A380D" w:rsidP="00A14364">
            <w:pPr>
              <w:ind w:left="80" w:right="80"/>
              <w:jc w:val="center"/>
              <w:rPr>
                <w:noProof/>
              </w:rPr>
            </w:pPr>
            <w:r>
              <w:rPr>
                <w:noProof/>
              </w:rPr>
              <w:t>1,1</w:t>
            </w:r>
          </w:p>
        </w:tc>
        <w:tc>
          <w:tcPr>
            <w:tcW w:w="603" w:type="pct"/>
            <w:tcBorders>
              <w:top w:val="nil"/>
              <w:left w:val="nil"/>
              <w:bottom w:val="nil"/>
              <w:right w:val="nil"/>
            </w:tcBorders>
            <w:vAlign w:val="bottom"/>
          </w:tcPr>
          <w:p w14:paraId="7668A9A0" w14:textId="77777777" w:rsidR="006A380D" w:rsidRPr="00AE06AC" w:rsidRDefault="006A380D" w:rsidP="00A14364">
            <w:pPr>
              <w:ind w:left="80" w:right="80"/>
              <w:jc w:val="center"/>
              <w:rPr>
                <w:noProof/>
              </w:rPr>
            </w:pPr>
            <w:r>
              <w:rPr>
                <w:noProof/>
              </w:rPr>
              <w:t>3,2</w:t>
            </w:r>
          </w:p>
        </w:tc>
        <w:tc>
          <w:tcPr>
            <w:tcW w:w="620" w:type="pct"/>
            <w:tcBorders>
              <w:top w:val="nil"/>
              <w:left w:val="nil"/>
              <w:bottom w:val="nil"/>
              <w:right w:val="nil"/>
            </w:tcBorders>
            <w:vAlign w:val="bottom"/>
          </w:tcPr>
          <w:p w14:paraId="28405CEE" w14:textId="77777777" w:rsidR="006A380D" w:rsidRPr="00AE06AC" w:rsidRDefault="006A380D" w:rsidP="00A14364">
            <w:pPr>
              <w:ind w:left="80" w:right="80"/>
              <w:jc w:val="center"/>
              <w:rPr>
                <w:noProof/>
              </w:rPr>
            </w:pPr>
            <w:r>
              <w:rPr>
                <w:noProof/>
              </w:rPr>
              <w:t>1,2</w:t>
            </w:r>
          </w:p>
        </w:tc>
        <w:tc>
          <w:tcPr>
            <w:tcW w:w="381" w:type="pct"/>
            <w:gridSpan w:val="2"/>
            <w:tcBorders>
              <w:top w:val="nil"/>
              <w:left w:val="nil"/>
              <w:bottom w:val="nil"/>
              <w:right w:val="nil"/>
            </w:tcBorders>
            <w:vAlign w:val="bottom"/>
          </w:tcPr>
          <w:p w14:paraId="4839EF67" w14:textId="77777777" w:rsidR="006A380D" w:rsidRPr="00AE06AC" w:rsidRDefault="006A380D" w:rsidP="00A14364">
            <w:pPr>
              <w:ind w:left="80" w:right="80"/>
              <w:jc w:val="center"/>
              <w:rPr>
                <w:noProof/>
              </w:rPr>
            </w:pPr>
            <w:r>
              <w:rPr>
                <w:noProof/>
              </w:rPr>
              <w:t>2,0</w:t>
            </w:r>
          </w:p>
        </w:tc>
        <w:tc>
          <w:tcPr>
            <w:tcW w:w="859" w:type="pct"/>
            <w:gridSpan w:val="2"/>
            <w:tcBorders>
              <w:top w:val="nil"/>
              <w:left w:val="nil"/>
              <w:bottom w:val="nil"/>
              <w:right w:val="nil"/>
            </w:tcBorders>
            <w:vAlign w:val="bottom"/>
          </w:tcPr>
          <w:p w14:paraId="71A20D32" w14:textId="77777777" w:rsidR="006A380D" w:rsidRPr="00AE06AC" w:rsidRDefault="006A380D" w:rsidP="00A14364">
            <w:pPr>
              <w:ind w:left="80" w:right="80"/>
              <w:jc w:val="center"/>
              <w:rPr>
                <w:noProof/>
              </w:rPr>
            </w:pPr>
            <w:r>
              <w:rPr>
                <w:noProof/>
              </w:rPr>
              <w:t>-0,1</w:t>
            </w:r>
          </w:p>
        </w:tc>
      </w:tr>
      <w:tr w:rsidR="006A380D" w:rsidRPr="00E71464" w14:paraId="23F4326D" w14:textId="77777777" w:rsidTr="00EC6DCF">
        <w:trPr>
          <w:trHeight w:val="247"/>
        </w:trPr>
        <w:tc>
          <w:tcPr>
            <w:tcW w:w="1320" w:type="pct"/>
            <w:tcBorders>
              <w:top w:val="nil"/>
              <w:left w:val="nil"/>
              <w:bottom w:val="nil"/>
              <w:right w:val="nil"/>
            </w:tcBorders>
          </w:tcPr>
          <w:p w14:paraId="06EE52C0" w14:textId="77777777" w:rsidR="006A380D" w:rsidRPr="00E71464" w:rsidRDefault="006A380D" w:rsidP="00EC6DCF">
            <w:pPr>
              <w:pStyle w:val="tabell-noter"/>
              <w:spacing w:after="0"/>
              <w:rPr>
                <w:i/>
                <w:noProof/>
                <w:sz w:val="24"/>
                <w:szCs w:val="24"/>
              </w:rPr>
            </w:pPr>
            <w:r w:rsidRPr="00E71464">
              <w:rPr>
                <w:i/>
                <w:noProof/>
                <w:sz w:val="24"/>
                <w:szCs w:val="24"/>
              </w:rPr>
              <w:t>250 000 kroner</w:t>
            </w:r>
          </w:p>
        </w:tc>
        <w:tc>
          <w:tcPr>
            <w:tcW w:w="560" w:type="pct"/>
            <w:tcBorders>
              <w:top w:val="nil"/>
              <w:left w:val="nil"/>
              <w:bottom w:val="nil"/>
              <w:right w:val="nil"/>
            </w:tcBorders>
            <w:vAlign w:val="bottom"/>
          </w:tcPr>
          <w:p w14:paraId="7FE94013" w14:textId="77777777" w:rsidR="006A380D" w:rsidRPr="00E71464" w:rsidRDefault="006A380D" w:rsidP="00EC6DCF">
            <w:pPr>
              <w:spacing w:after="0"/>
              <w:ind w:left="80" w:right="80"/>
              <w:jc w:val="center"/>
              <w:rPr>
                <w:i/>
                <w:noProof/>
              </w:rPr>
            </w:pPr>
          </w:p>
        </w:tc>
        <w:tc>
          <w:tcPr>
            <w:tcW w:w="657" w:type="pct"/>
            <w:tcBorders>
              <w:top w:val="nil"/>
              <w:left w:val="nil"/>
              <w:bottom w:val="nil"/>
              <w:right w:val="nil"/>
            </w:tcBorders>
            <w:vAlign w:val="bottom"/>
          </w:tcPr>
          <w:p w14:paraId="324C1F2D" w14:textId="77777777" w:rsidR="006A380D" w:rsidRPr="00E71464" w:rsidRDefault="006A380D" w:rsidP="00EC6DCF">
            <w:pPr>
              <w:spacing w:after="0"/>
              <w:ind w:left="80" w:right="80"/>
              <w:jc w:val="center"/>
              <w:rPr>
                <w:i/>
                <w:noProof/>
              </w:rPr>
            </w:pPr>
          </w:p>
        </w:tc>
        <w:tc>
          <w:tcPr>
            <w:tcW w:w="603" w:type="pct"/>
            <w:tcBorders>
              <w:top w:val="nil"/>
              <w:left w:val="nil"/>
              <w:bottom w:val="nil"/>
              <w:right w:val="nil"/>
            </w:tcBorders>
            <w:vAlign w:val="bottom"/>
          </w:tcPr>
          <w:p w14:paraId="2D54C802" w14:textId="77777777" w:rsidR="006A380D" w:rsidRPr="00E71464" w:rsidRDefault="006A380D" w:rsidP="00EC6DCF">
            <w:pPr>
              <w:spacing w:after="0"/>
              <w:ind w:left="80" w:right="80"/>
              <w:jc w:val="center"/>
              <w:rPr>
                <w:i/>
                <w:noProof/>
              </w:rPr>
            </w:pPr>
          </w:p>
        </w:tc>
        <w:tc>
          <w:tcPr>
            <w:tcW w:w="620" w:type="pct"/>
            <w:tcBorders>
              <w:top w:val="nil"/>
              <w:left w:val="nil"/>
              <w:bottom w:val="nil"/>
              <w:right w:val="nil"/>
            </w:tcBorders>
            <w:vAlign w:val="bottom"/>
          </w:tcPr>
          <w:p w14:paraId="2889B338" w14:textId="77777777" w:rsidR="006A380D" w:rsidRPr="00E71464" w:rsidRDefault="006A380D" w:rsidP="00EC6DCF">
            <w:pPr>
              <w:spacing w:after="0"/>
              <w:ind w:left="80" w:right="80"/>
              <w:jc w:val="center"/>
              <w:rPr>
                <w:i/>
                <w:noProof/>
              </w:rPr>
            </w:pPr>
          </w:p>
        </w:tc>
        <w:tc>
          <w:tcPr>
            <w:tcW w:w="381" w:type="pct"/>
            <w:gridSpan w:val="2"/>
            <w:tcBorders>
              <w:top w:val="nil"/>
              <w:left w:val="nil"/>
              <w:bottom w:val="nil"/>
              <w:right w:val="nil"/>
            </w:tcBorders>
            <w:vAlign w:val="bottom"/>
          </w:tcPr>
          <w:p w14:paraId="45AD318D" w14:textId="77777777" w:rsidR="006A380D" w:rsidRPr="00E71464" w:rsidRDefault="006A380D" w:rsidP="00EC6DCF">
            <w:pPr>
              <w:spacing w:after="0"/>
              <w:ind w:left="80" w:right="80"/>
              <w:jc w:val="center"/>
              <w:rPr>
                <w:i/>
                <w:noProof/>
              </w:rPr>
            </w:pPr>
          </w:p>
        </w:tc>
        <w:tc>
          <w:tcPr>
            <w:tcW w:w="859" w:type="pct"/>
            <w:gridSpan w:val="2"/>
            <w:tcBorders>
              <w:top w:val="nil"/>
              <w:left w:val="nil"/>
              <w:bottom w:val="nil"/>
              <w:right w:val="nil"/>
            </w:tcBorders>
            <w:vAlign w:val="bottom"/>
          </w:tcPr>
          <w:p w14:paraId="2052CFA2" w14:textId="77777777" w:rsidR="006A380D" w:rsidRPr="00E71464" w:rsidRDefault="006A380D" w:rsidP="00EC6DCF">
            <w:pPr>
              <w:spacing w:after="0"/>
              <w:ind w:left="80" w:right="80"/>
              <w:jc w:val="center"/>
              <w:rPr>
                <w:i/>
                <w:noProof/>
              </w:rPr>
            </w:pPr>
          </w:p>
        </w:tc>
      </w:tr>
      <w:tr w:rsidR="006A380D" w14:paraId="7B0780B4" w14:textId="77777777" w:rsidTr="00EC6DCF">
        <w:trPr>
          <w:trHeight w:val="247"/>
        </w:trPr>
        <w:tc>
          <w:tcPr>
            <w:tcW w:w="1320" w:type="pct"/>
            <w:tcBorders>
              <w:top w:val="nil"/>
              <w:left w:val="nil"/>
              <w:bottom w:val="nil"/>
              <w:right w:val="nil"/>
            </w:tcBorders>
          </w:tcPr>
          <w:p w14:paraId="6A3F3864" w14:textId="77777777" w:rsidR="006A380D" w:rsidRDefault="006A380D" w:rsidP="00EC6DCF">
            <w:pPr>
              <w:pStyle w:val="tabell-noter"/>
              <w:spacing w:after="0"/>
              <w:rPr>
                <w:noProof/>
                <w:sz w:val="24"/>
                <w:szCs w:val="24"/>
              </w:rPr>
            </w:pPr>
            <w:r>
              <w:rPr>
                <w:noProof/>
                <w:sz w:val="24"/>
                <w:szCs w:val="24"/>
              </w:rPr>
              <w:t xml:space="preserve">Enslig </w:t>
            </w:r>
          </w:p>
        </w:tc>
        <w:tc>
          <w:tcPr>
            <w:tcW w:w="560" w:type="pct"/>
            <w:tcBorders>
              <w:top w:val="nil"/>
              <w:left w:val="nil"/>
              <w:bottom w:val="nil"/>
              <w:right w:val="nil"/>
            </w:tcBorders>
            <w:vAlign w:val="bottom"/>
          </w:tcPr>
          <w:p w14:paraId="16634865" w14:textId="77777777" w:rsidR="006A380D" w:rsidRDefault="006A380D" w:rsidP="00EC6DCF">
            <w:pPr>
              <w:spacing w:after="0"/>
              <w:ind w:left="80" w:right="80"/>
              <w:jc w:val="center"/>
              <w:rPr>
                <w:noProof/>
              </w:rPr>
            </w:pPr>
            <w:r>
              <w:rPr>
                <w:noProof/>
              </w:rPr>
              <w:t>3,0</w:t>
            </w:r>
          </w:p>
        </w:tc>
        <w:tc>
          <w:tcPr>
            <w:tcW w:w="657" w:type="pct"/>
            <w:tcBorders>
              <w:top w:val="nil"/>
              <w:left w:val="nil"/>
              <w:bottom w:val="nil"/>
              <w:right w:val="nil"/>
            </w:tcBorders>
            <w:vAlign w:val="bottom"/>
          </w:tcPr>
          <w:p w14:paraId="79DD0C07" w14:textId="77777777" w:rsidR="006A380D" w:rsidRDefault="006A380D" w:rsidP="00EC6DCF">
            <w:pPr>
              <w:spacing w:after="0"/>
              <w:ind w:left="80" w:right="80"/>
              <w:jc w:val="center"/>
              <w:rPr>
                <w:noProof/>
              </w:rPr>
            </w:pPr>
            <w:r>
              <w:rPr>
                <w:noProof/>
              </w:rPr>
              <w:t>1,0</w:t>
            </w:r>
          </w:p>
        </w:tc>
        <w:tc>
          <w:tcPr>
            <w:tcW w:w="603" w:type="pct"/>
            <w:tcBorders>
              <w:top w:val="nil"/>
              <w:left w:val="nil"/>
              <w:bottom w:val="nil"/>
              <w:right w:val="nil"/>
            </w:tcBorders>
            <w:vAlign w:val="bottom"/>
          </w:tcPr>
          <w:p w14:paraId="3023515E" w14:textId="77777777" w:rsidR="006A380D" w:rsidRDefault="006A380D" w:rsidP="00EC6DCF">
            <w:pPr>
              <w:spacing w:after="0"/>
              <w:ind w:left="80" w:right="80"/>
              <w:jc w:val="center"/>
              <w:rPr>
                <w:noProof/>
              </w:rPr>
            </w:pPr>
            <w:r>
              <w:rPr>
                <w:noProof/>
              </w:rPr>
              <w:t>2,9</w:t>
            </w:r>
          </w:p>
        </w:tc>
        <w:tc>
          <w:tcPr>
            <w:tcW w:w="620" w:type="pct"/>
            <w:tcBorders>
              <w:top w:val="nil"/>
              <w:left w:val="nil"/>
              <w:bottom w:val="nil"/>
              <w:right w:val="nil"/>
            </w:tcBorders>
            <w:vAlign w:val="bottom"/>
          </w:tcPr>
          <w:p w14:paraId="55F5617B" w14:textId="77777777" w:rsidR="006A380D" w:rsidRDefault="006A380D" w:rsidP="00EC6DCF">
            <w:pPr>
              <w:spacing w:after="0"/>
              <w:ind w:left="80" w:right="80"/>
              <w:jc w:val="center"/>
              <w:rPr>
                <w:noProof/>
              </w:rPr>
            </w:pPr>
            <w:r>
              <w:rPr>
                <w:noProof/>
              </w:rPr>
              <w:t>0,9</w:t>
            </w:r>
          </w:p>
        </w:tc>
        <w:tc>
          <w:tcPr>
            <w:tcW w:w="381" w:type="pct"/>
            <w:gridSpan w:val="2"/>
            <w:tcBorders>
              <w:top w:val="nil"/>
              <w:left w:val="nil"/>
              <w:bottom w:val="nil"/>
              <w:right w:val="nil"/>
            </w:tcBorders>
            <w:vAlign w:val="bottom"/>
          </w:tcPr>
          <w:p w14:paraId="41A99FD3" w14:textId="77777777" w:rsidR="006A380D" w:rsidRDefault="006A380D" w:rsidP="00EC6DCF">
            <w:pPr>
              <w:spacing w:after="0"/>
              <w:ind w:left="80" w:right="80"/>
              <w:jc w:val="center"/>
              <w:rPr>
                <w:noProof/>
              </w:rPr>
            </w:pPr>
            <w:r>
              <w:rPr>
                <w:noProof/>
              </w:rPr>
              <w:t>1,7</w:t>
            </w:r>
          </w:p>
        </w:tc>
        <w:tc>
          <w:tcPr>
            <w:tcW w:w="859" w:type="pct"/>
            <w:gridSpan w:val="2"/>
            <w:tcBorders>
              <w:top w:val="nil"/>
              <w:left w:val="nil"/>
              <w:bottom w:val="nil"/>
              <w:right w:val="nil"/>
            </w:tcBorders>
            <w:vAlign w:val="bottom"/>
          </w:tcPr>
          <w:p w14:paraId="236529F6" w14:textId="77777777" w:rsidR="006A380D" w:rsidRDefault="006A380D" w:rsidP="00EC6DCF">
            <w:pPr>
              <w:spacing w:after="0"/>
              <w:ind w:left="80" w:right="80"/>
              <w:jc w:val="center"/>
              <w:rPr>
                <w:noProof/>
              </w:rPr>
            </w:pPr>
            <w:r>
              <w:rPr>
                <w:noProof/>
              </w:rPr>
              <w:t>0,5</w:t>
            </w:r>
          </w:p>
        </w:tc>
      </w:tr>
      <w:tr w:rsidR="006A380D" w:rsidRPr="00E71464" w14:paraId="00F50A1D" w14:textId="77777777" w:rsidTr="00EC6DCF">
        <w:trPr>
          <w:trHeight w:val="247"/>
        </w:trPr>
        <w:tc>
          <w:tcPr>
            <w:tcW w:w="1320" w:type="pct"/>
            <w:tcBorders>
              <w:top w:val="nil"/>
              <w:left w:val="nil"/>
              <w:bottom w:val="nil"/>
              <w:right w:val="nil"/>
            </w:tcBorders>
          </w:tcPr>
          <w:p w14:paraId="69E17E63" w14:textId="77777777" w:rsidR="006A380D" w:rsidRPr="00E71464" w:rsidRDefault="006A380D" w:rsidP="00EC6DCF">
            <w:pPr>
              <w:pStyle w:val="tabell-noter"/>
              <w:spacing w:after="0"/>
              <w:rPr>
                <w:i/>
                <w:noProof/>
                <w:sz w:val="24"/>
                <w:szCs w:val="24"/>
              </w:rPr>
            </w:pPr>
            <w:r w:rsidRPr="00E71464">
              <w:rPr>
                <w:i/>
                <w:noProof/>
                <w:sz w:val="24"/>
                <w:szCs w:val="24"/>
              </w:rPr>
              <w:t>550 000 kroner</w:t>
            </w:r>
          </w:p>
        </w:tc>
        <w:tc>
          <w:tcPr>
            <w:tcW w:w="560" w:type="pct"/>
            <w:tcBorders>
              <w:top w:val="nil"/>
              <w:left w:val="nil"/>
              <w:bottom w:val="nil"/>
              <w:right w:val="nil"/>
            </w:tcBorders>
            <w:vAlign w:val="bottom"/>
          </w:tcPr>
          <w:p w14:paraId="0ABA85B1" w14:textId="77777777" w:rsidR="006A380D" w:rsidRPr="00E71464" w:rsidRDefault="006A380D" w:rsidP="00EC6DCF">
            <w:pPr>
              <w:spacing w:after="0"/>
              <w:ind w:left="80" w:right="80"/>
              <w:jc w:val="center"/>
              <w:rPr>
                <w:i/>
                <w:noProof/>
              </w:rPr>
            </w:pPr>
          </w:p>
        </w:tc>
        <w:tc>
          <w:tcPr>
            <w:tcW w:w="657" w:type="pct"/>
            <w:tcBorders>
              <w:top w:val="nil"/>
              <w:left w:val="nil"/>
              <w:bottom w:val="nil"/>
              <w:right w:val="nil"/>
            </w:tcBorders>
            <w:vAlign w:val="bottom"/>
          </w:tcPr>
          <w:p w14:paraId="30A79618" w14:textId="77777777" w:rsidR="006A380D" w:rsidRPr="00E71464" w:rsidRDefault="006A380D" w:rsidP="00EC6DCF">
            <w:pPr>
              <w:spacing w:after="0"/>
              <w:ind w:left="80" w:right="80"/>
              <w:jc w:val="center"/>
              <w:rPr>
                <w:i/>
                <w:noProof/>
              </w:rPr>
            </w:pPr>
          </w:p>
        </w:tc>
        <w:tc>
          <w:tcPr>
            <w:tcW w:w="603" w:type="pct"/>
            <w:tcBorders>
              <w:top w:val="nil"/>
              <w:left w:val="nil"/>
              <w:bottom w:val="nil"/>
              <w:right w:val="nil"/>
            </w:tcBorders>
            <w:vAlign w:val="bottom"/>
          </w:tcPr>
          <w:p w14:paraId="2835D270" w14:textId="77777777" w:rsidR="006A380D" w:rsidRPr="00E71464" w:rsidRDefault="006A380D" w:rsidP="00EC6DCF">
            <w:pPr>
              <w:spacing w:after="0"/>
              <w:ind w:left="80" w:right="80"/>
              <w:jc w:val="center"/>
              <w:rPr>
                <w:i/>
                <w:noProof/>
              </w:rPr>
            </w:pPr>
          </w:p>
        </w:tc>
        <w:tc>
          <w:tcPr>
            <w:tcW w:w="620" w:type="pct"/>
            <w:tcBorders>
              <w:top w:val="nil"/>
              <w:left w:val="nil"/>
              <w:bottom w:val="nil"/>
              <w:right w:val="nil"/>
            </w:tcBorders>
            <w:vAlign w:val="bottom"/>
          </w:tcPr>
          <w:p w14:paraId="33D6E39C" w14:textId="77777777" w:rsidR="006A380D" w:rsidRPr="00E71464" w:rsidRDefault="006A380D" w:rsidP="00EC6DCF">
            <w:pPr>
              <w:spacing w:after="0"/>
              <w:ind w:left="80" w:right="80"/>
              <w:jc w:val="center"/>
              <w:rPr>
                <w:i/>
                <w:noProof/>
              </w:rPr>
            </w:pPr>
          </w:p>
        </w:tc>
        <w:tc>
          <w:tcPr>
            <w:tcW w:w="381" w:type="pct"/>
            <w:gridSpan w:val="2"/>
            <w:tcBorders>
              <w:top w:val="nil"/>
              <w:left w:val="nil"/>
              <w:bottom w:val="nil"/>
              <w:right w:val="nil"/>
            </w:tcBorders>
            <w:vAlign w:val="bottom"/>
          </w:tcPr>
          <w:p w14:paraId="55E6B81B" w14:textId="77777777" w:rsidR="006A380D" w:rsidRPr="00E71464" w:rsidRDefault="006A380D" w:rsidP="00EC6DCF">
            <w:pPr>
              <w:spacing w:after="0"/>
              <w:ind w:left="80" w:right="80"/>
              <w:jc w:val="center"/>
              <w:rPr>
                <w:i/>
                <w:noProof/>
              </w:rPr>
            </w:pPr>
          </w:p>
        </w:tc>
        <w:tc>
          <w:tcPr>
            <w:tcW w:w="859" w:type="pct"/>
            <w:gridSpan w:val="2"/>
            <w:tcBorders>
              <w:top w:val="nil"/>
              <w:left w:val="nil"/>
              <w:bottom w:val="nil"/>
              <w:right w:val="nil"/>
            </w:tcBorders>
            <w:vAlign w:val="bottom"/>
          </w:tcPr>
          <w:p w14:paraId="0F31B4E2" w14:textId="77777777" w:rsidR="006A380D" w:rsidRPr="00E71464" w:rsidRDefault="006A380D" w:rsidP="00EC6DCF">
            <w:pPr>
              <w:spacing w:after="0"/>
              <w:ind w:left="80" w:right="80"/>
              <w:jc w:val="center"/>
              <w:rPr>
                <w:i/>
                <w:noProof/>
              </w:rPr>
            </w:pPr>
          </w:p>
        </w:tc>
      </w:tr>
      <w:tr w:rsidR="006A380D" w14:paraId="4A9471AF" w14:textId="77777777" w:rsidTr="00EC6DCF">
        <w:trPr>
          <w:trHeight w:val="247"/>
        </w:trPr>
        <w:tc>
          <w:tcPr>
            <w:tcW w:w="1320" w:type="pct"/>
            <w:tcBorders>
              <w:top w:val="nil"/>
              <w:left w:val="nil"/>
              <w:bottom w:val="nil"/>
              <w:right w:val="nil"/>
            </w:tcBorders>
          </w:tcPr>
          <w:p w14:paraId="53919D00" w14:textId="77777777" w:rsidR="006A380D" w:rsidRDefault="006A380D" w:rsidP="00EC6DCF">
            <w:pPr>
              <w:pStyle w:val="tabell-noter"/>
              <w:spacing w:after="0"/>
              <w:rPr>
                <w:noProof/>
                <w:sz w:val="24"/>
                <w:szCs w:val="24"/>
              </w:rPr>
            </w:pPr>
            <w:r>
              <w:rPr>
                <w:noProof/>
                <w:sz w:val="24"/>
                <w:szCs w:val="24"/>
              </w:rPr>
              <w:t xml:space="preserve">Enslig </w:t>
            </w:r>
          </w:p>
        </w:tc>
        <w:tc>
          <w:tcPr>
            <w:tcW w:w="560" w:type="pct"/>
            <w:tcBorders>
              <w:top w:val="nil"/>
              <w:left w:val="nil"/>
              <w:bottom w:val="nil"/>
              <w:right w:val="nil"/>
            </w:tcBorders>
            <w:vAlign w:val="bottom"/>
          </w:tcPr>
          <w:p w14:paraId="1440F81F" w14:textId="77777777" w:rsidR="006A380D" w:rsidRDefault="006A380D" w:rsidP="00EC6DCF">
            <w:pPr>
              <w:spacing w:after="0"/>
              <w:ind w:left="80" w:right="80"/>
              <w:jc w:val="center"/>
              <w:rPr>
                <w:noProof/>
              </w:rPr>
            </w:pPr>
            <w:r>
              <w:rPr>
                <w:noProof/>
              </w:rPr>
              <w:t>3,0</w:t>
            </w:r>
          </w:p>
        </w:tc>
        <w:tc>
          <w:tcPr>
            <w:tcW w:w="657" w:type="pct"/>
            <w:tcBorders>
              <w:top w:val="nil"/>
              <w:left w:val="nil"/>
              <w:bottom w:val="nil"/>
              <w:right w:val="nil"/>
            </w:tcBorders>
            <w:vAlign w:val="bottom"/>
          </w:tcPr>
          <w:p w14:paraId="1B7B8A84" w14:textId="77777777" w:rsidR="006A380D" w:rsidRDefault="006A380D" w:rsidP="00EC6DCF">
            <w:pPr>
              <w:spacing w:after="0"/>
              <w:ind w:left="80" w:right="80"/>
              <w:jc w:val="center"/>
              <w:rPr>
                <w:noProof/>
              </w:rPr>
            </w:pPr>
            <w:r>
              <w:rPr>
                <w:noProof/>
              </w:rPr>
              <w:t>1,1</w:t>
            </w:r>
          </w:p>
        </w:tc>
        <w:tc>
          <w:tcPr>
            <w:tcW w:w="603" w:type="pct"/>
            <w:tcBorders>
              <w:top w:val="nil"/>
              <w:left w:val="nil"/>
              <w:bottom w:val="nil"/>
              <w:right w:val="nil"/>
            </w:tcBorders>
            <w:vAlign w:val="bottom"/>
          </w:tcPr>
          <w:p w14:paraId="6D7DA7D7" w14:textId="77777777" w:rsidR="006A380D" w:rsidRDefault="006A380D" w:rsidP="00EC6DCF">
            <w:pPr>
              <w:spacing w:after="0"/>
              <w:ind w:left="80" w:right="80"/>
              <w:jc w:val="center"/>
              <w:rPr>
                <w:noProof/>
              </w:rPr>
            </w:pPr>
            <w:r>
              <w:rPr>
                <w:noProof/>
              </w:rPr>
              <w:t>2,9</w:t>
            </w:r>
          </w:p>
        </w:tc>
        <w:tc>
          <w:tcPr>
            <w:tcW w:w="620" w:type="pct"/>
            <w:tcBorders>
              <w:top w:val="nil"/>
              <w:left w:val="nil"/>
              <w:bottom w:val="nil"/>
              <w:right w:val="nil"/>
            </w:tcBorders>
            <w:vAlign w:val="bottom"/>
          </w:tcPr>
          <w:p w14:paraId="089CE4A9" w14:textId="77777777" w:rsidR="006A380D" w:rsidRDefault="006A380D" w:rsidP="00EC6DCF">
            <w:pPr>
              <w:spacing w:after="0"/>
              <w:ind w:left="80" w:right="80"/>
              <w:jc w:val="center"/>
              <w:rPr>
                <w:noProof/>
              </w:rPr>
            </w:pPr>
            <w:r>
              <w:rPr>
                <w:noProof/>
              </w:rPr>
              <w:t>1,4</w:t>
            </w:r>
          </w:p>
        </w:tc>
        <w:tc>
          <w:tcPr>
            <w:tcW w:w="381" w:type="pct"/>
            <w:gridSpan w:val="2"/>
            <w:tcBorders>
              <w:top w:val="nil"/>
              <w:left w:val="nil"/>
              <w:bottom w:val="nil"/>
              <w:right w:val="nil"/>
            </w:tcBorders>
            <w:vAlign w:val="bottom"/>
          </w:tcPr>
          <w:p w14:paraId="05FCDD1F" w14:textId="77777777" w:rsidR="006A380D" w:rsidRDefault="006A380D" w:rsidP="00EC6DCF">
            <w:pPr>
              <w:spacing w:after="0"/>
              <w:ind w:left="80" w:right="80"/>
              <w:jc w:val="center"/>
              <w:rPr>
                <w:noProof/>
              </w:rPr>
            </w:pPr>
            <w:r>
              <w:rPr>
                <w:noProof/>
              </w:rPr>
              <w:t>1,7</w:t>
            </w:r>
          </w:p>
        </w:tc>
        <w:tc>
          <w:tcPr>
            <w:tcW w:w="859" w:type="pct"/>
            <w:gridSpan w:val="2"/>
            <w:tcBorders>
              <w:top w:val="nil"/>
              <w:left w:val="nil"/>
              <w:bottom w:val="nil"/>
              <w:right w:val="nil"/>
            </w:tcBorders>
            <w:vAlign w:val="bottom"/>
          </w:tcPr>
          <w:p w14:paraId="50BBAACE" w14:textId="77777777" w:rsidR="006A380D" w:rsidRDefault="006A380D" w:rsidP="00EC6DCF">
            <w:pPr>
              <w:spacing w:after="0"/>
              <w:ind w:left="80" w:right="80"/>
              <w:jc w:val="center"/>
              <w:rPr>
                <w:noProof/>
              </w:rPr>
            </w:pPr>
            <w:r>
              <w:rPr>
                <w:noProof/>
              </w:rPr>
              <w:t>0,0</w:t>
            </w:r>
          </w:p>
        </w:tc>
      </w:tr>
      <w:tr w:rsidR="006A380D" w14:paraId="4DD37BC3" w14:textId="77777777" w:rsidTr="00EC6DCF">
        <w:trPr>
          <w:trHeight w:val="247"/>
        </w:trPr>
        <w:tc>
          <w:tcPr>
            <w:tcW w:w="1320" w:type="pct"/>
            <w:tcBorders>
              <w:top w:val="nil"/>
              <w:left w:val="nil"/>
              <w:bottom w:val="nil"/>
              <w:right w:val="nil"/>
            </w:tcBorders>
          </w:tcPr>
          <w:p w14:paraId="3BDA200A" w14:textId="77777777" w:rsidR="006A380D" w:rsidRDefault="006A380D" w:rsidP="00A14364">
            <w:pPr>
              <w:pStyle w:val="tabell-noter"/>
              <w:rPr>
                <w:noProof/>
                <w:sz w:val="24"/>
                <w:szCs w:val="24"/>
              </w:rPr>
            </w:pPr>
            <w:r>
              <w:rPr>
                <w:noProof/>
                <w:sz w:val="24"/>
                <w:szCs w:val="24"/>
              </w:rPr>
              <w:t>Ektepar hvor den ene har 350 000 kroner og den andre 200 000 kroner</w:t>
            </w:r>
          </w:p>
        </w:tc>
        <w:tc>
          <w:tcPr>
            <w:tcW w:w="560" w:type="pct"/>
            <w:tcBorders>
              <w:top w:val="nil"/>
              <w:left w:val="nil"/>
              <w:bottom w:val="nil"/>
              <w:right w:val="nil"/>
            </w:tcBorders>
            <w:vAlign w:val="bottom"/>
          </w:tcPr>
          <w:p w14:paraId="3A0BF4D4" w14:textId="77777777" w:rsidR="006A380D" w:rsidRDefault="006A380D" w:rsidP="00A14364">
            <w:pPr>
              <w:ind w:left="80" w:right="80"/>
              <w:jc w:val="center"/>
              <w:rPr>
                <w:noProof/>
              </w:rPr>
            </w:pPr>
            <w:r>
              <w:rPr>
                <w:noProof/>
              </w:rPr>
              <w:t>3,0</w:t>
            </w:r>
          </w:p>
        </w:tc>
        <w:tc>
          <w:tcPr>
            <w:tcW w:w="657" w:type="pct"/>
            <w:tcBorders>
              <w:top w:val="nil"/>
              <w:left w:val="nil"/>
              <w:bottom w:val="nil"/>
              <w:right w:val="nil"/>
            </w:tcBorders>
            <w:vAlign w:val="bottom"/>
          </w:tcPr>
          <w:p w14:paraId="77BC30A5" w14:textId="77777777" w:rsidR="006A380D" w:rsidRDefault="006A380D" w:rsidP="00A14364">
            <w:pPr>
              <w:ind w:left="80" w:right="80"/>
              <w:jc w:val="center"/>
              <w:rPr>
                <w:noProof/>
              </w:rPr>
            </w:pPr>
            <w:r>
              <w:rPr>
                <w:noProof/>
              </w:rPr>
              <w:t>1,1</w:t>
            </w:r>
          </w:p>
        </w:tc>
        <w:tc>
          <w:tcPr>
            <w:tcW w:w="603" w:type="pct"/>
            <w:tcBorders>
              <w:top w:val="nil"/>
              <w:left w:val="nil"/>
              <w:bottom w:val="nil"/>
              <w:right w:val="nil"/>
            </w:tcBorders>
            <w:vAlign w:val="bottom"/>
          </w:tcPr>
          <w:p w14:paraId="09A31CA9" w14:textId="77777777" w:rsidR="006A380D" w:rsidRDefault="006A380D" w:rsidP="00A14364">
            <w:pPr>
              <w:ind w:left="80" w:right="80"/>
              <w:jc w:val="center"/>
              <w:rPr>
                <w:noProof/>
              </w:rPr>
            </w:pPr>
            <w:r>
              <w:rPr>
                <w:noProof/>
              </w:rPr>
              <w:t>2,9</w:t>
            </w:r>
          </w:p>
        </w:tc>
        <w:tc>
          <w:tcPr>
            <w:tcW w:w="620" w:type="pct"/>
            <w:tcBorders>
              <w:top w:val="nil"/>
              <w:left w:val="nil"/>
              <w:bottom w:val="nil"/>
              <w:right w:val="nil"/>
            </w:tcBorders>
            <w:vAlign w:val="bottom"/>
          </w:tcPr>
          <w:p w14:paraId="518F3677" w14:textId="77777777" w:rsidR="006A380D" w:rsidRDefault="006A380D" w:rsidP="00A14364">
            <w:pPr>
              <w:ind w:left="80" w:right="80"/>
              <w:jc w:val="center"/>
              <w:rPr>
                <w:noProof/>
              </w:rPr>
            </w:pPr>
            <w:r>
              <w:rPr>
                <w:noProof/>
              </w:rPr>
              <w:t>0,8</w:t>
            </w:r>
          </w:p>
        </w:tc>
        <w:tc>
          <w:tcPr>
            <w:tcW w:w="381" w:type="pct"/>
            <w:gridSpan w:val="2"/>
            <w:tcBorders>
              <w:top w:val="nil"/>
              <w:left w:val="nil"/>
              <w:bottom w:val="nil"/>
              <w:right w:val="nil"/>
            </w:tcBorders>
            <w:vAlign w:val="bottom"/>
          </w:tcPr>
          <w:p w14:paraId="7E296079" w14:textId="77777777" w:rsidR="006A380D" w:rsidRDefault="006A380D" w:rsidP="00A14364">
            <w:pPr>
              <w:ind w:left="80" w:right="80"/>
              <w:jc w:val="center"/>
              <w:rPr>
                <w:noProof/>
              </w:rPr>
            </w:pPr>
            <w:r>
              <w:rPr>
                <w:noProof/>
              </w:rPr>
              <w:t>1,7</w:t>
            </w:r>
          </w:p>
        </w:tc>
        <w:tc>
          <w:tcPr>
            <w:tcW w:w="859" w:type="pct"/>
            <w:gridSpan w:val="2"/>
            <w:tcBorders>
              <w:top w:val="nil"/>
              <w:left w:val="nil"/>
              <w:bottom w:val="nil"/>
              <w:right w:val="nil"/>
            </w:tcBorders>
            <w:vAlign w:val="bottom"/>
          </w:tcPr>
          <w:p w14:paraId="1466FBB8" w14:textId="77777777" w:rsidR="006A380D" w:rsidRDefault="006A380D" w:rsidP="00A14364">
            <w:pPr>
              <w:ind w:left="80" w:right="80"/>
              <w:jc w:val="center"/>
              <w:rPr>
                <w:noProof/>
              </w:rPr>
            </w:pPr>
            <w:r>
              <w:rPr>
                <w:noProof/>
              </w:rPr>
              <w:t>0,2</w:t>
            </w:r>
          </w:p>
        </w:tc>
      </w:tr>
      <w:tr w:rsidR="006A380D" w:rsidRPr="00E71464" w14:paraId="31BBEF9C" w14:textId="77777777" w:rsidTr="00EC6DCF">
        <w:trPr>
          <w:trHeight w:val="247"/>
        </w:trPr>
        <w:tc>
          <w:tcPr>
            <w:tcW w:w="1320" w:type="pct"/>
            <w:tcBorders>
              <w:top w:val="nil"/>
              <w:left w:val="nil"/>
              <w:bottom w:val="nil"/>
              <w:right w:val="nil"/>
            </w:tcBorders>
          </w:tcPr>
          <w:p w14:paraId="453FD157" w14:textId="77777777" w:rsidR="006A380D" w:rsidRPr="00E71464" w:rsidRDefault="006A380D" w:rsidP="00EC6DCF">
            <w:pPr>
              <w:pStyle w:val="tabell-noter"/>
              <w:spacing w:after="0"/>
              <w:rPr>
                <w:i/>
                <w:noProof/>
                <w:sz w:val="24"/>
                <w:szCs w:val="24"/>
              </w:rPr>
            </w:pPr>
            <w:r w:rsidRPr="00E71464">
              <w:rPr>
                <w:i/>
                <w:noProof/>
                <w:sz w:val="24"/>
                <w:szCs w:val="24"/>
              </w:rPr>
              <w:t>750 000 kroner</w:t>
            </w:r>
          </w:p>
        </w:tc>
        <w:tc>
          <w:tcPr>
            <w:tcW w:w="560" w:type="pct"/>
            <w:tcBorders>
              <w:top w:val="nil"/>
              <w:left w:val="nil"/>
              <w:bottom w:val="nil"/>
              <w:right w:val="nil"/>
            </w:tcBorders>
            <w:vAlign w:val="bottom"/>
          </w:tcPr>
          <w:p w14:paraId="3C4EC6DB" w14:textId="77777777" w:rsidR="006A380D" w:rsidRPr="00E71464" w:rsidRDefault="006A380D" w:rsidP="00EC6DCF">
            <w:pPr>
              <w:spacing w:after="0"/>
              <w:ind w:left="80" w:right="80"/>
              <w:jc w:val="center"/>
              <w:rPr>
                <w:i/>
                <w:noProof/>
              </w:rPr>
            </w:pPr>
          </w:p>
        </w:tc>
        <w:tc>
          <w:tcPr>
            <w:tcW w:w="657" w:type="pct"/>
            <w:tcBorders>
              <w:top w:val="nil"/>
              <w:left w:val="nil"/>
              <w:bottom w:val="nil"/>
              <w:right w:val="nil"/>
            </w:tcBorders>
            <w:vAlign w:val="bottom"/>
          </w:tcPr>
          <w:p w14:paraId="352F87A4" w14:textId="77777777" w:rsidR="006A380D" w:rsidRPr="00E71464" w:rsidRDefault="006A380D" w:rsidP="00EC6DCF">
            <w:pPr>
              <w:spacing w:after="0"/>
              <w:ind w:left="80" w:right="80"/>
              <w:jc w:val="center"/>
              <w:rPr>
                <w:i/>
                <w:noProof/>
              </w:rPr>
            </w:pPr>
          </w:p>
        </w:tc>
        <w:tc>
          <w:tcPr>
            <w:tcW w:w="603" w:type="pct"/>
            <w:tcBorders>
              <w:top w:val="nil"/>
              <w:left w:val="nil"/>
              <w:bottom w:val="nil"/>
              <w:right w:val="nil"/>
            </w:tcBorders>
            <w:vAlign w:val="bottom"/>
          </w:tcPr>
          <w:p w14:paraId="7B736E60" w14:textId="77777777" w:rsidR="006A380D" w:rsidRPr="00E71464" w:rsidRDefault="006A380D" w:rsidP="00EC6DCF">
            <w:pPr>
              <w:spacing w:after="0"/>
              <w:ind w:left="80" w:right="80"/>
              <w:jc w:val="center"/>
              <w:rPr>
                <w:i/>
                <w:noProof/>
              </w:rPr>
            </w:pPr>
          </w:p>
        </w:tc>
        <w:tc>
          <w:tcPr>
            <w:tcW w:w="620" w:type="pct"/>
            <w:tcBorders>
              <w:top w:val="nil"/>
              <w:left w:val="nil"/>
              <w:bottom w:val="nil"/>
              <w:right w:val="nil"/>
            </w:tcBorders>
            <w:vAlign w:val="bottom"/>
          </w:tcPr>
          <w:p w14:paraId="165E43E0" w14:textId="77777777" w:rsidR="006A380D" w:rsidRPr="00E71464" w:rsidRDefault="006A380D" w:rsidP="00EC6DCF">
            <w:pPr>
              <w:spacing w:after="0"/>
              <w:ind w:left="80" w:right="80"/>
              <w:jc w:val="center"/>
              <w:rPr>
                <w:i/>
                <w:noProof/>
              </w:rPr>
            </w:pPr>
          </w:p>
        </w:tc>
        <w:tc>
          <w:tcPr>
            <w:tcW w:w="381" w:type="pct"/>
            <w:gridSpan w:val="2"/>
            <w:tcBorders>
              <w:top w:val="nil"/>
              <w:left w:val="nil"/>
              <w:bottom w:val="nil"/>
              <w:right w:val="nil"/>
            </w:tcBorders>
            <w:vAlign w:val="bottom"/>
          </w:tcPr>
          <w:p w14:paraId="395EAA8A" w14:textId="77777777" w:rsidR="006A380D" w:rsidRPr="00E71464" w:rsidRDefault="006A380D" w:rsidP="00EC6DCF">
            <w:pPr>
              <w:spacing w:after="0"/>
              <w:ind w:left="80" w:right="80"/>
              <w:jc w:val="center"/>
              <w:rPr>
                <w:i/>
                <w:noProof/>
              </w:rPr>
            </w:pPr>
          </w:p>
        </w:tc>
        <w:tc>
          <w:tcPr>
            <w:tcW w:w="859" w:type="pct"/>
            <w:gridSpan w:val="2"/>
            <w:tcBorders>
              <w:top w:val="nil"/>
              <w:left w:val="nil"/>
              <w:bottom w:val="nil"/>
              <w:right w:val="nil"/>
            </w:tcBorders>
            <w:vAlign w:val="bottom"/>
          </w:tcPr>
          <w:p w14:paraId="7FC13284" w14:textId="77777777" w:rsidR="006A380D" w:rsidRPr="00E71464" w:rsidRDefault="006A380D" w:rsidP="00EC6DCF">
            <w:pPr>
              <w:spacing w:after="0"/>
              <w:ind w:left="80" w:right="80"/>
              <w:jc w:val="center"/>
              <w:rPr>
                <w:i/>
                <w:noProof/>
              </w:rPr>
            </w:pPr>
          </w:p>
        </w:tc>
      </w:tr>
      <w:tr w:rsidR="006A380D" w14:paraId="66D1CEBF" w14:textId="77777777" w:rsidTr="00EC6DCF">
        <w:trPr>
          <w:trHeight w:val="247"/>
        </w:trPr>
        <w:tc>
          <w:tcPr>
            <w:tcW w:w="1320" w:type="pct"/>
            <w:tcBorders>
              <w:top w:val="nil"/>
              <w:left w:val="nil"/>
              <w:bottom w:val="single" w:sz="8" w:space="0" w:color="auto"/>
              <w:right w:val="nil"/>
            </w:tcBorders>
          </w:tcPr>
          <w:p w14:paraId="11E3FEAE" w14:textId="77777777" w:rsidR="006A380D" w:rsidRDefault="006A380D" w:rsidP="003C37BD">
            <w:pPr>
              <w:pStyle w:val="tabell-noter"/>
              <w:spacing w:after="0"/>
              <w:rPr>
                <w:noProof/>
                <w:sz w:val="24"/>
                <w:szCs w:val="24"/>
              </w:rPr>
            </w:pPr>
            <w:r>
              <w:rPr>
                <w:noProof/>
                <w:sz w:val="24"/>
                <w:szCs w:val="24"/>
              </w:rPr>
              <w:t>Ektepar hvor den ene har 500 000 kroner og den andre 250 000 kroner</w:t>
            </w:r>
          </w:p>
        </w:tc>
        <w:tc>
          <w:tcPr>
            <w:tcW w:w="560" w:type="pct"/>
            <w:tcBorders>
              <w:top w:val="nil"/>
              <w:left w:val="nil"/>
              <w:bottom w:val="single" w:sz="8" w:space="0" w:color="auto"/>
              <w:right w:val="nil"/>
            </w:tcBorders>
            <w:vAlign w:val="bottom"/>
          </w:tcPr>
          <w:p w14:paraId="72AE05DE" w14:textId="77777777" w:rsidR="006A380D" w:rsidRDefault="006A380D" w:rsidP="003C37BD">
            <w:pPr>
              <w:spacing w:after="0"/>
              <w:ind w:left="80" w:right="80"/>
              <w:jc w:val="center"/>
              <w:rPr>
                <w:noProof/>
              </w:rPr>
            </w:pPr>
            <w:r>
              <w:rPr>
                <w:noProof/>
              </w:rPr>
              <w:t>3,0</w:t>
            </w:r>
          </w:p>
        </w:tc>
        <w:tc>
          <w:tcPr>
            <w:tcW w:w="657" w:type="pct"/>
            <w:tcBorders>
              <w:top w:val="nil"/>
              <w:left w:val="nil"/>
              <w:bottom w:val="single" w:sz="8" w:space="0" w:color="auto"/>
              <w:right w:val="nil"/>
            </w:tcBorders>
            <w:vAlign w:val="bottom"/>
          </w:tcPr>
          <w:p w14:paraId="1923F961" w14:textId="77777777" w:rsidR="006A380D" w:rsidRDefault="006A380D" w:rsidP="003C37BD">
            <w:pPr>
              <w:spacing w:after="0"/>
              <w:ind w:left="80" w:right="80"/>
              <w:jc w:val="center"/>
              <w:rPr>
                <w:noProof/>
              </w:rPr>
            </w:pPr>
            <w:r>
              <w:rPr>
                <w:noProof/>
              </w:rPr>
              <w:t>1,0</w:t>
            </w:r>
          </w:p>
        </w:tc>
        <w:tc>
          <w:tcPr>
            <w:tcW w:w="603" w:type="pct"/>
            <w:tcBorders>
              <w:top w:val="nil"/>
              <w:left w:val="nil"/>
              <w:bottom w:val="single" w:sz="8" w:space="0" w:color="auto"/>
              <w:right w:val="nil"/>
            </w:tcBorders>
            <w:vAlign w:val="bottom"/>
          </w:tcPr>
          <w:p w14:paraId="1422CF17" w14:textId="77777777" w:rsidR="006A380D" w:rsidRDefault="006A380D" w:rsidP="003C37BD">
            <w:pPr>
              <w:spacing w:after="0"/>
              <w:ind w:left="80" w:right="80"/>
              <w:jc w:val="center"/>
              <w:rPr>
                <w:noProof/>
              </w:rPr>
            </w:pPr>
            <w:r>
              <w:rPr>
                <w:noProof/>
              </w:rPr>
              <w:t>2,9</w:t>
            </w:r>
          </w:p>
        </w:tc>
        <w:tc>
          <w:tcPr>
            <w:tcW w:w="620" w:type="pct"/>
            <w:tcBorders>
              <w:top w:val="nil"/>
              <w:left w:val="nil"/>
              <w:bottom w:val="single" w:sz="8" w:space="0" w:color="auto"/>
              <w:right w:val="nil"/>
            </w:tcBorders>
            <w:vAlign w:val="bottom"/>
          </w:tcPr>
          <w:p w14:paraId="166F5876" w14:textId="77777777" w:rsidR="006A380D" w:rsidRDefault="006A380D" w:rsidP="003C37BD">
            <w:pPr>
              <w:spacing w:after="0"/>
              <w:ind w:left="80" w:right="80"/>
              <w:jc w:val="center"/>
              <w:rPr>
                <w:noProof/>
              </w:rPr>
            </w:pPr>
            <w:r>
              <w:rPr>
                <w:noProof/>
              </w:rPr>
              <w:t>1,0</w:t>
            </w:r>
          </w:p>
        </w:tc>
        <w:tc>
          <w:tcPr>
            <w:tcW w:w="381" w:type="pct"/>
            <w:gridSpan w:val="2"/>
            <w:tcBorders>
              <w:top w:val="nil"/>
              <w:left w:val="nil"/>
              <w:bottom w:val="single" w:sz="8" w:space="0" w:color="auto"/>
              <w:right w:val="nil"/>
            </w:tcBorders>
            <w:vAlign w:val="bottom"/>
          </w:tcPr>
          <w:p w14:paraId="48A155B2" w14:textId="77777777" w:rsidR="006A380D" w:rsidRDefault="006A380D" w:rsidP="003C37BD">
            <w:pPr>
              <w:spacing w:after="0"/>
              <w:ind w:left="80" w:right="80"/>
              <w:jc w:val="center"/>
              <w:rPr>
                <w:noProof/>
              </w:rPr>
            </w:pPr>
            <w:r>
              <w:rPr>
                <w:noProof/>
              </w:rPr>
              <w:t>1,7</w:t>
            </w:r>
          </w:p>
        </w:tc>
        <w:tc>
          <w:tcPr>
            <w:tcW w:w="859" w:type="pct"/>
            <w:gridSpan w:val="2"/>
            <w:tcBorders>
              <w:top w:val="nil"/>
              <w:left w:val="nil"/>
              <w:bottom w:val="single" w:sz="8" w:space="0" w:color="auto"/>
              <w:right w:val="nil"/>
            </w:tcBorders>
            <w:vAlign w:val="bottom"/>
          </w:tcPr>
          <w:p w14:paraId="70617BA8" w14:textId="77777777" w:rsidR="006A380D" w:rsidRDefault="006A380D" w:rsidP="003C37BD">
            <w:pPr>
              <w:spacing w:after="0"/>
              <w:ind w:left="80" w:right="80"/>
              <w:jc w:val="center"/>
              <w:rPr>
                <w:noProof/>
              </w:rPr>
            </w:pPr>
            <w:r>
              <w:rPr>
                <w:noProof/>
              </w:rPr>
              <w:t>0,1</w:t>
            </w:r>
          </w:p>
        </w:tc>
      </w:tr>
    </w:tbl>
    <w:p w14:paraId="19F552D3" w14:textId="77777777" w:rsidR="006A380D" w:rsidRDefault="006A380D" w:rsidP="006A380D">
      <w:pPr>
        <w:suppressAutoHyphens/>
        <w:spacing w:line="1" w:lineRule="exact"/>
        <w:rPr>
          <w:noProof/>
        </w:rPr>
      </w:pPr>
    </w:p>
    <w:p w14:paraId="044CC4BE" w14:textId="77777777" w:rsidR="00140733" w:rsidRDefault="006A380D" w:rsidP="008643D6">
      <w:pPr>
        <w:pStyle w:val="tabell-noter"/>
        <w:numPr>
          <w:ilvl w:val="0"/>
          <w:numId w:val="73"/>
        </w:numPr>
        <w:tabs>
          <w:tab w:val="clear" w:pos="284"/>
        </w:tabs>
        <w:spacing w:after="0"/>
        <w:ind w:left="142" w:hanging="142"/>
        <w:contextualSpacing w:val="0"/>
        <w:rPr>
          <w:noProof/>
        </w:rPr>
      </w:pPr>
      <w:r>
        <w:rPr>
          <w:noProof/>
        </w:rPr>
        <w:t>Den høye nominelle veksten før skatt skyldes uførereformen fra 2015. Innføring av lønnsbeskatning av ny uføretrygd ble kompensert med en økning i brutto uføreytelse.</w:t>
      </w:r>
    </w:p>
    <w:p w14:paraId="3E676E2A" w14:textId="10245A0F" w:rsidR="006A380D" w:rsidRDefault="006A380D" w:rsidP="00140733">
      <w:pPr>
        <w:pStyle w:val="tabell-noter"/>
        <w:tabs>
          <w:tab w:val="clear" w:pos="284"/>
        </w:tabs>
        <w:spacing w:before="0" w:after="240"/>
        <w:contextualSpacing w:val="0"/>
        <w:rPr>
          <w:noProof/>
        </w:rPr>
      </w:pPr>
      <w:r>
        <w:rPr>
          <w:noProof/>
        </w:rPr>
        <w:t>Kilder: Arbeids- og velferdsdirektoratet og Beregningsutvalget.</w:t>
      </w:r>
    </w:p>
    <w:p w14:paraId="36E594A2" w14:textId="7D9032F6" w:rsidR="006A380D" w:rsidRDefault="006A380D" w:rsidP="006A380D">
      <w:pPr>
        <w:pStyle w:val="Def"/>
        <w:rPr>
          <w:noProof/>
        </w:rPr>
      </w:pPr>
      <w:r>
        <w:rPr>
          <w:noProof/>
        </w:rPr>
        <w:t xml:space="preserve">Utviklingen i inntektene til alderspensjonistene som gruppe bestemmes også i vesentlig grad av endringer i sammensetningen av gruppen. Stadig flere alderspensjonister har opptjent rettigheter til tilleggspensjon. Tall fra NAV viser at andelen med tilleggspensjon har økt fra 91,6 </w:t>
      </w:r>
      <w:r w:rsidR="00942E01">
        <w:t>prosent</w:t>
      </w:r>
      <w:r>
        <w:rPr>
          <w:noProof/>
        </w:rPr>
        <w:t xml:space="preserve"> ved utgangen av 2006 til 96,3 </w:t>
      </w:r>
      <w:r w:rsidR="00942E01">
        <w:t>prosent</w:t>
      </w:r>
      <w:r>
        <w:rPr>
          <w:noProof/>
        </w:rPr>
        <w:t xml:space="preserve"> ved utgangen av 2015. Det er særlig blant kvinnene at andelen med tilleggspensjon øker. I tillegg er det etter pensjonsreformen blitt mer vanlig med yrkesinntekt blant mottakere av alderspensjon. Disse effektene har bidratt til at alderspensjonister som gruppe har hatt en sterk inntektsvekst. Tall fra SSBs inntekts- og formuesstatistikk viser at den reelle medianinntekten etter skatt økte mer for mottakere av alderspensjon enn for noen annen gruppe i perioden 1996-2013. </w:t>
      </w:r>
    </w:p>
    <w:p w14:paraId="7D793C86" w14:textId="77777777" w:rsidR="006A380D" w:rsidRDefault="006A380D" w:rsidP="006A380D">
      <w:pPr>
        <w:pStyle w:val="Def"/>
        <w:rPr>
          <w:noProof/>
        </w:rPr>
      </w:pPr>
      <w:r w:rsidRPr="006240E3">
        <w:rPr>
          <w:noProof/>
        </w:rPr>
        <w:t xml:space="preserve">Tabell </w:t>
      </w:r>
      <w:r>
        <w:rPr>
          <w:noProof/>
        </w:rPr>
        <w:t>6.5</w:t>
      </w:r>
      <w:r w:rsidRPr="006240E3">
        <w:rPr>
          <w:noProof/>
        </w:rPr>
        <w:t xml:space="preserve"> viser den reelle veksten i overføringer fra </w:t>
      </w:r>
      <w:r>
        <w:rPr>
          <w:noProof/>
        </w:rPr>
        <w:t>2003</w:t>
      </w:r>
      <w:r w:rsidRPr="006240E3">
        <w:rPr>
          <w:noProof/>
        </w:rPr>
        <w:t xml:space="preserve"> til 20</w:t>
      </w:r>
      <w:r>
        <w:rPr>
          <w:noProof/>
        </w:rPr>
        <w:t>13</w:t>
      </w:r>
      <w:r w:rsidRPr="006240E3">
        <w:rPr>
          <w:noProof/>
        </w:rPr>
        <w:t xml:space="preserve"> for pensjonistene som samlet gruppe. Overføringer utgjør </w:t>
      </w:r>
      <w:r>
        <w:rPr>
          <w:noProof/>
        </w:rPr>
        <w:t>87,6</w:t>
      </w:r>
      <w:r w:rsidRPr="006240E3">
        <w:rPr>
          <w:noProof/>
        </w:rPr>
        <w:t xml:space="preserve"> prosent av pensjonistenes samlede inntekt i 20</w:t>
      </w:r>
      <w:r>
        <w:rPr>
          <w:noProof/>
        </w:rPr>
        <w:t>13</w:t>
      </w:r>
      <w:r w:rsidRPr="006240E3">
        <w:rPr>
          <w:noProof/>
        </w:rPr>
        <w:t xml:space="preserve">. </w:t>
      </w:r>
      <w:r w:rsidRPr="00F91086">
        <w:rPr>
          <w:noProof/>
        </w:rPr>
        <w:t xml:space="preserve">Overføringenes andel av samlet inntekt har ikke endret seg vesentlig siden </w:t>
      </w:r>
      <w:r>
        <w:rPr>
          <w:noProof/>
        </w:rPr>
        <w:t>2003</w:t>
      </w:r>
      <w:r w:rsidRPr="00F91086">
        <w:rPr>
          <w:noProof/>
        </w:rPr>
        <w:t>.</w:t>
      </w:r>
      <w:r w:rsidRPr="006240E3">
        <w:rPr>
          <w:noProof/>
        </w:rPr>
        <w:t xml:space="preserve"> </w:t>
      </w:r>
    </w:p>
    <w:p w14:paraId="2725E12E" w14:textId="77777777" w:rsidR="006A380D" w:rsidRPr="00D87FFC" w:rsidRDefault="006A380D" w:rsidP="008643D6">
      <w:pPr>
        <w:pStyle w:val="tabell-tittel"/>
        <w:numPr>
          <w:ilvl w:val="6"/>
          <w:numId w:val="30"/>
        </w:numPr>
        <w:spacing w:line="240" w:lineRule="auto"/>
        <w:rPr>
          <w:snapToGrid w:val="0"/>
        </w:rPr>
      </w:pPr>
      <w:r w:rsidRPr="00B11C93">
        <w:t>Utvikling i overføringer</w:t>
      </w:r>
      <w:r w:rsidRPr="00D87FFC">
        <w:rPr>
          <w:sz w:val="18"/>
          <w:vertAlign w:val="superscript"/>
        </w:rPr>
        <w:t>1</w:t>
      </w:r>
      <w:r w:rsidRPr="00B11C93">
        <w:t xml:space="preserve"> for </w:t>
      </w:r>
      <w:r>
        <w:t xml:space="preserve">trygdede og </w:t>
      </w:r>
      <w:r w:rsidRPr="00B11C93">
        <w:t>pensjonister</w:t>
      </w:r>
      <w:r w:rsidRPr="008418E8">
        <w:rPr>
          <w:vertAlign w:val="superscript"/>
        </w:rPr>
        <w:t>2</w:t>
      </w:r>
      <w:r w:rsidRPr="00B11C93">
        <w:t xml:space="preserve"> fra </w:t>
      </w:r>
      <w:r>
        <w:t>2003</w:t>
      </w:r>
      <w:r w:rsidRPr="00B11C93">
        <w:t xml:space="preserve"> til 20</w:t>
      </w:r>
      <w:r>
        <w:t>13</w:t>
      </w:r>
      <w:r w:rsidRPr="00B11C93">
        <w:t xml:space="preserve"> målt som andel av samlet inntekt før skatt</w:t>
      </w:r>
      <w:r>
        <w:t>,</w:t>
      </w:r>
      <w:r w:rsidRPr="00B11C93">
        <w:t xml:space="preserve"> i prosentvise årlige vekstrater</w:t>
      </w:r>
      <w:r>
        <w:t xml:space="preserve"> og nivå (overføringene justert til 2013-kroner).</w:t>
      </w:r>
      <w:r w:rsidRPr="00B11C93">
        <w:t xml:space="preserve"> Prosent</w:t>
      </w:r>
    </w:p>
    <w:tbl>
      <w:tblPr>
        <w:tblW w:w="4425" w:type="pct"/>
        <w:tblCellMar>
          <w:left w:w="70" w:type="dxa"/>
          <w:right w:w="70" w:type="dxa"/>
        </w:tblCellMar>
        <w:tblLook w:val="0000" w:firstRow="0" w:lastRow="0" w:firstColumn="0" w:lastColumn="0" w:noHBand="0" w:noVBand="0"/>
      </w:tblPr>
      <w:tblGrid>
        <w:gridCol w:w="1478"/>
        <w:gridCol w:w="2280"/>
        <w:gridCol w:w="2128"/>
        <w:gridCol w:w="2268"/>
      </w:tblGrid>
      <w:tr w:rsidR="006A380D" w:rsidRPr="00B11C93" w14:paraId="22B8964A" w14:textId="77777777" w:rsidTr="00A14364">
        <w:trPr>
          <w:cantSplit/>
          <w:trHeight w:val="243"/>
          <w:tblHeader/>
        </w:trPr>
        <w:tc>
          <w:tcPr>
            <w:tcW w:w="906" w:type="pct"/>
            <w:tcBorders>
              <w:top w:val="single" w:sz="4" w:space="0" w:color="auto"/>
              <w:bottom w:val="single" w:sz="4" w:space="0" w:color="auto"/>
            </w:tcBorders>
            <w:shd w:val="clear" w:color="auto" w:fill="auto"/>
            <w:vAlign w:val="bottom"/>
          </w:tcPr>
          <w:p w14:paraId="733C6AD7" w14:textId="77777777" w:rsidR="006A380D" w:rsidRPr="00B11C93" w:rsidRDefault="006A380D" w:rsidP="00A14364">
            <w:pPr>
              <w:spacing w:after="0"/>
              <w:jc w:val="center"/>
            </w:pPr>
          </w:p>
        </w:tc>
        <w:tc>
          <w:tcPr>
            <w:tcW w:w="1398" w:type="pct"/>
            <w:tcBorders>
              <w:top w:val="single" w:sz="4" w:space="0" w:color="auto"/>
              <w:bottom w:val="single" w:sz="4" w:space="0" w:color="auto"/>
            </w:tcBorders>
            <w:shd w:val="clear" w:color="auto" w:fill="auto"/>
            <w:vAlign w:val="bottom"/>
          </w:tcPr>
          <w:p w14:paraId="6FDB9EBB" w14:textId="77777777" w:rsidR="006A380D" w:rsidRPr="00B11C93" w:rsidRDefault="006A380D" w:rsidP="00A14364">
            <w:pPr>
              <w:spacing w:after="0"/>
              <w:jc w:val="center"/>
            </w:pPr>
            <w:r w:rsidRPr="00B11C93">
              <w:t>Andel av samlet inntekt før skatt</w:t>
            </w:r>
          </w:p>
        </w:tc>
        <w:tc>
          <w:tcPr>
            <w:tcW w:w="1305" w:type="pct"/>
            <w:tcBorders>
              <w:top w:val="single" w:sz="4" w:space="0" w:color="auto"/>
              <w:bottom w:val="single" w:sz="4" w:space="0" w:color="auto"/>
            </w:tcBorders>
            <w:shd w:val="clear" w:color="auto" w:fill="auto"/>
            <w:vAlign w:val="bottom"/>
          </w:tcPr>
          <w:p w14:paraId="57656A09" w14:textId="77777777" w:rsidR="006A380D" w:rsidRPr="00B11C93" w:rsidRDefault="006A380D" w:rsidP="00A14364">
            <w:pPr>
              <w:spacing w:after="0"/>
              <w:jc w:val="center"/>
            </w:pPr>
            <w:r w:rsidRPr="00B11C93">
              <w:t xml:space="preserve">Årlig </w:t>
            </w:r>
            <w:r>
              <w:t>real</w:t>
            </w:r>
            <w:r w:rsidRPr="00B11C93">
              <w:t>vekst i overføringer</w:t>
            </w:r>
          </w:p>
        </w:tc>
        <w:tc>
          <w:tcPr>
            <w:tcW w:w="1391" w:type="pct"/>
            <w:tcBorders>
              <w:top w:val="single" w:sz="4" w:space="0" w:color="auto"/>
              <w:bottom w:val="single" w:sz="4" w:space="0" w:color="auto"/>
            </w:tcBorders>
            <w:vAlign w:val="bottom"/>
          </w:tcPr>
          <w:p w14:paraId="68A1D015" w14:textId="77777777" w:rsidR="006A380D" w:rsidRPr="00B11C93" w:rsidRDefault="006A380D" w:rsidP="00A14364">
            <w:pPr>
              <w:spacing w:after="0"/>
              <w:jc w:val="center"/>
            </w:pPr>
            <w:r>
              <w:t>O</w:t>
            </w:r>
            <w:r w:rsidRPr="00B11C93">
              <w:t xml:space="preserve">verføringer </w:t>
            </w:r>
            <w:r>
              <w:t>i</w:t>
            </w:r>
            <w:r w:rsidRPr="00B11C93">
              <w:t xml:space="preserve"> </w:t>
            </w:r>
            <w:r>
              <w:t>2013-kroner</w:t>
            </w:r>
          </w:p>
        </w:tc>
      </w:tr>
      <w:tr w:rsidR="006A380D" w:rsidRPr="00B11C93" w14:paraId="43818F75" w14:textId="77777777" w:rsidTr="00A14364">
        <w:trPr>
          <w:cantSplit/>
        </w:trPr>
        <w:tc>
          <w:tcPr>
            <w:tcW w:w="906" w:type="pct"/>
            <w:tcBorders>
              <w:top w:val="single" w:sz="4" w:space="0" w:color="auto"/>
            </w:tcBorders>
            <w:vAlign w:val="bottom"/>
          </w:tcPr>
          <w:p w14:paraId="1E6A5480" w14:textId="77777777" w:rsidR="006A380D" w:rsidRPr="00B11C93" w:rsidRDefault="006A380D" w:rsidP="00A14364">
            <w:pPr>
              <w:spacing w:after="0"/>
              <w:jc w:val="center"/>
            </w:pPr>
            <w:r w:rsidRPr="00B11C93">
              <w:t>2003</w:t>
            </w:r>
          </w:p>
        </w:tc>
        <w:tc>
          <w:tcPr>
            <w:tcW w:w="1398" w:type="pct"/>
            <w:tcBorders>
              <w:top w:val="single" w:sz="4" w:space="0" w:color="auto"/>
            </w:tcBorders>
            <w:vAlign w:val="bottom"/>
          </w:tcPr>
          <w:p w14:paraId="70386E24" w14:textId="77777777" w:rsidR="006A380D" w:rsidRPr="00B11C93" w:rsidRDefault="006A380D" w:rsidP="00A14364">
            <w:pPr>
              <w:spacing w:after="0"/>
              <w:jc w:val="center"/>
            </w:pPr>
            <w:r w:rsidRPr="00B11C93">
              <w:t>87,1</w:t>
            </w:r>
          </w:p>
        </w:tc>
        <w:tc>
          <w:tcPr>
            <w:tcW w:w="1305" w:type="pct"/>
            <w:tcBorders>
              <w:top w:val="single" w:sz="4" w:space="0" w:color="auto"/>
            </w:tcBorders>
            <w:vAlign w:val="bottom"/>
          </w:tcPr>
          <w:p w14:paraId="3FE64B65" w14:textId="77777777" w:rsidR="006A380D" w:rsidRPr="00B11C93" w:rsidRDefault="006A380D" w:rsidP="00A14364">
            <w:pPr>
              <w:spacing w:after="0"/>
              <w:ind w:right="470"/>
              <w:jc w:val="center"/>
            </w:pPr>
          </w:p>
        </w:tc>
        <w:tc>
          <w:tcPr>
            <w:tcW w:w="1391" w:type="pct"/>
            <w:tcBorders>
              <w:top w:val="single" w:sz="4" w:space="0" w:color="auto"/>
            </w:tcBorders>
            <w:vAlign w:val="bottom"/>
          </w:tcPr>
          <w:p w14:paraId="00E74653" w14:textId="77777777" w:rsidR="006A380D" w:rsidRPr="00045985" w:rsidRDefault="006A380D" w:rsidP="00A14364">
            <w:pPr>
              <w:spacing w:after="0"/>
              <w:ind w:right="782"/>
              <w:jc w:val="right"/>
              <w:rPr>
                <w:rFonts w:cs="Times"/>
                <w:szCs w:val="24"/>
              </w:rPr>
            </w:pPr>
            <w:r>
              <w:rPr>
                <w:rFonts w:cs="Times"/>
                <w:szCs w:val="24"/>
              </w:rPr>
              <w:t>192 200</w:t>
            </w:r>
          </w:p>
        </w:tc>
      </w:tr>
      <w:tr w:rsidR="006A380D" w:rsidRPr="00B11C93" w14:paraId="24B65DCB" w14:textId="77777777" w:rsidTr="00A14364">
        <w:trPr>
          <w:cantSplit/>
        </w:trPr>
        <w:tc>
          <w:tcPr>
            <w:tcW w:w="906" w:type="pct"/>
            <w:vAlign w:val="bottom"/>
          </w:tcPr>
          <w:p w14:paraId="5C6942E9" w14:textId="77777777" w:rsidR="006A380D" w:rsidRPr="00B11C93" w:rsidRDefault="006A380D" w:rsidP="00A14364">
            <w:pPr>
              <w:spacing w:after="0"/>
              <w:jc w:val="center"/>
            </w:pPr>
            <w:r w:rsidRPr="00B11C93">
              <w:t>2004</w:t>
            </w:r>
          </w:p>
        </w:tc>
        <w:tc>
          <w:tcPr>
            <w:tcW w:w="1398" w:type="pct"/>
            <w:vAlign w:val="bottom"/>
          </w:tcPr>
          <w:p w14:paraId="4D38CDEB" w14:textId="77777777" w:rsidR="006A380D" w:rsidRPr="00B11C93" w:rsidRDefault="006A380D" w:rsidP="00A14364">
            <w:pPr>
              <w:spacing w:after="0"/>
              <w:jc w:val="center"/>
            </w:pPr>
            <w:r w:rsidRPr="00B11C93">
              <w:t>88,6</w:t>
            </w:r>
          </w:p>
        </w:tc>
        <w:tc>
          <w:tcPr>
            <w:tcW w:w="1305" w:type="pct"/>
            <w:vAlign w:val="bottom"/>
          </w:tcPr>
          <w:p w14:paraId="17409215" w14:textId="77777777" w:rsidR="006A380D" w:rsidRPr="00B11C93" w:rsidRDefault="006A380D" w:rsidP="00A14364">
            <w:pPr>
              <w:spacing w:after="0"/>
              <w:ind w:right="470"/>
              <w:jc w:val="center"/>
            </w:pPr>
            <w:r w:rsidRPr="00B11C93">
              <w:t>5,5</w:t>
            </w:r>
          </w:p>
        </w:tc>
        <w:tc>
          <w:tcPr>
            <w:tcW w:w="1391" w:type="pct"/>
            <w:vAlign w:val="bottom"/>
          </w:tcPr>
          <w:p w14:paraId="2330DDB6" w14:textId="77777777" w:rsidR="006A380D" w:rsidRPr="00045985" w:rsidRDefault="006A380D" w:rsidP="00A14364">
            <w:pPr>
              <w:spacing w:after="0"/>
              <w:ind w:right="782"/>
              <w:jc w:val="right"/>
              <w:rPr>
                <w:rFonts w:cs="Times"/>
                <w:szCs w:val="24"/>
              </w:rPr>
            </w:pPr>
            <w:r>
              <w:rPr>
                <w:rFonts w:cs="Times"/>
                <w:szCs w:val="24"/>
              </w:rPr>
              <w:t>202 700</w:t>
            </w:r>
          </w:p>
        </w:tc>
      </w:tr>
      <w:tr w:rsidR="006A380D" w:rsidRPr="00B11C93" w14:paraId="3AC2930F" w14:textId="77777777" w:rsidTr="00A14364">
        <w:trPr>
          <w:cantSplit/>
        </w:trPr>
        <w:tc>
          <w:tcPr>
            <w:tcW w:w="906" w:type="pct"/>
            <w:vAlign w:val="bottom"/>
          </w:tcPr>
          <w:p w14:paraId="033903F3" w14:textId="77777777" w:rsidR="006A380D" w:rsidRPr="00B11C93" w:rsidRDefault="006A380D" w:rsidP="00A14364">
            <w:pPr>
              <w:spacing w:after="0"/>
              <w:jc w:val="center"/>
            </w:pPr>
            <w:r>
              <w:t>2005</w:t>
            </w:r>
          </w:p>
        </w:tc>
        <w:tc>
          <w:tcPr>
            <w:tcW w:w="1398" w:type="pct"/>
            <w:vAlign w:val="bottom"/>
          </w:tcPr>
          <w:p w14:paraId="3D593487" w14:textId="77777777" w:rsidR="006A380D" w:rsidRPr="00B11C93" w:rsidRDefault="006A380D" w:rsidP="00A14364">
            <w:pPr>
              <w:spacing w:after="0"/>
              <w:jc w:val="center"/>
            </w:pPr>
            <w:r>
              <w:t>85,7</w:t>
            </w:r>
          </w:p>
        </w:tc>
        <w:tc>
          <w:tcPr>
            <w:tcW w:w="1305" w:type="pct"/>
            <w:vAlign w:val="bottom"/>
          </w:tcPr>
          <w:p w14:paraId="2241022D" w14:textId="77777777" w:rsidR="006A380D" w:rsidRPr="00B11C93" w:rsidRDefault="006A380D" w:rsidP="00A14364">
            <w:pPr>
              <w:spacing w:after="0"/>
              <w:ind w:right="470"/>
              <w:jc w:val="center"/>
            </w:pPr>
            <w:r>
              <w:t>2,7</w:t>
            </w:r>
          </w:p>
        </w:tc>
        <w:tc>
          <w:tcPr>
            <w:tcW w:w="1391" w:type="pct"/>
            <w:vAlign w:val="bottom"/>
          </w:tcPr>
          <w:p w14:paraId="32FD4EBE" w14:textId="77777777" w:rsidR="006A380D" w:rsidRPr="00045985" w:rsidRDefault="006A380D" w:rsidP="00A14364">
            <w:pPr>
              <w:spacing w:after="0"/>
              <w:ind w:right="782"/>
              <w:jc w:val="right"/>
              <w:rPr>
                <w:rFonts w:cs="Times"/>
                <w:szCs w:val="24"/>
              </w:rPr>
            </w:pPr>
            <w:r>
              <w:rPr>
                <w:rFonts w:cs="Times"/>
                <w:szCs w:val="24"/>
              </w:rPr>
              <w:t>208 200</w:t>
            </w:r>
          </w:p>
        </w:tc>
      </w:tr>
      <w:tr w:rsidR="006A380D" w:rsidRPr="00B11C93" w14:paraId="4E8C87D4" w14:textId="77777777" w:rsidTr="00A14364">
        <w:trPr>
          <w:cantSplit/>
        </w:trPr>
        <w:tc>
          <w:tcPr>
            <w:tcW w:w="906" w:type="pct"/>
            <w:vAlign w:val="bottom"/>
          </w:tcPr>
          <w:p w14:paraId="55907D97" w14:textId="77777777" w:rsidR="006A380D" w:rsidRDefault="006A380D" w:rsidP="00A14364">
            <w:pPr>
              <w:spacing w:after="0"/>
              <w:jc w:val="center"/>
            </w:pPr>
            <w:r>
              <w:t>2006</w:t>
            </w:r>
          </w:p>
        </w:tc>
        <w:tc>
          <w:tcPr>
            <w:tcW w:w="1398" w:type="pct"/>
            <w:vAlign w:val="bottom"/>
          </w:tcPr>
          <w:p w14:paraId="232EED36" w14:textId="77777777" w:rsidR="006A380D" w:rsidRDefault="006A380D" w:rsidP="00A14364">
            <w:pPr>
              <w:spacing w:after="0"/>
              <w:jc w:val="center"/>
            </w:pPr>
            <w:r>
              <w:t>88,9</w:t>
            </w:r>
          </w:p>
        </w:tc>
        <w:tc>
          <w:tcPr>
            <w:tcW w:w="1305" w:type="pct"/>
            <w:vAlign w:val="bottom"/>
          </w:tcPr>
          <w:p w14:paraId="5A4F04E9" w14:textId="77777777" w:rsidR="006A380D" w:rsidRDefault="006A380D" w:rsidP="00A14364">
            <w:pPr>
              <w:spacing w:after="0"/>
              <w:ind w:right="470"/>
              <w:jc w:val="center"/>
            </w:pPr>
            <w:r>
              <w:t>2,2</w:t>
            </w:r>
          </w:p>
        </w:tc>
        <w:tc>
          <w:tcPr>
            <w:tcW w:w="1391" w:type="pct"/>
            <w:vAlign w:val="bottom"/>
          </w:tcPr>
          <w:p w14:paraId="247C45BF" w14:textId="77777777" w:rsidR="006A380D" w:rsidRPr="00045985" w:rsidRDefault="006A380D" w:rsidP="00A14364">
            <w:pPr>
              <w:spacing w:after="0"/>
              <w:ind w:right="782"/>
              <w:jc w:val="right"/>
              <w:rPr>
                <w:rFonts w:cs="Times"/>
                <w:szCs w:val="24"/>
              </w:rPr>
            </w:pPr>
            <w:r>
              <w:rPr>
                <w:rFonts w:cs="Times"/>
                <w:szCs w:val="24"/>
              </w:rPr>
              <w:t>212 700</w:t>
            </w:r>
          </w:p>
        </w:tc>
      </w:tr>
      <w:tr w:rsidR="006A380D" w:rsidRPr="00B11C93" w14:paraId="6DC60EDC" w14:textId="77777777" w:rsidTr="00A14364">
        <w:trPr>
          <w:cantSplit/>
        </w:trPr>
        <w:tc>
          <w:tcPr>
            <w:tcW w:w="906" w:type="pct"/>
            <w:vAlign w:val="bottom"/>
          </w:tcPr>
          <w:p w14:paraId="0043A8E3" w14:textId="77777777" w:rsidR="006A380D" w:rsidRPr="00B11C93" w:rsidRDefault="006A380D" w:rsidP="00A14364">
            <w:pPr>
              <w:spacing w:after="0"/>
              <w:jc w:val="center"/>
            </w:pPr>
            <w:r>
              <w:t>2007</w:t>
            </w:r>
          </w:p>
        </w:tc>
        <w:tc>
          <w:tcPr>
            <w:tcW w:w="1398" w:type="pct"/>
            <w:vAlign w:val="bottom"/>
          </w:tcPr>
          <w:p w14:paraId="3EB2A9E9" w14:textId="77777777" w:rsidR="006A380D" w:rsidRPr="00B11C93" w:rsidRDefault="006A380D" w:rsidP="00A14364">
            <w:pPr>
              <w:spacing w:after="0"/>
              <w:jc w:val="center"/>
            </w:pPr>
            <w:r>
              <w:t>86,4</w:t>
            </w:r>
          </w:p>
        </w:tc>
        <w:tc>
          <w:tcPr>
            <w:tcW w:w="1305" w:type="pct"/>
            <w:vAlign w:val="bottom"/>
          </w:tcPr>
          <w:p w14:paraId="672D383E" w14:textId="77777777" w:rsidR="006A380D" w:rsidRPr="00B11C93" w:rsidRDefault="006A380D" w:rsidP="00A14364">
            <w:pPr>
              <w:spacing w:after="0"/>
              <w:ind w:right="470"/>
              <w:jc w:val="center"/>
            </w:pPr>
            <w:r>
              <w:t>5,5</w:t>
            </w:r>
          </w:p>
        </w:tc>
        <w:tc>
          <w:tcPr>
            <w:tcW w:w="1391" w:type="pct"/>
            <w:vAlign w:val="bottom"/>
          </w:tcPr>
          <w:p w14:paraId="4CD3A0A1" w14:textId="77777777" w:rsidR="006A380D" w:rsidRPr="00045985" w:rsidRDefault="006A380D" w:rsidP="00A14364">
            <w:pPr>
              <w:spacing w:after="0"/>
              <w:ind w:right="782"/>
              <w:jc w:val="right"/>
              <w:rPr>
                <w:rFonts w:cs="Times"/>
                <w:szCs w:val="24"/>
              </w:rPr>
            </w:pPr>
            <w:r>
              <w:rPr>
                <w:rFonts w:cs="Times"/>
                <w:szCs w:val="24"/>
              </w:rPr>
              <w:t>224 500</w:t>
            </w:r>
          </w:p>
        </w:tc>
      </w:tr>
      <w:tr w:rsidR="006A380D" w:rsidRPr="00B11C93" w14:paraId="705E5849" w14:textId="77777777" w:rsidTr="00A14364">
        <w:trPr>
          <w:cantSplit/>
        </w:trPr>
        <w:tc>
          <w:tcPr>
            <w:tcW w:w="906" w:type="pct"/>
            <w:vAlign w:val="bottom"/>
          </w:tcPr>
          <w:p w14:paraId="62350DF9" w14:textId="77777777" w:rsidR="006A380D" w:rsidRDefault="006A380D" w:rsidP="00A14364">
            <w:pPr>
              <w:spacing w:after="0"/>
              <w:jc w:val="center"/>
            </w:pPr>
            <w:r>
              <w:t>2008</w:t>
            </w:r>
          </w:p>
        </w:tc>
        <w:tc>
          <w:tcPr>
            <w:tcW w:w="1398" w:type="pct"/>
            <w:vAlign w:val="bottom"/>
          </w:tcPr>
          <w:p w14:paraId="2865F3A2" w14:textId="77777777" w:rsidR="006A380D" w:rsidRDefault="006A380D" w:rsidP="00A14364">
            <w:pPr>
              <w:spacing w:after="0"/>
              <w:jc w:val="center"/>
            </w:pPr>
            <w:r>
              <w:t>86,8</w:t>
            </w:r>
          </w:p>
        </w:tc>
        <w:tc>
          <w:tcPr>
            <w:tcW w:w="1305" w:type="pct"/>
            <w:vAlign w:val="bottom"/>
          </w:tcPr>
          <w:p w14:paraId="6A405016" w14:textId="77777777" w:rsidR="006A380D" w:rsidRDefault="006A380D" w:rsidP="00A14364">
            <w:pPr>
              <w:spacing w:after="0"/>
              <w:ind w:right="470"/>
              <w:jc w:val="center"/>
            </w:pPr>
            <w:r>
              <w:t>2,5</w:t>
            </w:r>
          </w:p>
        </w:tc>
        <w:tc>
          <w:tcPr>
            <w:tcW w:w="1391" w:type="pct"/>
            <w:vAlign w:val="bottom"/>
          </w:tcPr>
          <w:p w14:paraId="404D4BB6" w14:textId="77777777" w:rsidR="006A380D" w:rsidRPr="00045985" w:rsidRDefault="006A380D" w:rsidP="00A14364">
            <w:pPr>
              <w:spacing w:after="0"/>
              <w:ind w:right="782"/>
              <w:jc w:val="right"/>
              <w:rPr>
                <w:rFonts w:cs="Times"/>
                <w:szCs w:val="24"/>
              </w:rPr>
            </w:pPr>
            <w:r>
              <w:rPr>
                <w:rFonts w:cs="Times"/>
                <w:szCs w:val="24"/>
              </w:rPr>
              <w:t>230 100</w:t>
            </w:r>
          </w:p>
        </w:tc>
      </w:tr>
      <w:tr w:rsidR="006A380D" w:rsidRPr="00B11C93" w14:paraId="3801413E" w14:textId="77777777" w:rsidTr="00A14364">
        <w:trPr>
          <w:cantSplit/>
        </w:trPr>
        <w:tc>
          <w:tcPr>
            <w:tcW w:w="906" w:type="pct"/>
            <w:vAlign w:val="bottom"/>
          </w:tcPr>
          <w:p w14:paraId="6E6DDA2F" w14:textId="77777777" w:rsidR="006A380D" w:rsidRDefault="006A380D" w:rsidP="00A14364">
            <w:pPr>
              <w:spacing w:after="0"/>
              <w:jc w:val="center"/>
            </w:pPr>
            <w:r>
              <w:t>2009</w:t>
            </w:r>
          </w:p>
        </w:tc>
        <w:tc>
          <w:tcPr>
            <w:tcW w:w="1398" w:type="pct"/>
            <w:vAlign w:val="bottom"/>
          </w:tcPr>
          <w:p w14:paraId="07582C0C" w14:textId="77777777" w:rsidR="006A380D" w:rsidRDefault="006A380D" w:rsidP="00A14364">
            <w:pPr>
              <w:spacing w:after="0"/>
              <w:jc w:val="center"/>
            </w:pPr>
            <w:r>
              <w:t>89,8</w:t>
            </w:r>
          </w:p>
        </w:tc>
        <w:tc>
          <w:tcPr>
            <w:tcW w:w="1305" w:type="pct"/>
            <w:vAlign w:val="bottom"/>
          </w:tcPr>
          <w:p w14:paraId="5C9E7C49" w14:textId="77777777" w:rsidR="006A380D" w:rsidRDefault="006A380D" w:rsidP="00A14364">
            <w:pPr>
              <w:spacing w:after="0"/>
              <w:ind w:right="470"/>
              <w:jc w:val="center"/>
            </w:pPr>
            <w:r>
              <w:t>3,2</w:t>
            </w:r>
          </w:p>
        </w:tc>
        <w:tc>
          <w:tcPr>
            <w:tcW w:w="1391" w:type="pct"/>
            <w:vAlign w:val="bottom"/>
          </w:tcPr>
          <w:p w14:paraId="4712D1A3" w14:textId="77777777" w:rsidR="006A380D" w:rsidRPr="00045985" w:rsidRDefault="006A380D" w:rsidP="00A14364">
            <w:pPr>
              <w:spacing w:after="0"/>
              <w:ind w:right="782"/>
              <w:jc w:val="right"/>
              <w:rPr>
                <w:rFonts w:cs="Times"/>
                <w:szCs w:val="24"/>
              </w:rPr>
            </w:pPr>
            <w:r>
              <w:rPr>
                <w:rFonts w:cs="Times"/>
                <w:szCs w:val="24"/>
              </w:rPr>
              <w:t>237 400</w:t>
            </w:r>
          </w:p>
        </w:tc>
      </w:tr>
      <w:tr w:rsidR="006A380D" w:rsidRPr="00B11C93" w14:paraId="4E856D80" w14:textId="77777777" w:rsidTr="00A14364">
        <w:trPr>
          <w:cantSplit/>
        </w:trPr>
        <w:tc>
          <w:tcPr>
            <w:tcW w:w="906" w:type="pct"/>
            <w:vAlign w:val="bottom"/>
          </w:tcPr>
          <w:p w14:paraId="2330B800" w14:textId="77777777" w:rsidR="006A380D" w:rsidRDefault="006A380D" w:rsidP="00A14364">
            <w:pPr>
              <w:spacing w:after="0"/>
              <w:jc w:val="center"/>
            </w:pPr>
            <w:r>
              <w:t>2010</w:t>
            </w:r>
          </w:p>
        </w:tc>
        <w:tc>
          <w:tcPr>
            <w:tcW w:w="1398" w:type="pct"/>
            <w:vAlign w:val="bottom"/>
          </w:tcPr>
          <w:p w14:paraId="1F0F8EA0" w14:textId="77777777" w:rsidR="006A380D" w:rsidRDefault="006A380D" w:rsidP="00A14364">
            <w:pPr>
              <w:spacing w:after="0"/>
              <w:jc w:val="center"/>
            </w:pPr>
            <w:r>
              <w:t>89,2</w:t>
            </w:r>
          </w:p>
        </w:tc>
        <w:tc>
          <w:tcPr>
            <w:tcW w:w="1305" w:type="pct"/>
            <w:vAlign w:val="bottom"/>
          </w:tcPr>
          <w:p w14:paraId="32DF5390" w14:textId="77777777" w:rsidR="006A380D" w:rsidRDefault="006A380D" w:rsidP="00A14364">
            <w:pPr>
              <w:spacing w:after="0"/>
              <w:ind w:right="470"/>
              <w:jc w:val="center"/>
            </w:pPr>
            <w:r>
              <w:t>1,7</w:t>
            </w:r>
          </w:p>
        </w:tc>
        <w:tc>
          <w:tcPr>
            <w:tcW w:w="1391" w:type="pct"/>
            <w:vAlign w:val="bottom"/>
          </w:tcPr>
          <w:p w14:paraId="3C958112" w14:textId="77777777" w:rsidR="006A380D" w:rsidRPr="00045985" w:rsidRDefault="006A380D" w:rsidP="00A14364">
            <w:pPr>
              <w:spacing w:after="0"/>
              <w:ind w:right="782"/>
              <w:jc w:val="right"/>
              <w:rPr>
                <w:rFonts w:cs="Times"/>
                <w:szCs w:val="24"/>
              </w:rPr>
            </w:pPr>
            <w:r>
              <w:rPr>
                <w:rFonts w:cs="Times"/>
                <w:szCs w:val="24"/>
              </w:rPr>
              <w:t>241 400</w:t>
            </w:r>
          </w:p>
        </w:tc>
      </w:tr>
      <w:tr w:rsidR="006A380D" w:rsidRPr="00B11C93" w14:paraId="57281FA9" w14:textId="77777777" w:rsidTr="00A14364">
        <w:trPr>
          <w:cantSplit/>
        </w:trPr>
        <w:tc>
          <w:tcPr>
            <w:tcW w:w="906" w:type="pct"/>
            <w:vAlign w:val="bottom"/>
          </w:tcPr>
          <w:p w14:paraId="6FC698CB" w14:textId="77777777" w:rsidR="006A380D" w:rsidRDefault="006A380D" w:rsidP="00A14364">
            <w:pPr>
              <w:spacing w:after="0"/>
              <w:jc w:val="center"/>
            </w:pPr>
            <w:r>
              <w:t>2011</w:t>
            </w:r>
          </w:p>
        </w:tc>
        <w:tc>
          <w:tcPr>
            <w:tcW w:w="1398" w:type="pct"/>
            <w:vAlign w:val="bottom"/>
          </w:tcPr>
          <w:p w14:paraId="30E0A706" w14:textId="77777777" w:rsidR="006A380D" w:rsidRDefault="006A380D" w:rsidP="00A14364">
            <w:pPr>
              <w:spacing w:after="0"/>
              <w:jc w:val="center"/>
            </w:pPr>
            <w:r>
              <w:t>88,3</w:t>
            </w:r>
          </w:p>
        </w:tc>
        <w:tc>
          <w:tcPr>
            <w:tcW w:w="1305" w:type="pct"/>
            <w:vAlign w:val="bottom"/>
          </w:tcPr>
          <w:p w14:paraId="35744DA6" w14:textId="77777777" w:rsidR="006A380D" w:rsidRDefault="006A380D" w:rsidP="00A14364">
            <w:pPr>
              <w:spacing w:after="0"/>
              <w:ind w:right="470"/>
              <w:jc w:val="center"/>
            </w:pPr>
            <w:r>
              <w:t>3,3</w:t>
            </w:r>
          </w:p>
        </w:tc>
        <w:tc>
          <w:tcPr>
            <w:tcW w:w="1391" w:type="pct"/>
            <w:vAlign w:val="bottom"/>
          </w:tcPr>
          <w:p w14:paraId="49D3A32F" w14:textId="77777777" w:rsidR="006A380D" w:rsidRPr="00045985" w:rsidRDefault="006A380D" w:rsidP="00A14364">
            <w:pPr>
              <w:spacing w:after="0"/>
              <w:ind w:right="782"/>
              <w:jc w:val="right"/>
              <w:rPr>
                <w:rFonts w:cs="Times"/>
                <w:szCs w:val="24"/>
              </w:rPr>
            </w:pPr>
            <w:r>
              <w:rPr>
                <w:rFonts w:cs="Times"/>
                <w:szCs w:val="24"/>
              </w:rPr>
              <w:t>249 300</w:t>
            </w:r>
          </w:p>
        </w:tc>
      </w:tr>
      <w:tr w:rsidR="006A380D" w:rsidRPr="00B11C93" w14:paraId="0902B60A" w14:textId="77777777" w:rsidTr="00A14364">
        <w:trPr>
          <w:cantSplit/>
        </w:trPr>
        <w:tc>
          <w:tcPr>
            <w:tcW w:w="906" w:type="pct"/>
            <w:vAlign w:val="bottom"/>
          </w:tcPr>
          <w:p w14:paraId="39536B37" w14:textId="77777777" w:rsidR="006A380D" w:rsidRDefault="006A380D" w:rsidP="00A14364">
            <w:pPr>
              <w:spacing w:after="0"/>
              <w:jc w:val="center"/>
            </w:pPr>
            <w:r>
              <w:t>2012</w:t>
            </w:r>
          </w:p>
        </w:tc>
        <w:tc>
          <w:tcPr>
            <w:tcW w:w="1398" w:type="pct"/>
            <w:vAlign w:val="bottom"/>
          </w:tcPr>
          <w:p w14:paraId="5044E822" w14:textId="77777777" w:rsidR="006A380D" w:rsidRDefault="006A380D" w:rsidP="00A14364">
            <w:pPr>
              <w:spacing w:after="0"/>
              <w:jc w:val="center"/>
            </w:pPr>
            <w:r>
              <w:t>88,0</w:t>
            </w:r>
          </w:p>
        </w:tc>
        <w:tc>
          <w:tcPr>
            <w:tcW w:w="1305" w:type="pct"/>
            <w:vAlign w:val="bottom"/>
          </w:tcPr>
          <w:p w14:paraId="7E8A414E" w14:textId="77777777" w:rsidR="006A380D" w:rsidRDefault="006A380D" w:rsidP="00A14364">
            <w:pPr>
              <w:spacing w:after="0"/>
              <w:ind w:right="470"/>
              <w:jc w:val="center"/>
            </w:pPr>
            <w:r>
              <w:t>3,2</w:t>
            </w:r>
          </w:p>
        </w:tc>
        <w:tc>
          <w:tcPr>
            <w:tcW w:w="1391" w:type="pct"/>
            <w:vAlign w:val="bottom"/>
          </w:tcPr>
          <w:p w14:paraId="18F84F30" w14:textId="77777777" w:rsidR="006A380D" w:rsidRPr="00045985" w:rsidRDefault="006A380D" w:rsidP="00A14364">
            <w:pPr>
              <w:spacing w:after="0"/>
              <w:ind w:right="782"/>
              <w:jc w:val="right"/>
              <w:rPr>
                <w:rFonts w:cs="Times"/>
                <w:color w:val="000000"/>
                <w:szCs w:val="24"/>
              </w:rPr>
            </w:pPr>
            <w:r>
              <w:rPr>
                <w:rFonts w:cs="Times"/>
                <w:color w:val="000000"/>
                <w:szCs w:val="24"/>
              </w:rPr>
              <w:t>257 400</w:t>
            </w:r>
          </w:p>
        </w:tc>
      </w:tr>
      <w:tr w:rsidR="006A380D" w:rsidRPr="00B11C93" w14:paraId="77F38106" w14:textId="77777777" w:rsidTr="00A14364">
        <w:trPr>
          <w:cantSplit/>
        </w:trPr>
        <w:tc>
          <w:tcPr>
            <w:tcW w:w="906" w:type="pct"/>
            <w:tcBorders>
              <w:bottom w:val="single" w:sz="4" w:space="0" w:color="auto"/>
            </w:tcBorders>
            <w:vAlign w:val="bottom"/>
          </w:tcPr>
          <w:p w14:paraId="480E49B1" w14:textId="77777777" w:rsidR="006A380D" w:rsidRDefault="006A380D" w:rsidP="00A14364">
            <w:pPr>
              <w:spacing w:after="0"/>
              <w:jc w:val="center"/>
            </w:pPr>
            <w:r>
              <w:t>2013</w:t>
            </w:r>
          </w:p>
        </w:tc>
        <w:tc>
          <w:tcPr>
            <w:tcW w:w="1398" w:type="pct"/>
            <w:tcBorders>
              <w:bottom w:val="single" w:sz="4" w:space="0" w:color="auto"/>
            </w:tcBorders>
            <w:vAlign w:val="bottom"/>
          </w:tcPr>
          <w:p w14:paraId="672DDDA5" w14:textId="77777777" w:rsidR="006A380D" w:rsidRDefault="006A380D" w:rsidP="00A14364">
            <w:pPr>
              <w:spacing w:after="0"/>
              <w:jc w:val="center"/>
            </w:pPr>
            <w:r>
              <w:t>87,6</w:t>
            </w:r>
          </w:p>
        </w:tc>
        <w:tc>
          <w:tcPr>
            <w:tcW w:w="1305" w:type="pct"/>
            <w:tcBorders>
              <w:bottom w:val="single" w:sz="4" w:space="0" w:color="auto"/>
            </w:tcBorders>
            <w:vAlign w:val="bottom"/>
          </w:tcPr>
          <w:p w14:paraId="659CF4AE" w14:textId="77777777" w:rsidR="006A380D" w:rsidRDefault="006A380D" w:rsidP="00A14364">
            <w:pPr>
              <w:spacing w:after="0"/>
              <w:ind w:right="470"/>
              <w:jc w:val="center"/>
            </w:pPr>
            <w:r>
              <w:t>1,7</w:t>
            </w:r>
          </w:p>
        </w:tc>
        <w:tc>
          <w:tcPr>
            <w:tcW w:w="1391" w:type="pct"/>
            <w:tcBorders>
              <w:bottom w:val="single" w:sz="4" w:space="0" w:color="auto"/>
            </w:tcBorders>
            <w:vAlign w:val="bottom"/>
          </w:tcPr>
          <w:p w14:paraId="5163AD13" w14:textId="77777777" w:rsidR="006A380D" w:rsidRPr="00127590" w:rsidRDefault="006A380D" w:rsidP="00A14364">
            <w:pPr>
              <w:spacing w:after="0"/>
              <w:ind w:right="782"/>
              <w:jc w:val="right"/>
            </w:pPr>
            <w:r>
              <w:t>261 800</w:t>
            </w:r>
          </w:p>
        </w:tc>
      </w:tr>
    </w:tbl>
    <w:p w14:paraId="53A9BC30" w14:textId="77777777" w:rsidR="006A380D" w:rsidRPr="00942E01" w:rsidRDefault="006A380D" w:rsidP="008643D6">
      <w:pPr>
        <w:pStyle w:val="Nummerertliste"/>
        <w:numPr>
          <w:ilvl w:val="0"/>
          <w:numId w:val="31"/>
        </w:numPr>
        <w:tabs>
          <w:tab w:val="clear" w:pos="397"/>
        </w:tabs>
        <w:ind w:left="142" w:hanging="142"/>
        <w:rPr>
          <w:noProof/>
          <w:sz w:val="20"/>
        </w:rPr>
      </w:pPr>
      <w:r w:rsidRPr="00942E01">
        <w:rPr>
          <w:noProof/>
          <w:sz w:val="20"/>
        </w:rPr>
        <w:t>Inkluderer både offentlig og privat tjenestepensjon.</w:t>
      </w:r>
    </w:p>
    <w:p w14:paraId="31A564C4" w14:textId="77777777" w:rsidR="006A380D" w:rsidRPr="000C1254" w:rsidRDefault="006A380D" w:rsidP="008643D6">
      <w:pPr>
        <w:pStyle w:val="Nummerertliste"/>
        <w:numPr>
          <w:ilvl w:val="0"/>
          <w:numId w:val="31"/>
        </w:numPr>
        <w:tabs>
          <w:tab w:val="clear" w:pos="397"/>
        </w:tabs>
        <w:ind w:left="142" w:hanging="142"/>
        <w:rPr>
          <w:noProof/>
        </w:rPr>
      </w:pPr>
      <w:r w:rsidRPr="00942E01">
        <w:rPr>
          <w:noProof/>
          <w:sz w:val="20"/>
        </w:rPr>
        <w:t>Omfatter trygdede og pensjonister hvor trygdeytelsene overstiger eventuell yrkesinntekt og er minst lik minstepensjon for enslige. Dette var en gruppe på 1 179 509 personer i 2013.</w:t>
      </w:r>
    </w:p>
    <w:p w14:paraId="31177930" w14:textId="77777777" w:rsidR="006A380D" w:rsidRDefault="006A380D" w:rsidP="006A380D">
      <w:pPr>
        <w:pStyle w:val="Kilde"/>
        <w:rPr>
          <w:noProof/>
        </w:rPr>
      </w:pPr>
      <w:r w:rsidRPr="00B11C93">
        <w:rPr>
          <w:noProof/>
        </w:rPr>
        <w:t>Kilde</w:t>
      </w:r>
      <w:r>
        <w:rPr>
          <w:noProof/>
        </w:rPr>
        <w:t>r</w:t>
      </w:r>
      <w:r w:rsidRPr="00B11C93">
        <w:rPr>
          <w:noProof/>
        </w:rPr>
        <w:t>: Statistisk sentralbyrå</w:t>
      </w:r>
      <w:r>
        <w:rPr>
          <w:noProof/>
        </w:rPr>
        <w:t xml:space="preserve"> og</w:t>
      </w:r>
      <w:r w:rsidRPr="00B11C93">
        <w:rPr>
          <w:noProof/>
        </w:rPr>
        <w:t xml:space="preserve"> Beregningsutvalget.</w:t>
      </w:r>
    </w:p>
    <w:p w14:paraId="6C90F2F0" w14:textId="77777777" w:rsidR="006A380D" w:rsidRDefault="006A380D" w:rsidP="006A380D">
      <w:r>
        <w:t xml:space="preserve">Tabell 6.5 viser utviklingen i overføringer til trygdede og pensjonister hvor pensjon og trygd utgjør hovedinntekten. Tabell 6.6 viser sammensetningen av inntekt for alle som mottar alderspensjon i aldersgruppene 62-66 år og 67 år og over. For alderspensjonister 67 år og eldre utgjør alders- og tjenestepensjon hoveddelen av inntekten over perioden. Det er imidlertid en viss tendens til at andelen yrkesinntekt øker. I 2003 utgjorde yrkesinntekt 4 prosent av inntekten. I 2013 var andelen økt til 9 prosent. </w:t>
      </w:r>
    </w:p>
    <w:p w14:paraId="0FC4CC7D" w14:textId="77777777" w:rsidR="006A380D" w:rsidRDefault="006A380D" w:rsidP="006A380D">
      <w:r>
        <w:t>Fra 2011 ble det mulig å ta ut alderspensjon for personer i aldersgruppen 62-66 år. For mottakere av alderspensjon i denne aldersgruppen utgjør yrkesinntekt en betydelig større andel av inntekten enn for de som er eldre. Dette gjenspeiler at mange i denne gruppen kombinerer uttak av alderspensjon samtidig som de fortsetter i arbeid.</w:t>
      </w:r>
    </w:p>
    <w:p w14:paraId="0BE58F16" w14:textId="77777777" w:rsidR="006A380D" w:rsidRDefault="006A380D" w:rsidP="006A380D">
      <w:pPr>
        <w:rPr>
          <w:noProof/>
        </w:rPr>
      </w:pPr>
      <w:r>
        <w:rPr>
          <w:noProof/>
        </w:rPr>
        <w:t>Utvalget vil komme tilbake med en nærmere drøfting av pensjonistgruppens inntektsutvikling over tid i en senere rapport.</w:t>
      </w:r>
    </w:p>
    <w:p w14:paraId="00AEF0E6" w14:textId="11044667" w:rsidR="002B4E9B" w:rsidRDefault="002B4E9B">
      <w:pPr>
        <w:spacing w:after="0"/>
      </w:pPr>
      <w:r>
        <w:br w:type="page"/>
      </w:r>
    </w:p>
    <w:p w14:paraId="525C59FB" w14:textId="77777777" w:rsidR="006A380D" w:rsidRDefault="006A380D" w:rsidP="006A380D">
      <w:pPr>
        <w:pStyle w:val="tabell-tittel"/>
      </w:pPr>
      <w:r>
        <w:t>Sammensetning av inntekt og gjennomsnittlig inntekt blant bosatte personer som mottok alderspensjon.</w:t>
      </w:r>
      <w:r w:rsidRPr="008418E8">
        <w:rPr>
          <w:vertAlign w:val="superscript"/>
        </w:rPr>
        <w:t>1</w:t>
      </w:r>
      <w:r>
        <w:t xml:space="preserve"> Samlet inntekt i kroner og andeler i prosent av samlet inntekt</w:t>
      </w:r>
    </w:p>
    <w:tbl>
      <w:tblPr>
        <w:tblStyle w:val="Tabellrutenett"/>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162"/>
        <w:gridCol w:w="1162"/>
        <w:gridCol w:w="1163"/>
        <w:gridCol w:w="1162"/>
        <w:gridCol w:w="1163"/>
      </w:tblGrid>
      <w:tr w:rsidR="006A380D" w:rsidRPr="00431E2F" w14:paraId="11DDA4D4" w14:textId="77777777" w:rsidTr="00A14364">
        <w:tc>
          <w:tcPr>
            <w:tcW w:w="2943" w:type="dxa"/>
            <w:tcBorders>
              <w:top w:val="single" w:sz="4" w:space="0" w:color="auto"/>
              <w:left w:val="nil"/>
              <w:bottom w:val="single" w:sz="4" w:space="0" w:color="auto"/>
              <w:right w:val="nil"/>
            </w:tcBorders>
          </w:tcPr>
          <w:p w14:paraId="3BF4D564" w14:textId="77777777" w:rsidR="006A380D" w:rsidRPr="00431E2F" w:rsidRDefault="006A380D" w:rsidP="00A14364">
            <w:pPr>
              <w:spacing w:after="0"/>
              <w:jc w:val="center"/>
              <w:rPr>
                <w:sz w:val="22"/>
                <w:szCs w:val="22"/>
              </w:rPr>
            </w:pPr>
          </w:p>
        </w:tc>
        <w:tc>
          <w:tcPr>
            <w:tcW w:w="1162" w:type="dxa"/>
            <w:tcBorders>
              <w:top w:val="single" w:sz="4" w:space="0" w:color="auto"/>
              <w:left w:val="nil"/>
              <w:bottom w:val="single" w:sz="4" w:space="0" w:color="auto"/>
              <w:right w:val="nil"/>
            </w:tcBorders>
            <w:vAlign w:val="bottom"/>
            <w:hideMark/>
          </w:tcPr>
          <w:p w14:paraId="3AAB2F27" w14:textId="77777777" w:rsidR="006A380D" w:rsidRPr="00431E2F" w:rsidRDefault="006A380D" w:rsidP="00A14364">
            <w:pPr>
              <w:spacing w:after="0"/>
              <w:jc w:val="right"/>
              <w:rPr>
                <w:sz w:val="22"/>
                <w:szCs w:val="22"/>
              </w:rPr>
            </w:pPr>
            <w:r w:rsidRPr="00431E2F">
              <w:rPr>
                <w:sz w:val="22"/>
                <w:szCs w:val="22"/>
              </w:rPr>
              <w:t>2003</w:t>
            </w:r>
          </w:p>
        </w:tc>
        <w:tc>
          <w:tcPr>
            <w:tcW w:w="1162" w:type="dxa"/>
            <w:tcBorders>
              <w:top w:val="single" w:sz="4" w:space="0" w:color="auto"/>
              <w:left w:val="nil"/>
              <w:bottom w:val="single" w:sz="4" w:space="0" w:color="auto"/>
              <w:right w:val="nil"/>
            </w:tcBorders>
            <w:vAlign w:val="bottom"/>
            <w:hideMark/>
          </w:tcPr>
          <w:p w14:paraId="543CAC21" w14:textId="77777777" w:rsidR="006A380D" w:rsidRPr="00431E2F" w:rsidRDefault="006A380D" w:rsidP="00A14364">
            <w:pPr>
              <w:spacing w:after="0"/>
              <w:jc w:val="right"/>
              <w:rPr>
                <w:sz w:val="22"/>
                <w:szCs w:val="22"/>
              </w:rPr>
            </w:pPr>
            <w:r w:rsidRPr="00431E2F">
              <w:rPr>
                <w:sz w:val="22"/>
                <w:szCs w:val="22"/>
              </w:rPr>
              <w:t>2010</w:t>
            </w:r>
          </w:p>
        </w:tc>
        <w:tc>
          <w:tcPr>
            <w:tcW w:w="1163" w:type="dxa"/>
            <w:tcBorders>
              <w:top w:val="single" w:sz="4" w:space="0" w:color="auto"/>
              <w:left w:val="nil"/>
              <w:bottom w:val="single" w:sz="4" w:space="0" w:color="auto"/>
              <w:right w:val="nil"/>
            </w:tcBorders>
            <w:vAlign w:val="bottom"/>
            <w:hideMark/>
          </w:tcPr>
          <w:p w14:paraId="36A45A56" w14:textId="77777777" w:rsidR="006A380D" w:rsidRPr="00431E2F" w:rsidRDefault="006A380D" w:rsidP="00A14364">
            <w:pPr>
              <w:spacing w:after="0"/>
              <w:jc w:val="right"/>
              <w:rPr>
                <w:sz w:val="22"/>
                <w:szCs w:val="22"/>
              </w:rPr>
            </w:pPr>
            <w:r w:rsidRPr="00431E2F">
              <w:rPr>
                <w:sz w:val="22"/>
                <w:szCs w:val="22"/>
              </w:rPr>
              <w:t>2011</w:t>
            </w:r>
          </w:p>
        </w:tc>
        <w:tc>
          <w:tcPr>
            <w:tcW w:w="1162" w:type="dxa"/>
            <w:tcBorders>
              <w:top w:val="single" w:sz="4" w:space="0" w:color="auto"/>
              <w:left w:val="nil"/>
              <w:bottom w:val="single" w:sz="4" w:space="0" w:color="auto"/>
              <w:right w:val="nil"/>
            </w:tcBorders>
            <w:vAlign w:val="bottom"/>
            <w:hideMark/>
          </w:tcPr>
          <w:p w14:paraId="5A2A61BE" w14:textId="77777777" w:rsidR="006A380D" w:rsidRPr="00431E2F" w:rsidRDefault="006A380D" w:rsidP="00A14364">
            <w:pPr>
              <w:spacing w:after="0"/>
              <w:jc w:val="right"/>
              <w:rPr>
                <w:sz w:val="22"/>
                <w:szCs w:val="22"/>
              </w:rPr>
            </w:pPr>
            <w:r w:rsidRPr="00431E2F">
              <w:rPr>
                <w:sz w:val="22"/>
                <w:szCs w:val="22"/>
              </w:rPr>
              <w:t>2012</w:t>
            </w:r>
          </w:p>
        </w:tc>
        <w:tc>
          <w:tcPr>
            <w:tcW w:w="1163" w:type="dxa"/>
            <w:tcBorders>
              <w:top w:val="single" w:sz="4" w:space="0" w:color="auto"/>
              <w:left w:val="nil"/>
              <w:bottom w:val="single" w:sz="4" w:space="0" w:color="auto"/>
              <w:right w:val="nil"/>
            </w:tcBorders>
            <w:vAlign w:val="bottom"/>
            <w:hideMark/>
          </w:tcPr>
          <w:p w14:paraId="26F4A153" w14:textId="77777777" w:rsidR="006A380D" w:rsidRPr="00431E2F" w:rsidRDefault="006A380D" w:rsidP="00A14364">
            <w:pPr>
              <w:spacing w:after="0"/>
              <w:jc w:val="right"/>
              <w:rPr>
                <w:sz w:val="22"/>
                <w:szCs w:val="22"/>
              </w:rPr>
            </w:pPr>
            <w:r w:rsidRPr="00431E2F">
              <w:rPr>
                <w:sz w:val="22"/>
                <w:szCs w:val="22"/>
              </w:rPr>
              <w:t>2013</w:t>
            </w:r>
          </w:p>
        </w:tc>
      </w:tr>
      <w:tr w:rsidR="006A380D" w:rsidRPr="00431E2F" w14:paraId="413EB4D3" w14:textId="77777777" w:rsidTr="00A14364">
        <w:tc>
          <w:tcPr>
            <w:tcW w:w="2943" w:type="dxa"/>
            <w:tcBorders>
              <w:top w:val="single" w:sz="4" w:space="0" w:color="auto"/>
              <w:left w:val="nil"/>
              <w:bottom w:val="nil"/>
              <w:right w:val="nil"/>
            </w:tcBorders>
            <w:vAlign w:val="bottom"/>
            <w:hideMark/>
          </w:tcPr>
          <w:p w14:paraId="7F090AEA" w14:textId="77777777" w:rsidR="006A380D" w:rsidRPr="00431E2F" w:rsidRDefault="006A380D" w:rsidP="00A14364">
            <w:pPr>
              <w:tabs>
                <w:tab w:val="right" w:leader="dot" w:pos="2727"/>
              </w:tabs>
              <w:spacing w:after="0"/>
              <w:rPr>
                <w:i/>
                <w:sz w:val="22"/>
                <w:szCs w:val="22"/>
              </w:rPr>
            </w:pPr>
            <w:r w:rsidRPr="00431E2F">
              <w:rPr>
                <w:i/>
                <w:sz w:val="22"/>
                <w:szCs w:val="22"/>
              </w:rPr>
              <w:t>67 år og eldre</w:t>
            </w:r>
          </w:p>
        </w:tc>
        <w:tc>
          <w:tcPr>
            <w:tcW w:w="1162" w:type="dxa"/>
            <w:tcBorders>
              <w:top w:val="single" w:sz="4" w:space="0" w:color="auto"/>
              <w:left w:val="nil"/>
              <w:bottom w:val="nil"/>
              <w:right w:val="nil"/>
            </w:tcBorders>
            <w:vAlign w:val="bottom"/>
          </w:tcPr>
          <w:p w14:paraId="18F4B22A" w14:textId="77777777" w:rsidR="006A380D" w:rsidRPr="00431E2F" w:rsidRDefault="006A380D" w:rsidP="00A14364">
            <w:pPr>
              <w:spacing w:after="0"/>
              <w:jc w:val="right"/>
              <w:rPr>
                <w:sz w:val="22"/>
                <w:szCs w:val="22"/>
              </w:rPr>
            </w:pPr>
          </w:p>
        </w:tc>
        <w:tc>
          <w:tcPr>
            <w:tcW w:w="1162" w:type="dxa"/>
            <w:tcBorders>
              <w:top w:val="single" w:sz="4" w:space="0" w:color="auto"/>
              <w:left w:val="nil"/>
              <w:bottom w:val="nil"/>
              <w:right w:val="nil"/>
            </w:tcBorders>
            <w:vAlign w:val="bottom"/>
          </w:tcPr>
          <w:p w14:paraId="7E63B22C" w14:textId="77777777" w:rsidR="006A380D" w:rsidRPr="00431E2F" w:rsidRDefault="006A380D" w:rsidP="00A14364">
            <w:pPr>
              <w:spacing w:after="0"/>
              <w:jc w:val="right"/>
              <w:rPr>
                <w:sz w:val="22"/>
                <w:szCs w:val="22"/>
              </w:rPr>
            </w:pPr>
          </w:p>
        </w:tc>
        <w:tc>
          <w:tcPr>
            <w:tcW w:w="1163" w:type="dxa"/>
            <w:tcBorders>
              <w:top w:val="single" w:sz="4" w:space="0" w:color="auto"/>
              <w:left w:val="nil"/>
              <w:bottom w:val="nil"/>
              <w:right w:val="nil"/>
            </w:tcBorders>
            <w:vAlign w:val="bottom"/>
          </w:tcPr>
          <w:p w14:paraId="51B735AC" w14:textId="77777777" w:rsidR="006A380D" w:rsidRPr="00431E2F" w:rsidRDefault="006A380D" w:rsidP="00A14364">
            <w:pPr>
              <w:spacing w:after="0"/>
              <w:jc w:val="right"/>
              <w:rPr>
                <w:sz w:val="22"/>
                <w:szCs w:val="22"/>
              </w:rPr>
            </w:pPr>
          </w:p>
        </w:tc>
        <w:tc>
          <w:tcPr>
            <w:tcW w:w="1162" w:type="dxa"/>
            <w:tcBorders>
              <w:top w:val="single" w:sz="4" w:space="0" w:color="auto"/>
              <w:left w:val="nil"/>
              <w:bottom w:val="nil"/>
              <w:right w:val="nil"/>
            </w:tcBorders>
            <w:vAlign w:val="bottom"/>
          </w:tcPr>
          <w:p w14:paraId="7C92F2B4" w14:textId="77777777" w:rsidR="006A380D" w:rsidRPr="00431E2F" w:rsidRDefault="006A380D" w:rsidP="00A14364">
            <w:pPr>
              <w:spacing w:after="0"/>
              <w:jc w:val="right"/>
              <w:rPr>
                <w:sz w:val="22"/>
                <w:szCs w:val="22"/>
              </w:rPr>
            </w:pPr>
          </w:p>
        </w:tc>
        <w:tc>
          <w:tcPr>
            <w:tcW w:w="1163" w:type="dxa"/>
            <w:tcBorders>
              <w:top w:val="single" w:sz="4" w:space="0" w:color="auto"/>
              <w:left w:val="nil"/>
              <w:bottom w:val="nil"/>
              <w:right w:val="nil"/>
            </w:tcBorders>
            <w:vAlign w:val="bottom"/>
          </w:tcPr>
          <w:p w14:paraId="2C75E0D2" w14:textId="77777777" w:rsidR="006A380D" w:rsidRPr="00431E2F" w:rsidRDefault="006A380D" w:rsidP="00A14364">
            <w:pPr>
              <w:spacing w:after="0"/>
              <w:jc w:val="right"/>
              <w:rPr>
                <w:sz w:val="22"/>
                <w:szCs w:val="22"/>
              </w:rPr>
            </w:pPr>
          </w:p>
        </w:tc>
      </w:tr>
      <w:tr w:rsidR="006A380D" w:rsidRPr="00431E2F" w14:paraId="630A942E" w14:textId="77777777" w:rsidTr="00A14364">
        <w:tc>
          <w:tcPr>
            <w:tcW w:w="2943" w:type="dxa"/>
            <w:vAlign w:val="bottom"/>
            <w:hideMark/>
          </w:tcPr>
          <w:p w14:paraId="1DABE902" w14:textId="77777777" w:rsidR="006A380D" w:rsidRPr="00431E2F" w:rsidRDefault="006A380D" w:rsidP="00A14364">
            <w:pPr>
              <w:tabs>
                <w:tab w:val="right" w:leader="dot" w:pos="2727"/>
              </w:tabs>
              <w:spacing w:after="0"/>
              <w:rPr>
                <w:sz w:val="22"/>
                <w:szCs w:val="22"/>
              </w:rPr>
            </w:pPr>
            <w:r w:rsidRPr="00431E2F">
              <w:rPr>
                <w:sz w:val="22"/>
                <w:szCs w:val="22"/>
              </w:rPr>
              <w:t>Samlet inntekt</w:t>
            </w:r>
            <w:r w:rsidRPr="00431E2F">
              <w:rPr>
                <w:sz w:val="22"/>
                <w:szCs w:val="22"/>
              </w:rPr>
              <w:tab/>
            </w:r>
          </w:p>
        </w:tc>
        <w:tc>
          <w:tcPr>
            <w:tcW w:w="1162" w:type="dxa"/>
            <w:vAlign w:val="bottom"/>
            <w:hideMark/>
          </w:tcPr>
          <w:p w14:paraId="6716A9D9" w14:textId="77777777" w:rsidR="006A380D" w:rsidRPr="00431E2F" w:rsidRDefault="006A380D" w:rsidP="00A14364">
            <w:pPr>
              <w:spacing w:after="0"/>
              <w:jc w:val="right"/>
              <w:rPr>
                <w:sz w:val="22"/>
                <w:szCs w:val="22"/>
              </w:rPr>
            </w:pPr>
            <w:r w:rsidRPr="00431E2F">
              <w:rPr>
                <w:sz w:val="22"/>
                <w:szCs w:val="22"/>
              </w:rPr>
              <w:t>189 200</w:t>
            </w:r>
          </w:p>
        </w:tc>
        <w:tc>
          <w:tcPr>
            <w:tcW w:w="1162" w:type="dxa"/>
            <w:vAlign w:val="bottom"/>
            <w:hideMark/>
          </w:tcPr>
          <w:p w14:paraId="6B7EC58B" w14:textId="77777777" w:rsidR="006A380D" w:rsidRPr="00431E2F" w:rsidRDefault="006A380D" w:rsidP="00A14364">
            <w:pPr>
              <w:spacing w:after="0"/>
              <w:jc w:val="right"/>
              <w:rPr>
                <w:sz w:val="22"/>
                <w:szCs w:val="22"/>
              </w:rPr>
            </w:pPr>
            <w:r w:rsidRPr="00431E2F">
              <w:rPr>
                <w:sz w:val="22"/>
                <w:szCs w:val="22"/>
              </w:rPr>
              <w:t>278 300</w:t>
            </w:r>
          </w:p>
        </w:tc>
        <w:tc>
          <w:tcPr>
            <w:tcW w:w="1163" w:type="dxa"/>
            <w:vAlign w:val="bottom"/>
            <w:hideMark/>
          </w:tcPr>
          <w:p w14:paraId="796D4BEB" w14:textId="77777777" w:rsidR="006A380D" w:rsidRPr="00431E2F" w:rsidRDefault="006A380D" w:rsidP="00A14364">
            <w:pPr>
              <w:spacing w:after="0"/>
              <w:jc w:val="right"/>
              <w:rPr>
                <w:sz w:val="22"/>
                <w:szCs w:val="22"/>
              </w:rPr>
            </w:pPr>
            <w:r w:rsidRPr="00431E2F">
              <w:rPr>
                <w:sz w:val="22"/>
                <w:szCs w:val="22"/>
              </w:rPr>
              <w:t>298 400</w:t>
            </w:r>
          </w:p>
        </w:tc>
        <w:tc>
          <w:tcPr>
            <w:tcW w:w="1162" w:type="dxa"/>
            <w:vAlign w:val="bottom"/>
            <w:hideMark/>
          </w:tcPr>
          <w:p w14:paraId="71068242" w14:textId="77777777" w:rsidR="006A380D" w:rsidRPr="00431E2F" w:rsidRDefault="006A380D" w:rsidP="00A14364">
            <w:pPr>
              <w:spacing w:after="0"/>
              <w:jc w:val="right"/>
              <w:rPr>
                <w:sz w:val="22"/>
                <w:szCs w:val="22"/>
              </w:rPr>
            </w:pPr>
            <w:r w:rsidRPr="00431E2F">
              <w:rPr>
                <w:sz w:val="22"/>
                <w:szCs w:val="22"/>
              </w:rPr>
              <w:t>314 700</w:t>
            </w:r>
          </w:p>
        </w:tc>
        <w:tc>
          <w:tcPr>
            <w:tcW w:w="1163" w:type="dxa"/>
            <w:vAlign w:val="bottom"/>
            <w:hideMark/>
          </w:tcPr>
          <w:p w14:paraId="21C022FA" w14:textId="77777777" w:rsidR="006A380D" w:rsidRPr="00431E2F" w:rsidRDefault="006A380D" w:rsidP="00A14364">
            <w:pPr>
              <w:spacing w:after="0"/>
              <w:jc w:val="right"/>
              <w:rPr>
                <w:sz w:val="22"/>
                <w:szCs w:val="22"/>
              </w:rPr>
            </w:pPr>
            <w:r w:rsidRPr="00431E2F">
              <w:rPr>
                <w:sz w:val="22"/>
                <w:szCs w:val="22"/>
              </w:rPr>
              <w:t>332 000</w:t>
            </w:r>
          </w:p>
        </w:tc>
      </w:tr>
      <w:tr w:rsidR="006A380D" w:rsidRPr="00431E2F" w14:paraId="339BAF6A" w14:textId="77777777" w:rsidTr="00A14364">
        <w:tc>
          <w:tcPr>
            <w:tcW w:w="2943" w:type="dxa"/>
            <w:vAlign w:val="bottom"/>
          </w:tcPr>
          <w:p w14:paraId="27E38DDE" w14:textId="77777777" w:rsidR="006A380D" w:rsidRPr="00431E2F" w:rsidRDefault="006A380D" w:rsidP="00A14364">
            <w:pPr>
              <w:tabs>
                <w:tab w:val="right" w:leader="dot" w:pos="2727"/>
              </w:tabs>
              <w:spacing w:after="0"/>
              <w:rPr>
                <w:i/>
                <w:sz w:val="22"/>
                <w:szCs w:val="22"/>
              </w:rPr>
            </w:pPr>
            <w:r w:rsidRPr="00431E2F">
              <w:rPr>
                <w:i/>
                <w:sz w:val="22"/>
                <w:szCs w:val="22"/>
              </w:rPr>
              <w:t>Herav andeler i prosent:</w:t>
            </w:r>
          </w:p>
        </w:tc>
        <w:tc>
          <w:tcPr>
            <w:tcW w:w="1162" w:type="dxa"/>
            <w:vAlign w:val="center"/>
          </w:tcPr>
          <w:p w14:paraId="5FC6395D" w14:textId="77777777" w:rsidR="006A380D" w:rsidRPr="00431E2F" w:rsidRDefault="006A380D" w:rsidP="00A14364">
            <w:pPr>
              <w:spacing w:after="0"/>
              <w:jc w:val="right"/>
              <w:rPr>
                <w:sz w:val="22"/>
                <w:szCs w:val="22"/>
              </w:rPr>
            </w:pPr>
          </w:p>
        </w:tc>
        <w:tc>
          <w:tcPr>
            <w:tcW w:w="1162" w:type="dxa"/>
            <w:vAlign w:val="bottom"/>
          </w:tcPr>
          <w:p w14:paraId="52939C12" w14:textId="77777777" w:rsidR="006A380D" w:rsidRPr="00431E2F" w:rsidRDefault="006A380D" w:rsidP="00A14364">
            <w:pPr>
              <w:spacing w:after="0"/>
              <w:jc w:val="right"/>
              <w:rPr>
                <w:sz w:val="22"/>
                <w:szCs w:val="22"/>
              </w:rPr>
            </w:pPr>
          </w:p>
        </w:tc>
        <w:tc>
          <w:tcPr>
            <w:tcW w:w="1163" w:type="dxa"/>
            <w:vAlign w:val="bottom"/>
          </w:tcPr>
          <w:p w14:paraId="03D73EFA" w14:textId="77777777" w:rsidR="006A380D" w:rsidRPr="00431E2F" w:rsidRDefault="006A380D" w:rsidP="00A14364">
            <w:pPr>
              <w:spacing w:after="0"/>
              <w:jc w:val="right"/>
              <w:rPr>
                <w:sz w:val="22"/>
                <w:szCs w:val="22"/>
              </w:rPr>
            </w:pPr>
          </w:p>
        </w:tc>
        <w:tc>
          <w:tcPr>
            <w:tcW w:w="1162" w:type="dxa"/>
            <w:vAlign w:val="bottom"/>
          </w:tcPr>
          <w:p w14:paraId="7397A787" w14:textId="77777777" w:rsidR="006A380D" w:rsidRPr="00431E2F" w:rsidRDefault="006A380D" w:rsidP="00A14364">
            <w:pPr>
              <w:spacing w:after="0"/>
              <w:jc w:val="right"/>
              <w:rPr>
                <w:sz w:val="22"/>
                <w:szCs w:val="22"/>
              </w:rPr>
            </w:pPr>
          </w:p>
        </w:tc>
        <w:tc>
          <w:tcPr>
            <w:tcW w:w="1163" w:type="dxa"/>
            <w:vAlign w:val="bottom"/>
          </w:tcPr>
          <w:p w14:paraId="1C02D46A" w14:textId="77777777" w:rsidR="006A380D" w:rsidRPr="00431E2F" w:rsidRDefault="006A380D" w:rsidP="00A14364">
            <w:pPr>
              <w:spacing w:after="0"/>
              <w:jc w:val="right"/>
              <w:rPr>
                <w:sz w:val="22"/>
                <w:szCs w:val="22"/>
              </w:rPr>
            </w:pPr>
          </w:p>
        </w:tc>
      </w:tr>
      <w:tr w:rsidR="006A380D" w:rsidRPr="00431E2F" w14:paraId="565C9A74" w14:textId="77777777" w:rsidTr="00A14364">
        <w:tc>
          <w:tcPr>
            <w:tcW w:w="2943" w:type="dxa"/>
            <w:vAlign w:val="bottom"/>
            <w:hideMark/>
          </w:tcPr>
          <w:p w14:paraId="76A5453A" w14:textId="77777777" w:rsidR="006A380D" w:rsidRPr="00431E2F" w:rsidRDefault="006A380D" w:rsidP="00A14364">
            <w:pPr>
              <w:tabs>
                <w:tab w:val="right" w:leader="dot" w:pos="2727"/>
              </w:tabs>
              <w:spacing w:after="0"/>
              <w:rPr>
                <w:sz w:val="22"/>
                <w:szCs w:val="22"/>
              </w:rPr>
            </w:pPr>
            <w:r w:rsidRPr="00431E2F">
              <w:rPr>
                <w:sz w:val="22"/>
                <w:szCs w:val="22"/>
              </w:rPr>
              <w:t>Alderspensjon</w:t>
            </w:r>
            <w:r w:rsidRPr="00431E2F">
              <w:rPr>
                <w:sz w:val="22"/>
                <w:szCs w:val="22"/>
              </w:rPr>
              <w:tab/>
            </w:r>
          </w:p>
        </w:tc>
        <w:tc>
          <w:tcPr>
            <w:tcW w:w="1162" w:type="dxa"/>
            <w:vAlign w:val="center"/>
            <w:hideMark/>
          </w:tcPr>
          <w:p w14:paraId="3D5DCC77" w14:textId="77777777" w:rsidR="006A380D" w:rsidRPr="00431E2F" w:rsidRDefault="006A380D" w:rsidP="00A14364">
            <w:pPr>
              <w:spacing w:after="0"/>
              <w:jc w:val="right"/>
              <w:rPr>
                <w:sz w:val="22"/>
                <w:szCs w:val="22"/>
              </w:rPr>
            </w:pPr>
            <w:r w:rsidRPr="00431E2F">
              <w:rPr>
                <w:sz w:val="22"/>
                <w:szCs w:val="22"/>
              </w:rPr>
              <w:t>65</w:t>
            </w:r>
          </w:p>
        </w:tc>
        <w:tc>
          <w:tcPr>
            <w:tcW w:w="1162" w:type="dxa"/>
            <w:vAlign w:val="bottom"/>
            <w:hideMark/>
          </w:tcPr>
          <w:p w14:paraId="5279B796" w14:textId="77777777" w:rsidR="006A380D" w:rsidRPr="00431E2F" w:rsidRDefault="006A380D" w:rsidP="00A14364">
            <w:pPr>
              <w:spacing w:after="0"/>
              <w:jc w:val="right"/>
              <w:rPr>
                <w:sz w:val="22"/>
                <w:szCs w:val="22"/>
              </w:rPr>
            </w:pPr>
            <w:r w:rsidRPr="00431E2F">
              <w:rPr>
                <w:sz w:val="22"/>
                <w:szCs w:val="22"/>
              </w:rPr>
              <w:t>66</w:t>
            </w:r>
          </w:p>
        </w:tc>
        <w:tc>
          <w:tcPr>
            <w:tcW w:w="1163" w:type="dxa"/>
            <w:vAlign w:val="bottom"/>
            <w:hideMark/>
          </w:tcPr>
          <w:p w14:paraId="2284E4D6" w14:textId="77777777" w:rsidR="006A380D" w:rsidRPr="00431E2F" w:rsidRDefault="006A380D" w:rsidP="00A14364">
            <w:pPr>
              <w:spacing w:after="0"/>
              <w:jc w:val="right"/>
              <w:rPr>
                <w:sz w:val="22"/>
                <w:szCs w:val="22"/>
              </w:rPr>
            </w:pPr>
            <w:r w:rsidRPr="00431E2F">
              <w:rPr>
                <w:sz w:val="22"/>
                <w:szCs w:val="22"/>
              </w:rPr>
              <w:t>65</w:t>
            </w:r>
          </w:p>
        </w:tc>
        <w:tc>
          <w:tcPr>
            <w:tcW w:w="1162" w:type="dxa"/>
            <w:vAlign w:val="bottom"/>
            <w:hideMark/>
          </w:tcPr>
          <w:p w14:paraId="5F4BBC6F" w14:textId="77777777" w:rsidR="006A380D" w:rsidRPr="00431E2F" w:rsidRDefault="006A380D" w:rsidP="00A14364">
            <w:pPr>
              <w:spacing w:after="0"/>
              <w:jc w:val="right"/>
              <w:rPr>
                <w:sz w:val="22"/>
                <w:szCs w:val="22"/>
              </w:rPr>
            </w:pPr>
            <w:r w:rsidRPr="00431E2F">
              <w:rPr>
                <w:sz w:val="22"/>
                <w:szCs w:val="22"/>
              </w:rPr>
              <w:t>64</w:t>
            </w:r>
          </w:p>
        </w:tc>
        <w:tc>
          <w:tcPr>
            <w:tcW w:w="1163" w:type="dxa"/>
            <w:vAlign w:val="bottom"/>
            <w:hideMark/>
          </w:tcPr>
          <w:p w14:paraId="7788CE3B" w14:textId="77777777" w:rsidR="006A380D" w:rsidRPr="00431E2F" w:rsidRDefault="006A380D" w:rsidP="00A14364">
            <w:pPr>
              <w:spacing w:after="0"/>
              <w:jc w:val="right"/>
              <w:rPr>
                <w:sz w:val="22"/>
                <w:szCs w:val="22"/>
              </w:rPr>
            </w:pPr>
            <w:r w:rsidRPr="00431E2F">
              <w:rPr>
                <w:sz w:val="22"/>
                <w:szCs w:val="22"/>
              </w:rPr>
              <w:t>63</w:t>
            </w:r>
          </w:p>
        </w:tc>
      </w:tr>
      <w:tr w:rsidR="006A380D" w:rsidRPr="00431E2F" w14:paraId="61078C9E" w14:textId="77777777" w:rsidTr="00A14364">
        <w:tc>
          <w:tcPr>
            <w:tcW w:w="2943" w:type="dxa"/>
            <w:vAlign w:val="bottom"/>
            <w:hideMark/>
          </w:tcPr>
          <w:p w14:paraId="399E3912" w14:textId="77777777" w:rsidR="006A380D" w:rsidRPr="00431E2F" w:rsidRDefault="006A380D" w:rsidP="00A14364">
            <w:pPr>
              <w:tabs>
                <w:tab w:val="right" w:leader="dot" w:pos="2727"/>
              </w:tabs>
              <w:spacing w:after="0"/>
              <w:rPr>
                <w:sz w:val="22"/>
                <w:szCs w:val="22"/>
              </w:rPr>
            </w:pPr>
            <w:r w:rsidRPr="00431E2F">
              <w:rPr>
                <w:sz w:val="22"/>
                <w:szCs w:val="22"/>
              </w:rPr>
              <w:t>Tjenestepensjon</w:t>
            </w:r>
            <w:r w:rsidRPr="00431E2F">
              <w:rPr>
                <w:sz w:val="22"/>
                <w:szCs w:val="22"/>
              </w:rPr>
              <w:tab/>
            </w:r>
          </w:p>
        </w:tc>
        <w:tc>
          <w:tcPr>
            <w:tcW w:w="1162" w:type="dxa"/>
            <w:vAlign w:val="center"/>
            <w:hideMark/>
          </w:tcPr>
          <w:p w14:paraId="060034B8" w14:textId="77777777" w:rsidR="006A380D" w:rsidRPr="00431E2F" w:rsidRDefault="006A380D" w:rsidP="00A14364">
            <w:pPr>
              <w:spacing w:after="0"/>
              <w:jc w:val="right"/>
              <w:rPr>
                <w:sz w:val="22"/>
                <w:szCs w:val="22"/>
              </w:rPr>
            </w:pPr>
            <w:r w:rsidRPr="00431E2F">
              <w:rPr>
                <w:sz w:val="22"/>
                <w:szCs w:val="22"/>
              </w:rPr>
              <w:t>17</w:t>
            </w:r>
          </w:p>
        </w:tc>
        <w:tc>
          <w:tcPr>
            <w:tcW w:w="1162" w:type="dxa"/>
            <w:vAlign w:val="bottom"/>
            <w:hideMark/>
          </w:tcPr>
          <w:p w14:paraId="50F32DC4" w14:textId="77777777" w:rsidR="006A380D" w:rsidRPr="00431E2F" w:rsidRDefault="006A380D" w:rsidP="00A14364">
            <w:pPr>
              <w:spacing w:after="0"/>
              <w:jc w:val="right"/>
              <w:rPr>
                <w:sz w:val="22"/>
                <w:szCs w:val="22"/>
              </w:rPr>
            </w:pPr>
            <w:r w:rsidRPr="00431E2F">
              <w:rPr>
                <w:sz w:val="22"/>
                <w:szCs w:val="22"/>
              </w:rPr>
              <w:t>17</w:t>
            </w:r>
          </w:p>
        </w:tc>
        <w:tc>
          <w:tcPr>
            <w:tcW w:w="1163" w:type="dxa"/>
            <w:vAlign w:val="bottom"/>
            <w:hideMark/>
          </w:tcPr>
          <w:p w14:paraId="1C2F9784" w14:textId="77777777" w:rsidR="006A380D" w:rsidRPr="00431E2F" w:rsidRDefault="006A380D" w:rsidP="00A14364">
            <w:pPr>
              <w:spacing w:after="0"/>
              <w:jc w:val="right"/>
              <w:rPr>
                <w:sz w:val="22"/>
                <w:szCs w:val="22"/>
              </w:rPr>
            </w:pPr>
            <w:r w:rsidRPr="00431E2F">
              <w:rPr>
                <w:sz w:val="22"/>
                <w:szCs w:val="22"/>
              </w:rPr>
              <w:t>17</w:t>
            </w:r>
          </w:p>
        </w:tc>
        <w:tc>
          <w:tcPr>
            <w:tcW w:w="1162" w:type="dxa"/>
            <w:vAlign w:val="bottom"/>
            <w:hideMark/>
          </w:tcPr>
          <w:p w14:paraId="68D4583A" w14:textId="77777777" w:rsidR="006A380D" w:rsidRPr="00431E2F" w:rsidRDefault="006A380D" w:rsidP="00A14364">
            <w:pPr>
              <w:spacing w:after="0"/>
              <w:jc w:val="right"/>
              <w:rPr>
                <w:sz w:val="22"/>
                <w:szCs w:val="22"/>
              </w:rPr>
            </w:pPr>
            <w:r w:rsidRPr="00431E2F">
              <w:rPr>
                <w:sz w:val="22"/>
                <w:szCs w:val="22"/>
              </w:rPr>
              <w:t>17</w:t>
            </w:r>
          </w:p>
        </w:tc>
        <w:tc>
          <w:tcPr>
            <w:tcW w:w="1163" w:type="dxa"/>
            <w:vAlign w:val="bottom"/>
            <w:hideMark/>
          </w:tcPr>
          <w:p w14:paraId="35498888" w14:textId="77777777" w:rsidR="006A380D" w:rsidRPr="00431E2F" w:rsidRDefault="006A380D" w:rsidP="00A14364">
            <w:pPr>
              <w:spacing w:after="0"/>
              <w:jc w:val="right"/>
              <w:rPr>
                <w:sz w:val="22"/>
                <w:szCs w:val="22"/>
              </w:rPr>
            </w:pPr>
            <w:r w:rsidRPr="00431E2F">
              <w:rPr>
                <w:sz w:val="22"/>
                <w:szCs w:val="22"/>
              </w:rPr>
              <w:t>17</w:t>
            </w:r>
          </w:p>
        </w:tc>
      </w:tr>
      <w:tr w:rsidR="006A380D" w:rsidRPr="00431E2F" w14:paraId="5B93DB2A" w14:textId="77777777" w:rsidTr="00A14364">
        <w:tc>
          <w:tcPr>
            <w:tcW w:w="2943" w:type="dxa"/>
            <w:vAlign w:val="bottom"/>
            <w:hideMark/>
          </w:tcPr>
          <w:p w14:paraId="79AA609D" w14:textId="77777777" w:rsidR="006A380D" w:rsidRPr="00431E2F" w:rsidRDefault="006A380D" w:rsidP="00A14364">
            <w:pPr>
              <w:tabs>
                <w:tab w:val="right" w:leader="dot" w:pos="2727"/>
              </w:tabs>
              <w:spacing w:after="0"/>
              <w:rPr>
                <w:sz w:val="22"/>
                <w:szCs w:val="22"/>
              </w:rPr>
            </w:pPr>
            <w:r w:rsidRPr="00431E2F">
              <w:rPr>
                <w:sz w:val="22"/>
                <w:szCs w:val="22"/>
              </w:rPr>
              <w:t>Andre overføringer</w:t>
            </w:r>
            <w:r w:rsidRPr="00431E2F">
              <w:rPr>
                <w:sz w:val="22"/>
                <w:szCs w:val="22"/>
                <w:vertAlign w:val="superscript"/>
              </w:rPr>
              <w:t>2</w:t>
            </w:r>
            <w:r w:rsidRPr="00431E2F">
              <w:rPr>
                <w:sz w:val="22"/>
                <w:szCs w:val="22"/>
              </w:rPr>
              <w:tab/>
            </w:r>
          </w:p>
        </w:tc>
        <w:tc>
          <w:tcPr>
            <w:tcW w:w="1162" w:type="dxa"/>
            <w:vAlign w:val="center"/>
            <w:hideMark/>
          </w:tcPr>
          <w:p w14:paraId="1849515C" w14:textId="77777777" w:rsidR="006A380D" w:rsidRPr="00431E2F" w:rsidRDefault="006A380D" w:rsidP="00A14364">
            <w:pPr>
              <w:spacing w:after="0"/>
              <w:jc w:val="right"/>
              <w:rPr>
                <w:sz w:val="22"/>
                <w:szCs w:val="22"/>
              </w:rPr>
            </w:pPr>
            <w:r w:rsidRPr="00431E2F">
              <w:rPr>
                <w:sz w:val="22"/>
                <w:szCs w:val="22"/>
              </w:rPr>
              <w:t>3</w:t>
            </w:r>
          </w:p>
        </w:tc>
        <w:tc>
          <w:tcPr>
            <w:tcW w:w="1162" w:type="dxa"/>
            <w:vAlign w:val="bottom"/>
            <w:hideMark/>
          </w:tcPr>
          <w:p w14:paraId="4FC306AB" w14:textId="77777777" w:rsidR="006A380D" w:rsidRPr="00431E2F" w:rsidRDefault="006A380D" w:rsidP="00A14364">
            <w:pPr>
              <w:spacing w:after="0"/>
              <w:jc w:val="right"/>
              <w:rPr>
                <w:sz w:val="22"/>
                <w:szCs w:val="22"/>
              </w:rPr>
            </w:pPr>
            <w:r w:rsidRPr="00431E2F">
              <w:rPr>
                <w:sz w:val="22"/>
                <w:szCs w:val="22"/>
              </w:rPr>
              <w:t>3</w:t>
            </w:r>
          </w:p>
        </w:tc>
        <w:tc>
          <w:tcPr>
            <w:tcW w:w="1163" w:type="dxa"/>
            <w:vAlign w:val="bottom"/>
            <w:hideMark/>
          </w:tcPr>
          <w:p w14:paraId="07E3BC92" w14:textId="77777777" w:rsidR="006A380D" w:rsidRPr="00431E2F" w:rsidRDefault="006A380D" w:rsidP="00A14364">
            <w:pPr>
              <w:spacing w:after="0"/>
              <w:jc w:val="right"/>
              <w:rPr>
                <w:sz w:val="22"/>
                <w:szCs w:val="22"/>
              </w:rPr>
            </w:pPr>
            <w:r w:rsidRPr="00431E2F">
              <w:rPr>
                <w:sz w:val="22"/>
                <w:szCs w:val="22"/>
              </w:rPr>
              <w:t>3</w:t>
            </w:r>
          </w:p>
        </w:tc>
        <w:tc>
          <w:tcPr>
            <w:tcW w:w="1162" w:type="dxa"/>
            <w:vAlign w:val="bottom"/>
            <w:hideMark/>
          </w:tcPr>
          <w:p w14:paraId="46C5D679" w14:textId="77777777" w:rsidR="006A380D" w:rsidRPr="00431E2F" w:rsidRDefault="006A380D" w:rsidP="00A14364">
            <w:pPr>
              <w:spacing w:after="0"/>
              <w:jc w:val="right"/>
              <w:rPr>
                <w:sz w:val="22"/>
                <w:szCs w:val="22"/>
              </w:rPr>
            </w:pPr>
            <w:r w:rsidRPr="00431E2F">
              <w:rPr>
                <w:sz w:val="22"/>
                <w:szCs w:val="22"/>
              </w:rPr>
              <w:t>3</w:t>
            </w:r>
          </w:p>
        </w:tc>
        <w:tc>
          <w:tcPr>
            <w:tcW w:w="1163" w:type="dxa"/>
            <w:vAlign w:val="bottom"/>
            <w:hideMark/>
          </w:tcPr>
          <w:p w14:paraId="2EC1CAF5" w14:textId="77777777" w:rsidR="006A380D" w:rsidRPr="00431E2F" w:rsidRDefault="006A380D" w:rsidP="00A14364">
            <w:pPr>
              <w:spacing w:after="0"/>
              <w:jc w:val="right"/>
              <w:rPr>
                <w:sz w:val="22"/>
                <w:szCs w:val="22"/>
              </w:rPr>
            </w:pPr>
            <w:r w:rsidRPr="00431E2F">
              <w:rPr>
                <w:sz w:val="22"/>
                <w:szCs w:val="22"/>
              </w:rPr>
              <w:t>3</w:t>
            </w:r>
          </w:p>
        </w:tc>
      </w:tr>
      <w:tr w:rsidR="006A380D" w:rsidRPr="00431E2F" w14:paraId="4FF0B750" w14:textId="77777777" w:rsidTr="00A14364">
        <w:tc>
          <w:tcPr>
            <w:tcW w:w="2943" w:type="dxa"/>
            <w:vAlign w:val="bottom"/>
            <w:hideMark/>
          </w:tcPr>
          <w:p w14:paraId="524BC302" w14:textId="77777777" w:rsidR="006A380D" w:rsidRPr="00431E2F" w:rsidRDefault="006A380D" w:rsidP="00A14364">
            <w:pPr>
              <w:tabs>
                <w:tab w:val="right" w:leader="dot" w:pos="2727"/>
              </w:tabs>
              <w:spacing w:after="0"/>
              <w:rPr>
                <w:sz w:val="22"/>
                <w:szCs w:val="22"/>
              </w:rPr>
            </w:pPr>
            <w:r w:rsidRPr="00431E2F">
              <w:rPr>
                <w:sz w:val="22"/>
                <w:szCs w:val="22"/>
              </w:rPr>
              <w:t>Yrkesinntekt</w:t>
            </w:r>
            <w:r w:rsidRPr="00431E2F">
              <w:rPr>
                <w:sz w:val="22"/>
                <w:szCs w:val="22"/>
              </w:rPr>
              <w:tab/>
            </w:r>
          </w:p>
        </w:tc>
        <w:tc>
          <w:tcPr>
            <w:tcW w:w="1162" w:type="dxa"/>
            <w:vAlign w:val="center"/>
            <w:hideMark/>
          </w:tcPr>
          <w:p w14:paraId="3F84FB05" w14:textId="77777777" w:rsidR="006A380D" w:rsidRPr="00431E2F" w:rsidRDefault="006A380D" w:rsidP="00A14364">
            <w:pPr>
              <w:spacing w:after="0"/>
              <w:jc w:val="right"/>
              <w:rPr>
                <w:sz w:val="22"/>
                <w:szCs w:val="22"/>
              </w:rPr>
            </w:pPr>
            <w:r w:rsidRPr="00431E2F">
              <w:rPr>
                <w:sz w:val="22"/>
                <w:szCs w:val="22"/>
              </w:rPr>
              <w:t>4</w:t>
            </w:r>
          </w:p>
        </w:tc>
        <w:tc>
          <w:tcPr>
            <w:tcW w:w="1162" w:type="dxa"/>
            <w:vAlign w:val="bottom"/>
            <w:hideMark/>
          </w:tcPr>
          <w:p w14:paraId="6B9EB9BE" w14:textId="77777777" w:rsidR="006A380D" w:rsidRPr="00431E2F" w:rsidRDefault="006A380D" w:rsidP="00A14364">
            <w:pPr>
              <w:spacing w:after="0"/>
              <w:jc w:val="right"/>
              <w:rPr>
                <w:sz w:val="22"/>
                <w:szCs w:val="22"/>
              </w:rPr>
            </w:pPr>
            <w:r w:rsidRPr="00431E2F">
              <w:rPr>
                <w:sz w:val="22"/>
                <w:szCs w:val="22"/>
              </w:rPr>
              <w:t>7</w:t>
            </w:r>
          </w:p>
        </w:tc>
        <w:tc>
          <w:tcPr>
            <w:tcW w:w="1163" w:type="dxa"/>
            <w:vAlign w:val="bottom"/>
            <w:hideMark/>
          </w:tcPr>
          <w:p w14:paraId="4348A070" w14:textId="77777777" w:rsidR="006A380D" w:rsidRPr="00431E2F" w:rsidRDefault="006A380D" w:rsidP="00A14364">
            <w:pPr>
              <w:spacing w:after="0"/>
              <w:jc w:val="right"/>
              <w:rPr>
                <w:sz w:val="22"/>
                <w:szCs w:val="22"/>
              </w:rPr>
            </w:pPr>
            <w:r w:rsidRPr="00431E2F">
              <w:rPr>
                <w:sz w:val="22"/>
                <w:szCs w:val="22"/>
              </w:rPr>
              <w:t>8</w:t>
            </w:r>
          </w:p>
        </w:tc>
        <w:tc>
          <w:tcPr>
            <w:tcW w:w="1162" w:type="dxa"/>
            <w:vAlign w:val="bottom"/>
            <w:hideMark/>
          </w:tcPr>
          <w:p w14:paraId="543FD09D" w14:textId="77777777" w:rsidR="006A380D" w:rsidRPr="00431E2F" w:rsidRDefault="006A380D" w:rsidP="00A14364">
            <w:pPr>
              <w:spacing w:after="0"/>
              <w:jc w:val="right"/>
              <w:rPr>
                <w:sz w:val="22"/>
                <w:szCs w:val="22"/>
              </w:rPr>
            </w:pPr>
            <w:r w:rsidRPr="00431E2F">
              <w:rPr>
                <w:sz w:val="22"/>
                <w:szCs w:val="22"/>
              </w:rPr>
              <w:t>8</w:t>
            </w:r>
          </w:p>
        </w:tc>
        <w:tc>
          <w:tcPr>
            <w:tcW w:w="1163" w:type="dxa"/>
            <w:vAlign w:val="bottom"/>
            <w:hideMark/>
          </w:tcPr>
          <w:p w14:paraId="2F32EE67" w14:textId="77777777" w:rsidR="006A380D" w:rsidRPr="00431E2F" w:rsidRDefault="006A380D" w:rsidP="00A14364">
            <w:pPr>
              <w:spacing w:after="0"/>
              <w:jc w:val="right"/>
              <w:rPr>
                <w:sz w:val="22"/>
                <w:szCs w:val="22"/>
              </w:rPr>
            </w:pPr>
            <w:r w:rsidRPr="00431E2F">
              <w:rPr>
                <w:sz w:val="22"/>
                <w:szCs w:val="22"/>
              </w:rPr>
              <w:t>9</w:t>
            </w:r>
          </w:p>
        </w:tc>
      </w:tr>
      <w:tr w:rsidR="006A380D" w:rsidRPr="00431E2F" w14:paraId="5237A20C" w14:textId="77777777" w:rsidTr="00A14364">
        <w:tc>
          <w:tcPr>
            <w:tcW w:w="2943" w:type="dxa"/>
            <w:vAlign w:val="bottom"/>
            <w:hideMark/>
          </w:tcPr>
          <w:p w14:paraId="60B5665B" w14:textId="77777777" w:rsidR="006A380D" w:rsidRPr="00431E2F" w:rsidRDefault="006A380D" w:rsidP="00A14364">
            <w:pPr>
              <w:tabs>
                <w:tab w:val="right" w:leader="dot" w:pos="2727"/>
              </w:tabs>
              <w:spacing w:after="0"/>
              <w:rPr>
                <w:sz w:val="22"/>
                <w:szCs w:val="22"/>
              </w:rPr>
            </w:pPr>
            <w:r w:rsidRPr="00431E2F">
              <w:rPr>
                <w:sz w:val="22"/>
                <w:szCs w:val="22"/>
              </w:rPr>
              <w:t>Kapitalinntekter</w:t>
            </w:r>
            <w:r w:rsidRPr="00431E2F">
              <w:rPr>
                <w:sz w:val="22"/>
                <w:szCs w:val="22"/>
              </w:rPr>
              <w:tab/>
            </w:r>
          </w:p>
        </w:tc>
        <w:tc>
          <w:tcPr>
            <w:tcW w:w="1162" w:type="dxa"/>
            <w:vAlign w:val="center"/>
            <w:hideMark/>
          </w:tcPr>
          <w:p w14:paraId="2A249949" w14:textId="77777777" w:rsidR="006A380D" w:rsidRPr="00431E2F" w:rsidRDefault="006A380D" w:rsidP="00A14364">
            <w:pPr>
              <w:spacing w:after="0"/>
              <w:jc w:val="right"/>
              <w:rPr>
                <w:sz w:val="22"/>
                <w:szCs w:val="22"/>
              </w:rPr>
            </w:pPr>
            <w:r w:rsidRPr="00431E2F">
              <w:rPr>
                <w:sz w:val="22"/>
                <w:szCs w:val="22"/>
              </w:rPr>
              <w:t>11</w:t>
            </w:r>
          </w:p>
        </w:tc>
        <w:tc>
          <w:tcPr>
            <w:tcW w:w="1162" w:type="dxa"/>
            <w:vAlign w:val="bottom"/>
            <w:hideMark/>
          </w:tcPr>
          <w:p w14:paraId="59195265" w14:textId="77777777" w:rsidR="006A380D" w:rsidRPr="00431E2F" w:rsidRDefault="006A380D" w:rsidP="00A14364">
            <w:pPr>
              <w:spacing w:after="0"/>
              <w:jc w:val="right"/>
              <w:rPr>
                <w:sz w:val="22"/>
                <w:szCs w:val="22"/>
              </w:rPr>
            </w:pPr>
            <w:r w:rsidRPr="00431E2F">
              <w:rPr>
                <w:sz w:val="22"/>
                <w:szCs w:val="22"/>
              </w:rPr>
              <w:t>7</w:t>
            </w:r>
          </w:p>
        </w:tc>
        <w:tc>
          <w:tcPr>
            <w:tcW w:w="1163" w:type="dxa"/>
            <w:vAlign w:val="bottom"/>
            <w:hideMark/>
          </w:tcPr>
          <w:p w14:paraId="3B7AD478" w14:textId="77777777" w:rsidR="006A380D" w:rsidRPr="00431E2F" w:rsidRDefault="006A380D" w:rsidP="00A14364">
            <w:pPr>
              <w:spacing w:after="0"/>
              <w:jc w:val="right"/>
              <w:rPr>
                <w:sz w:val="22"/>
                <w:szCs w:val="22"/>
              </w:rPr>
            </w:pPr>
            <w:r w:rsidRPr="00431E2F">
              <w:rPr>
                <w:sz w:val="22"/>
                <w:szCs w:val="22"/>
              </w:rPr>
              <w:t>7</w:t>
            </w:r>
          </w:p>
        </w:tc>
        <w:tc>
          <w:tcPr>
            <w:tcW w:w="1162" w:type="dxa"/>
            <w:vAlign w:val="bottom"/>
            <w:hideMark/>
          </w:tcPr>
          <w:p w14:paraId="7235C905" w14:textId="77777777" w:rsidR="006A380D" w:rsidRPr="00431E2F" w:rsidRDefault="006A380D" w:rsidP="00A14364">
            <w:pPr>
              <w:spacing w:after="0"/>
              <w:jc w:val="right"/>
              <w:rPr>
                <w:sz w:val="22"/>
                <w:szCs w:val="22"/>
              </w:rPr>
            </w:pPr>
            <w:r w:rsidRPr="00431E2F">
              <w:rPr>
                <w:sz w:val="22"/>
                <w:szCs w:val="22"/>
              </w:rPr>
              <w:t>8</w:t>
            </w:r>
          </w:p>
        </w:tc>
        <w:tc>
          <w:tcPr>
            <w:tcW w:w="1163" w:type="dxa"/>
            <w:vAlign w:val="bottom"/>
            <w:hideMark/>
          </w:tcPr>
          <w:p w14:paraId="146DC552" w14:textId="77777777" w:rsidR="006A380D" w:rsidRPr="00431E2F" w:rsidRDefault="006A380D" w:rsidP="00A14364">
            <w:pPr>
              <w:spacing w:after="0"/>
              <w:jc w:val="right"/>
              <w:rPr>
                <w:sz w:val="22"/>
                <w:szCs w:val="22"/>
              </w:rPr>
            </w:pPr>
            <w:r w:rsidRPr="00431E2F">
              <w:rPr>
                <w:sz w:val="22"/>
                <w:szCs w:val="22"/>
              </w:rPr>
              <w:t>8</w:t>
            </w:r>
          </w:p>
        </w:tc>
      </w:tr>
      <w:tr w:rsidR="006A380D" w:rsidRPr="00431E2F" w14:paraId="2B9028AF" w14:textId="77777777" w:rsidTr="00A14364">
        <w:tc>
          <w:tcPr>
            <w:tcW w:w="2943" w:type="dxa"/>
            <w:vAlign w:val="bottom"/>
          </w:tcPr>
          <w:p w14:paraId="3B50763C" w14:textId="77777777" w:rsidR="006A380D" w:rsidRPr="00431E2F" w:rsidRDefault="006A380D" w:rsidP="00A14364">
            <w:pPr>
              <w:tabs>
                <w:tab w:val="right" w:leader="dot" w:pos="2727"/>
              </w:tabs>
              <w:spacing w:after="0"/>
              <w:rPr>
                <w:sz w:val="22"/>
                <w:szCs w:val="22"/>
              </w:rPr>
            </w:pPr>
          </w:p>
        </w:tc>
        <w:tc>
          <w:tcPr>
            <w:tcW w:w="1162" w:type="dxa"/>
            <w:vAlign w:val="bottom"/>
          </w:tcPr>
          <w:p w14:paraId="18D4A767" w14:textId="77777777" w:rsidR="006A380D" w:rsidRPr="00431E2F" w:rsidRDefault="006A380D" w:rsidP="00A14364">
            <w:pPr>
              <w:spacing w:after="0"/>
              <w:jc w:val="right"/>
              <w:rPr>
                <w:sz w:val="22"/>
                <w:szCs w:val="22"/>
              </w:rPr>
            </w:pPr>
          </w:p>
        </w:tc>
        <w:tc>
          <w:tcPr>
            <w:tcW w:w="1162" w:type="dxa"/>
            <w:vAlign w:val="bottom"/>
          </w:tcPr>
          <w:p w14:paraId="3126D876" w14:textId="77777777" w:rsidR="006A380D" w:rsidRPr="00431E2F" w:rsidRDefault="006A380D" w:rsidP="00A14364">
            <w:pPr>
              <w:spacing w:after="0"/>
              <w:jc w:val="right"/>
              <w:rPr>
                <w:sz w:val="22"/>
                <w:szCs w:val="22"/>
              </w:rPr>
            </w:pPr>
          </w:p>
        </w:tc>
        <w:tc>
          <w:tcPr>
            <w:tcW w:w="1163" w:type="dxa"/>
            <w:vAlign w:val="bottom"/>
          </w:tcPr>
          <w:p w14:paraId="3A4AE9A1" w14:textId="77777777" w:rsidR="006A380D" w:rsidRPr="00431E2F" w:rsidRDefault="006A380D" w:rsidP="00A14364">
            <w:pPr>
              <w:spacing w:after="0"/>
              <w:jc w:val="right"/>
              <w:rPr>
                <w:sz w:val="22"/>
                <w:szCs w:val="22"/>
              </w:rPr>
            </w:pPr>
          </w:p>
        </w:tc>
        <w:tc>
          <w:tcPr>
            <w:tcW w:w="1162" w:type="dxa"/>
            <w:vAlign w:val="bottom"/>
          </w:tcPr>
          <w:p w14:paraId="66F19942" w14:textId="77777777" w:rsidR="006A380D" w:rsidRPr="00431E2F" w:rsidRDefault="006A380D" w:rsidP="00A14364">
            <w:pPr>
              <w:spacing w:after="0"/>
              <w:jc w:val="right"/>
              <w:rPr>
                <w:sz w:val="22"/>
                <w:szCs w:val="22"/>
              </w:rPr>
            </w:pPr>
          </w:p>
        </w:tc>
        <w:tc>
          <w:tcPr>
            <w:tcW w:w="1163" w:type="dxa"/>
            <w:vAlign w:val="bottom"/>
          </w:tcPr>
          <w:p w14:paraId="5D9155A9" w14:textId="77777777" w:rsidR="006A380D" w:rsidRPr="00431E2F" w:rsidRDefault="006A380D" w:rsidP="00A14364">
            <w:pPr>
              <w:spacing w:after="0"/>
              <w:jc w:val="right"/>
              <w:rPr>
                <w:sz w:val="22"/>
                <w:szCs w:val="22"/>
              </w:rPr>
            </w:pPr>
          </w:p>
        </w:tc>
      </w:tr>
      <w:tr w:rsidR="006A380D" w:rsidRPr="00431E2F" w14:paraId="1BC34E30" w14:textId="77777777" w:rsidTr="00A14364">
        <w:tc>
          <w:tcPr>
            <w:tcW w:w="2943" w:type="dxa"/>
            <w:vAlign w:val="bottom"/>
            <w:hideMark/>
          </w:tcPr>
          <w:p w14:paraId="547597D1" w14:textId="77777777" w:rsidR="006A380D" w:rsidRPr="00431E2F" w:rsidRDefault="006A380D" w:rsidP="00A14364">
            <w:pPr>
              <w:tabs>
                <w:tab w:val="right" w:leader="dot" w:pos="2727"/>
              </w:tabs>
              <w:spacing w:after="0"/>
              <w:rPr>
                <w:i/>
                <w:sz w:val="22"/>
                <w:szCs w:val="22"/>
              </w:rPr>
            </w:pPr>
            <w:r w:rsidRPr="00431E2F">
              <w:rPr>
                <w:i/>
                <w:sz w:val="22"/>
                <w:szCs w:val="22"/>
              </w:rPr>
              <w:t>62-66 år</w:t>
            </w:r>
          </w:p>
        </w:tc>
        <w:tc>
          <w:tcPr>
            <w:tcW w:w="1162" w:type="dxa"/>
            <w:vAlign w:val="bottom"/>
          </w:tcPr>
          <w:p w14:paraId="3E4E0963" w14:textId="77777777" w:rsidR="006A380D" w:rsidRPr="00431E2F" w:rsidRDefault="006A380D" w:rsidP="00A14364">
            <w:pPr>
              <w:spacing w:after="0"/>
              <w:jc w:val="right"/>
              <w:rPr>
                <w:sz w:val="22"/>
                <w:szCs w:val="22"/>
              </w:rPr>
            </w:pPr>
          </w:p>
        </w:tc>
        <w:tc>
          <w:tcPr>
            <w:tcW w:w="1162" w:type="dxa"/>
            <w:vAlign w:val="bottom"/>
          </w:tcPr>
          <w:p w14:paraId="52CAFA59" w14:textId="77777777" w:rsidR="006A380D" w:rsidRPr="00431E2F" w:rsidRDefault="006A380D" w:rsidP="00A14364">
            <w:pPr>
              <w:spacing w:after="0"/>
              <w:jc w:val="right"/>
              <w:rPr>
                <w:sz w:val="22"/>
                <w:szCs w:val="22"/>
              </w:rPr>
            </w:pPr>
          </w:p>
        </w:tc>
        <w:tc>
          <w:tcPr>
            <w:tcW w:w="1163" w:type="dxa"/>
            <w:vAlign w:val="bottom"/>
          </w:tcPr>
          <w:p w14:paraId="4FF30AF0" w14:textId="77777777" w:rsidR="006A380D" w:rsidRPr="00431E2F" w:rsidRDefault="006A380D" w:rsidP="00A14364">
            <w:pPr>
              <w:spacing w:after="0"/>
              <w:jc w:val="right"/>
              <w:rPr>
                <w:sz w:val="22"/>
                <w:szCs w:val="22"/>
              </w:rPr>
            </w:pPr>
          </w:p>
        </w:tc>
        <w:tc>
          <w:tcPr>
            <w:tcW w:w="1162" w:type="dxa"/>
            <w:vAlign w:val="bottom"/>
          </w:tcPr>
          <w:p w14:paraId="39F77487" w14:textId="77777777" w:rsidR="006A380D" w:rsidRPr="00431E2F" w:rsidRDefault="006A380D" w:rsidP="00A14364">
            <w:pPr>
              <w:spacing w:after="0"/>
              <w:jc w:val="right"/>
              <w:rPr>
                <w:sz w:val="22"/>
                <w:szCs w:val="22"/>
              </w:rPr>
            </w:pPr>
          </w:p>
        </w:tc>
        <w:tc>
          <w:tcPr>
            <w:tcW w:w="1163" w:type="dxa"/>
            <w:vAlign w:val="bottom"/>
          </w:tcPr>
          <w:p w14:paraId="653E22A0" w14:textId="77777777" w:rsidR="006A380D" w:rsidRPr="00431E2F" w:rsidRDefault="006A380D" w:rsidP="00A14364">
            <w:pPr>
              <w:spacing w:after="0"/>
              <w:jc w:val="right"/>
              <w:rPr>
                <w:sz w:val="22"/>
                <w:szCs w:val="22"/>
              </w:rPr>
            </w:pPr>
          </w:p>
        </w:tc>
      </w:tr>
      <w:tr w:rsidR="006A380D" w:rsidRPr="00431E2F" w14:paraId="7AF6A0AC" w14:textId="77777777" w:rsidTr="00A14364">
        <w:tc>
          <w:tcPr>
            <w:tcW w:w="2943" w:type="dxa"/>
            <w:vAlign w:val="bottom"/>
            <w:hideMark/>
          </w:tcPr>
          <w:p w14:paraId="2E9B36CB" w14:textId="77777777" w:rsidR="006A380D" w:rsidRPr="00431E2F" w:rsidRDefault="006A380D" w:rsidP="00A14364">
            <w:pPr>
              <w:tabs>
                <w:tab w:val="right" w:leader="dot" w:pos="2727"/>
              </w:tabs>
              <w:spacing w:after="0"/>
              <w:rPr>
                <w:sz w:val="22"/>
                <w:szCs w:val="22"/>
              </w:rPr>
            </w:pPr>
            <w:r w:rsidRPr="00431E2F">
              <w:rPr>
                <w:sz w:val="22"/>
                <w:szCs w:val="22"/>
              </w:rPr>
              <w:t>Samlet inntekt</w:t>
            </w:r>
            <w:r w:rsidRPr="00431E2F">
              <w:rPr>
                <w:sz w:val="22"/>
                <w:szCs w:val="22"/>
              </w:rPr>
              <w:tab/>
            </w:r>
          </w:p>
        </w:tc>
        <w:tc>
          <w:tcPr>
            <w:tcW w:w="1162" w:type="dxa"/>
            <w:vAlign w:val="bottom"/>
          </w:tcPr>
          <w:p w14:paraId="1391DBCC" w14:textId="77777777" w:rsidR="006A380D" w:rsidRPr="00431E2F" w:rsidRDefault="006A380D" w:rsidP="00A14364">
            <w:pPr>
              <w:spacing w:after="0"/>
              <w:jc w:val="right"/>
              <w:rPr>
                <w:sz w:val="22"/>
                <w:szCs w:val="22"/>
              </w:rPr>
            </w:pPr>
          </w:p>
        </w:tc>
        <w:tc>
          <w:tcPr>
            <w:tcW w:w="1162" w:type="dxa"/>
            <w:vAlign w:val="bottom"/>
          </w:tcPr>
          <w:p w14:paraId="5DA9D09D" w14:textId="77777777" w:rsidR="006A380D" w:rsidRPr="00431E2F" w:rsidRDefault="006A380D" w:rsidP="00A14364">
            <w:pPr>
              <w:spacing w:after="0"/>
              <w:jc w:val="right"/>
              <w:rPr>
                <w:sz w:val="22"/>
                <w:szCs w:val="22"/>
              </w:rPr>
            </w:pPr>
          </w:p>
        </w:tc>
        <w:tc>
          <w:tcPr>
            <w:tcW w:w="1163" w:type="dxa"/>
            <w:vAlign w:val="bottom"/>
            <w:hideMark/>
          </w:tcPr>
          <w:p w14:paraId="56B4F704" w14:textId="77777777" w:rsidR="006A380D" w:rsidRPr="00431E2F" w:rsidRDefault="006A380D" w:rsidP="00A14364">
            <w:pPr>
              <w:spacing w:after="0"/>
              <w:jc w:val="right"/>
              <w:rPr>
                <w:sz w:val="22"/>
                <w:szCs w:val="22"/>
              </w:rPr>
            </w:pPr>
            <w:r w:rsidRPr="00431E2F">
              <w:rPr>
                <w:sz w:val="22"/>
                <w:szCs w:val="22"/>
              </w:rPr>
              <w:t>641 000</w:t>
            </w:r>
          </w:p>
        </w:tc>
        <w:tc>
          <w:tcPr>
            <w:tcW w:w="1162" w:type="dxa"/>
            <w:vAlign w:val="bottom"/>
            <w:hideMark/>
          </w:tcPr>
          <w:p w14:paraId="77754870" w14:textId="77777777" w:rsidR="006A380D" w:rsidRPr="00431E2F" w:rsidRDefault="006A380D" w:rsidP="00A14364">
            <w:pPr>
              <w:spacing w:after="0"/>
              <w:jc w:val="right"/>
              <w:rPr>
                <w:sz w:val="22"/>
                <w:szCs w:val="22"/>
              </w:rPr>
            </w:pPr>
            <w:r w:rsidRPr="00431E2F">
              <w:rPr>
                <w:sz w:val="22"/>
                <w:szCs w:val="22"/>
              </w:rPr>
              <w:t>696 400</w:t>
            </w:r>
          </w:p>
        </w:tc>
        <w:tc>
          <w:tcPr>
            <w:tcW w:w="1163" w:type="dxa"/>
            <w:vAlign w:val="bottom"/>
            <w:hideMark/>
          </w:tcPr>
          <w:p w14:paraId="6968F7C8" w14:textId="77777777" w:rsidR="006A380D" w:rsidRPr="00431E2F" w:rsidRDefault="006A380D" w:rsidP="00A14364">
            <w:pPr>
              <w:spacing w:after="0"/>
              <w:jc w:val="right"/>
              <w:rPr>
                <w:sz w:val="22"/>
                <w:szCs w:val="22"/>
              </w:rPr>
            </w:pPr>
            <w:r w:rsidRPr="00431E2F">
              <w:rPr>
                <w:sz w:val="22"/>
                <w:szCs w:val="22"/>
              </w:rPr>
              <w:t>715 700</w:t>
            </w:r>
          </w:p>
        </w:tc>
      </w:tr>
      <w:tr w:rsidR="006A380D" w:rsidRPr="00431E2F" w14:paraId="3CCD6BF4" w14:textId="77777777" w:rsidTr="00A14364">
        <w:tc>
          <w:tcPr>
            <w:tcW w:w="2943" w:type="dxa"/>
            <w:vAlign w:val="bottom"/>
          </w:tcPr>
          <w:p w14:paraId="627EF1B3" w14:textId="77777777" w:rsidR="006A380D" w:rsidRPr="00431E2F" w:rsidRDefault="006A380D" w:rsidP="00A14364">
            <w:pPr>
              <w:tabs>
                <w:tab w:val="right" w:leader="dot" w:pos="2727"/>
              </w:tabs>
              <w:spacing w:after="0"/>
              <w:rPr>
                <w:sz w:val="22"/>
                <w:szCs w:val="22"/>
              </w:rPr>
            </w:pPr>
            <w:r w:rsidRPr="00431E2F">
              <w:rPr>
                <w:i/>
                <w:sz w:val="22"/>
                <w:szCs w:val="22"/>
              </w:rPr>
              <w:t>Herav andeler i prosent:</w:t>
            </w:r>
          </w:p>
        </w:tc>
        <w:tc>
          <w:tcPr>
            <w:tcW w:w="1162" w:type="dxa"/>
            <w:vAlign w:val="bottom"/>
          </w:tcPr>
          <w:p w14:paraId="3B0B4CC0" w14:textId="77777777" w:rsidR="006A380D" w:rsidRPr="00431E2F" w:rsidRDefault="006A380D" w:rsidP="00A14364">
            <w:pPr>
              <w:spacing w:after="0"/>
              <w:jc w:val="right"/>
              <w:rPr>
                <w:sz w:val="22"/>
                <w:szCs w:val="22"/>
              </w:rPr>
            </w:pPr>
          </w:p>
        </w:tc>
        <w:tc>
          <w:tcPr>
            <w:tcW w:w="1162" w:type="dxa"/>
            <w:vAlign w:val="bottom"/>
          </w:tcPr>
          <w:p w14:paraId="3B8C2ABB" w14:textId="77777777" w:rsidR="006A380D" w:rsidRPr="00431E2F" w:rsidRDefault="006A380D" w:rsidP="00A14364">
            <w:pPr>
              <w:spacing w:after="0"/>
              <w:jc w:val="right"/>
              <w:rPr>
                <w:sz w:val="22"/>
                <w:szCs w:val="22"/>
              </w:rPr>
            </w:pPr>
          </w:p>
        </w:tc>
        <w:tc>
          <w:tcPr>
            <w:tcW w:w="1163" w:type="dxa"/>
            <w:vAlign w:val="bottom"/>
          </w:tcPr>
          <w:p w14:paraId="0B501EA1" w14:textId="77777777" w:rsidR="006A380D" w:rsidRPr="00431E2F" w:rsidRDefault="006A380D" w:rsidP="00A14364">
            <w:pPr>
              <w:spacing w:after="0"/>
              <w:jc w:val="right"/>
              <w:rPr>
                <w:sz w:val="22"/>
                <w:szCs w:val="22"/>
              </w:rPr>
            </w:pPr>
          </w:p>
        </w:tc>
        <w:tc>
          <w:tcPr>
            <w:tcW w:w="1162" w:type="dxa"/>
            <w:vAlign w:val="bottom"/>
          </w:tcPr>
          <w:p w14:paraId="1BB3C009" w14:textId="77777777" w:rsidR="006A380D" w:rsidRPr="00431E2F" w:rsidRDefault="006A380D" w:rsidP="00A14364">
            <w:pPr>
              <w:spacing w:after="0"/>
              <w:jc w:val="right"/>
              <w:rPr>
                <w:sz w:val="22"/>
                <w:szCs w:val="22"/>
              </w:rPr>
            </w:pPr>
          </w:p>
        </w:tc>
        <w:tc>
          <w:tcPr>
            <w:tcW w:w="1163" w:type="dxa"/>
            <w:vAlign w:val="bottom"/>
          </w:tcPr>
          <w:p w14:paraId="59DADFED" w14:textId="77777777" w:rsidR="006A380D" w:rsidRPr="00431E2F" w:rsidRDefault="006A380D" w:rsidP="00A14364">
            <w:pPr>
              <w:spacing w:after="0"/>
              <w:jc w:val="right"/>
              <w:rPr>
                <w:sz w:val="22"/>
                <w:szCs w:val="22"/>
              </w:rPr>
            </w:pPr>
          </w:p>
        </w:tc>
      </w:tr>
      <w:tr w:rsidR="006A380D" w:rsidRPr="00431E2F" w14:paraId="39B37CCA" w14:textId="77777777" w:rsidTr="00A14364">
        <w:tc>
          <w:tcPr>
            <w:tcW w:w="2943" w:type="dxa"/>
            <w:vAlign w:val="bottom"/>
            <w:hideMark/>
          </w:tcPr>
          <w:p w14:paraId="2FB335DA" w14:textId="77777777" w:rsidR="006A380D" w:rsidRPr="00431E2F" w:rsidRDefault="006A380D" w:rsidP="00A14364">
            <w:pPr>
              <w:tabs>
                <w:tab w:val="right" w:leader="dot" w:pos="2727"/>
              </w:tabs>
              <w:spacing w:after="0"/>
              <w:rPr>
                <w:sz w:val="22"/>
                <w:szCs w:val="22"/>
              </w:rPr>
            </w:pPr>
            <w:r w:rsidRPr="00431E2F">
              <w:rPr>
                <w:sz w:val="22"/>
                <w:szCs w:val="22"/>
              </w:rPr>
              <w:t>Alderspensjon</w:t>
            </w:r>
            <w:r w:rsidRPr="00431E2F">
              <w:rPr>
                <w:sz w:val="22"/>
                <w:szCs w:val="22"/>
              </w:rPr>
              <w:tab/>
            </w:r>
          </w:p>
        </w:tc>
        <w:tc>
          <w:tcPr>
            <w:tcW w:w="1162" w:type="dxa"/>
            <w:vAlign w:val="bottom"/>
          </w:tcPr>
          <w:p w14:paraId="0925A73E" w14:textId="77777777" w:rsidR="006A380D" w:rsidRPr="00431E2F" w:rsidRDefault="006A380D" w:rsidP="00A14364">
            <w:pPr>
              <w:spacing w:after="0"/>
              <w:jc w:val="right"/>
              <w:rPr>
                <w:sz w:val="22"/>
                <w:szCs w:val="22"/>
              </w:rPr>
            </w:pPr>
          </w:p>
        </w:tc>
        <w:tc>
          <w:tcPr>
            <w:tcW w:w="1162" w:type="dxa"/>
            <w:vAlign w:val="bottom"/>
          </w:tcPr>
          <w:p w14:paraId="048DAE19" w14:textId="77777777" w:rsidR="006A380D" w:rsidRPr="00431E2F" w:rsidRDefault="006A380D" w:rsidP="00A14364">
            <w:pPr>
              <w:spacing w:after="0"/>
              <w:jc w:val="right"/>
              <w:rPr>
                <w:sz w:val="22"/>
                <w:szCs w:val="22"/>
              </w:rPr>
            </w:pPr>
          </w:p>
        </w:tc>
        <w:tc>
          <w:tcPr>
            <w:tcW w:w="1163" w:type="dxa"/>
            <w:vAlign w:val="bottom"/>
            <w:hideMark/>
          </w:tcPr>
          <w:p w14:paraId="4A5CADE1" w14:textId="77777777" w:rsidR="006A380D" w:rsidRPr="00431E2F" w:rsidRDefault="006A380D" w:rsidP="00A14364">
            <w:pPr>
              <w:spacing w:after="0"/>
              <w:jc w:val="right"/>
              <w:rPr>
                <w:sz w:val="22"/>
                <w:szCs w:val="22"/>
              </w:rPr>
            </w:pPr>
            <w:r w:rsidRPr="00431E2F">
              <w:rPr>
                <w:sz w:val="22"/>
                <w:szCs w:val="22"/>
              </w:rPr>
              <w:t>20</w:t>
            </w:r>
          </w:p>
        </w:tc>
        <w:tc>
          <w:tcPr>
            <w:tcW w:w="1162" w:type="dxa"/>
            <w:vAlign w:val="bottom"/>
            <w:hideMark/>
          </w:tcPr>
          <w:p w14:paraId="60875E70" w14:textId="77777777" w:rsidR="006A380D" w:rsidRPr="00431E2F" w:rsidRDefault="006A380D" w:rsidP="00A14364">
            <w:pPr>
              <w:spacing w:after="0"/>
              <w:jc w:val="right"/>
              <w:rPr>
                <w:sz w:val="22"/>
                <w:szCs w:val="22"/>
              </w:rPr>
            </w:pPr>
            <w:r w:rsidRPr="00431E2F">
              <w:rPr>
                <w:sz w:val="22"/>
                <w:szCs w:val="22"/>
              </w:rPr>
              <w:t>24</w:t>
            </w:r>
          </w:p>
        </w:tc>
        <w:tc>
          <w:tcPr>
            <w:tcW w:w="1163" w:type="dxa"/>
            <w:vAlign w:val="bottom"/>
            <w:hideMark/>
          </w:tcPr>
          <w:p w14:paraId="443ED663" w14:textId="77777777" w:rsidR="006A380D" w:rsidRPr="00431E2F" w:rsidRDefault="006A380D" w:rsidP="00A14364">
            <w:pPr>
              <w:spacing w:after="0"/>
              <w:jc w:val="right"/>
              <w:rPr>
                <w:sz w:val="22"/>
                <w:szCs w:val="22"/>
              </w:rPr>
            </w:pPr>
            <w:r w:rsidRPr="00431E2F">
              <w:rPr>
                <w:sz w:val="22"/>
                <w:szCs w:val="22"/>
              </w:rPr>
              <w:t>24</w:t>
            </w:r>
          </w:p>
        </w:tc>
      </w:tr>
      <w:tr w:rsidR="006A380D" w:rsidRPr="00431E2F" w14:paraId="7DC9D9EC" w14:textId="77777777" w:rsidTr="00A14364">
        <w:tc>
          <w:tcPr>
            <w:tcW w:w="2943" w:type="dxa"/>
            <w:vAlign w:val="bottom"/>
            <w:hideMark/>
          </w:tcPr>
          <w:p w14:paraId="35C72FA5" w14:textId="77777777" w:rsidR="006A380D" w:rsidRPr="00431E2F" w:rsidRDefault="006A380D" w:rsidP="00A14364">
            <w:pPr>
              <w:tabs>
                <w:tab w:val="right" w:leader="dot" w:pos="2727"/>
              </w:tabs>
              <w:spacing w:after="0"/>
              <w:rPr>
                <w:sz w:val="22"/>
                <w:szCs w:val="22"/>
              </w:rPr>
            </w:pPr>
            <w:r w:rsidRPr="00431E2F">
              <w:rPr>
                <w:sz w:val="22"/>
                <w:szCs w:val="22"/>
              </w:rPr>
              <w:t>Tjenestepensjon</w:t>
            </w:r>
            <w:r w:rsidRPr="00431E2F">
              <w:rPr>
                <w:sz w:val="22"/>
                <w:szCs w:val="22"/>
              </w:rPr>
              <w:tab/>
            </w:r>
          </w:p>
        </w:tc>
        <w:tc>
          <w:tcPr>
            <w:tcW w:w="1162" w:type="dxa"/>
            <w:vAlign w:val="bottom"/>
          </w:tcPr>
          <w:p w14:paraId="357B93C0" w14:textId="77777777" w:rsidR="006A380D" w:rsidRPr="00431E2F" w:rsidRDefault="006A380D" w:rsidP="00A14364">
            <w:pPr>
              <w:spacing w:after="0"/>
              <w:jc w:val="right"/>
              <w:rPr>
                <w:sz w:val="22"/>
                <w:szCs w:val="22"/>
              </w:rPr>
            </w:pPr>
          </w:p>
        </w:tc>
        <w:tc>
          <w:tcPr>
            <w:tcW w:w="1162" w:type="dxa"/>
            <w:vAlign w:val="bottom"/>
          </w:tcPr>
          <w:p w14:paraId="60DFF92D" w14:textId="77777777" w:rsidR="006A380D" w:rsidRPr="00431E2F" w:rsidRDefault="006A380D" w:rsidP="00A14364">
            <w:pPr>
              <w:spacing w:after="0"/>
              <w:jc w:val="right"/>
              <w:rPr>
                <w:sz w:val="22"/>
                <w:szCs w:val="22"/>
              </w:rPr>
            </w:pPr>
          </w:p>
        </w:tc>
        <w:tc>
          <w:tcPr>
            <w:tcW w:w="1163" w:type="dxa"/>
            <w:vAlign w:val="bottom"/>
            <w:hideMark/>
          </w:tcPr>
          <w:p w14:paraId="0B6717AE" w14:textId="77777777" w:rsidR="006A380D" w:rsidRPr="00431E2F" w:rsidRDefault="006A380D" w:rsidP="00A14364">
            <w:pPr>
              <w:spacing w:after="0"/>
              <w:jc w:val="right"/>
              <w:rPr>
                <w:sz w:val="22"/>
                <w:szCs w:val="22"/>
              </w:rPr>
            </w:pPr>
            <w:r w:rsidRPr="00431E2F">
              <w:rPr>
                <w:sz w:val="22"/>
                <w:szCs w:val="22"/>
              </w:rPr>
              <w:t>6</w:t>
            </w:r>
          </w:p>
        </w:tc>
        <w:tc>
          <w:tcPr>
            <w:tcW w:w="1162" w:type="dxa"/>
            <w:vAlign w:val="bottom"/>
            <w:hideMark/>
          </w:tcPr>
          <w:p w14:paraId="0D042A02" w14:textId="77777777" w:rsidR="006A380D" w:rsidRPr="00431E2F" w:rsidRDefault="006A380D" w:rsidP="00A14364">
            <w:pPr>
              <w:spacing w:after="0"/>
              <w:jc w:val="right"/>
              <w:rPr>
                <w:sz w:val="22"/>
                <w:szCs w:val="22"/>
              </w:rPr>
            </w:pPr>
            <w:r w:rsidRPr="00431E2F">
              <w:rPr>
                <w:sz w:val="22"/>
                <w:szCs w:val="22"/>
              </w:rPr>
              <w:t>6</w:t>
            </w:r>
          </w:p>
        </w:tc>
        <w:tc>
          <w:tcPr>
            <w:tcW w:w="1163" w:type="dxa"/>
            <w:vAlign w:val="bottom"/>
            <w:hideMark/>
          </w:tcPr>
          <w:p w14:paraId="73CC4040" w14:textId="77777777" w:rsidR="006A380D" w:rsidRPr="00431E2F" w:rsidRDefault="006A380D" w:rsidP="00A14364">
            <w:pPr>
              <w:spacing w:after="0"/>
              <w:jc w:val="right"/>
              <w:rPr>
                <w:sz w:val="22"/>
                <w:szCs w:val="22"/>
              </w:rPr>
            </w:pPr>
            <w:r w:rsidRPr="00431E2F">
              <w:rPr>
                <w:sz w:val="22"/>
                <w:szCs w:val="22"/>
              </w:rPr>
              <w:t>7</w:t>
            </w:r>
          </w:p>
        </w:tc>
      </w:tr>
      <w:tr w:rsidR="006A380D" w:rsidRPr="00431E2F" w14:paraId="26AD9D2F" w14:textId="77777777" w:rsidTr="00A14364">
        <w:tc>
          <w:tcPr>
            <w:tcW w:w="2943" w:type="dxa"/>
            <w:vAlign w:val="bottom"/>
            <w:hideMark/>
          </w:tcPr>
          <w:p w14:paraId="43BA2A8B" w14:textId="77777777" w:rsidR="006A380D" w:rsidRPr="00431E2F" w:rsidRDefault="006A380D" w:rsidP="00A14364">
            <w:pPr>
              <w:tabs>
                <w:tab w:val="right" w:leader="dot" w:pos="2727"/>
              </w:tabs>
              <w:spacing w:after="0"/>
              <w:rPr>
                <w:sz w:val="22"/>
                <w:szCs w:val="22"/>
              </w:rPr>
            </w:pPr>
            <w:r w:rsidRPr="00431E2F">
              <w:rPr>
                <w:sz w:val="22"/>
                <w:szCs w:val="22"/>
              </w:rPr>
              <w:t>Andre overføringer</w:t>
            </w:r>
            <w:r w:rsidRPr="00431E2F">
              <w:rPr>
                <w:sz w:val="22"/>
                <w:szCs w:val="22"/>
                <w:vertAlign w:val="superscript"/>
              </w:rPr>
              <w:t>2</w:t>
            </w:r>
            <w:r w:rsidRPr="00431E2F">
              <w:rPr>
                <w:sz w:val="22"/>
                <w:szCs w:val="22"/>
              </w:rPr>
              <w:tab/>
            </w:r>
          </w:p>
        </w:tc>
        <w:tc>
          <w:tcPr>
            <w:tcW w:w="1162" w:type="dxa"/>
            <w:vAlign w:val="bottom"/>
          </w:tcPr>
          <w:p w14:paraId="57FF016B" w14:textId="77777777" w:rsidR="006A380D" w:rsidRPr="00431E2F" w:rsidRDefault="006A380D" w:rsidP="00A14364">
            <w:pPr>
              <w:spacing w:after="0"/>
              <w:jc w:val="right"/>
              <w:rPr>
                <w:sz w:val="22"/>
                <w:szCs w:val="22"/>
              </w:rPr>
            </w:pPr>
          </w:p>
        </w:tc>
        <w:tc>
          <w:tcPr>
            <w:tcW w:w="1162" w:type="dxa"/>
            <w:vAlign w:val="bottom"/>
          </w:tcPr>
          <w:p w14:paraId="6CE6476D" w14:textId="77777777" w:rsidR="006A380D" w:rsidRPr="00431E2F" w:rsidRDefault="006A380D" w:rsidP="00A14364">
            <w:pPr>
              <w:spacing w:after="0"/>
              <w:jc w:val="right"/>
              <w:rPr>
                <w:sz w:val="22"/>
                <w:szCs w:val="22"/>
              </w:rPr>
            </w:pPr>
          </w:p>
        </w:tc>
        <w:tc>
          <w:tcPr>
            <w:tcW w:w="1163" w:type="dxa"/>
            <w:vAlign w:val="bottom"/>
            <w:hideMark/>
          </w:tcPr>
          <w:p w14:paraId="594F0D78" w14:textId="77777777" w:rsidR="006A380D" w:rsidRPr="00431E2F" w:rsidRDefault="006A380D" w:rsidP="00A14364">
            <w:pPr>
              <w:spacing w:after="0"/>
              <w:jc w:val="right"/>
              <w:rPr>
                <w:sz w:val="22"/>
                <w:szCs w:val="22"/>
              </w:rPr>
            </w:pPr>
            <w:r w:rsidRPr="00431E2F">
              <w:rPr>
                <w:sz w:val="22"/>
                <w:szCs w:val="22"/>
              </w:rPr>
              <w:t>4</w:t>
            </w:r>
          </w:p>
        </w:tc>
        <w:tc>
          <w:tcPr>
            <w:tcW w:w="1162" w:type="dxa"/>
            <w:vAlign w:val="bottom"/>
            <w:hideMark/>
          </w:tcPr>
          <w:p w14:paraId="48C48B96" w14:textId="77777777" w:rsidR="006A380D" w:rsidRPr="00431E2F" w:rsidRDefault="006A380D" w:rsidP="00A14364">
            <w:pPr>
              <w:spacing w:after="0"/>
              <w:jc w:val="right"/>
              <w:rPr>
                <w:sz w:val="22"/>
                <w:szCs w:val="22"/>
              </w:rPr>
            </w:pPr>
            <w:r w:rsidRPr="00431E2F">
              <w:rPr>
                <w:sz w:val="22"/>
                <w:szCs w:val="22"/>
              </w:rPr>
              <w:t>5</w:t>
            </w:r>
          </w:p>
        </w:tc>
        <w:tc>
          <w:tcPr>
            <w:tcW w:w="1163" w:type="dxa"/>
            <w:vAlign w:val="bottom"/>
            <w:hideMark/>
          </w:tcPr>
          <w:p w14:paraId="372BCEE9" w14:textId="77777777" w:rsidR="006A380D" w:rsidRPr="00431E2F" w:rsidRDefault="006A380D" w:rsidP="00A14364">
            <w:pPr>
              <w:spacing w:after="0"/>
              <w:jc w:val="right"/>
              <w:rPr>
                <w:sz w:val="22"/>
                <w:szCs w:val="22"/>
              </w:rPr>
            </w:pPr>
            <w:r w:rsidRPr="00431E2F">
              <w:rPr>
                <w:sz w:val="22"/>
                <w:szCs w:val="22"/>
              </w:rPr>
              <w:t>5</w:t>
            </w:r>
          </w:p>
        </w:tc>
      </w:tr>
      <w:tr w:rsidR="006A380D" w:rsidRPr="00431E2F" w14:paraId="47AF462E" w14:textId="77777777" w:rsidTr="00A14364">
        <w:tc>
          <w:tcPr>
            <w:tcW w:w="2943" w:type="dxa"/>
            <w:vAlign w:val="bottom"/>
            <w:hideMark/>
          </w:tcPr>
          <w:p w14:paraId="6D73D40F" w14:textId="77777777" w:rsidR="006A380D" w:rsidRPr="00431E2F" w:rsidRDefault="006A380D" w:rsidP="00A14364">
            <w:pPr>
              <w:tabs>
                <w:tab w:val="right" w:leader="dot" w:pos="2727"/>
              </w:tabs>
              <w:spacing w:after="0"/>
              <w:rPr>
                <w:sz w:val="22"/>
                <w:szCs w:val="22"/>
              </w:rPr>
            </w:pPr>
            <w:r w:rsidRPr="00431E2F">
              <w:rPr>
                <w:sz w:val="22"/>
                <w:szCs w:val="22"/>
              </w:rPr>
              <w:t>Yrkesinntekt</w:t>
            </w:r>
            <w:r w:rsidRPr="00431E2F">
              <w:rPr>
                <w:sz w:val="22"/>
                <w:szCs w:val="22"/>
              </w:rPr>
              <w:tab/>
            </w:r>
          </w:p>
        </w:tc>
        <w:tc>
          <w:tcPr>
            <w:tcW w:w="1162" w:type="dxa"/>
            <w:vAlign w:val="bottom"/>
          </w:tcPr>
          <w:p w14:paraId="0F9B484D" w14:textId="77777777" w:rsidR="006A380D" w:rsidRPr="00431E2F" w:rsidRDefault="006A380D" w:rsidP="00A14364">
            <w:pPr>
              <w:spacing w:after="0"/>
              <w:jc w:val="right"/>
              <w:rPr>
                <w:sz w:val="22"/>
                <w:szCs w:val="22"/>
              </w:rPr>
            </w:pPr>
          </w:p>
        </w:tc>
        <w:tc>
          <w:tcPr>
            <w:tcW w:w="1162" w:type="dxa"/>
            <w:vAlign w:val="bottom"/>
          </w:tcPr>
          <w:p w14:paraId="53316765" w14:textId="77777777" w:rsidR="006A380D" w:rsidRPr="00431E2F" w:rsidRDefault="006A380D" w:rsidP="00A14364">
            <w:pPr>
              <w:spacing w:after="0"/>
              <w:jc w:val="right"/>
              <w:rPr>
                <w:sz w:val="22"/>
                <w:szCs w:val="22"/>
              </w:rPr>
            </w:pPr>
          </w:p>
        </w:tc>
        <w:tc>
          <w:tcPr>
            <w:tcW w:w="1163" w:type="dxa"/>
            <w:vAlign w:val="bottom"/>
            <w:hideMark/>
          </w:tcPr>
          <w:p w14:paraId="29587B17" w14:textId="77777777" w:rsidR="006A380D" w:rsidRPr="00431E2F" w:rsidRDefault="006A380D" w:rsidP="00A14364">
            <w:pPr>
              <w:spacing w:after="0"/>
              <w:jc w:val="right"/>
              <w:rPr>
                <w:sz w:val="22"/>
                <w:szCs w:val="22"/>
              </w:rPr>
            </w:pPr>
            <w:r w:rsidRPr="00431E2F">
              <w:rPr>
                <w:sz w:val="22"/>
                <w:szCs w:val="22"/>
              </w:rPr>
              <w:t>61</w:t>
            </w:r>
          </w:p>
        </w:tc>
        <w:tc>
          <w:tcPr>
            <w:tcW w:w="1162" w:type="dxa"/>
            <w:vAlign w:val="bottom"/>
            <w:hideMark/>
          </w:tcPr>
          <w:p w14:paraId="4276DC53" w14:textId="77777777" w:rsidR="006A380D" w:rsidRPr="00431E2F" w:rsidRDefault="006A380D" w:rsidP="00A14364">
            <w:pPr>
              <w:spacing w:after="0"/>
              <w:jc w:val="right"/>
              <w:rPr>
                <w:sz w:val="22"/>
                <w:szCs w:val="22"/>
              </w:rPr>
            </w:pPr>
            <w:r w:rsidRPr="00431E2F">
              <w:rPr>
                <w:sz w:val="22"/>
                <w:szCs w:val="22"/>
              </w:rPr>
              <w:t>57</w:t>
            </w:r>
          </w:p>
        </w:tc>
        <w:tc>
          <w:tcPr>
            <w:tcW w:w="1163" w:type="dxa"/>
            <w:vAlign w:val="bottom"/>
            <w:hideMark/>
          </w:tcPr>
          <w:p w14:paraId="64EF341E" w14:textId="77777777" w:rsidR="006A380D" w:rsidRPr="00431E2F" w:rsidRDefault="006A380D" w:rsidP="00A14364">
            <w:pPr>
              <w:spacing w:after="0"/>
              <w:jc w:val="right"/>
              <w:rPr>
                <w:sz w:val="22"/>
                <w:szCs w:val="22"/>
              </w:rPr>
            </w:pPr>
            <w:r w:rsidRPr="00431E2F">
              <w:rPr>
                <w:sz w:val="22"/>
                <w:szCs w:val="22"/>
              </w:rPr>
              <w:t>56</w:t>
            </w:r>
          </w:p>
        </w:tc>
      </w:tr>
      <w:tr w:rsidR="006A380D" w:rsidRPr="00431E2F" w14:paraId="64459838" w14:textId="77777777" w:rsidTr="00A14364">
        <w:tc>
          <w:tcPr>
            <w:tcW w:w="2943" w:type="dxa"/>
            <w:tcBorders>
              <w:top w:val="nil"/>
              <w:left w:val="nil"/>
              <w:bottom w:val="single" w:sz="4" w:space="0" w:color="auto"/>
              <w:right w:val="nil"/>
            </w:tcBorders>
            <w:vAlign w:val="bottom"/>
            <w:hideMark/>
          </w:tcPr>
          <w:p w14:paraId="2A24200A" w14:textId="77777777" w:rsidR="006A380D" w:rsidRPr="00431E2F" w:rsidRDefault="006A380D" w:rsidP="00A14364">
            <w:pPr>
              <w:tabs>
                <w:tab w:val="right" w:leader="dot" w:pos="2727"/>
              </w:tabs>
              <w:spacing w:after="0"/>
              <w:rPr>
                <w:sz w:val="22"/>
                <w:szCs w:val="22"/>
              </w:rPr>
            </w:pPr>
            <w:r w:rsidRPr="00431E2F">
              <w:rPr>
                <w:sz w:val="22"/>
                <w:szCs w:val="22"/>
              </w:rPr>
              <w:t>Kapitalinntekter</w:t>
            </w:r>
            <w:r w:rsidRPr="00431E2F">
              <w:rPr>
                <w:sz w:val="22"/>
                <w:szCs w:val="22"/>
              </w:rPr>
              <w:tab/>
            </w:r>
          </w:p>
        </w:tc>
        <w:tc>
          <w:tcPr>
            <w:tcW w:w="1162" w:type="dxa"/>
            <w:tcBorders>
              <w:top w:val="nil"/>
              <w:left w:val="nil"/>
              <w:bottom w:val="single" w:sz="4" w:space="0" w:color="auto"/>
              <w:right w:val="nil"/>
            </w:tcBorders>
            <w:vAlign w:val="bottom"/>
          </w:tcPr>
          <w:p w14:paraId="46EDE47E" w14:textId="77777777" w:rsidR="006A380D" w:rsidRPr="00431E2F" w:rsidRDefault="006A380D" w:rsidP="00A14364">
            <w:pPr>
              <w:spacing w:after="0"/>
              <w:jc w:val="right"/>
              <w:rPr>
                <w:sz w:val="22"/>
                <w:szCs w:val="22"/>
              </w:rPr>
            </w:pPr>
          </w:p>
        </w:tc>
        <w:tc>
          <w:tcPr>
            <w:tcW w:w="1162" w:type="dxa"/>
            <w:tcBorders>
              <w:top w:val="nil"/>
              <w:left w:val="nil"/>
              <w:bottom w:val="single" w:sz="4" w:space="0" w:color="auto"/>
              <w:right w:val="nil"/>
            </w:tcBorders>
            <w:vAlign w:val="bottom"/>
          </w:tcPr>
          <w:p w14:paraId="2F638CD7" w14:textId="77777777" w:rsidR="006A380D" w:rsidRPr="00431E2F" w:rsidRDefault="006A380D" w:rsidP="00A14364">
            <w:pPr>
              <w:spacing w:after="0"/>
              <w:jc w:val="right"/>
              <w:rPr>
                <w:sz w:val="22"/>
                <w:szCs w:val="22"/>
              </w:rPr>
            </w:pPr>
          </w:p>
        </w:tc>
        <w:tc>
          <w:tcPr>
            <w:tcW w:w="1163" w:type="dxa"/>
            <w:tcBorders>
              <w:top w:val="nil"/>
              <w:left w:val="nil"/>
              <w:bottom w:val="single" w:sz="4" w:space="0" w:color="auto"/>
              <w:right w:val="nil"/>
            </w:tcBorders>
            <w:vAlign w:val="bottom"/>
            <w:hideMark/>
          </w:tcPr>
          <w:p w14:paraId="191EF07F" w14:textId="77777777" w:rsidR="006A380D" w:rsidRPr="00431E2F" w:rsidRDefault="006A380D" w:rsidP="00A14364">
            <w:pPr>
              <w:spacing w:after="0"/>
              <w:jc w:val="right"/>
              <w:rPr>
                <w:sz w:val="22"/>
                <w:szCs w:val="22"/>
              </w:rPr>
            </w:pPr>
            <w:r w:rsidRPr="00431E2F">
              <w:rPr>
                <w:sz w:val="22"/>
                <w:szCs w:val="22"/>
              </w:rPr>
              <w:t>9</w:t>
            </w:r>
          </w:p>
        </w:tc>
        <w:tc>
          <w:tcPr>
            <w:tcW w:w="1162" w:type="dxa"/>
            <w:tcBorders>
              <w:top w:val="nil"/>
              <w:left w:val="nil"/>
              <w:bottom w:val="single" w:sz="4" w:space="0" w:color="auto"/>
              <w:right w:val="nil"/>
            </w:tcBorders>
            <w:vAlign w:val="bottom"/>
            <w:hideMark/>
          </w:tcPr>
          <w:p w14:paraId="52FCEA30" w14:textId="77777777" w:rsidR="006A380D" w:rsidRPr="00431E2F" w:rsidRDefault="006A380D" w:rsidP="00A14364">
            <w:pPr>
              <w:spacing w:after="0"/>
              <w:jc w:val="right"/>
              <w:rPr>
                <w:sz w:val="22"/>
                <w:szCs w:val="22"/>
              </w:rPr>
            </w:pPr>
            <w:r w:rsidRPr="00431E2F">
              <w:rPr>
                <w:sz w:val="22"/>
                <w:szCs w:val="22"/>
              </w:rPr>
              <w:t>9</w:t>
            </w:r>
          </w:p>
        </w:tc>
        <w:tc>
          <w:tcPr>
            <w:tcW w:w="1163" w:type="dxa"/>
            <w:tcBorders>
              <w:top w:val="nil"/>
              <w:left w:val="nil"/>
              <w:bottom w:val="single" w:sz="4" w:space="0" w:color="auto"/>
              <w:right w:val="nil"/>
            </w:tcBorders>
            <w:vAlign w:val="bottom"/>
            <w:hideMark/>
          </w:tcPr>
          <w:p w14:paraId="4BB11A2A" w14:textId="77777777" w:rsidR="006A380D" w:rsidRPr="00431E2F" w:rsidRDefault="006A380D" w:rsidP="00A14364">
            <w:pPr>
              <w:spacing w:after="0"/>
              <w:jc w:val="right"/>
              <w:rPr>
                <w:sz w:val="22"/>
                <w:szCs w:val="22"/>
              </w:rPr>
            </w:pPr>
            <w:r w:rsidRPr="00431E2F">
              <w:rPr>
                <w:sz w:val="22"/>
                <w:szCs w:val="22"/>
              </w:rPr>
              <w:t>8</w:t>
            </w:r>
          </w:p>
        </w:tc>
      </w:tr>
    </w:tbl>
    <w:p w14:paraId="1BAC4897" w14:textId="77777777" w:rsidR="003F2180" w:rsidRPr="00942E01" w:rsidRDefault="006A380D" w:rsidP="008643D6">
      <w:pPr>
        <w:pStyle w:val="Nummerertliste"/>
        <w:numPr>
          <w:ilvl w:val="0"/>
          <w:numId w:val="74"/>
        </w:numPr>
        <w:tabs>
          <w:tab w:val="clear" w:pos="397"/>
        </w:tabs>
        <w:ind w:left="142" w:hanging="142"/>
        <w:rPr>
          <w:sz w:val="20"/>
        </w:rPr>
      </w:pPr>
      <w:r w:rsidRPr="00942E01">
        <w:rPr>
          <w:sz w:val="20"/>
        </w:rPr>
        <w:t>I 2013 var det 690 200 bosatte personer 67 år og eldre og 69 900 bosatte personer 62-66 år som mottok alderspensjon fra folketrygden.</w:t>
      </w:r>
    </w:p>
    <w:p w14:paraId="1FCCD8DD" w14:textId="3B698613" w:rsidR="006A380D" w:rsidRPr="00942E01" w:rsidRDefault="006A380D" w:rsidP="008643D6">
      <w:pPr>
        <w:pStyle w:val="Nummerertliste"/>
        <w:numPr>
          <w:ilvl w:val="0"/>
          <w:numId w:val="74"/>
        </w:numPr>
        <w:tabs>
          <w:tab w:val="clear" w:pos="397"/>
        </w:tabs>
        <w:ind w:left="142" w:hanging="142"/>
        <w:rPr>
          <w:sz w:val="20"/>
        </w:rPr>
      </w:pPr>
      <w:r w:rsidRPr="00942E01">
        <w:rPr>
          <w:sz w:val="20"/>
        </w:rPr>
        <w:t>Inkluderer AFP i offentlig og privat sektor.</w:t>
      </w:r>
    </w:p>
    <w:p w14:paraId="10A86A22" w14:textId="77777777" w:rsidR="006A380D" w:rsidRPr="00942E01" w:rsidRDefault="006A380D" w:rsidP="006A380D">
      <w:pPr>
        <w:pStyle w:val="Kilde"/>
      </w:pPr>
      <w:r w:rsidRPr="00942E01">
        <w:t>Kilde: Statistisk sentralbyrå.</w:t>
      </w:r>
    </w:p>
    <w:p w14:paraId="27FC57A5" w14:textId="77777777" w:rsidR="006A380D" w:rsidRPr="008C3728" w:rsidRDefault="006A380D" w:rsidP="008643D6">
      <w:pPr>
        <w:pStyle w:val="Overskrift3"/>
        <w:numPr>
          <w:ilvl w:val="2"/>
          <w:numId w:val="30"/>
        </w:numPr>
        <w:spacing w:line="240" w:lineRule="auto"/>
        <w:rPr>
          <w:noProof/>
        </w:rPr>
      </w:pPr>
      <w:bookmarkStart w:id="297" w:name="ID_KAP2_46_3_46_1"/>
      <w:bookmarkStart w:id="298" w:name="_Toc96946396"/>
      <w:bookmarkStart w:id="299" w:name="_Toc96946566"/>
      <w:bookmarkStart w:id="300" w:name="_Toc96946791"/>
      <w:bookmarkStart w:id="301" w:name="_Toc286073400"/>
      <w:bookmarkStart w:id="302" w:name="_Toc286075044"/>
      <w:bookmarkStart w:id="303" w:name="_Toc286075293"/>
      <w:bookmarkStart w:id="304" w:name="_Toc286077014"/>
      <w:bookmarkStart w:id="305" w:name="_Toc317589348"/>
      <w:bookmarkStart w:id="306" w:name="_Toc348968319"/>
      <w:bookmarkStart w:id="307" w:name="_Toc443999006"/>
      <w:bookmarkEnd w:id="297"/>
      <w:r w:rsidRPr="006A7339">
        <w:rPr>
          <w:noProof/>
        </w:rPr>
        <w:t xml:space="preserve">Endringer i </w:t>
      </w:r>
      <w:r>
        <w:rPr>
          <w:noProof/>
        </w:rPr>
        <w:t xml:space="preserve">de særskilte </w:t>
      </w:r>
      <w:r w:rsidRPr="006A7339">
        <w:rPr>
          <w:noProof/>
        </w:rPr>
        <w:t>skattereglene for pensjonister fra 20</w:t>
      </w:r>
      <w:r>
        <w:rPr>
          <w:noProof/>
        </w:rPr>
        <w:t>13</w:t>
      </w:r>
      <w:r w:rsidRPr="006A7339">
        <w:rPr>
          <w:noProof/>
        </w:rPr>
        <w:t xml:space="preserve"> til </w:t>
      </w:r>
      <w:bookmarkEnd w:id="298"/>
      <w:bookmarkEnd w:id="299"/>
      <w:bookmarkEnd w:id="300"/>
      <w:bookmarkEnd w:id="301"/>
      <w:bookmarkEnd w:id="302"/>
      <w:bookmarkEnd w:id="303"/>
      <w:bookmarkEnd w:id="304"/>
      <w:bookmarkEnd w:id="305"/>
      <w:bookmarkEnd w:id="306"/>
      <w:r w:rsidRPr="006A7339">
        <w:rPr>
          <w:noProof/>
        </w:rPr>
        <w:t>20</w:t>
      </w:r>
      <w:r>
        <w:rPr>
          <w:noProof/>
        </w:rPr>
        <w:t>16</w:t>
      </w:r>
      <w:bookmarkEnd w:id="307"/>
    </w:p>
    <w:p w14:paraId="16BB1EC0" w14:textId="77777777" w:rsidR="006A380D" w:rsidRDefault="006A380D" w:rsidP="00431E2F">
      <w:pPr>
        <w:rPr>
          <w:noProof/>
        </w:rPr>
      </w:pPr>
      <w:r>
        <w:rPr>
          <w:noProof/>
        </w:rPr>
        <w:t>AFP- og alderspensjonister har rett til et</w:t>
      </w:r>
      <w:r w:rsidRPr="00CD0FD6">
        <w:rPr>
          <w:noProof/>
        </w:rPr>
        <w:t xml:space="preserve"> skattefradrag i pensjonsinntekt</w:t>
      </w:r>
      <w:r>
        <w:rPr>
          <w:noProof/>
        </w:rPr>
        <w:t xml:space="preserve"> som sikrer at de som kun lever av minstepensjon ikke betaler inntektsskatt</w:t>
      </w:r>
      <w:r w:rsidRPr="00CD0FD6">
        <w:rPr>
          <w:noProof/>
        </w:rPr>
        <w:t xml:space="preserve">. </w:t>
      </w:r>
      <w:r>
        <w:rPr>
          <w:noProof/>
        </w:rPr>
        <w:t xml:space="preserve">I 2016 utgjør </w:t>
      </w:r>
      <w:r w:rsidRPr="00E66A12">
        <w:rPr>
          <w:noProof/>
        </w:rPr>
        <w:t xml:space="preserve">skattefradraget </w:t>
      </w:r>
      <w:r>
        <w:rPr>
          <w:noProof/>
        </w:rPr>
        <w:t>maksimalt 29 880 kroner. Skattefradraget nedtrappes</w:t>
      </w:r>
      <w:r w:rsidRPr="00CD0FD6">
        <w:rPr>
          <w:noProof/>
        </w:rPr>
        <w:t xml:space="preserve"> mot pensjon</w:t>
      </w:r>
      <w:r>
        <w:rPr>
          <w:noProof/>
        </w:rPr>
        <w:t>sinntekt</w:t>
      </w:r>
      <w:r w:rsidRPr="00CD0FD6">
        <w:rPr>
          <w:noProof/>
        </w:rPr>
        <w:t>.</w:t>
      </w:r>
      <w:r>
        <w:rPr>
          <w:noProof/>
        </w:rPr>
        <w:t xml:space="preserve"> Første innslagspunkt for nedrapping er ved pensjonsinntekt lik 184 800 kroner. Skattefradraget nedtrappes med en sats på 15,3 prosent av pensjonsinntekt over dette nivået opp til 278 950 kroner. For inntekt over dette nivået nedtrappes skattefradraget med en sats på 6,0 prosent. Skattefradraget fases ut ved en pensjonsinntekt på 536 868 kroner. </w:t>
      </w:r>
      <w:r w:rsidRPr="00CD0FD6">
        <w:rPr>
          <w:noProof/>
        </w:rPr>
        <w:t xml:space="preserve">Skattefradraget </w:t>
      </w:r>
      <w:r w:rsidRPr="000E0752">
        <w:rPr>
          <w:noProof/>
        </w:rPr>
        <w:t>fastsettes</w:t>
      </w:r>
      <w:r w:rsidRPr="00CD0FD6">
        <w:rPr>
          <w:noProof/>
        </w:rPr>
        <w:t xml:space="preserve"> uavhengig av ektefellens inntekt. </w:t>
      </w:r>
    </w:p>
    <w:p w14:paraId="00B16B4F" w14:textId="77777777" w:rsidR="006A380D" w:rsidRDefault="006A380D" w:rsidP="00431E2F">
      <w:r>
        <w:rPr>
          <w:noProof/>
        </w:rPr>
        <w:t>T</w:t>
      </w:r>
      <w:r w:rsidRPr="00CD0FD6">
        <w:rPr>
          <w:noProof/>
        </w:rPr>
        <w:t xml:space="preserve">rygdeavgiften på pensjon </w:t>
      </w:r>
      <w:r>
        <w:rPr>
          <w:noProof/>
        </w:rPr>
        <w:t>økte fra 4,7 til 5,1 prosent i 2014.</w:t>
      </w:r>
      <w:r w:rsidRPr="00161EC7">
        <w:rPr>
          <w:noProof/>
        </w:rPr>
        <w:t xml:space="preserve"> </w:t>
      </w:r>
      <w:r>
        <w:rPr>
          <w:noProof/>
        </w:rPr>
        <w:t>Dette må ses i sammenheng med at skattesatsen på alminnelig inntekt samtidig ble redusert. Satsen i minstefradraget i pensjonsinntekt ble økt fra 26 til 27 prosent i 2014 og fra 27 til 29 prosent i 2015.</w:t>
      </w:r>
    </w:p>
    <w:p w14:paraId="7183EF03" w14:textId="77777777" w:rsidR="006A380D" w:rsidRDefault="006A380D" w:rsidP="00431E2F">
      <w:pPr>
        <w:rPr>
          <w:noProof/>
        </w:rPr>
      </w:pPr>
      <w:r>
        <w:rPr>
          <w:noProof/>
        </w:rPr>
        <w:t>S</w:t>
      </w:r>
      <w:r w:rsidRPr="004831F9">
        <w:rPr>
          <w:noProof/>
        </w:rPr>
        <w:t>kattereglene for pensjonister innebærer at en enslig pensjonist i 20</w:t>
      </w:r>
      <w:r>
        <w:rPr>
          <w:noProof/>
        </w:rPr>
        <w:t>16</w:t>
      </w:r>
      <w:r w:rsidRPr="004831F9">
        <w:rPr>
          <w:noProof/>
        </w:rPr>
        <w:t xml:space="preserve"> vil begynne å betale skatt når pensjonsinntekten overstiger </w:t>
      </w:r>
      <w:r>
        <w:rPr>
          <w:noProof/>
        </w:rPr>
        <w:t xml:space="preserve">om lag </w:t>
      </w:r>
      <w:r>
        <w:t xml:space="preserve">186 050 </w:t>
      </w:r>
      <w:r w:rsidRPr="004831F9">
        <w:rPr>
          <w:noProof/>
        </w:rPr>
        <w:t xml:space="preserve">kroner. Tilsvarende vil et pensjonistektepar med lik pensjon begynne å betale skatt på en samlet inntekt over </w:t>
      </w:r>
      <w:r>
        <w:rPr>
          <w:noProof/>
        </w:rPr>
        <w:t>om lag</w:t>
      </w:r>
      <w:r>
        <w:t xml:space="preserve"> 372 090 </w:t>
      </w:r>
      <w:r w:rsidRPr="004831F9">
        <w:rPr>
          <w:noProof/>
        </w:rPr>
        <w:t>kroner. I disse beregningene er det lagt til grunn at pensjonistene kun har pensjonsinntekt og standard</w:t>
      </w:r>
      <w:r>
        <w:rPr>
          <w:noProof/>
        </w:rPr>
        <w:t xml:space="preserve"> </w:t>
      </w:r>
      <w:r w:rsidRPr="004831F9">
        <w:rPr>
          <w:noProof/>
        </w:rPr>
        <w:t>fradrag.</w:t>
      </w:r>
    </w:p>
    <w:p w14:paraId="16A5EB13" w14:textId="68501805" w:rsidR="007E00C5" w:rsidRDefault="006A380D" w:rsidP="00431E2F">
      <w:pPr>
        <w:rPr>
          <w:rFonts w:ascii="Arial" w:eastAsia="Times New Roman" w:hAnsi="Arial" w:cstheme="minorBidi"/>
          <w:b/>
          <w:spacing w:val="4"/>
          <w:szCs w:val="24"/>
        </w:rPr>
      </w:pPr>
      <w:r>
        <w:t>Fra og med 2015 er det innført</w:t>
      </w:r>
      <w:r w:rsidRPr="0007520B">
        <w:t xml:space="preserve"> nye skatteregler for ny uføretrygd fra folketrygden og uføreytelser fra andre ordninger, herunder tjenestepensjonsordninger. Uføreytelser skal skattlegges som lønnsinntekt. Det innebærer at skattebegrensningsregelen</w:t>
      </w:r>
      <w:r>
        <w:t xml:space="preserve"> for uføre</w:t>
      </w:r>
      <w:r w:rsidRPr="0007520B">
        <w:t xml:space="preserve"> og særfradraget for uførhet </w:t>
      </w:r>
      <w:r>
        <w:t xml:space="preserve">ble </w:t>
      </w:r>
      <w:r w:rsidRPr="0007520B">
        <w:t>avvikle</w:t>
      </w:r>
      <w:r>
        <w:t>t fra 1.1.2015</w:t>
      </w:r>
      <w:r w:rsidRPr="0007520B">
        <w:t xml:space="preserve">. Uføreytelsene ilegges </w:t>
      </w:r>
      <w:r>
        <w:t xml:space="preserve">nå en </w:t>
      </w:r>
      <w:r w:rsidRPr="0007520B">
        <w:t xml:space="preserve">trygdeavgift på </w:t>
      </w:r>
      <w:r>
        <w:t>8,2</w:t>
      </w:r>
      <w:r w:rsidRPr="0007520B">
        <w:t xml:space="preserve"> pst. og gi</w:t>
      </w:r>
      <w:r>
        <w:t>r</w:t>
      </w:r>
      <w:r w:rsidRPr="0007520B">
        <w:t xml:space="preserve"> rett til høyere minstefradrag.</w:t>
      </w:r>
      <w:r w:rsidR="007E00C5">
        <w:rPr>
          <w:szCs w:val="24"/>
        </w:rPr>
        <w:br w:type="page"/>
      </w:r>
    </w:p>
    <w:p w14:paraId="27ED3550" w14:textId="547B3B7C" w:rsidR="00E05117" w:rsidRP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240" w:after="120"/>
        <w:rPr>
          <w:szCs w:val="24"/>
        </w:rPr>
      </w:pPr>
      <w:r w:rsidRPr="00E05117">
        <w:rPr>
          <w:szCs w:val="24"/>
        </w:rPr>
        <w:t xml:space="preserve">Boks 6.2 Enkelte pensjonspørsmål </w:t>
      </w:r>
    </w:p>
    <w:p w14:paraId="52230146" w14:textId="77777777" w:rsidR="00E05117" w:rsidRPr="006A0396"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0"/>
        <w:jc w:val="left"/>
        <w:rPr>
          <w:rFonts w:ascii="Times New Roman" w:hAnsi="Times New Roman" w:cs="Times New Roman"/>
          <w:b w:val="0"/>
          <w:i/>
        </w:rPr>
      </w:pPr>
      <w:r w:rsidRPr="006A0396">
        <w:rPr>
          <w:rFonts w:ascii="Times New Roman" w:hAnsi="Times New Roman" w:cs="Times New Roman"/>
          <w:b w:val="0"/>
          <w:i/>
        </w:rPr>
        <w:t>Innledning</w:t>
      </w:r>
    </w:p>
    <w:p w14:paraId="23F4B1A6" w14:textId="77777777"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line="240" w:lineRule="auto"/>
        <w:jc w:val="left"/>
        <w:rPr>
          <w:rFonts w:ascii="Times New Roman" w:hAnsi="Times New Roman" w:cs="Times New Roman"/>
          <w:b w:val="0"/>
        </w:rPr>
      </w:pPr>
      <w:r w:rsidRPr="00236282">
        <w:rPr>
          <w:rFonts w:ascii="Times New Roman" w:hAnsi="Times New Roman" w:cs="Times New Roman"/>
          <w:b w:val="0"/>
        </w:rPr>
        <w:t xml:space="preserve">Pensjonssystemet i Norge er i endring. 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w:t>
      </w:r>
      <w:r w:rsidRPr="006A0396">
        <w:rPr>
          <w:rFonts w:ascii="Times New Roman" w:hAnsi="Times New Roman" w:cs="Times New Roman"/>
          <w:b w:val="0"/>
        </w:rPr>
        <w:t>alderspensjonen</w:t>
      </w:r>
      <w:r w:rsidRPr="00236282">
        <w:rPr>
          <w:rFonts w:ascii="Times New Roman" w:hAnsi="Times New Roman" w:cs="Times New Roman"/>
          <w:b w:val="0"/>
        </w:rPr>
        <w:t xml:space="preserve"> fra folketrygden. </w:t>
      </w:r>
    </w:p>
    <w:p w14:paraId="7D4FF143" w14:textId="1FFFF464"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rPr>
          <w:rFonts w:ascii="Times New Roman" w:hAnsi="Times New Roman" w:cs="Times New Roman"/>
          <w:b w:val="0"/>
        </w:rPr>
      </w:pPr>
      <w:r w:rsidRPr="00236282">
        <w:rPr>
          <w:rFonts w:ascii="Times New Roman" w:hAnsi="Times New Roman" w:cs="Times New Roman"/>
          <w:b w:val="0"/>
        </w:rPr>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w:t>
      </w:r>
      <w:r w:rsidRPr="00236282">
        <w:rPr>
          <w:rFonts w:ascii="Times New Roman" w:hAnsi="Times New Roman" w:cs="Times New Roman"/>
          <w:b w:val="0"/>
        </w:rPr>
        <w:softHyphen/>
        <w:t>pensjons</w:t>
      </w:r>
      <w:r w:rsidRPr="00236282">
        <w:rPr>
          <w:rFonts w:ascii="Times New Roman" w:hAnsi="Times New Roman" w:cs="Times New Roman"/>
          <w:b w:val="0"/>
        </w:rPr>
        <w:softHyphen/>
        <w:t xml:space="preserve">markedet, har i økende grad blitt avviklet eller lukket. </w:t>
      </w:r>
      <w:r>
        <w:rPr>
          <w:rFonts w:ascii="Times New Roman" w:hAnsi="Times New Roman" w:cs="Times New Roman"/>
          <w:b w:val="0"/>
        </w:rPr>
        <w:t>I</w:t>
      </w:r>
      <w:r w:rsidRPr="00236282">
        <w:rPr>
          <w:rFonts w:ascii="Times New Roman" w:hAnsi="Times New Roman" w:cs="Times New Roman"/>
          <w:b w:val="0"/>
        </w:rPr>
        <w:t>nnføringen av obligatorisk tjenestepensjon (OTP) i 2006</w:t>
      </w:r>
      <w:r>
        <w:rPr>
          <w:rFonts w:ascii="Times New Roman" w:hAnsi="Times New Roman" w:cs="Times New Roman"/>
          <w:b w:val="0"/>
        </w:rPr>
        <w:t xml:space="preserve"> medførte at antall innskuddsordninger økte kraftig, særlig blant bedrifter som ikke hadde pensjonsordning tidligere. </w:t>
      </w:r>
      <w:r w:rsidRPr="00236282">
        <w:rPr>
          <w:rFonts w:ascii="Times New Roman" w:hAnsi="Times New Roman" w:cs="Times New Roman"/>
          <w:b w:val="0"/>
        </w:rPr>
        <w:t>Fra 2014 trådte den nye tjeneste</w:t>
      </w:r>
      <w:r w:rsidRPr="00236282">
        <w:rPr>
          <w:rFonts w:ascii="Times New Roman" w:hAnsi="Times New Roman" w:cs="Times New Roman"/>
          <w:b w:val="0"/>
        </w:rPr>
        <w:softHyphen/>
        <w:t>pensjons</w:t>
      </w:r>
      <w:r w:rsidRPr="00236282">
        <w:rPr>
          <w:rFonts w:ascii="Times New Roman" w:hAnsi="Times New Roman" w:cs="Times New Roman"/>
          <w:b w:val="0"/>
        </w:rPr>
        <w:softHyphen/>
        <w:t>loven i kraft med regler for en ny type tjenestepensjon i privat sektor, ofte kalt «hybrid» fordi den kombinerer elementer fra innskudds- og ytelsespensjon. Det er foreløpig etablert få pensjonsordninger basert på det nye regelverket for hybridpensjon.</w:t>
      </w:r>
    </w:p>
    <w:p w14:paraId="7EE78DDF" w14:textId="77777777"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240" w:line="240" w:lineRule="auto"/>
        <w:jc w:val="left"/>
        <w:rPr>
          <w:rFonts w:ascii="Times New Roman" w:hAnsi="Times New Roman" w:cs="Times New Roman"/>
          <w:b w:val="0"/>
        </w:rPr>
      </w:pPr>
      <w:r w:rsidRPr="00236282">
        <w:rPr>
          <w:rFonts w:ascii="Times New Roman" w:hAnsi="Times New Roman" w:cs="Times New Roman"/>
          <w:b w:val="0"/>
        </w:rPr>
        <w:t>Det er også startet en prosess med sikte på å finne en ny pensjonsløsning for offentlig ansatte. Den 17. desember 2015 la en arbeidsgruppe i Arbeids- og sosialdepartementet fram en rapport om nye pensjonsordninger for ansatte i offentlig sektor, samt overgangsordninger.</w:t>
      </w:r>
      <w:r>
        <w:rPr>
          <w:rFonts w:ascii="Times New Roman" w:hAnsi="Times New Roman" w:cs="Times New Roman"/>
          <w:b w:val="0"/>
        </w:rPr>
        <w:t xml:space="preserve"> </w:t>
      </w:r>
    </w:p>
    <w:p w14:paraId="143AB201" w14:textId="77777777" w:rsidR="00E05117" w:rsidRPr="006A0396"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line="240" w:lineRule="auto"/>
        <w:jc w:val="left"/>
        <w:rPr>
          <w:rFonts w:ascii="Times New Roman" w:hAnsi="Times New Roman" w:cs="Times New Roman"/>
          <w:b w:val="0"/>
          <w:i/>
        </w:rPr>
      </w:pPr>
      <w:r w:rsidRPr="006A0396">
        <w:rPr>
          <w:rFonts w:ascii="Times New Roman" w:hAnsi="Times New Roman" w:cs="Times New Roman"/>
          <w:b w:val="0"/>
          <w:i/>
        </w:rPr>
        <w:t>Nye uføreregler</w:t>
      </w:r>
    </w:p>
    <w:p w14:paraId="2ACB8BEF" w14:textId="77777777"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jc w:val="left"/>
        <w:rPr>
          <w:rFonts w:ascii="Times New Roman" w:hAnsi="Times New Roman" w:cs="Times New Roman"/>
          <w:b w:val="0"/>
        </w:rPr>
      </w:pPr>
      <w:r w:rsidRPr="00236282">
        <w:rPr>
          <w:rFonts w:ascii="Times New Roman" w:hAnsi="Times New Roman" w:cs="Times New Roman"/>
          <w:b w:val="0"/>
        </w:rPr>
        <w:t xml:space="preserve">Fra 2015 er uføreordningen i folketrygden lagt om; uførepensjonen er erstattet av en ny uføretrygd. Uføretrygden beregnes med utgangspunkt i inntekten de siste årene før uførheten oppstår, og uføreytelsen er frikoplet fra alderspensjonssystemet. Samtidig ble skattleggingen av uføreytelsene lagt om ved at uføretrygden nå skattlegges som lønnsinntekt og ikke lenger som en pensjon. Det ble i 2011 anslått at gjennomsnittlig uføretrygd etter skatt ville være om lag tre prosent høyere for nye mottakere i 2015 enn det en videreføring av de gamle reglene ville være. </w:t>
      </w:r>
    </w:p>
    <w:p w14:paraId="5DC412CF" w14:textId="0A37398B" w:rsidR="00E05117" w:rsidRDefault="00E05117" w:rsidP="009F0FBE">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jc w:val="left"/>
        <w:rPr>
          <w:rFonts w:ascii="Times New Roman" w:hAnsi="Times New Roman" w:cs="Times New Roman"/>
          <w:b w:val="0"/>
        </w:rPr>
      </w:pPr>
      <w:r w:rsidRPr="00236282">
        <w:rPr>
          <w:rFonts w:ascii="Times New Roman" w:hAnsi="Times New Roman" w:cs="Times New Roman"/>
          <w:b w:val="0"/>
        </w:rPr>
        <w:t>Omleggingen av uføreytelsen i folketrygden gjorde det nødvendig å tilp</w:t>
      </w:r>
      <w:r>
        <w:rPr>
          <w:rFonts w:ascii="Times New Roman" w:hAnsi="Times New Roman" w:cs="Times New Roman"/>
          <w:b w:val="0"/>
        </w:rPr>
        <w:t>asse uføreytelsene fra tjeneste</w:t>
      </w:r>
      <w:r w:rsidRPr="00236282">
        <w:rPr>
          <w:rFonts w:ascii="Times New Roman" w:hAnsi="Times New Roman" w:cs="Times New Roman"/>
          <w:b w:val="0"/>
        </w:rPr>
        <w:t>pensjonsordningene. Ny uførepensjon fra de offentlige tjenestepensjons</w:t>
      </w:r>
      <w:r w:rsidRPr="00236282">
        <w:rPr>
          <w:rFonts w:ascii="Times New Roman" w:hAnsi="Times New Roman" w:cs="Times New Roman"/>
          <w:b w:val="0"/>
        </w:rPr>
        <w:softHyphen/>
        <w:t>ordningene beregnes fra 2015 som et direkte tillegg til uføretrygden fra folke</w:t>
      </w:r>
      <w:r w:rsidRPr="00236282">
        <w:rPr>
          <w:rFonts w:ascii="Times New Roman" w:hAnsi="Times New Roman" w:cs="Times New Roman"/>
          <w:b w:val="0"/>
        </w:rPr>
        <w:softHyphen/>
        <w:t>trygden og er uavhengig av størrelsen på uføretrygden. Uførepensjonen fra tjeneste</w:t>
      </w:r>
      <w:r w:rsidRPr="00236282">
        <w:rPr>
          <w:rFonts w:ascii="Times New Roman" w:hAnsi="Times New Roman" w:cs="Times New Roman"/>
          <w:b w:val="0"/>
        </w:rPr>
        <w:softHyphen/>
        <w:t>pensjons</w:t>
      </w:r>
      <w:r w:rsidRPr="00236282">
        <w:rPr>
          <w:rFonts w:ascii="Times New Roman" w:hAnsi="Times New Roman" w:cs="Times New Roman"/>
          <w:b w:val="0"/>
        </w:rPr>
        <w:softHyphen/>
        <w:t>ordningen er summen av et kronebeløp på ¼ grunnbeløp og et beløp regnet i prosent av pensjons</w:t>
      </w:r>
      <w:r w:rsidRPr="00236282">
        <w:rPr>
          <w:rFonts w:ascii="Times New Roman" w:hAnsi="Times New Roman" w:cs="Times New Roman"/>
          <w:b w:val="0"/>
        </w:rPr>
        <w:softHyphen/>
        <w:t>grunnlaget</w:t>
      </w:r>
      <w:r w:rsidRPr="00236282">
        <w:rPr>
          <w:rStyle w:val="Fotnotereferanse"/>
          <w:rFonts w:ascii="Times New Roman" w:hAnsi="Times New Roman" w:cs="Times New Roman"/>
          <w:b w:val="0"/>
        </w:rPr>
        <w:footnoteReference w:id="11"/>
      </w:r>
      <w:r>
        <w:rPr>
          <w:rFonts w:ascii="Times New Roman" w:hAnsi="Times New Roman" w:cs="Times New Roman"/>
          <w:b w:val="0"/>
        </w:rPr>
        <w:t xml:space="preserve"> i tjenestepensjons</w:t>
      </w:r>
      <w:r w:rsidRPr="00236282">
        <w:rPr>
          <w:rFonts w:ascii="Times New Roman" w:hAnsi="Times New Roman" w:cs="Times New Roman"/>
          <w:b w:val="0"/>
        </w:rPr>
        <w:t>ordningen.</w:t>
      </w:r>
      <w:r>
        <w:rPr>
          <w:rFonts w:ascii="Times New Roman" w:hAnsi="Times New Roman" w:cs="Times New Roman"/>
          <w:b w:val="0"/>
        </w:rPr>
        <w:t xml:space="preserve"> </w:t>
      </w:r>
      <w:r w:rsidRPr="00236282">
        <w:rPr>
          <w:rFonts w:ascii="Times New Roman" w:hAnsi="Times New Roman" w:cs="Times New Roman"/>
          <w:b w:val="0"/>
        </w:rPr>
        <w:t>Økt dekning fra folketrygdytelsen og lavere marginalskatt gjør at samlet uføreytelse etter skatt for offentlig ansatte kan opprettholdes med et lavere påslag fra</w:t>
      </w:r>
      <w:r>
        <w:rPr>
          <w:rFonts w:ascii="Times New Roman" w:hAnsi="Times New Roman" w:cs="Times New Roman"/>
          <w:b w:val="0"/>
        </w:rPr>
        <w:t xml:space="preserve"> </w:t>
      </w:r>
      <w:r w:rsidRPr="00236282">
        <w:rPr>
          <w:rFonts w:ascii="Times New Roman" w:hAnsi="Times New Roman" w:cs="Times New Roman"/>
          <w:b w:val="0"/>
        </w:rPr>
        <w:t>tjenestepensjonsordningene enn tidligere.</w:t>
      </w:r>
      <w:r>
        <w:rPr>
          <w:rFonts w:ascii="Times New Roman" w:hAnsi="Times New Roman" w:cs="Times New Roman"/>
          <w:b w:val="0"/>
        </w:rPr>
        <w:t xml:space="preserve"> </w:t>
      </w:r>
      <w:r w:rsidRPr="00236282">
        <w:rPr>
          <w:rFonts w:ascii="Times New Roman" w:hAnsi="Times New Roman" w:cs="Times New Roman"/>
          <w:b w:val="0"/>
        </w:rPr>
        <w:t>Dette gir lavere kost</w:t>
      </w:r>
      <w:r>
        <w:rPr>
          <w:rFonts w:ascii="Times New Roman" w:hAnsi="Times New Roman" w:cs="Times New Roman"/>
          <w:b w:val="0"/>
        </w:rPr>
        <w:t>nader for tjenestepensjons</w:t>
      </w:r>
      <w:r w:rsidRPr="00236282">
        <w:rPr>
          <w:rFonts w:ascii="Times New Roman" w:hAnsi="Times New Roman" w:cs="Times New Roman"/>
          <w:b w:val="0"/>
        </w:rPr>
        <w:t>ordningene isolert sett,</w:t>
      </w:r>
      <w:r>
        <w:rPr>
          <w:rFonts w:ascii="Times New Roman" w:hAnsi="Times New Roman" w:cs="Times New Roman"/>
          <w:b w:val="0"/>
        </w:rPr>
        <w:t xml:space="preserve"> menn ikke for det offentlige samlet sett.</w:t>
      </w:r>
    </w:p>
    <w:p w14:paraId="461277E0" w14:textId="4FEDCEF7"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120" w:line="240" w:lineRule="auto"/>
        <w:jc w:val="left"/>
        <w:rPr>
          <w:rFonts w:ascii="Times New Roman" w:hAnsi="Times New Roman" w:cs="Times New Roman"/>
          <w:b w:val="0"/>
        </w:rPr>
      </w:pPr>
      <w:r w:rsidRPr="00395891">
        <w:rPr>
          <w:rFonts w:ascii="Times New Roman" w:hAnsi="Times New Roman" w:cs="Times New Roman"/>
          <w:b w:val="0"/>
        </w:rPr>
        <w:t>R</w:t>
      </w:r>
      <w:r>
        <w:rPr>
          <w:rFonts w:ascii="Times New Roman" w:hAnsi="Times New Roman" w:cs="Times New Roman"/>
          <w:b w:val="0"/>
        </w:rPr>
        <w:t>ammer og regler for en ny uførepensjons</w:t>
      </w:r>
      <w:r w:rsidRPr="00395891">
        <w:rPr>
          <w:rFonts w:ascii="Times New Roman" w:hAnsi="Times New Roman" w:cs="Times New Roman"/>
          <w:b w:val="0"/>
        </w:rPr>
        <w:t>ordning i privat sektor trådte i kraft i 2016, med en overgangsordning på ett år for å avvikle de eksisterende ordning</w:t>
      </w:r>
      <w:r>
        <w:rPr>
          <w:rFonts w:ascii="Times New Roman" w:hAnsi="Times New Roman" w:cs="Times New Roman"/>
          <w:b w:val="0"/>
        </w:rPr>
        <w:t>ene. Det nye uførepensjons</w:t>
      </w:r>
      <w:r w:rsidRPr="00395891">
        <w:rPr>
          <w:rFonts w:ascii="Times New Roman" w:hAnsi="Times New Roman" w:cs="Times New Roman"/>
          <w:b w:val="0"/>
        </w:rPr>
        <w:t>produktet i privat sektor er relativt likt den nye uførepensjonsordningen i offentlig sektor. Rammene for uføredekning innebærer at det i hovedsak vil være mulig å gi uføredekning på linje med den nye uføreordningen i offentlig sektor. Det er imidlertid fortsatt frivillig for foretak i privat sektor om de vil knytte ufør</w:t>
      </w:r>
      <w:r>
        <w:rPr>
          <w:rFonts w:ascii="Times New Roman" w:hAnsi="Times New Roman" w:cs="Times New Roman"/>
          <w:b w:val="0"/>
        </w:rPr>
        <w:t>epensjon til tjeneste</w:t>
      </w:r>
      <w:r>
        <w:rPr>
          <w:rFonts w:ascii="Times New Roman" w:hAnsi="Times New Roman" w:cs="Times New Roman"/>
          <w:b w:val="0"/>
        </w:rPr>
        <w:softHyphen/>
        <w:t>pensjons</w:t>
      </w:r>
      <w:r w:rsidRPr="00395891">
        <w:rPr>
          <w:rFonts w:ascii="Times New Roman" w:hAnsi="Times New Roman" w:cs="Times New Roman"/>
          <w:b w:val="0"/>
        </w:rPr>
        <w:t>ordningen og i hvilken grad de vil utnytte rammene i loven.</w:t>
      </w:r>
    </w:p>
    <w:p w14:paraId="4D8D9CB3" w14:textId="337FF401"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rPr>
          <w:rFonts w:ascii="Times New Roman" w:hAnsi="Times New Roman" w:cs="Times New Roman"/>
          <w:b w:val="0"/>
        </w:rPr>
      </w:pPr>
      <w:r w:rsidRPr="00395891">
        <w:rPr>
          <w:rFonts w:ascii="Times New Roman" w:hAnsi="Times New Roman" w:cs="Times New Roman"/>
          <w:b w:val="0"/>
        </w:rPr>
        <w:t>Omleggingen av skattereglene for uføreytelser omfattet også personer som har fått innvilget uføreytelser etter de gamle reglene. De viktigste skatteskjerpende effektene ble kompensert gjennom en økning av folketrygdytelsen, mens uførepensjon fra tjenestepensjonsordningene ble betalt ut med samme nivå som før 2015. Uføre som hadde spesielle fradrag eller inntekter utover folketrygdytelsen fikk endret inntekt etter skatt som følge av at marginal</w:t>
      </w:r>
      <w:r w:rsidRPr="00395891">
        <w:rPr>
          <w:rFonts w:ascii="Times New Roman" w:hAnsi="Times New Roman" w:cs="Times New Roman"/>
          <w:b w:val="0"/>
        </w:rPr>
        <w:softHyphen/>
        <w:t>skatten ble endret. Inntekten etter skatt for uføre som ble overført til nytt system anslås å øke i gjennomsnitt, noe som innebærer en merutgift for det offentlige.</w:t>
      </w:r>
    </w:p>
    <w:p w14:paraId="4CC14E14" w14:textId="4DFB20FC"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240" w:line="240" w:lineRule="auto"/>
        <w:jc w:val="left"/>
        <w:rPr>
          <w:rFonts w:ascii="Times New Roman" w:hAnsi="Times New Roman" w:cs="Times New Roman"/>
          <w:b w:val="0"/>
        </w:rPr>
      </w:pPr>
      <w:r w:rsidRPr="00395891">
        <w:rPr>
          <w:rFonts w:ascii="Times New Roman" w:hAnsi="Times New Roman" w:cs="Times New Roman"/>
          <w:b w:val="0"/>
        </w:rPr>
        <w:t xml:space="preserve">Selv om inntekt etter skatt øker i gjennomsnitt, er det anslått at om lag 20 prosent får redusert inntekten etter skatt med 4000 kroner i året eller mer. I hovedsak skyldes dette at nye skatteregler reduserte skatteverdien </w:t>
      </w:r>
      <w:r>
        <w:rPr>
          <w:rFonts w:ascii="Times New Roman" w:hAnsi="Times New Roman" w:cs="Times New Roman"/>
          <w:b w:val="0"/>
        </w:rPr>
        <w:t>av</w:t>
      </w:r>
      <w:r w:rsidRPr="00395891">
        <w:rPr>
          <w:rFonts w:ascii="Times New Roman" w:hAnsi="Times New Roman" w:cs="Times New Roman"/>
          <w:b w:val="0"/>
        </w:rPr>
        <w:t xml:space="preserve"> fradrag for renteutgifter. Som følge av dette er det innført overgangsregler for uføre som er overført til nytt system og som har negativ </w:t>
      </w:r>
      <w:r>
        <w:rPr>
          <w:rFonts w:ascii="Times New Roman" w:hAnsi="Times New Roman" w:cs="Times New Roman"/>
          <w:b w:val="0"/>
        </w:rPr>
        <w:t>netto kapitalinntekt. Overgangs</w:t>
      </w:r>
      <w:r w:rsidRPr="00395891">
        <w:rPr>
          <w:rFonts w:ascii="Times New Roman" w:hAnsi="Times New Roman" w:cs="Times New Roman"/>
          <w:b w:val="0"/>
        </w:rPr>
        <w:t>reglene kompenser for nedgang i inntekt etter skatt over 4000 kroner gjennom et fradrag i skatt. Skattefradraget fases gradvis ut over tre år.</w:t>
      </w:r>
    </w:p>
    <w:p w14:paraId="2EDD20F2" w14:textId="77777777" w:rsidR="00E05117" w:rsidRPr="006A0396"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line="240" w:lineRule="auto"/>
        <w:jc w:val="left"/>
        <w:rPr>
          <w:rFonts w:ascii="Times New Roman" w:hAnsi="Times New Roman" w:cs="Times New Roman"/>
          <w:b w:val="0"/>
          <w:i/>
        </w:rPr>
      </w:pPr>
      <w:r w:rsidRPr="006A0396">
        <w:rPr>
          <w:rFonts w:ascii="Times New Roman" w:hAnsi="Times New Roman" w:cs="Times New Roman"/>
          <w:b w:val="0"/>
          <w:i/>
        </w:rPr>
        <w:t>Pensjonskostnader</w:t>
      </w:r>
    </w:p>
    <w:p w14:paraId="7445A8EC" w14:textId="043946DE"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0" w:after="0" w:line="240" w:lineRule="auto"/>
        <w:jc w:val="left"/>
        <w:rPr>
          <w:rFonts w:ascii="Times New Roman" w:hAnsi="Times New Roman" w:cs="Times New Roman"/>
          <w:b w:val="0"/>
        </w:rPr>
      </w:pPr>
      <w:r w:rsidRPr="00395891">
        <w:rPr>
          <w:rFonts w:ascii="Times New Roman" w:hAnsi="Times New Roman" w:cs="Times New Roman"/>
          <w:b w:val="0"/>
        </w:rPr>
        <w:t>Omleggingen av uføreordningen i folketrygden innebærer at flertallet får en høyere uføreytelse fra folketrygden etter skatt enn de ville fått med de gamle uførereglene. I tillegg får mange lavere marginalskatt på uførepensjonen fra tjenestepensjonsordningen. De</w:t>
      </w:r>
      <w:r>
        <w:rPr>
          <w:rFonts w:ascii="Times New Roman" w:hAnsi="Times New Roman" w:cs="Times New Roman"/>
          <w:b w:val="0"/>
        </w:rPr>
        <w:t xml:space="preserve"> nye uføreordningene i tjeneste</w:t>
      </w:r>
      <w:r w:rsidRPr="00395891">
        <w:rPr>
          <w:rFonts w:ascii="Times New Roman" w:hAnsi="Times New Roman" w:cs="Times New Roman"/>
          <w:b w:val="0"/>
        </w:rPr>
        <w:t>pensjonsordningene er tilpasset dette. I privat sektor vil kostnadene knyttet til uførepensjon gradvis bli redusert etter hvert som den nye uføreordningen fases inn.</w:t>
      </w:r>
      <w:r>
        <w:rPr>
          <w:rFonts w:ascii="Times New Roman" w:hAnsi="Times New Roman" w:cs="Times New Roman"/>
          <w:b w:val="0"/>
        </w:rPr>
        <w:t xml:space="preserve"> </w:t>
      </w:r>
    </w:p>
    <w:p w14:paraId="2F6E4ABD" w14:textId="77777777" w:rsidR="00E05117" w:rsidRDefault="00E05117" w:rsidP="00140733">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rPr>
          <w:rFonts w:ascii="Times New Roman" w:hAnsi="Times New Roman" w:cs="Times New Roman"/>
          <w:b w:val="0"/>
        </w:rPr>
      </w:pPr>
      <w:r w:rsidRPr="00395891">
        <w:rPr>
          <w:rFonts w:ascii="Times New Roman" w:hAnsi="Times New Roman" w:cs="Times New Roman"/>
          <w:b w:val="0"/>
        </w:rPr>
        <w:t xml:space="preserve">I offentlig sektor er den nye uførepensjonsordningen obligatorisk. I Prop. 202 anslås det at de løpende (årlige) utbetalingene på sikt vil reduseres med anslagsvis 1,35 mrd. kroner i SPK og 900 millioner kroner i KLP. Omlegging av uføreytelser i offentlig tjenestepensjon medfører at </w:t>
      </w:r>
      <w:r>
        <w:rPr>
          <w:rFonts w:ascii="Times New Roman" w:hAnsi="Times New Roman" w:cs="Times New Roman"/>
          <w:b w:val="0"/>
        </w:rPr>
        <w:t>f</w:t>
      </w:r>
      <w:r w:rsidRPr="00395891">
        <w:rPr>
          <w:rFonts w:ascii="Times New Roman" w:hAnsi="Times New Roman" w:cs="Times New Roman"/>
          <w:b w:val="0"/>
        </w:rPr>
        <w:t xml:space="preserve">olketrygden tar en større del av samlet uføreytelse og offentlig tjenestepensjon en mindre del for nye uføre fra 2015. Reserver avsatt for fremtidige uførepensjoner i KLP reduseres i tråd med dette. Reduksjonen utgjør drøyt 10 milliarder kroner i KLPs ordninger for kommuner, fylkeskommuner, statlige helseforetak og andre virksomheter. KLPs uføretariffer er endret på grunn av gunstig uføreforløp gjennom 5-6 år både i kommunal sektor og i helseforetakene. Dette gir reservereduksjon på vel 5 milliarder i KLPs ordninger til sammen. Samlet er det reduksjon i uførereserver på 15,4 milliarder kroner i 2015, som må disponeres i forbindelse med pensjonsinnretningenes årsoppgjørsdisposisjoner. </w:t>
      </w:r>
    </w:p>
    <w:p w14:paraId="7638085F" w14:textId="77777777" w:rsidR="007E00C5" w:rsidRDefault="00E05117" w:rsidP="009F0FBE">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rPr>
          <w:rFonts w:ascii="Times New Roman" w:hAnsi="Times New Roman" w:cs="Times New Roman"/>
          <w:b w:val="0"/>
        </w:rPr>
      </w:pPr>
      <w:r w:rsidRPr="00395891">
        <w:rPr>
          <w:rFonts w:ascii="Times New Roman" w:hAnsi="Times New Roman" w:cs="Times New Roman"/>
          <w:b w:val="0"/>
        </w:rPr>
        <w:t>De kommunale tjenestepensjonsordningene er forhåndsfinansierte (fonderte). Fordi premie</w:t>
      </w:r>
      <w:r w:rsidRPr="00395891">
        <w:rPr>
          <w:rFonts w:ascii="Times New Roman" w:hAnsi="Times New Roman" w:cs="Times New Roman"/>
          <w:b w:val="0"/>
        </w:rPr>
        <w:softHyphen/>
        <w:t>fastsettingen og pensjonskostnadene i fonderte ordninger er framoverskuende, blir de økonomiske virkningene av uførereformen større på kort sikt enn når uføreordningen er løpende finansiert som i staten.</w:t>
      </w:r>
      <w:r w:rsidR="009F0FBE">
        <w:rPr>
          <w:rFonts w:ascii="Times New Roman" w:hAnsi="Times New Roman" w:cs="Times New Roman"/>
          <w:b w:val="0"/>
        </w:rPr>
        <w:t xml:space="preserve"> </w:t>
      </w:r>
    </w:p>
    <w:p w14:paraId="0E503F9D" w14:textId="5EA627DC" w:rsidR="007E00C5" w:rsidRDefault="00E05117" w:rsidP="009F0FBE">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rPr>
          <w:rFonts w:ascii="Times New Roman" w:hAnsi="Times New Roman" w:cs="Times New Roman"/>
          <w:b w:val="0"/>
        </w:rPr>
      </w:pPr>
      <w:r w:rsidRPr="00395891">
        <w:rPr>
          <w:rFonts w:ascii="Times New Roman" w:hAnsi="Times New Roman" w:cs="Times New Roman"/>
          <w:b w:val="0"/>
        </w:rPr>
        <w:t>Kommunenes regnskapsmessige pensjonskostnader er i 2015 i tillegg til nye uføreregler også påvirket av flere andre faktorer, bl.a. implementering av levealdersjustering og antagelser om lengre levetid. Når disse tre faktorene "nettes" mot hverandre, gir det samlet en svak nedgang i pensjonskostnadene i kommunal sektor. Reservereduksjonene er da holdt utenom.</w:t>
      </w:r>
      <w:r w:rsidR="007E00C5">
        <w:rPr>
          <w:rFonts w:ascii="Times New Roman" w:hAnsi="Times New Roman" w:cs="Times New Roman"/>
          <w:b w:val="0"/>
        </w:rPr>
        <w:t xml:space="preserve"> </w:t>
      </w:r>
    </w:p>
    <w:p w14:paraId="7C089059" w14:textId="5E7BBAD6" w:rsidR="00FF3227" w:rsidRPr="00467A82" w:rsidRDefault="007E00C5" w:rsidP="009F0FBE">
      <w:pPr>
        <w:pStyle w:val="tittel-ramme"/>
        <w:keepNext w:val="0"/>
        <w:keepLines w:val="0"/>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before="120" w:after="120" w:line="240" w:lineRule="auto"/>
        <w:jc w:val="left"/>
      </w:pPr>
      <w:r>
        <w:rPr>
          <w:rFonts w:ascii="Times New Roman" w:hAnsi="Times New Roman" w:cs="Times New Roman"/>
          <w:b w:val="0"/>
        </w:rPr>
        <w:t>I vedlegg 2 vises tabeller med statistikk over utviklingen i lønnskostnader og pensjonskostnader de senere årene i enkelte næringer.</w:t>
      </w:r>
      <w:r w:rsidR="00FF3227" w:rsidRPr="00467A82">
        <w:br w:type="page"/>
      </w:r>
    </w:p>
    <w:p w14:paraId="79A875AE" w14:textId="1AD502A8" w:rsidR="00435783" w:rsidRDefault="00435783" w:rsidP="003E3800">
      <w:pPr>
        <w:pStyle w:val="vedlegg-nr"/>
      </w:pPr>
      <w:bookmarkStart w:id="308" w:name="_Toc328084707"/>
      <w:bookmarkStart w:id="309" w:name="_Toc391030035"/>
    </w:p>
    <w:p w14:paraId="4EB7929D" w14:textId="77777777" w:rsidR="00435783" w:rsidRPr="003B0D9F" w:rsidRDefault="00435783" w:rsidP="008643D6">
      <w:pPr>
        <w:pStyle w:val="Overskrift1"/>
        <w:numPr>
          <w:ilvl w:val="0"/>
          <w:numId w:val="34"/>
        </w:numPr>
        <w:ind w:left="431" w:hanging="431"/>
        <w:jc w:val="center"/>
      </w:pPr>
      <w:bookmarkStart w:id="310" w:name="_Toc257462259"/>
      <w:bookmarkStart w:id="311" w:name="_Toc264645445"/>
      <w:bookmarkStart w:id="312" w:name="_Toc359263572"/>
      <w:bookmarkStart w:id="313" w:name="_Toc422226833"/>
      <w:bookmarkStart w:id="314" w:name="_Toc443999007"/>
      <w:bookmarkEnd w:id="308"/>
      <w:bookmarkEnd w:id="309"/>
      <w:r>
        <w:t xml:space="preserve">1 </w:t>
      </w:r>
      <w:r w:rsidRPr="003B0D9F">
        <w:t>Lønnsoppgjør i 20</w:t>
      </w:r>
      <w:bookmarkEnd w:id="310"/>
      <w:r>
        <w:t>1</w:t>
      </w:r>
      <w:bookmarkEnd w:id="311"/>
      <w:bookmarkEnd w:id="312"/>
      <w:r>
        <w:t>5</w:t>
      </w:r>
      <w:bookmarkEnd w:id="313"/>
      <w:bookmarkEnd w:id="314"/>
    </w:p>
    <w:p w14:paraId="7AF2D026" w14:textId="77777777" w:rsidR="007D7BB4" w:rsidRDefault="007D7BB4" w:rsidP="007D7BB4">
      <w:r>
        <w:t>For de fleste tariffområder ble det i 2014 inngått toårige avtaler med bestemmelser som ga adgang til forhandlinger om eventuelle lønnsreguleringer ved vanlig revisjonstidspunkt i 2015. I dette vedlegget gis en oversikt over avtalte lønnstillegg i en del store forhandlingsområder. For oversikt over lønnsoppgjør i 2014 vises det til vedlegg 1 i NOU 2015: 6.</w:t>
      </w:r>
    </w:p>
    <w:p w14:paraId="355C02BF" w14:textId="77777777" w:rsidR="007D7BB4" w:rsidRPr="00E91F19" w:rsidRDefault="007D7BB4" w:rsidP="007D7BB4">
      <w:pPr>
        <w:pStyle w:val="Overskrift2"/>
      </w:pPr>
      <w:bookmarkStart w:id="315" w:name="_Toc256681351"/>
      <w:bookmarkStart w:id="316" w:name="_Toc256684368"/>
      <w:bookmarkStart w:id="317" w:name="_Toc257118271"/>
      <w:bookmarkStart w:id="318" w:name="_Toc257201071"/>
      <w:bookmarkStart w:id="319" w:name="_Toc257462260"/>
      <w:bookmarkStart w:id="320" w:name="_Toc264463022"/>
      <w:bookmarkStart w:id="321" w:name="_Toc264645446"/>
      <w:bookmarkStart w:id="322" w:name="_Toc286073405"/>
      <w:bookmarkStart w:id="323" w:name="_Toc286074029"/>
      <w:bookmarkStart w:id="324" w:name="_Toc286075049"/>
      <w:bookmarkStart w:id="325" w:name="_Toc286075298"/>
      <w:bookmarkStart w:id="326" w:name="_Toc358202901"/>
      <w:bookmarkStart w:id="327" w:name="_Toc359263573"/>
      <w:bookmarkStart w:id="328" w:name="_Toc422226834"/>
      <w:bookmarkStart w:id="329" w:name="_Toc443829079"/>
      <w:bookmarkStart w:id="330" w:name="_Toc443843736"/>
      <w:bookmarkStart w:id="331" w:name="_Toc443844268"/>
      <w:bookmarkStart w:id="332" w:name="_Toc443999008"/>
      <w:r w:rsidRPr="00E91F19">
        <w:t xml:space="preserve">Vedtak foran </w:t>
      </w:r>
      <w:r>
        <w:t>mellom</w:t>
      </w:r>
      <w:r w:rsidRPr="00E91F19">
        <w:t>oppgjørene i 20</w:t>
      </w:r>
      <w:bookmarkEnd w:id="315"/>
      <w:bookmarkEnd w:id="316"/>
      <w:bookmarkEnd w:id="317"/>
      <w:bookmarkEnd w:id="318"/>
      <w:bookmarkEnd w:id="319"/>
      <w:r w:rsidRPr="00E91F19">
        <w:t>1</w:t>
      </w:r>
      <w:bookmarkEnd w:id="320"/>
      <w:bookmarkEnd w:id="321"/>
      <w:bookmarkEnd w:id="322"/>
      <w:bookmarkEnd w:id="323"/>
      <w:bookmarkEnd w:id="324"/>
      <w:bookmarkEnd w:id="325"/>
      <w:bookmarkEnd w:id="326"/>
      <w:bookmarkEnd w:id="327"/>
      <w:r>
        <w:t>5</w:t>
      </w:r>
      <w:bookmarkEnd w:id="328"/>
      <w:bookmarkEnd w:id="329"/>
      <w:bookmarkEnd w:id="330"/>
      <w:bookmarkEnd w:id="331"/>
      <w:bookmarkEnd w:id="332"/>
    </w:p>
    <w:p w14:paraId="25E237F3" w14:textId="77777777" w:rsidR="007D7BB4" w:rsidRDefault="007D7BB4" w:rsidP="007D7BB4">
      <w:pPr>
        <w:spacing w:after="0"/>
      </w:pPr>
      <w:r>
        <w:rPr>
          <w:i/>
          <w:iCs/>
        </w:rPr>
        <w:t>Representantskapet i LO</w:t>
      </w:r>
      <w:r>
        <w:t xml:space="preserve"> behandlet kravene foran mellomoppgjøret 17. februar 2015. I vedtaket het det bl.a.: </w:t>
      </w:r>
    </w:p>
    <w:p w14:paraId="72892198" w14:textId="77777777" w:rsidR="007D7BB4" w:rsidRDefault="007D7BB4" w:rsidP="007D7BB4">
      <w:pPr>
        <w:spacing w:after="0"/>
        <w:ind w:left="426"/>
      </w:pPr>
      <w:r>
        <w:t>[…..]</w:t>
      </w:r>
    </w:p>
    <w:p w14:paraId="11DAA687" w14:textId="77777777" w:rsidR="007D7BB4" w:rsidRPr="007F7AB2" w:rsidRDefault="007D7BB4" w:rsidP="007D7BB4">
      <w:pPr>
        <w:rPr>
          <w:rFonts w:ascii="Times New Roman" w:hAnsi="Times New Roman"/>
          <w:szCs w:val="24"/>
        </w:rPr>
      </w:pPr>
      <w:r>
        <w:t>”</w:t>
      </w:r>
      <w:r w:rsidRPr="00EF36A1">
        <w:t xml:space="preserve"> </w:t>
      </w:r>
      <w:r w:rsidRPr="007F7AB2">
        <w:rPr>
          <w:rFonts w:ascii="Times New Roman" w:hAnsi="Times New Roman"/>
          <w:szCs w:val="24"/>
        </w:rPr>
        <w:t>De økonomiske utsikter for de nærmeste år fremstår som svært usikre. Vekstutsiktene internasjonalt er lavere enn det normale, og norsk økonomi vil bli sterkt preget av betydelig nedgang i oljeinvesteringene. Samtidig bedres konkurransesituasjonen for øvrig industri og annen konkurranseutsatt virksomhet dersom den gunstigere kronekursen varer ved. Usikkerhet er særlig knyttet til varigheten av disse trekkene og faren for nye tendenser til krise i eurosonen.</w:t>
      </w:r>
    </w:p>
    <w:p w14:paraId="0C334883" w14:textId="77777777" w:rsidR="007D7BB4" w:rsidRPr="000D2920" w:rsidRDefault="007D7BB4" w:rsidP="007D7BB4">
      <w:r w:rsidRPr="000D2920">
        <w:t>En hovedoppgave for LO er å medvirke til at det legges grunnlag for langsiktig holdbar jobbvekst, samtidig som arbeidstakerne sikres en rimelig del av verdiskapingen og at lønn og annen inntekt fordeles rettferdig.</w:t>
      </w:r>
    </w:p>
    <w:p w14:paraId="2671774C" w14:textId="77777777" w:rsidR="007D7BB4" w:rsidRPr="007F7AB2" w:rsidRDefault="007D7BB4" w:rsidP="007D7BB4">
      <w:pPr>
        <w:spacing w:after="0"/>
        <w:rPr>
          <w:rFonts w:ascii="Times New Roman" w:hAnsi="Times New Roman"/>
          <w:szCs w:val="24"/>
        </w:rPr>
      </w:pPr>
      <w:r w:rsidRPr="007F7AB2">
        <w:rPr>
          <w:rFonts w:ascii="Times New Roman" w:hAnsi="Times New Roman"/>
          <w:szCs w:val="24"/>
        </w:rPr>
        <w:t xml:space="preserve"> [….]</w:t>
      </w:r>
    </w:p>
    <w:p w14:paraId="69FA70CE" w14:textId="77777777" w:rsidR="007D7BB4" w:rsidRPr="007F7AB2" w:rsidRDefault="007D7BB4" w:rsidP="007D7BB4">
      <w:pPr>
        <w:rPr>
          <w:rFonts w:ascii="Times New Roman" w:hAnsi="Times New Roman"/>
          <w:szCs w:val="24"/>
        </w:rPr>
      </w:pPr>
      <w:r w:rsidRPr="007F7AB2">
        <w:rPr>
          <w:rFonts w:ascii="Times New Roman" w:hAnsi="Times New Roman"/>
          <w:szCs w:val="24"/>
        </w:rPr>
        <w:t xml:space="preserve">Økonomisk styring gjennom frontfagsmodellen er viktig for å sikre sysselsetting og langsiktig økonomisk bærekraft. Det er et problem om en økende del av arbeidstakerne unngår denne styringen. Næringer utsatt for internasjonal konkurranse må bestemme rammene for lønnsutviklingen. Men for å være bærekraftig må den også bidra til en rimelig fordeling. Det er etablert som prinsipp at alle grupper inngår i beregningene for lønnsveksten i frontfaget. Det skal gi rammer for hele arbeidslivet, men ikke være til hinder for at det kan gis kompensasjon til grupper som systematisk over tid er blitt hengende etter i lønnsutviklingen. </w:t>
      </w:r>
      <w:r w:rsidRPr="007F7AB2">
        <w:rPr>
          <w:rFonts w:ascii="Times New Roman" w:hAnsi="Times New Roman"/>
          <w:szCs w:val="24"/>
        </w:rPr>
        <w:br/>
        <w:t>[…]</w:t>
      </w:r>
    </w:p>
    <w:p w14:paraId="47C672A4" w14:textId="77777777" w:rsidR="007D7BB4" w:rsidRPr="007F7AB2" w:rsidRDefault="007D7BB4" w:rsidP="007D7BB4">
      <w:pPr>
        <w:rPr>
          <w:rFonts w:ascii="Times New Roman" w:hAnsi="Times New Roman"/>
          <w:szCs w:val="24"/>
        </w:rPr>
      </w:pPr>
      <w:r w:rsidRPr="007F7AB2">
        <w:rPr>
          <w:rFonts w:ascii="Times New Roman" w:hAnsi="Times New Roman"/>
          <w:szCs w:val="24"/>
        </w:rPr>
        <w:t>Utjevningen mellom menn og kvinners gjennomsnittlige lønnsnivå går for langsomt, særlig som følge av et fortsatt svært kjønnsdelt arbeidsliv, der kvinner og menn jobber i ulike næringer, yrker og stillinger og der kvinner jobber langt oftere deltid enn menn. I tillegg til at lavlønnsproblemet i stor grad samtidig er et likelønnsspørsmål, er det klart at mange kvinnedominerte yrker gir lav uttelling for god kompetanse. Dette gjelder både offentlig og privat sektor.</w:t>
      </w:r>
    </w:p>
    <w:p w14:paraId="2328D552" w14:textId="77777777" w:rsidR="007D7BB4" w:rsidRPr="007F7AB2" w:rsidRDefault="007D7BB4" w:rsidP="007D7BB4">
      <w:pPr>
        <w:rPr>
          <w:rFonts w:ascii="Times New Roman" w:hAnsi="Times New Roman"/>
          <w:szCs w:val="24"/>
        </w:rPr>
      </w:pPr>
      <w:r w:rsidRPr="007F7AB2">
        <w:rPr>
          <w:rFonts w:ascii="Times New Roman" w:hAnsi="Times New Roman"/>
          <w:szCs w:val="24"/>
        </w:rPr>
        <w:t>Likelønnsprofil på sentral og lokalt avtalte tillegg må videreføres og understøttes av strukturelle tiltak mot kjønnsdelingen og for mer likestilling blant annet gjennom trepartssamarbeid rettet inn mot mekanismer i arbeidslivet. For enkelte grupper med høyere utdanning er det viktig at lønnsforskjellene mellom privat og offentlig sektor reduseres.</w:t>
      </w:r>
    </w:p>
    <w:p w14:paraId="708C7929" w14:textId="77777777" w:rsidR="007D7BB4" w:rsidRPr="007F7AB2" w:rsidRDefault="007D7BB4" w:rsidP="007D7BB4">
      <w:pPr>
        <w:rPr>
          <w:rFonts w:ascii="Times New Roman" w:hAnsi="Times New Roman"/>
          <w:szCs w:val="24"/>
        </w:rPr>
      </w:pPr>
      <w:r w:rsidRPr="007F7AB2">
        <w:rPr>
          <w:rFonts w:ascii="Times New Roman" w:hAnsi="Times New Roman"/>
          <w:szCs w:val="24"/>
        </w:rPr>
        <w:t>I partenes og myndighetens arbeid for en samfunnsmessig fornuftig lønnsdannelse der hensynet til sysselsetting prioriteres, er det viktig at ikke enkeltgrupper profiterer på at flertallet viser kollektiv fornuft. I en tid der høyinntektsgrupper blir særlig tilgodesett i statsbudsjettet av stortingsflertallet er det viktig at lønnsdannelsen bidrar til å motvirke ytterligere skeivheter i inntektsfordelingen.</w:t>
      </w:r>
    </w:p>
    <w:p w14:paraId="581119F2" w14:textId="77777777" w:rsidR="007D7BB4" w:rsidRPr="007F7AB2" w:rsidRDefault="007D7BB4" w:rsidP="007D7BB4">
      <w:pPr>
        <w:spacing w:after="0"/>
        <w:rPr>
          <w:rFonts w:ascii="Times New Roman" w:hAnsi="Times New Roman"/>
          <w:szCs w:val="24"/>
        </w:rPr>
      </w:pPr>
      <w:r w:rsidRPr="007F7AB2">
        <w:rPr>
          <w:rFonts w:ascii="Times New Roman" w:hAnsi="Times New Roman"/>
          <w:szCs w:val="24"/>
        </w:rPr>
        <w:t>[….]</w:t>
      </w:r>
    </w:p>
    <w:p w14:paraId="231D4317" w14:textId="77777777" w:rsidR="007D7BB4" w:rsidRPr="007F7AB2" w:rsidRDefault="007D7BB4" w:rsidP="007D7BB4">
      <w:pPr>
        <w:spacing w:after="0"/>
        <w:rPr>
          <w:rFonts w:ascii="Times New Roman" w:hAnsi="Times New Roman"/>
          <w:szCs w:val="24"/>
        </w:rPr>
      </w:pPr>
      <w:r w:rsidRPr="007F7AB2">
        <w:rPr>
          <w:rFonts w:ascii="Times New Roman" w:hAnsi="Times New Roman"/>
          <w:szCs w:val="24"/>
        </w:rPr>
        <w:t>Kravet ved hovedoppgjøret som skal følges opp for annet avtaleår lød:</w:t>
      </w:r>
      <w:r w:rsidRPr="007F7AB2">
        <w:rPr>
          <w:rFonts w:ascii="Times New Roman" w:hAnsi="Times New Roman"/>
          <w:szCs w:val="24"/>
        </w:rPr>
        <w:br/>
        <w:t>”…å sikre medlemmenes kjøpekraft ved:</w:t>
      </w:r>
    </w:p>
    <w:p w14:paraId="34A38B98" w14:textId="77777777" w:rsidR="007D7BB4" w:rsidRPr="007F7AB2" w:rsidRDefault="007D7BB4" w:rsidP="008643D6">
      <w:pPr>
        <w:pStyle w:val="Listeavsnitt"/>
        <w:numPr>
          <w:ilvl w:val="0"/>
          <w:numId w:val="37"/>
        </w:numPr>
        <w:spacing w:before="0" w:line="240" w:lineRule="auto"/>
        <w:contextualSpacing/>
        <w:rPr>
          <w:rFonts w:cs="Times New Roman"/>
          <w:szCs w:val="24"/>
        </w:rPr>
      </w:pPr>
      <w:r w:rsidRPr="007F7AB2">
        <w:rPr>
          <w:rFonts w:cs="Times New Roman"/>
          <w:szCs w:val="24"/>
        </w:rPr>
        <w:t xml:space="preserve">En kombinasjon av egne sentrale tillegg, bedring av minstelønnssatser og garantiordninger som fremmer likelønn og motvirker lavlønn. </w:t>
      </w:r>
    </w:p>
    <w:p w14:paraId="012F0F94" w14:textId="77777777" w:rsidR="007D7BB4" w:rsidRPr="007F7AB2" w:rsidRDefault="007D7BB4" w:rsidP="008643D6">
      <w:pPr>
        <w:pStyle w:val="Listeavsnitt"/>
        <w:numPr>
          <w:ilvl w:val="0"/>
          <w:numId w:val="37"/>
        </w:numPr>
        <w:spacing w:before="0" w:line="240" w:lineRule="auto"/>
        <w:contextualSpacing/>
        <w:rPr>
          <w:rFonts w:cs="Times New Roman"/>
          <w:szCs w:val="24"/>
        </w:rPr>
      </w:pPr>
      <w:r w:rsidRPr="007F7AB2">
        <w:rPr>
          <w:rFonts w:cs="Times New Roman"/>
          <w:szCs w:val="24"/>
        </w:rPr>
        <w:t xml:space="preserve">Prioritering av kvinnedominerte grupper innenfor sentralt avtalte rammer i offentlig sektor. </w:t>
      </w:r>
    </w:p>
    <w:p w14:paraId="05754D94" w14:textId="77777777" w:rsidR="007D7BB4" w:rsidRPr="007F7AB2" w:rsidRDefault="007D7BB4" w:rsidP="008643D6">
      <w:pPr>
        <w:pStyle w:val="Listeavsnitt"/>
        <w:numPr>
          <w:ilvl w:val="0"/>
          <w:numId w:val="37"/>
        </w:numPr>
        <w:spacing w:before="0" w:line="240" w:lineRule="auto"/>
        <w:ind w:left="714" w:hanging="357"/>
        <w:contextualSpacing/>
        <w:rPr>
          <w:rFonts w:cs="Times New Roman"/>
          <w:szCs w:val="24"/>
        </w:rPr>
      </w:pPr>
      <w:r w:rsidRPr="007F7AB2">
        <w:rPr>
          <w:rFonts w:cs="Times New Roman"/>
          <w:szCs w:val="24"/>
        </w:rPr>
        <w:t>Prioritering av likelønn i relevante bransjer i privat sektor.”</w:t>
      </w:r>
      <w:r w:rsidRPr="007F7AB2">
        <w:rPr>
          <w:rFonts w:cs="Times New Roman"/>
          <w:szCs w:val="24"/>
        </w:rPr>
        <w:br/>
      </w:r>
    </w:p>
    <w:p w14:paraId="002DCBB6" w14:textId="77777777" w:rsidR="007D7BB4" w:rsidRPr="007F7AB2" w:rsidRDefault="007D7BB4" w:rsidP="007D7BB4">
      <w:pPr>
        <w:rPr>
          <w:rStyle w:val="sitat"/>
          <w:rFonts w:ascii="Times New Roman" w:hAnsi="Times New Roman"/>
          <w:szCs w:val="24"/>
        </w:rPr>
      </w:pPr>
      <w:r w:rsidRPr="007F7AB2">
        <w:rPr>
          <w:rFonts w:ascii="Times New Roman" w:hAnsi="Times New Roman"/>
          <w:szCs w:val="24"/>
        </w:rPr>
        <w:t>Det foreløpige tallmaterialet fra TBU synes å bekrefte at kjøpekraften ble mer enn opprettholdt for LOs forhandlingsområder i 2014. Vi har ikke grunnlag ennå for å si at siktemålene for lavlønn og likelønn er like godt ivaretatt. Utsikt til svekket grunnlag for særnorsk reallønnsvekst, som hittil på 2000-tallet, innebærer dempet lønnsvekst. Tiltak for lavlønte og likelønnsutvikling er det som i videreføringen av hovedoppgjørets føringer bør gis prioritet”.</w:t>
      </w:r>
    </w:p>
    <w:p w14:paraId="77ECB2C7" w14:textId="77777777" w:rsidR="007D7BB4" w:rsidRPr="007F7AB2" w:rsidRDefault="007D7BB4" w:rsidP="007D7BB4">
      <w:pPr>
        <w:pStyle w:val="NormalWeb"/>
        <w:spacing w:after="0"/>
        <w:rPr>
          <w:rFonts w:ascii="Times New Roman" w:hAnsi="Times New Roman"/>
        </w:rPr>
      </w:pPr>
      <w:r w:rsidRPr="007F7AB2">
        <w:rPr>
          <w:rFonts w:ascii="Times New Roman" w:hAnsi="Times New Roman"/>
        </w:rPr>
        <w:t>Representantskapet ga sekretariatet/forhandlingsutvalgene fullmakt til å utforme de endelige kravene på basis av de ovennevnte retningslinjene.</w:t>
      </w:r>
    </w:p>
    <w:p w14:paraId="4E937CEC" w14:textId="77777777" w:rsidR="007D7BB4" w:rsidRPr="007F7AB2" w:rsidRDefault="007D7BB4" w:rsidP="007D7BB4">
      <w:pPr>
        <w:spacing w:after="0"/>
        <w:rPr>
          <w:rFonts w:ascii="Times New Roman" w:hAnsi="Times New Roman"/>
          <w:szCs w:val="24"/>
        </w:rPr>
      </w:pPr>
    </w:p>
    <w:p w14:paraId="0B2C4D78" w14:textId="77777777" w:rsidR="007D7BB4" w:rsidRPr="007F7AB2" w:rsidRDefault="007D7BB4" w:rsidP="007D7BB4">
      <w:pPr>
        <w:spacing w:after="0"/>
        <w:rPr>
          <w:rFonts w:ascii="Times New Roman" w:hAnsi="Times New Roman"/>
          <w:szCs w:val="24"/>
        </w:rPr>
      </w:pPr>
      <w:r w:rsidRPr="007F7AB2">
        <w:rPr>
          <w:rFonts w:ascii="Times New Roman" w:hAnsi="Times New Roman"/>
          <w:i/>
          <w:iCs/>
          <w:szCs w:val="24"/>
        </w:rPr>
        <w:t>Representantskapet i NHO</w:t>
      </w:r>
      <w:r w:rsidRPr="007F7AB2">
        <w:rPr>
          <w:rFonts w:ascii="Times New Roman" w:hAnsi="Times New Roman"/>
          <w:szCs w:val="24"/>
        </w:rPr>
        <w:t xml:space="preserve"> vedtok 24.-25.februar </w:t>
      </w:r>
      <w:r>
        <w:rPr>
          <w:rFonts w:ascii="Times New Roman" w:hAnsi="Times New Roman"/>
          <w:szCs w:val="24"/>
        </w:rPr>
        <w:t xml:space="preserve">2015 </w:t>
      </w:r>
      <w:r w:rsidRPr="007F7AB2">
        <w:rPr>
          <w:rFonts w:ascii="Times New Roman" w:hAnsi="Times New Roman"/>
          <w:szCs w:val="24"/>
        </w:rPr>
        <w:t>forhandlingsfullmakten for mellomoppgjøret i 2015. I vedtaket het det bl.a.:</w:t>
      </w:r>
    </w:p>
    <w:p w14:paraId="3DA49F01" w14:textId="77777777" w:rsidR="007D7BB4" w:rsidRPr="007F7AB2" w:rsidRDefault="007D7BB4" w:rsidP="007D7BB4">
      <w:pPr>
        <w:spacing w:after="0"/>
        <w:rPr>
          <w:rFonts w:ascii="Times New Roman" w:hAnsi="Times New Roman"/>
          <w:szCs w:val="24"/>
        </w:rPr>
      </w:pPr>
      <w:r w:rsidRPr="007F7AB2">
        <w:rPr>
          <w:rFonts w:ascii="Times New Roman" w:hAnsi="Times New Roman"/>
          <w:szCs w:val="24"/>
        </w:rPr>
        <w:t>[…..]</w:t>
      </w:r>
    </w:p>
    <w:p w14:paraId="6F74BBDB" w14:textId="77777777" w:rsidR="007D7BB4" w:rsidRPr="007F7AB2" w:rsidRDefault="007D7BB4" w:rsidP="007D7BB4">
      <w:pPr>
        <w:autoSpaceDE w:val="0"/>
        <w:autoSpaceDN w:val="0"/>
        <w:adjustRightInd w:val="0"/>
        <w:rPr>
          <w:rFonts w:ascii="Times New Roman" w:hAnsi="Times New Roman"/>
          <w:color w:val="000000" w:themeColor="text1"/>
          <w:szCs w:val="24"/>
        </w:rPr>
      </w:pPr>
      <w:r w:rsidRPr="007F7AB2">
        <w:rPr>
          <w:rFonts w:ascii="Times New Roman" w:hAnsi="Times New Roman"/>
          <w:color w:val="000000" w:themeColor="text1"/>
          <w:szCs w:val="24"/>
        </w:rPr>
        <w:t>”Fallet i oljeprisen er en viktig årsak til svakere vekst i norsk økonomi. Oljeprisutsiktene er betydelig lavere enn det vi har vært vant med. Som respons reduserte Norges Bank styringsrenten 11. desember i fjor, og varsler lav rente også fremover. De begrunner dette slik: "</w:t>
      </w:r>
      <w:r w:rsidRPr="007F7AB2">
        <w:rPr>
          <w:rFonts w:ascii="Times New Roman" w:hAnsi="Times New Roman"/>
          <w:i/>
          <w:iCs/>
          <w:color w:val="000000" w:themeColor="text1"/>
          <w:szCs w:val="24"/>
        </w:rPr>
        <w:t>En lavere rente kan isolert sett bidra til at boligpriser og gjeld fortsetter å vokse raskere enn husholdningenes inntekter. På den andre siden har oljeprisen falt kraftig, og utsiktene for norsk økonomi er svekket. Hovedstyret legger vekt på å motvirke faren for en markert nedgang i norsk økonomi.</w:t>
      </w:r>
      <w:r w:rsidRPr="007F7AB2">
        <w:rPr>
          <w:rFonts w:ascii="Times New Roman" w:hAnsi="Times New Roman"/>
          <w:color w:val="000000" w:themeColor="text1"/>
          <w:szCs w:val="24"/>
        </w:rPr>
        <w:t xml:space="preserve">" </w:t>
      </w:r>
    </w:p>
    <w:p w14:paraId="6C57C03C" w14:textId="77777777" w:rsidR="007D7BB4" w:rsidRPr="007F7AB2" w:rsidRDefault="007D7BB4" w:rsidP="007D7BB4">
      <w:pPr>
        <w:autoSpaceDE w:val="0"/>
        <w:autoSpaceDN w:val="0"/>
        <w:adjustRightInd w:val="0"/>
        <w:rPr>
          <w:rFonts w:ascii="Times New Roman" w:hAnsi="Times New Roman"/>
          <w:color w:val="000000"/>
          <w:szCs w:val="24"/>
        </w:rPr>
      </w:pPr>
      <w:r w:rsidRPr="007F7AB2">
        <w:rPr>
          <w:rFonts w:ascii="Times New Roman" w:hAnsi="Times New Roman"/>
          <w:color w:val="000000"/>
          <w:szCs w:val="24"/>
        </w:rPr>
        <w:t xml:space="preserve">Investeringene i industrien ligger fortsatt om lag 20 prosent under nivået før finanskrisen. I 2015 vil den økonomiske veksten i Norge være markant svakere enn tidligere, og veksten vil være mer på linje med våre konkurrentland. BNP-veksten i Fastlands-Norge er anslått til en prosent, som er lik veksten i Eurosonen. I tillegg til nedgangen i petroleumsinvesteringene, vil lavere konsumvekst være en medvirkende årsak til at vekstbildet er svakere. </w:t>
      </w:r>
    </w:p>
    <w:p w14:paraId="7D76AB6A" w14:textId="77777777" w:rsidR="007D7BB4" w:rsidRPr="007F7AB2" w:rsidRDefault="007D7BB4" w:rsidP="007D7BB4">
      <w:pPr>
        <w:autoSpaceDE w:val="0"/>
        <w:autoSpaceDN w:val="0"/>
        <w:adjustRightInd w:val="0"/>
        <w:rPr>
          <w:rFonts w:ascii="Times New Roman" w:hAnsi="Times New Roman"/>
          <w:color w:val="000000"/>
          <w:szCs w:val="24"/>
        </w:rPr>
      </w:pPr>
      <w:r w:rsidRPr="007F7AB2">
        <w:rPr>
          <w:rFonts w:ascii="Times New Roman" w:hAnsi="Times New Roman"/>
          <w:color w:val="000000"/>
          <w:szCs w:val="24"/>
        </w:rPr>
        <w:t xml:space="preserve">Også arbeidsmarkedet er svakere. Sysselsettingsveksten har nesten stoppet opp og ledigheten vil øke i 2015. At ledigheten også øker innen ingeniør- og ikt-fag, bidrar til mindre lønnspress i økonomien. </w:t>
      </w:r>
    </w:p>
    <w:p w14:paraId="4C9AF7D2" w14:textId="77777777" w:rsidR="007D7BB4" w:rsidRPr="007F7AB2" w:rsidRDefault="007D7BB4" w:rsidP="007D7BB4">
      <w:pPr>
        <w:autoSpaceDE w:val="0"/>
        <w:autoSpaceDN w:val="0"/>
        <w:adjustRightInd w:val="0"/>
        <w:rPr>
          <w:rFonts w:ascii="Times New Roman" w:hAnsi="Times New Roman"/>
          <w:color w:val="000000"/>
          <w:szCs w:val="24"/>
        </w:rPr>
      </w:pPr>
      <w:r w:rsidRPr="007F7AB2">
        <w:rPr>
          <w:rFonts w:ascii="Times New Roman" w:hAnsi="Times New Roman"/>
          <w:color w:val="000000"/>
          <w:szCs w:val="24"/>
        </w:rPr>
        <w:t xml:space="preserve">Det er uro i valutamarkedene. Erfaringer fra tidligere viser at utviklingen fort kan snu. Dagens kronekurs bør derfor ikke ha betydning for lønnsfastsettelsen. Bedre priser fra eksportmarkedene må brukes til å bedre virksomhetenes konkurransekraft og omstillingsevne. </w:t>
      </w:r>
    </w:p>
    <w:p w14:paraId="702205EF" w14:textId="77777777" w:rsidR="007D7BB4" w:rsidRPr="007F7AB2" w:rsidRDefault="007D7BB4" w:rsidP="007D7BB4">
      <w:pPr>
        <w:autoSpaceDE w:val="0"/>
        <w:autoSpaceDN w:val="0"/>
        <w:adjustRightInd w:val="0"/>
        <w:rPr>
          <w:rFonts w:ascii="Times New Roman" w:hAnsi="Times New Roman"/>
          <w:color w:val="000000"/>
          <w:szCs w:val="24"/>
        </w:rPr>
      </w:pPr>
      <w:r w:rsidRPr="007F7AB2">
        <w:rPr>
          <w:rFonts w:ascii="Times New Roman" w:hAnsi="Times New Roman"/>
          <w:color w:val="000000"/>
          <w:szCs w:val="24"/>
        </w:rPr>
        <w:t xml:space="preserve">NHO mener konkurranseutsatt sektor skal stimuleres, da må kostnadsveksten ned. Det langt høyere lønnskostnadsnivået vi har hatt sammenlignet med våre konkurrenter, har vi kunnet tåle fordi bytteforholdet har gjort det mulig. Utsiktene for bytteforholdet er negativt og gir ikke drahjelp for videre lønnsvekst. I Eurosonen er forventet lønnsvekst per ansatt 1,9 prosent og for OECD-området 2,5 prosent i 2015. </w:t>
      </w:r>
    </w:p>
    <w:p w14:paraId="644A8913" w14:textId="77777777" w:rsidR="007D7BB4" w:rsidRPr="007F7AB2" w:rsidRDefault="007D7BB4" w:rsidP="007D7BB4">
      <w:pPr>
        <w:pStyle w:val="Default"/>
      </w:pPr>
      <w:r w:rsidRPr="007F7AB2">
        <w:t xml:space="preserve">NHO mener at lønnsoppgjøret i 2015 må bli ytterst moderat og bidra til at omstillingsevnen og konkurransekraften i norsk næringsliv bedres. Lønnsdifferensiering etter den enkelte bedrifts økonomiske situasjon skal ivaretas gjennom lokale forhandlinger. Det skal </w:t>
      </w:r>
      <w:r>
        <w:t>utvises stor forsiktighet med</w:t>
      </w:r>
      <w:r w:rsidRPr="007F7AB2">
        <w:t xml:space="preserve"> særskilt</w:t>
      </w:r>
      <w:r>
        <w:t>e</w:t>
      </w:r>
      <w:r w:rsidRPr="007F7AB2">
        <w:t xml:space="preserve"> lavlønnstillegg i det sentrale oppgjøret.”</w:t>
      </w:r>
    </w:p>
    <w:p w14:paraId="1A79836F" w14:textId="77777777" w:rsidR="007D7BB4" w:rsidRPr="00870B06" w:rsidRDefault="007D7BB4" w:rsidP="007D7BB4">
      <w:pPr>
        <w:spacing w:after="0"/>
      </w:pPr>
    </w:p>
    <w:p w14:paraId="42B3F185" w14:textId="77777777" w:rsidR="007D7BB4" w:rsidRDefault="007D7BB4" w:rsidP="007D7BB4">
      <w:pPr>
        <w:spacing w:after="0"/>
      </w:pPr>
      <w:r w:rsidRPr="001D464C">
        <w:rPr>
          <w:i/>
        </w:rPr>
        <w:t>Styret i Unio</w:t>
      </w:r>
      <w:r w:rsidRPr="004A6F6A">
        <w:t xml:space="preserve"> vedtok </w:t>
      </w:r>
      <w:r>
        <w:t>18</w:t>
      </w:r>
      <w:r w:rsidRPr="004A6F6A">
        <w:t>. mars 201</w:t>
      </w:r>
      <w:r>
        <w:t>5</w:t>
      </w:r>
      <w:r w:rsidRPr="004A6F6A">
        <w:t xml:space="preserve"> en inntektspolitisk uttalelse foran </w:t>
      </w:r>
      <w:r>
        <w:t>mellom</w:t>
      </w:r>
      <w:r w:rsidRPr="004A6F6A">
        <w:t xml:space="preserve">oppgjøret </w:t>
      </w:r>
      <w:r>
        <w:t xml:space="preserve">i </w:t>
      </w:r>
      <w:r w:rsidRPr="004A6F6A">
        <w:t>201</w:t>
      </w:r>
      <w:r>
        <w:t>5</w:t>
      </w:r>
      <w:r w:rsidRPr="004A6F6A">
        <w:t xml:space="preserve"> der det </w:t>
      </w:r>
      <w:r>
        <w:t>bl.a. het:</w:t>
      </w:r>
    </w:p>
    <w:p w14:paraId="0C455E00" w14:textId="77777777" w:rsidR="007D7BB4" w:rsidRDefault="007D7BB4" w:rsidP="007D7BB4">
      <w:pPr>
        <w:ind w:left="426"/>
      </w:pPr>
      <w:r>
        <w:t>”Det kraftige oljeprisfallet stiller oss overfor store utfordringer. Oljevirksomheten vil ikke lenger gi norsk økonomi store vekstbidrag. Tradisjonell næringsvirksomhet og annen ressursbasert virksomhet må erstatte deler av aktivitetsbortfallet fra den oljerelaterte virksomheten. Dette stiller også politikken overfor nye krav. Forskning og næringspolitikk må gi økte bidrag til de nødvendige omstillingene. Arbeidsmarkedspolitikken og offentlige budsjetter må brukes aktivt for å holde arbeidsledigheten lav. Vi går inn i en periode hvor det vil være ekstra synlig at verdiskapingen i offentlig sektor er avgjørende for den samlede verdiskapingen i samfunnet.</w:t>
      </w:r>
    </w:p>
    <w:p w14:paraId="5C33E1F1" w14:textId="77777777" w:rsidR="007D7BB4" w:rsidRDefault="007D7BB4" w:rsidP="007D7BB4">
      <w:pPr>
        <w:spacing w:after="0"/>
        <w:ind w:left="426"/>
      </w:pPr>
      <w:r>
        <w:t>[….]</w:t>
      </w:r>
    </w:p>
    <w:p w14:paraId="4D6FC061" w14:textId="77777777" w:rsidR="007D7BB4" w:rsidRDefault="007D7BB4" w:rsidP="007D7BB4">
      <w:pPr>
        <w:ind w:left="426"/>
      </w:pPr>
      <w:r>
        <w:t>Offentlig sektor må tilby konkurransedyktige lønns- og arbeidsvilkår og gode tjenestepensjonsordninger. Stat, kommune og helseforetak må i større grad verdsette utdanning, kompetanse og ansvar og kompensere for ulempe, belastning og risiko. Det er store rekrutteringsutfordringer i offentlig sektor, særlig innen helse, utdanning og forskning. Offentlige arbeidsgivere har et stort ansvar for å bekjempe verdsettingsdiskriminering. Det trengs også tiltak på tvers av sektorer i arbeidslivet med tanke på å sikre likelønn mellom kvinner og menn. Dette er ikke minst et politisk ansvar.</w:t>
      </w:r>
    </w:p>
    <w:p w14:paraId="53341D4F" w14:textId="77777777" w:rsidR="007D7BB4" w:rsidRDefault="007D7BB4" w:rsidP="007D7BB4">
      <w:pPr>
        <w:spacing w:after="0"/>
        <w:ind w:left="426"/>
      </w:pPr>
      <w:r>
        <w:t>[….]</w:t>
      </w:r>
    </w:p>
    <w:p w14:paraId="115531E6" w14:textId="77777777" w:rsidR="007D7BB4" w:rsidRDefault="007D7BB4" w:rsidP="007D7BB4">
      <w:pPr>
        <w:spacing w:after="0"/>
        <w:ind w:left="426"/>
      </w:pPr>
      <w:r>
        <w:t>Det ble lagt følgende føringer for oppgjøret</w:t>
      </w:r>
      <w:r w:rsidRPr="004A6F6A">
        <w:t xml:space="preserve">: </w:t>
      </w:r>
    </w:p>
    <w:p w14:paraId="0C680200" w14:textId="77777777" w:rsidR="007D7BB4" w:rsidRDefault="007D7BB4" w:rsidP="008643D6">
      <w:pPr>
        <w:pStyle w:val="Listeavsnitt"/>
        <w:numPr>
          <w:ilvl w:val="0"/>
          <w:numId w:val="38"/>
        </w:numPr>
        <w:spacing w:before="0" w:line="240" w:lineRule="auto"/>
        <w:contextualSpacing/>
      </w:pPr>
      <w:r>
        <w:t>Krav utformes med det inntektspolitiske dokumentet som felles grunnlag.</w:t>
      </w:r>
    </w:p>
    <w:p w14:paraId="0D216B62" w14:textId="77777777" w:rsidR="007D7BB4" w:rsidRDefault="007D7BB4" w:rsidP="008643D6">
      <w:pPr>
        <w:pStyle w:val="Listeavsnitt"/>
        <w:numPr>
          <w:ilvl w:val="0"/>
          <w:numId w:val="38"/>
        </w:numPr>
        <w:spacing w:before="0" w:line="240" w:lineRule="auto"/>
        <w:contextualSpacing/>
      </w:pPr>
      <w:r>
        <w:t xml:space="preserve">Forhandlingene om økonomi skal ta utgangspunkt i et troverdig anslag på samlet lønnsvekst i industrien og kompensasjon for eventuelt etterslep. </w:t>
      </w:r>
    </w:p>
    <w:p w14:paraId="5621369D" w14:textId="77777777" w:rsidR="007D7BB4" w:rsidRDefault="007D7BB4" w:rsidP="008643D6">
      <w:pPr>
        <w:pStyle w:val="Listeavsnitt"/>
        <w:numPr>
          <w:ilvl w:val="0"/>
          <w:numId w:val="38"/>
        </w:numPr>
        <w:spacing w:before="0" w:line="240" w:lineRule="auto"/>
        <w:contextualSpacing/>
      </w:pPr>
      <w:r>
        <w:t xml:space="preserve">I hvert enkelt tariffområde forhandles det om rammer og innretning, med sikte på bedret reallønn for medlemmene. Grupper som systematisk over tid er blitt hengende etter i lønnsutvikling og lønnsnivå, kan kreves kompensert særskilt. </w:t>
      </w:r>
    </w:p>
    <w:p w14:paraId="5338FEB9" w14:textId="77777777" w:rsidR="007D7BB4" w:rsidRPr="00E57A83" w:rsidRDefault="007D7BB4" w:rsidP="008643D6">
      <w:pPr>
        <w:pStyle w:val="Listeavsnitt"/>
        <w:numPr>
          <w:ilvl w:val="0"/>
          <w:numId w:val="39"/>
        </w:numPr>
        <w:autoSpaceDE w:val="0"/>
        <w:autoSpaceDN w:val="0"/>
        <w:adjustRightInd w:val="0"/>
        <w:spacing w:before="0" w:line="240" w:lineRule="auto"/>
        <w:contextualSpacing/>
        <w:rPr>
          <w:szCs w:val="24"/>
        </w:rPr>
      </w:pPr>
      <w:r>
        <w:t xml:space="preserve">De enkelte forhandlingsutvalg har ansvaret for fordeling og prioritering innenfor den økonomiske ramma i eget tariffområde. </w:t>
      </w:r>
    </w:p>
    <w:p w14:paraId="4C90E94E" w14:textId="77777777" w:rsidR="007D7BB4" w:rsidRPr="00324551" w:rsidRDefault="007D7BB4" w:rsidP="008643D6">
      <w:pPr>
        <w:pStyle w:val="Listeavsnitt"/>
        <w:numPr>
          <w:ilvl w:val="0"/>
          <w:numId w:val="39"/>
        </w:numPr>
        <w:autoSpaceDE w:val="0"/>
        <w:autoSpaceDN w:val="0"/>
        <w:adjustRightInd w:val="0"/>
        <w:spacing w:before="0" w:line="240" w:lineRule="auto"/>
        <w:contextualSpacing/>
        <w:rPr>
          <w:szCs w:val="24"/>
        </w:rPr>
      </w:pPr>
      <w:r>
        <w:t>Utdanning, kompetanse, ansvar og risiko, legges til grunn ved utforming av krav, der likelønn skal ivaretas og verdsettingsdiskriminering motvirkes. Det kreves målrettede sentrale tiltak i 2016.</w:t>
      </w:r>
      <w:r w:rsidRPr="00E57A83">
        <w:rPr>
          <w:szCs w:val="24"/>
        </w:rPr>
        <w:t>”</w:t>
      </w:r>
    </w:p>
    <w:p w14:paraId="6E5336F7" w14:textId="77777777" w:rsidR="007D7BB4" w:rsidRPr="00324551" w:rsidRDefault="007D7BB4" w:rsidP="007D7BB4">
      <w:pPr>
        <w:spacing w:after="0"/>
        <w:rPr>
          <w:szCs w:val="24"/>
        </w:rPr>
      </w:pPr>
    </w:p>
    <w:p w14:paraId="09709593" w14:textId="77777777" w:rsidR="007D7BB4" w:rsidRPr="00324551" w:rsidRDefault="007D7BB4" w:rsidP="007D7BB4">
      <w:pPr>
        <w:spacing w:after="0"/>
        <w:rPr>
          <w:rFonts w:cs="Arial"/>
          <w:szCs w:val="24"/>
        </w:rPr>
      </w:pPr>
      <w:r w:rsidRPr="00324551">
        <w:rPr>
          <w:bCs/>
          <w:i/>
          <w:iCs/>
          <w:szCs w:val="24"/>
        </w:rPr>
        <w:t xml:space="preserve">Yrkesorganisasjonenes Sentralforbunds </w:t>
      </w:r>
      <w:r w:rsidRPr="00324551">
        <w:rPr>
          <w:szCs w:val="24"/>
        </w:rPr>
        <w:t xml:space="preserve">(YS) </w:t>
      </w:r>
      <w:r w:rsidRPr="00324551">
        <w:rPr>
          <w:rFonts w:cs="Arial"/>
          <w:szCs w:val="24"/>
        </w:rPr>
        <w:t>vedtok i februar 2014 inntektspolitiske retningslinjer for tariffperioden 2014-2016. Ved mellomoppgjøret 2015 gjaldt fortsatt disse retningslinjene, men ble supplert med noen forutsetninger for mellomoppgjøret 2015. Det het bl.a.:</w:t>
      </w:r>
    </w:p>
    <w:p w14:paraId="3F26D4FC" w14:textId="77777777" w:rsidR="007D7BB4" w:rsidRPr="00324551" w:rsidRDefault="007D7BB4" w:rsidP="007D7BB4">
      <w:pPr>
        <w:spacing w:after="0"/>
        <w:ind w:left="426"/>
        <w:rPr>
          <w:szCs w:val="24"/>
        </w:rPr>
      </w:pPr>
      <w:r w:rsidRPr="00324551">
        <w:rPr>
          <w:szCs w:val="24"/>
        </w:rPr>
        <w:t>[….]</w:t>
      </w:r>
    </w:p>
    <w:p w14:paraId="4FC5A44F" w14:textId="77777777" w:rsidR="007D7BB4" w:rsidRPr="002A025E" w:rsidRDefault="007D7BB4" w:rsidP="007D7BB4">
      <w:pPr>
        <w:ind w:left="426"/>
      </w:pPr>
      <w:r w:rsidRPr="002A025E">
        <w:t xml:space="preserve">” YS har lenge støttet opp om prinsippene bak frontfagsmodellen. Det må være lønnsveksten i industrien for arbeidere og funksjonærer samlet som skal være normgivende for resten av økonomien. Modellen må være en norm og praktiseres på en måte som sikrer fortsatt legitimitet blant arbeidstakerne, slik Holden-III-utvalget også understreket. </w:t>
      </w:r>
    </w:p>
    <w:p w14:paraId="6C3D3F97" w14:textId="77777777" w:rsidR="007D7BB4" w:rsidRPr="002A025E" w:rsidRDefault="007D7BB4" w:rsidP="007D7BB4">
      <w:pPr>
        <w:ind w:left="426"/>
      </w:pPr>
      <w:r w:rsidRPr="002A025E">
        <w:t>Videre er det viktig at lønnsdannelsen er fleksibel nok til å gi rom for nødvendige strukturelle endringer. For eksempel anslår SSB gjennom Helsemod at Norge vil kunne mangle 58</w:t>
      </w:r>
      <w:r>
        <w:t xml:space="preserve"> </w:t>
      </w:r>
      <w:r w:rsidRPr="002A025E">
        <w:t xml:space="preserve">000 helsefagarbeidere i 2035. Norge står overfor store utfordringer knyttet til det fremtidige arbeidskraftbehov, og det må vilje og ressurser til for å løse dette.  YS mener frontfaget er viktig for en sunn utvikling i norsk økonomi, men at det ikke må hindre omstilling og rekruttering av rett kompetanse til samfunnsoppgaver vi vet vil øke i omfang fremover. </w:t>
      </w:r>
    </w:p>
    <w:p w14:paraId="04BD7C58" w14:textId="77777777" w:rsidR="007D7BB4" w:rsidRDefault="007D7BB4" w:rsidP="007D7BB4">
      <w:pPr>
        <w:ind w:left="426"/>
      </w:pPr>
      <w:r w:rsidRPr="002A025E">
        <w:t>YS vil gjennomføre årets lønnsoppgjør samordnet. Det er sentralt at medlemmene får sin rettmessige andel av verdiskapningen, og YS legger til grunn at det er rom for reallønnsvekst i 2015. Det må sikres særskilte tillegg til lavtlønte.”</w:t>
      </w:r>
    </w:p>
    <w:p w14:paraId="7457F270" w14:textId="77777777" w:rsidR="007D7BB4" w:rsidRDefault="007D7BB4" w:rsidP="007D7BB4">
      <w:pPr>
        <w:spacing w:after="0"/>
      </w:pPr>
      <w:r w:rsidRPr="00A24F46">
        <w:t xml:space="preserve">Vedtakene i representantskapsmøtene i LO og YS </w:t>
      </w:r>
      <w:r>
        <w:t>gjaldt</w:t>
      </w:r>
      <w:r w:rsidRPr="00A24F46">
        <w:t xml:space="preserve"> også for offentlig sektor.  </w:t>
      </w:r>
    </w:p>
    <w:p w14:paraId="6CFCB4E9" w14:textId="77777777" w:rsidR="007D7BB4" w:rsidRDefault="007D7BB4" w:rsidP="007D7BB4">
      <w:pPr>
        <w:spacing w:after="0"/>
      </w:pPr>
    </w:p>
    <w:p w14:paraId="35B54329" w14:textId="77777777" w:rsidR="007D7BB4" w:rsidRDefault="007D7BB4" w:rsidP="007D7BB4">
      <w:pPr>
        <w:autoSpaceDE w:val="0"/>
        <w:autoSpaceDN w:val="0"/>
        <w:adjustRightInd w:val="0"/>
        <w:spacing w:after="0"/>
      </w:pPr>
      <w:r w:rsidRPr="00203A79">
        <w:rPr>
          <w:i/>
        </w:rPr>
        <w:t>Akademikerne</w:t>
      </w:r>
      <w:r w:rsidRPr="00203A79">
        <w:t xml:space="preserve"> </w:t>
      </w:r>
      <w:r>
        <w:t>la til grunn:</w:t>
      </w:r>
    </w:p>
    <w:p w14:paraId="05DE40C2" w14:textId="77777777" w:rsidR="007D7BB4" w:rsidRPr="00A378AB" w:rsidRDefault="007D7BB4" w:rsidP="008643D6">
      <w:pPr>
        <w:pStyle w:val="Liste2"/>
        <w:numPr>
          <w:ilvl w:val="1"/>
          <w:numId w:val="36"/>
        </w:numPr>
        <w:spacing w:line="240" w:lineRule="auto"/>
        <w:ind w:left="709" w:hanging="284"/>
      </w:pPr>
      <w:r>
        <w:t>”</w:t>
      </w:r>
      <w:r w:rsidRPr="00A378AB">
        <w:t xml:space="preserve"> Inntektspolitikken skal være et fleksibelt virkemiddel som kan styrke konkurranseutsatt sektor og omstillingsevnen i norsk økonomi. I tillegg skal inntektspolitikken legge til rette for at den enkeltes kunnskap, kompetanse og ansvar lønnes på en riktig måte.</w:t>
      </w:r>
    </w:p>
    <w:p w14:paraId="3A67032E" w14:textId="77777777" w:rsidR="007D7BB4" w:rsidRDefault="007D7BB4" w:rsidP="008643D6">
      <w:pPr>
        <w:pStyle w:val="Liste2"/>
        <w:numPr>
          <w:ilvl w:val="1"/>
          <w:numId w:val="36"/>
        </w:numPr>
        <w:spacing w:line="240" w:lineRule="auto"/>
        <w:ind w:left="709" w:hanging="284"/>
      </w:pPr>
      <w:r w:rsidRPr="00A378AB">
        <w:t xml:space="preserve">Akademikerne vil arbeide for en inntektspolitikk som sikrer nødvendig fleksibilitet og omstilling. I tillegg skal politikken bidra til at verdiskapingen blir høy og arbeidskraften utnyttes godt. Samtidig må politikken ivareta det offentliges evne til å rekruttere nødvendig arbeidskraft.  </w:t>
      </w:r>
    </w:p>
    <w:p w14:paraId="1CF1D81A" w14:textId="77777777" w:rsidR="007D7BB4" w:rsidRDefault="007D7BB4" w:rsidP="008643D6">
      <w:pPr>
        <w:pStyle w:val="Liste2"/>
        <w:numPr>
          <w:ilvl w:val="1"/>
          <w:numId w:val="36"/>
        </w:numPr>
        <w:spacing w:line="240" w:lineRule="auto"/>
        <w:ind w:left="709" w:hanging="284"/>
      </w:pPr>
      <w:r w:rsidRPr="00A378AB">
        <w:t>Akademikerne mener det inntektspolitiske samarbeidet skal bidra til at partene gjennom lønnsoppgjørene etablerer lønns- og forhandlingssystemer tilpasset en samfunnsutvikling som setter store krav til omstillinger og kompetanseoppbygging under skiftende rammebetingelser. Det inntektspolitiske samarbeidet må ikke munne ut i avtalemessige forpliktelser. Dette vil ikke være forenlig med en lang tradisjon om avtalefrihet og vil vanskeliggjøre nødvendige lokale tilpasninger</w:t>
      </w:r>
      <w:r>
        <w:t>”</w:t>
      </w:r>
      <w:r w:rsidRPr="00A378AB">
        <w:t>.</w:t>
      </w:r>
    </w:p>
    <w:p w14:paraId="04FC0F80" w14:textId="77777777" w:rsidR="007D7BB4" w:rsidRPr="0068212D" w:rsidRDefault="007D7BB4" w:rsidP="007D7BB4">
      <w:pPr>
        <w:pStyle w:val="Liste2"/>
        <w:numPr>
          <w:ilvl w:val="0"/>
          <w:numId w:val="0"/>
        </w:numPr>
        <w:spacing w:line="240" w:lineRule="auto"/>
        <w:ind w:left="709"/>
      </w:pPr>
    </w:p>
    <w:p w14:paraId="54EB61DD" w14:textId="77777777" w:rsidR="007D7BB4" w:rsidRPr="00C01AB0" w:rsidRDefault="007D7BB4" w:rsidP="007D7BB4">
      <w:pPr>
        <w:rPr>
          <w:rFonts w:ascii="Times New Roman" w:hAnsi="Times New Roman"/>
        </w:rPr>
      </w:pPr>
      <w:r w:rsidRPr="00C01AB0">
        <w:rPr>
          <w:rFonts w:ascii="Times New Roman" w:hAnsi="Times New Roman"/>
          <w:i/>
        </w:rPr>
        <w:t>Hovedstyret i KS</w:t>
      </w:r>
      <w:r w:rsidRPr="00C01AB0">
        <w:rPr>
          <w:rFonts w:ascii="Times New Roman" w:hAnsi="Times New Roman"/>
        </w:rPr>
        <w:t xml:space="preserve"> vedtok </w:t>
      </w:r>
      <w:r>
        <w:rPr>
          <w:rFonts w:ascii="Times New Roman" w:hAnsi="Times New Roman"/>
        </w:rPr>
        <w:t>9</w:t>
      </w:r>
      <w:r w:rsidRPr="00C01AB0">
        <w:rPr>
          <w:rFonts w:ascii="Times New Roman" w:hAnsi="Times New Roman"/>
        </w:rPr>
        <w:t>. april 201</w:t>
      </w:r>
      <w:r>
        <w:rPr>
          <w:rFonts w:ascii="Times New Roman" w:hAnsi="Times New Roman"/>
        </w:rPr>
        <w:t>5</w:t>
      </w:r>
      <w:r w:rsidRPr="00C01AB0">
        <w:rPr>
          <w:rFonts w:ascii="Times New Roman" w:hAnsi="Times New Roman"/>
        </w:rPr>
        <w:t xml:space="preserve"> mandatet for mellomoppgjøret i 201</w:t>
      </w:r>
      <w:r>
        <w:rPr>
          <w:rFonts w:ascii="Times New Roman" w:hAnsi="Times New Roman"/>
        </w:rPr>
        <w:t>5</w:t>
      </w:r>
      <w:r w:rsidRPr="00C01AB0">
        <w:rPr>
          <w:rFonts w:ascii="Times New Roman" w:hAnsi="Times New Roman"/>
        </w:rPr>
        <w:t xml:space="preserve">: </w:t>
      </w:r>
    </w:p>
    <w:p w14:paraId="6516363F" w14:textId="77777777" w:rsidR="007D7BB4" w:rsidRPr="00D76916" w:rsidRDefault="007D7BB4" w:rsidP="007D7BB4">
      <w:pPr>
        <w:spacing w:after="0"/>
        <w:ind w:left="426"/>
        <w:rPr>
          <w:rFonts w:ascii="Times New Roman" w:hAnsi="Times New Roman"/>
          <w:color w:val="363636"/>
          <w:szCs w:val="24"/>
        </w:rPr>
      </w:pPr>
      <w:r>
        <w:t>“Administrasjonen gis fullmakt til å forhandle ved mellomoppgjøret pr. 1.5.2015 etter følgende hovedlinjer: Mellomoppgjøret i 2015 gjennomføres innenfor en økonomisk ramme som i tariffperioden gir en lønnsvekst på linje med sammenlignbare tariffområder.</w:t>
      </w:r>
      <w:r w:rsidRPr="002E24CE">
        <w:rPr>
          <w:rFonts w:ascii="Times New Roman" w:hAnsi="Times New Roman"/>
          <w:color w:val="363636"/>
          <w:szCs w:val="24"/>
        </w:rPr>
        <w:t>”</w:t>
      </w:r>
      <w:r>
        <w:rPr>
          <w:rFonts w:ascii="Times New Roman" w:hAnsi="Times New Roman"/>
          <w:color w:val="363636"/>
          <w:szCs w:val="24"/>
        </w:rPr>
        <w:br/>
      </w:r>
    </w:p>
    <w:p w14:paraId="202BFC5C" w14:textId="77777777" w:rsidR="007D7BB4" w:rsidRPr="00FF5812" w:rsidRDefault="007D7BB4" w:rsidP="007D7BB4">
      <w:pPr>
        <w:pStyle w:val="Brdtekst"/>
      </w:pPr>
      <w:r>
        <w:rPr>
          <w:i/>
        </w:rPr>
        <w:t>Virkes</w:t>
      </w:r>
      <w:r w:rsidRPr="00FF5812">
        <w:t xml:space="preserve"> tariffpolitiske dokument </w:t>
      </w:r>
      <w:r>
        <w:t>for perioden 2014-2015 la</w:t>
      </w:r>
      <w:r w:rsidRPr="00FF5812">
        <w:t xml:space="preserve"> rammene for Virkes materielle forhandlingsposisjon i hovedoppgjøret </w:t>
      </w:r>
      <w:r>
        <w:t>i</w:t>
      </w:r>
      <w:r w:rsidRPr="00FF5812">
        <w:t xml:space="preserve"> 201</w:t>
      </w:r>
      <w:r>
        <w:t xml:space="preserve">4 og mellomoppgjøret i 2015. </w:t>
      </w:r>
      <w:r w:rsidRPr="00FF5812">
        <w:t xml:space="preserve">Virke legger følgende til grunn i sin tariffpolitikk: </w:t>
      </w:r>
    </w:p>
    <w:p w14:paraId="527D175C" w14:textId="77777777" w:rsidR="007D7BB4" w:rsidRDefault="007D7BB4" w:rsidP="007D7BB4">
      <w:pPr>
        <w:pStyle w:val="Listeavsnitt"/>
        <w:spacing w:line="240" w:lineRule="auto"/>
        <w:ind w:left="720"/>
      </w:pPr>
      <w:r>
        <w:t>[……]</w:t>
      </w:r>
    </w:p>
    <w:p w14:paraId="23F5F845" w14:textId="77777777" w:rsidR="007D7BB4" w:rsidRPr="006A382C" w:rsidRDefault="007D7BB4" w:rsidP="008643D6">
      <w:pPr>
        <w:pStyle w:val="Listeavsnitt"/>
        <w:numPr>
          <w:ilvl w:val="0"/>
          <w:numId w:val="32"/>
        </w:numPr>
        <w:spacing w:line="240" w:lineRule="auto"/>
      </w:pPr>
      <w:r>
        <w:t>”</w:t>
      </w:r>
      <w:r w:rsidRPr="006A382C">
        <w:t xml:space="preserve"> Frontfagsmodellen er basert på at lønnsveksten i økonomien som helhet må være tilpasset hva konkurranseutsatt sektor kan tåle. Etter dagens forhandlingssystem betyr det utekonkurrerende industri som forhandler først. Den økonomiske rammen som settes innen dette området, danner normen for øvrige forhandlingsområder.  </w:t>
      </w:r>
    </w:p>
    <w:p w14:paraId="2E422C5C" w14:textId="77777777" w:rsidR="007D7BB4" w:rsidRPr="006A382C" w:rsidRDefault="007D7BB4" w:rsidP="008643D6">
      <w:pPr>
        <w:pStyle w:val="Listeavsnitt"/>
        <w:numPr>
          <w:ilvl w:val="0"/>
          <w:numId w:val="32"/>
        </w:numPr>
        <w:spacing w:line="240" w:lineRule="auto"/>
      </w:pPr>
      <w:r w:rsidRPr="006A382C">
        <w:t xml:space="preserve">Virke støtter det inntektspolitiske samarbeidet og ser behovet for at nivået på lønnsveksten i ulike sektorer og områder koordineres. Virke vil arbeide for en mer forpliktende koordinering på arbeidsgiversiden. </w:t>
      </w:r>
    </w:p>
    <w:p w14:paraId="3BAC8F3A" w14:textId="77777777" w:rsidR="007D7BB4" w:rsidRPr="006A382C" w:rsidRDefault="007D7BB4" w:rsidP="008643D6">
      <w:pPr>
        <w:pStyle w:val="Listeavsnitt"/>
        <w:numPr>
          <w:ilvl w:val="0"/>
          <w:numId w:val="32"/>
        </w:numPr>
        <w:spacing w:line="240" w:lineRule="auto"/>
      </w:pPr>
      <w:r w:rsidRPr="006A382C">
        <w:t>Profilen på - og fordelingen mellom de ulike elementene i - lønnsdannelsen må bygge på de utfordringer den enkelte bransje/virksomhet står ovenfor. Sosiale reformer bør ikke implementeres gjennom forhandlinger om overenskomsters innhold. Sosiale reformer bør implementeres lovveien.</w:t>
      </w:r>
    </w:p>
    <w:p w14:paraId="65FF7AAF" w14:textId="77777777" w:rsidR="007D7BB4" w:rsidRDefault="007D7BB4" w:rsidP="008643D6">
      <w:pPr>
        <w:pStyle w:val="Listeavsnitt"/>
        <w:numPr>
          <w:ilvl w:val="0"/>
          <w:numId w:val="32"/>
        </w:numPr>
        <w:spacing w:line="240" w:lineRule="auto"/>
      </w:pPr>
      <w:r w:rsidRPr="006A382C">
        <w:t>Kostnader som følge av materielle end</w:t>
      </w:r>
      <w:r>
        <w:t>r</w:t>
      </w:r>
      <w:r w:rsidRPr="006A382C">
        <w:t>inger i overenskomster, skal beregnes inn i rammen for et oppgjør.</w:t>
      </w:r>
    </w:p>
    <w:p w14:paraId="15128AE1" w14:textId="77777777" w:rsidR="007D7BB4" w:rsidRDefault="007D7BB4" w:rsidP="007D7BB4">
      <w:pPr>
        <w:pStyle w:val="Listeavsnitt"/>
        <w:spacing w:line="240" w:lineRule="auto"/>
        <w:ind w:left="720"/>
      </w:pPr>
      <w:r>
        <w:t>[……]</w:t>
      </w:r>
    </w:p>
    <w:p w14:paraId="0366A485" w14:textId="77777777" w:rsidR="007D7BB4" w:rsidRDefault="007D7BB4" w:rsidP="008643D6">
      <w:pPr>
        <w:pStyle w:val="Listeavsnitt"/>
        <w:numPr>
          <w:ilvl w:val="0"/>
          <w:numId w:val="32"/>
        </w:numPr>
        <w:spacing w:line="240" w:lineRule="auto"/>
      </w:pPr>
      <w:r w:rsidRPr="00D12F7F">
        <w:t xml:space="preserve">Virke mener at lokal fastsettelse av lønn er en ønskelig forutsetning for at partene lokalt også skal kunne samhandle godt om andre spørsmål. Lønnsveksten og fordelingen av lønnsmidler må tilpasses virksomhetenes økonomiske og konkurransemessige og driftsmessige forutsetninger. Virke mener at lokale oppgjør gir de beste forutsetningene for å kunne ivareta partenes interesser. Det bør gjennomføres lokale lønnsforhandlinger og – vurderinger. </w:t>
      </w:r>
    </w:p>
    <w:p w14:paraId="13C2406F" w14:textId="77777777" w:rsidR="007D7BB4" w:rsidRDefault="007D7BB4" w:rsidP="008643D6">
      <w:pPr>
        <w:numPr>
          <w:ilvl w:val="0"/>
          <w:numId w:val="35"/>
        </w:numPr>
        <w:spacing w:after="0"/>
      </w:pPr>
      <w:r w:rsidRPr="00D12F7F">
        <w:t>Størrelsen på de lokale tilleggene bør fastsettes med utgangspunkt i virksomhetenes økonomi, produktivitet, konkurranseevne, framtidsutsikter og den aktuelle arbeidskraftsituasjonen. Fastsettelsen av lokale tillegg bør videre ta hensyn til hvilke tillegg som er gitt sentralt. Prinsippet</w:t>
      </w:r>
      <w:r>
        <w:t xml:space="preserve"> </w:t>
      </w:r>
      <w:r w:rsidRPr="00D12F7F">
        <w:t>om lokale forhandlinger forutsetter at den sentrale rammen, herunder avsetningen til forventet lønnsglidning, er på et slikt nivå at det er rom for lokale tillegg. Dette vil sikre en koordinering av lønnsveksten. Hensynet til frontfagsmodellen krever at lokale lønnstillegg gis innenfor en forsvarlig økonomisk ramme, og dette krever disiplin hos arbeidsgivere med god lønnsevne</w:t>
      </w:r>
      <w:r>
        <w:t>”</w:t>
      </w:r>
      <w:r w:rsidRPr="00D12F7F">
        <w:t>.</w:t>
      </w:r>
    </w:p>
    <w:p w14:paraId="1E2EAC0E" w14:textId="77777777" w:rsidR="007D7BB4" w:rsidRPr="00D76916" w:rsidRDefault="007D7BB4" w:rsidP="007D7BB4">
      <w:pPr>
        <w:spacing w:after="0"/>
        <w:rPr>
          <w:b/>
        </w:rPr>
      </w:pPr>
    </w:p>
    <w:p w14:paraId="7F8B64BB" w14:textId="65F958FE" w:rsidR="007D7BB4" w:rsidRPr="00BE35D9" w:rsidRDefault="007D7BB4" w:rsidP="007D7BB4">
      <w:pPr>
        <w:pStyle w:val="Overskrift2"/>
        <w:spacing w:before="120" w:after="0"/>
      </w:pPr>
      <w:bookmarkStart w:id="333" w:name="_Toc256681352"/>
      <w:bookmarkStart w:id="334" w:name="_Toc256684369"/>
      <w:bookmarkStart w:id="335" w:name="_Toc257118272"/>
      <w:bookmarkStart w:id="336" w:name="_Toc257201072"/>
      <w:bookmarkStart w:id="337" w:name="_Toc257462261"/>
      <w:bookmarkStart w:id="338" w:name="_Toc264463023"/>
      <w:bookmarkStart w:id="339" w:name="_Toc264645447"/>
      <w:bookmarkStart w:id="340" w:name="_Toc286073406"/>
      <w:bookmarkStart w:id="341" w:name="_Toc286074030"/>
      <w:bookmarkStart w:id="342" w:name="_Toc286075050"/>
      <w:bookmarkStart w:id="343" w:name="_Toc286075299"/>
      <w:bookmarkStart w:id="344" w:name="_Toc358202902"/>
      <w:bookmarkStart w:id="345" w:name="_Toc359263574"/>
      <w:bookmarkStart w:id="346" w:name="_Toc422226835"/>
      <w:bookmarkStart w:id="347" w:name="_Toc443829080"/>
      <w:bookmarkStart w:id="348" w:name="_Toc443843737"/>
      <w:bookmarkStart w:id="349" w:name="_Toc443844269"/>
      <w:bookmarkStart w:id="350" w:name="_Toc443999009"/>
      <w:r w:rsidRPr="00BE35D9">
        <w:t>Oppgjørene i privat sektor</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BE35D9">
        <w:br/>
      </w:r>
    </w:p>
    <w:p w14:paraId="21A45D5C" w14:textId="36876BE9" w:rsidR="007D7BB4" w:rsidRPr="00BE35D9" w:rsidRDefault="007D7BB4" w:rsidP="007D7BB4">
      <w:pPr>
        <w:pStyle w:val="Overskrift3"/>
        <w:spacing w:before="120"/>
      </w:pPr>
      <w:bookmarkStart w:id="351" w:name="_Toc256681353"/>
      <w:bookmarkStart w:id="352" w:name="_Toc256684370"/>
      <w:bookmarkStart w:id="353" w:name="_Toc257118273"/>
      <w:bookmarkStart w:id="354" w:name="_Toc257201073"/>
      <w:bookmarkStart w:id="355" w:name="_Toc257462262"/>
      <w:bookmarkStart w:id="356" w:name="_Toc264463024"/>
      <w:bookmarkStart w:id="357" w:name="_Toc264645448"/>
      <w:bookmarkStart w:id="358" w:name="_Toc286073407"/>
      <w:bookmarkStart w:id="359" w:name="_Toc286074031"/>
      <w:bookmarkStart w:id="360" w:name="_Toc286075051"/>
      <w:bookmarkStart w:id="361" w:name="_Toc286075300"/>
      <w:bookmarkStart w:id="362" w:name="_Toc358202903"/>
      <w:bookmarkStart w:id="363" w:name="_Toc359263575"/>
      <w:bookmarkStart w:id="364" w:name="_Toc422226836"/>
      <w:bookmarkStart w:id="365" w:name="_Toc443829081"/>
      <w:bookmarkStart w:id="366" w:name="_Toc443843738"/>
      <w:bookmarkStart w:id="367" w:name="_Toc443844270"/>
      <w:bookmarkStart w:id="368" w:name="_Toc443999010"/>
      <w:r w:rsidRPr="00BE35D9">
        <w:t>LO-NHO-</w:t>
      </w:r>
      <w:bookmarkEnd w:id="351"/>
      <w:bookmarkEnd w:id="352"/>
      <w:bookmarkEnd w:id="353"/>
      <w:bookmarkEnd w:id="354"/>
      <w:bookmarkEnd w:id="355"/>
      <w:r w:rsidRPr="00BE35D9">
        <w:t>området</w:t>
      </w:r>
      <w:bookmarkEnd w:id="356"/>
      <w:bookmarkEnd w:id="357"/>
      <w:bookmarkEnd w:id="358"/>
      <w:bookmarkEnd w:id="359"/>
      <w:bookmarkEnd w:id="360"/>
      <w:bookmarkEnd w:id="361"/>
      <w:bookmarkEnd w:id="362"/>
      <w:bookmarkEnd w:id="363"/>
      <w:bookmarkEnd w:id="364"/>
      <w:bookmarkEnd w:id="365"/>
      <w:bookmarkEnd w:id="366"/>
      <w:bookmarkEnd w:id="367"/>
      <w:bookmarkEnd w:id="368"/>
    </w:p>
    <w:p w14:paraId="399E5CFA" w14:textId="77777777" w:rsidR="007D7BB4" w:rsidRDefault="007D7BB4" w:rsidP="007D7BB4">
      <w:r>
        <w:t>Som alltid i et mellomoppgjør ble f</w:t>
      </w:r>
      <w:r w:rsidRPr="008965E4">
        <w:t xml:space="preserve">orhandlingene </w:t>
      </w:r>
      <w:r>
        <w:t xml:space="preserve">ført </w:t>
      </w:r>
      <w:r w:rsidRPr="008965E4">
        <w:t xml:space="preserve">mellom LO og NHO. Forhandlingene startet opp </w:t>
      </w:r>
      <w:r>
        <w:t>16</w:t>
      </w:r>
      <w:r w:rsidRPr="008965E4">
        <w:t xml:space="preserve">. mars. Den </w:t>
      </w:r>
      <w:r>
        <w:t>26</w:t>
      </w:r>
      <w:r w:rsidRPr="008965E4">
        <w:t xml:space="preserve">. mars </w:t>
      </w:r>
      <w:r>
        <w:t xml:space="preserve">kom partene fram til en forhandlingsløsning som senere ble vedtatt av partene. </w:t>
      </w:r>
    </w:p>
    <w:p w14:paraId="0B61B266" w14:textId="77777777" w:rsidR="007D7BB4" w:rsidRDefault="007D7BB4" w:rsidP="007D7BB4">
      <w:pPr>
        <w:pStyle w:val="Listeavsnitt"/>
        <w:spacing w:before="0" w:after="120" w:line="240" w:lineRule="auto"/>
        <w:ind w:left="0"/>
      </w:pPr>
      <w:r>
        <w:rPr>
          <w:color w:val="000000"/>
        </w:rPr>
        <w:t xml:space="preserve">Det ble ikke gitt generelle tillegg. Fra 1. april 2015 ble det gitt et lønnstillegg på kr 1,75 per time til arbeidstakere på overenskomster med gjennomsnittslønn under 90 prosent av gjennomsnittlig industriarbeiderlønn i 2014 (388 013 kroner). </w:t>
      </w:r>
    </w:p>
    <w:p w14:paraId="3E05A2C9" w14:textId="77777777" w:rsidR="007D7BB4" w:rsidRDefault="007D7BB4" w:rsidP="007D7BB4">
      <w:r>
        <w:t>Om lokale forhandlinger heter det at de skal være reelle og føres på basis av de enkelte overenskomster og slik at tillegg gis på grunnlag av den enkelte bedrifts økonomiske virkelighet, dvs. bedriftens økonomi, produktivitet, framtidsutsikter og konkurranseevne.</w:t>
      </w:r>
      <w:r w:rsidRPr="006662D1">
        <w:t xml:space="preserve"> </w:t>
      </w:r>
    </w:p>
    <w:p w14:paraId="7942C78B" w14:textId="77777777" w:rsidR="007D7BB4" w:rsidRDefault="007D7BB4" w:rsidP="007D7BB4">
      <w:r>
        <w:t xml:space="preserve">Det heter også at partene forutsetter at den samlede lønnsveksten som avtales sentralt og lokalt skal være normgivende både for ledere og andre grupper av arbeidstakere i bedriftene, og for hele arbeidsmarkedet for øvrig. </w:t>
      </w:r>
      <w:bookmarkStart w:id="369" w:name="_Toc256681354"/>
      <w:bookmarkStart w:id="370" w:name="_Toc256684371"/>
      <w:bookmarkStart w:id="371" w:name="_Toc257118274"/>
      <w:bookmarkStart w:id="372" w:name="_Toc257201074"/>
      <w:bookmarkStart w:id="373" w:name="_Toc257462263"/>
      <w:bookmarkStart w:id="374" w:name="_Toc264463025"/>
      <w:bookmarkStart w:id="375" w:name="_Toc264645449"/>
      <w:bookmarkStart w:id="376" w:name="_Toc286073408"/>
      <w:bookmarkStart w:id="377" w:name="_Toc286074032"/>
      <w:bookmarkStart w:id="378" w:name="_Toc286075052"/>
      <w:bookmarkStart w:id="379" w:name="_Toc286075301"/>
      <w:bookmarkStart w:id="380" w:name="_Toc358202904"/>
      <w:bookmarkStart w:id="381" w:name="_Toc359263576"/>
    </w:p>
    <w:p w14:paraId="11EE0720" w14:textId="77777777" w:rsidR="007D7BB4" w:rsidRDefault="007D7BB4" w:rsidP="007D7BB4">
      <w:r>
        <w:t>Partene ble videre enige om en felles henvendelse til Regjeringen vedrørende lov om lønnsplikt under permittering. Brevet fra partene og statsministerens svarbrev er gjengitt i undervedlegg 1.</w:t>
      </w:r>
    </w:p>
    <w:p w14:paraId="73941231" w14:textId="77777777" w:rsidR="007D7BB4" w:rsidRDefault="007D7BB4" w:rsidP="007D7BB4">
      <w:r w:rsidRPr="00172E98">
        <w:t xml:space="preserve">På bakgrunn av vurderinger gjort av NHO, i forståelse med LO, </w:t>
      </w:r>
      <w:r>
        <w:t>ble</w:t>
      </w:r>
      <w:r w:rsidRPr="00172E98">
        <w:t xml:space="preserve"> årslønnsveksten i industrien samlet i NHO</w:t>
      </w:r>
      <w:r>
        <w:t>-</w:t>
      </w:r>
      <w:r w:rsidRPr="00172E98">
        <w:t xml:space="preserve">området </w:t>
      </w:r>
      <w:r>
        <w:t xml:space="preserve">anslått </w:t>
      </w:r>
      <w:r w:rsidRPr="00172E98">
        <w:t>til 2,7 prosent i 2015</w:t>
      </w:r>
      <w:r>
        <w:t>, jf. boks 1.1</w:t>
      </w:r>
      <w:r w:rsidRPr="00172E98">
        <w:t>.</w:t>
      </w:r>
    </w:p>
    <w:p w14:paraId="128ACB27" w14:textId="77777777" w:rsidR="007D7BB4" w:rsidRDefault="007D7BB4" w:rsidP="007D7BB4">
      <w:pPr>
        <w:spacing w:after="0"/>
      </w:pPr>
      <w:r>
        <w:br w:type="page"/>
      </w:r>
    </w:p>
    <w:p w14:paraId="71A059A0" w14:textId="77777777" w:rsidR="007D7BB4" w:rsidRDefault="007D7BB4" w:rsidP="007D7BB4">
      <w:pPr>
        <w:spacing w:after="0"/>
      </w:pPr>
      <w:r>
        <w:rPr>
          <w:noProof/>
        </w:rPr>
        <mc:AlternateContent>
          <mc:Choice Requires="wps">
            <w:drawing>
              <wp:anchor distT="0" distB="0" distL="114300" distR="114300" simplePos="0" relativeHeight="251664384" behindDoc="0" locked="0" layoutInCell="1" allowOverlap="1" wp14:anchorId="76D825BF" wp14:editId="5D2CFB9C">
                <wp:simplePos x="0" y="0"/>
                <wp:positionH relativeFrom="column">
                  <wp:align>center</wp:align>
                </wp:positionH>
                <wp:positionV relativeFrom="paragraph">
                  <wp:posOffset>-101600</wp:posOffset>
                </wp:positionV>
                <wp:extent cx="5941695" cy="8886825"/>
                <wp:effectExtent l="0" t="0" r="20955" b="28575"/>
                <wp:wrapNone/>
                <wp:docPr id="82" name="Tekstbok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8886825"/>
                        </a:xfrm>
                        <a:prstGeom prst="rect">
                          <a:avLst/>
                        </a:prstGeom>
                        <a:solidFill>
                          <a:srgbClr val="FFFFFF"/>
                        </a:solidFill>
                        <a:ln w="9525">
                          <a:solidFill>
                            <a:srgbClr val="000000"/>
                          </a:solidFill>
                          <a:miter lim="800000"/>
                          <a:headEnd/>
                          <a:tailEnd/>
                        </a:ln>
                      </wps:spPr>
                      <wps:txbx>
                        <w:txbxContent>
                          <w:p w14:paraId="3A5620D2" w14:textId="77777777" w:rsidR="003D053D" w:rsidRPr="00252FA9" w:rsidRDefault="003D053D" w:rsidP="007D7BB4">
                            <w:pPr>
                              <w:autoSpaceDE w:val="0"/>
                              <w:autoSpaceDN w:val="0"/>
                              <w:adjustRightInd w:val="0"/>
                              <w:jc w:val="center"/>
                              <w:rPr>
                                <w:b/>
                                <w:sz w:val="22"/>
                                <w:szCs w:val="22"/>
                              </w:rPr>
                            </w:pPr>
                            <w:r w:rsidRPr="00252FA9">
                              <w:rPr>
                                <w:b/>
                                <w:sz w:val="22"/>
                                <w:szCs w:val="22"/>
                              </w:rPr>
                              <w:t>Boks 1.1 Vurderinger rundt rammen, mellomoppgjøret 2015.</w:t>
                            </w:r>
                          </w:p>
                          <w:p w14:paraId="1535FCEC" w14:textId="77777777" w:rsidR="003D053D" w:rsidRPr="00252FA9" w:rsidRDefault="003D053D" w:rsidP="007D7BB4">
                            <w:pPr>
                              <w:autoSpaceDE w:val="0"/>
                              <w:autoSpaceDN w:val="0"/>
                              <w:adjustRightInd w:val="0"/>
                              <w:rPr>
                                <w:sz w:val="22"/>
                                <w:szCs w:val="22"/>
                              </w:rPr>
                            </w:pPr>
                            <w:r w:rsidRPr="00252FA9">
                              <w:rPr>
                                <w:sz w:val="22"/>
                                <w:szCs w:val="22"/>
                              </w:rPr>
                              <w:t>Totalt sett peker forholdene i realøkonomien og behovet for omstilling i retning av at det blir lavere lønnsvekst i 2015 enn i 2014. NHO har, i forståelse med LO, lagt vekt på følgende utviklingstrekk i økonomien:</w:t>
                            </w:r>
                          </w:p>
                          <w:p w14:paraId="53349B09" w14:textId="77777777" w:rsidR="003D053D" w:rsidRPr="00252FA9" w:rsidRDefault="003D053D" w:rsidP="008643D6">
                            <w:pPr>
                              <w:pStyle w:val="Listeavsnitt"/>
                              <w:numPr>
                                <w:ilvl w:val="0"/>
                                <w:numId w:val="40"/>
                              </w:numPr>
                              <w:autoSpaceDE w:val="0"/>
                              <w:autoSpaceDN w:val="0"/>
                              <w:adjustRightInd w:val="0"/>
                              <w:spacing w:before="0" w:line="240" w:lineRule="auto"/>
                              <w:ind w:left="426" w:hanging="426"/>
                              <w:contextualSpacing/>
                              <w:rPr>
                                <w:sz w:val="22"/>
                              </w:rPr>
                            </w:pPr>
                            <w:r w:rsidRPr="00252FA9">
                              <w:rPr>
                                <w:sz w:val="22"/>
                              </w:rPr>
                              <w:t>Summen av det som nå skjer innen oljesektoren gir negative ringvirkninger for norsk økonomi i 2015. Tilbakemeldingene fra Norges Banks regionale nettverk gjenspeiler også dette.</w:t>
                            </w:r>
                          </w:p>
                          <w:p w14:paraId="242C960B" w14:textId="77777777" w:rsidR="003D053D" w:rsidRPr="00252FA9" w:rsidRDefault="003D053D" w:rsidP="008643D6">
                            <w:pPr>
                              <w:pStyle w:val="Listeavsnitt"/>
                              <w:numPr>
                                <w:ilvl w:val="0"/>
                                <w:numId w:val="41"/>
                              </w:numPr>
                              <w:autoSpaceDE w:val="0"/>
                              <w:autoSpaceDN w:val="0"/>
                              <w:adjustRightInd w:val="0"/>
                              <w:spacing w:before="0" w:line="240" w:lineRule="auto"/>
                              <w:ind w:hanging="294"/>
                              <w:contextualSpacing/>
                              <w:rPr>
                                <w:sz w:val="22"/>
                              </w:rPr>
                            </w:pPr>
                            <w:r w:rsidRPr="00252FA9">
                              <w:rPr>
                                <w:sz w:val="22"/>
                              </w:rPr>
                              <w:t>Nedgangen i oljeprisen har ført til svakere kontantstrøm i oljeselskapene. Dette innebærer at vedlikeholdsmarkedet ventes å bli halvert fra 2013 til 2015. Store nedbemanninger har funnet sted og nye er under oppseiling.</w:t>
                            </w:r>
                          </w:p>
                          <w:p w14:paraId="5D84DB71" w14:textId="77777777" w:rsidR="003D053D" w:rsidRPr="00252FA9" w:rsidRDefault="003D053D" w:rsidP="008643D6">
                            <w:pPr>
                              <w:pStyle w:val="Listeavsnitt"/>
                              <w:numPr>
                                <w:ilvl w:val="0"/>
                                <w:numId w:val="42"/>
                              </w:numPr>
                              <w:autoSpaceDE w:val="0"/>
                              <w:autoSpaceDN w:val="0"/>
                              <w:adjustRightInd w:val="0"/>
                              <w:spacing w:before="0" w:line="240" w:lineRule="auto"/>
                              <w:ind w:hanging="294"/>
                              <w:contextualSpacing/>
                              <w:rPr>
                                <w:sz w:val="22"/>
                              </w:rPr>
                            </w:pPr>
                            <w:r w:rsidRPr="00252FA9">
                              <w:rPr>
                                <w:sz w:val="22"/>
                              </w:rPr>
                              <w:t>Dessuten faller investeringene i petroleumssektoren. Norges Bank anslår 15 prosent i år, ytterligere 10 prosent neste år og ytterligere 5 prosent i 2017. Også dette fører til nedbemanninger gjennom året og inn i neste år.</w:t>
                            </w:r>
                          </w:p>
                          <w:p w14:paraId="4CE367C6" w14:textId="77777777" w:rsidR="003D053D" w:rsidRPr="00252FA9" w:rsidRDefault="003D053D" w:rsidP="008643D6">
                            <w:pPr>
                              <w:pStyle w:val="Listeavsnitt"/>
                              <w:numPr>
                                <w:ilvl w:val="0"/>
                                <w:numId w:val="43"/>
                              </w:numPr>
                              <w:autoSpaceDE w:val="0"/>
                              <w:autoSpaceDN w:val="0"/>
                              <w:adjustRightInd w:val="0"/>
                              <w:spacing w:before="0" w:line="240" w:lineRule="auto"/>
                              <w:ind w:hanging="294"/>
                              <w:contextualSpacing/>
                              <w:rPr>
                                <w:sz w:val="22"/>
                              </w:rPr>
                            </w:pPr>
                            <w:r w:rsidRPr="00252FA9">
                              <w:rPr>
                                <w:sz w:val="22"/>
                              </w:rPr>
                              <w:t>Leverandørindustrien til olje- og gassvirksomheten har de siste ti årene blitt en av våre store eksportnæringer. Med omfattende kanselleringer av riggprosjekter og utbygginger også internasjonalt, forverres eksportmulighetene for mange bedrifter, hvorav mange allerede er i gang med nedbemanning.</w:t>
                            </w:r>
                          </w:p>
                          <w:p w14:paraId="4B10FC15" w14:textId="77777777" w:rsidR="003D053D" w:rsidRPr="00252FA9" w:rsidRDefault="003D053D" w:rsidP="008643D6">
                            <w:pPr>
                              <w:pStyle w:val="Listeavsnitt"/>
                              <w:numPr>
                                <w:ilvl w:val="0"/>
                                <w:numId w:val="44"/>
                              </w:numPr>
                              <w:autoSpaceDE w:val="0"/>
                              <w:autoSpaceDN w:val="0"/>
                              <w:adjustRightInd w:val="0"/>
                              <w:spacing w:before="0" w:line="240" w:lineRule="auto"/>
                              <w:ind w:left="426" w:hanging="426"/>
                              <w:contextualSpacing/>
                              <w:rPr>
                                <w:sz w:val="22"/>
                              </w:rPr>
                            </w:pPr>
                            <w:r w:rsidRPr="00252FA9">
                              <w:rPr>
                                <w:sz w:val="22"/>
                              </w:rPr>
                              <w:t>Kronekursen er svekket og bidrar til å styrke konkurranseevnen. Eksportbedrifter og bedrifter som konkurrerer på hjemmemarkedet får bedret inntjening. Dagens svake krone kan være av midlertidig karakter.</w:t>
                            </w:r>
                          </w:p>
                          <w:p w14:paraId="65A393B5" w14:textId="77777777" w:rsidR="003D053D" w:rsidRPr="00252FA9" w:rsidRDefault="003D053D" w:rsidP="008643D6">
                            <w:pPr>
                              <w:pStyle w:val="Listeavsnitt"/>
                              <w:numPr>
                                <w:ilvl w:val="0"/>
                                <w:numId w:val="45"/>
                              </w:numPr>
                              <w:autoSpaceDE w:val="0"/>
                              <w:autoSpaceDN w:val="0"/>
                              <w:adjustRightInd w:val="0"/>
                              <w:spacing w:before="0" w:line="240" w:lineRule="auto"/>
                              <w:ind w:left="426" w:hanging="426"/>
                              <w:contextualSpacing/>
                              <w:rPr>
                                <w:sz w:val="22"/>
                              </w:rPr>
                            </w:pPr>
                            <w:r w:rsidRPr="00252FA9">
                              <w:rPr>
                                <w:sz w:val="22"/>
                              </w:rPr>
                              <w:t>Norsk økonomi har hatt store bytteforholdsgevinster på 2000-tallet. NHO og LO er som Holden-utvalget pekte på, bevisste på at de bytteforholdsgevinstene vi har hatt ikke er det normale. Utviklingen har snudd, og bytteforholdstapet økte gjennom fjoråret og inn i 2015.</w:t>
                            </w:r>
                          </w:p>
                          <w:p w14:paraId="4F667E0A"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 xml:space="preserve">Svakere valuta gjennom fjoråret bidro til en bedring på 6 prosent i den relative timelønnskostnadsveksten i industrien i Norge sammenliknet med handelspartnerne. Fortsatt er kronen svakere enn snittet i fjor. Holden III-utvalget vektla at </w:t>
                            </w:r>
                            <w:r w:rsidRPr="00252FA9">
                              <w:rPr>
                                <w:i/>
                                <w:sz w:val="22"/>
                              </w:rPr>
                              <w:t>"For å redusere risikoen for en sterk nedbygging av konkurranseutsatt sektor, bør den</w:t>
                            </w:r>
                            <w:r w:rsidRPr="00252FA9">
                              <w:rPr>
                                <w:i/>
                                <w:iCs/>
                                <w:sz w:val="22"/>
                              </w:rPr>
                              <w:t xml:space="preserve"> </w:t>
                            </w:r>
                            <w:r w:rsidRPr="00252FA9">
                              <w:rPr>
                                <w:i/>
                                <w:sz w:val="22"/>
                              </w:rPr>
                              <w:t>kostnadsmessige konkurranseevnen ikke svekkes. 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w:t>
                            </w:r>
                            <w:r w:rsidRPr="00252FA9">
                              <w:rPr>
                                <w:sz w:val="22"/>
                              </w:rPr>
                              <w:t xml:space="preserve"> NHO og LO har i mellomoppgjøret lagt vekt på disse sammenhengene.</w:t>
                            </w:r>
                          </w:p>
                          <w:p w14:paraId="29FE2611"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 xml:space="preserve">Anslag for veksten i BNP Fastlands-Norge for 2015 er gjennomgående lavere enn hva den var i 2014. SSB anslår en vekst i BNP Fastlands-Norge på 1,1 prosent mot 2,3 prosent i fjor. Ifølge Norges Banks regionale nettverk vurderes kapasitetsutnyttingen nå å være lavere enn det som kan anses å være et normalt nivå, og den forventes å avta fremover. </w:t>
                            </w:r>
                          </w:p>
                          <w:p w14:paraId="16072B40"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Også arbeidsmarkedet er svakere. Veksten i sysselsettingen ventes å nærmest stoppe opp i 2015 ifølge SSB. Arbeidsledigheten vil øke. Arbeidsmarkedet er mindre stramt enn tidligere, også for funksjonærgrupper som for eksempel ingeniører. Fortsatt redusert sysselsetting i oljerelatert virksomhet vil nå bidra til å dempe lønnsveksten.</w:t>
                            </w:r>
                          </w:p>
                          <w:p w14:paraId="2C12FE42"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Lønnstendensen i industrien har vært avtakende for både arbeidere og funksjonærer etter 2011 ifølge lønnsstatistikken per 1. oktober. Det er viktig at alle grupper tilpasser de rammer som det er enighet om i frontfaget. Overhenget inn i 2015 er beregnet til 1 prosentpoeng for industriarbeidere og 1,3 prosentpoeng for industrifunksjonærer. Pågående nedbemanning av ingeniører og sivilingeniører i leverandørindustrien, samt nedskjæringer av frittstående konsulenter og innleide funksjonærer, vil bidra til å dempe lønnsveksten lokalt.</w:t>
                            </w:r>
                          </w:p>
                          <w:p w14:paraId="6FB0F2CE" w14:textId="77777777" w:rsidR="003D053D" w:rsidRPr="00252FA9" w:rsidRDefault="003D053D" w:rsidP="007D7BB4">
                            <w:pPr>
                              <w:autoSpaceDE w:val="0"/>
                              <w:autoSpaceDN w:val="0"/>
                              <w:adjustRightInd w:val="0"/>
                              <w:rPr>
                                <w:rFonts w:ascii="Tahoma" w:hAnsi="Tahoma" w:cs="Tahoma"/>
                                <w:sz w:val="22"/>
                                <w:szCs w:val="22"/>
                              </w:rPr>
                            </w:pPr>
                          </w:p>
                          <w:p w14:paraId="725FB7F4" w14:textId="77777777" w:rsidR="003D053D" w:rsidRPr="00252FA9" w:rsidRDefault="003D053D" w:rsidP="007D7BB4">
                            <w:pPr>
                              <w:autoSpaceDE w:val="0"/>
                              <w:autoSpaceDN w:val="0"/>
                              <w:adjustRightInd w:val="0"/>
                              <w:rPr>
                                <w:rFonts w:ascii="Tahoma" w:hAnsi="Tahoma" w:cs="Tahoma"/>
                                <w:sz w:val="22"/>
                                <w:szCs w:val="22"/>
                              </w:rPr>
                            </w:pPr>
                            <w:r w:rsidRPr="00252FA9">
                              <w:rPr>
                                <w:rFonts w:ascii="Tahoma" w:hAnsi="Tahoma" w:cs="Tahoma"/>
                                <w:sz w:val="22"/>
                                <w:szCs w:val="22"/>
                              </w:rPr>
                              <w:t>Ramme</w:t>
                            </w:r>
                          </w:p>
                          <w:p w14:paraId="5D20F3DD" w14:textId="77777777" w:rsidR="003D053D" w:rsidRPr="00252FA9" w:rsidRDefault="003D053D" w:rsidP="007D7BB4">
                            <w:pPr>
                              <w:autoSpaceDE w:val="0"/>
                              <w:autoSpaceDN w:val="0"/>
                              <w:adjustRightInd w:val="0"/>
                              <w:rPr>
                                <w:sz w:val="22"/>
                                <w:szCs w:val="22"/>
                              </w:rPr>
                            </w:pPr>
                            <w:r w:rsidRPr="00252FA9">
                              <w:rPr>
                                <w:sz w:val="22"/>
                                <w:szCs w:val="22"/>
                              </w:rPr>
                              <w:t>På bakgrunn av vurderinger gjort av NHO, i forståelse med LO, anslås årslønnsveksten i industrien samlet i NHO</w:t>
                            </w:r>
                            <w:r>
                              <w:rPr>
                                <w:sz w:val="22"/>
                                <w:szCs w:val="22"/>
                              </w:rPr>
                              <w:t>-</w:t>
                            </w:r>
                            <w:r w:rsidRPr="00252FA9">
                              <w:rPr>
                                <w:sz w:val="22"/>
                                <w:szCs w:val="22"/>
                              </w:rPr>
                              <w:t>området til 2,7 prosent i 2015. Rammen er basert på 1 prosentpoeng overheng i LO-NHO-området, 0,3 prosentpoeng bidrag fra tarifftillegg i LO-NHO-området og 1,3 prosentpoeng overheng for industrifunksjonærer. Partene har i utarbeidelsen av anslaget for lønnsrammen forsøkt å ta tilstrekkelig hensyn til de økonomiske utsiktene og behovet for omstilling.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825BF" id="Tekstboks 82" o:spid="_x0000_s1031" type="#_x0000_t202" style="position:absolute;margin-left:0;margin-top:-8pt;width:467.85pt;height:699.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">
                <v:textbox>
                  <w:txbxContent>
                    <w:p w14:paraId="3A5620D2" w14:textId="77777777" w:rsidR="003D053D" w:rsidRPr="00252FA9" w:rsidRDefault="003D053D" w:rsidP="007D7BB4">
                      <w:pPr>
                        <w:autoSpaceDE w:val="0"/>
                        <w:autoSpaceDN w:val="0"/>
                        <w:adjustRightInd w:val="0"/>
                        <w:jc w:val="center"/>
                        <w:rPr>
                          <w:b/>
                          <w:sz w:val="22"/>
                          <w:szCs w:val="22"/>
                        </w:rPr>
                      </w:pPr>
                      <w:r w:rsidRPr="00252FA9">
                        <w:rPr>
                          <w:b/>
                          <w:sz w:val="22"/>
                          <w:szCs w:val="22"/>
                        </w:rPr>
                        <w:t>Boks 1.1 Vurderinger rundt rammen, mellomoppgjøret 2015.</w:t>
                      </w:r>
                    </w:p>
                    <w:p w14:paraId="1535FCEC" w14:textId="77777777" w:rsidR="003D053D" w:rsidRPr="00252FA9" w:rsidRDefault="003D053D" w:rsidP="007D7BB4">
                      <w:pPr>
                        <w:autoSpaceDE w:val="0"/>
                        <w:autoSpaceDN w:val="0"/>
                        <w:adjustRightInd w:val="0"/>
                        <w:rPr>
                          <w:sz w:val="22"/>
                          <w:szCs w:val="22"/>
                        </w:rPr>
                      </w:pPr>
                      <w:r w:rsidRPr="00252FA9">
                        <w:rPr>
                          <w:sz w:val="22"/>
                          <w:szCs w:val="22"/>
                        </w:rPr>
                        <w:t>Totalt sett peker forholdene i realøkonomien og behovet for omstilling i retning av at det blir lavere lønnsvekst i 2015 enn i 2014. NHO har, i forståelse med LO, lagt vekt på følgende utviklingstrekk i økonomien:</w:t>
                      </w:r>
                    </w:p>
                    <w:p w14:paraId="53349B09" w14:textId="77777777" w:rsidR="003D053D" w:rsidRPr="00252FA9" w:rsidRDefault="003D053D" w:rsidP="008643D6">
                      <w:pPr>
                        <w:pStyle w:val="Listeavsnitt"/>
                        <w:numPr>
                          <w:ilvl w:val="0"/>
                          <w:numId w:val="40"/>
                        </w:numPr>
                        <w:autoSpaceDE w:val="0"/>
                        <w:autoSpaceDN w:val="0"/>
                        <w:adjustRightInd w:val="0"/>
                        <w:spacing w:before="0" w:line="240" w:lineRule="auto"/>
                        <w:ind w:left="426" w:hanging="426"/>
                        <w:contextualSpacing/>
                        <w:rPr>
                          <w:sz w:val="22"/>
                        </w:rPr>
                      </w:pPr>
                      <w:r w:rsidRPr="00252FA9">
                        <w:rPr>
                          <w:sz w:val="22"/>
                        </w:rPr>
                        <w:t>Summen av det som nå skjer innen oljesektoren gir negative ringvirkninger for norsk økonomi i 2015. Tilbakemeldingene fra Norges Banks regionale nettverk gjenspeiler også dette.</w:t>
                      </w:r>
                    </w:p>
                    <w:p w14:paraId="242C960B" w14:textId="77777777" w:rsidR="003D053D" w:rsidRPr="00252FA9" w:rsidRDefault="003D053D" w:rsidP="008643D6">
                      <w:pPr>
                        <w:pStyle w:val="Listeavsnitt"/>
                        <w:numPr>
                          <w:ilvl w:val="0"/>
                          <w:numId w:val="41"/>
                        </w:numPr>
                        <w:autoSpaceDE w:val="0"/>
                        <w:autoSpaceDN w:val="0"/>
                        <w:adjustRightInd w:val="0"/>
                        <w:spacing w:before="0" w:line="240" w:lineRule="auto"/>
                        <w:ind w:hanging="294"/>
                        <w:contextualSpacing/>
                        <w:rPr>
                          <w:sz w:val="22"/>
                        </w:rPr>
                      </w:pPr>
                      <w:r w:rsidRPr="00252FA9">
                        <w:rPr>
                          <w:sz w:val="22"/>
                        </w:rPr>
                        <w:t>Nedgangen i oljeprisen har ført til svakere kontantstrøm i oljeselskapene. Dette innebærer at vedlikeholdsmarkedet ventes å bli halvert fra 2013 til 2015. Store nedbemanninger har funnet sted og nye er under oppseiling.</w:t>
                      </w:r>
                    </w:p>
                    <w:p w14:paraId="5D84DB71" w14:textId="77777777" w:rsidR="003D053D" w:rsidRPr="00252FA9" w:rsidRDefault="003D053D" w:rsidP="008643D6">
                      <w:pPr>
                        <w:pStyle w:val="Listeavsnitt"/>
                        <w:numPr>
                          <w:ilvl w:val="0"/>
                          <w:numId w:val="42"/>
                        </w:numPr>
                        <w:autoSpaceDE w:val="0"/>
                        <w:autoSpaceDN w:val="0"/>
                        <w:adjustRightInd w:val="0"/>
                        <w:spacing w:before="0" w:line="240" w:lineRule="auto"/>
                        <w:ind w:hanging="294"/>
                        <w:contextualSpacing/>
                        <w:rPr>
                          <w:sz w:val="22"/>
                        </w:rPr>
                      </w:pPr>
                      <w:r w:rsidRPr="00252FA9">
                        <w:rPr>
                          <w:sz w:val="22"/>
                        </w:rPr>
                        <w:t>Dessuten faller investeringene i petroleumssektoren. Norges Bank anslår 15 prosent i år, ytterligere 10 prosent neste år og ytterligere 5 prosent i 2017. Også dette fører til nedbemanninger gjennom året og inn i neste år.</w:t>
                      </w:r>
                    </w:p>
                    <w:p w14:paraId="4CE367C6" w14:textId="77777777" w:rsidR="003D053D" w:rsidRPr="00252FA9" w:rsidRDefault="003D053D" w:rsidP="008643D6">
                      <w:pPr>
                        <w:pStyle w:val="Listeavsnitt"/>
                        <w:numPr>
                          <w:ilvl w:val="0"/>
                          <w:numId w:val="43"/>
                        </w:numPr>
                        <w:autoSpaceDE w:val="0"/>
                        <w:autoSpaceDN w:val="0"/>
                        <w:adjustRightInd w:val="0"/>
                        <w:spacing w:before="0" w:line="240" w:lineRule="auto"/>
                        <w:ind w:hanging="294"/>
                        <w:contextualSpacing/>
                        <w:rPr>
                          <w:sz w:val="22"/>
                        </w:rPr>
                      </w:pPr>
                      <w:r w:rsidRPr="00252FA9">
                        <w:rPr>
                          <w:sz w:val="22"/>
                        </w:rPr>
                        <w:t>Leverandørindustrien til olje- og gassvirksomheten har de siste ti årene blitt en av våre store eksportnæringer. Med omfattende kanselleringer av riggprosjekter og utbygginger også internasjonalt, forverres eksportmulighetene for mange bedrifter, hvorav mange allerede er i gang med nedbemanning.</w:t>
                      </w:r>
                    </w:p>
                    <w:p w14:paraId="4B10FC15" w14:textId="77777777" w:rsidR="003D053D" w:rsidRPr="00252FA9" w:rsidRDefault="003D053D" w:rsidP="008643D6">
                      <w:pPr>
                        <w:pStyle w:val="Listeavsnitt"/>
                        <w:numPr>
                          <w:ilvl w:val="0"/>
                          <w:numId w:val="44"/>
                        </w:numPr>
                        <w:autoSpaceDE w:val="0"/>
                        <w:autoSpaceDN w:val="0"/>
                        <w:adjustRightInd w:val="0"/>
                        <w:spacing w:before="0" w:line="240" w:lineRule="auto"/>
                        <w:ind w:left="426" w:hanging="426"/>
                        <w:contextualSpacing/>
                        <w:rPr>
                          <w:sz w:val="22"/>
                        </w:rPr>
                      </w:pPr>
                      <w:r w:rsidRPr="00252FA9">
                        <w:rPr>
                          <w:sz w:val="22"/>
                        </w:rPr>
                        <w:t>Kronekursen er svekket og bidrar til å styrke konkurranseevnen. Eksportbedrifter og bedrifter som konkurrerer på hjemmemarkedet får bedret inntjening. Dagens svake krone kan være av midlertidig karakter.</w:t>
                      </w:r>
                    </w:p>
                    <w:p w14:paraId="65A393B5" w14:textId="77777777" w:rsidR="003D053D" w:rsidRPr="00252FA9" w:rsidRDefault="003D053D" w:rsidP="008643D6">
                      <w:pPr>
                        <w:pStyle w:val="Listeavsnitt"/>
                        <w:numPr>
                          <w:ilvl w:val="0"/>
                          <w:numId w:val="45"/>
                        </w:numPr>
                        <w:autoSpaceDE w:val="0"/>
                        <w:autoSpaceDN w:val="0"/>
                        <w:adjustRightInd w:val="0"/>
                        <w:spacing w:before="0" w:line="240" w:lineRule="auto"/>
                        <w:ind w:left="426" w:hanging="426"/>
                        <w:contextualSpacing/>
                        <w:rPr>
                          <w:sz w:val="22"/>
                        </w:rPr>
                      </w:pPr>
                      <w:r w:rsidRPr="00252FA9">
                        <w:rPr>
                          <w:sz w:val="22"/>
                        </w:rPr>
                        <w:t>Norsk økonomi har hatt store bytteforholdsgevinster på 2000-tallet. NHO og LO er som Holden-utvalget pekte på, bevisste på at de bytteforholdsgevinstene vi har hatt ikke er det normale. Utviklingen har snudd, og bytteforholdstapet økte gjennom fjoråret og inn i 2015.</w:t>
                      </w:r>
                    </w:p>
                    <w:p w14:paraId="4F667E0A"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 xml:space="preserve">Svakere valuta gjennom fjoråret bidro til en bedring på 6 prosent i den relative timelønnskostnadsveksten i industrien i Norge sammenliknet med handelspartnerne. Fortsatt er kronen svakere enn snittet i fjor. Holden III-utvalget vektla at </w:t>
                      </w:r>
                      <w:r w:rsidRPr="00252FA9">
                        <w:rPr>
                          <w:i/>
                          <w:sz w:val="22"/>
                        </w:rPr>
                        <w:t>"For å redusere risikoen for en sterk nedbygging av konkurranseutsatt sektor, bør den</w:t>
                      </w:r>
                      <w:r w:rsidRPr="00252FA9">
                        <w:rPr>
                          <w:i/>
                          <w:iCs/>
                          <w:sz w:val="22"/>
                        </w:rPr>
                        <w:t xml:space="preserve"> </w:t>
                      </w:r>
                      <w:r w:rsidRPr="00252FA9">
                        <w:rPr>
                          <w:i/>
                          <w:sz w:val="22"/>
                        </w:rPr>
                        <w:t>kostnadsmessige konkurranseevnen ikke svekkes. På lengre sikt er det trolig nødvendig med en forbedring, særlig dersom oljeprisen skulle falle markert. En moderat lønnsvekst vil bidra til bedre konkurranseevne både direkte, og indirekte gjennom lavere rente og svakere kronekurs. Det vil gi tryggere grunnlag for høy sysselsetting og lav arbeidsledighet framover."</w:t>
                      </w:r>
                      <w:r w:rsidRPr="00252FA9">
                        <w:rPr>
                          <w:sz w:val="22"/>
                        </w:rPr>
                        <w:t xml:space="preserve"> NHO og LO har i mellomoppgjøret lagt vekt på disse sammenhengene.</w:t>
                      </w:r>
                    </w:p>
                    <w:p w14:paraId="29FE2611"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 xml:space="preserve">Anslag for veksten i BNP Fastlands-Norge for 2015 er gjennomgående lavere enn hva den var i 2014. SSB anslår en vekst i BNP Fastlands-Norge på 1,1 prosent mot 2,3 prosent i fjor. Ifølge Norges Banks regionale nettverk vurderes kapasitetsutnyttingen nå å være lavere enn det som kan anses å være et normalt nivå, og den forventes å avta fremover. </w:t>
                      </w:r>
                    </w:p>
                    <w:p w14:paraId="16072B40"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Også arbeidsmarkedet er svakere. Veksten i sysselsettingen ventes å nærmest stoppe opp i 2015 ifølge SSB. Arbeidsledigheten vil øke. Arbeidsmarkedet er mindre stramt enn tidligere, også for funksjonærgrupper som for eksempel ingeniører. Fortsatt redusert sysselsetting i oljerelatert virksomhet vil nå bidra til å dempe lønnsveksten.</w:t>
                      </w:r>
                    </w:p>
                    <w:p w14:paraId="2C12FE42" w14:textId="77777777" w:rsidR="003D053D" w:rsidRPr="00252FA9" w:rsidRDefault="003D053D" w:rsidP="008643D6">
                      <w:pPr>
                        <w:pStyle w:val="Listeavsnitt"/>
                        <w:numPr>
                          <w:ilvl w:val="0"/>
                          <w:numId w:val="46"/>
                        </w:numPr>
                        <w:autoSpaceDE w:val="0"/>
                        <w:autoSpaceDN w:val="0"/>
                        <w:adjustRightInd w:val="0"/>
                        <w:spacing w:before="0" w:line="240" w:lineRule="auto"/>
                        <w:ind w:left="426" w:hanging="426"/>
                        <w:contextualSpacing/>
                        <w:rPr>
                          <w:sz w:val="22"/>
                        </w:rPr>
                      </w:pPr>
                      <w:r w:rsidRPr="00252FA9">
                        <w:rPr>
                          <w:sz w:val="22"/>
                        </w:rPr>
                        <w:t>Lønnstendensen i industrien har vært avtakende for både arbeidere og funksjonærer etter 2011 ifølge lønnsstatistikken per 1. oktober. Det er viktig at alle grupper tilpasser de rammer som det er enighet om i frontfaget. Overhenget inn i 2015 er beregnet til 1 prosentpoeng for industriarbeidere og 1,3 prosentpoeng for industrifunksjonærer. Pågående nedbemanning av ingeniører og sivilingeniører i leverandørindustrien, samt nedskjæringer av frittstående konsulenter og innleide funksjonærer, vil bidra til å dempe lønnsveksten lokalt.</w:t>
                      </w:r>
                    </w:p>
                    <w:p w14:paraId="6FB0F2CE" w14:textId="77777777" w:rsidR="003D053D" w:rsidRPr="00252FA9" w:rsidRDefault="003D053D" w:rsidP="007D7BB4">
                      <w:pPr>
                        <w:autoSpaceDE w:val="0"/>
                        <w:autoSpaceDN w:val="0"/>
                        <w:adjustRightInd w:val="0"/>
                        <w:rPr>
                          <w:rFonts w:ascii="Tahoma" w:hAnsi="Tahoma" w:cs="Tahoma"/>
                          <w:sz w:val="22"/>
                          <w:szCs w:val="22"/>
                        </w:rPr>
                      </w:pPr>
                    </w:p>
                    <w:p w14:paraId="725FB7F4" w14:textId="77777777" w:rsidR="003D053D" w:rsidRPr="00252FA9" w:rsidRDefault="003D053D" w:rsidP="007D7BB4">
                      <w:pPr>
                        <w:autoSpaceDE w:val="0"/>
                        <w:autoSpaceDN w:val="0"/>
                        <w:adjustRightInd w:val="0"/>
                        <w:rPr>
                          <w:rFonts w:ascii="Tahoma" w:hAnsi="Tahoma" w:cs="Tahoma"/>
                          <w:sz w:val="22"/>
                          <w:szCs w:val="22"/>
                        </w:rPr>
                      </w:pPr>
                      <w:r w:rsidRPr="00252FA9">
                        <w:rPr>
                          <w:rFonts w:ascii="Tahoma" w:hAnsi="Tahoma" w:cs="Tahoma"/>
                          <w:sz w:val="22"/>
                          <w:szCs w:val="22"/>
                        </w:rPr>
                        <w:t>Ramme</w:t>
                      </w:r>
                    </w:p>
                    <w:p w14:paraId="5D20F3DD" w14:textId="77777777" w:rsidR="003D053D" w:rsidRPr="00252FA9" w:rsidRDefault="003D053D" w:rsidP="007D7BB4">
                      <w:pPr>
                        <w:autoSpaceDE w:val="0"/>
                        <w:autoSpaceDN w:val="0"/>
                        <w:adjustRightInd w:val="0"/>
                        <w:rPr>
                          <w:sz w:val="22"/>
                          <w:szCs w:val="22"/>
                        </w:rPr>
                      </w:pPr>
                      <w:r w:rsidRPr="00252FA9">
                        <w:rPr>
                          <w:sz w:val="22"/>
                          <w:szCs w:val="22"/>
                        </w:rPr>
                        <w:t>På bakgrunn av vurderinger gjort av NHO, i forståelse med LO, anslås årslønnsveksten i industrien samlet i NHO</w:t>
                      </w:r>
                      <w:r>
                        <w:rPr>
                          <w:sz w:val="22"/>
                          <w:szCs w:val="22"/>
                        </w:rPr>
                        <w:t>-</w:t>
                      </w:r>
                      <w:r w:rsidRPr="00252FA9">
                        <w:rPr>
                          <w:sz w:val="22"/>
                          <w:szCs w:val="22"/>
                        </w:rPr>
                        <w:t>området til 2,7 prosent i 2015. Rammen er basert på 1 prosentpoeng overheng i LO-NHO-området, 0,3 prosentpoeng bidrag fra tarifftillegg i LO-NHO-området og 1,3 prosentpoeng overheng for industrifunksjonærer. Partene har i utarbeidelsen av anslaget for lønnsrammen forsøkt å ta tilstrekkelig hensyn til de økonomiske utsiktene og behovet for omstilling.</w:t>
                      </w:r>
                    </w:p>
                  </w:txbxContent>
                </v:textbox>
              </v:shape>
            </w:pict>
          </mc:Fallback>
        </mc:AlternateContent>
      </w:r>
      <w:r>
        <w:br w:type="page"/>
      </w:r>
    </w:p>
    <w:p w14:paraId="2F9B53C0" w14:textId="77777777" w:rsidR="007D7BB4" w:rsidRDefault="007D7BB4" w:rsidP="007D7BB4">
      <w:pPr>
        <w:pStyle w:val="Overskrift3"/>
      </w:pPr>
      <w:bookmarkStart w:id="382" w:name="_Toc422226837"/>
      <w:bookmarkStart w:id="383" w:name="_Toc443829082"/>
      <w:bookmarkStart w:id="384" w:name="_Toc443843739"/>
      <w:bookmarkStart w:id="385" w:name="_Toc443844271"/>
      <w:bookmarkStart w:id="386" w:name="_Toc443999011"/>
      <w:r w:rsidRPr="007A1762">
        <w:t>Oppgjørene i privat sektor utenom LO-NHO-området</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4E8B3B4" w14:textId="77777777" w:rsidR="007D7BB4" w:rsidRDefault="007D7BB4" w:rsidP="007D7BB4">
      <w:r>
        <w:t xml:space="preserve">Den 26. mars ble det også en forhandlingsløsning mellom </w:t>
      </w:r>
      <w:r w:rsidRPr="00B170D0">
        <w:rPr>
          <w:i/>
        </w:rPr>
        <w:t>YS og NHO</w:t>
      </w:r>
      <w:r>
        <w:rPr>
          <w:i/>
        </w:rPr>
        <w:t xml:space="preserve"> </w:t>
      </w:r>
      <w:r w:rsidRPr="00BB2C97">
        <w:t>som</w:t>
      </w:r>
      <w:r>
        <w:t xml:space="preserve"> senere ble vedtatt av partene. </w:t>
      </w:r>
      <w:r w:rsidRPr="001E666E">
        <w:t>Det ble gitt samme lønnstillegg som i oppgjøret mellom LO og NHO.</w:t>
      </w:r>
      <w:r>
        <w:t xml:space="preserve"> </w:t>
      </w:r>
      <w:r w:rsidRPr="00B522DB">
        <w:t xml:space="preserve">YS og NHO har i fellesskap over 50 overenskomster. De fleste av disse er likelydende med </w:t>
      </w:r>
      <w:r>
        <w:t xml:space="preserve">større </w:t>
      </w:r>
      <w:r w:rsidRPr="00B522DB">
        <w:t>avtaler som LO har for tilsvarende områder og fikk samme forhandlingsresultat. De øvrige avtalene fikk et resultat innenfor rammen av frontfaget.</w:t>
      </w:r>
    </w:p>
    <w:p w14:paraId="1E43011F" w14:textId="77777777" w:rsidR="007D7BB4" w:rsidRDefault="007D7BB4" w:rsidP="007D7BB4">
      <w:r>
        <w:t xml:space="preserve">Mellom </w:t>
      </w:r>
      <w:r>
        <w:rPr>
          <w:bCs/>
          <w:i/>
        </w:rPr>
        <w:t>Virke</w:t>
      </w:r>
      <w:r w:rsidRPr="000C3A00">
        <w:rPr>
          <w:bCs/>
          <w:i/>
        </w:rPr>
        <w:t xml:space="preserve"> og LO</w:t>
      </w:r>
      <w:r>
        <w:t xml:space="preserve"> og mellom </w:t>
      </w:r>
      <w:r>
        <w:rPr>
          <w:bCs/>
          <w:i/>
        </w:rPr>
        <w:t>Virke</w:t>
      </w:r>
      <w:r w:rsidRPr="000C3A00">
        <w:rPr>
          <w:bCs/>
          <w:i/>
        </w:rPr>
        <w:t xml:space="preserve"> og YS</w:t>
      </w:r>
      <w:r w:rsidRPr="000C3A00">
        <w:rPr>
          <w:i/>
        </w:rPr>
        <w:t xml:space="preserve"> </w:t>
      </w:r>
      <w:r>
        <w:t xml:space="preserve">ble det vedtatt forhandlingsresultater som blant annet omfattet varehandel, transport, reiseliv, renhold, IT og begravelsesbyråer med flere. Mellom LO og Virke ble det ikke gitt generelle tillegg, men til </w:t>
      </w:r>
      <w:r>
        <w:rPr>
          <w:color w:val="000000"/>
        </w:rPr>
        <w:t xml:space="preserve">arbeidstakere på overenskomster med gjennomsnittslønn under 90 prosent av gjennomsnittlig industriarbeiderlønn i 2014 (388 013 kroner) </w:t>
      </w:r>
      <w:r>
        <w:t xml:space="preserve">ble det gitt et lønnstillegg på kr 1,75 per time fra 1. april. Dette gjaldt bl.a. Landsoverenskomsten med bransjeavtaler (Handel og Kontor). </w:t>
      </w:r>
      <w:r w:rsidRPr="00DC3585">
        <w:rPr>
          <w:rFonts w:ascii="Times New Roman" w:eastAsia="Times New Roman" w:hAnsi="Times New Roman"/>
          <w:szCs w:val="24"/>
        </w:rPr>
        <w:t xml:space="preserve">Ut over </w:t>
      </w:r>
      <w:r>
        <w:rPr>
          <w:rFonts w:ascii="Times New Roman" w:eastAsia="Times New Roman" w:hAnsi="Times New Roman"/>
          <w:szCs w:val="24"/>
        </w:rPr>
        <w:t>dette ble de laveste minstelønnssatsene på denne overenskomsten,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kr 2,50 per </w:t>
      </w:r>
      <w:r w:rsidRPr="00DC3585">
        <w:rPr>
          <w:rFonts w:ascii="Times New Roman" w:eastAsia="Times New Roman" w:hAnsi="Times New Roman"/>
          <w:szCs w:val="24"/>
        </w:rPr>
        <w:t>time</w:t>
      </w:r>
      <w:r>
        <w:rPr>
          <w:rFonts w:ascii="Times New Roman" w:eastAsia="Times New Roman" w:hAnsi="Times New Roman"/>
          <w:szCs w:val="24"/>
        </w:rPr>
        <w:t xml:space="preserve"> og den høyeste (trinn 6) med kr 0,50 per time.</w:t>
      </w:r>
      <w:r>
        <w:t xml:space="preserve"> For Grossistoverenskomsten (NTF) ble det ikke gitt tillegg fra 1. april. Også andre avtaler fulgte i stor grad modellen fra LO-NHO-oppgjøret.</w:t>
      </w:r>
    </w:p>
    <w:p w14:paraId="0B8EB824" w14:textId="77777777" w:rsidR="007D7BB4" w:rsidRDefault="007D7BB4" w:rsidP="007D7BB4">
      <w:r>
        <w:t xml:space="preserve">Mellom </w:t>
      </w:r>
      <w:r w:rsidRPr="002C6FCC">
        <w:rPr>
          <w:i/>
        </w:rPr>
        <w:t xml:space="preserve">YS og </w:t>
      </w:r>
      <w:r>
        <w:rPr>
          <w:i/>
        </w:rPr>
        <w:t>Virke</w:t>
      </w:r>
      <w:r>
        <w:t xml:space="preserve"> ble det på Funksjonæravtalene og på Kontoroverenskomsten ikke gitt generelle tillegg, men til </w:t>
      </w:r>
      <w:r>
        <w:rPr>
          <w:color w:val="000000"/>
        </w:rPr>
        <w:t xml:space="preserve">arbeidstakere på overenskomster med gjennomsnittslønn under 90 prosent av gjennomsnittlig industriarbeiderlønn i 2014 (388 013 kroner) </w:t>
      </w:r>
      <w:r>
        <w:t xml:space="preserve">ble det gitt et lønnstillegg på kr 1,75 per time fra 1. april. </w:t>
      </w:r>
      <w:r w:rsidRPr="00DC3585">
        <w:rPr>
          <w:rFonts w:ascii="Times New Roman" w:eastAsia="Times New Roman" w:hAnsi="Times New Roman"/>
          <w:szCs w:val="24"/>
        </w:rPr>
        <w:t xml:space="preserve">Ut over </w:t>
      </w:r>
      <w:r>
        <w:rPr>
          <w:rFonts w:ascii="Times New Roman" w:eastAsia="Times New Roman" w:hAnsi="Times New Roman"/>
          <w:szCs w:val="24"/>
        </w:rPr>
        <w:t>dette ble de laveste minstelønnssatsene, trinn</w:t>
      </w:r>
      <w:r w:rsidRPr="00DC3585">
        <w:rPr>
          <w:rFonts w:ascii="Times New Roman" w:eastAsia="Times New Roman" w:hAnsi="Times New Roman"/>
          <w:szCs w:val="24"/>
        </w:rPr>
        <w:t xml:space="preserve"> 1 – </w:t>
      </w:r>
      <w:r>
        <w:rPr>
          <w:rFonts w:ascii="Times New Roman" w:eastAsia="Times New Roman" w:hAnsi="Times New Roman"/>
          <w:szCs w:val="24"/>
        </w:rPr>
        <w:t>5,</w:t>
      </w:r>
      <w:r w:rsidRPr="00DC3585">
        <w:rPr>
          <w:rFonts w:ascii="Times New Roman" w:eastAsia="Times New Roman" w:hAnsi="Times New Roman"/>
          <w:szCs w:val="24"/>
        </w:rPr>
        <w:t xml:space="preserve"> </w:t>
      </w:r>
      <w:r>
        <w:rPr>
          <w:rFonts w:ascii="Times New Roman" w:eastAsia="Times New Roman" w:hAnsi="Times New Roman"/>
          <w:szCs w:val="24"/>
        </w:rPr>
        <w:t xml:space="preserve">økt </w:t>
      </w:r>
      <w:r w:rsidRPr="00DC3585">
        <w:rPr>
          <w:rFonts w:ascii="Times New Roman" w:eastAsia="Times New Roman" w:hAnsi="Times New Roman"/>
          <w:szCs w:val="24"/>
        </w:rPr>
        <w:t xml:space="preserve">med </w:t>
      </w:r>
      <w:r>
        <w:rPr>
          <w:rFonts w:ascii="Times New Roman" w:eastAsia="Times New Roman" w:hAnsi="Times New Roman"/>
          <w:szCs w:val="24"/>
        </w:rPr>
        <w:t xml:space="preserve">2,50 kroner per </w:t>
      </w:r>
      <w:r w:rsidRPr="00DC3585">
        <w:rPr>
          <w:rFonts w:ascii="Times New Roman" w:eastAsia="Times New Roman" w:hAnsi="Times New Roman"/>
          <w:szCs w:val="24"/>
        </w:rPr>
        <w:t>time</w:t>
      </w:r>
      <w:r>
        <w:rPr>
          <w:rFonts w:ascii="Times New Roman" w:eastAsia="Times New Roman" w:hAnsi="Times New Roman"/>
          <w:szCs w:val="24"/>
        </w:rPr>
        <w:t xml:space="preserve"> og den høyeste (trinn 6) med kr 0,50 per time.</w:t>
      </w:r>
      <w:r>
        <w:t xml:space="preserve"> For Grossistoverenskomsten (Parat/YTF) ble det ikke gitt tillegg fra 1. april. Også andre avtaler fulgte i stor grad modellen fra YS-NHO-oppgjøret. </w:t>
      </w:r>
    </w:p>
    <w:p w14:paraId="7D3AE131" w14:textId="77777777" w:rsidR="007D7BB4" w:rsidRDefault="007D7BB4" w:rsidP="007D7BB4">
      <w:r w:rsidRPr="003A6172">
        <w:t>Tillegget</w:t>
      </w:r>
      <w:r>
        <w:rPr>
          <w:i/>
        </w:rPr>
        <w:t xml:space="preserve"> </w:t>
      </w:r>
      <w:r w:rsidRPr="003A6172">
        <w:t>etter</w:t>
      </w:r>
      <w:r>
        <w:rPr>
          <w:i/>
        </w:rPr>
        <w:t xml:space="preserve"> g</w:t>
      </w:r>
      <w:r w:rsidRPr="005631DE">
        <w:rPr>
          <w:i/>
        </w:rPr>
        <w:t>arantiordningen</w:t>
      </w:r>
      <w:r w:rsidRPr="00BF774C">
        <w:t xml:space="preserve"> på Landsoverenskomsten mellom HK og </w:t>
      </w:r>
      <w:r>
        <w:t>Virke</w:t>
      </w:r>
      <w:r w:rsidRPr="00BF774C">
        <w:t xml:space="preserve"> </w:t>
      </w:r>
      <w:r>
        <w:t>ble benyttet til å øke minstelønnssatsen for trinn 6 med kr 404,- per måned eller kr 2,49 per time med virkning fra 1. februar 2015.</w:t>
      </w:r>
    </w:p>
    <w:p w14:paraId="56DE03C5" w14:textId="77777777" w:rsidR="007D7BB4" w:rsidRDefault="007D7BB4" w:rsidP="007D7BB4">
      <w:r>
        <w:t>Også innen YS-Virke-området ble det gitt samme tillegg fra 1. februar etter garantiordningen som i HK-Virke-området.</w:t>
      </w:r>
    </w:p>
    <w:p w14:paraId="1E4376DB" w14:textId="77777777" w:rsidR="007D7BB4" w:rsidRDefault="007D7BB4" w:rsidP="007D7BB4">
      <w:r>
        <w:t xml:space="preserve">På Grossistoverenskomsten ble partene LO/NTF og Virke i 2010 </w:t>
      </w:r>
      <w:r w:rsidRPr="000262CB">
        <w:t xml:space="preserve">enige om å gjøre endringer i de tekniske beregninger av </w:t>
      </w:r>
      <w:r w:rsidRPr="00367D6F">
        <w:rPr>
          <w:i/>
        </w:rPr>
        <w:t>lønnsgarantien</w:t>
      </w:r>
      <w:r w:rsidRPr="000262CB">
        <w:t xml:space="preserve">. Endringene </w:t>
      </w:r>
      <w:r>
        <w:t>skulle</w:t>
      </w:r>
      <w:r w:rsidRPr="000262CB">
        <w:t xml:space="preserve"> implementeres over fire år. Det nye beregningsgrunnlaget </w:t>
      </w:r>
      <w:r>
        <w:t xml:space="preserve">medførte </w:t>
      </w:r>
      <w:r w:rsidRPr="000262CB">
        <w:t xml:space="preserve">at tariffavtalens minstelønn </w:t>
      </w:r>
      <w:r>
        <w:t xml:space="preserve">for arbeidstakere over 18 år, ble </w:t>
      </w:r>
      <w:r w:rsidRPr="000262CB">
        <w:t>heve</w:t>
      </w:r>
      <w:r>
        <w:t>t</w:t>
      </w:r>
      <w:r w:rsidRPr="000262CB">
        <w:t xml:space="preserve"> med </w:t>
      </w:r>
      <w:r>
        <w:t>kr 8,72 til kr 195,26 per time fra 1. februar 2015. Tilsvarende endringer ble også gjennomført mellom Virke og YS.</w:t>
      </w:r>
    </w:p>
    <w:p w14:paraId="1D3384AE" w14:textId="77777777" w:rsidR="007D7BB4" w:rsidRPr="00FA227A" w:rsidRDefault="007D7BB4" w:rsidP="007D7BB4">
      <w:r w:rsidRPr="00FA227A">
        <w:t xml:space="preserve">I mellomoppgjøret i 2015 innenfor </w:t>
      </w:r>
      <w:r w:rsidRPr="00FA227A">
        <w:rPr>
          <w:i/>
        </w:rPr>
        <w:t>Virke-HUK</w:t>
      </w:r>
      <w:r w:rsidRPr="00FA227A">
        <w:rPr>
          <w:i/>
          <w:vertAlign w:val="superscript"/>
        </w:rPr>
        <w:footnoteReference w:id="12"/>
      </w:r>
      <w:r w:rsidRPr="00FA227A">
        <w:rPr>
          <w:i/>
        </w:rPr>
        <w:t xml:space="preserve"> -området</w:t>
      </w:r>
      <w:r w:rsidRPr="00FA227A">
        <w:t xml:space="preserve"> kom partene til enighet etter forhandlinger. ​Oppgjøret omfattet forhandlinger om sju tariffavtaler med mellom 35 000 og 40 000 arbeidstakere innen helse, utdanning og kultur med over 30 arbeidstakerorganisasjoner. Virke forhandlet parallelt med LO, YS, Unio og Akademikerne. Forhandlingsresultatet innebærer økonomiske tillegg i form av generelle tillegg</w:t>
      </w:r>
      <w:r>
        <w:t xml:space="preserve"> og</w:t>
      </w:r>
      <w:r w:rsidRPr="00FA227A">
        <w:t xml:space="preserve"> justering av minstelønn</w:t>
      </w:r>
      <w:r>
        <w:t>/innføring av garantilønnsbestemmelser</w:t>
      </w:r>
      <w:r w:rsidRPr="00FA227A">
        <w:t xml:space="preserve">. Tilleggene på de ulike overenskomstene fulgte resultatet i korresponderende områder. Forhandlingsresultatet ble godkjent av partene. </w:t>
      </w:r>
    </w:p>
    <w:p w14:paraId="5C75C7DF" w14:textId="77777777" w:rsidR="007D7BB4" w:rsidRPr="00C73514" w:rsidRDefault="007D7BB4" w:rsidP="007D7BB4">
      <w:pPr>
        <w:tabs>
          <w:tab w:val="num" w:pos="1440"/>
        </w:tabs>
        <w:rPr>
          <w:rFonts w:ascii="Times New Roman" w:hAnsi="Times New Roman"/>
        </w:rPr>
      </w:pPr>
      <w:r>
        <w:rPr>
          <w:rFonts w:ascii="Times New Roman" w:hAnsi="Times New Roman"/>
        </w:rPr>
        <w:t>Mellom LO</w:t>
      </w:r>
      <w:r w:rsidRPr="00C73514">
        <w:rPr>
          <w:rFonts w:ascii="Times New Roman" w:hAnsi="Times New Roman"/>
        </w:rPr>
        <w:t xml:space="preserve"> og Samfo (kooperasjonen) </w:t>
      </w:r>
      <w:r>
        <w:rPr>
          <w:rFonts w:ascii="Times New Roman" w:hAnsi="Times New Roman"/>
        </w:rPr>
        <w:t>ble det også en forhandlingsløsning som senere ble godtatt av partene. F</w:t>
      </w:r>
      <w:r w:rsidRPr="00C73514">
        <w:rPr>
          <w:rFonts w:ascii="Times New Roman" w:hAnsi="Times New Roman"/>
        </w:rPr>
        <w:t xml:space="preserve">or Landsoverenskomsten </w:t>
      </w:r>
      <w:r>
        <w:rPr>
          <w:rFonts w:ascii="Times New Roman" w:hAnsi="Times New Roman"/>
        </w:rPr>
        <w:t>(HK) ble det avtalt</w:t>
      </w:r>
      <w:r w:rsidRPr="00C73514">
        <w:rPr>
          <w:rFonts w:ascii="Times New Roman" w:hAnsi="Times New Roman"/>
        </w:rPr>
        <w:t xml:space="preserve"> samme tillegg som </w:t>
      </w:r>
      <w:r>
        <w:rPr>
          <w:rFonts w:ascii="Times New Roman" w:hAnsi="Times New Roman"/>
        </w:rPr>
        <w:t>for Landsoverenskomsten (HK) med Virke</w:t>
      </w:r>
      <w:r w:rsidRPr="00C73514">
        <w:rPr>
          <w:rFonts w:ascii="Times New Roman" w:hAnsi="Times New Roman"/>
        </w:rPr>
        <w:t xml:space="preserve">. Tillegget etter garantiordningen fra 1. februar </w:t>
      </w:r>
      <w:r>
        <w:rPr>
          <w:rFonts w:ascii="Times New Roman" w:hAnsi="Times New Roman"/>
        </w:rPr>
        <w:t xml:space="preserve">2015 </w:t>
      </w:r>
      <w:r w:rsidRPr="00C73514">
        <w:rPr>
          <w:rFonts w:ascii="Times New Roman" w:hAnsi="Times New Roman"/>
        </w:rPr>
        <w:t xml:space="preserve">var også det samme. </w:t>
      </w:r>
    </w:p>
    <w:p w14:paraId="2D81ACD9" w14:textId="77777777" w:rsidR="007D7BB4" w:rsidRDefault="007D7BB4" w:rsidP="007D7BB4">
      <w:pPr>
        <w:spacing w:after="0"/>
      </w:pPr>
      <w:r>
        <w:t xml:space="preserve">For ansatte i </w:t>
      </w:r>
      <w:r w:rsidRPr="00BD76C4">
        <w:rPr>
          <w:i/>
        </w:rPr>
        <w:t>forretnings- og sparebanker og forsikringsvirksomhet</w:t>
      </w:r>
      <w:r>
        <w:t xml:space="preserve"> ble det vedtatt forhandlingsresultat mellom </w:t>
      </w:r>
      <w:r w:rsidRPr="00BD76C4">
        <w:rPr>
          <w:bCs/>
        </w:rPr>
        <w:t xml:space="preserve">Finansforbundet og </w:t>
      </w:r>
      <w:r>
        <w:rPr>
          <w:bCs/>
        </w:rPr>
        <w:t xml:space="preserve">Finans Norge </w:t>
      </w:r>
      <w:r w:rsidRPr="00BD76C4">
        <w:rPr>
          <w:bCs/>
        </w:rPr>
        <w:t xml:space="preserve">og mellom </w:t>
      </w:r>
      <w:r w:rsidRPr="00BD76C4">
        <w:rPr>
          <w:bCs/>
          <w:color w:val="000000"/>
        </w:rPr>
        <w:t>LO/HK</w:t>
      </w:r>
      <w:r>
        <w:rPr>
          <w:bCs/>
          <w:color w:val="000000"/>
        </w:rPr>
        <w:t xml:space="preserve">/Postkom </w:t>
      </w:r>
      <w:r w:rsidRPr="00BD76C4">
        <w:rPr>
          <w:bCs/>
          <w:color w:val="000000"/>
        </w:rPr>
        <w:t xml:space="preserve">og </w:t>
      </w:r>
      <w:r>
        <w:rPr>
          <w:bCs/>
        </w:rPr>
        <w:t>Finans Norge. F</w:t>
      </w:r>
      <w:r w:rsidRPr="00F3297A">
        <w:rPr>
          <w:color w:val="000000"/>
        </w:rPr>
        <w:t>ra 1. mai 20</w:t>
      </w:r>
      <w:r>
        <w:rPr>
          <w:color w:val="000000"/>
        </w:rPr>
        <w:t>15 ble det på alle lønnstrinn på lønnsregulativet gitt et generelt tillegg på kr 3 100 per år.</w:t>
      </w:r>
      <w:r>
        <w:t xml:space="preserve"> </w:t>
      </w:r>
      <w:r>
        <w:br/>
      </w:r>
    </w:p>
    <w:p w14:paraId="62D0DDD1" w14:textId="77777777" w:rsidR="007D7BB4" w:rsidRDefault="007D7BB4" w:rsidP="007D7BB4">
      <w:pPr>
        <w:pStyle w:val="Overskrift2"/>
        <w:spacing w:before="240"/>
      </w:pPr>
      <w:bookmarkStart w:id="387" w:name="_Toc256681355"/>
      <w:bookmarkStart w:id="388" w:name="_Toc256684372"/>
      <w:bookmarkStart w:id="389" w:name="_Toc257118275"/>
      <w:bookmarkStart w:id="390" w:name="_Toc257201075"/>
      <w:bookmarkStart w:id="391" w:name="_Toc257462264"/>
      <w:bookmarkStart w:id="392" w:name="_Toc264463026"/>
      <w:bookmarkStart w:id="393" w:name="_Toc264645450"/>
      <w:bookmarkStart w:id="394" w:name="_Toc286073409"/>
      <w:bookmarkStart w:id="395" w:name="_Toc286074033"/>
      <w:bookmarkStart w:id="396" w:name="_Toc286075053"/>
      <w:bookmarkStart w:id="397" w:name="_Toc286075302"/>
      <w:bookmarkStart w:id="398" w:name="_Toc358202905"/>
      <w:bookmarkStart w:id="399" w:name="_Toc359263577"/>
      <w:bookmarkStart w:id="400" w:name="_Toc422226838"/>
      <w:bookmarkStart w:id="401" w:name="_Toc443829083"/>
      <w:bookmarkStart w:id="402" w:name="_Toc443843740"/>
      <w:bookmarkStart w:id="403" w:name="_Toc443844272"/>
      <w:bookmarkStart w:id="404" w:name="_Toc443999012"/>
      <w:r w:rsidRPr="005B54FA">
        <w:t>Oppgjørene i offentlig sektor</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01DA84BB" w14:textId="77777777" w:rsidR="007D7BB4" w:rsidRDefault="007D7BB4" w:rsidP="007D7BB4">
      <w:r w:rsidRPr="003F3680">
        <w:t xml:space="preserve">I det </w:t>
      </w:r>
      <w:r w:rsidRPr="003F3680">
        <w:rPr>
          <w:i/>
        </w:rPr>
        <w:t>statlige tariffområdet</w:t>
      </w:r>
      <w:r w:rsidRPr="003F3680">
        <w:t xml:space="preserve"> startet forhandlingene </w:t>
      </w:r>
      <w:r>
        <w:t>20</w:t>
      </w:r>
      <w:r w:rsidRPr="003F3680">
        <w:t xml:space="preserve">. april. Den </w:t>
      </w:r>
      <w:r>
        <w:t>30</w:t>
      </w:r>
      <w:r w:rsidRPr="003F3680">
        <w:t xml:space="preserve">. april </w:t>
      </w:r>
      <w:r>
        <w:t xml:space="preserve">kom </w:t>
      </w:r>
      <w:r w:rsidRPr="003F3680">
        <w:t>staten v/</w:t>
      </w:r>
      <w:r>
        <w:t>Kommunal- og moderniserings</w:t>
      </w:r>
      <w:r w:rsidRPr="003F3680">
        <w:t>departementet og LO Stat, YS Stat</w:t>
      </w:r>
      <w:r>
        <w:t>,</w:t>
      </w:r>
      <w:r w:rsidRPr="003F3680">
        <w:t xml:space="preserve"> Unio</w:t>
      </w:r>
      <w:r>
        <w:t xml:space="preserve"> og</w:t>
      </w:r>
      <w:r w:rsidRPr="003F3680">
        <w:t xml:space="preserve"> Akademikerne</w:t>
      </w:r>
      <w:r>
        <w:t xml:space="preserve"> til enighet i forhandlinger.</w:t>
      </w:r>
      <w:r w:rsidRPr="003F3680">
        <w:t xml:space="preserve"> </w:t>
      </w:r>
      <w:r>
        <w:t>Det ble enighet om et generelt tillegget fra 1. mai på 0,19 prosent på hovedlønnstabellen. Fra og med lønnstrinn 19 til og med lønnstrinn 39 var tillegget kr 700 per år. D</w:t>
      </w:r>
      <w:r w:rsidRPr="00C11FFA">
        <w:t xml:space="preserve">et </w:t>
      </w:r>
      <w:r>
        <w:t xml:space="preserve">ble ikke avsatt penger </w:t>
      </w:r>
      <w:r w:rsidRPr="00C11FFA">
        <w:t>til lokale forhandlinger</w:t>
      </w:r>
      <w:r>
        <w:t xml:space="preserve">. </w:t>
      </w:r>
      <w:r w:rsidRPr="00B20500">
        <w:rPr>
          <w:iCs/>
        </w:rPr>
        <w:t>Det k</w:t>
      </w:r>
      <w:r>
        <w:rPr>
          <w:iCs/>
        </w:rPr>
        <w:t>unne</w:t>
      </w:r>
      <w:r w:rsidRPr="00B20500">
        <w:rPr>
          <w:iCs/>
        </w:rPr>
        <w:t xml:space="preserve"> imidlertid føres lokale forhandlinger dersom arbeidsgiver lokalt </w:t>
      </w:r>
      <w:r>
        <w:rPr>
          <w:iCs/>
        </w:rPr>
        <w:t>avsatte</w:t>
      </w:r>
      <w:r w:rsidRPr="00B20500">
        <w:rPr>
          <w:iCs/>
        </w:rPr>
        <w:t xml:space="preserve"> økonomiske midler fra virksomheten iht. Hovedtariffavtalens pkt. 2.3.3, første ledd pkt. b.</w:t>
      </w:r>
      <w:r w:rsidRPr="00B20500">
        <w:t xml:space="preserve"> </w:t>
      </w:r>
      <w:r>
        <w:t>Med mindre partene lokalt ikke avtalte et annet tidspunkt, skulle eventuelle lokale tillegg gis med virkning fra 1. august 2015.</w:t>
      </w:r>
    </w:p>
    <w:p w14:paraId="37229954" w14:textId="77777777" w:rsidR="007D7BB4" w:rsidRDefault="007D7BB4" w:rsidP="007D7BB4">
      <w:r w:rsidRPr="009B5FE0">
        <w:rPr>
          <w:rFonts w:ascii="Times New Roman" w:hAnsi="Times New Roman"/>
          <w:szCs w:val="24"/>
        </w:rPr>
        <w:t xml:space="preserve">I det </w:t>
      </w:r>
      <w:r w:rsidRPr="009B5FE0">
        <w:rPr>
          <w:rFonts w:ascii="Times New Roman" w:hAnsi="Times New Roman"/>
          <w:bCs/>
          <w:i/>
          <w:szCs w:val="24"/>
        </w:rPr>
        <w:t>kommunale tariffområdet</w:t>
      </w:r>
      <w:r w:rsidRPr="009B5FE0">
        <w:rPr>
          <w:rFonts w:ascii="Times New Roman" w:hAnsi="Times New Roman"/>
          <w:szCs w:val="24"/>
        </w:rPr>
        <w:t xml:space="preserve"> startet forhandlingene i KS-området </w:t>
      </w:r>
      <w:r>
        <w:rPr>
          <w:rFonts w:ascii="Times New Roman" w:hAnsi="Times New Roman"/>
          <w:szCs w:val="24"/>
        </w:rPr>
        <w:t>23</w:t>
      </w:r>
      <w:r w:rsidRPr="009B5FE0">
        <w:rPr>
          <w:rFonts w:ascii="Times New Roman" w:hAnsi="Times New Roman"/>
          <w:szCs w:val="24"/>
        </w:rPr>
        <w:t>. april. Den 30. april kom KS og LO Kommune, Unio,</w:t>
      </w:r>
      <w:r w:rsidRPr="009B5FE0">
        <w:rPr>
          <w:rFonts w:ascii="Times New Roman" w:hAnsi="Times New Roman"/>
          <w:b/>
          <w:bCs/>
          <w:szCs w:val="24"/>
        </w:rPr>
        <w:t xml:space="preserve"> </w:t>
      </w:r>
      <w:r w:rsidRPr="009B5FE0">
        <w:rPr>
          <w:rFonts w:ascii="Times New Roman" w:hAnsi="Times New Roman"/>
          <w:szCs w:val="24"/>
        </w:rPr>
        <w:t xml:space="preserve">YS Kommune og Akademikerne til enighet </w:t>
      </w:r>
      <w:r>
        <w:rPr>
          <w:rFonts w:ascii="Times New Roman" w:hAnsi="Times New Roman"/>
          <w:szCs w:val="24"/>
        </w:rPr>
        <w:t xml:space="preserve">om at det ikke gis sentrale tillegg i 2015 utover de som ble avtalt i oppgjøret i 2014. </w:t>
      </w:r>
      <w:r>
        <w:t>I KS-området ble det for stillinger med hovedsakelig sentral lønnsdannelse i oppgjøret i 2014 avtalt lønnstillegg fra 1. mai 2015 på 1,4 prosent. Tilleggene varierte med ansiennitets- og kompetansekrav, jf. tabell 1.1. Videre skulle a</w:t>
      </w:r>
      <w:r>
        <w:rPr>
          <w:szCs w:val="24"/>
        </w:rPr>
        <w:t>rbeidstakere med minimum</w:t>
      </w:r>
      <w:r w:rsidRPr="007C629C">
        <w:rPr>
          <w:szCs w:val="24"/>
        </w:rPr>
        <w:t xml:space="preserve"> 20 års ansiennitet </w:t>
      </w:r>
      <w:r>
        <w:rPr>
          <w:szCs w:val="24"/>
        </w:rPr>
        <w:t>ikke ha lavere grunnlønn per 1. mai 2015 enn kr 377 400 i 100 prosent stilling. Dette utgjorde 0,2 prosent per 1. mai.</w:t>
      </w:r>
      <w:r>
        <w:t xml:space="preserve"> </w:t>
      </w:r>
      <w:r w:rsidRPr="00FF2B5D">
        <w:t xml:space="preserve">Det </w:t>
      </w:r>
      <w:r>
        <w:t xml:space="preserve">ble i 2014 avtalt å </w:t>
      </w:r>
      <w:r w:rsidRPr="00FF2B5D">
        <w:t>innfør</w:t>
      </w:r>
      <w:r>
        <w:t>e</w:t>
      </w:r>
      <w:r w:rsidRPr="00FF2B5D">
        <w:t xml:space="preserve"> et nytt lønnssystem fra 1. mai </w:t>
      </w:r>
      <w:r>
        <w:t xml:space="preserve">2015, se boks 1.2. </w:t>
      </w:r>
    </w:p>
    <w:p w14:paraId="4561097A" w14:textId="77777777" w:rsidR="007D7BB4" w:rsidRPr="00EE1F43" w:rsidRDefault="007D7BB4" w:rsidP="007D7BB4">
      <w:r>
        <w:t>Videre er p</w:t>
      </w:r>
      <w:r w:rsidRPr="00EE1F43">
        <w:t xml:space="preserve">artene enige om behovet for en god og felles offentlig tjenestepensjon og at nødvendige endringer må utredes nærmere. Blant annet er regelverket for yngre årskull ikke ferdig. Partene er på denne bakgrunn enige om å starte opp et arbeid med å avklare relevante pensjonsspørsmål i KS-området for å legge premisser for den varslede prosessen fra myndighetene. </w:t>
      </w:r>
    </w:p>
    <w:p w14:paraId="36B5759F" w14:textId="77777777" w:rsidR="007D7BB4" w:rsidRDefault="007D7BB4" w:rsidP="007D7BB4">
      <w:r w:rsidRPr="00C64926">
        <w:t xml:space="preserve">I </w:t>
      </w:r>
      <w:r w:rsidRPr="00C64926">
        <w:rPr>
          <w:i/>
        </w:rPr>
        <w:t>Oslo kommune</w:t>
      </w:r>
      <w:r w:rsidRPr="00C64926">
        <w:t xml:space="preserve"> </w:t>
      </w:r>
      <w:r>
        <w:t>kom</w:t>
      </w:r>
      <w:r w:rsidRPr="00C64926">
        <w:t xml:space="preserve"> partene </w:t>
      </w:r>
      <w:r>
        <w:t xml:space="preserve">30. april til enighet </w:t>
      </w:r>
      <w:r w:rsidRPr="00C64926">
        <w:t xml:space="preserve">om et </w:t>
      </w:r>
      <w:r>
        <w:t>forhandlingsresultat</w:t>
      </w:r>
      <w:r w:rsidRPr="00C64926">
        <w:t xml:space="preserve"> som ga </w:t>
      </w:r>
      <w:r>
        <w:t>et lønnstillegg fra 1. mai 2015 på 1,7 prosent eller minst kr 6 500 per år.</w:t>
      </w:r>
      <w:r w:rsidRPr="00C64926">
        <w:t xml:space="preserve"> </w:t>
      </w:r>
    </w:p>
    <w:p w14:paraId="6A6E289B" w14:textId="77777777" w:rsidR="007D7BB4" w:rsidRDefault="007D7BB4" w:rsidP="007D7BB4">
      <w:pPr>
        <w:spacing w:after="0"/>
        <w:rPr>
          <w:b/>
          <w:noProof/>
        </w:rPr>
      </w:pPr>
      <w:r>
        <w:rPr>
          <w:b/>
          <w:noProof/>
        </w:rPr>
        <mc:AlternateContent>
          <mc:Choice Requires="wps">
            <w:drawing>
              <wp:inline distT="0" distB="0" distL="0" distR="0" wp14:anchorId="21BD66D1" wp14:editId="7A1E1CEA">
                <wp:extent cx="5971540" cy="4967785"/>
                <wp:effectExtent l="0" t="0" r="10160" b="23495"/>
                <wp:docPr id="83" name="Tekstbok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4967785"/>
                        </a:xfrm>
                        <a:prstGeom prst="rect">
                          <a:avLst/>
                        </a:prstGeom>
                        <a:solidFill>
                          <a:srgbClr val="FFFFFF"/>
                        </a:solidFill>
                        <a:ln w="9525">
                          <a:solidFill>
                            <a:srgbClr val="000000"/>
                          </a:solidFill>
                          <a:miter lim="800000"/>
                          <a:headEnd/>
                          <a:tailEnd/>
                        </a:ln>
                      </wps:spPr>
                      <wps:txbx>
                        <w:txbxContent>
                          <w:p w14:paraId="54385899" w14:textId="77777777" w:rsidR="003D053D" w:rsidRDefault="003D053D" w:rsidP="007D7BB4">
                            <w:pPr>
                              <w:autoSpaceDE w:val="0"/>
                              <w:autoSpaceDN w:val="0"/>
                              <w:adjustRightInd w:val="0"/>
                              <w:jc w:val="center"/>
                              <w:rPr>
                                <w:rFonts w:ascii="Times New Roman" w:hAnsi="Times New Roman"/>
                                <w:b/>
                                <w:bCs/>
                                <w:szCs w:val="24"/>
                              </w:rPr>
                            </w:pPr>
                            <w:r>
                              <w:rPr>
                                <w:rFonts w:ascii="Times New Roman" w:hAnsi="Times New Roman"/>
                                <w:b/>
                                <w:bCs/>
                                <w:szCs w:val="24"/>
                              </w:rPr>
                              <w:t>Boks 1.2 Nytt lønnssystem i KS-området fra 1. mai 2015</w:t>
                            </w:r>
                          </w:p>
                          <w:p w14:paraId="10ABD454" w14:textId="77777777" w:rsidR="003D053D" w:rsidRPr="00280C86" w:rsidRDefault="003D053D" w:rsidP="007D7BB4">
                            <w:pPr>
                              <w:autoSpaceDE w:val="0"/>
                              <w:autoSpaceDN w:val="0"/>
                              <w:adjustRightInd w:val="0"/>
                              <w:rPr>
                                <w:szCs w:val="24"/>
                              </w:rPr>
                            </w:pPr>
                            <w:r w:rsidRPr="00280C86">
                              <w:rPr>
                                <w:rFonts w:ascii="Times New Roman" w:hAnsi="Times New Roman"/>
                                <w:szCs w:val="24"/>
                              </w:rPr>
                              <w:t>I hovedoppgjøret 2014 ble det blitt avtalt et nytt lønnssystem med virkning fra 1. mai 2015. Dette skal være et garantilønnssystem som skal forhindre at lokale lønnstillegg blir utlignet ved ansiennitetsopprykk. Det ble også lagt inn to nye ansiennitetstrinn ved 2 og 6 år.</w:t>
                            </w:r>
                          </w:p>
                          <w:p w14:paraId="2AFD5FD3" w14:textId="77777777" w:rsidR="003D053D" w:rsidRPr="00F746C6" w:rsidRDefault="003D053D" w:rsidP="008643D6">
                            <w:pPr>
                              <w:pStyle w:val="Listeavsnitt"/>
                              <w:numPr>
                                <w:ilvl w:val="0"/>
                                <w:numId w:val="33"/>
                              </w:numPr>
                              <w:autoSpaceDE w:val="0"/>
                              <w:autoSpaceDN w:val="0"/>
                              <w:adjustRightInd w:val="0"/>
                              <w:ind w:left="284" w:hanging="284"/>
                              <w:rPr>
                                <w:bCs/>
                                <w:i/>
                                <w:szCs w:val="24"/>
                              </w:rPr>
                            </w:pPr>
                            <w:r w:rsidRPr="00F746C6">
                              <w:rPr>
                                <w:bCs/>
                                <w:i/>
                                <w:szCs w:val="24"/>
                              </w:rPr>
                              <w:t xml:space="preserve">Prinsipper i nytt lønnssystem </w:t>
                            </w:r>
                          </w:p>
                          <w:p w14:paraId="5551FC2A"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I HTA kapittel 4 innføres pr. 1.5.2015 garantilønn og sentrale lønnstillegg ved hhv. 2, 4, 6, 8 og 10/16 års ansiennitet. </w:t>
                            </w:r>
                          </w:p>
                          <w:p w14:paraId="4543C148"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Garantilønn (0 år) og lønnstillegg for ansiennitet forhandles sentralt. Tilleggene fastsettes i prosent av garantilønn (0 år) og utregnes i kronebeløp. Laveste årslønn på hvert ansiennitetstrinn utregnes i kronebeløp. </w:t>
                            </w:r>
                          </w:p>
                          <w:p w14:paraId="535AC1D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Ansiennitetstillegget legges i sin helhet til den enkeltes årslønn. </w:t>
                            </w:r>
                          </w:p>
                          <w:p w14:paraId="5BCA66E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Laveste årslønn er lik garantilønn (0 år) pluss sum av prosentvise ansiennitetstillegg. </w:t>
                            </w:r>
                          </w:p>
                          <w:p w14:paraId="7ED9E4E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Dersom de sentrale parter i senere sentrale oppgjør endrer ansiennitetstillegg på et gitt ansiennitetstrinn, er arbeidstakere på dette ansiennitetstrinnet omfattet av endringen. </w:t>
                            </w:r>
                          </w:p>
                          <w:p w14:paraId="082EAAD1" w14:textId="77777777" w:rsidR="003D053D" w:rsidRPr="00F746C6" w:rsidRDefault="003D053D" w:rsidP="008643D6">
                            <w:pPr>
                              <w:pStyle w:val="Listeavsnitt"/>
                              <w:numPr>
                                <w:ilvl w:val="0"/>
                                <w:numId w:val="33"/>
                              </w:numPr>
                              <w:autoSpaceDE w:val="0"/>
                              <w:autoSpaceDN w:val="0"/>
                              <w:adjustRightInd w:val="0"/>
                              <w:ind w:left="284" w:hanging="284"/>
                              <w:rPr>
                                <w:bCs/>
                                <w:i/>
                                <w:szCs w:val="24"/>
                              </w:rPr>
                            </w:pPr>
                            <w:r w:rsidRPr="00F746C6">
                              <w:rPr>
                                <w:bCs/>
                                <w:i/>
                                <w:szCs w:val="24"/>
                              </w:rPr>
                              <w:t xml:space="preserve">Innføring av nytt lønnssystem </w:t>
                            </w:r>
                          </w:p>
                          <w:p w14:paraId="015BB905"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Ved iverksetting av sentrale lønnstillegg pr. 1.5.2015</w:t>
                            </w:r>
                            <w:r>
                              <w:rPr>
                                <w:rFonts w:ascii="Times New Roman" w:hAnsi="Times New Roman"/>
                                <w:szCs w:val="24"/>
                              </w:rPr>
                              <w:t>,</w:t>
                            </w:r>
                            <w:r w:rsidRPr="001455B6">
                              <w:rPr>
                                <w:rFonts w:ascii="Times New Roman" w:hAnsi="Times New Roman"/>
                                <w:szCs w:val="24"/>
                              </w:rPr>
                              <w:t xml:space="preserve"> jf. II pkt. 1, er arbeidstakere som er omfattet av lønnssystemet innfaset i det nye systemet. </w:t>
                            </w:r>
                          </w:p>
                          <w:p w14:paraId="36D5A4EC"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I ny årslønn pr. 1.5.2015 er ansiennitetstillegg i henhold til fastsatt ansiennitet på hhv. 2,4,6,8 eller 10/16 år inkludert. </w:t>
                            </w:r>
                          </w:p>
                          <w:p w14:paraId="3D24BCBD" w14:textId="77777777" w:rsidR="003D053D" w:rsidRPr="001455B6" w:rsidRDefault="003D053D" w:rsidP="007D7BB4">
                            <w:pPr>
                              <w:autoSpaceDE w:val="0"/>
                              <w:autoSpaceDN w:val="0"/>
                              <w:adjustRightInd w:val="0"/>
                              <w:rPr>
                                <w:rFonts w:ascii="Times New Roman" w:hAnsi="Times New Roman"/>
                                <w:b/>
                                <w:bCs/>
                                <w:szCs w:val="24"/>
                              </w:rPr>
                            </w:pPr>
                            <w:r w:rsidRPr="00AC00DC">
                              <w:rPr>
                                <w:rFonts w:ascii="Times New Roman" w:hAnsi="Times New Roman"/>
                                <w:bCs/>
                                <w:i/>
                                <w:szCs w:val="24"/>
                              </w:rPr>
                              <w:t>3.</w:t>
                            </w:r>
                            <w:r w:rsidRPr="001455B6">
                              <w:rPr>
                                <w:rFonts w:ascii="Times New Roman" w:hAnsi="Times New Roman"/>
                                <w:b/>
                                <w:bCs/>
                                <w:szCs w:val="24"/>
                              </w:rPr>
                              <w:t xml:space="preserve"> </w:t>
                            </w:r>
                            <w:r w:rsidRPr="00F746C6">
                              <w:rPr>
                                <w:rFonts w:ascii="Times New Roman" w:hAnsi="Times New Roman"/>
                                <w:bCs/>
                                <w:i/>
                                <w:szCs w:val="24"/>
                              </w:rPr>
                              <w:t>Virkninger ved fremtidige endringer i nytt lønnssystem</w:t>
                            </w:r>
                            <w:r w:rsidRPr="001455B6">
                              <w:rPr>
                                <w:rFonts w:ascii="Times New Roman" w:hAnsi="Times New Roman"/>
                                <w:b/>
                                <w:bCs/>
                                <w:szCs w:val="24"/>
                              </w:rPr>
                              <w:t xml:space="preserve"> </w:t>
                            </w:r>
                          </w:p>
                          <w:p w14:paraId="45697D25" w14:textId="77777777" w:rsidR="003D053D" w:rsidRPr="001455B6" w:rsidRDefault="003D053D" w:rsidP="007D7BB4">
                            <w:pPr>
                              <w:rPr>
                                <w:rFonts w:ascii="Times New Roman" w:hAnsi="Times New Roman"/>
                                <w:szCs w:val="24"/>
                              </w:rPr>
                            </w:pPr>
                            <w:r w:rsidRPr="001455B6">
                              <w:rPr>
                                <w:rFonts w:ascii="Times New Roman" w:hAnsi="Times New Roman"/>
                                <w:szCs w:val="24"/>
                              </w:rPr>
                              <w:t>Endret ansiennitetstillegg innebærer at utregnet laveste årslønn endres tilsvarende kun på dette ansiennitetstrinnet.</w:t>
                            </w:r>
                          </w:p>
                        </w:txbxContent>
                      </wps:txbx>
                      <wps:bodyPr rot="0" vert="horz" wrap="square" lIns="91440" tIns="45720" rIns="91440" bIns="45720" anchor="t" anchorCtr="0" upright="1">
                        <a:noAutofit/>
                      </wps:bodyPr>
                    </wps:wsp>
                  </a:graphicData>
                </a:graphic>
              </wp:inline>
            </w:drawing>
          </mc:Choice>
          <mc:Fallback>
            <w:pict>
              <v:shape w14:anchorId="21BD66D1" id="Tekstboks 83" o:spid="_x0000_s1032" type="#_x0000_t202" style="width:470.2pt;height:3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">
                <v:textbox>
                  <w:txbxContent>
                    <w:p w14:paraId="54385899" w14:textId="77777777" w:rsidR="003D053D" w:rsidRDefault="003D053D" w:rsidP="007D7BB4">
                      <w:pPr>
                        <w:autoSpaceDE w:val="0"/>
                        <w:autoSpaceDN w:val="0"/>
                        <w:adjustRightInd w:val="0"/>
                        <w:jc w:val="center"/>
                        <w:rPr>
                          <w:rFonts w:ascii="Times New Roman" w:hAnsi="Times New Roman"/>
                          <w:b/>
                          <w:bCs/>
                          <w:szCs w:val="24"/>
                        </w:rPr>
                      </w:pPr>
                      <w:r>
                        <w:rPr>
                          <w:rFonts w:ascii="Times New Roman" w:hAnsi="Times New Roman"/>
                          <w:b/>
                          <w:bCs/>
                          <w:szCs w:val="24"/>
                        </w:rPr>
                        <w:t>Boks 1.2 Nytt lønnssystem i KS-området fra 1. mai 2015</w:t>
                      </w:r>
                    </w:p>
                    <w:p w14:paraId="10ABD454" w14:textId="77777777" w:rsidR="003D053D" w:rsidRPr="00280C86" w:rsidRDefault="003D053D" w:rsidP="007D7BB4">
                      <w:pPr>
                        <w:autoSpaceDE w:val="0"/>
                        <w:autoSpaceDN w:val="0"/>
                        <w:adjustRightInd w:val="0"/>
                        <w:rPr>
                          <w:szCs w:val="24"/>
                        </w:rPr>
                      </w:pPr>
                      <w:r w:rsidRPr="00280C86">
                        <w:rPr>
                          <w:rFonts w:ascii="Times New Roman" w:hAnsi="Times New Roman"/>
                          <w:szCs w:val="24"/>
                        </w:rPr>
                        <w:t>I hovedoppgjøret 2014 ble det blitt avtalt et nytt lønnssystem med virkning fra 1. mai 2015. Dette skal være et garantilønnssystem som skal forhindre at lokale lønnstillegg blir utlignet ved ansiennitetsopprykk. Det ble også lagt inn to nye ansiennitetstrinn ved 2 og 6 år.</w:t>
                      </w:r>
                    </w:p>
                    <w:p w14:paraId="2AFD5FD3" w14:textId="77777777" w:rsidR="003D053D" w:rsidRPr="00F746C6" w:rsidRDefault="003D053D" w:rsidP="008643D6">
                      <w:pPr>
                        <w:pStyle w:val="Listeavsnitt"/>
                        <w:numPr>
                          <w:ilvl w:val="0"/>
                          <w:numId w:val="33"/>
                        </w:numPr>
                        <w:autoSpaceDE w:val="0"/>
                        <w:autoSpaceDN w:val="0"/>
                        <w:adjustRightInd w:val="0"/>
                        <w:ind w:left="284" w:hanging="284"/>
                        <w:rPr>
                          <w:bCs/>
                          <w:i/>
                          <w:szCs w:val="24"/>
                        </w:rPr>
                      </w:pPr>
                      <w:r w:rsidRPr="00F746C6">
                        <w:rPr>
                          <w:bCs/>
                          <w:i/>
                          <w:szCs w:val="24"/>
                        </w:rPr>
                        <w:t xml:space="preserve">Prinsipper i nytt lønnssystem </w:t>
                      </w:r>
                    </w:p>
                    <w:p w14:paraId="5551FC2A"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I HTA kapittel 4 innføres pr. 1.5.2015 garantilønn og sentrale lønnstillegg ved hhv. 2, 4, 6, 8 og 10/16 års ansiennitet. </w:t>
                      </w:r>
                    </w:p>
                    <w:p w14:paraId="4543C148"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Garantilønn (0 år) og lønnstillegg for ansiennitet forhandles sentralt. Tilleggene fastsettes i prosent av garantilønn (0 år) og utregnes i kronebeløp. Laveste årslønn på hvert ansiennitetstrinn utregnes i kronebeløp. </w:t>
                      </w:r>
                    </w:p>
                    <w:p w14:paraId="535AC1D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Ansiennitetstillegget legges i sin helhet til den enkeltes årslønn. </w:t>
                      </w:r>
                    </w:p>
                    <w:p w14:paraId="5BCA66E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Laveste årslønn er lik garantilønn (0 år) pluss sum av prosentvise ansiennitetstillegg. </w:t>
                      </w:r>
                    </w:p>
                    <w:p w14:paraId="7ED9E4E2"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Dersom de sentrale parter i senere sentrale oppgjør endrer ansiennitetstillegg på et gitt ansiennitetstrinn, er arbeidstakere på dette ansiennitetstrinnet omfattet av endringen. </w:t>
                      </w:r>
                    </w:p>
                    <w:p w14:paraId="082EAAD1" w14:textId="77777777" w:rsidR="003D053D" w:rsidRPr="00F746C6" w:rsidRDefault="003D053D" w:rsidP="008643D6">
                      <w:pPr>
                        <w:pStyle w:val="Listeavsnitt"/>
                        <w:numPr>
                          <w:ilvl w:val="0"/>
                          <w:numId w:val="33"/>
                        </w:numPr>
                        <w:autoSpaceDE w:val="0"/>
                        <w:autoSpaceDN w:val="0"/>
                        <w:adjustRightInd w:val="0"/>
                        <w:ind w:left="284" w:hanging="284"/>
                        <w:rPr>
                          <w:bCs/>
                          <w:i/>
                          <w:szCs w:val="24"/>
                        </w:rPr>
                      </w:pPr>
                      <w:r w:rsidRPr="00F746C6">
                        <w:rPr>
                          <w:bCs/>
                          <w:i/>
                          <w:szCs w:val="24"/>
                        </w:rPr>
                        <w:t xml:space="preserve">Innføring av nytt lønnssystem </w:t>
                      </w:r>
                    </w:p>
                    <w:p w14:paraId="015BB905"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Ved iverksetting av sentrale lønnstillegg pr. 1.5.2015</w:t>
                      </w:r>
                      <w:r>
                        <w:rPr>
                          <w:rFonts w:ascii="Times New Roman" w:hAnsi="Times New Roman"/>
                          <w:szCs w:val="24"/>
                        </w:rPr>
                        <w:t>,</w:t>
                      </w:r>
                      <w:r w:rsidRPr="001455B6">
                        <w:rPr>
                          <w:rFonts w:ascii="Times New Roman" w:hAnsi="Times New Roman"/>
                          <w:szCs w:val="24"/>
                        </w:rPr>
                        <w:t xml:space="preserve"> jf. II pkt. 1, er arbeidstakere som er omfattet av lønnssystemet innfaset i det nye systemet. </w:t>
                      </w:r>
                    </w:p>
                    <w:p w14:paraId="36D5A4EC" w14:textId="77777777" w:rsidR="003D053D" w:rsidRPr="001455B6" w:rsidRDefault="003D053D" w:rsidP="007D7BB4">
                      <w:pPr>
                        <w:autoSpaceDE w:val="0"/>
                        <w:autoSpaceDN w:val="0"/>
                        <w:adjustRightInd w:val="0"/>
                        <w:rPr>
                          <w:rFonts w:ascii="Times New Roman" w:hAnsi="Times New Roman"/>
                          <w:szCs w:val="24"/>
                        </w:rPr>
                      </w:pPr>
                      <w:r w:rsidRPr="001455B6">
                        <w:rPr>
                          <w:rFonts w:ascii="Times New Roman" w:hAnsi="Times New Roman"/>
                          <w:szCs w:val="24"/>
                        </w:rPr>
                        <w:t xml:space="preserve">I ny årslønn pr. 1.5.2015 er ansiennitetstillegg i henhold til fastsatt ansiennitet på hhv. 2,4,6,8 eller 10/16 år inkludert. </w:t>
                      </w:r>
                    </w:p>
                    <w:p w14:paraId="3D24BCBD" w14:textId="77777777" w:rsidR="003D053D" w:rsidRPr="001455B6" w:rsidRDefault="003D053D" w:rsidP="007D7BB4">
                      <w:pPr>
                        <w:autoSpaceDE w:val="0"/>
                        <w:autoSpaceDN w:val="0"/>
                        <w:adjustRightInd w:val="0"/>
                        <w:rPr>
                          <w:rFonts w:ascii="Times New Roman" w:hAnsi="Times New Roman"/>
                          <w:b/>
                          <w:bCs/>
                          <w:szCs w:val="24"/>
                        </w:rPr>
                      </w:pPr>
                      <w:r w:rsidRPr="00AC00DC">
                        <w:rPr>
                          <w:rFonts w:ascii="Times New Roman" w:hAnsi="Times New Roman"/>
                          <w:bCs/>
                          <w:i/>
                          <w:szCs w:val="24"/>
                        </w:rPr>
                        <w:t>3.</w:t>
                      </w:r>
                      <w:r w:rsidRPr="001455B6">
                        <w:rPr>
                          <w:rFonts w:ascii="Times New Roman" w:hAnsi="Times New Roman"/>
                          <w:b/>
                          <w:bCs/>
                          <w:szCs w:val="24"/>
                        </w:rPr>
                        <w:t xml:space="preserve"> </w:t>
                      </w:r>
                      <w:r w:rsidRPr="00F746C6">
                        <w:rPr>
                          <w:rFonts w:ascii="Times New Roman" w:hAnsi="Times New Roman"/>
                          <w:bCs/>
                          <w:i/>
                          <w:szCs w:val="24"/>
                        </w:rPr>
                        <w:t>Virkninger ved fremtidige endringer i nytt lønnssystem</w:t>
                      </w:r>
                      <w:r w:rsidRPr="001455B6">
                        <w:rPr>
                          <w:rFonts w:ascii="Times New Roman" w:hAnsi="Times New Roman"/>
                          <w:b/>
                          <w:bCs/>
                          <w:szCs w:val="24"/>
                        </w:rPr>
                        <w:t xml:space="preserve"> </w:t>
                      </w:r>
                    </w:p>
                    <w:p w14:paraId="45697D25" w14:textId="77777777" w:rsidR="003D053D" w:rsidRPr="001455B6" w:rsidRDefault="003D053D" w:rsidP="007D7BB4">
                      <w:pPr>
                        <w:rPr>
                          <w:rFonts w:ascii="Times New Roman" w:hAnsi="Times New Roman"/>
                          <w:szCs w:val="24"/>
                        </w:rPr>
                      </w:pPr>
                      <w:r w:rsidRPr="001455B6">
                        <w:rPr>
                          <w:rFonts w:ascii="Times New Roman" w:hAnsi="Times New Roman"/>
                          <w:szCs w:val="24"/>
                        </w:rPr>
                        <w:t>Endret ansiennitetstillegg innebærer at utregnet laveste årslønn endres tilsvarende kun på dette ansiennitetstrinnet.</w:t>
                      </w:r>
                    </w:p>
                  </w:txbxContent>
                </v:textbox>
                <w10:anchorlock/>
              </v:shape>
            </w:pict>
          </mc:Fallback>
        </mc:AlternateContent>
      </w:r>
    </w:p>
    <w:p w14:paraId="0FA3BE8A" w14:textId="77777777" w:rsidR="007D7BB4" w:rsidRDefault="007D7BB4" w:rsidP="007D7BB4"/>
    <w:p w14:paraId="17D16464" w14:textId="77777777" w:rsidR="007D7BB4" w:rsidRDefault="007D7BB4" w:rsidP="007D7BB4"/>
    <w:p w14:paraId="570502E7" w14:textId="77777777" w:rsidR="007D7BB4" w:rsidRDefault="007D7BB4" w:rsidP="007D7BB4">
      <w:r>
        <w:t>For</w:t>
      </w:r>
      <w:r w:rsidRPr="00C42039">
        <w:t xml:space="preserve"> ansatte med stilling i hovedtariffavtalen (HTA) kapittel 4 </w:t>
      </w:r>
      <w:r>
        <w:t>ble</w:t>
      </w:r>
      <w:r w:rsidRPr="00C42039">
        <w:t xml:space="preserve"> sentrale lønnstillegg </w:t>
      </w:r>
      <w:r>
        <w:t>per 1.5.2015 gitt slik:</w:t>
      </w:r>
    </w:p>
    <w:p w14:paraId="764D490F" w14:textId="77777777" w:rsidR="007D7BB4" w:rsidRPr="00414EA8" w:rsidRDefault="007D7BB4" w:rsidP="007D7BB4">
      <w:pPr>
        <w:rPr>
          <w:rFonts w:ascii="Arial" w:hAnsi="Arial" w:cs="Arial"/>
        </w:rPr>
      </w:pPr>
      <w:r w:rsidRPr="00414EA8">
        <w:rPr>
          <w:rFonts w:ascii="Arial" w:hAnsi="Arial" w:cs="Arial"/>
        </w:rPr>
        <w:t xml:space="preserve">Tabell 1.1 Sentrale lønnstillegg per 1.5.2015 etter nytt lønnssystem i KS-området </w:t>
      </w:r>
    </w:p>
    <w:tbl>
      <w:tblPr>
        <w:tblW w:w="5152" w:type="pct"/>
        <w:tblLook w:val="0000" w:firstRow="0" w:lastRow="0" w:firstColumn="0" w:lastColumn="0" w:noHBand="0" w:noVBand="0"/>
      </w:tblPr>
      <w:tblGrid>
        <w:gridCol w:w="2639"/>
        <w:gridCol w:w="767"/>
        <w:gridCol w:w="993"/>
        <w:gridCol w:w="17"/>
        <w:gridCol w:w="1016"/>
        <w:gridCol w:w="1012"/>
        <w:gridCol w:w="1022"/>
        <w:gridCol w:w="1029"/>
        <w:gridCol w:w="999"/>
      </w:tblGrid>
      <w:tr w:rsidR="007D7BB4" w:rsidRPr="00F22728" w14:paraId="4945E52E" w14:textId="77777777" w:rsidTr="008D32BA">
        <w:trPr>
          <w:trHeight w:val="440"/>
        </w:trPr>
        <w:tc>
          <w:tcPr>
            <w:tcW w:w="1390" w:type="pct"/>
            <w:tcBorders>
              <w:top w:val="single" w:sz="4" w:space="0" w:color="auto"/>
              <w:bottom w:val="single" w:sz="4" w:space="0" w:color="auto"/>
            </w:tcBorders>
            <w:vAlign w:val="center"/>
          </w:tcPr>
          <w:p w14:paraId="0DF8A8EE"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p>
        </w:tc>
        <w:tc>
          <w:tcPr>
            <w:tcW w:w="404" w:type="pct"/>
            <w:tcBorders>
              <w:top w:val="single" w:sz="4" w:space="0" w:color="auto"/>
              <w:bottom w:val="single" w:sz="4" w:space="0" w:color="auto"/>
            </w:tcBorders>
            <w:vAlign w:val="center"/>
          </w:tcPr>
          <w:p w14:paraId="17757C4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0 år</w:t>
            </w:r>
          </w:p>
        </w:tc>
        <w:tc>
          <w:tcPr>
            <w:tcW w:w="523" w:type="pct"/>
            <w:tcBorders>
              <w:top w:val="single" w:sz="4" w:space="0" w:color="auto"/>
              <w:bottom w:val="single" w:sz="4" w:space="0" w:color="auto"/>
            </w:tcBorders>
            <w:vAlign w:val="center"/>
          </w:tcPr>
          <w:p w14:paraId="112D135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iCs/>
                <w:color w:val="000000"/>
                <w:sz w:val="20"/>
              </w:rPr>
              <w:t xml:space="preserve">2 år </w:t>
            </w:r>
          </w:p>
        </w:tc>
        <w:tc>
          <w:tcPr>
            <w:tcW w:w="544" w:type="pct"/>
            <w:gridSpan w:val="2"/>
            <w:tcBorders>
              <w:top w:val="single" w:sz="4" w:space="0" w:color="auto"/>
              <w:bottom w:val="single" w:sz="4" w:space="0" w:color="auto"/>
            </w:tcBorders>
            <w:vAlign w:val="center"/>
          </w:tcPr>
          <w:p w14:paraId="094B09BC"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4 år </w:t>
            </w:r>
          </w:p>
        </w:tc>
        <w:tc>
          <w:tcPr>
            <w:tcW w:w="527" w:type="pct"/>
            <w:tcBorders>
              <w:top w:val="single" w:sz="4" w:space="0" w:color="auto"/>
              <w:bottom w:val="single" w:sz="4" w:space="0" w:color="auto"/>
            </w:tcBorders>
            <w:vAlign w:val="center"/>
          </w:tcPr>
          <w:p w14:paraId="1EC115B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iCs/>
                <w:color w:val="000000"/>
                <w:sz w:val="20"/>
              </w:rPr>
              <w:t xml:space="preserve">6 år </w:t>
            </w:r>
          </w:p>
        </w:tc>
        <w:tc>
          <w:tcPr>
            <w:tcW w:w="538" w:type="pct"/>
            <w:tcBorders>
              <w:top w:val="single" w:sz="4" w:space="0" w:color="auto"/>
              <w:bottom w:val="single" w:sz="4" w:space="0" w:color="auto"/>
            </w:tcBorders>
            <w:vAlign w:val="center"/>
          </w:tcPr>
          <w:p w14:paraId="706ACB9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8 år </w:t>
            </w:r>
          </w:p>
        </w:tc>
        <w:tc>
          <w:tcPr>
            <w:tcW w:w="542" w:type="pct"/>
            <w:tcBorders>
              <w:top w:val="single" w:sz="4" w:space="0" w:color="auto"/>
              <w:bottom w:val="single" w:sz="4" w:space="0" w:color="auto"/>
            </w:tcBorders>
            <w:vAlign w:val="center"/>
          </w:tcPr>
          <w:p w14:paraId="4C11765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10 år </w:t>
            </w:r>
          </w:p>
        </w:tc>
        <w:tc>
          <w:tcPr>
            <w:tcW w:w="533" w:type="pct"/>
            <w:tcBorders>
              <w:top w:val="single" w:sz="4" w:space="0" w:color="auto"/>
              <w:bottom w:val="single" w:sz="4" w:space="0" w:color="auto"/>
            </w:tcBorders>
            <w:vAlign w:val="center"/>
          </w:tcPr>
          <w:p w14:paraId="54F4AAB6" w14:textId="77777777" w:rsidR="007D7BB4" w:rsidRPr="00F22728" w:rsidRDefault="007D7BB4" w:rsidP="008D32BA">
            <w:pPr>
              <w:autoSpaceDE w:val="0"/>
              <w:autoSpaceDN w:val="0"/>
              <w:adjustRightInd w:val="0"/>
              <w:spacing w:after="0"/>
              <w:jc w:val="right"/>
              <w:rPr>
                <w:rFonts w:ascii="Times New Roman" w:eastAsia="Times New Roman" w:hAnsi="Times New Roman"/>
                <w:bCs/>
                <w:color w:val="000000"/>
                <w:sz w:val="20"/>
              </w:rPr>
            </w:pPr>
          </w:p>
        </w:tc>
      </w:tr>
      <w:tr w:rsidR="007D7BB4" w:rsidRPr="00F22728" w14:paraId="339979C0" w14:textId="77777777" w:rsidTr="008D32BA">
        <w:trPr>
          <w:trHeight w:val="443"/>
        </w:trPr>
        <w:tc>
          <w:tcPr>
            <w:tcW w:w="1390" w:type="pct"/>
            <w:vAlign w:val="center"/>
          </w:tcPr>
          <w:p w14:paraId="1975E01E"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bCs/>
                <w:i/>
                <w:color w:val="000000"/>
                <w:sz w:val="20"/>
              </w:rPr>
              <w:t>Stillingsgruppe</w:t>
            </w:r>
          </w:p>
        </w:tc>
        <w:tc>
          <w:tcPr>
            <w:tcW w:w="404" w:type="pct"/>
            <w:vAlign w:val="center"/>
          </w:tcPr>
          <w:p w14:paraId="5A23A08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32" w:type="pct"/>
            <w:gridSpan w:val="2"/>
            <w:vAlign w:val="center"/>
          </w:tcPr>
          <w:p w14:paraId="23D2861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35" w:type="pct"/>
            <w:vAlign w:val="center"/>
          </w:tcPr>
          <w:p w14:paraId="5E6F879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33" w:type="pct"/>
            <w:vAlign w:val="center"/>
          </w:tcPr>
          <w:p w14:paraId="77B14DC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32" w:type="pct"/>
            <w:vAlign w:val="center"/>
          </w:tcPr>
          <w:p w14:paraId="68026FD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42" w:type="pct"/>
            <w:vAlign w:val="center"/>
          </w:tcPr>
          <w:p w14:paraId="40885D32"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c>
          <w:tcPr>
            <w:tcW w:w="533" w:type="pct"/>
            <w:vAlign w:val="center"/>
          </w:tcPr>
          <w:p w14:paraId="4A6C30D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253B238B" w14:textId="77777777" w:rsidTr="008D32BA">
        <w:trPr>
          <w:trHeight w:val="283"/>
        </w:trPr>
        <w:tc>
          <w:tcPr>
            <w:tcW w:w="1390" w:type="pct"/>
            <w:vAlign w:val="bottom"/>
          </w:tcPr>
          <w:p w14:paraId="21E07A97"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Stillinger uten særskilt krav om utdanning </w:t>
            </w:r>
          </w:p>
        </w:tc>
        <w:tc>
          <w:tcPr>
            <w:tcW w:w="404" w:type="pct"/>
            <w:vAlign w:val="bottom"/>
          </w:tcPr>
          <w:p w14:paraId="3BCBC36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1 000 </w:t>
            </w:r>
          </w:p>
        </w:tc>
        <w:tc>
          <w:tcPr>
            <w:tcW w:w="532" w:type="pct"/>
            <w:gridSpan w:val="2"/>
            <w:vAlign w:val="bottom"/>
          </w:tcPr>
          <w:p w14:paraId="13142A6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6 500 </w:t>
            </w:r>
          </w:p>
        </w:tc>
        <w:tc>
          <w:tcPr>
            <w:tcW w:w="535" w:type="pct"/>
            <w:vAlign w:val="bottom"/>
          </w:tcPr>
          <w:p w14:paraId="07AA6431"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4 200 </w:t>
            </w:r>
          </w:p>
        </w:tc>
        <w:tc>
          <w:tcPr>
            <w:tcW w:w="533" w:type="pct"/>
            <w:vAlign w:val="bottom"/>
          </w:tcPr>
          <w:p w14:paraId="2ED271EF"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7 200 </w:t>
            </w:r>
          </w:p>
        </w:tc>
        <w:tc>
          <w:tcPr>
            <w:tcW w:w="532" w:type="pct"/>
            <w:vAlign w:val="bottom"/>
          </w:tcPr>
          <w:p w14:paraId="5A69B84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300 </w:t>
            </w:r>
          </w:p>
        </w:tc>
        <w:tc>
          <w:tcPr>
            <w:tcW w:w="542" w:type="pct"/>
            <w:vAlign w:val="bottom"/>
          </w:tcPr>
          <w:p w14:paraId="24CEC566"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500 </w:t>
            </w:r>
          </w:p>
        </w:tc>
        <w:tc>
          <w:tcPr>
            <w:tcW w:w="533" w:type="pct"/>
            <w:vAlign w:val="bottom"/>
          </w:tcPr>
          <w:p w14:paraId="2B77927A"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5067A4EE" w14:textId="77777777" w:rsidTr="008D32BA">
        <w:trPr>
          <w:trHeight w:val="282"/>
        </w:trPr>
        <w:tc>
          <w:tcPr>
            <w:tcW w:w="1390" w:type="pct"/>
            <w:vAlign w:val="bottom"/>
          </w:tcPr>
          <w:p w14:paraId="68CF6170"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Fagarbeiderstillinger/ tilsvarende fagarbeiderstillinger </w:t>
            </w:r>
          </w:p>
        </w:tc>
        <w:tc>
          <w:tcPr>
            <w:tcW w:w="404" w:type="pct"/>
            <w:vAlign w:val="bottom"/>
          </w:tcPr>
          <w:p w14:paraId="76D9ECA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2 700 </w:t>
            </w:r>
          </w:p>
        </w:tc>
        <w:tc>
          <w:tcPr>
            <w:tcW w:w="532" w:type="pct"/>
            <w:gridSpan w:val="2"/>
            <w:vAlign w:val="bottom"/>
          </w:tcPr>
          <w:p w14:paraId="21581916"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9 100 </w:t>
            </w:r>
          </w:p>
        </w:tc>
        <w:tc>
          <w:tcPr>
            <w:tcW w:w="535" w:type="pct"/>
            <w:vAlign w:val="bottom"/>
          </w:tcPr>
          <w:p w14:paraId="4BC71BCF"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10 000 </w:t>
            </w:r>
          </w:p>
        </w:tc>
        <w:tc>
          <w:tcPr>
            <w:tcW w:w="533" w:type="pct"/>
            <w:vAlign w:val="bottom"/>
          </w:tcPr>
          <w:p w14:paraId="3082C49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13 500 </w:t>
            </w:r>
          </w:p>
        </w:tc>
        <w:tc>
          <w:tcPr>
            <w:tcW w:w="532" w:type="pct"/>
            <w:vAlign w:val="bottom"/>
          </w:tcPr>
          <w:p w14:paraId="23BCC061"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16 000 </w:t>
            </w:r>
          </w:p>
        </w:tc>
        <w:tc>
          <w:tcPr>
            <w:tcW w:w="542" w:type="pct"/>
            <w:vAlign w:val="bottom"/>
          </w:tcPr>
          <w:p w14:paraId="1B2D15D1"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6 800 </w:t>
            </w:r>
          </w:p>
        </w:tc>
        <w:tc>
          <w:tcPr>
            <w:tcW w:w="533" w:type="pct"/>
            <w:vAlign w:val="bottom"/>
          </w:tcPr>
          <w:p w14:paraId="2BAABED4"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1B20A816" w14:textId="77777777" w:rsidTr="008D32BA">
        <w:trPr>
          <w:trHeight w:val="281"/>
        </w:trPr>
        <w:tc>
          <w:tcPr>
            <w:tcW w:w="1390" w:type="pct"/>
            <w:vAlign w:val="bottom"/>
          </w:tcPr>
          <w:p w14:paraId="332F171A"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Stillinger med krav om høyskoleutdanning </w:t>
            </w:r>
          </w:p>
        </w:tc>
        <w:tc>
          <w:tcPr>
            <w:tcW w:w="404" w:type="pct"/>
            <w:vAlign w:val="bottom"/>
          </w:tcPr>
          <w:p w14:paraId="309615B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3 000 </w:t>
            </w:r>
          </w:p>
        </w:tc>
        <w:tc>
          <w:tcPr>
            <w:tcW w:w="532" w:type="pct"/>
            <w:gridSpan w:val="2"/>
            <w:vAlign w:val="bottom"/>
          </w:tcPr>
          <w:p w14:paraId="08CBDC1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10 400 </w:t>
            </w:r>
          </w:p>
        </w:tc>
        <w:tc>
          <w:tcPr>
            <w:tcW w:w="535" w:type="pct"/>
            <w:vAlign w:val="bottom"/>
          </w:tcPr>
          <w:p w14:paraId="0FC6D9DD"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9 400 </w:t>
            </w:r>
          </w:p>
        </w:tc>
        <w:tc>
          <w:tcPr>
            <w:tcW w:w="533" w:type="pct"/>
            <w:vAlign w:val="bottom"/>
          </w:tcPr>
          <w:p w14:paraId="5AA0AAA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13 100 </w:t>
            </w:r>
          </w:p>
        </w:tc>
        <w:tc>
          <w:tcPr>
            <w:tcW w:w="532" w:type="pct"/>
            <w:vAlign w:val="bottom"/>
          </w:tcPr>
          <w:p w14:paraId="60BFD1C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16 100 </w:t>
            </w:r>
          </w:p>
        </w:tc>
        <w:tc>
          <w:tcPr>
            <w:tcW w:w="542" w:type="pct"/>
            <w:vAlign w:val="bottom"/>
          </w:tcPr>
          <w:p w14:paraId="39DFF54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6 900 </w:t>
            </w:r>
          </w:p>
        </w:tc>
        <w:tc>
          <w:tcPr>
            <w:tcW w:w="533" w:type="pct"/>
            <w:vAlign w:val="bottom"/>
          </w:tcPr>
          <w:p w14:paraId="5FD21FF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31CB8F95" w14:textId="77777777" w:rsidTr="008D32BA">
        <w:trPr>
          <w:trHeight w:val="478"/>
        </w:trPr>
        <w:tc>
          <w:tcPr>
            <w:tcW w:w="1390" w:type="pct"/>
            <w:vAlign w:val="bottom"/>
          </w:tcPr>
          <w:p w14:paraId="4EDD22AB"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Stillinger med krav om høyskoleutdanning med ytterligere spesialutdanning </w:t>
            </w:r>
          </w:p>
        </w:tc>
        <w:tc>
          <w:tcPr>
            <w:tcW w:w="404" w:type="pct"/>
            <w:vAlign w:val="bottom"/>
          </w:tcPr>
          <w:p w14:paraId="1487C95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2 500 </w:t>
            </w:r>
          </w:p>
        </w:tc>
        <w:tc>
          <w:tcPr>
            <w:tcW w:w="532" w:type="pct"/>
            <w:gridSpan w:val="2"/>
            <w:vAlign w:val="bottom"/>
          </w:tcPr>
          <w:p w14:paraId="3843286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10 300 </w:t>
            </w:r>
          </w:p>
        </w:tc>
        <w:tc>
          <w:tcPr>
            <w:tcW w:w="535" w:type="pct"/>
            <w:vAlign w:val="bottom"/>
          </w:tcPr>
          <w:p w14:paraId="0371DA8D"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9 600 </w:t>
            </w:r>
          </w:p>
        </w:tc>
        <w:tc>
          <w:tcPr>
            <w:tcW w:w="533" w:type="pct"/>
            <w:vAlign w:val="bottom"/>
          </w:tcPr>
          <w:p w14:paraId="41DA129D"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13 900 </w:t>
            </w:r>
          </w:p>
        </w:tc>
        <w:tc>
          <w:tcPr>
            <w:tcW w:w="532" w:type="pct"/>
            <w:vAlign w:val="bottom"/>
          </w:tcPr>
          <w:p w14:paraId="6608DE22"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16 300 </w:t>
            </w:r>
          </w:p>
        </w:tc>
        <w:tc>
          <w:tcPr>
            <w:tcW w:w="542" w:type="pct"/>
            <w:vAlign w:val="bottom"/>
          </w:tcPr>
          <w:p w14:paraId="7D3EBB0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12 400 </w:t>
            </w:r>
          </w:p>
        </w:tc>
        <w:tc>
          <w:tcPr>
            <w:tcW w:w="533" w:type="pct"/>
            <w:vAlign w:val="bottom"/>
          </w:tcPr>
          <w:p w14:paraId="6A9A055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09BD3F25" w14:textId="77777777" w:rsidTr="008D32BA">
        <w:trPr>
          <w:trHeight w:val="183"/>
        </w:trPr>
        <w:tc>
          <w:tcPr>
            <w:tcW w:w="1390" w:type="pct"/>
            <w:tcBorders>
              <w:bottom w:val="single" w:sz="4" w:space="0" w:color="auto"/>
            </w:tcBorders>
            <w:vAlign w:val="bottom"/>
          </w:tcPr>
          <w:p w14:paraId="69500AB6"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Stillinger med krav om mastergrad </w:t>
            </w:r>
          </w:p>
        </w:tc>
        <w:tc>
          <w:tcPr>
            <w:tcW w:w="404" w:type="pct"/>
            <w:tcBorders>
              <w:bottom w:val="single" w:sz="4" w:space="0" w:color="auto"/>
            </w:tcBorders>
            <w:vAlign w:val="bottom"/>
          </w:tcPr>
          <w:p w14:paraId="3EB7E22D"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4 500 </w:t>
            </w:r>
          </w:p>
        </w:tc>
        <w:tc>
          <w:tcPr>
            <w:tcW w:w="532" w:type="pct"/>
            <w:gridSpan w:val="2"/>
            <w:tcBorders>
              <w:bottom w:val="single" w:sz="4" w:space="0" w:color="auto"/>
            </w:tcBorders>
            <w:vAlign w:val="bottom"/>
          </w:tcPr>
          <w:p w14:paraId="2F6CAE11"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12 900 </w:t>
            </w:r>
          </w:p>
        </w:tc>
        <w:tc>
          <w:tcPr>
            <w:tcW w:w="535" w:type="pct"/>
            <w:tcBorders>
              <w:bottom w:val="single" w:sz="4" w:space="0" w:color="auto"/>
            </w:tcBorders>
            <w:vAlign w:val="bottom"/>
          </w:tcPr>
          <w:p w14:paraId="775E943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6 800 </w:t>
            </w:r>
          </w:p>
        </w:tc>
        <w:tc>
          <w:tcPr>
            <w:tcW w:w="533" w:type="pct"/>
            <w:tcBorders>
              <w:bottom w:val="single" w:sz="4" w:space="0" w:color="auto"/>
            </w:tcBorders>
            <w:vAlign w:val="bottom"/>
          </w:tcPr>
          <w:p w14:paraId="02692494"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15 200 </w:t>
            </w:r>
          </w:p>
        </w:tc>
        <w:tc>
          <w:tcPr>
            <w:tcW w:w="532" w:type="pct"/>
            <w:tcBorders>
              <w:bottom w:val="single" w:sz="4" w:space="0" w:color="auto"/>
            </w:tcBorders>
            <w:vAlign w:val="bottom"/>
          </w:tcPr>
          <w:p w14:paraId="16ACFB8A"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8 400 </w:t>
            </w:r>
          </w:p>
        </w:tc>
        <w:tc>
          <w:tcPr>
            <w:tcW w:w="542" w:type="pct"/>
            <w:tcBorders>
              <w:bottom w:val="single" w:sz="4" w:space="0" w:color="auto"/>
            </w:tcBorders>
            <w:vAlign w:val="bottom"/>
          </w:tcPr>
          <w:p w14:paraId="053A925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8 700 </w:t>
            </w:r>
          </w:p>
        </w:tc>
        <w:tc>
          <w:tcPr>
            <w:tcW w:w="533" w:type="pct"/>
            <w:tcBorders>
              <w:bottom w:val="single" w:sz="4" w:space="0" w:color="auto"/>
            </w:tcBorders>
            <w:vAlign w:val="bottom"/>
          </w:tcPr>
          <w:p w14:paraId="330CB66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p>
        </w:tc>
      </w:tr>
      <w:tr w:rsidR="007D7BB4" w:rsidRPr="00F22728" w14:paraId="6DDDD15B" w14:textId="77777777" w:rsidTr="008D32BA">
        <w:trPr>
          <w:trHeight w:val="323"/>
        </w:trPr>
        <w:tc>
          <w:tcPr>
            <w:tcW w:w="1390" w:type="pct"/>
            <w:tcBorders>
              <w:top w:val="single" w:sz="4" w:space="0" w:color="auto"/>
              <w:bottom w:val="single" w:sz="4" w:space="0" w:color="auto"/>
            </w:tcBorders>
            <w:vAlign w:val="center"/>
          </w:tcPr>
          <w:p w14:paraId="3C2C1FBF"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p>
        </w:tc>
        <w:tc>
          <w:tcPr>
            <w:tcW w:w="404" w:type="pct"/>
            <w:tcBorders>
              <w:top w:val="single" w:sz="4" w:space="0" w:color="auto"/>
              <w:bottom w:val="single" w:sz="4" w:space="0" w:color="auto"/>
            </w:tcBorders>
            <w:vAlign w:val="center"/>
          </w:tcPr>
          <w:p w14:paraId="03CAA9CC"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0 år </w:t>
            </w:r>
          </w:p>
        </w:tc>
        <w:tc>
          <w:tcPr>
            <w:tcW w:w="532" w:type="pct"/>
            <w:gridSpan w:val="2"/>
            <w:tcBorders>
              <w:top w:val="single" w:sz="4" w:space="0" w:color="auto"/>
              <w:bottom w:val="single" w:sz="4" w:space="0" w:color="auto"/>
            </w:tcBorders>
            <w:vAlign w:val="center"/>
          </w:tcPr>
          <w:p w14:paraId="10E0AE8F"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iCs/>
                <w:color w:val="000000"/>
                <w:sz w:val="20"/>
              </w:rPr>
              <w:t xml:space="preserve">2 år </w:t>
            </w:r>
          </w:p>
        </w:tc>
        <w:tc>
          <w:tcPr>
            <w:tcW w:w="535" w:type="pct"/>
            <w:tcBorders>
              <w:top w:val="single" w:sz="4" w:space="0" w:color="auto"/>
              <w:bottom w:val="single" w:sz="4" w:space="0" w:color="auto"/>
            </w:tcBorders>
            <w:vAlign w:val="center"/>
          </w:tcPr>
          <w:p w14:paraId="1695675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4 år </w:t>
            </w:r>
          </w:p>
        </w:tc>
        <w:tc>
          <w:tcPr>
            <w:tcW w:w="533" w:type="pct"/>
            <w:tcBorders>
              <w:top w:val="single" w:sz="4" w:space="0" w:color="auto"/>
              <w:bottom w:val="single" w:sz="4" w:space="0" w:color="auto"/>
            </w:tcBorders>
            <w:vAlign w:val="center"/>
          </w:tcPr>
          <w:p w14:paraId="7CA926D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iCs/>
                <w:color w:val="000000"/>
                <w:sz w:val="20"/>
              </w:rPr>
              <w:t xml:space="preserve">6 år </w:t>
            </w:r>
          </w:p>
        </w:tc>
        <w:tc>
          <w:tcPr>
            <w:tcW w:w="532" w:type="pct"/>
            <w:tcBorders>
              <w:top w:val="single" w:sz="4" w:space="0" w:color="auto"/>
              <w:bottom w:val="single" w:sz="4" w:space="0" w:color="auto"/>
            </w:tcBorders>
            <w:vAlign w:val="center"/>
          </w:tcPr>
          <w:p w14:paraId="00445B4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8 år </w:t>
            </w:r>
          </w:p>
        </w:tc>
        <w:tc>
          <w:tcPr>
            <w:tcW w:w="542" w:type="pct"/>
            <w:tcBorders>
              <w:top w:val="single" w:sz="4" w:space="0" w:color="auto"/>
              <w:bottom w:val="single" w:sz="4" w:space="0" w:color="auto"/>
            </w:tcBorders>
            <w:vAlign w:val="center"/>
          </w:tcPr>
          <w:p w14:paraId="596E83CA"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bCs/>
                <w:color w:val="000000"/>
                <w:sz w:val="20"/>
              </w:rPr>
              <w:t xml:space="preserve">10 år </w:t>
            </w:r>
          </w:p>
        </w:tc>
        <w:tc>
          <w:tcPr>
            <w:tcW w:w="533" w:type="pct"/>
            <w:tcBorders>
              <w:top w:val="single" w:sz="4" w:space="0" w:color="auto"/>
              <w:bottom w:val="single" w:sz="4" w:space="0" w:color="auto"/>
            </w:tcBorders>
            <w:vAlign w:val="center"/>
          </w:tcPr>
          <w:p w14:paraId="7FC2C3C8" w14:textId="77777777" w:rsidR="007D7BB4" w:rsidRPr="00F22728" w:rsidRDefault="007D7BB4" w:rsidP="008D32BA">
            <w:pPr>
              <w:autoSpaceDE w:val="0"/>
              <w:autoSpaceDN w:val="0"/>
              <w:adjustRightInd w:val="0"/>
              <w:spacing w:after="0"/>
              <w:jc w:val="right"/>
              <w:rPr>
                <w:rFonts w:ascii="Times New Roman" w:eastAsia="Times New Roman" w:hAnsi="Times New Roman"/>
                <w:bCs/>
                <w:color w:val="000000"/>
                <w:sz w:val="20"/>
              </w:rPr>
            </w:pPr>
            <w:r w:rsidRPr="00F22728">
              <w:rPr>
                <w:rFonts w:ascii="Times New Roman" w:eastAsia="Times New Roman" w:hAnsi="Times New Roman"/>
                <w:bCs/>
                <w:color w:val="000000"/>
                <w:sz w:val="20"/>
              </w:rPr>
              <w:t xml:space="preserve">16 år </w:t>
            </w:r>
          </w:p>
        </w:tc>
      </w:tr>
      <w:tr w:rsidR="007D7BB4" w:rsidRPr="00F22728" w14:paraId="01F8BF7C" w14:textId="77777777" w:rsidTr="008D32BA">
        <w:trPr>
          <w:trHeight w:val="102"/>
        </w:trPr>
        <w:tc>
          <w:tcPr>
            <w:tcW w:w="1390" w:type="pct"/>
            <w:tcBorders>
              <w:top w:val="single" w:sz="4" w:space="0" w:color="auto"/>
            </w:tcBorders>
            <w:vAlign w:val="bottom"/>
          </w:tcPr>
          <w:p w14:paraId="71B57A14"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Lærer </w:t>
            </w:r>
          </w:p>
        </w:tc>
        <w:tc>
          <w:tcPr>
            <w:tcW w:w="404" w:type="pct"/>
            <w:tcBorders>
              <w:top w:val="single" w:sz="4" w:space="0" w:color="auto"/>
            </w:tcBorders>
            <w:vAlign w:val="bottom"/>
          </w:tcPr>
          <w:p w14:paraId="5A19525E"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4 000 </w:t>
            </w:r>
          </w:p>
        </w:tc>
        <w:tc>
          <w:tcPr>
            <w:tcW w:w="532" w:type="pct"/>
            <w:gridSpan w:val="2"/>
            <w:tcBorders>
              <w:top w:val="single" w:sz="4" w:space="0" w:color="auto"/>
            </w:tcBorders>
            <w:vAlign w:val="bottom"/>
          </w:tcPr>
          <w:p w14:paraId="1879B8C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11 500 </w:t>
            </w:r>
          </w:p>
        </w:tc>
        <w:tc>
          <w:tcPr>
            <w:tcW w:w="535" w:type="pct"/>
            <w:tcBorders>
              <w:top w:val="single" w:sz="4" w:space="0" w:color="auto"/>
            </w:tcBorders>
            <w:vAlign w:val="bottom"/>
          </w:tcPr>
          <w:p w14:paraId="10B2F2A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6 500 </w:t>
            </w:r>
          </w:p>
        </w:tc>
        <w:tc>
          <w:tcPr>
            <w:tcW w:w="533" w:type="pct"/>
            <w:tcBorders>
              <w:top w:val="single" w:sz="4" w:space="0" w:color="auto"/>
            </w:tcBorders>
            <w:vAlign w:val="bottom"/>
          </w:tcPr>
          <w:p w14:paraId="3C13BF4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11 500 </w:t>
            </w:r>
          </w:p>
        </w:tc>
        <w:tc>
          <w:tcPr>
            <w:tcW w:w="532" w:type="pct"/>
            <w:tcBorders>
              <w:top w:val="single" w:sz="4" w:space="0" w:color="auto"/>
            </w:tcBorders>
            <w:vAlign w:val="bottom"/>
          </w:tcPr>
          <w:p w14:paraId="5C9D824C"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9 400 </w:t>
            </w:r>
          </w:p>
        </w:tc>
        <w:tc>
          <w:tcPr>
            <w:tcW w:w="542" w:type="pct"/>
            <w:tcBorders>
              <w:top w:val="single" w:sz="4" w:space="0" w:color="auto"/>
            </w:tcBorders>
            <w:vAlign w:val="bottom"/>
          </w:tcPr>
          <w:p w14:paraId="219C7B5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8 100 </w:t>
            </w:r>
          </w:p>
        </w:tc>
        <w:tc>
          <w:tcPr>
            <w:tcW w:w="533" w:type="pct"/>
            <w:tcBorders>
              <w:top w:val="single" w:sz="4" w:space="0" w:color="auto"/>
            </w:tcBorders>
            <w:vAlign w:val="bottom"/>
          </w:tcPr>
          <w:p w14:paraId="0B34C1BA"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5 300 </w:t>
            </w:r>
          </w:p>
        </w:tc>
      </w:tr>
      <w:tr w:rsidR="007D7BB4" w:rsidRPr="00F22728" w14:paraId="075B43C3" w14:textId="77777777" w:rsidTr="008D32BA">
        <w:trPr>
          <w:trHeight w:val="103"/>
        </w:trPr>
        <w:tc>
          <w:tcPr>
            <w:tcW w:w="1390" w:type="pct"/>
            <w:vAlign w:val="bottom"/>
          </w:tcPr>
          <w:p w14:paraId="3ED6B364"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Adjunkt </w:t>
            </w:r>
          </w:p>
        </w:tc>
        <w:tc>
          <w:tcPr>
            <w:tcW w:w="404" w:type="pct"/>
            <w:vAlign w:val="bottom"/>
          </w:tcPr>
          <w:p w14:paraId="4DACD7C6"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5 000 </w:t>
            </w:r>
          </w:p>
        </w:tc>
        <w:tc>
          <w:tcPr>
            <w:tcW w:w="532" w:type="pct"/>
            <w:gridSpan w:val="2"/>
            <w:vAlign w:val="bottom"/>
          </w:tcPr>
          <w:p w14:paraId="7ADEAC9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13 400 </w:t>
            </w:r>
          </w:p>
        </w:tc>
        <w:tc>
          <w:tcPr>
            <w:tcW w:w="535" w:type="pct"/>
            <w:vAlign w:val="bottom"/>
          </w:tcPr>
          <w:p w14:paraId="4B90A2CE"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7 500 </w:t>
            </w:r>
          </w:p>
        </w:tc>
        <w:tc>
          <w:tcPr>
            <w:tcW w:w="533" w:type="pct"/>
            <w:vAlign w:val="bottom"/>
          </w:tcPr>
          <w:p w14:paraId="06C2934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13 100 </w:t>
            </w:r>
          </w:p>
        </w:tc>
        <w:tc>
          <w:tcPr>
            <w:tcW w:w="532" w:type="pct"/>
            <w:vAlign w:val="bottom"/>
          </w:tcPr>
          <w:p w14:paraId="7198C77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10 200 </w:t>
            </w:r>
          </w:p>
        </w:tc>
        <w:tc>
          <w:tcPr>
            <w:tcW w:w="542" w:type="pct"/>
            <w:vAlign w:val="bottom"/>
          </w:tcPr>
          <w:p w14:paraId="0D29BED6"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10 000 </w:t>
            </w:r>
          </w:p>
        </w:tc>
        <w:tc>
          <w:tcPr>
            <w:tcW w:w="533" w:type="pct"/>
            <w:vAlign w:val="bottom"/>
          </w:tcPr>
          <w:p w14:paraId="158AC2AE"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6 700 </w:t>
            </w:r>
          </w:p>
        </w:tc>
      </w:tr>
      <w:tr w:rsidR="007D7BB4" w:rsidRPr="00F22728" w14:paraId="0A65FDE4" w14:textId="77777777" w:rsidTr="008D32BA">
        <w:trPr>
          <w:trHeight w:val="205"/>
        </w:trPr>
        <w:tc>
          <w:tcPr>
            <w:tcW w:w="1390" w:type="pct"/>
            <w:vAlign w:val="bottom"/>
          </w:tcPr>
          <w:p w14:paraId="53434C4E"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Adjunkt (med tilleggsutdanning) </w:t>
            </w:r>
          </w:p>
        </w:tc>
        <w:tc>
          <w:tcPr>
            <w:tcW w:w="404" w:type="pct"/>
            <w:vAlign w:val="bottom"/>
          </w:tcPr>
          <w:p w14:paraId="57D33C94"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5 700 </w:t>
            </w:r>
          </w:p>
        </w:tc>
        <w:tc>
          <w:tcPr>
            <w:tcW w:w="532" w:type="pct"/>
            <w:gridSpan w:val="2"/>
            <w:vAlign w:val="bottom"/>
          </w:tcPr>
          <w:p w14:paraId="5DC7D75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14 700 </w:t>
            </w:r>
          </w:p>
        </w:tc>
        <w:tc>
          <w:tcPr>
            <w:tcW w:w="535" w:type="pct"/>
            <w:vAlign w:val="bottom"/>
          </w:tcPr>
          <w:p w14:paraId="569D6C8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8 700 </w:t>
            </w:r>
          </w:p>
        </w:tc>
        <w:tc>
          <w:tcPr>
            <w:tcW w:w="533" w:type="pct"/>
            <w:vAlign w:val="bottom"/>
          </w:tcPr>
          <w:p w14:paraId="7058CF1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12 800 </w:t>
            </w:r>
          </w:p>
        </w:tc>
        <w:tc>
          <w:tcPr>
            <w:tcW w:w="532" w:type="pct"/>
            <w:vAlign w:val="bottom"/>
          </w:tcPr>
          <w:p w14:paraId="1A0E1FC5"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9 400 </w:t>
            </w:r>
          </w:p>
        </w:tc>
        <w:tc>
          <w:tcPr>
            <w:tcW w:w="542" w:type="pct"/>
            <w:vAlign w:val="bottom"/>
          </w:tcPr>
          <w:p w14:paraId="2AE57DD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10 700 </w:t>
            </w:r>
          </w:p>
        </w:tc>
        <w:tc>
          <w:tcPr>
            <w:tcW w:w="533" w:type="pct"/>
            <w:vAlign w:val="bottom"/>
          </w:tcPr>
          <w:p w14:paraId="4119809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7 400 </w:t>
            </w:r>
          </w:p>
        </w:tc>
      </w:tr>
      <w:tr w:rsidR="007D7BB4" w:rsidRPr="00F22728" w14:paraId="4398D14C" w14:textId="77777777" w:rsidTr="008D32BA">
        <w:trPr>
          <w:trHeight w:val="103"/>
        </w:trPr>
        <w:tc>
          <w:tcPr>
            <w:tcW w:w="1390" w:type="pct"/>
            <w:vAlign w:val="bottom"/>
          </w:tcPr>
          <w:p w14:paraId="05C9C4AF"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Lektor </w:t>
            </w:r>
          </w:p>
        </w:tc>
        <w:tc>
          <w:tcPr>
            <w:tcW w:w="404" w:type="pct"/>
            <w:vAlign w:val="bottom"/>
          </w:tcPr>
          <w:p w14:paraId="288B318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6 200 </w:t>
            </w:r>
          </w:p>
        </w:tc>
        <w:tc>
          <w:tcPr>
            <w:tcW w:w="532" w:type="pct"/>
            <w:gridSpan w:val="2"/>
            <w:vAlign w:val="bottom"/>
          </w:tcPr>
          <w:p w14:paraId="7EF824F0"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15 600 </w:t>
            </w:r>
          </w:p>
        </w:tc>
        <w:tc>
          <w:tcPr>
            <w:tcW w:w="535" w:type="pct"/>
            <w:vAlign w:val="bottom"/>
          </w:tcPr>
          <w:p w14:paraId="10AE1908"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11 400 </w:t>
            </w:r>
          </w:p>
        </w:tc>
        <w:tc>
          <w:tcPr>
            <w:tcW w:w="533" w:type="pct"/>
            <w:vAlign w:val="bottom"/>
          </w:tcPr>
          <w:p w14:paraId="0202F58B"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16 100 </w:t>
            </w:r>
          </w:p>
        </w:tc>
        <w:tc>
          <w:tcPr>
            <w:tcW w:w="532" w:type="pct"/>
            <w:vAlign w:val="bottom"/>
          </w:tcPr>
          <w:p w14:paraId="46927A5C"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13 600 </w:t>
            </w:r>
          </w:p>
        </w:tc>
        <w:tc>
          <w:tcPr>
            <w:tcW w:w="542" w:type="pct"/>
            <w:vAlign w:val="bottom"/>
          </w:tcPr>
          <w:p w14:paraId="7C6D0359"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10 400 </w:t>
            </w:r>
          </w:p>
        </w:tc>
        <w:tc>
          <w:tcPr>
            <w:tcW w:w="533" w:type="pct"/>
            <w:vAlign w:val="bottom"/>
          </w:tcPr>
          <w:p w14:paraId="7D265BB3"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8 500 </w:t>
            </w:r>
          </w:p>
        </w:tc>
      </w:tr>
      <w:tr w:rsidR="007D7BB4" w:rsidRPr="00F22728" w14:paraId="6E3335D6" w14:textId="77777777" w:rsidTr="008D32BA">
        <w:trPr>
          <w:trHeight w:val="205"/>
        </w:trPr>
        <w:tc>
          <w:tcPr>
            <w:tcW w:w="1390" w:type="pct"/>
            <w:tcBorders>
              <w:bottom w:val="single" w:sz="4" w:space="0" w:color="auto"/>
            </w:tcBorders>
            <w:vAlign w:val="bottom"/>
          </w:tcPr>
          <w:p w14:paraId="58A22068" w14:textId="77777777" w:rsidR="007D7BB4" w:rsidRPr="00F22728" w:rsidRDefault="007D7BB4" w:rsidP="008D32BA">
            <w:pPr>
              <w:autoSpaceDE w:val="0"/>
              <w:autoSpaceDN w:val="0"/>
              <w:adjustRightInd w:val="0"/>
              <w:spacing w:after="0"/>
              <w:rPr>
                <w:rFonts w:ascii="Times New Roman" w:eastAsia="Times New Roman" w:hAnsi="Times New Roman"/>
                <w:color w:val="000000"/>
                <w:sz w:val="20"/>
              </w:rPr>
            </w:pPr>
            <w:r w:rsidRPr="00F22728">
              <w:rPr>
                <w:rFonts w:ascii="Times New Roman" w:eastAsia="Times New Roman" w:hAnsi="Times New Roman"/>
                <w:color w:val="000000"/>
                <w:sz w:val="20"/>
              </w:rPr>
              <w:t xml:space="preserve">Lektor (med tilleggsutdanning) </w:t>
            </w:r>
          </w:p>
        </w:tc>
        <w:tc>
          <w:tcPr>
            <w:tcW w:w="404" w:type="pct"/>
            <w:tcBorders>
              <w:bottom w:val="single" w:sz="4" w:space="0" w:color="auto"/>
            </w:tcBorders>
            <w:vAlign w:val="bottom"/>
          </w:tcPr>
          <w:p w14:paraId="5EC220C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6 500 </w:t>
            </w:r>
          </w:p>
        </w:tc>
        <w:tc>
          <w:tcPr>
            <w:tcW w:w="532" w:type="pct"/>
            <w:gridSpan w:val="2"/>
            <w:tcBorders>
              <w:bottom w:val="single" w:sz="4" w:space="0" w:color="auto"/>
            </w:tcBorders>
            <w:vAlign w:val="bottom"/>
          </w:tcPr>
          <w:p w14:paraId="58705AD1"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16 200 </w:t>
            </w:r>
          </w:p>
        </w:tc>
        <w:tc>
          <w:tcPr>
            <w:tcW w:w="535" w:type="pct"/>
            <w:tcBorders>
              <w:bottom w:val="single" w:sz="4" w:space="0" w:color="auto"/>
            </w:tcBorders>
            <w:vAlign w:val="bottom"/>
          </w:tcPr>
          <w:p w14:paraId="6958ECAC"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9 600 </w:t>
            </w:r>
          </w:p>
        </w:tc>
        <w:tc>
          <w:tcPr>
            <w:tcW w:w="533" w:type="pct"/>
            <w:tcBorders>
              <w:bottom w:val="single" w:sz="4" w:space="0" w:color="auto"/>
            </w:tcBorders>
            <w:vAlign w:val="bottom"/>
          </w:tcPr>
          <w:p w14:paraId="137C8024"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14 200 </w:t>
            </w:r>
          </w:p>
        </w:tc>
        <w:tc>
          <w:tcPr>
            <w:tcW w:w="532" w:type="pct"/>
            <w:tcBorders>
              <w:bottom w:val="single" w:sz="4" w:space="0" w:color="auto"/>
            </w:tcBorders>
            <w:vAlign w:val="bottom"/>
          </w:tcPr>
          <w:p w14:paraId="2A4CB002"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8 400 </w:t>
            </w:r>
          </w:p>
        </w:tc>
        <w:tc>
          <w:tcPr>
            <w:tcW w:w="542" w:type="pct"/>
            <w:tcBorders>
              <w:bottom w:val="single" w:sz="4" w:space="0" w:color="auto"/>
            </w:tcBorders>
            <w:vAlign w:val="bottom"/>
          </w:tcPr>
          <w:p w14:paraId="5B0908C7"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10 700 </w:t>
            </w:r>
          </w:p>
        </w:tc>
        <w:tc>
          <w:tcPr>
            <w:tcW w:w="533" w:type="pct"/>
            <w:tcBorders>
              <w:bottom w:val="single" w:sz="4" w:space="0" w:color="auto"/>
            </w:tcBorders>
            <w:vAlign w:val="bottom"/>
          </w:tcPr>
          <w:p w14:paraId="04A2A226" w14:textId="77777777" w:rsidR="007D7BB4" w:rsidRPr="00F22728" w:rsidRDefault="007D7BB4" w:rsidP="008D32BA">
            <w:pPr>
              <w:autoSpaceDE w:val="0"/>
              <w:autoSpaceDN w:val="0"/>
              <w:adjustRightInd w:val="0"/>
              <w:spacing w:after="0"/>
              <w:jc w:val="right"/>
              <w:rPr>
                <w:rFonts w:ascii="Times New Roman" w:eastAsia="Times New Roman" w:hAnsi="Times New Roman"/>
                <w:color w:val="000000"/>
                <w:sz w:val="20"/>
              </w:rPr>
            </w:pPr>
            <w:r w:rsidRPr="00F22728">
              <w:rPr>
                <w:rFonts w:ascii="Times New Roman" w:eastAsia="Times New Roman" w:hAnsi="Times New Roman"/>
                <w:color w:val="000000"/>
                <w:sz w:val="20"/>
              </w:rPr>
              <w:t xml:space="preserve">9 100 </w:t>
            </w:r>
          </w:p>
        </w:tc>
      </w:tr>
    </w:tbl>
    <w:p w14:paraId="3DA54F20" w14:textId="77777777" w:rsidR="007D7BB4" w:rsidRDefault="007D7BB4" w:rsidP="007D7BB4">
      <w:pPr>
        <w:rPr>
          <w:rFonts w:ascii="Arial" w:hAnsi="Arial" w:cs="Arial"/>
        </w:rPr>
      </w:pPr>
      <w:r>
        <w:rPr>
          <w:b/>
        </w:rPr>
        <w:br/>
      </w:r>
    </w:p>
    <w:p w14:paraId="09D9462F" w14:textId="77777777" w:rsidR="007D7BB4" w:rsidRPr="00414EA8" w:rsidRDefault="007D7BB4" w:rsidP="007D7BB4">
      <w:pPr>
        <w:rPr>
          <w:rFonts w:ascii="Arial" w:hAnsi="Arial" w:cs="Arial"/>
        </w:rPr>
      </w:pPr>
      <w:r>
        <w:rPr>
          <w:rFonts w:ascii="Arial" w:hAnsi="Arial" w:cs="Arial"/>
        </w:rPr>
        <w:t xml:space="preserve">Tabell 1.2 </w:t>
      </w:r>
      <w:r w:rsidRPr="00414EA8">
        <w:rPr>
          <w:rFonts w:ascii="Arial" w:hAnsi="Arial" w:cs="Arial"/>
        </w:rPr>
        <w:t xml:space="preserve">Minstelønnssatser i KS-området </w:t>
      </w:r>
      <w:r>
        <w:rPr>
          <w:rFonts w:ascii="Arial" w:hAnsi="Arial" w:cs="Arial"/>
        </w:rPr>
        <w:t>per 1. mai 2014 og garantilønn og lønnstillegg etter ansiennitet per 1. mai 2015</w:t>
      </w:r>
      <w:r w:rsidRPr="00414EA8">
        <w:rPr>
          <w:rFonts w:ascii="Arial" w:hAnsi="Arial" w:cs="Arial"/>
        </w:rPr>
        <w:t xml:space="preserve">. Ingen ansiennitet (0 år) og maksimal ansiennitet (10 år eller 16 år). </w:t>
      </w:r>
    </w:p>
    <w:tbl>
      <w:tblPr>
        <w:tblW w:w="5304" w:type="pct"/>
        <w:tblInd w:w="-284" w:type="dxa"/>
        <w:tblLayout w:type="fixed"/>
        <w:tblCellMar>
          <w:left w:w="70" w:type="dxa"/>
          <w:right w:w="70" w:type="dxa"/>
        </w:tblCellMar>
        <w:tblLook w:val="0000" w:firstRow="0" w:lastRow="0" w:firstColumn="0" w:lastColumn="0" w:noHBand="0" w:noVBand="0"/>
      </w:tblPr>
      <w:tblGrid>
        <w:gridCol w:w="1989"/>
        <w:gridCol w:w="934"/>
        <w:gridCol w:w="1190"/>
        <w:gridCol w:w="991"/>
        <w:gridCol w:w="10"/>
        <w:gridCol w:w="803"/>
        <w:gridCol w:w="37"/>
        <w:gridCol w:w="991"/>
        <w:gridCol w:w="10"/>
        <w:gridCol w:w="1128"/>
        <w:gridCol w:w="800"/>
        <w:gridCol w:w="39"/>
        <w:gridCol w:w="852"/>
      </w:tblGrid>
      <w:tr w:rsidR="007D7BB4" w:rsidRPr="00B85D85" w14:paraId="3E7302B0" w14:textId="77777777" w:rsidTr="008D32BA">
        <w:trPr>
          <w:trHeight w:val="255"/>
          <w:tblHeader/>
        </w:trPr>
        <w:tc>
          <w:tcPr>
            <w:tcW w:w="1017" w:type="pct"/>
            <w:tcBorders>
              <w:top w:val="single" w:sz="4" w:space="0" w:color="auto"/>
              <w:left w:val="nil"/>
              <w:right w:val="nil"/>
            </w:tcBorders>
            <w:shd w:val="clear" w:color="auto" w:fill="auto"/>
            <w:vAlign w:val="bottom"/>
          </w:tcPr>
          <w:p w14:paraId="6F663E75" w14:textId="77777777" w:rsidR="007D7BB4" w:rsidRPr="00B85D85" w:rsidRDefault="007D7BB4" w:rsidP="008D32BA">
            <w:pPr>
              <w:spacing w:after="0"/>
              <w:rPr>
                <w:rFonts w:ascii="Times New Roman" w:hAnsi="Times New Roman"/>
                <w:sz w:val="20"/>
              </w:rPr>
            </w:pPr>
            <w:bookmarkStart w:id="405" w:name="OLE_LINK1"/>
          </w:p>
        </w:tc>
        <w:tc>
          <w:tcPr>
            <w:tcW w:w="2028" w:type="pct"/>
            <w:gridSpan w:val="6"/>
            <w:tcBorders>
              <w:top w:val="single" w:sz="4" w:space="0" w:color="auto"/>
              <w:left w:val="nil"/>
              <w:bottom w:val="single" w:sz="4" w:space="0" w:color="auto"/>
              <w:right w:val="nil"/>
            </w:tcBorders>
            <w:shd w:val="clear" w:color="auto" w:fill="auto"/>
            <w:noWrap/>
            <w:tcMar>
              <w:left w:w="57" w:type="dxa"/>
              <w:right w:w="57" w:type="dxa"/>
            </w:tcMar>
            <w:vAlign w:val="bottom"/>
          </w:tcPr>
          <w:p w14:paraId="4076EFFC" w14:textId="77777777" w:rsidR="007D7BB4" w:rsidRPr="00B85D85" w:rsidRDefault="007D7BB4" w:rsidP="008D32BA">
            <w:pPr>
              <w:spacing w:after="0"/>
              <w:ind w:left="-41" w:firstLine="41"/>
              <w:jc w:val="center"/>
              <w:rPr>
                <w:rFonts w:ascii="Times New Roman" w:hAnsi="Times New Roman"/>
                <w:sz w:val="20"/>
              </w:rPr>
            </w:pPr>
            <w:r w:rsidRPr="00B85D85">
              <w:rPr>
                <w:rFonts w:ascii="Times New Roman" w:hAnsi="Times New Roman"/>
                <w:sz w:val="20"/>
              </w:rPr>
              <w:t>Ansiennitet 0 år</w:t>
            </w:r>
          </w:p>
        </w:tc>
        <w:tc>
          <w:tcPr>
            <w:tcW w:w="1954" w:type="pct"/>
            <w:gridSpan w:val="6"/>
            <w:tcBorders>
              <w:top w:val="single" w:sz="4" w:space="0" w:color="auto"/>
              <w:left w:val="nil"/>
              <w:bottom w:val="single" w:sz="4" w:space="0" w:color="auto"/>
              <w:right w:val="nil"/>
            </w:tcBorders>
            <w:shd w:val="clear" w:color="auto" w:fill="auto"/>
            <w:noWrap/>
          </w:tcPr>
          <w:p w14:paraId="2DE17C87" w14:textId="77777777" w:rsidR="007D7BB4" w:rsidRPr="00B85D85" w:rsidRDefault="007D7BB4" w:rsidP="008D32BA">
            <w:pPr>
              <w:spacing w:after="0"/>
              <w:jc w:val="center"/>
              <w:rPr>
                <w:rFonts w:ascii="Times New Roman" w:hAnsi="Times New Roman"/>
                <w:sz w:val="20"/>
              </w:rPr>
            </w:pPr>
            <w:r w:rsidRPr="00B85D85">
              <w:rPr>
                <w:rFonts w:ascii="Times New Roman" w:hAnsi="Times New Roman"/>
                <w:sz w:val="20"/>
              </w:rPr>
              <w:t>Ansiennitet 10 år</w:t>
            </w:r>
          </w:p>
        </w:tc>
      </w:tr>
      <w:tr w:rsidR="007D7BB4" w:rsidRPr="00B85D85" w14:paraId="19DFF776" w14:textId="77777777" w:rsidTr="008D32BA">
        <w:trPr>
          <w:trHeight w:val="510"/>
          <w:tblHeader/>
        </w:trPr>
        <w:tc>
          <w:tcPr>
            <w:tcW w:w="1017" w:type="pct"/>
            <w:tcBorders>
              <w:top w:val="nil"/>
              <w:left w:val="nil"/>
              <w:bottom w:val="single" w:sz="4" w:space="0" w:color="auto"/>
              <w:right w:val="nil"/>
            </w:tcBorders>
            <w:shd w:val="clear" w:color="auto" w:fill="auto"/>
            <w:vAlign w:val="bottom"/>
          </w:tcPr>
          <w:p w14:paraId="5D3AE3E4" w14:textId="77777777" w:rsidR="007D7BB4" w:rsidRPr="00B85D85" w:rsidRDefault="007D7BB4" w:rsidP="008D32BA">
            <w:pPr>
              <w:spacing w:after="0"/>
              <w:jc w:val="center"/>
              <w:rPr>
                <w:rFonts w:ascii="Times New Roman" w:hAnsi="Times New Roman"/>
                <w:sz w:val="20"/>
              </w:rPr>
            </w:pPr>
          </w:p>
        </w:tc>
        <w:tc>
          <w:tcPr>
            <w:tcW w:w="478" w:type="pct"/>
            <w:tcBorders>
              <w:top w:val="single" w:sz="4" w:space="0" w:color="auto"/>
              <w:left w:val="nil"/>
              <w:bottom w:val="single" w:sz="4" w:space="0" w:color="auto"/>
              <w:right w:val="nil"/>
            </w:tcBorders>
            <w:shd w:val="clear" w:color="auto" w:fill="auto"/>
            <w:tcMar>
              <w:left w:w="57" w:type="dxa"/>
              <w:right w:w="57" w:type="dxa"/>
            </w:tcMar>
            <w:vAlign w:val="bottom"/>
          </w:tcPr>
          <w:p w14:paraId="37458662"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Minste-lønnssats </w:t>
            </w:r>
            <w:r w:rsidRPr="00B85D85">
              <w:rPr>
                <w:rFonts w:ascii="Times New Roman" w:hAnsi="Times New Roman"/>
                <w:sz w:val="20"/>
              </w:rPr>
              <w:t>1. mai 2014</w:t>
            </w:r>
          </w:p>
        </w:tc>
        <w:tc>
          <w:tcPr>
            <w:tcW w:w="609" w:type="pct"/>
            <w:tcBorders>
              <w:top w:val="single" w:sz="4" w:space="0" w:color="auto"/>
              <w:left w:val="nil"/>
              <w:bottom w:val="single" w:sz="4" w:space="0" w:color="auto"/>
              <w:right w:val="nil"/>
            </w:tcBorders>
            <w:shd w:val="clear" w:color="auto" w:fill="auto"/>
            <w:tcMar>
              <w:left w:w="57" w:type="dxa"/>
              <w:right w:w="57" w:type="dxa"/>
            </w:tcMar>
            <w:vAlign w:val="bottom"/>
          </w:tcPr>
          <w:p w14:paraId="01412E4E"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Garantilønn inkl. tillegg </w:t>
            </w:r>
            <w:r w:rsidRPr="00B85D85">
              <w:rPr>
                <w:rFonts w:ascii="Times New Roman" w:hAnsi="Times New Roman"/>
                <w:sz w:val="20"/>
              </w:rPr>
              <w:t>1. mai 201</w:t>
            </w:r>
            <w:r>
              <w:rPr>
                <w:rFonts w:ascii="Times New Roman" w:hAnsi="Times New Roman"/>
                <w:sz w:val="20"/>
              </w:rPr>
              <w:t>5</w:t>
            </w:r>
          </w:p>
        </w:tc>
        <w:tc>
          <w:tcPr>
            <w:tcW w:w="512" w:type="pct"/>
            <w:gridSpan w:val="2"/>
            <w:tcBorders>
              <w:top w:val="nil"/>
              <w:left w:val="nil"/>
              <w:bottom w:val="single" w:sz="4" w:space="0" w:color="auto"/>
              <w:right w:val="nil"/>
            </w:tcBorders>
            <w:shd w:val="clear" w:color="auto" w:fill="auto"/>
            <w:noWrap/>
            <w:tcMar>
              <w:left w:w="57" w:type="dxa"/>
              <w:right w:w="57" w:type="dxa"/>
            </w:tcMar>
            <w:vAlign w:val="bottom"/>
          </w:tcPr>
          <w:p w14:paraId="3C9A0B80"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Tillegg 1. mai 2015</w:t>
            </w:r>
          </w:p>
        </w:tc>
        <w:tc>
          <w:tcPr>
            <w:tcW w:w="430" w:type="pct"/>
            <w:gridSpan w:val="2"/>
            <w:tcBorders>
              <w:top w:val="single" w:sz="4" w:space="0" w:color="auto"/>
              <w:left w:val="nil"/>
              <w:bottom w:val="single" w:sz="4" w:space="0" w:color="auto"/>
              <w:right w:val="nil"/>
            </w:tcBorders>
            <w:tcMar>
              <w:left w:w="57" w:type="dxa"/>
              <w:right w:w="57" w:type="dxa"/>
            </w:tcMar>
            <w:vAlign w:val="bottom"/>
          </w:tcPr>
          <w:p w14:paraId="7CB80AEF" w14:textId="77777777" w:rsidR="007D7BB4" w:rsidRPr="00B85D85" w:rsidRDefault="007D7BB4" w:rsidP="008D32BA">
            <w:pPr>
              <w:spacing w:after="0"/>
              <w:jc w:val="center"/>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c>
          <w:tcPr>
            <w:tcW w:w="512" w:type="pct"/>
            <w:gridSpan w:val="2"/>
            <w:tcBorders>
              <w:top w:val="single" w:sz="4" w:space="0" w:color="auto"/>
              <w:left w:val="nil"/>
              <w:bottom w:val="single" w:sz="4" w:space="0" w:color="auto"/>
              <w:right w:val="nil"/>
            </w:tcBorders>
            <w:shd w:val="clear" w:color="auto" w:fill="auto"/>
            <w:vAlign w:val="bottom"/>
          </w:tcPr>
          <w:p w14:paraId="3B886B89"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Minste-lønnssats </w:t>
            </w:r>
            <w:r w:rsidRPr="00B85D85">
              <w:rPr>
                <w:rFonts w:ascii="Times New Roman" w:hAnsi="Times New Roman"/>
                <w:sz w:val="20"/>
              </w:rPr>
              <w:t>1. mai 2014</w:t>
            </w:r>
          </w:p>
        </w:tc>
        <w:tc>
          <w:tcPr>
            <w:tcW w:w="577" w:type="pct"/>
            <w:tcBorders>
              <w:top w:val="single" w:sz="4" w:space="0" w:color="auto"/>
              <w:left w:val="nil"/>
              <w:bottom w:val="single" w:sz="4" w:space="0" w:color="auto"/>
              <w:right w:val="nil"/>
            </w:tcBorders>
            <w:shd w:val="clear" w:color="auto" w:fill="auto"/>
            <w:tcMar>
              <w:left w:w="28" w:type="dxa"/>
            </w:tcMar>
            <w:vAlign w:val="bottom"/>
          </w:tcPr>
          <w:p w14:paraId="7B923238"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Garantilønn inkl. tillegg </w:t>
            </w:r>
            <w:r w:rsidRPr="00B85D85">
              <w:rPr>
                <w:rFonts w:ascii="Times New Roman" w:hAnsi="Times New Roman"/>
                <w:sz w:val="20"/>
              </w:rPr>
              <w:t>1. mai 201</w:t>
            </w:r>
            <w:r>
              <w:rPr>
                <w:rFonts w:ascii="Times New Roman" w:hAnsi="Times New Roman"/>
                <w:sz w:val="20"/>
              </w:rPr>
              <w:t>5</w:t>
            </w:r>
          </w:p>
        </w:tc>
        <w:tc>
          <w:tcPr>
            <w:tcW w:w="429" w:type="pct"/>
            <w:gridSpan w:val="2"/>
            <w:tcBorders>
              <w:top w:val="nil"/>
              <w:left w:val="nil"/>
              <w:bottom w:val="single" w:sz="4" w:space="0" w:color="auto"/>
              <w:right w:val="nil"/>
            </w:tcBorders>
            <w:shd w:val="clear" w:color="auto" w:fill="auto"/>
            <w:noWrap/>
            <w:vAlign w:val="bottom"/>
          </w:tcPr>
          <w:p w14:paraId="329D8B2D"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Tillegg 1. mai 2015</w:t>
            </w:r>
          </w:p>
        </w:tc>
        <w:tc>
          <w:tcPr>
            <w:tcW w:w="436" w:type="pct"/>
            <w:tcBorders>
              <w:top w:val="nil"/>
              <w:left w:val="nil"/>
              <w:bottom w:val="single" w:sz="4" w:space="0" w:color="auto"/>
              <w:right w:val="nil"/>
            </w:tcBorders>
            <w:vAlign w:val="bottom"/>
          </w:tcPr>
          <w:p w14:paraId="60F10880" w14:textId="77777777" w:rsidR="007D7BB4" w:rsidRPr="00B85D85" w:rsidRDefault="007D7BB4" w:rsidP="008D32BA">
            <w:pPr>
              <w:spacing w:after="0"/>
              <w:jc w:val="center"/>
              <w:rPr>
                <w:rFonts w:ascii="Times New Roman" w:hAnsi="Times New Roman"/>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r>
      <w:tr w:rsidR="007D7BB4" w:rsidRPr="00B85D85" w14:paraId="766A3B41" w14:textId="77777777" w:rsidTr="008D32BA">
        <w:trPr>
          <w:trHeight w:val="264"/>
        </w:trPr>
        <w:tc>
          <w:tcPr>
            <w:tcW w:w="1017" w:type="pct"/>
            <w:tcBorders>
              <w:top w:val="single" w:sz="4" w:space="0" w:color="auto"/>
              <w:left w:val="nil"/>
              <w:right w:val="nil"/>
            </w:tcBorders>
            <w:shd w:val="clear" w:color="auto" w:fill="auto"/>
            <w:vAlign w:val="center"/>
          </w:tcPr>
          <w:p w14:paraId="40251EFE" w14:textId="77777777" w:rsidR="007D7BB4" w:rsidRPr="00A2224C" w:rsidRDefault="007D7BB4" w:rsidP="008D32BA">
            <w:pPr>
              <w:rPr>
                <w:rFonts w:ascii="Times New Roman" w:hAnsi="Times New Roman"/>
                <w:i/>
                <w:sz w:val="20"/>
              </w:rPr>
            </w:pPr>
            <w:r w:rsidRPr="00A2224C">
              <w:rPr>
                <w:rFonts w:ascii="Times New Roman" w:hAnsi="Times New Roman"/>
                <w:i/>
                <w:sz w:val="20"/>
              </w:rPr>
              <w:t>Stillingsgrupper</w:t>
            </w:r>
          </w:p>
        </w:tc>
        <w:tc>
          <w:tcPr>
            <w:tcW w:w="478" w:type="pct"/>
            <w:tcBorders>
              <w:top w:val="single" w:sz="4" w:space="0" w:color="auto"/>
              <w:left w:val="nil"/>
              <w:right w:val="nil"/>
            </w:tcBorders>
            <w:shd w:val="clear" w:color="auto" w:fill="auto"/>
            <w:tcMar>
              <w:left w:w="57" w:type="dxa"/>
              <w:right w:w="57" w:type="dxa"/>
            </w:tcMar>
            <w:vAlign w:val="center"/>
          </w:tcPr>
          <w:p w14:paraId="6B22C7CB" w14:textId="77777777" w:rsidR="007D7BB4" w:rsidRPr="00A2224C" w:rsidRDefault="007D7BB4" w:rsidP="008D32BA">
            <w:pPr>
              <w:jc w:val="right"/>
              <w:rPr>
                <w:rFonts w:ascii="Times New Roman" w:hAnsi="Times New Roman"/>
                <w:i/>
                <w:color w:val="000000"/>
                <w:sz w:val="20"/>
              </w:rPr>
            </w:pPr>
          </w:p>
        </w:tc>
        <w:tc>
          <w:tcPr>
            <w:tcW w:w="609" w:type="pct"/>
            <w:tcBorders>
              <w:top w:val="single" w:sz="4" w:space="0" w:color="auto"/>
              <w:left w:val="nil"/>
              <w:right w:val="nil"/>
            </w:tcBorders>
            <w:shd w:val="clear" w:color="auto" w:fill="auto"/>
            <w:noWrap/>
            <w:tcMar>
              <w:left w:w="57" w:type="dxa"/>
              <w:right w:w="57" w:type="dxa"/>
            </w:tcMar>
            <w:vAlign w:val="center"/>
          </w:tcPr>
          <w:p w14:paraId="3057A890" w14:textId="77777777" w:rsidR="007D7BB4" w:rsidRPr="00A2224C" w:rsidRDefault="007D7BB4" w:rsidP="008D32BA">
            <w:pPr>
              <w:jc w:val="right"/>
              <w:rPr>
                <w:rFonts w:ascii="Times New Roman" w:hAnsi="Times New Roman"/>
                <w:i/>
                <w:color w:val="000000"/>
                <w:sz w:val="20"/>
              </w:rPr>
            </w:pPr>
          </w:p>
        </w:tc>
        <w:tc>
          <w:tcPr>
            <w:tcW w:w="512" w:type="pct"/>
            <w:gridSpan w:val="2"/>
            <w:tcBorders>
              <w:top w:val="single" w:sz="4" w:space="0" w:color="auto"/>
              <w:left w:val="nil"/>
              <w:right w:val="nil"/>
            </w:tcBorders>
            <w:shd w:val="clear" w:color="auto" w:fill="auto"/>
            <w:noWrap/>
            <w:tcMar>
              <w:left w:w="57" w:type="dxa"/>
              <w:right w:w="57" w:type="dxa"/>
            </w:tcMar>
            <w:vAlign w:val="center"/>
          </w:tcPr>
          <w:p w14:paraId="2DEA72DB" w14:textId="77777777" w:rsidR="007D7BB4" w:rsidRPr="00A2224C" w:rsidRDefault="007D7BB4" w:rsidP="008D32BA">
            <w:pPr>
              <w:jc w:val="right"/>
              <w:rPr>
                <w:rFonts w:ascii="Times New Roman" w:hAnsi="Times New Roman"/>
                <w:i/>
                <w:color w:val="000000"/>
                <w:sz w:val="20"/>
              </w:rPr>
            </w:pPr>
          </w:p>
        </w:tc>
        <w:tc>
          <w:tcPr>
            <w:tcW w:w="430" w:type="pct"/>
            <w:gridSpan w:val="2"/>
            <w:tcBorders>
              <w:top w:val="single" w:sz="4" w:space="0" w:color="auto"/>
              <w:left w:val="nil"/>
              <w:right w:val="nil"/>
            </w:tcBorders>
            <w:tcMar>
              <w:left w:w="57" w:type="dxa"/>
              <w:right w:w="57" w:type="dxa"/>
            </w:tcMar>
            <w:vAlign w:val="center"/>
          </w:tcPr>
          <w:p w14:paraId="16450D88" w14:textId="77777777" w:rsidR="007D7BB4" w:rsidRPr="00A2224C" w:rsidRDefault="007D7BB4" w:rsidP="008D32BA">
            <w:pPr>
              <w:jc w:val="right"/>
              <w:rPr>
                <w:rFonts w:ascii="Times New Roman" w:hAnsi="Times New Roman"/>
                <w:i/>
                <w:color w:val="000000"/>
                <w:sz w:val="20"/>
              </w:rPr>
            </w:pPr>
          </w:p>
        </w:tc>
        <w:tc>
          <w:tcPr>
            <w:tcW w:w="512" w:type="pct"/>
            <w:gridSpan w:val="2"/>
            <w:tcBorders>
              <w:top w:val="single" w:sz="4" w:space="0" w:color="auto"/>
              <w:left w:val="nil"/>
              <w:right w:val="nil"/>
            </w:tcBorders>
            <w:shd w:val="clear" w:color="auto" w:fill="auto"/>
            <w:vAlign w:val="center"/>
          </w:tcPr>
          <w:p w14:paraId="7224E94E" w14:textId="77777777" w:rsidR="007D7BB4" w:rsidRPr="00A2224C" w:rsidRDefault="007D7BB4" w:rsidP="008D32BA">
            <w:pPr>
              <w:jc w:val="right"/>
              <w:rPr>
                <w:rFonts w:ascii="Times New Roman" w:hAnsi="Times New Roman"/>
                <w:i/>
                <w:color w:val="000000"/>
                <w:sz w:val="20"/>
              </w:rPr>
            </w:pPr>
          </w:p>
        </w:tc>
        <w:tc>
          <w:tcPr>
            <w:tcW w:w="577" w:type="pct"/>
            <w:tcBorders>
              <w:top w:val="single" w:sz="4" w:space="0" w:color="auto"/>
              <w:left w:val="nil"/>
              <w:right w:val="nil"/>
            </w:tcBorders>
            <w:shd w:val="clear" w:color="auto" w:fill="auto"/>
            <w:noWrap/>
            <w:tcMar>
              <w:left w:w="28" w:type="dxa"/>
            </w:tcMar>
            <w:vAlign w:val="center"/>
          </w:tcPr>
          <w:p w14:paraId="0D173972" w14:textId="77777777" w:rsidR="007D7BB4" w:rsidRPr="00A2224C" w:rsidRDefault="007D7BB4" w:rsidP="008D32BA">
            <w:pPr>
              <w:jc w:val="right"/>
              <w:rPr>
                <w:rFonts w:ascii="Times New Roman" w:hAnsi="Times New Roman"/>
                <w:i/>
                <w:color w:val="000000"/>
                <w:sz w:val="20"/>
              </w:rPr>
            </w:pPr>
          </w:p>
        </w:tc>
        <w:tc>
          <w:tcPr>
            <w:tcW w:w="429" w:type="pct"/>
            <w:gridSpan w:val="2"/>
            <w:tcBorders>
              <w:top w:val="single" w:sz="4" w:space="0" w:color="auto"/>
              <w:left w:val="nil"/>
              <w:right w:val="nil"/>
            </w:tcBorders>
            <w:shd w:val="clear" w:color="auto" w:fill="auto"/>
            <w:noWrap/>
            <w:vAlign w:val="center"/>
          </w:tcPr>
          <w:p w14:paraId="4F03714D" w14:textId="77777777" w:rsidR="007D7BB4" w:rsidRPr="00A2224C" w:rsidRDefault="007D7BB4" w:rsidP="008D32BA">
            <w:pPr>
              <w:jc w:val="right"/>
              <w:rPr>
                <w:rFonts w:ascii="Times New Roman" w:hAnsi="Times New Roman"/>
                <w:i/>
                <w:color w:val="000000"/>
                <w:sz w:val="20"/>
              </w:rPr>
            </w:pPr>
          </w:p>
        </w:tc>
        <w:tc>
          <w:tcPr>
            <w:tcW w:w="436" w:type="pct"/>
            <w:tcBorders>
              <w:top w:val="single" w:sz="4" w:space="0" w:color="auto"/>
              <w:left w:val="nil"/>
              <w:right w:val="nil"/>
            </w:tcBorders>
            <w:vAlign w:val="center"/>
          </w:tcPr>
          <w:p w14:paraId="521E7B3A" w14:textId="77777777" w:rsidR="007D7BB4" w:rsidRPr="00A2224C" w:rsidRDefault="007D7BB4" w:rsidP="008D32BA">
            <w:pPr>
              <w:jc w:val="right"/>
              <w:rPr>
                <w:rFonts w:ascii="Times New Roman" w:hAnsi="Times New Roman"/>
                <w:i/>
                <w:color w:val="000000"/>
                <w:sz w:val="20"/>
              </w:rPr>
            </w:pPr>
          </w:p>
        </w:tc>
      </w:tr>
      <w:tr w:rsidR="007D7BB4" w:rsidRPr="00B85D85" w14:paraId="52AE4C4B" w14:textId="77777777" w:rsidTr="008D32BA">
        <w:trPr>
          <w:trHeight w:val="510"/>
        </w:trPr>
        <w:tc>
          <w:tcPr>
            <w:tcW w:w="1017" w:type="pct"/>
            <w:tcBorders>
              <w:left w:val="nil"/>
              <w:bottom w:val="nil"/>
              <w:right w:val="nil"/>
            </w:tcBorders>
            <w:shd w:val="clear" w:color="auto" w:fill="auto"/>
            <w:vAlign w:val="bottom"/>
          </w:tcPr>
          <w:p w14:paraId="64702EFD" w14:textId="77777777" w:rsidR="007D7BB4" w:rsidRPr="00A2224C" w:rsidRDefault="007D7BB4" w:rsidP="008D32BA">
            <w:pPr>
              <w:rPr>
                <w:rFonts w:ascii="Times New Roman" w:hAnsi="Times New Roman"/>
                <w:sz w:val="20"/>
              </w:rPr>
            </w:pPr>
            <w:r w:rsidRPr="00A2224C">
              <w:rPr>
                <w:rFonts w:ascii="Times New Roman" w:hAnsi="Times New Roman"/>
                <w:sz w:val="20"/>
              </w:rPr>
              <w:t>Stillinger uten særskilt krav om utdanning</w:t>
            </w:r>
            <w:r w:rsidRPr="00A2224C">
              <w:rPr>
                <w:rFonts w:ascii="Times New Roman" w:hAnsi="Times New Roman"/>
                <w:sz w:val="20"/>
                <w:vertAlign w:val="superscript"/>
              </w:rPr>
              <w:t>1</w:t>
            </w:r>
          </w:p>
        </w:tc>
        <w:tc>
          <w:tcPr>
            <w:tcW w:w="478" w:type="pct"/>
            <w:tcBorders>
              <w:left w:val="nil"/>
              <w:bottom w:val="nil"/>
              <w:right w:val="nil"/>
            </w:tcBorders>
            <w:shd w:val="clear" w:color="auto" w:fill="auto"/>
            <w:tcMar>
              <w:left w:w="57" w:type="dxa"/>
              <w:right w:w="57" w:type="dxa"/>
            </w:tcMar>
            <w:vAlign w:val="bottom"/>
          </w:tcPr>
          <w:p w14:paraId="3EC77BD9"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273 700</w:t>
            </w:r>
          </w:p>
        </w:tc>
        <w:tc>
          <w:tcPr>
            <w:tcW w:w="609" w:type="pct"/>
            <w:tcBorders>
              <w:left w:val="nil"/>
              <w:bottom w:val="nil"/>
              <w:right w:val="nil"/>
            </w:tcBorders>
            <w:shd w:val="clear" w:color="auto" w:fill="auto"/>
            <w:noWrap/>
            <w:tcMar>
              <w:left w:w="57" w:type="dxa"/>
              <w:right w:w="57" w:type="dxa"/>
            </w:tcMar>
            <w:vAlign w:val="bottom"/>
          </w:tcPr>
          <w:p w14:paraId="05E708C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274 700</w:t>
            </w:r>
          </w:p>
        </w:tc>
        <w:tc>
          <w:tcPr>
            <w:tcW w:w="512" w:type="pct"/>
            <w:gridSpan w:val="2"/>
            <w:tcBorders>
              <w:left w:val="nil"/>
              <w:bottom w:val="nil"/>
              <w:right w:val="nil"/>
            </w:tcBorders>
            <w:shd w:val="clear" w:color="auto" w:fill="auto"/>
            <w:noWrap/>
            <w:tcMar>
              <w:left w:w="57" w:type="dxa"/>
              <w:right w:w="57" w:type="dxa"/>
            </w:tcMar>
            <w:vAlign w:val="bottom"/>
          </w:tcPr>
          <w:p w14:paraId="0B497991"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1 000 </w:t>
            </w:r>
          </w:p>
        </w:tc>
        <w:tc>
          <w:tcPr>
            <w:tcW w:w="430" w:type="pct"/>
            <w:gridSpan w:val="2"/>
            <w:tcBorders>
              <w:left w:val="nil"/>
              <w:bottom w:val="nil"/>
              <w:right w:val="nil"/>
            </w:tcBorders>
            <w:tcMar>
              <w:left w:w="57" w:type="dxa"/>
              <w:right w:w="57" w:type="dxa"/>
            </w:tcMar>
            <w:vAlign w:val="bottom"/>
          </w:tcPr>
          <w:p w14:paraId="1CC96208"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69</w:t>
            </w:r>
          </w:p>
        </w:tc>
        <w:tc>
          <w:tcPr>
            <w:tcW w:w="512" w:type="pct"/>
            <w:gridSpan w:val="2"/>
            <w:tcBorders>
              <w:left w:val="nil"/>
              <w:bottom w:val="nil"/>
              <w:right w:val="nil"/>
            </w:tcBorders>
            <w:shd w:val="clear" w:color="auto" w:fill="auto"/>
            <w:vAlign w:val="bottom"/>
          </w:tcPr>
          <w:p w14:paraId="74C282C7"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339 900</w:t>
            </w:r>
          </w:p>
        </w:tc>
        <w:tc>
          <w:tcPr>
            <w:tcW w:w="577" w:type="pct"/>
            <w:tcBorders>
              <w:left w:val="nil"/>
              <w:bottom w:val="nil"/>
              <w:right w:val="nil"/>
            </w:tcBorders>
            <w:shd w:val="clear" w:color="auto" w:fill="auto"/>
            <w:noWrap/>
            <w:tcMar>
              <w:left w:w="28" w:type="dxa"/>
            </w:tcMar>
            <w:vAlign w:val="bottom"/>
          </w:tcPr>
          <w:p w14:paraId="651FFD22"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340 400</w:t>
            </w:r>
          </w:p>
        </w:tc>
        <w:tc>
          <w:tcPr>
            <w:tcW w:w="429" w:type="pct"/>
            <w:gridSpan w:val="2"/>
            <w:tcBorders>
              <w:left w:val="nil"/>
              <w:bottom w:val="nil"/>
              <w:right w:val="nil"/>
            </w:tcBorders>
            <w:shd w:val="clear" w:color="auto" w:fill="auto"/>
            <w:noWrap/>
            <w:vAlign w:val="bottom"/>
          </w:tcPr>
          <w:p w14:paraId="173EF079"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500 </w:t>
            </w:r>
          </w:p>
        </w:tc>
        <w:tc>
          <w:tcPr>
            <w:tcW w:w="436" w:type="pct"/>
            <w:tcBorders>
              <w:left w:val="nil"/>
              <w:bottom w:val="nil"/>
              <w:right w:val="nil"/>
            </w:tcBorders>
            <w:vAlign w:val="bottom"/>
          </w:tcPr>
          <w:p w14:paraId="649C13B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79</w:t>
            </w:r>
          </w:p>
        </w:tc>
      </w:tr>
      <w:tr w:rsidR="007D7BB4" w:rsidRPr="00B85D85" w14:paraId="289554FE" w14:textId="77777777" w:rsidTr="008D32BA">
        <w:trPr>
          <w:trHeight w:val="510"/>
        </w:trPr>
        <w:tc>
          <w:tcPr>
            <w:tcW w:w="1017" w:type="pct"/>
            <w:tcBorders>
              <w:top w:val="nil"/>
              <w:left w:val="nil"/>
              <w:bottom w:val="nil"/>
              <w:right w:val="nil"/>
            </w:tcBorders>
            <w:shd w:val="clear" w:color="auto" w:fill="auto"/>
            <w:vAlign w:val="bottom"/>
          </w:tcPr>
          <w:p w14:paraId="03B1C526"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Fagarbeiderstillinger/ tilsvarende fag-arbeiderstillinger</w:t>
            </w:r>
          </w:p>
        </w:tc>
        <w:tc>
          <w:tcPr>
            <w:tcW w:w="478" w:type="pct"/>
            <w:tcBorders>
              <w:top w:val="nil"/>
              <w:left w:val="nil"/>
              <w:bottom w:val="nil"/>
              <w:right w:val="nil"/>
            </w:tcBorders>
            <w:shd w:val="clear" w:color="auto" w:fill="auto"/>
            <w:tcMar>
              <w:left w:w="57" w:type="dxa"/>
              <w:right w:w="57" w:type="dxa"/>
            </w:tcMar>
            <w:vAlign w:val="bottom"/>
          </w:tcPr>
          <w:p w14:paraId="55E4E57F"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316 300</w:t>
            </w:r>
          </w:p>
        </w:tc>
        <w:tc>
          <w:tcPr>
            <w:tcW w:w="609" w:type="pct"/>
            <w:tcBorders>
              <w:top w:val="nil"/>
              <w:left w:val="nil"/>
              <w:bottom w:val="nil"/>
              <w:right w:val="nil"/>
            </w:tcBorders>
            <w:shd w:val="clear" w:color="auto" w:fill="auto"/>
            <w:noWrap/>
            <w:tcMar>
              <w:left w:w="57" w:type="dxa"/>
              <w:right w:w="57" w:type="dxa"/>
            </w:tcMar>
            <w:vAlign w:val="bottom"/>
          </w:tcPr>
          <w:p w14:paraId="494516CC"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319 000</w:t>
            </w:r>
          </w:p>
        </w:tc>
        <w:tc>
          <w:tcPr>
            <w:tcW w:w="512" w:type="pct"/>
            <w:gridSpan w:val="2"/>
            <w:tcBorders>
              <w:top w:val="nil"/>
              <w:left w:val="nil"/>
              <w:bottom w:val="nil"/>
              <w:right w:val="nil"/>
            </w:tcBorders>
            <w:shd w:val="clear" w:color="auto" w:fill="auto"/>
            <w:noWrap/>
            <w:tcMar>
              <w:left w:w="57" w:type="dxa"/>
              <w:right w:w="57" w:type="dxa"/>
            </w:tcMar>
            <w:vAlign w:val="bottom"/>
          </w:tcPr>
          <w:p w14:paraId="7A886BE5"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2 700 </w:t>
            </w:r>
          </w:p>
        </w:tc>
        <w:tc>
          <w:tcPr>
            <w:tcW w:w="430" w:type="pct"/>
            <w:gridSpan w:val="2"/>
            <w:tcBorders>
              <w:top w:val="nil"/>
              <w:left w:val="nil"/>
              <w:bottom w:val="nil"/>
              <w:right w:val="nil"/>
            </w:tcBorders>
            <w:tcMar>
              <w:left w:w="57" w:type="dxa"/>
              <w:right w:w="57" w:type="dxa"/>
            </w:tcMar>
            <w:vAlign w:val="bottom"/>
          </w:tcPr>
          <w:p w14:paraId="5EA01D96"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71</w:t>
            </w:r>
          </w:p>
        </w:tc>
        <w:tc>
          <w:tcPr>
            <w:tcW w:w="512" w:type="pct"/>
            <w:gridSpan w:val="2"/>
            <w:tcBorders>
              <w:top w:val="nil"/>
              <w:left w:val="nil"/>
              <w:bottom w:val="nil"/>
              <w:right w:val="nil"/>
            </w:tcBorders>
            <w:shd w:val="clear" w:color="auto" w:fill="auto"/>
            <w:vAlign w:val="bottom"/>
          </w:tcPr>
          <w:p w14:paraId="3F9BE4D3"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375 100</w:t>
            </w:r>
          </w:p>
        </w:tc>
        <w:tc>
          <w:tcPr>
            <w:tcW w:w="577" w:type="pct"/>
            <w:tcBorders>
              <w:top w:val="nil"/>
              <w:left w:val="nil"/>
              <w:bottom w:val="nil"/>
              <w:right w:val="nil"/>
            </w:tcBorders>
            <w:shd w:val="clear" w:color="auto" w:fill="auto"/>
            <w:noWrap/>
            <w:tcMar>
              <w:left w:w="28" w:type="dxa"/>
            </w:tcMar>
            <w:vAlign w:val="bottom"/>
          </w:tcPr>
          <w:p w14:paraId="5AA64A9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381 900</w:t>
            </w:r>
          </w:p>
        </w:tc>
        <w:tc>
          <w:tcPr>
            <w:tcW w:w="429" w:type="pct"/>
            <w:gridSpan w:val="2"/>
            <w:tcBorders>
              <w:top w:val="nil"/>
              <w:left w:val="nil"/>
              <w:bottom w:val="nil"/>
              <w:right w:val="nil"/>
            </w:tcBorders>
            <w:shd w:val="clear" w:color="auto" w:fill="auto"/>
            <w:noWrap/>
            <w:vAlign w:val="bottom"/>
          </w:tcPr>
          <w:p w14:paraId="388972AE"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6 800 </w:t>
            </w:r>
          </w:p>
        </w:tc>
        <w:tc>
          <w:tcPr>
            <w:tcW w:w="436" w:type="pct"/>
            <w:tcBorders>
              <w:top w:val="nil"/>
              <w:left w:val="nil"/>
              <w:bottom w:val="nil"/>
              <w:right w:val="nil"/>
            </w:tcBorders>
            <w:vAlign w:val="bottom"/>
          </w:tcPr>
          <w:p w14:paraId="0C014A8A"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83</w:t>
            </w:r>
          </w:p>
        </w:tc>
      </w:tr>
      <w:tr w:rsidR="007D7BB4" w:rsidRPr="00B85D85" w14:paraId="6031C33F" w14:textId="77777777" w:rsidTr="008D32BA">
        <w:trPr>
          <w:trHeight w:val="510"/>
        </w:trPr>
        <w:tc>
          <w:tcPr>
            <w:tcW w:w="1017" w:type="pct"/>
            <w:tcBorders>
              <w:top w:val="nil"/>
              <w:left w:val="nil"/>
              <w:bottom w:val="nil"/>
              <w:right w:val="nil"/>
            </w:tcBorders>
            <w:shd w:val="clear" w:color="auto" w:fill="auto"/>
            <w:vAlign w:val="bottom"/>
          </w:tcPr>
          <w:p w14:paraId="03EA6B58"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Stillinger med krav om høyskoleutdanning</w:t>
            </w:r>
          </w:p>
        </w:tc>
        <w:tc>
          <w:tcPr>
            <w:tcW w:w="478" w:type="pct"/>
            <w:tcBorders>
              <w:top w:val="nil"/>
              <w:left w:val="nil"/>
              <w:bottom w:val="nil"/>
              <w:right w:val="nil"/>
            </w:tcBorders>
            <w:shd w:val="clear" w:color="auto" w:fill="auto"/>
            <w:tcMar>
              <w:left w:w="57" w:type="dxa"/>
              <w:right w:w="57" w:type="dxa"/>
            </w:tcMar>
            <w:vAlign w:val="bottom"/>
          </w:tcPr>
          <w:p w14:paraId="5324C4F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364 500</w:t>
            </w:r>
          </w:p>
        </w:tc>
        <w:tc>
          <w:tcPr>
            <w:tcW w:w="609" w:type="pct"/>
            <w:tcBorders>
              <w:top w:val="nil"/>
              <w:left w:val="nil"/>
              <w:bottom w:val="nil"/>
              <w:right w:val="nil"/>
            </w:tcBorders>
            <w:shd w:val="clear" w:color="auto" w:fill="auto"/>
            <w:noWrap/>
            <w:tcMar>
              <w:left w:w="57" w:type="dxa"/>
              <w:right w:w="57" w:type="dxa"/>
            </w:tcMar>
            <w:vAlign w:val="bottom"/>
          </w:tcPr>
          <w:p w14:paraId="44A61CB0"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367 500</w:t>
            </w:r>
          </w:p>
        </w:tc>
        <w:tc>
          <w:tcPr>
            <w:tcW w:w="512" w:type="pct"/>
            <w:gridSpan w:val="2"/>
            <w:tcBorders>
              <w:top w:val="nil"/>
              <w:left w:val="nil"/>
              <w:bottom w:val="nil"/>
              <w:right w:val="nil"/>
            </w:tcBorders>
            <w:shd w:val="clear" w:color="auto" w:fill="auto"/>
            <w:noWrap/>
            <w:tcMar>
              <w:left w:w="57" w:type="dxa"/>
              <w:right w:w="57" w:type="dxa"/>
            </w:tcMar>
            <w:vAlign w:val="bottom"/>
          </w:tcPr>
          <w:p w14:paraId="33A772AA"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3 000 </w:t>
            </w:r>
          </w:p>
        </w:tc>
        <w:tc>
          <w:tcPr>
            <w:tcW w:w="430" w:type="pct"/>
            <w:gridSpan w:val="2"/>
            <w:tcBorders>
              <w:top w:val="nil"/>
              <w:left w:val="nil"/>
              <w:bottom w:val="nil"/>
              <w:right w:val="nil"/>
            </w:tcBorders>
            <w:tcMar>
              <w:left w:w="57" w:type="dxa"/>
              <w:right w:w="57" w:type="dxa"/>
            </w:tcMar>
            <w:vAlign w:val="bottom"/>
          </w:tcPr>
          <w:p w14:paraId="39E6BEB9"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86</w:t>
            </w:r>
          </w:p>
        </w:tc>
        <w:tc>
          <w:tcPr>
            <w:tcW w:w="512" w:type="pct"/>
            <w:gridSpan w:val="2"/>
            <w:tcBorders>
              <w:top w:val="nil"/>
              <w:left w:val="nil"/>
              <w:bottom w:val="nil"/>
              <w:right w:val="nil"/>
            </w:tcBorders>
            <w:shd w:val="clear" w:color="auto" w:fill="auto"/>
            <w:vAlign w:val="bottom"/>
          </w:tcPr>
          <w:p w14:paraId="642F8650"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419 500</w:t>
            </w:r>
          </w:p>
        </w:tc>
        <w:tc>
          <w:tcPr>
            <w:tcW w:w="577" w:type="pct"/>
            <w:tcBorders>
              <w:top w:val="nil"/>
              <w:left w:val="nil"/>
              <w:bottom w:val="nil"/>
              <w:right w:val="nil"/>
            </w:tcBorders>
            <w:shd w:val="clear" w:color="auto" w:fill="auto"/>
            <w:noWrap/>
            <w:tcMar>
              <w:left w:w="28" w:type="dxa"/>
            </w:tcMar>
            <w:vAlign w:val="bottom"/>
          </w:tcPr>
          <w:p w14:paraId="0E40935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426 400</w:t>
            </w:r>
          </w:p>
        </w:tc>
        <w:tc>
          <w:tcPr>
            <w:tcW w:w="429" w:type="pct"/>
            <w:gridSpan w:val="2"/>
            <w:tcBorders>
              <w:top w:val="nil"/>
              <w:left w:val="nil"/>
              <w:bottom w:val="nil"/>
              <w:right w:val="nil"/>
            </w:tcBorders>
            <w:shd w:val="clear" w:color="auto" w:fill="auto"/>
            <w:noWrap/>
            <w:vAlign w:val="bottom"/>
          </w:tcPr>
          <w:p w14:paraId="5E622AA1"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6 900 </w:t>
            </w:r>
          </w:p>
        </w:tc>
        <w:tc>
          <w:tcPr>
            <w:tcW w:w="436" w:type="pct"/>
            <w:tcBorders>
              <w:top w:val="nil"/>
              <w:left w:val="nil"/>
              <w:bottom w:val="nil"/>
              <w:right w:val="nil"/>
            </w:tcBorders>
            <w:vAlign w:val="bottom"/>
          </w:tcPr>
          <w:p w14:paraId="770A4624"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89</w:t>
            </w:r>
          </w:p>
        </w:tc>
      </w:tr>
      <w:tr w:rsidR="007D7BB4" w:rsidRPr="00B85D85" w14:paraId="38F1ECCF" w14:textId="77777777" w:rsidTr="008D32BA">
        <w:trPr>
          <w:trHeight w:val="510"/>
        </w:trPr>
        <w:tc>
          <w:tcPr>
            <w:tcW w:w="1017" w:type="pct"/>
            <w:tcBorders>
              <w:top w:val="nil"/>
              <w:left w:val="nil"/>
              <w:bottom w:val="nil"/>
              <w:right w:val="nil"/>
            </w:tcBorders>
            <w:shd w:val="clear" w:color="auto" w:fill="auto"/>
            <w:vAlign w:val="bottom"/>
          </w:tcPr>
          <w:p w14:paraId="701C1E93"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Stillinger med krav om høyskoleutdanning med ytterligere spesialutdanning</w:t>
            </w:r>
          </w:p>
        </w:tc>
        <w:tc>
          <w:tcPr>
            <w:tcW w:w="478" w:type="pct"/>
            <w:tcBorders>
              <w:top w:val="nil"/>
              <w:left w:val="nil"/>
              <w:bottom w:val="nil"/>
              <w:right w:val="nil"/>
            </w:tcBorders>
            <w:shd w:val="clear" w:color="auto" w:fill="auto"/>
            <w:tcMar>
              <w:left w:w="57" w:type="dxa"/>
              <w:right w:w="57" w:type="dxa"/>
            </w:tcMar>
            <w:vAlign w:val="bottom"/>
          </w:tcPr>
          <w:p w14:paraId="01CDF3A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383 100</w:t>
            </w:r>
          </w:p>
        </w:tc>
        <w:tc>
          <w:tcPr>
            <w:tcW w:w="609" w:type="pct"/>
            <w:tcBorders>
              <w:top w:val="nil"/>
              <w:left w:val="nil"/>
              <w:bottom w:val="nil"/>
              <w:right w:val="nil"/>
            </w:tcBorders>
            <w:shd w:val="clear" w:color="auto" w:fill="auto"/>
            <w:noWrap/>
            <w:tcMar>
              <w:left w:w="57" w:type="dxa"/>
              <w:right w:w="57" w:type="dxa"/>
            </w:tcMar>
            <w:vAlign w:val="bottom"/>
          </w:tcPr>
          <w:p w14:paraId="5509FA8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385 600</w:t>
            </w:r>
          </w:p>
        </w:tc>
        <w:tc>
          <w:tcPr>
            <w:tcW w:w="512" w:type="pct"/>
            <w:gridSpan w:val="2"/>
            <w:tcBorders>
              <w:top w:val="nil"/>
              <w:left w:val="nil"/>
              <w:bottom w:val="nil"/>
              <w:right w:val="nil"/>
            </w:tcBorders>
            <w:shd w:val="clear" w:color="auto" w:fill="auto"/>
            <w:noWrap/>
            <w:tcMar>
              <w:left w:w="57" w:type="dxa"/>
              <w:right w:w="57" w:type="dxa"/>
            </w:tcMar>
            <w:vAlign w:val="bottom"/>
          </w:tcPr>
          <w:p w14:paraId="7ADC0BB7"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2 500 </w:t>
            </w:r>
          </w:p>
        </w:tc>
        <w:tc>
          <w:tcPr>
            <w:tcW w:w="430" w:type="pct"/>
            <w:gridSpan w:val="2"/>
            <w:tcBorders>
              <w:top w:val="nil"/>
              <w:left w:val="nil"/>
              <w:bottom w:val="nil"/>
              <w:right w:val="nil"/>
            </w:tcBorders>
            <w:tcMar>
              <w:left w:w="57" w:type="dxa"/>
              <w:right w:w="57" w:type="dxa"/>
            </w:tcMar>
            <w:vAlign w:val="bottom"/>
          </w:tcPr>
          <w:p w14:paraId="66BA6F0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90</w:t>
            </w:r>
          </w:p>
        </w:tc>
        <w:tc>
          <w:tcPr>
            <w:tcW w:w="512" w:type="pct"/>
            <w:gridSpan w:val="2"/>
            <w:tcBorders>
              <w:top w:val="nil"/>
              <w:left w:val="nil"/>
              <w:bottom w:val="nil"/>
              <w:right w:val="nil"/>
            </w:tcBorders>
            <w:shd w:val="clear" w:color="auto" w:fill="auto"/>
            <w:vAlign w:val="bottom"/>
          </w:tcPr>
          <w:p w14:paraId="1943446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447 600</w:t>
            </w:r>
          </w:p>
        </w:tc>
        <w:tc>
          <w:tcPr>
            <w:tcW w:w="577" w:type="pct"/>
            <w:tcBorders>
              <w:top w:val="nil"/>
              <w:left w:val="nil"/>
              <w:bottom w:val="nil"/>
              <w:right w:val="nil"/>
            </w:tcBorders>
            <w:shd w:val="clear" w:color="auto" w:fill="auto"/>
            <w:noWrap/>
            <w:tcMar>
              <w:left w:w="28" w:type="dxa"/>
            </w:tcMar>
            <w:vAlign w:val="bottom"/>
          </w:tcPr>
          <w:p w14:paraId="44A4E95B"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460 000</w:t>
            </w:r>
          </w:p>
        </w:tc>
        <w:tc>
          <w:tcPr>
            <w:tcW w:w="429" w:type="pct"/>
            <w:gridSpan w:val="2"/>
            <w:tcBorders>
              <w:top w:val="nil"/>
              <w:left w:val="nil"/>
              <w:bottom w:val="nil"/>
              <w:right w:val="nil"/>
            </w:tcBorders>
            <w:shd w:val="clear" w:color="auto" w:fill="auto"/>
            <w:noWrap/>
            <w:vAlign w:val="bottom"/>
          </w:tcPr>
          <w:p w14:paraId="05992726"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12 400 </w:t>
            </w:r>
          </w:p>
        </w:tc>
        <w:tc>
          <w:tcPr>
            <w:tcW w:w="436" w:type="pct"/>
            <w:tcBorders>
              <w:top w:val="nil"/>
              <w:left w:val="nil"/>
              <w:bottom w:val="nil"/>
              <w:right w:val="nil"/>
            </w:tcBorders>
            <w:vAlign w:val="bottom"/>
          </w:tcPr>
          <w:p w14:paraId="5F7F7D2C"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93</w:t>
            </w:r>
          </w:p>
        </w:tc>
      </w:tr>
      <w:tr w:rsidR="007D7BB4" w:rsidRPr="00B85D85" w14:paraId="4CF7C5DA" w14:textId="77777777" w:rsidTr="008D32BA">
        <w:trPr>
          <w:trHeight w:val="510"/>
        </w:trPr>
        <w:tc>
          <w:tcPr>
            <w:tcW w:w="1017" w:type="pct"/>
            <w:tcBorders>
              <w:top w:val="nil"/>
              <w:left w:val="nil"/>
              <w:bottom w:val="nil"/>
              <w:right w:val="nil"/>
            </w:tcBorders>
            <w:shd w:val="clear" w:color="auto" w:fill="auto"/>
            <w:vAlign w:val="bottom"/>
          </w:tcPr>
          <w:p w14:paraId="34168349"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 xml:space="preserve">Stillinger med krav om mastergrad </w:t>
            </w:r>
          </w:p>
        </w:tc>
        <w:tc>
          <w:tcPr>
            <w:tcW w:w="478" w:type="pct"/>
            <w:tcBorders>
              <w:top w:val="nil"/>
              <w:left w:val="nil"/>
              <w:bottom w:val="nil"/>
              <w:right w:val="nil"/>
            </w:tcBorders>
            <w:shd w:val="clear" w:color="auto" w:fill="auto"/>
            <w:tcMar>
              <w:left w:w="57" w:type="dxa"/>
              <w:right w:w="57" w:type="dxa"/>
            </w:tcMar>
            <w:vAlign w:val="bottom"/>
          </w:tcPr>
          <w:p w14:paraId="5EB7694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411 800</w:t>
            </w:r>
          </w:p>
        </w:tc>
        <w:tc>
          <w:tcPr>
            <w:tcW w:w="609" w:type="pct"/>
            <w:tcBorders>
              <w:top w:val="nil"/>
              <w:left w:val="nil"/>
              <w:bottom w:val="nil"/>
              <w:right w:val="nil"/>
            </w:tcBorders>
            <w:shd w:val="clear" w:color="auto" w:fill="auto"/>
            <w:noWrap/>
            <w:tcMar>
              <w:left w:w="57" w:type="dxa"/>
              <w:right w:w="57" w:type="dxa"/>
            </w:tcMar>
            <w:vAlign w:val="bottom"/>
          </w:tcPr>
          <w:p w14:paraId="3D4F8A63"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416 300</w:t>
            </w:r>
          </w:p>
        </w:tc>
        <w:tc>
          <w:tcPr>
            <w:tcW w:w="512" w:type="pct"/>
            <w:gridSpan w:val="2"/>
            <w:tcBorders>
              <w:top w:val="nil"/>
              <w:left w:val="nil"/>
              <w:bottom w:val="nil"/>
              <w:right w:val="nil"/>
            </w:tcBorders>
            <w:shd w:val="clear" w:color="auto" w:fill="auto"/>
            <w:noWrap/>
            <w:tcMar>
              <w:left w:w="57" w:type="dxa"/>
              <w:right w:w="57" w:type="dxa"/>
            </w:tcMar>
            <w:vAlign w:val="bottom"/>
          </w:tcPr>
          <w:p w14:paraId="2F7CC285"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4 500 </w:t>
            </w:r>
          </w:p>
        </w:tc>
        <w:tc>
          <w:tcPr>
            <w:tcW w:w="430" w:type="pct"/>
            <w:gridSpan w:val="2"/>
            <w:tcBorders>
              <w:top w:val="nil"/>
              <w:left w:val="nil"/>
              <w:bottom w:val="nil"/>
              <w:right w:val="nil"/>
            </w:tcBorders>
            <w:tcMar>
              <w:left w:w="57" w:type="dxa"/>
              <w:right w:w="57" w:type="dxa"/>
            </w:tcMar>
            <w:vAlign w:val="bottom"/>
          </w:tcPr>
          <w:p w14:paraId="603F37E3"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92</w:t>
            </w:r>
          </w:p>
        </w:tc>
        <w:tc>
          <w:tcPr>
            <w:tcW w:w="512" w:type="pct"/>
            <w:gridSpan w:val="2"/>
            <w:tcBorders>
              <w:top w:val="nil"/>
              <w:left w:val="nil"/>
              <w:bottom w:val="nil"/>
              <w:right w:val="nil"/>
            </w:tcBorders>
            <w:shd w:val="clear" w:color="auto" w:fill="auto"/>
            <w:noWrap/>
            <w:vAlign w:val="bottom"/>
          </w:tcPr>
          <w:p w14:paraId="744FFBEB"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491 500</w:t>
            </w:r>
          </w:p>
        </w:tc>
        <w:tc>
          <w:tcPr>
            <w:tcW w:w="577" w:type="pct"/>
            <w:tcBorders>
              <w:top w:val="nil"/>
              <w:left w:val="nil"/>
              <w:bottom w:val="nil"/>
              <w:right w:val="nil"/>
            </w:tcBorders>
            <w:shd w:val="clear" w:color="auto" w:fill="auto"/>
            <w:noWrap/>
            <w:tcMar>
              <w:left w:w="28" w:type="dxa"/>
            </w:tcMar>
            <w:vAlign w:val="bottom"/>
          </w:tcPr>
          <w:p w14:paraId="3B805B43"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500 200</w:t>
            </w:r>
          </w:p>
        </w:tc>
        <w:tc>
          <w:tcPr>
            <w:tcW w:w="429" w:type="pct"/>
            <w:gridSpan w:val="2"/>
            <w:tcBorders>
              <w:top w:val="nil"/>
              <w:left w:val="nil"/>
              <w:bottom w:val="nil"/>
              <w:right w:val="nil"/>
            </w:tcBorders>
            <w:shd w:val="clear" w:color="auto" w:fill="auto"/>
            <w:noWrap/>
            <w:vAlign w:val="bottom"/>
          </w:tcPr>
          <w:p w14:paraId="4639DA9A"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8 700 </w:t>
            </w:r>
          </w:p>
        </w:tc>
        <w:tc>
          <w:tcPr>
            <w:tcW w:w="436" w:type="pct"/>
            <w:tcBorders>
              <w:top w:val="nil"/>
              <w:left w:val="nil"/>
              <w:bottom w:val="nil"/>
              <w:right w:val="nil"/>
            </w:tcBorders>
            <w:vAlign w:val="bottom"/>
          </w:tcPr>
          <w:p w14:paraId="348427C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86</w:t>
            </w:r>
          </w:p>
        </w:tc>
      </w:tr>
      <w:tr w:rsidR="007D7BB4" w:rsidRPr="00B85D85" w14:paraId="23509A5B" w14:textId="77777777" w:rsidTr="008D32BA">
        <w:trPr>
          <w:trHeight w:val="255"/>
        </w:trPr>
        <w:tc>
          <w:tcPr>
            <w:tcW w:w="1017" w:type="pct"/>
            <w:tcBorders>
              <w:top w:val="nil"/>
              <w:left w:val="nil"/>
              <w:bottom w:val="nil"/>
              <w:right w:val="nil"/>
            </w:tcBorders>
            <w:shd w:val="clear" w:color="auto" w:fill="auto"/>
            <w:vAlign w:val="bottom"/>
          </w:tcPr>
          <w:p w14:paraId="586E28FD" w14:textId="77777777" w:rsidR="007D7BB4" w:rsidRPr="00B85D85" w:rsidRDefault="007D7BB4" w:rsidP="008D32BA">
            <w:pPr>
              <w:spacing w:after="0"/>
              <w:rPr>
                <w:rFonts w:ascii="Times New Roman" w:hAnsi="Times New Roman"/>
                <w:sz w:val="20"/>
              </w:rPr>
            </w:pPr>
          </w:p>
        </w:tc>
        <w:tc>
          <w:tcPr>
            <w:tcW w:w="478" w:type="pct"/>
            <w:tcBorders>
              <w:top w:val="nil"/>
              <w:left w:val="nil"/>
              <w:bottom w:val="single" w:sz="4" w:space="0" w:color="auto"/>
              <w:right w:val="nil"/>
            </w:tcBorders>
            <w:shd w:val="clear" w:color="auto" w:fill="auto"/>
            <w:tcMar>
              <w:left w:w="57" w:type="dxa"/>
              <w:right w:w="57" w:type="dxa"/>
            </w:tcMar>
            <w:vAlign w:val="bottom"/>
          </w:tcPr>
          <w:p w14:paraId="1527683A" w14:textId="77777777" w:rsidR="007D7BB4" w:rsidRPr="00B85D85" w:rsidRDefault="007D7BB4" w:rsidP="008D32BA">
            <w:pPr>
              <w:spacing w:after="0"/>
              <w:rPr>
                <w:rFonts w:ascii="Times New Roman" w:hAnsi="Times New Roman"/>
                <w:sz w:val="20"/>
              </w:rPr>
            </w:pPr>
          </w:p>
        </w:tc>
        <w:tc>
          <w:tcPr>
            <w:tcW w:w="609" w:type="pct"/>
            <w:tcBorders>
              <w:top w:val="nil"/>
              <w:left w:val="nil"/>
              <w:bottom w:val="single" w:sz="4" w:space="0" w:color="auto"/>
              <w:right w:val="nil"/>
            </w:tcBorders>
            <w:shd w:val="clear" w:color="auto" w:fill="auto"/>
            <w:noWrap/>
            <w:tcMar>
              <w:left w:w="57" w:type="dxa"/>
              <w:right w:w="57" w:type="dxa"/>
            </w:tcMar>
            <w:vAlign w:val="bottom"/>
          </w:tcPr>
          <w:p w14:paraId="23D62548" w14:textId="77777777" w:rsidR="007D7BB4" w:rsidRPr="00B85D85" w:rsidRDefault="007D7BB4" w:rsidP="008D32BA">
            <w:pPr>
              <w:spacing w:after="0"/>
              <w:rPr>
                <w:rFonts w:ascii="Times New Roman" w:hAnsi="Times New Roman"/>
                <w:sz w:val="20"/>
              </w:rPr>
            </w:pPr>
          </w:p>
        </w:tc>
        <w:tc>
          <w:tcPr>
            <w:tcW w:w="512" w:type="pct"/>
            <w:gridSpan w:val="2"/>
            <w:tcBorders>
              <w:top w:val="nil"/>
              <w:left w:val="nil"/>
              <w:bottom w:val="single" w:sz="4" w:space="0" w:color="auto"/>
              <w:right w:val="nil"/>
            </w:tcBorders>
            <w:shd w:val="clear" w:color="auto" w:fill="auto"/>
            <w:noWrap/>
            <w:tcMar>
              <w:left w:w="57" w:type="dxa"/>
              <w:right w:w="57" w:type="dxa"/>
            </w:tcMar>
            <w:vAlign w:val="bottom"/>
          </w:tcPr>
          <w:p w14:paraId="6960F513" w14:textId="77777777" w:rsidR="007D7BB4" w:rsidRPr="00B85D85" w:rsidRDefault="007D7BB4" w:rsidP="008D32BA">
            <w:pPr>
              <w:spacing w:after="0"/>
              <w:rPr>
                <w:rFonts w:ascii="Times New Roman" w:hAnsi="Times New Roman"/>
                <w:sz w:val="20"/>
              </w:rPr>
            </w:pPr>
          </w:p>
        </w:tc>
        <w:tc>
          <w:tcPr>
            <w:tcW w:w="430" w:type="pct"/>
            <w:gridSpan w:val="2"/>
            <w:tcBorders>
              <w:top w:val="nil"/>
              <w:left w:val="nil"/>
              <w:bottom w:val="single" w:sz="4" w:space="0" w:color="auto"/>
              <w:right w:val="nil"/>
            </w:tcBorders>
            <w:tcMar>
              <w:left w:w="57" w:type="dxa"/>
              <w:right w:w="57" w:type="dxa"/>
            </w:tcMar>
          </w:tcPr>
          <w:p w14:paraId="47A6C367" w14:textId="77777777" w:rsidR="007D7BB4" w:rsidRPr="00B85D85" w:rsidRDefault="007D7BB4" w:rsidP="008D32BA">
            <w:pPr>
              <w:spacing w:after="0"/>
              <w:jc w:val="right"/>
              <w:rPr>
                <w:rFonts w:ascii="Times New Roman" w:hAnsi="Times New Roman"/>
                <w:color w:val="000000"/>
                <w:sz w:val="20"/>
              </w:rPr>
            </w:pPr>
          </w:p>
        </w:tc>
        <w:tc>
          <w:tcPr>
            <w:tcW w:w="512" w:type="pct"/>
            <w:gridSpan w:val="2"/>
            <w:tcBorders>
              <w:top w:val="nil"/>
              <w:left w:val="nil"/>
              <w:bottom w:val="single" w:sz="4" w:space="0" w:color="auto"/>
              <w:right w:val="nil"/>
            </w:tcBorders>
            <w:shd w:val="clear" w:color="auto" w:fill="auto"/>
            <w:noWrap/>
            <w:vAlign w:val="bottom"/>
          </w:tcPr>
          <w:p w14:paraId="63A316AA" w14:textId="77777777" w:rsidR="007D7BB4" w:rsidRPr="00B85D85" w:rsidRDefault="007D7BB4" w:rsidP="008D32BA">
            <w:pPr>
              <w:spacing w:after="0"/>
              <w:jc w:val="right"/>
              <w:rPr>
                <w:rFonts w:ascii="Times New Roman" w:hAnsi="Times New Roman"/>
                <w:color w:val="000000"/>
                <w:sz w:val="20"/>
              </w:rPr>
            </w:pPr>
          </w:p>
        </w:tc>
        <w:tc>
          <w:tcPr>
            <w:tcW w:w="577" w:type="pct"/>
            <w:tcBorders>
              <w:top w:val="nil"/>
              <w:left w:val="nil"/>
              <w:bottom w:val="single" w:sz="4" w:space="0" w:color="auto"/>
              <w:right w:val="nil"/>
            </w:tcBorders>
            <w:shd w:val="clear" w:color="auto" w:fill="auto"/>
            <w:noWrap/>
            <w:vAlign w:val="bottom"/>
          </w:tcPr>
          <w:p w14:paraId="02A96635" w14:textId="77777777" w:rsidR="007D7BB4" w:rsidRPr="00B85D85" w:rsidRDefault="007D7BB4" w:rsidP="008D32BA">
            <w:pPr>
              <w:spacing w:after="0"/>
              <w:jc w:val="right"/>
              <w:rPr>
                <w:rFonts w:ascii="Times New Roman" w:hAnsi="Times New Roman"/>
                <w:color w:val="000000"/>
                <w:sz w:val="20"/>
              </w:rPr>
            </w:pPr>
          </w:p>
        </w:tc>
        <w:tc>
          <w:tcPr>
            <w:tcW w:w="429" w:type="pct"/>
            <w:gridSpan w:val="2"/>
            <w:tcBorders>
              <w:top w:val="nil"/>
              <w:left w:val="nil"/>
              <w:bottom w:val="single" w:sz="4" w:space="0" w:color="auto"/>
              <w:right w:val="nil"/>
            </w:tcBorders>
            <w:shd w:val="clear" w:color="auto" w:fill="auto"/>
            <w:noWrap/>
            <w:vAlign w:val="bottom"/>
          </w:tcPr>
          <w:p w14:paraId="37C2A8B1" w14:textId="77777777" w:rsidR="007D7BB4" w:rsidRPr="00B85D85" w:rsidRDefault="007D7BB4" w:rsidP="008D32BA">
            <w:pPr>
              <w:spacing w:after="0"/>
              <w:jc w:val="right"/>
              <w:rPr>
                <w:rFonts w:ascii="Times New Roman" w:hAnsi="Times New Roman"/>
                <w:color w:val="000000"/>
                <w:sz w:val="20"/>
              </w:rPr>
            </w:pPr>
          </w:p>
        </w:tc>
        <w:tc>
          <w:tcPr>
            <w:tcW w:w="436" w:type="pct"/>
            <w:tcBorders>
              <w:top w:val="nil"/>
              <w:left w:val="nil"/>
              <w:bottom w:val="single" w:sz="4" w:space="0" w:color="auto"/>
              <w:right w:val="nil"/>
            </w:tcBorders>
            <w:vAlign w:val="bottom"/>
          </w:tcPr>
          <w:p w14:paraId="41CE52F0" w14:textId="77777777" w:rsidR="007D7BB4" w:rsidRPr="00B85D85" w:rsidRDefault="007D7BB4" w:rsidP="008D32BA">
            <w:pPr>
              <w:spacing w:after="0"/>
              <w:jc w:val="right"/>
              <w:rPr>
                <w:rFonts w:ascii="Times New Roman" w:hAnsi="Times New Roman"/>
                <w:color w:val="000000"/>
                <w:sz w:val="20"/>
              </w:rPr>
            </w:pPr>
          </w:p>
        </w:tc>
      </w:tr>
      <w:tr w:rsidR="007D7BB4" w:rsidRPr="00B85D85" w14:paraId="343B1E2B" w14:textId="77777777" w:rsidTr="008D32BA">
        <w:trPr>
          <w:trHeight w:val="255"/>
        </w:trPr>
        <w:tc>
          <w:tcPr>
            <w:tcW w:w="1017" w:type="pct"/>
            <w:tcBorders>
              <w:top w:val="nil"/>
              <w:left w:val="nil"/>
              <w:bottom w:val="nil"/>
              <w:right w:val="nil"/>
            </w:tcBorders>
            <w:shd w:val="clear" w:color="auto" w:fill="auto"/>
            <w:vAlign w:val="bottom"/>
          </w:tcPr>
          <w:p w14:paraId="663E4E60" w14:textId="77777777" w:rsidR="007D7BB4" w:rsidRPr="00B85D85" w:rsidRDefault="007D7BB4" w:rsidP="008D32BA">
            <w:pPr>
              <w:spacing w:after="0"/>
              <w:rPr>
                <w:rFonts w:ascii="Times New Roman" w:hAnsi="Times New Roman"/>
                <w:sz w:val="20"/>
              </w:rPr>
            </w:pPr>
          </w:p>
        </w:tc>
        <w:tc>
          <w:tcPr>
            <w:tcW w:w="2028" w:type="pct"/>
            <w:gridSpan w:val="6"/>
            <w:tcBorders>
              <w:top w:val="single" w:sz="4" w:space="0" w:color="auto"/>
              <w:left w:val="nil"/>
              <w:bottom w:val="single" w:sz="4" w:space="0" w:color="auto"/>
              <w:right w:val="nil"/>
            </w:tcBorders>
            <w:shd w:val="clear" w:color="auto" w:fill="auto"/>
            <w:noWrap/>
            <w:tcMar>
              <w:left w:w="57" w:type="dxa"/>
              <w:right w:w="57" w:type="dxa"/>
            </w:tcMar>
            <w:vAlign w:val="bottom"/>
          </w:tcPr>
          <w:p w14:paraId="7F51B75A" w14:textId="77777777" w:rsidR="007D7BB4" w:rsidRPr="00B85D85" w:rsidRDefault="007D7BB4" w:rsidP="008D32BA">
            <w:pPr>
              <w:spacing w:after="0"/>
              <w:jc w:val="center"/>
              <w:rPr>
                <w:rFonts w:ascii="Times New Roman" w:hAnsi="Times New Roman"/>
                <w:color w:val="000000"/>
                <w:sz w:val="20"/>
              </w:rPr>
            </w:pPr>
            <w:r w:rsidRPr="00B85D85">
              <w:rPr>
                <w:rFonts w:ascii="Times New Roman" w:hAnsi="Times New Roman"/>
                <w:color w:val="000000"/>
                <w:sz w:val="20"/>
              </w:rPr>
              <w:t>Ansiennitet 0 år</w:t>
            </w:r>
          </w:p>
        </w:tc>
        <w:tc>
          <w:tcPr>
            <w:tcW w:w="1954" w:type="pct"/>
            <w:gridSpan w:val="6"/>
            <w:tcBorders>
              <w:top w:val="single" w:sz="4" w:space="0" w:color="auto"/>
              <w:left w:val="nil"/>
              <w:bottom w:val="single" w:sz="4" w:space="0" w:color="auto"/>
              <w:right w:val="nil"/>
            </w:tcBorders>
            <w:shd w:val="clear" w:color="auto" w:fill="auto"/>
            <w:noWrap/>
            <w:vAlign w:val="bottom"/>
          </w:tcPr>
          <w:p w14:paraId="7CF3E8E9" w14:textId="77777777" w:rsidR="007D7BB4" w:rsidRPr="00B85D85" w:rsidRDefault="007D7BB4" w:rsidP="008D32BA">
            <w:pPr>
              <w:spacing w:after="0"/>
              <w:jc w:val="center"/>
              <w:rPr>
                <w:rFonts w:ascii="Times New Roman" w:hAnsi="Times New Roman"/>
                <w:color w:val="000000"/>
                <w:sz w:val="20"/>
              </w:rPr>
            </w:pPr>
            <w:r w:rsidRPr="00B85D85">
              <w:rPr>
                <w:rFonts w:ascii="Times New Roman" w:hAnsi="Times New Roman"/>
                <w:color w:val="000000"/>
                <w:sz w:val="20"/>
              </w:rPr>
              <w:t>Ansiennitet 16 år</w:t>
            </w:r>
          </w:p>
        </w:tc>
      </w:tr>
      <w:tr w:rsidR="007D7BB4" w:rsidRPr="00B85D85" w14:paraId="2A86F79F" w14:textId="77777777" w:rsidTr="008D32BA">
        <w:trPr>
          <w:trHeight w:val="754"/>
        </w:trPr>
        <w:tc>
          <w:tcPr>
            <w:tcW w:w="1017" w:type="pct"/>
            <w:tcBorders>
              <w:top w:val="nil"/>
              <w:left w:val="nil"/>
              <w:bottom w:val="nil"/>
              <w:right w:val="nil"/>
            </w:tcBorders>
            <w:shd w:val="clear" w:color="auto" w:fill="auto"/>
            <w:vAlign w:val="bottom"/>
          </w:tcPr>
          <w:p w14:paraId="5B012445" w14:textId="77777777" w:rsidR="007D7BB4" w:rsidRPr="00B85D85" w:rsidRDefault="007D7BB4" w:rsidP="008D32BA">
            <w:pPr>
              <w:spacing w:after="0"/>
              <w:jc w:val="center"/>
              <w:rPr>
                <w:rFonts w:ascii="Times New Roman" w:hAnsi="Times New Roman"/>
                <w:sz w:val="20"/>
              </w:rPr>
            </w:pPr>
          </w:p>
        </w:tc>
        <w:tc>
          <w:tcPr>
            <w:tcW w:w="478" w:type="pct"/>
            <w:tcBorders>
              <w:top w:val="single" w:sz="4" w:space="0" w:color="auto"/>
              <w:left w:val="nil"/>
              <w:bottom w:val="single" w:sz="4" w:space="0" w:color="auto"/>
              <w:right w:val="nil"/>
            </w:tcBorders>
            <w:shd w:val="clear" w:color="auto" w:fill="auto"/>
            <w:tcMar>
              <w:left w:w="57" w:type="dxa"/>
              <w:right w:w="57" w:type="dxa"/>
            </w:tcMar>
            <w:vAlign w:val="bottom"/>
          </w:tcPr>
          <w:p w14:paraId="55D9644D"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Minste-lønnssats </w:t>
            </w:r>
            <w:r w:rsidRPr="00B85D85">
              <w:rPr>
                <w:rFonts w:ascii="Times New Roman" w:hAnsi="Times New Roman"/>
                <w:sz w:val="20"/>
              </w:rPr>
              <w:t>1. mai 2014</w:t>
            </w:r>
          </w:p>
        </w:tc>
        <w:tc>
          <w:tcPr>
            <w:tcW w:w="609" w:type="pct"/>
            <w:tcBorders>
              <w:top w:val="single" w:sz="4" w:space="0" w:color="auto"/>
              <w:left w:val="nil"/>
              <w:bottom w:val="single" w:sz="4" w:space="0" w:color="auto"/>
              <w:right w:val="nil"/>
            </w:tcBorders>
            <w:shd w:val="clear" w:color="auto" w:fill="auto"/>
            <w:noWrap/>
            <w:tcMar>
              <w:left w:w="57" w:type="dxa"/>
              <w:right w:w="57" w:type="dxa"/>
            </w:tcMar>
            <w:vAlign w:val="bottom"/>
          </w:tcPr>
          <w:p w14:paraId="0FE9B3C5" w14:textId="77777777" w:rsidR="007D7BB4" w:rsidRPr="00B85D85" w:rsidRDefault="007D7BB4" w:rsidP="008D32BA">
            <w:pPr>
              <w:spacing w:after="0"/>
              <w:jc w:val="center"/>
              <w:rPr>
                <w:rFonts w:ascii="Times New Roman" w:hAnsi="Times New Roman"/>
                <w:sz w:val="20"/>
              </w:rPr>
            </w:pPr>
            <w:r>
              <w:rPr>
                <w:rFonts w:ascii="Times New Roman" w:hAnsi="Times New Roman"/>
                <w:sz w:val="20"/>
              </w:rPr>
              <w:t xml:space="preserve">Garantilønn inkl. tillegg </w:t>
            </w:r>
            <w:r w:rsidRPr="00B85D85">
              <w:rPr>
                <w:rFonts w:ascii="Times New Roman" w:hAnsi="Times New Roman"/>
                <w:sz w:val="20"/>
              </w:rPr>
              <w:t>1. mai 201</w:t>
            </w:r>
            <w:r>
              <w:rPr>
                <w:rFonts w:ascii="Times New Roman" w:hAnsi="Times New Roman"/>
                <w:sz w:val="20"/>
              </w:rPr>
              <w:t>5</w:t>
            </w:r>
          </w:p>
        </w:tc>
        <w:tc>
          <w:tcPr>
            <w:tcW w:w="507" w:type="pct"/>
            <w:tcBorders>
              <w:top w:val="nil"/>
              <w:left w:val="nil"/>
              <w:bottom w:val="single" w:sz="4" w:space="0" w:color="auto"/>
              <w:right w:val="nil"/>
            </w:tcBorders>
            <w:shd w:val="clear" w:color="auto" w:fill="auto"/>
            <w:noWrap/>
            <w:tcMar>
              <w:left w:w="57" w:type="dxa"/>
              <w:right w:w="57" w:type="dxa"/>
            </w:tcMar>
            <w:vAlign w:val="bottom"/>
          </w:tcPr>
          <w:p w14:paraId="13A23F39" w14:textId="77777777" w:rsidR="007D7BB4" w:rsidRPr="00B85D85" w:rsidRDefault="007D7BB4" w:rsidP="008D32BA">
            <w:pPr>
              <w:spacing w:after="0"/>
              <w:jc w:val="center"/>
              <w:rPr>
                <w:rFonts w:ascii="Times New Roman" w:hAnsi="Times New Roman"/>
                <w:color w:val="000000"/>
                <w:sz w:val="20"/>
              </w:rPr>
            </w:pPr>
            <w:r>
              <w:rPr>
                <w:rFonts w:ascii="Times New Roman" w:hAnsi="Times New Roman"/>
                <w:sz w:val="20"/>
              </w:rPr>
              <w:t>Tillegg 1. mai 2015</w:t>
            </w:r>
          </w:p>
        </w:tc>
        <w:tc>
          <w:tcPr>
            <w:tcW w:w="416" w:type="pct"/>
            <w:gridSpan w:val="2"/>
            <w:tcBorders>
              <w:top w:val="nil"/>
              <w:left w:val="nil"/>
              <w:bottom w:val="single" w:sz="4" w:space="0" w:color="auto"/>
              <w:right w:val="nil"/>
            </w:tcBorders>
            <w:tcMar>
              <w:left w:w="57" w:type="dxa"/>
              <w:right w:w="57" w:type="dxa"/>
            </w:tcMar>
            <w:vAlign w:val="bottom"/>
          </w:tcPr>
          <w:p w14:paraId="52601917" w14:textId="77777777" w:rsidR="007D7BB4" w:rsidRPr="00B85D85" w:rsidRDefault="007D7BB4" w:rsidP="008D32BA">
            <w:pPr>
              <w:spacing w:after="0"/>
              <w:jc w:val="center"/>
              <w:rPr>
                <w:rFonts w:ascii="Times New Roman" w:hAnsi="Times New Roman"/>
                <w:color w:val="000000"/>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c>
          <w:tcPr>
            <w:tcW w:w="526" w:type="pct"/>
            <w:gridSpan w:val="2"/>
            <w:tcBorders>
              <w:top w:val="nil"/>
              <w:left w:val="nil"/>
              <w:bottom w:val="single" w:sz="4" w:space="0" w:color="auto"/>
              <w:right w:val="nil"/>
            </w:tcBorders>
            <w:shd w:val="clear" w:color="auto" w:fill="auto"/>
            <w:vAlign w:val="bottom"/>
          </w:tcPr>
          <w:p w14:paraId="4BAF67B6" w14:textId="77777777" w:rsidR="007D7BB4" w:rsidRPr="00B85D85" w:rsidRDefault="007D7BB4" w:rsidP="008D32BA">
            <w:pPr>
              <w:spacing w:after="0"/>
              <w:jc w:val="center"/>
              <w:rPr>
                <w:rFonts w:ascii="Times New Roman" w:hAnsi="Times New Roman"/>
                <w:color w:val="000000"/>
                <w:sz w:val="20"/>
              </w:rPr>
            </w:pPr>
            <w:r>
              <w:rPr>
                <w:rFonts w:ascii="Times New Roman" w:hAnsi="Times New Roman"/>
                <w:sz w:val="20"/>
              </w:rPr>
              <w:t xml:space="preserve">Minste-lønnssats </w:t>
            </w:r>
            <w:r w:rsidRPr="00B85D85">
              <w:rPr>
                <w:rFonts w:ascii="Times New Roman" w:hAnsi="Times New Roman"/>
                <w:sz w:val="20"/>
              </w:rPr>
              <w:t>1. mai 2014</w:t>
            </w:r>
          </w:p>
        </w:tc>
        <w:tc>
          <w:tcPr>
            <w:tcW w:w="582" w:type="pct"/>
            <w:gridSpan w:val="2"/>
            <w:tcBorders>
              <w:top w:val="nil"/>
              <w:left w:val="nil"/>
              <w:bottom w:val="single" w:sz="4" w:space="0" w:color="auto"/>
              <w:right w:val="nil"/>
            </w:tcBorders>
            <w:shd w:val="clear" w:color="auto" w:fill="auto"/>
            <w:noWrap/>
            <w:vAlign w:val="bottom"/>
          </w:tcPr>
          <w:p w14:paraId="232AA196" w14:textId="77777777" w:rsidR="007D7BB4" w:rsidRPr="00B85D85" w:rsidRDefault="007D7BB4" w:rsidP="008D32BA">
            <w:pPr>
              <w:spacing w:after="0"/>
              <w:jc w:val="center"/>
              <w:rPr>
                <w:rFonts w:ascii="Times New Roman" w:hAnsi="Times New Roman"/>
                <w:color w:val="000000"/>
                <w:sz w:val="20"/>
              </w:rPr>
            </w:pPr>
            <w:r>
              <w:rPr>
                <w:rFonts w:ascii="Times New Roman" w:hAnsi="Times New Roman"/>
                <w:sz w:val="20"/>
              </w:rPr>
              <w:t xml:space="preserve">Garantilønn inkl. tillegg </w:t>
            </w:r>
            <w:r w:rsidRPr="00B85D85">
              <w:rPr>
                <w:rFonts w:ascii="Times New Roman" w:hAnsi="Times New Roman"/>
                <w:sz w:val="20"/>
              </w:rPr>
              <w:t>1. mai 201</w:t>
            </w:r>
            <w:r>
              <w:rPr>
                <w:rFonts w:ascii="Times New Roman" w:hAnsi="Times New Roman"/>
                <w:sz w:val="20"/>
              </w:rPr>
              <w:t>5</w:t>
            </w:r>
          </w:p>
        </w:tc>
        <w:tc>
          <w:tcPr>
            <w:tcW w:w="409" w:type="pct"/>
            <w:tcBorders>
              <w:top w:val="nil"/>
              <w:left w:val="nil"/>
              <w:bottom w:val="single" w:sz="4" w:space="0" w:color="auto"/>
              <w:right w:val="nil"/>
            </w:tcBorders>
            <w:shd w:val="clear" w:color="auto" w:fill="auto"/>
            <w:noWrap/>
            <w:vAlign w:val="bottom"/>
          </w:tcPr>
          <w:p w14:paraId="3585C39F" w14:textId="77777777" w:rsidR="007D7BB4" w:rsidRPr="00B85D85" w:rsidRDefault="007D7BB4" w:rsidP="008D32BA">
            <w:pPr>
              <w:spacing w:after="0"/>
              <w:jc w:val="center"/>
              <w:rPr>
                <w:rFonts w:ascii="Times New Roman" w:hAnsi="Times New Roman"/>
                <w:color w:val="000000"/>
                <w:sz w:val="20"/>
              </w:rPr>
            </w:pPr>
            <w:r>
              <w:rPr>
                <w:rFonts w:ascii="Times New Roman" w:hAnsi="Times New Roman"/>
                <w:sz w:val="20"/>
              </w:rPr>
              <w:t>Tillegg 1. mai 2015</w:t>
            </w:r>
          </w:p>
        </w:tc>
        <w:tc>
          <w:tcPr>
            <w:tcW w:w="456" w:type="pct"/>
            <w:gridSpan w:val="2"/>
            <w:tcBorders>
              <w:top w:val="nil"/>
              <w:left w:val="nil"/>
              <w:bottom w:val="single" w:sz="4" w:space="0" w:color="auto"/>
              <w:right w:val="nil"/>
            </w:tcBorders>
            <w:vAlign w:val="bottom"/>
          </w:tcPr>
          <w:p w14:paraId="67AE7337" w14:textId="77777777" w:rsidR="007D7BB4" w:rsidRPr="00B85D85" w:rsidRDefault="007D7BB4" w:rsidP="008D32BA">
            <w:pPr>
              <w:spacing w:after="0"/>
              <w:jc w:val="center"/>
              <w:rPr>
                <w:rFonts w:ascii="Times New Roman" w:hAnsi="Times New Roman"/>
                <w:color w:val="000000"/>
                <w:sz w:val="20"/>
              </w:rPr>
            </w:pPr>
            <w:r w:rsidRPr="00B85D85">
              <w:rPr>
                <w:rFonts w:ascii="Times New Roman" w:hAnsi="Times New Roman"/>
                <w:sz w:val="20"/>
              </w:rPr>
              <w:t>Andel</w:t>
            </w:r>
            <w:r w:rsidRPr="00B85D85">
              <w:rPr>
                <w:rFonts w:ascii="Times New Roman" w:hAnsi="Times New Roman"/>
                <w:sz w:val="20"/>
                <w:vertAlign w:val="superscript"/>
              </w:rPr>
              <w:t>2</w:t>
            </w:r>
            <w:r w:rsidRPr="00B85D85">
              <w:rPr>
                <w:rFonts w:ascii="Times New Roman" w:hAnsi="Times New Roman"/>
                <w:sz w:val="20"/>
              </w:rPr>
              <w:t xml:space="preserve"> kvinner, prosent</w:t>
            </w:r>
          </w:p>
        </w:tc>
      </w:tr>
      <w:tr w:rsidR="007D7BB4" w:rsidRPr="00B85D85" w14:paraId="6D8A1A00" w14:textId="77777777" w:rsidTr="008D32BA">
        <w:trPr>
          <w:trHeight w:val="255"/>
        </w:trPr>
        <w:tc>
          <w:tcPr>
            <w:tcW w:w="1017" w:type="pct"/>
            <w:tcBorders>
              <w:top w:val="nil"/>
              <w:left w:val="nil"/>
              <w:bottom w:val="nil"/>
              <w:right w:val="nil"/>
            </w:tcBorders>
            <w:shd w:val="clear" w:color="auto" w:fill="auto"/>
            <w:vAlign w:val="bottom"/>
          </w:tcPr>
          <w:p w14:paraId="16D66528"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 xml:space="preserve">Lærer </w:t>
            </w:r>
          </w:p>
        </w:tc>
        <w:tc>
          <w:tcPr>
            <w:tcW w:w="478" w:type="pct"/>
            <w:tcBorders>
              <w:top w:val="nil"/>
              <w:left w:val="nil"/>
              <w:bottom w:val="nil"/>
              <w:right w:val="nil"/>
            </w:tcBorders>
            <w:shd w:val="clear" w:color="auto" w:fill="auto"/>
            <w:tcMar>
              <w:left w:w="57" w:type="dxa"/>
              <w:right w:w="57" w:type="dxa"/>
            </w:tcMar>
            <w:vAlign w:val="bottom"/>
          </w:tcPr>
          <w:p w14:paraId="39F3739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369 700</w:t>
            </w:r>
          </w:p>
        </w:tc>
        <w:tc>
          <w:tcPr>
            <w:tcW w:w="609" w:type="pct"/>
            <w:tcBorders>
              <w:top w:val="nil"/>
              <w:left w:val="nil"/>
              <w:bottom w:val="nil"/>
              <w:right w:val="nil"/>
            </w:tcBorders>
            <w:shd w:val="clear" w:color="auto" w:fill="auto"/>
            <w:noWrap/>
            <w:tcMar>
              <w:left w:w="57" w:type="dxa"/>
              <w:right w:w="57" w:type="dxa"/>
            </w:tcMar>
            <w:vAlign w:val="bottom"/>
          </w:tcPr>
          <w:p w14:paraId="4BA558D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373 700</w:t>
            </w:r>
          </w:p>
        </w:tc>
        <w:tc>
          <w:tcPr>
            <w:tcW w:w="507" w:type="pct"/>
            <w:tcBorders>
              <w:top w:val="nil"/>
              <w:left w:val="nil"/>
              <w:bottom w:val="nil"/>
              <w:right w:val="nil"/>
            </w:tcBorders>
            <w:shd w:val="clear" w:color="auto" w:fill="auto"/>
            <w:noWrap/>
            <w:tcMar>
              <w:left w:w="57" w:type="dxa"/>
              <w:right w:w="57" w:type="dxa"/>
            </w:tcMar>
            <w:vAlign w:val="bottom"/>
          </w:tcPr>
          <w:p w14:paraId="214D2D48"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4 000 </w:t>
            </w:r>
          </w:p>
        </w:tc>
        <w:tc>
          <w:tcPr>
            <w:tcW w:w="416" w:type="pct"/>
            <w:gridSpan w:val="2"/>
            <w:tcBorders>
              <w:top w:val="nil"/>
              <w:left w:val="nil"/>
              <w:bottom w:val="nil"/>
              <w:right w:val="nil"/>
            </w:tcBorders>
            <w:tcMar>
              <w:left w:w="57" w:type="dxa"/>
              <w:right w:w="57" w:type="dxa"/>
            </w:tcMar>
            <w:vAlign w:val="bottom"/>
          </w:tcPr>
          <w:p w14:paraId="28CEF774"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60</w:t>
            </w:r>
          </w:p>
        </w:tc>
        <w:tc>
          <w:tcPr>
            <w:tcW w:w="526" w:type="pct"/>
            <w:gridSpan w:val="2"/>
            <w:tcBorders>
              <w:top w:val="nil"/>
              <w:left w:val="nil"/>
              <w:bottom w:val="nil"/>
              <w:right w:val="nil"/>
            </w:tcBorders>
            <w:shd w:val="clear" w:color="auto" w:fill="auto"/>
            <w:vAlign w:val="bottom"/>
          </w:tcPr>
          <w:p w14:paraId="26F7DDE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451 200</w:t>
            </w:r>
          </w:p>
        </w:tc>
        <w:tc>
          <w:tcPr>
            <w:tcW w:w="582" w:type="pct"/>
            <w:gridSpan w:val="2"/>
            <w:tcBorders>
              <w:top w:val="nil"/>
              <w:left w:val="nil"/>
              <w:bottom w:val="nil"/>
              <w:right w:val="nil"/>
            </w:tcBorders>
            <w:shd w:val="clear" w:color="auto" w:fill="auto"/>
            <w:noWrap/>
            <w:vAlign w:val="bottom"/>
          </w:tcPr>
          <w:p w14:paraId="0E07D82F"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456 500</w:t>
            </w:r>
          </w:p>
        </w:tc>
        <w:tc>
          <w:tcPr>
            <w:tcW w:w="409" w:type="pct"/>
            <w:tcBorders>
              <w:top w:val="nil"/>
              <w:left w:val="nil"/>
              <w:bottom w:val="nil"/>
              <w:right w:val="nil"/>
            </w:tcBorders>
            <w:shd w:val="clear" w:color="auto" w:fill="auto"/>
            <w:noWrap/>
            <w:vAlign w:val="bottom"/>
          </w:tcPr>
          <w:p w14:paraId="5DFD3593"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5 300 </w:t>
            </w:r>
          </w:p>
        </w:tc>
        <w:tc>
          <w:tcPr>
            <w:tcW w:w="456" w:type="pct"/>
            <w:gridSpan w:val="2"/>
            <w:tcBorders>
              <w:top w:val="nil"/>
              <w:left w:val="nil"/>
              <w:bottom w:val="nil"/>
              <w:right w:val="nil"/>
            </w:tcBorders>
            <w:vAlign w:val="bottom"/>
          </w:tcPr>
          <w:p w14:paraId="55FD3293"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69</w:t>
            </w:r>
          </w:p>
        </w:tc>
      </w:tr>
      <w:tr w:rsidR="007D7BB4" w:rsidRPr="00B85D85" w14:paraId="149E2547" w14:textId="77777777" w:rsidTr="008D32BA">
        <w:trPr>
          <w:trHeight w:val="255"/>
        </w:trPr>
        <w:tc>
          <w:tcPr>
            <w:tcW w:w="1017" w:type="pct"/>
            <w:tcBorders>
              <w:top w:val="nil"/>
              <w:left w:val="nil"/>
              <w:bottom w:val="nil"/>
              <w:right w:val="nil"/>
            </w:tcBorders>
            <w:shd w:val="clear" w:color="auto" w:fill="auto"/>
            <w:vAlign w:val="bottom"/>
          </w:tcPr>
          <w:p w14:paraId="661461B7"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 xml:space="preserve">Adjunkt </w:t>
            </w:r>
          </w:p>
        </w:tc>
        <w:tc>
          <w:tcPr>
            <w:tcW w:w="478" w:type="pct"/>
            <w:tcBorders>
              <w:top w:val="nil"/>
              <w:left w:val="nil"/>
              <w:bottom w:val="nil"/>
              <w:right w:val="nil"/>
            </w:tcBorders>
            <w:shd w:val="clear" w:color="auto" w:fill="auto"/>
            <w:tcMar>
              <w:left w:w="57" w:type="dxa"/>
              <w:right w:w="57" w:type="dxa"/>
            </w:tcMar>
            <w:vAlign w:val="bottom"/>
          </w:tcPr>
          <w:p w14:paraId="36F5A317"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410 800</w:t>
            </w:r>
          </w:p>
        </w:tc>
        <w:tc>
          <w:tcPr>
            <w:tcW w:w="609" w:type="pct"/>
            <w:tcBorders>
              <w:top w:val="nil"/>
              <w:left w:val="nil"/>
              <w:bottom w:val="nil"/>
              <w:right w:val="nil"/>
            </w:tcBorders>
            <w:shd w:val="clear" w:color="auto" w:fill="auto"/>
            <w:noWrap/>
            <w:tcMar>
              <w:left w:w="57" w:type="dxa"/>
              <w:right w:w="57" w:type="dxa"/>
            </w:tcMar>
            <w:vAlign w:val="bottom"/>
          </w:tcPr>
          <w:p w14:paraId="087E7BA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415 800</w:t>
            </w:r>
          </w:p>
        </w:tc>
        <w:tc>
          <w:tcPr>
            <w:tcW w:w="507" w:type="pct"/>
            <w:tcBorders>
              <w:top w:val="nil"/>
              <w:left w:val="nil"/>
              <w:bottom w:val="nil"/>
              <w:right w:val="nil"/>
            </w:tcBorders>
            <w:shd w:val="clear" w:color="auto" w:fill="auto"/>
            <w:noWrap/>
            <w:tcMar>
              <w:left w:w="57" w:type="dxa"/>
              <w:right w:w="57" w:type="dxa"/>
            </w:tcMar>
            <w:vAlign w:val="bottom"/>
          </w:tcPr>
          <w:p w14:paraId="775993E5"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5 000 </w:t>
            </w:r>
          </w:p>
        </w:tc>
        <w:tc>
          <w:tcPr>
            <w:tcW w:w="416" w:type="pct"/>
            <w:gridSpan w:val="2"/>
            <w:tcBorders>
              <w:top w:val="nil"/>
              <w:left w:val="nil"/>
              <w:bottom w:val="nil"/>
              <w:right w:val="nil"/>
            </w:tcBorders>
            <w:tcMar>
              <w:left w:w="57" w:type="dxa"/>
              <w:right w:w="57" w:type="dxa"/>
            </w:tcMar>
            <w:vAlign w:val="bottom"/>
          </w:tcPr>
          <w:p w14:paraId="428BB22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72</w:t>
            </w:r>
          </w:p>
        </w:tc>
        <w:tc>
          <w:tcPr>
            <w:tcW w:w="526" w:type="pct"/>
            <w:gridSpan w:val="2"/>
            <w:tcBorders>
              <w:top w:val="nil"/>
              <w:left w:val="nil"/>
              <w:bottom w:val="nil"/>
              <w:right w:val="nil"/>
            </w:tcBorders>
            <w:shd w:val="clear" w:color="auto" w:fill="auto"/>
            <w:vAlign w:val="bottom"/>
          </w:tcPr>
          <w:p w14:paraId="043F371A"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480 300</w:t>
            </w:r>
          </w:p>
        </w:tc>
        <w:tc>
          <w:tcPr>
            <w:tcW w:w="582" w:type="pct"/>
            <w:gridSpan w:val="2"/>
            <w:tcBorders>
              <w:top w:val="nil"/>
              <w:left w:val="nil"/>
              <w:bottom w:val="nil"/>
              <w:right w:val="nil"/>
            </w:tcBorders>
            <w:shd w:val="clear" w:color="auto" w:fill="auto"/>
            <w:noWrap/>
            <w:vAlign w:val="bottom"/>
          </w:tcPr>
          <w:p w14:paraId="0831904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487 000</w:t>
            </w:r>
          </w:p>
        </w:tc>
        <w:tc>
          <w:tcPr>
            <w:tcW w:w="409" w:type="pct"/>
            <w:tcBorders>
              <w:top w:val="nil"/>
              <w:left w:val="nil"/>
              <w:bottom w:val="nil"/>
              <w:right w:val="nil"/>
            </w:tcBorders>
            <w:shd w:val="clear" w:color="auto" w:fill="auto"/>
            <w:noWrap/>
            <w:vAlign w:val="bottom"/>
          </w:tcPr>
          <w:p w14:paraId="7077BCBE"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6 700 </w:t>
            </w:r>
          </w:p>
        </w:tc>
        <w:tc>
          <w:tcPr>
            <w:tcW w:w="456" w:type="pct"/>
            <w:gridSpan w:val="2"/>
            <w:tcBorders>
              <w:top w:val="nil"/>
              <w:left w:val="nil"/>
              <w:bottom w:val="nil"/>
              <w:right w:val="nil"/>
            </w:tcBorders>
            <w:vAlign w:val="bottom"/>
          </w:tcPr>
          <w:p w14:paraId="3C90A887"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71</w:t>
            </w:r>
          </w:p>
        </w:tc>
      </w:tr>
      <w:tr w:rsidR="007D7BB4" w:rsidRPr="00B85D85" w14:paraId="418E9A38" w14:textId="77777777" w:rsidTr="008D32BA">
        <w:trPr>
          <w:trHeight w:val="255"/>
        </w:trPr>
        <w:tc>
          <w:tcPr>
            <w:tcW w:w="1017" w:type="pct"/>
            <w:tcBorders>
              <w:top w:val="nil"/>
              <w:left w:val="nil"/>
              <w:bottom w:val="nil"/>
              <w:right w:val="nil"/>
            </w:tcBorders>
            <w:shd w:val="clear" w:color="auto" w:fill="auto"/>
            <w:vAlign w:val="bottom"/>
          </w:tcPr>
          <w:p w14:paraId="1208CD4B"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Adjunkt (med tilleggsutdanning)</w:t>
            </w:r>
          </w:p>
        </w:tc>
        <w:tc>
          <w:tcPr>
            <w:tcW w:w="478" w:type="pct"/>
            <w:tcBorders>
              <w:top w:val="nil"/>
              <w:left w:val="nil"/>
              <w:bottom w:val="nil"/>
              <w:right w:val="nil"/>
            </w:tcBorders>
            <w:shd w:val="clear" w:color="auto" w:fill="auto"/>
            <w:tcMar>
              <w:left w:w="57" w:type="dxa"/>
              <w:right w:w="57" w:type="dxa"/>
            </w:tcMar>
            <w:vAlign w:val="bottom"/>
          </w:tcPr>
          <w:p w14:paraId="76B86812"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440 500</w:t>
            </w:r>
          </w:p>
        </w:tc>
        <w:tc>
          <w:tcPr>
            <w:tcW w:w="609" w:type="pct"/>
            <w:tcBorders>
              <w:top w:val="nil"/>
              <w:left w:val="nil"/>
              <w:bottom w:val="nil"/>
              <w:right w:val="nil"/>
            </w:tcBorders>
            <w:shd w:val="clear" w:color="auto" w:fill="auto"/>
            <w:noWrap/>
            <w:tcMar>
              <w:left w:w="57" w:type="dxa"/>
              <w:right w:w="57" w:type="dxa"/>
            </w:tcMar>
            <w:vAlign w:val="bottom"/>
          </w:tcPr>
          <w:p w14:paraId="1B7D72BA"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446 200</w:t>
            </w:r>
          </w:p>
        </w:tc>
        <w:tc>
          <w:tcPr>
            <w:tcW w:w="507" w:type="pct"/>
            <w:tcBorders>
              <w:top w:val="nil"/>
              <w:left w:val="nil"/>
              <w:bottom w:val="nil"/>
              <w:right w:val="nil"/>
            </w:tcBorders>
            <w:shd w:val="clear" w:color="auto" w:fill="auto"/>
            <w:noWrap/>
            <w:tcMar>
              <w:left w:w="57" w:type="dxa"/>
              <w:right w:w="57" w:type="dxa"/>
            </w:tcMar>
            <w:vAlign w:val="bottom"/>
          </w:tcPr>
          <w:p w14:paraId="36A70A89"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5 700 </w:t>
            </w:r>
          </w:p>
        </w:tc>
        <w:tc>
          <w:tcPr>
            <w:tcW w:w="416" w:type="pct"/>
            <w:gridSpan w:val="2"/>
            <w:tcBorders>
              <w:top w:val="nil"/>
              <w:left w:val="nil"/>
              <w:bottom w:val="nil"/>
              <w:right w:val="nil"/>
            </w:tcBorders>
            <w:tcMar>
              <w:left w:w="57" w:type="dxa"/>
              <w:right w:w="57" w:type="dxa"/>
            </w:tcMar>
            <w:vAlign w:val="bottom"/>
          </w:tcPr>
          <w:p w14:paraId="414BEFC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69</w:t>
            </w:r>
          </w:p>
        </w:tc>
        <w:tc>
          <w:tcPr>
            <w:tcW w:w="526" w:type="pct"/>
            <w:gridSpan w:val="2"/>
            <w:tcBorders>
              <w:top w:val="nil"/>
              <w:left w:val="nil"/>
              <w:bottom w:val="nil"/>
              <w:right w:val="nil"/>
            </w:tcBorders>
            <w:shd w:val="clear" w:color="auto" w:fill="auto"/>
            <w:vAlign w:val="bottom"/>
          </w:tcPr>
          <w:p w14:paraId="19398B9E"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517 800</w:t>
            </w:r>
          </w:p>
        </w:tc>
        <w:tc>
          <w:tcPr>
            <w:tcW w:w="582" w:type="pct"/>
            <w:gridSpan w:val="2"/>
            <w:tcBorders>
              <w:top w:val="nil"/>
              <w:left w:val="nil"/>
              <w:bottom w:val="nil"/>
              <w:right w:val="nil"/>
            </w:tcBorders>
            <w:shd w:val="clear" w:color="auto" w:fill="auto"/>
            <w:noWrap/>
            <w:vAlign w:val="bottom"/>
          </w:tcPr>
          <w:p w14:paraId="4FADF155"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525 200</w:t>
            </w:r>
          </w:p>
        </w:tc>
        <w:tc>
          <w:tcPr>
            <w:tcW w:w="409" w:type="pct"/>
            <w:tcBorders>
              <w:top w:val="nil"/>
              <w:left w:val="nil"/>
              <w:bottom w:val="nil"/>
              <w:right w:val="nil"/>
            </w:tcBorders>
            <w:shd w:val="clear" w:color="auto" w:fill="auto"/>
            <w:noWrap/>
            <w:vAlign w:val="bottom"/>
          </w:tcPr>
          <w:p w14:paraId="5F1027EA"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7 400 </w:t>
            </w:r>
          </w:p>
        </w:tc>
        <w:tc>
          <w:tcPr>
            <w:tcW w:w="456" w:type="pct"/>
            <w:gridSpan w:val="2"/>
            <w:tcBorders>
              <w:top w:val="nil"/>
              <w:left w:val="nil"/>
              <w:bottom w:val="nil"/>
              <w:right w:val="nil"/>
            </w:tcBorders>
            <w:vAlign w:val="bottom"/>
          </w:tcPr>
          <w:p w14:paraId="09D81447"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68</w:t>
            </w:r>
          </w:p>
        </w:tc>
      </w:tr>
      <w:tr w:rsidR="007D7BB4" w:rsidRPr="00B85D85" w14:paraId="7CAC9B0C" w14:textId="77777777" w:rsidTr="008D32BA">
        <w:trPr>
          <w:trHeight w:val="255"/>
        </w:trPr>
        <w:tc>
          <w:tcPr>
            <w:tcW w:w="1017" w:type="pct"/>
            <w:tcBorders>
              <w:top w:val="nil"/>
              <w:left w:val="nil"/>
              <w:right w:val="nil"/>
            </w:tcBorders>
            <w:shd w:val="clear" w:color="auto" w:fill="auto"/>
            <w:vAlign w:val="bottom"/>
          </w:tcPr>
          <w:p w14:paraId="16BF398D"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 xml:space="preserve">Lektor </w:t>
            </w:r>
          </w:p>
        </w:tc>
        <w:tc>
          <w:tcPr>
            <w:tcW w:w="478" w:type="pct"/>
            <w:tcBorders>
              <w:top w:val="nil"/>
              <w:left w:val="nil"/>
              <w:right w:val="nil"/>
            </w:tcBorders>
            <w:shd w:val="clear" w:color="auto" w:fill="auto"/>
            <w:tcMar>
              <w:left w:w="57" w:type="dxa"/>
              <w:right w:w="57" w:type="dxa"/>
            </w:tcMar>
            <w:vAlign w:val="bottom"/>
          </w:tcPr>
          <w:p w14:paraId="410F9C95"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462 600</w:t>
            </w:r>
          </w:p>
        </w:tc>
        <w:tc>
          <w:tcPr>
            <w:tcW w:w="609" w:type="pct"/>
            <w:tcBorders>
              <w:top w:val="nil"/>
              <w:left w:val="nil"/>
              <w:right w:val="nil"/>
            </w:tcBorders>
            <w:shd w:val="clear" w:color="auto" w:fill="auto"/>
            <w:noWrap/>
            <w:tcMar>
              <w:left w:w="57" w:type="dxa"/>
              <w:right w:w="57" w:type="dxa"/>
            </w:tcMar>
            <w:vAlign w:val="bottom"/>
          </w:tcPr>
          <w:p w14:paraId="0EF6C91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462 600</w:t>
            </w:r>
          </w:p>
        </w:tc>
        <w:tc>
          <w:tcPr>
            <w:tcW w:w="507" w:type="pct"/>
            <w:tcBorders>
              <w:top w:val="nil"/>
              <w:left w:val="nil"/>
              <w:right w:val="nil"/>
            </w:tcBorders>
            <w:shd w:val="clear" w:color="auto" w:fill="auto"/>
            <w:noWrap/>
            <w:tcMar>
              <w:left w:w="57" w:type="dxa"/>
              <w:right w:w="57" w:type="dxa"/>
            </w:tcMar>
            <w:vAlign w:val="bottom"/>
          </w:tcPr>
          <w:p w14:paraId="2C8E0DDE"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6 200 </w:t>
            </w:r>
          </w:p>
        </w:tc>
        <w:tc>
          <w:tcPr>
            <w:tcW w:w="416" w:type="pct"/>
            <w:gridSpan w:val="2"/>
            <w:tcBorders>
              <w:top w:val="nil"/>
              <w:left w:val="nil"/>
              <w:right w:val="nil"/>
            </w:tcBorders>
            <w:tcMar>
              <w:left w:w="57" w:type="dxa"/>
              <w:right w:w="57" w:type="dxa"/>
            </w:tcMar>
            <w:vAlign w:val="bottom"/>
          </w:tcPr>
          <w:p w14:paraId="60B6B731"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66</w:t>
            </w:r>
          </w:p>
        </w:tc>
        <w:tc>
          <w:tcPr>
            <w:tcW w:w="526" w:type="pct"/>
            <w:gridSpan w:val="2"/>
            <w:tcBorders>
              <w:top w:val="nil"/>
              <w:left w:val="nil"/>
              <w:right w:val="nil"/>
            </w:tcBorders>
            <w:shd w:val="clear" w:color="auto" w:fill="auto"/>
            <w:vAlign w:val="bottom"/>
          </w:tcPr>
          <w:p w14:paraId="5C9EBFD2"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558 300</w:t>
            </w:r>
          </w:p>
        </w:tc>
        <w:tc>
          <w:tcPr>
            <w:tcW w:w="582" w:type="pct"/>
            <w:gridSpan w:val="2"/>
            <w:tcBorders>
              <w:top w:val="nil"/>
              <w:left w:val="nil"/>
              <w:right w:val="nil"/>
            </w:tcBorders>
            <w:shd w:val="clear" w:color="auto" w:fill="auto"/>
            <w:noWrap/>
            <w:vAlign w:val="bottom"/>
          </w:tcPr>
          <w:p w14:paraId="5131C024"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566 800</w:t>
            </w:r>
          </w:p>
        </w:tc>
        <w:tc>
          <w:tcPr>
            <w:tcW w:w="409" w:type="pct"/>
            <w:tcBorders>
              <w:top w:val="nil"/>
              <w:left w:val="nil"/>
              <w:right w:val="nil"/>
            </w:tcBorders>
            <w:shd w:val="clear" w:color="auto" w:fill="auto"/>
            <w:noWrap/>
            <w:vAlign w:val="bottom"/>
          </w:tcPr>
          <w:p w14:paraId="7CA511A5"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8 500 </w:t>
            </w:r>
          </w:p>
        </w:tc>
        <w:tc>
          <w:tcPr>
            <w:tcW w:w="456" w:type="pct"/>
            <w:gridSpan w:val="2"/>
            <w:tcBorders>
              <w:top w:val="nil"/>
              <w:left w:val="nil"/>
              <w:right w:val="nil"/>
            </w:tcBorders>
            <w:vAlign w:val="bottom"/>
          </w:tcPr>
          <w:p w14:paraId="63A2EEB6"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53</w:t>
            </w:r>
          </w:p>
        </w:tc>
      </w:tr>
      <w:tr w:rsidR="007D7BB4" w:rsidRPr="00B85D85" w14:paraId="75269F1E" w14:textId="77777777" w:rsidTr="008D32BA">
        <w:trPr>
          <w:trHeight w:val="255"/>
        </w:trPr>
        <w:tc>
          <w:tcPr>
            <w:tcW w:w="1017" w:type="pct"/>
            <w:tcBorders>
              <w:top w:val="nil"/>
              <w:left w:val="nil"/>
              <w:bottom w:val="single" w:sz="4" w:space="0" w:color="auto"/>
              <w:right w:val="nil"/>
            </w:tcBorders>
            <w:shd w:val="clear" w:color="auto" w:fill="auto"/>
            <w:vAlign w:val="bottom"/>
          </w:tcPr>
          <w:p w14:paraId="04C520E3" w14:textId="77777777" w:rsidR="007D7BB4" w:rsidRPr="00A2224C" w:rsidRDefault="007D7BB4" w:rsidP="008D32BA">
            <w:pPr>
              <w:spacing w:after="0"/>
              <w:rPr>
                <w:rFonts w:ascii="Times New Roman" w:hAnsi="Times New Roman"/>
                <w:sz w:val="20"/>
              </w:rPr>
            </w:pPr>
            <w:r w:rsidRPr="00A2224C">
              <w:rPr>
                <w:rFonts w:ascii="Times New Roman" w:hAnsi="Times New Roman"/>
                <w:sz w:val="20"/>
              </w:rPr>
              <w:t>Lektor (med tilleggsutdanning)</w:t>
            </w:r>
          </w:p>
        </w:tc>
        <w:tc>
          <w:tcPr>
            <w:tcW w:w="478" w:type="pct"/>
            <w:tcBorders>
              <w:top w:val="nil"/>
              <w:left w:val="nil"/>
              <w:bottom w:val="single" w:sz="4" w:space="0" w:color="auto"/>
              <w:right w:val="nil"/>
            </w:tcBorders>
            <w:shd w:val="clear" w:color="auto" w:fill="auto"/>
            <w:tcMar>
              <w:left w:w="57" w:type="dxa"/>
              <w:right w:w="57" w:type="dxa"/>
            </w:tcMar>
            <w:vAlign w:val="bottom"/>
          </w:tcPr>
          <w:p w14:paraId="198B4BF4"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477 700</w:t>
            </w:r>
          </w:p>
        </w:tc>
        <w:tc>
          <w:tcPr>
            <w:tcW w:w="609" w:type="pct"/>
            <w:tcBorders>
              <w:top w:val="nil"/>
              <w:left w:val="nil"/>
              <w:bottom w:val="single" w:sz="4" w:space="0" w:color="auto"/>
              <w:right w:val="nil"/>
            </w:tcBorders>
            <w:shd w:val="clear" w:color="auto" w:fill="auto"/>
            <w:noWrap/>
            <w:tcMar>
              <w:left w:w="57" w:type="dxa"/>
              <w:right w:w="57" w:type="dxa"/>
            </w:tcMar>
            <w:vAlign w:val="bottom"/>
          </w:tcPr>
          <w:p w14:paraId="0FED9EEB"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484 200</w:t>
            </w:r>
          </w:p>
        </w:tc>
        <w:tc>
          <w:tcPr>
            <w:tcW w:w="507" w:type="pct"/>
            <w:tcBorders>
              <w:top w:val="nil"/>
              <w:left w:val="nil"/>
              <w:bottom w:val="single" w:sz="4" w:space="0" w:color="auto"/>
              <w:right w:val="nil"/>
            </w:tcBorders>
            <w:shd w:val="clear" w:color="auto" w:fill="auto"/>
            <w:noWrap/>
            <w:tcMar>
              <w:left w:w="57" w:type="dxa"/>
              <w:right w:w="57" w:type="dxa"/>
            </w:tcMar>
            <w:vAlign w:val="bottom"/>
          </w:tcPr>
          <w:p w14:paraId="29F65798"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6 500 </w:t>
            </w:r>
          </w:p>
        </w:tc>
        <w:tc>
          <w:tcPr>
            <w:tcW w:w="416" w:type="pct"/>
            <w:gridSpan w:val="2"/>
            <w:tcBorders>
              <w:top w:val="nil"/>
              <w:left w:val="nil"/>
              <w:bottom w:val="single" w:sz="4" w:space="0" w:color="auto"/>
              <w:right w:val="nil"/>
            </w:tcBorders>
            <w:tcMar>
              <w:left w:w="57" w:type="dxa"/>
              <w:right w:w="57" w:type="dxa"/>
            </w:tcMar>
            <w:vAlign w:val="bottom"/>
          </w:tcPr>
          <w:p w14:paraId="6A8B1ADD"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63</w:t>
            </w:r>
          </w:p>
        </w:tc>
        <w:tc>
          <w:tcPr>
            <w:tcW w:w="526" w:type="pct"/>
            <w:gridSpan w:val="2"/>
            <w:tcBorders>
              <w:top w:val="nil"/>
              <w:left w:val="nil"/>
              <w:bottom w:val="single" w:sz="4" w:space="0" w:color="auto"/>
              <w:right w:val="nil"/>
            </w:tcBorders>
            <w:shd w:val="clear" w:color="auto" w:fill="auto"/>
            <w:vAlign w:val="bottom"/>
          </w:tcPr>
          <w:p w14:paraId="75927669"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583 100</w:t>
            </w:r>
          </w:p>
        </w:tc>
        <w:tc>
          <w:tcPr>
            <w:tcW w:w="582" w:type="pct"/>
            <w:gridSpan w:val="2"/>
            <w:tcBorders>
              <w:top w:val="nil"/>
              <w:left w:val="nil"/>
              <w:bottom w:val="single" w:sz="4" w:space="0" w:color="auto"/>
              <w:right w:val="nil"/>
            </w:tcBorders>
            <w:shd w:val="clear" w:color="auto" w:fill="auto"/>
            <w:noWrap/>
            <w:vAlign w:val="bottom"/>
          </w:tcPr>
          <w:p w14:paraId="0ED58A17"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color w:val="000000"/>
                <w:sz w:val="20"/>
              </w:rPr>
              <w:t>592 200</w:t>
            </w:r>
          </w:p>
        </w:tc>
        <w:tc>
          <w:tcPr>
            <w:tcW w:w="409" w:type="pct"/>
            <w:tcBorders>
              <w:top w:val="nil"/>
              <w:left w:val="nil"/>
              <w:bottom w:val="single" w:sz="4" w:space="0" w:color="auto"/>
              <w:right w:val="nil"/>
            </w:tcBorders>
            <w:shd w:val="clear" w:color="auto" w:fill="auto"/>
            <w:noWrap/>
            <w:vAlign w:val="bottom"/>
          </w:tcPr>
          <w:p w14:paraId="311F5638" w14:textId="77777777" w:rsidR="007D7BB4" w:rsidRPr="00A2224C" w:rsidRDefault="007D7BB4" w:rsidP="008D32BA">
            <w:pPr>
              <w:autoSpaceDE w:val="0"/>
              <w:autoSpaceDN w:val="0"/>
              <w:adjustRightInd w:val="0"/>
              <w:spacing w:after="0"/>
              <w:jc w:val="right"/>
              <w:rPr>
                <w:rFonts w:ascii="Times New Roman" w:eastAsia="Times New Roman" w:hAnsi="Times New Roman"/>
                <w:color w:val="000000"/>
                <w:sz w:val="20"/>
              </w:rPr>
            </w:pPr>
            <w:r w:rsidRPr="00A2224C">
              <w:rPr>
                <w:rFonts w:ascii="Times New Roman" w:eastAsia="Times New Roman" w:hAnsi="Times New Roman"/>
                <w:color w:val="000000"/>
                <w:sz w:val="20"/>
              </w:rPr>
              <w:t xml:space="preserve">9 100 </w:t>
            </w:r>
          </w:p>
        </w:tc>
        <w:tc>
          <w:tcPr>
            <w:tcW w:w="456" w:type="pct"/>
            <w:gridSpan w:val="2"/>
            <w:tcBorders>
              <w:top w:val="nil"/>
              <w:left w:val="nil"/>
              <w:bottom w:val="single" w:sz="4" w:space="0" w:color="auto"/>
              <w:right w:val="nil"/>
            </w:tcBorders>
            <w:vAlign w:val="bottom"/>
          </w:tcPr>
          <w:p w14:paraId="1A3B6F39" w14:textId="77777777" w:rsidR="007D7BB4" w:rsidRPr="00A2224C" w:rsidRDefault="007D7BB4" w:rsidP="008D32BA">
            <w:pPr>
              <w:spacing w:after="0"/>
              <w:jc w:val="right"/>
              <w:rPr>
                <w:rFonts w:ascii="Times New Roman" w:hAnsi="Times New Roman"/>
                <w:color w:val="000000"/>
                <w:sz w:val="20"/>
              </w:rPr>
            </w:pPr>
            <w:r w:rsidRPr="00A2224C">
              <w:rPr>
                <w:rFonts w:ascii="Times New Roman" w:hAnsi="Times New Roman"/>
                <w:sz w:val="20"/>
              </w:rPr>
              <w:t>56</w:t>
            </w:r>
          </w:p>
        </w:tc>
      </w:tr>
    </w:tbl>
    <w:bookmarkEnd w:id="405"/>
    <w:p w14:paraId="65B331B1" w14:textId="77777777" w:rsidR="007D7BB4" w:rsidRPr="00B85D85" w:rsidRDefault="007D7BB4" w:rsidP="009F0FBE">
      <w:pPr>
        <w:pStyle w:val="tabell-noter"/>
        <w:spacing w:before="0"/>
      </w:pPr>
      <w:r>
        <w:rPr>
          <w:vertAlign w:val="superscript"/>
        </w:rPr>
        <w:t xml:space="preserve">1 </w:t>
      </w:r>
      <w:r w:rsidRPr="00B85D85">
        <w:t>Per 1. mai 201</w:t>
      </w:r>
      <w:r>
        <w:t>5</w:t>
      </w:r>
      <w:r w:rsidRPr="00B85D85">
        <w:t xml:space="preserve"> skal arbeidstakere med minimum 20 års lønnsansiennitet ikke ha lavere grunnlønn </w:t>
      </w:r>
      <w:r w:rsidRPr="00B85D85">
        <w:br/>
        <w:t>enn kr 3</w:t>
      </w:r>
      <w:r>
        <w:t>77</w:t>
      </w:r>
      <w:r w:rsidRPr="00B85D85">
        <w:t xml:space="preserve"> </w:t>
      </w:r>
      <w:r>
        <w:t>4</w:t>
      </w:r>
      <w:r w:rsidRPr="00B85D85">
        <w:t>00 i 100 prosent stilling. Kvinner utgjør 8</w:t>
      </w:r>
      <w:r>
        <w:t>0</w:t>
      </w:r>
      <w:r w:rsidRPr="00B85D85">
        <w:t> prosent av disse arbeidstakerne.</w:t>
      </w:r>
    </w:p>
    <w:p w14:paraId="26862D71" w14:textId="77777777" w:rsidR="007D7BB4" w:rsidRPr="000E7EB1" w:rsidRDefault="007D7BB4" w:rsidP="009F0FBE">
      <w:pPr>
        <w:pStyle w:val="tabell-noter"/>
        <w:spacing w:before="0"/>
      </w:pPr>
      <w:r>
        <w:rPr>
          <w:vertAlign w:val="superscript"/>
        </w:rPr>
        <w:t xml:space="preserve">2 </w:t>
      </w:r>
      <w:r w:rsidRPr="000E7EB1">
        <w:t>Per 1. desember 201</w:t>
      </w:r>
      <w:r>
        <w:t>4</w:t>
      </w:r>
      <w:r w:rsidRPr="000E7EB1">
        <w:t>.  </w:t>
      </w:r>
    </w:p>
    <w:p w14:paraId="048A0F3D" w14:textId="77777777" w:rsidR="007D7BB4" w:rsidRDefault="007D7BB4" w:rsidP="007D7BB4">
      <w:pPr>
        <w:pStyle w:val="Overskrift2"/>
      </w:pPr>
      <w:bookmarkStart w:id="406" w:name="_Toc256681356"/>
      <w:bookmarkStart w:id="407" w:name="_Toc256684373"/>
      <w:bookmarkStart w:id="408" w:name="_Toc257118276"/>
      <w:bookmarkStart w:id="409" w:name="_Toc257201076"/>
      <w:bookmarkStart w:id="410" w:name="_Toc257462265"/>
      <w:bookmarkStart w:id="411" w:name="_Toc264463027"/>
      <w:bookmarkStart w:id="412" w:name="_Toc264645451"/>
      <w:bookmarkStart w:id="413" w:name="_Toc286073410"/>
      <w:bookmarkStart w:id="414" w:name="_Toc286074034"/>
      <w:bookmarkStart w:id="415" w:name="_Toc286075054"/>
      <w:bookmarkStart w:id="416" w:name="_Toc286075303"/>
      <w:bookmarkStart w:id="417" w:name="_Toc359263578"/>
      <w:bookmarkStart w:id="418" w:name="_Toc422226839"/>
      <w:bookmarkStart w:id="419" w:name="_Toc443829084"/>
      <w:bookmarkStart w:id="420" w:name="_Toc443843741"/>
      <w:bookmarkStart w:id="421" w:name="_Toc443844273"/>
      <w:bookmarkStart w:id="422" w:name="_Toc443999013"/>
      <w:r w:rsidRPr="00C61C17">
        <w:t>Oppgjørene i Spekter-området</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3F7739B4" w14:textId="77777777" w:rsidR="007D7BB4" w:rsidRPr="00A24F46" w:rsidRDefault="007D7BB4" w:rsidP="007D7BB4">
      <w:r w:rsidRPr="001B5AD3">
        <w:t>Forhandlingsordningen er hjemlet i fem hovedavtaler som er inngått mellom Spekter og hhv. hovedorganisasjonene LO, YS, Unio, Akademikerne og mellom Spekter og Sammenslutningen av akademikerorganisasjoner i Spekter, SAN.</w:t>
      </w:r>
    </w:p>
    <w:p w14:paraId="5BED7E1D" w14:textId="77777777" w:rsidR="007D7BB4" w:rsidRPr="001B5AD3" w:rsidRDefault="007D7BB4" w:rsidP="007D7BB4">
      <w:r w:rsidRPr="001B5AD3">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kan avtales avvikende ordninger.</w:t>
      </w:r>
    </w:p>
    <w:p w14:paraId="410C0291" w14:textId="77777777" w:rsidR="007D7BB4" w:rsidRDefault="007D7BB4" w:rsidP="007D7BB4">
      <w:r w:rsidRPr="006E2241">
        <w:rPr>
          <w:rFonts w:hint="eastAsia"/>
        </w:rPr>
        <w:t xml:space="preserve">På A-nivå </w:t>
      </w:r>
      <w:r w:rsidRPr="006E2241">
        <w:t>ble</w:t>
      </w:r>
      <w:r w:rsidRPr="006E2241">
        <w:rPr>
          <w:rFonts w:hint="eastAsia"/>
        </w:rPr>
        <w:t xml:space="preserve"> det mellom </w:t>
      </w:r>
      <w:r w:rsidRPr="006E2241">
        <w:t>Spekter</w:t>
      </w:r>
      <w:r w:rsidRPr="006E2241">
        <w:rPr>
          <w:rFonts w:hint="eastAsia"/>
        </w:rPr>
        <w:t xml:space="preserve"> og LO</w:t>
      </w:r>
      <w:r w:rsidRPr="006E2241">
        <w:t xml:space="preserve"> </w:t>
      </w:r>
      <w:r w:rsidRPr="006E2241">
        <w:rPr>
          <w:rFonts w:hint="eastAsia"/>
        </w:rPr>
        <w:t>Stat og mellom S</w:t>
      </w:r>
      <w:r w:rsidRPr="006E2241">
        <w:t>pekter</w:t>
      </w:r>
      <w:r w:rsidRPr="006E2241">
        <w:rPr>
          <w:rFonts w:hint="eastAsia"/>
        </w:rPr>
        <w:t xml:space="preserve"> og YS</w:t>
      </w:r>
      <w:r w:rsidRPr="006E2241">
        <w:t xml:space="preserve"> Spekter</w:t>
      </w:r>
      <w:r w:rsidRPr="006E2241">
        <w:rPr>
          <w:rFonts w:hint="eastAsia"/>
        </w:rPr>
        <w:t xml:space="preserve"> enighet om et </w:t>
      </w:r>
      <w:r w:rsidRPr="006E2241">
        <w:t xml:space="preserve">generelt </w:t>
      </w:r>
      <w:r w:rsidRPr="006E2241">
        <w:rPr>
          <w:rFonts w:hint="eastAsia"/>
        </w:rPr>
        <w:t>tillegg fra 1. april 20</w:t>
      </w:r>
      <w:r>
        <w:t>15</w:t>
      </w:r>
      <w:r w:rsidRPr="006E2241">
        <w:rPr>
          <w:rFonts w:hint="eastAsia"/>
        </w:rPr>
        <w:t xml:space="preserve"> på kr</w:t>
      </w:r>
      <w:r w:rsidRPr="006E2241">
        <w:t xml:space="preserve"> </w:t>
      </w:r>
      <w:r>
        <w:t xml:space="preserve">3 413 </w:t>
      </w:r>
      <w:r w:rsidRPr="006E2241">
        <w:rPr>
          <w:rFonts w:hint="eastAsia"/>
        </w:rPr>
        <w:t>p</w:t>
      </w:r>
      <w:r w:rsidRPr="006E2241">
        <w:t>er</w:t>
      </w:r>
      <w:r w:rsidRPr="006E2241">
        <w:rPr>
          <w:rFonts w:hint="eastAsia"/>
        </w:rPr>
        <w:t xml:space="preserve"> år </w:t>
      </w:r>
      <w:r>
        <w:t>til arbeidstakere (unntatt lærlinger og unge arbeidstakere) med årslønn på kr 388 013 eller lavere. For helseforetakene ble det avtalt at lønnstillegg skulle avtales i de videre forhandlinger. Nettbuss var ikke omfattet av lønnsreguleringen avtalt på A- nivå, da lønnsreguleringer her følger lønnsreguleringene i bussbransjen i NHO.</w:t>
      </w:r>
    </w:p>
    <w:p w14:paraId="04CB3AF6" w14:textId="77777777" w:rsidR="007D7BB4" w:rsidRPr="006E2241" w:rsidRDefault="007D7BB4" w:rsidP="007D7BB4">
      <w:r w:rsidRPr="006E2241">
        <w:t>Det ble ført forhandlinger i de enkelte virksomheter (B-nivå) om ytterligere lønnstillegg. I disse forhandlingene ble det gitt noe varierende tillegg.  </w:t>
      </w:r>
    </w:p>
    <w:p w14:paraId="03A1B162" w14:textId="77777777" w:rsidR="007D7BB4" w:rsidRDefault="007D7BB4" w:rsidP="007D7BB4">
      <w:r>
        <w:t>For akademikergruppene i Spekter (ekskl. Legeforeningen) gis det ikke sentrale generelle tillegg. Lønnstilleggene for disse gruppene avtales lokalt.</w:t>
      </w:r>
    </w:p>
    <w:p w14:paraId="6D1EB10D" w14:textId="77777777" w:rsidR="007D7BB4" w:rsidRDefault="007D7BB4" w:rsidP="007D7BB4">
      <w:r>
        <w:t xml:space="preserve">I </w:t>
      </w:r>
      <w:r w:rsidRPr="00E32A04">
        <w:rPr>
          <w:i/>
        </w:rPr>
        <w:t>helseforetakene</w:t>
      </w:r>
      <w:r>
        <w:t xml:space="preserve"> </w:t>
      </w:r>
      <w:r w:rsidRPr="00843AC3">
        <w:t xml:space="preserve">kom Spekter og forbundene i LO og YS til enighet i de sentrale forbundsvise forhandlingene (A2). </w:t>
      </w:r>
      <w:r>
        <w:t>D</w:t>
      </w:r>
      <w:r w:rsidRPr="00843AC3">
        <w:t xml:space="preserve">et </w:t>
      </w:r>
      <w:r>
        <w:t>ble enighet om</w:t>
      </w:r>
      <w:r w:rsidRPr="00843AC3">
        <w:t xml:space="preserve"> et generelt tillegg </w:t>
      </w:r>
      <w:r>
        <w:t xml:space="preserve">fra 1. august 2015 </w:t>
      </w:r>
      <w:r w:rsidRPr="00843AC3">
        <w:t xml:space="preserve">på kr </w:t>
      </w:r>
      <w:r>
        <w:t>2 0</w:t>
      </w:r>
      <w:r w:rsidRPr="00843AC3">
        <w:t>00</w:t>
      </w:r>
      <w:r>
        <w:t xml:space="preserve"> per år i stillingsgruppene 1-4 og kr 4 000 i stillingsgruppe 5 og til ledere som leder ansatte i stillingsgruppe 5. Øvrige medlemmer i LO- og YS-forbundene fikk et tillegg på kr 2 000 per år fra 1. august 2015. M</w:t>
      </w:r>
      <w:r w:rsidRPr="00843AC3">
        <w:t xml:space="preserve">instelønnssatsene </w:t>
      </w:r>
      <w:r>
        <w:t xml:space="preserve">ble </w:t>
      </w:r>
      <w:r w:rsidRPr="00843AC3">
        <w:t>heve</w:t>
      </w:r>
      <w:r>
        <w:t>t</w:t>
      </w:r>
      <w:r w:rsidRPr="00843AC3">
        <w:t xml:space="preserve"> </w:t>
      </w:r>
      <w:r>
        <w:t>tilsvarende fra samme dato, se tabell 1.3</w:t>
      </w:r>
      <w:r w:rsidRPr="00843AC3">
        <w:t xml:space="preserve">. </w:t>
      </w:r>
      <w:r>
        <w:t xml:space="preserve">Avtalen innebar også at </w:t>
      </w:r>
      <w:r w:rsidRPr="00843AC3">
        <w:t xml:space="preserve">minstelønnen i stillingsgruppe l </w:t>
      </w:r>
      <w:r>
        <w:t>for ansatte med 20 års ansiennitet (s</w:t>
      </w:r>
      <w:r w:rsidRPr="003A7076">
        <w:t>tillinger hvor det ikke kreves særskilt utdanning</w:t>
      </w:r>
      <w:r>
        <w:t>), ble økt ytterligere med kr 7 000 til kr 373 000</w:t>
      </w:r>
      <w:r w:rsidRPr="00843AC3">
        <w:t xml:space="preserve"> fra 1. </w:t>
      </w:r>
      <w:r>
        <w:t>januar 2016. D</w:t>
      </w:r>
      <w:r w:rsidRPr="00843AC3">
        <w:t xml:space="preserve">et </w:t>
      </w:r>
      <w:r>
        <w:t>ble ikke</w:t>
      </w:r>
      <w:r w:rsidRPr="00843AC3">
        <w:t xml:space="preserve"> gjennomfør</w:t>
      </w:r>
      <w:r>
        <w:t>es</w:t>
      </w:r>
      <w:r w:rsidRPr="00843AC3">
        <w:t xml:space="preserve"> lokale forhandlinger </w:t>
      </w:r>
      <w:r>
        <w:t xml:space="preserve">på B-nivå </w:t>
      </w:r>
      <w:r w:rsidRPr="00843AC3">
        <w:t>i 20</w:t>
      </w:r>
      <w:r>
        <w:t xml:space="preserve">15. </w:t>
      </w:r>
    </w:p>
    <w:p w14:paraId="4D7B1F41" w14:textId="77777777" w:rsidR="007D7BB4" w:rsidRPr="00157754" w:rsidRDefault="007D7BB4" w:rsidP="007D7BB4">
      <w:pPr>
        <w:rPr>
          <w:rFonts w:ascii="Times New Roman" w:hAnsi="Times New Roman"/>
        </w:rPr>
      </w:pPr>
      <w:r w:rsidRPr="00157754">
        <w:rPr>
          <w:rFonts w:ascii="Times New Roman" w:hAnsi="Times New Roman"/>
        </w:rPr>
        <w:t xml:space="preserve">For helseforetakene </w:t>
      </w:r>
      <w:r>
        <w:rPr>
          <w:rFonts w:ascii="Times New Roman" w:hAnsi="Times New Roman"/>
        </w:rPr>
        <w:t>kom</w:t>
      </w:r>
      <w:r w:rsidRPr="00157754">
        <w:rPr>
          <w:rFonts w:ascii="Times New Roman" w:hAnsi="Times New Roman"/>
        </w:rPr>
        <w:t xml:space="preserve"> Spekter og forbundene i Unio med sentral forbundsvis avtaledel (Norsk Sykepleierforbund, Norsk Fysioterapeutforbund, Norsk Ergoterapeutforbund og Utdanningsforbundet) til enighet i de sentrale forbundsvise forhandlingene (A2). </w:t>
      </w:r>
      <w:r>
        <w:rPr>
          <w:rFonts w:ascii="Times New Roman" w:hAnsi="Times New Roman"/>
        </w:rPr>
        <w:t xml:space="preserve">Sykepleiere, fysioterapeuter, ergoterapeuter og førskolelærere fikk et generelt tillegg på kr 2 000 per år med virkning fra 1. mai 2015, mens spesialsykepleiere, jordmødre, spesialfysioterapeuter, spesialergoterapeuter, pedagoger med spesialkompetanse og ledere fikk kr 4 000 fra samme dato. </w:t>
      </w:r>
      <w:r w:rsidRPr="00157754">
        <w:rPr>
          <w:rFonts w:ascii="Times New Roman" w:hAnsi="Times New Roman"/>
        </w:rPr>
        <w:t xml:space="preserve">Minstelønnssatsene ble hevet </w:t>
      </w:r>
      <w:r>
        <w:rPr>
          <w:rFonts w:ascii="Times New Roman" w:hAnsi="Times New Roman"/>
        </w:rPr>
        <w:t>tilsvarende</w:t>
      </w:r>
      <w:r w:rsidRPr="00157754">
        <w:rPr>
          <w:rFonts w:ascii="Times New Roman" w:hAnsi="Times New Roman"/>
        </w:rPr>
        <w:t>, se tabell 1.</w:t>
      </w:r>
      <w:r>
        <w:rPr>
          <w:rFonts w:ascii="Times New Roman" w:hAnsi="Times New Roman"/>
        </w:rPr>
        <w:t>4</w:t>
      </w:r>
      <w:r w:rsidRPr="00157754">
        <w:rPr>
          <w:rFonts w:ascii="Times New Roman" w:hAnsi="Times New Roman"/>
        </w:rPr>
        <w:t xml:space="preserve">.  </w:t>
      </w:r>
      <w:r>
        <w:t>D</w:t>
      </w:r>
      <w:r w:rsidRPr="00843AC3">
        <w:t xml:space="preserve">et </w:t>
      </w:r>
      <w:r>
        <w:t>ble ikke</w:t>
      </w:r>
      <w:r w:rsidRPr="00843AC3">
        <w:t xml:space="preserve"> gjennomfør</w:t>
      </w:r>
      <w:r>
        <w:t>t</w:t>
      </w:r>
      <w:r w:rsidRPr="00843AC3">
        <w:t xml:space="preserve"> lokale forhandlinger </w:t>
      </w:r>
      <w:r>
        <w:t xml:space="preserve">på B-nivå </w:t>
      </w:r>
      <w:r w:rsidRPr="00843AC3">
        <w:t>i 20</w:t>
      </w:r>
      <w:r>
        <w:t>15.</w:t>
      </w:r>
      <w:r w:rsidRPr="00157754">
        <w:rPr>
          <w:rFonts w:ascii="Times New Roman" w:hAnsi="Times New Roman"/>
        </w:rPr>
        <w:t xml:space="preserve"> For medlemmer av Unio som ikke er omfattet av sentrale forbundsvise forhandlinger, ble det gjennomført lokale forhandlinger.</w:t>
      </w:r>
    </w:p>
    <w:p w14:paraId="076AF13C" w14:textId="77777777" w:rsidR="007D7BB4" w:rsidRDefault="007D7BB4" w:rsidP="007D7BB4">
      <w:pPr>
        <w:pStyle w:val="NormalWeb"/>
      </w:pPr>
      <w:r>
        <w:t>I oppgjøret mellom Spekter-Helse og Den norske legeforening kom partene til enighet i de sentrale forbundsvise forhandlingene (A 2) for helseforetakene. I helseforetakene fikk turnusleger et tillegg på kr 12 000 per år og leger i spesialisering et tillegg fra kr 14 500 til kr 17 500. Tilleggene ble gitt med virkning fra 1. januar 2015. Det ble gjennomføres lokale forhandlinger på B-nivå for medlemmer av Den norske legeforening som ikke fikk generelle tillegg i A 2-forhandlingene. For øvrige forbund i Akademikerne ble det gjennomført lokale forhandlinger.</w:t>
      </w:r>
    </w:p>
    <w:p w14:paraId="2CB53E80" w14:textId="77777777" w:rsidR="007D7BB4" w:rsidRPr="001438F2" w:rsidRDefault="007D7BB4" w:rsidP="009F0FBE">
      <w:pPr>
        <w:pStyle w:val="figur-tittel"/>
        <w:numPr>
          <w:ilvl w:val="5"/>
          <w:numId w:val="0"/>
        </w:numPr>
        <w:spacing w:before="240" w:line="240" w:lineRule="auto"/>
        <w:rPr>
          <w:rFonts w:cs="Arial"/>
          <w:i/>
        </w:rPr>
      </w:pPr>
      <w:r w:rsidRPr="001438F2">
        <w:rPr>
          <w:rFonts w:cs="Arial"/>
        </w:rPr>
        <w:t>Tabell 1.</w:t>
      </w:r>
      <w:r>
        <w:rPr>
          <w:rFonts w:cs="Arial"/>
        </w:rPr>
        <w:t>3</w:t>
      </w:r>
      <w:r w:rsidRPr="001438F2">
        <w:rPr>
          <w:rFonts w:cs="Arial"/>
        </w:rPr>
        <w:t xml:space="preserve"> Minstelønnssatser for stillingsgrupper i Spekter-området for LO- og YS-forbundene. Ingen ansiennitet (0 år) og maksimal ansiennitet (10 år) </w:t>
      </w:r>
    </w:p>
    <w:tbl>
      <w:tblPr>
        <w:tblW w:w="5000" w:type="pct"/>
        <w:tblLook w:val="01E0" w:firstRow="1" w:lastRow="1" w:firstColumn="1" w:lastColumn="1" w:noHBand="0" w:noVBand="0"/>
      </w:tblPr>
      <w:tblGrid>
        <w:gridCol w:w="2613"/>
        <w:gridCol w:w="1072"/>
        <w:gridCol w:w="1177"/>
        <w:gridCol w:w="990"/>
        <w:gridCol w:w="1239"/>
        <w:gridCol w:w="1110"/>
        <w:gridCol w:w="1013"/>
      </w:tblGrid>
      <w:tr w:rsidR="007D7BB4" w:rsidRPr="003A7076" w14:paraId="1BFCD5F5" w14:textId="77777777" w:rsidTr="008D32BA">
        <w:trPr>
          <w:tblHeader/>
        </w:trPr>
        <w:tc>
          <w:tcPr>
            <w:tcW w:w="1419" w:type="pct"/>
            <w:tcBorders>
              <w:top w:val="single" w:sz="4" w:space="0" w:color="auto"/>
            </w:tcBorders>
          </w:tcPr>
          <w:p w14:paraId="402B74B7" w14:textId="77777777" w:rsidR="007D7BB4" w:rsidRPr="003A7076" w:rsidRDefault="007D7BB4" w:rsidP="008D32BA">
            <w:pPr>
              <w:spacing w:after="0"/>
            </w:pPr>
          </w:p>
        </w:tc>
        <w:tc>
          <w:tcPr>
            <w:tcW w:w="1755" w:type="pct"/>
            <w:gridSpan w:val="3"/>
            <w:tcBorders>
              <w:top w:val="single" w:sz="4" w:space="0" w:color="auto"/>
              <w:bottom w:val="single" w:sz="4" w:space="0" w:color="auto"/>
            </w:tcBorders>
          </w:tcPr>
          <w:p w14:paraId="5E295D81" w14:textId="77777777" w:rsidR="007D7BB4" w:rsidRPr="003A7076" w:rsidRDefault="007D7BB4" w:rsidP="008D32BA">
            <w:pPr>
              <w:spacing w:after="0"/>
              <w:jc w:val="center"/>
            </w:pPr>
            <w:r w:rsidRPr="003A7076">
              <w:t>Ansiennitet 0 år</w:t>
            </w:r>
          </w:p>
        </w:tc>
        <w:tc>
          <w:tcPr>
            <w:tcW w:w="1826" w:type="pct"/>
            <w:gridSpan w:val="3"/>
            <w:tcBorders>
              <w:top w:val="single" w:sz="4" w:space="0" w:color="auto"/>
              <w:bottom w:val="single" w:sz="4" w:space="0" w:color="auto"/>
            </w:tcBorders>
          </w:tcPr>
          <w:p w14:paraId="73F51393" w14:textId="77777777" w:rsidR="007D7BB4" w:rsidRPr="003A7076" w:rsidRDefault="007D7BB4" w:rsidP="008D32BA">
            <w:pPr>
              <w:spacing w:after="0"/>
              <w:jc w:val="center"/>
            </w:pPr>
            <w:r w:rsidRPr="003A7076">
              <w:t>Ansiennitet 10 år</w:t>
            </w:r>
          </w:p>
        </w:tc>
      </w:tr>
      <w:tr w:rsidR="007D7BB4" w:rsidRPr="003A7076" w14:paraId="710EA243" w14:textId="77777777" w:rsidTr="008D32BA">
        <w:trPr>
          <w:tblHeader/>
        </w:trPr>
        <w:tc>
          <w:tcPr>
            <w:tcW w:w="1419" w:type="pct"/>
            <w:tcBorders>
              <w:bottom w:val="single" w:sz="4" w:space="0" w:color="auto"/>
            </w:tcBorders>
          </w:tcPr>
          <w:p w14:paraId="4DA8CCAE" w14:textId="77777777" w:rsidR="007D7BB4" w:rsidRPr="003A7076" w:rsidRDefault="007D7BB4" w:rsidP="008D32BA">
            <w:pPr>
              <w:spacing w:after="0"/>
            </w:pPr>
          </w:p>
        </w:tc>
        <w:tc>
          <w:tcPr>
            <w:tcW w:w="583" w:type="pct"/>
            <w:tcBorders>
              <w:top w:val="single" w:sz="4" w:space="0" w:color="auto"/>
              <w:bottom w:val="single" w:sz="4" w:space="0" w:color="auto"/>
            </w:tcBorders>
          </w:tcPr>
          <w:p w14:paraId="5FC0FD49" w14:textId="77777777" w:rsidR="007D7BB4" w:rsidRPr="003A7076" w:rsidRDefault="007D7BB4" w:rsidP="008D32BA">
            <w:pPr>
              <w:spacing w:after="0"/>
              <w:jc w:val="right"/>
            </w:pPr>
            <w:r>
              <w:t>1. juli 2014</w:t>
            </w:r>
          </w:p>
        </w:tc>
        <w:tc>
          <w:tcPr>
            <w:tcW w:w="639" w:type="pct"/>
            <w:tcBorders>
              <w:top w:val="single" w:sz="4" w:space="0" w:color="auto"/>
              <w:bottom w:val="single" w:sz="4" w:space="0" w:color="auto"/>
            </w:tcBorders>
          </w:tcPr>
          <w:p w14:paraId="09C1BDB4" w14:textId="77777777" w:rsidR="007D7BB4" w:rsidRPr="003A7076" w:rsidRDefault="007D7BB4" w:rsidP="008D32BA">
            <w:pPr>
              <w:spacing w:after="0"/>
              <w:jc w:val="right"/>
            </w:pPr>
            <w:r>
              <w:t>1. august 2015</w:t>
            </w:r>
          </w:p>
        </w:tc>
        <w:tc>
          <w:tcPr>
            <w:tcW w:w="533" w:type="pct"/>
            <w:tcBorders>
              <w:top w:val="single" w:sz="4" w:space="0" w:color="auto"/>
              <w:bottom w:val="single" w:sz="4" w:space="0" w:color="auto"/>
            </w:tcBorders>
          </w:tcPr>
          <w:p w14:paraId="6897503F" w14:textId="77777777" w:rsidR="007D7BB4" w:rsidRPr="003A7076" w:rsidRDefault="007D7BB4" w:rsidP="008D32BA">
            <w:pPr>
              <w:spacing w:after="0"/>
              <w:jc w:val="right"/>
            </w:pPr>
            <w:r w:rsidRPr="003A7076">
              <w:t>Endring</w:t>
            </w:r>
          </w:p>
        </w:tc>
        <w:tc>
          <w:tcPr>
            <w:tcW w:w="673" w:type="pct"/>
            <w:tcBorders>
              <w:top w:val="single" w:sz="4" w:space="0" w:color="auto"/>
              <w:bottom w:val="single" w:sz="4" w:space="0" w:color="auto"/>
            </w:tcBorders>
          </w:tcPr>
          <w:p w14:paraId="0FEE6106" w14:textId="77777777" w:rsidR="007D7BB4" w:rsidRPr="003A7076" w:rsidRDefault="007D7BB4" w:rsidP="008D32BA">
            <w:pPr>
              <w:spacing w:after="0"/>
              <w:jc w:val="right"/>
            </w:pPr>
            <w:r>
              <w:t>1. juli 2014</w:t>
            </w:r>
          </w:p>
        </w:tc>
        <w:tc>
          <w:tcPr>
            <w:tcW w:w="603" w:type="pct"/>
            <w:tcBorders>
              <w:top w:val="single" w:sz="4" w:space="0" w:color="auto"/>
              <w:bottom w:val="single" w:sz="4" w:space="0" w:color="auto"/>
            </w:tcBorders>
          </w:tcPr>
          <w:p w14:paraId="470CD861" w14:textId="77777777" w:rsidR="007D7BB4" w:rsidRPr="003A7076" w:rsidRDefault="007D7BB4" w:rsidP="008D32BA">
            <w:pPr>
              <w:spacing w:after="0"/>
              <w:jc w:val="right"/>
            </w:pPr>
            <w:r>
              <w:t>1. august 2015</w:t>
            </w:r>
          </w:p>
        </w:tc>
        <w:tc>
          <w:tcPr>
            <w:tcW w:w="550" w:type="pct"/>
            <w:tcBorders>
              <w:top w:val="single" w:sz="4" w:space="0" w:color="auto"/>
              <w:bottom w:val="single" w:sz="4" w:space="0" w:color="auto"/>
            </w:tcBorders>
          </w:tcPr>
          <w:p w14:paraId="52D5D9BA" w14:textId="77777777" w:rsidR="007D7BB4" w:rsidRPr="003A7076" w:rsidRDefault="007D7BB4" w:rsidP="008D32BA">
            <w:pPr>
              <w:spacing w:after="0"/>
              <w:jc w:val="right"/>
            </w:pPr>
            <w:r w:rsidRPr="003A7076">
              <w:t>Endring</w:t>
            </w:r>
          </w:p>
        </w:tc>
      </w:tr>
      <w:tr w:rsidR="007D7BB4" w:rsidRPr="00316648" w14:paraId="3D1A8D0A" w14:textId="77777777" w:rsidTr="008D32BA">
        <w:tc>
          <w:tcPr>
            <w:tcW w:w="1419" w:type="pct"/>
            <w:tcBorders>
              <w:top w:val="single" w:sz="4" w:space="0" w:color="auto"/>
            </w:tcBorders>
          </w:tcPr>
          <w:p w14:paraId="5973E18B" w14:textId="77777777" w:rsidR="007D7BB4" w:rsidRPr="00A96192" w:rsidRDefault="007D7BB4" w:rsidP="008D32BA">
            <w:pPr>
              <w:spacing w:after="0"/>
              <w:rPr>
                <w:szCs w:val="24"/>
              </w:rPr>
            </w:pPr>
            <w:r w:rsidRPr="00A96192">
              <w:rPr>
                <w:szCs w:val="24"/>
              </w:rPr>
              <w:t>Stillinger hvor det ikke kreves særskilt utdanning</w:t>
            </w:r>
            <w:r w:rsidRPr="00A96192">
              <w:rPr>
                <w:szCs w:val="24"/>
                <w:vertAlign w:val="superscript"/>
              </w:rPr>
              <w:t>1</w:t>
            </w:r>
          </w:p>
        </w:tc>
        <w:tc>
          <w:tcPr>
            <w:tcW w:w="583" w:type="pct"/>
            <w:tcBorders>
              <w:top w:val="single" w:sz="4" w:space="0" w:color="auto"/>
            </w:tcBorders>
            <w:vAlign w:val="bottom"/>
          </w:tcPr>
          <w:p w14:paraId="4DA07F6A" w14:textId="77777777" w:rsidR="007D7BB4" w:rsidRPr="00316648" w:rsidRDefault="007D7BB4" w:rsidP="008D32BA">
            <w:pPr>
              <w:spacing w:after="0"/>
              <w:jc w:val="right"/>
              <w:rPr>
                <w:sz w:val="22"/>
                <w:szCs w:val="22"/>
              </w:rPr>
            </w:pPr>
            <w:r>
              <w:rPr>
                <w:sz w:val="22"/>
                <w:szCs w:val="22"/>
              </w:rPr>
              <w:t>283 000</w:t>
            </w:r>
          </w:p>
        </w:tc>
        <w:tc>
          <w:tcPr>
            <w:tcW w:w="639" w:type="pct"/>
            <w:tcBorders>
              <w:top w:val="single" w:sz="4" w:space="0" w:color="auto"/>
            </w:tcBorders>
            <w:vAlign w:val="bottom"/>
          </w:tcPr>
          <w:p w14:paraId="2144F142" w14:textId="77777777" w:rsidR="007D7BB4" w:rsidRPr="00316648" w:rsidRDefault="007D7BB4" w:rsidP="008D32BA">
            <w:pPr>
              <w:spacing w:after="0"/>
              <w:jc w:val="right"/>
              <w:rPr>
                <w:sz w:val="22"/>
                <w:szCs w:val="22"/>
              </w:rPr>
            </w:pPr>
            <w:r>
              <w:rPr>
                <w:sz w:val="22"/>
                <w:szCs w:val="22"/>
              </w:rPr>
              <w:t>285 000</w:t>
            </w:r>
          </w:p>
        </w:tc>
        <w:tc>
          <w:tcPr>
            <w:tcW w:w="533" w:type="pct"/>
            <w:tcBorders>
              <w:top w:val="single" w:sz="4" w:space="0" w:color="auto"/>
            </w:tcBorders>
            <w:vAlign w:val="bottom"/>
          </w:tcPr>
          <w:p w14:paraId="6CE82C18" w14:textId="77777777" w:rsidR="007D7BB4" w:rsidRPr="00316648" w:rsidRDefault="007D7BB4" w:rsidP="008D32BA">
            <w:pPr>
              <w:spacing w:after="0"/>
              <w:jc w:val="right"/>
              <w:rPr>
                <w:sz w:val="22"/>
                <w:szCs w:val="22"/>
              </w:rPr>
            </w:pPr>
            <w:r>
              <w:rPr>
                <w:sz w:val="22"/>
                <w:szCs w:val="22"/>
              </w:rPr>
              <w:t>2 000</w:t>
            </w:r>
          </w:p>
        </w:tc>
        <w:tc>
          <w:tcPr>
            <w:tcW w:w="673" w:type="pct"/>
            <w:tcBorders>
              <w:top w:val="single" w:sz="4" w:space="0" w:color="auto"/>
            </w:tcBorders>
            <w:vAlign w:val="bottom"/>
          </w:tcPr>
          <w:p w14:paraId="21F07AA0" w14:textId="77777777" w:rsidR="007D7BB4" w:rsidRPr="00316648" w:rsidRDefault="007D7BB4" w:rsidP="008D32BA">
            <w:pPr>
              <w:spacing w:after="0"/>
              <w:jc w:val="right"/>
              <w:rPr>
                <w:sz w:val="22"/>
                <w:szCs w:val="22"/>
              </w:rPr>
            </w:pPr>
            <w:r>
              <w:rPr>
                <w:sz w:val="22"/>
                <w:szCs w:val="22"/>
              </w:rPr>
              <w:t>344 000</w:t>
            </w:r>
          </w:p>
        </w:tc>
        <w:tc>
          <w:tcPr>
            <w:tcW w:w="603" w:type="pct"/>
            <w:tcBorders>
              <w:top w:val="single" w:sz="4" w:space="0" w:color="auto"/>
            </w:tcBorders>
            <w:vAlign w:val="bottom"/>
          </w:tcPr>
          <w:p w14:paraId="219D00CD" w14:textId="77777777" w:rsidR="007D7BB4" w:rsidRPr="00316648" w:rsidRDefault="007D7BB4" w:rsidP="008D32BA">
            <w:pPr>
              <w:spacing w:after="0"/>
              <w:jc w:val="right"/>
              <w:rPr>
                <w:sz w:val="22"/>
                <w:szCs w:val="22"/>
              </w:rPr>
            </w:pPr>
            <w:r>
              <w:rPr>
                <w:sz w:val="22"/>
                <w:szCs w:val="22"/>
              </w:rPr>
              <w:t>346 000</w:t>
            </w:r>
          </w:p>
        </w:tc>
        <w:tc>
          <w:tcPr>
            <w:tcW w:w="550" w:type="pct"/>
            <w:tcBorders>
              <w:top w:val="single" w:sz="4" w:space="0" w:color="auto"/>
            </w:tcBorders>
            <w:vAlign w:val="bottom"/>
          </w:tcPr>
          <w:p w14:paraId="1F34868D" w14:textId="77777777" w:rsidR="007D7BB4" w:rsidRPr="00316648" w:rsidRDefault="007D7BB4" w:rsidP="008D32BA">
            <w:pPr>
              <w:spacing w:after="0"/>
              <w:jc w:val="right"/>
              <w:rPr>
                <w:sz w:val="22"/>
                <w:szCs w:val="22"/>
              </w:rPr>
            </w:pPr>
            <w:r>
              <w:rPr>
                <w:sz w:val="22"/>
                <w:szCs w:val="22"/>
              </w:rPr>
              <w:t>2 000</w:t>
            </w:r>
          </w:p>
        </w:tc>
      </w:tr>
      <w:tr w:rsidR="007D7BB4" w:rsidRPr="00316648" w14:paraId="794CDF18" w14:textId="77777777" w:rsidTr="008D32BA">
        <w:tc>
          <w:tcPr>
            <w:tcW w:w="1419" w:type="pct"/>
          </w:tcPr>
          <w:p w14:paraId="3EA18CDA" w14:textId="77777777" w:rsidR="007D7BB4" w:rsidRPr="00A96192" w:rsidRDefault="007D7BB4" w:rsidP="008D32BA">
            <w:pPr>
              <w:spacing w:after="0"/>
              <w:rPr>
                <w:szCs w:val="24"/>
              </w:rPr>
            </w:pPr>
            <w:r w:rsidRPr="00A96192">
              <w:rPr>
                <w:szCs w:val="24"/>
              </w:rPr>
              <w:t>Fagarbeiderstillinger</w:t>
            </w:r>
            <w:r w:rsidRPr="00A96192">
              <w:rPr>
                <w:i/>
                <w:szCs w:val="24"/>
              </w:rPr>
              <w:t>/</w:t>
            </w:r>
            <w:r w:rsidRPr="00A96192">
              <w:rPr>
                <w:i/>
                <w:szCs w:val="24"/>
              </w:rPr>
              <w:br/>
            </w:r>
            <w:r w:rsidRPr="00A96192">
              <w:rPr>
                <w:szCs w:val="24"/>
              </w:rPr>
              <w:t>3 års videregående utdanning m.m.</w:t>
            </w:r>
          </w:p>
        </w:tc>
        <w:tc>
          <w:tcPr>
            <w:tcW w:w="583" w:type="pct"/>
            <w:vAlign w:val="bottom"/>
          </w:tcPr>
          <w:p w14:paraId="56A56754" w14:textId="77777777" w:rsidR="007D7BB4" w:rsidRPr="00316648" w:rsidRDefault="007D7BB4" w:rsidP="008D32BA">
            <w:pPr>
              <w:spacing w:after="0"/>
              <w:jc w:val="right"/>
              <w:rPr>
                <w:sz w:val="22"/>
                <w:szCs w:val="22"/>
              </w:rPr>
            </w:pPr>
            <w:r>
              <w:rPr>
                <w:sz w:val="22"/>
                <w:szCs w:val="22"/>
              </w:rPr>
              <w:t>319 000</w:t>
            </w:r>
          </w:p>
        </w:tc>
        <w:tc>
          <w:tcPr>
            <w:tcW w:w="639" w:type="pct"/>
            <w:vAlign w:val="bottom"/>
          </w:tcPr>
          <w:p w14:paraId="2279DD15" w14:textId="77777777" w:rsidR="007D7BB4" w:rsidRPr="00316648" w:rsidRDefault="007D7BB4" w:rsidP="008D32BA">
            <w:pPr>
              <w:spacing w:after="0"/>
              <w:jc w:val="right"/>
              <w:rPr>
                <w:sz w:val="22"/>
                <w:szCs w:val="22"/>
              </w:rPr>
            </w:pPr>
            <w:r>
              <w:rPr>
                <w:sz w:val="22"/>
                <w:szCs w:val="22"/>
              </w:rPr>
              <w:t>321 000</w:t>
            </w:r>
          </w:p>
        </w:tc>
        <w:tc>
          <w:tcPr>
            <w:tcW w:w="533" w:type="pct"/>
            <w:vAlign w:val="bottom"/>
          </w:tcPr>
          <w:p w14:paraId="382320C2" w14:textId="77777777" w:rsidR="007D7BB4" w:rsidRPr="00316648" w:rsidRDefault="007D7BB4" w:rsidP="008D32BA">
            <w:pPr>
              <w:spacing w:after="0"/>
              <w:jc w:val="right"/>
              <w:rPr>
                <w:sz w:val="22"/>
                <w:szCs w:val="22"/>
              </w:rPr>
            </w:pPr>
            <w:r>
              <w:rPr>
                <w:sz w:val="22"/>
                <w:szCs w:val="22"/>
              </w:rPr>
              <w:t>2 000</w:t>
            </w:r>
          </w:p>
        </w:tc>
        <w:tc>
          <w:tcPr>
            <w:tcW w:w="673" w:type="pct"/>
            <w:vAlign w:val="bottom"/>
          </w:tcPr>
          <w:p w14:paraId="36AC79CF" w14:textId="77777777" w:rsidR="007D7BB4" w:rsidRPr="00316648" w:rsidRDefault="007D7BB4" w:rsidP="008D32BA">
            <w:pPr>
              <w:spacing w:after="0"/>
              <w:jc w:val="right"/>
              <w:rPr>
                <w:sz w:val="22"/>
                <w:szCs w:val="22"/>
              </w:rPr>
            </w:pPr>
            <w:r>
              <w:rPr>
                <w:sz w:val="22"/>
                <w:szCs w:val="22"/>
              </w:rPr>
              <w:t>376 000</w:t>
            </w:r>
          </w:p>
        </w:tc>
        <w:tc>
          <w:tcPr>
            <w:tcW w:w="603" w:type="pct"/>
            <w:vAlign w:val="bottom"/>
          </w:tcPr>
          <w:p w14:paraId="11C9D10B" w14:textId="77777777" w:rsidR="007D7BB4" w:rsidRPr="00316648" w:rsidRDefault="007D7BB4" w:rsidP="008D32BA">
            <w:pPr>
              <w:spacing w:after="0"/>
              <w:jc w:val="right"/>
              <w:rPr>
                <w:sz w:val="22"/>
                <w:szCs w:val="22"/>
              </w:rPr>
            </w:pPr>
            <w:r>
              <w:rPr>
                <w:sz w:val="22"/>
                <w:szCs w:val="22"/>
              </w:rPr>
              <w:t>378 000</w:t>
            </w:r>
          </w:p>
        </w:tc>
        <w:tc>
          <w:tcPr>
            <w:tcW w:w="550" w:type="pct"/>
            <w:vAlign w:val="bottom"/>
          </w:tcPr>
          <w:p w14:paraId="06655A7B" w14:textId="77777777" w:rsidR="007D7BB4" w:rsidRPr="00316648" w:rsidRDefault="007D7BB4" w:rsidP="008D32BA">
            <w:pPr>
              <w:spacing w:after="0"/>
              <w:jc w:val="right"/>
              <w:rPr>
                <w:sz w:val="22"/>
                <w:szCs w:val="22"/>
              </w:rPr>
            </w:pPr>
            <w:r>
              <w:rPr>
                <w:sz w:val="22"/>
                <w:szCs w:val="22"/>
              </w:rPr>
              <w:t>2 000</w:t>
            </w:r>
          </w:p>
        </w:tc>
      </w:tr>
      <w:tr w:rsidR="007D7BB4" w:rsidRPr="00316648" w14:paraId="289DB891" w14:textId="77777777" w:rsidTr="008D32BA">
        <w:tc>
          <w:tcPr>
            <w:tcW w:w="1419" w:type="pct"/>
          </w:tcPr>
          <w:p w14:paraId="1517A7B0" w14:textId="77777777" w:rsidR="007D7BB4" w:rsidRPr="00A96192" w:rsidRDefault="007D7BB4" w:rsidP="008D32BA">
            <w:pPr>
              <w:spacing w:after="0"/>
              <w:rPr>
                <w:szCs w:val="24"/>
              </w:rPr>
            </w:pPr>
            <w:r w:rsidRPr="00A96192">
              <w:rPr>
                <w:szCs w:val="24"/>
              </w:rPr>
              <w:t>Stillinger med krav om høyskoleutdanning</w:t>
            </w:r>
          </w:p>
        </w:tc>
        <w:tc>
          <w:tcPr>
            <w:tcW w:w="583" w:type="pct"/>
            <w:vAlign w:val="bottom"/>
          </w:tcPr>
          <w:p w14:paraId="4788CA1A" w14:textId="77777777" w:rsidR="007D7BB4" w:rsidRPr="00316648" w:rsidRDefault="007D7BB4" w:rsidP="008D32BA">
            <w:pPr>
              <w:spacing w:after="0"/>
              <w:jc w:val="right"/>
              <w:rPr>
                <w:sz w:val="22"/>
                <w:szCs w:val="22"/>
              </w:rPr>
            </w:pPr>
            <w:r>
              <w:rPr>
                <w:sz w:val="22"/>
                <w:szCs w:val="22"/>
              </w:rPr>
              <w:t>369 000</w:t>
            </w:r>
          </w:p>
        </w:tc>
        <w:tc>
          <w:tcPr>
            <w:tcW w:w="639" w:type="pct"/>
            <w:vAlign w:val="bottom"/>
          </w:tcPr>
          <w:p w14:paraId="65BE2601" w14:textId="77777777" w:rsidR="007D7BB4" w:rsidRPr="00316648" w:rsidRDefault="007D7BB4" w:rsidP="008D32BA">
            <w:pPr>
              <w:spacing w:after="0"/>
              <w:jc w:val="right"/>
              <w:rPr>
                <w:sz w:val="22"/>
                <w:szCs w:val="22"/>
              </w:rPr>
            </w:pPr>
            <w:r>
              <w:rPr>
                <w:sz w:val="22"/>
                <w:szCs w:val="22"/>
              </w:rPr>
              <w:t>371 000</w:t>
            </w:r>
          </w:p>
        </w:tc>
        <w:tc>
          <w:tcPr>
            <w:tcW w:w="533" w:type="pct"/>
            <w:vAlign w:val="bottom"/>
          </w:tcPr>
          <w:p w14:paraId="4AC4D70B" w14:textId="77777777" w:rsidR="007D7BB4" w:rsidRPr="00316648" w:rsidRDefault="007D7BB4" w:rsidP="008D32BA">
            <w:pPr>
              <w:spacing w:after="0"/>
              <w:jc w:val="right"/>
              <w:rPr>
                <w:sz w:val="22"/>
                <w:szCs w:val="22"/>
              </w:rPr>
            </w:pPr>
            <w:r>
              <w:rPr>
                <w:sz w:val="22"/>
                <w:szCs w:val="22"/>
              </w:rPr>
              <w:t>2 000</w:t>
            </w:r>
          </w:p>
        </w:tc>
        <w:tc>
          <w:tcPr>
            <w:tcW w:w="673" w:type="pct"/>
            <w:vAlign w:val="bottom"/>
          </w:tcPr>
          <w:p w14:paraId="7C7AA34C" w14:textId="77777777" w:rsidR="007D7BB4" w:rsidRPr="00316648" w:rsidRDefault="007D7BB4" w:rsidP="008D32BA">
            <w:pPr>
              <w:spacing w:after="0"/>
              <w:jc w:val="right"/>
              <w:rPr>
                <w:sz w:val="22"/>
                <w:szCs w:val="22"/>
              </w:rPr>
            </w:pPr>
            <w:r>
              <w:rPr>
                <w:sz w:val="22"/>
                <w:szCs w:val="22"/>
              </w:rPr>
              <w:t>425 000</w:t>
            </w:r>
          </w:p>
        </w:tc>
        <w:tc>
          <w:tcPr>
            <w:tcW w:w="603" w:type="pct"/>
            <w:vAlign w:val="bottom"/>
          </w:tcPr>
          <w:p w14:paraId="07D7A6CE" w14:textId="77777777" w:rsidR="007D7BB4" w:rsidRPr="00316648" w:rsidRDefault="007D7BB4" w:rsidP="008D32BA">
            <w:pPr>
              <w:spacing w:after="0"/>
              <w:jc w:val="right"/>
              <w:rPr>
                <w:sz w:val="22"/>
                <w:szCs w:val="22"/>
              </w:rPr>
            </w:pPr>
            <w:r>
              <w:rPr>
                <w:sz w:val="22"/>
                <w:szCs w:val="22"/>
              </w:rPr>
              <w:t>427 000</w:t>
            </w:r>
          </w:p>
        </w:tc>
        <w:tc>
          <w:tcPr>
            <w:tcW w:w="550" w:type="pct"/>
            <w:vAlign w:val="bottom"/>
          </w:tcPr>
          <w:p w14:paraId="7726DA9D" w14:textId="77777777" w:rsidR="007D7BB4" w:rsidRPr="00316648" w:rsidRDefault="007D7BB4" w:rsidP="008D32BA">
            <w:pPr>
              <w:spacing w:after="0"/>
              <w:jc w:val="right"/>
              <w:rPr>
                <w:sz w:val="22"/>
                <w:szCs w:val="22"/>
              </w:rPr>
            </w:pPr>
            <w:r>
              <w:rPr>
                <w:sz w:val="22"/>
                <w:szCs w:val="22"/>
              </w:rPr>
              <w:t>2 000</w:t>
            </w:r>
          </w:p>
        </w:tc>
      </w:tr>
      <w:tr w:rsidR="007D7BB4" w:rsidRPr="00316648" w14:paraId="11980175" w14:textId="77777777" w:rsidTr="008D32BA">
        <w:tc>
          <w:tcPr>
            <w:tcW w:w="1419" w:type="pct"/>
            <w:tcBorders>
              <w:bottom w:val="single" w:sz="4" w:space="0" w:color="auto"/>
            </w:tcBorders>
          </w:tcPr>
          <w:p w14:paraId="45BE4C25" w14:textId="77777777" w:rsidR="007D7BB4" w:rsidRPr="00A96192" w:rsidRDefault="007D7BB4" w:rsidP="008D32BA">
            <w:pPr>
              <w:spacing w:after="0"/>
              <w:rPr>
                <w:szCs w:val="24"/>
              </w:rPr>
            </w:pPr>
            <w:r w:rsidRPr="00A96192">
              <w:rPr>
                <w:szCs w:val="24"/>
              </w:rPr>
              <w:t>Stillinger med krav om høyskoleutdanning med spesialutdanning</w:t>
            </w:r>
          </w:p>
        </w:tc>
        <w:tc>
          <w:tcPr>
            <w:tcW w:w="583" w:type="pct"/>
            <w:tcBorders>
              <w:bottom w:val="single" w:sz="4" w:space="0" w:color="auto"/>
            </w:tcBorders>
            <w:vAlign w:val="bottom"/>
          </w:tcPr>
          <w:p w14:paraId="307C0D7F" w14:textId="77777777" w:rsidR="007D7BB4" w:rsidRPr="00316648" w:rsidRDefault="007D7BB4" w:rsidP="008D32BA">
            <w:pPr>
              <w:spacing w:after="0"/>
              <w:jc w:val="right"/>
              <w:rPr>
                <w:sz w:val="22"/>
                <w:szCs w:val="22"/>
              </w:rPr>
            </w:pPr>
            <w:r>
              <w:rPr>
                <w:sz w:val="22"/>
                <w:szCs w:val="22"/>
              </w:rPr>
              <w:t>396 000</w:t>
            </w:r>
          </w:p>
        </w:tc>
        <w:tc>
          <w:tcPr>
            <w:tcW w:w="639" w:type="pct"/>
            <w:tcBorders>
              <w:bottom w:val="single" w:sz="4" w:space="0" w:color="auto"/>
            </w:tcBorders>
            <w:vAlign w:val="bottom"/>
          </w:tcPr>
          <w:p w14:paraId="221E83C0" w14:textId="77777777" w:rsidR="007D7BB4" w:rsidRPr="00316648" w:rsidRDefault="007D7BB4" w:rsidP="008D32BA">
            <w:pPr>
              <w:spacing w:after="0"/>
              <w:jc w:val="right"/>
              <w:rPr>
                <w:sz w:val="22"/>
                <w:szCs w:val="22"/>
              </w:rPr>
            </w:pPr>
            <w:r>
              <w:rPr>
                <w:sz w:val="22"/>
                <w:szCs w:val="22"/>
              </w:rPr>
              <w:t>400 000</w:t>
            </w:r>
          </w:p>
        </w:tc>
        <w:tc>
          <w:tcPr>
            <w:tcW w:w="533" w:type="pct"/>
            <w:tcBorders>
              <w:bottom w:val="single" w:sz="4" w:space="0" w:color="auto"/>
            </w:tcBorders>
            <w:vAlign w:val="bottom"/>
          </w:tcPr>
          <w:p w14:paraId="07B12296" w14:textId="77777777" w:rsidR="007D7BB4" w:rsidRPr="00316648" w:rsidRDefault="007D7BB4" w:rsidP="008D32BA">
            <w:pPr>
              <w:spacing w:after="0"/>
              <w:jc w:val="right"/>
              <w:rPr>
                <w:sz w:val="22"/>
                <w:szCs w:val="22"/>
              </w:rPr>
            </w:pPr>
            <w:r>
              <w:rPr>
                <w:sz w:val="22"/>
                <w:szCs w:val="22"/>
              </w:rPr>
              <w:t>4 000</w:t>
            </w:r>
          </w:p>
        </w:tc>
        <w:tc>
          <w:tcPr>
            <w:tcW w:w="673" w:type="pct"/>
            <w:tcBorders>
              <w:bottom w:val="single" w:sz="4" w:space="0" w:color="auto"/>
            </w:tcBorders>
            <w:vAlign w:val="bottom"/>
          </w:tcPr>
          <w:p w14:paraId="3188930F" w14:textId="77777777" w:rsidR="007D7BB4" w:rsidRPr="00316648" w:rsidRDefault="007D7BB4" w:rsidP="008D32BA">
            <w:pPr>
              <w:spacing w:after="0"/>
              <w:jc w:val="right"/>
              <w:rPr>
                <w:sz w:val="22"/>
                <w:szCs w:val="22"/>
              </w:rPr>
            </w:pPr>
            <w:r>
              <w:rPr>
                <w:sz w:val="22"/>
                <w:szCs w:val="22"/>
              </w:rPr>
              <w:t>465 000</w:t>
            </w:r>
          </w:p>
        </w:tc>
        <w:tc>
          <w:tcPr>
            <w:tcW w:w="603" w:type="pct"/>
            <w:tcBorders>
              <w:bottom w:val="single" w:sz="4" w:space="0" w:color="auto"/>
            </w:tcBorders>
            <w:vAlign w:val="bottom"/>
          </w:tcPr>
          <w:p w14:paraId="5F7E73A0" w14:textId="77777777" w:rsidR="007D7BB4" w:rsidRPr="00316648" w:rsidRDefault="007D7BB4" w:rsidP="008D32BA">
            <w:pPr>
              <w:spacing w:after="0"/>
              <w:jc w:val="right"/>
              <w:rPr>
                <w:sz w:val="22"/>
                <w:szCs w:val="22"/>
              </w:rPr>
            </w:pPr>
            <w:r>
              <w:rPr>
                <w:sz w:val="22"/>
                <w:szCs w:val="22"/>
              </w:rPr>
              <w:t>469 000</w:t>
            </w:r>
          </w:p>
        </w:tc>
        <w:tc>
          <w:tcPr>
            <w:tcW w:w="550" w:type="pct"/>
            <w:tcBorders>
              <w:bottom w:val="single" w:sz="4" w:space="0" w:color="auto"/>
            </w:tcBorders>
            <w:vAlign w:val="bottom"/>
          </w:tcPr>
          <w:p w14:paraId="11269E6A" w14:textId="77777777" w:rsidR="007D7BB4" w:rsidRPr="00316648" w:rsidRDefault="007D7BB4" w:rsidP="008D32BA">
            <w:pPr>
              <w:spacing w:after="0"/>
              <w:jc w:val="right"/>
              <w:rPr>
                <w:sz w:val="22"/>
                <w:szCs w:val="22"/>
              </w:rPr>
            </w:pPr>
            <w:r>
              <w:rPr>
                <w:sz w:val="22"/>
                <w:szCs w:val="22"/>
              </w:rPr>
              <w:t>4 000</w:t>
            </w:r>
          </w:p>
        </w:tc>
      </w:tr>
    </w:tbl>
    <w:p w14:paraId="0F7C9AC8" w14:textId="2B163BC2" w:rsidR="007D7BB4" w:rsidRPr="00324551" w:rsidRDefault="007D7BB4" w:rsidP="007D7BB4">
      <w:pPr>
        <w:rPr>
          <w:sz w:val="20"/>
        </w:rPr>
      </w:pPr>
      <w:r w:rsidRPr="00324551">
        <w:rPr>
          <w:sz w:val="20"/>
          <w:vertAlign w:val="superscript"/>
        </w:rPr>
        <w:t>1</w:t>
      </w:r>
      <w:r w:rsidR="00324551">
        <w:rPr>
          <w:sz w:val="20"/>
          <w:vertAlign w:val="superscript"/>
        </w:rPr>
        <w:t xml:space="preserve"> </w:t>
      </w:r>
      <w:r w:rsidRPr="00324551">
        <w:rPr>
          <w:sz w:val="20"/>
        </w:rPr>
        <w:t>Etter 20 års ansiennitet var minstelønnssatsen fra 1. juli 2014 kr 364 000. Fra 1. august 2015 er den økt til kr 366 000 og til kr 373 000 fra 1. januar 2016.</w:t>
      </w:r>
    </w:p>
    <w:p w14:paraId="5C78E653" w14:textId="77777777" w:rsidR="007D7BB4" w:rsidRPr="001438F2" w:rsidRDefault="007D7BB4" w:rsidP="009F0FBE">
      <w:pPr>
        <w:pStyle w:val="tabell-tit"/>
        <w:spacing w:before="240"/>
        <w:rPr>
          <w:rFonts w:ascii="Arial" w:hAnsi="Arial" w:cs="Arial"/>
          <w:i w:val="0"/>
        </w:rPr>
      </w:pPr>
      <w:r w:rsidRPr="001438F2">
        <w:rPr>
          <w:rFonts w:ascii="Arial" w:hAnsi="Arial" w:cs="Arial"/>
          <w:i w:val="0"/>
        </w:rPr>
        <w:t>Tabell 1.</w:t>
      </w:r>
      <w:r>
        <w:rPr>
          <w:rFonts w:ascii="Arial" w:hAnsi="Arial" w:cs="Arial"/>
          <w:i w:val="0"/>
        </w:rPr>
        <w:t>4</w:t>
      </w:r>
      <w:r w:rsidRPr="001438F2">
        <w:rPr>
          <w:rFonts w:ascii="Arial" w:hAnsi="Arial" w:cs="Arial"/>
          <w:i w:val="0"/>
        </w:rPr>
        <w:t xml:space="preserve"> Minstelønnssatser for stillingsgrupper i Spekter-området for Unios medlemsforbund. Ingen ansiennitet (0 år) og maksimal ansiennitet (10 år) </w:t>
      </w:r>
    </w:p>
    <w:tbl>
      <w:tblPr>
        <w:tblW w:w="5000" w:type="pct"/>
        <w:tblLook w:val="01E0" w:firstRow="1" w:lastRow="1" w:firstColumn="1" w:lastColumn="1" w:noHBand="0" w:noVBand="0"/>
      </w:tblPr>
      <w:tblGrid>
        <w:gridCol w:w="2412"/>
        <w:gridCol w:w="1146"/>
        <w:gridCol w:w="1243"/>
        <w:gridCol w:w="1116"/>
        <w:gridCol w:w="1118"/>
        <w:gridCol w:w="1189"/>
        <w:gridCol w:w="990"/>
      </w:tblGrid>
      <w:tr w:rsidR="007D7BB4" w:rsidRPr="003E7C47" w14:paraId="73A2EC76" w14:textId="77777777" w:rsidTr="008D32BA">
        <w:tc>
          <w:tcPr>
            <w:tcW w:w="1310" w:type="pct"/>
            <w:tcBorders>
              <w:top w:val="single" w:sz="4" w:space="0" w:color="auto"/>
            </w:tcBorders>
          </w:tcPr>
          <w:p w14:paraId="2528D55F" w14:textId="77777777" w:rsidR="007D7BB4" w:rsidRPr="003E7C47" w:rsidRDefault="007D7BB4" w:rsidP="008D32BA">
            <w:pPr>
              <w:spacing w:after="0"/>
            </w:pPr>
          </w:p>
        </w:tc>
        <w:tc>
          <w:tcPr>
            <w:tcW w:w="1904" w:type="pct"/>
            <w:gridSpan w:val="3"/>
            <w:tcBorders>
              <w:top w:val="single" w:sz="4" w:space="0" w:color="auto"/>
              <w:bottom w:val="single" w:sz="4" w:space="0" w:color="auto"/>
            </w:tcBorders>
            <w:vAlign w:val="bottom"/>
          </w:tcPr>
          <w:p w14:paraId="2A8E6179" w14:textId="77777777" w:rsidR="007D7BB4" w:rsidRPr="003E7C47" w:rsidRDefault="007D7BB4" w:rsidP="008D32BA">
            <w:pPr>
              <w:spacing w:after="0"/>
              <w:jc w:val="center"/>
            </w:pPr>
            <w:r w:rsidRPr="003E7C47">
              <w:t>Ansiennitet 0 år</w:t>
            </w:r>
          </w:p>
        </w:tc>
        <w:tc>
          <w:tcPr>
            <w:tcW w:w="1786" w:type="pct"/>
            <w:gridSpan w:val="3"/>
            <w:tcBorders>
              <w:top w:val="single" w:sz="4" w:space="0" w:color="auto"/>
              <w:bottom w:val="single" w:sz="4" w:space="0" w:color="auto"/>
            </w:tcBorders>
            <w:vAlign w:val="bottom"/>
          </w:tcPr>
          <w:p w14:paraId="333E2F22" w14:textId="77777777" w:rsidR="007D7BB4" w:rsidRPr="003E7C47" w:rsidRDefault="007D7BB4" w:rsidP="008D32BA">
            <w:pPr>
              <w:spacing w:after="0"/>
              <w:jc w:val="center"/>
            </w:pPr>
            <w:r w:rsidRPr="003E7C47">
              <w:t>Ansiennitet 10 år</w:t>
            </w:r>
          </w:p>
        </w:tc>
      </w:tr>
      <w:tr w:rsidR="007D7BB4" w:rsidRPr="003E7C47" w14:paraId="3D526C2E" w14:textId="77777777" w:rsidTr="008D32BA">
        <w:trPr>
          <w:trHeight w:val="543"/>
        </w:trPr>
        <w:tc>
          <w:tcPr>
            <w:tcW w:w="1310" w:type="pct"/>
            <w:tcBorders>
              <w:bottom w:val="single" w:sz="4" w:space="0" w:color="auto"/>
            </w:tcBorders>
          </w:tcPr>
          <w:p w14:paraId="4C566526" w14:textId="77777777" w:rsidR="007D7BB4" w:rsidRPr="003E7C47" w:rsidRDefault="007D7BB4" w:rsidP="008D32BA">
            <w:pPr>
              <w:spacing w:after="0"/>
            </w:pPr>
          </w:p>
        </w:tc>
        <w:tc>
          <w:tcPr>
            <w:tcW w:w="623" w:type="pct"/>
            <w:tcBorders>
              <w:top w:val="single" w:sz="4" w:space="0" w:color="auto"/>
              <w:bottom w:val="single" w:sz="4" w:space="0" w:color="auto"/>
            </w:tcBorders>
            <w:vAlign w:val="bottom"/>
          </w:tcPr>
          <w:p w14:paraId="29734D6E" w14:textId="77777777" w:rsidR="007D7BB4" w:rsidRPr="003E7C47" w:rsidRDefault="007D7BB4" w:rsidP="008D32BA">
            <w:pPr>
              <w:spacing w:after="0"/>
              <w:jc w:val="right"/>
            </w:pPr>
            <w:r>
              <w:t>1. juli 2014</w:t>
            </w:r>
          </w:p>
        </w:tc>
        <w:tc>
          <w:tcPr>
            <w:tcW w:w="675" w:type="pct"/>
            <w:tcBorders>
              <w:top w:val="single" w:sz="4" w:space="0" w:color="auto"/>
              <w:bottom w:val="single" w:sz="4" w:space="0" w:color="auto"/>
            </w:tcBorders>
            <w:vAlign w:val="bottom"/>
          </w:tcPr>
          <w:p w14:paraId="476E3AA5" w14:textId="77777777" w:rsidR="007D7BB4" w:rsidRPr="003E7C47" w:rsidRDefault="007D7BB4" w:rsidP="008D32BA">
            <w:pPr>
              <w:spacing w:after="0"/>
              <w:jc w:val="right"/>
            </w:pPr>
            <w:r>
              <w:t>1. mai 2015</w:t>
            </w:r>
          </w:p>
        </w:tc>
        <w:tc>
          <w:tcPr>
            <w:tcW w:w="606" w:type="pct"/>
            <w:tcBorders>
              <w:bottom w:val="single" w:sz="4" w:space="0" w:color="auto"/>
            </w:tcBorders>
            <w:vAlign w:val="bottom"/>
          </w:tcPr>
          <w:p w14:paraId="6ACCA2EE" w14:textId="77777777" w:rsidR="007D7BB4" w:rsidRPr="003E7C47" w:rsidRDefault="007D7BB4" w:rsidP="008D32BA">
            <w:pPr>
              <w:spacing w:after="0"/>
            </w:pPr>
          </w:p>
          <w:p w14:paraId="4793803E" w14:textId="77777777" w:rsidR="007D7BB4" w:rsidRPr="003E7C47" w:rsidRDefault="007D7BB4" w:rsidP="008D32BA">
            <w:pPr>
              <w:spacing w:after="0"/>
              <w:jc w:val="right"/>
            </w:pPr>
            <w:r w:rsidRPr="003E7C47">
              <w:t>Endring</w:t>
            </w:r>
          </w:p>
        </w:tc>
        <w:tc>
          <w:tcPr>
            <w:tcW w:w="607" w:type="pct"/>
            <w:tcBorders>
              <w:top w:val="single" w:sz="4" w:space="0" w:color="auto"/>
              <w:bottom w:val="single" w:sz="4" w:space="0" w:color="auto"/>
            </w:tcBorders>
            <w:vAlign w:val="bottom"/>
          </w:tcPr>
          <w:p w14:paraId="00ABA710" w14:textId="77777777" w:rsidR="007D7BB4" w:rsidRPr="003E7C47" w:rsidRDefault="007D7BB4" w:rsidP="008D32BA">
            <w:pPr>
              <w:spacing w:after="0"/>
              <w:jc w:val="right"/>
            </w:pPr>
            <w:r>
              <w:t>1. juli 2014</w:t>
            </w:r>
          </w:p>
        </w:tc>
        <w:tc>
          <w:tcPr>
            <w:tcW w:w="646" w:type="pct"/>
            <w:tcBorders>
              <w:top w:val="single" w:sz="4" w:space="0" w:color="auto"/>
              <w:bottom w:val="single" w:sz="4" w:space="0" w:color="auto"/>
            </w:tcBorders>
            <w:vAlign w:val="bottom"/>
          </w:tcPr>
          <w:p w14:paraId="5434D0CD" w14:textId="77777777" w:rsidR="007D7BB4" w:rsidRPr="003E7C47" w:rsidRDefault="007D7BB4" w:rsidP="008D32BA">
            <w:pPr>
              <w:spacing w:after="0"/>
              <w:jc w:val="right"/>
            </w:pPr>
            <w:r>
              <w:t>1. mai 2015</w:t>
            </w:r>
          </w:p>
        </w:tc>
        <w:tc>
          <w:tcPr>
            <w:tcW w:w="533" w:type="pct"/>
            <w:tcBorders>
              <w:bottom w:val="single" w:sz="4" w:space="0" w:color="auto"/>
            </w:tcBorders>
            <w:vAlign w:val="bottom"/>
          </w:tcPr>
          <w:p w14:paraId="093B26F6" w14:textId="77777777" w:rsidR="007D7BB4" w:rsidRPr="003E7C47" w:rsidRDefault="007D7BB4" w:rsidP="008D32BA">
            <w:pPr>
              <w:spacing w:after="0"/>
              <w:jc w:val="right"/>
            </w:pPr>
            <w:r w:rsidRPr="003E7C47">
              <w:t>Endring</w:t>
            </w:r>
          </w:p>
        </w:tc>
      </w:tr>
      <w:tr w:rsidR="007D7BB4" w:rsidRPr="003E7C47" w14:paraId="0F62DB44" w14:textId="77777777" w:rsidTr="008D32BA">
        <w:tc>
          <w:tcPr>
            <w:tcW w:w="1310" w:type="pct"/>
            <w:tcBorders>
              <w:top w:val="single" w:sz="4" w:space="0" w:color="auto"/>
            </w:tcBorders>
          </w:tcPr>
          <w:p w14:paraId="1E0CFF1F" w14:textId="77777777" w:rsidR="007D7BB4" w:rsidRPr="003E7C47" w:rsidRDefault="007D7BB4" w:rsidP="008D32BA">
            <w:pPr>
              <w:spacing w:after="0"/>
            </w:pPr>
            <w:r w:rsidRPr="003E7C47">
              <w:t>Grunnstillinger</w:t>
            </w:r>
          </w:p>
        </w:tc>
        <w:tc>
          <w:tcPr>
            <w:tcW w:w="623" w:type="pct"/>
            <w:tcBorders>
              <w:top w:val="single" w:sz="4" w:space="0" w:color="auto"/>
            </w:tcBorders>
            <w:vAlign w:val="bottom"/>
          </w:tcPr>
          <w:p w14:paraId="73A41D01" w14:textId="77777777" w:rsidR="007D7BB4" w:rsidRPr="00774D1C" w:rsidRDefault="007D7BB4" w:rsidP="008D32BA">
            <w:pPr>
              <w:spacing w:after="0"/>
              <w:jc w:val="right"/>
              <w:rPr>
                <w:sz w:val="22"/>
                <w:szCs w:val="22"/>
              </w:rPr>
            </w:pPr>
            <w:r w:rsidRPr="00774D1C">
              <w:rPr>
                <w:sz w:val="22"/>
                <w:szCs w:val="22"/>
              </w:rPr>
              <w:t>369 000</w:t>
            </w:r>
          </w:p>
        </w:tc>
        <w:tc>
          <w:tcPr>
            <w:tcW w:w="675" w:type="pct"/>
            <w:tcBorders>
              <w:top w:val="single" w:sz="4" w:space="0" w:color="auto"/>
            </w:tcBorders>
            <w:vAlign w:val="bottom"/>
          </w:tcPr>
          <w:p w14:paraId="79F999E8" w14:textId="77777777" w:rsidR="007D7BB4" w:rsidRPr="00774D1C" w:rsidRDefault="007D7BB4" w:rsidP="008D32BA">
            <w:pPr>
              <w:spacing w:after="0"/>
              <w:jc w:val="right"/>
              <w:rPr>
                <w:sz w:val="22"/>
                <w:szCs w:val="22"/>
              </w:rPr>
            </w:pPr>
            <w:r w:rsidRPr="00774D1C">
              <w:rPr>
                <w:sz w:val="22"/>
                <w:szCs w:val="22"/>
              </w:rPr>
              <w:t>371 000</w:t>
            </w:r>
          </w:p>
        </w:tc>
        <w:tc>
          <w:tcPr>
            <w:tcW w:w="606" w:type="pct"/>
            <w:tcBorders>
              <w:top w:val="single" w:sz="4" w:space="0" w:color="auto"/>
            </w:tcBorders>
            <w:vAlign w:val="bottom"/>
          </w:tcPr>
          <w:p w14:paraId="779264DF" w14:textId="77777777" w:rsidR="007D7BB4" w:rsidRPr="00774D1C" w:rsidRDefault="007D7BB4" w:rsidP="008D32BA">
            <w:pPr>
              <w:spacing w:after="0"/>
              <w:jc w:val="right"/>
              <w:rPr>
                <w:sz w:val="22"/>
                <w:szCs w:val="22"/>
              </w:rPr>
            </w:pPr>
            <w:r w:rsidRPr="00774D1C">
              <w:rPr>
                <w:sz w:val="22"/>
                <w:szCs w:val="22"/>
              </w:rPr>
              <w:t>2 000</w:t>
            </w:r>
          </w:p>
        </w:tc>
        <w:tc>
          <w:tcPr>
            <w:tcW w:w="607" w:type="pct"/>
            <w:tcBorders>
              <w:top w:val="single" w:sz="4" w:space="0" w:color="auto"/>
            </w:tcBorders>
            <w:vAlign w:val="bottom"/>
          </w:tcPr>
          <w:p w14:paraId="4634A823" w14:textId="77777777" w:rsidR="007D7BB4" w:rsidRPr="00774D1C" w:rsidRDefault="007D7BB4" w:rsidP="008D32BA">
            <w:pPr>
              <w:spacing w:after="0"/>
              <w:jc w:val="right"/>
              <w:rPr>
                <w:sz w:val="22"/>
                <w:szCs w:val="22"/>
              </w:rPr>
            </w:pPr>
            <w:r w:rsidRPr="00774D1C">
              <w:rPr>
                <w:sz w:val="22"/>
                <w:szCs w:val="22"/>
              </w:rPr>
              <w:t>425 000</w:t>
            </w:r>
          </w:p>
        </w:tc>
        <w:tc>
          <w:tcPr>
            <w:tcW w:w="646" w:type="pct"/>
            <w:tcBorders>
              <w:top w:val="single" w:sz="4" w:space="0" w:color="auto"/>
            </w:tcBorders>
            <w:vAlign w:val="bottom"/>
          </w:tcPr>
          <w:p w14:paraId="6D231A8F" w14:textId="77777777" w:rsidR="007D7BB4" w:rsidRPr="00774D1C" w:rsidRDefault="007D7BB4" w:rsidP="008D32BA">
            <w:pPr>
              <w:spacing w:after="0"/>
              <w:jc w:val="right"/>
              <w:rPr>
                <w:sz w:val="22"/>
                <w:szCs w:val="22"/>
              </w:rPr>
            </w:pPr>
            <w:r w:rsidRPr="00774D1C">
              <w:rPr>
                <w:sz w:val="22"/>
                <w:szCs w:val="22"/>
              </w:rPr>
              <w:t>427 000</w:t>
            </w:r>
          </w:p>
        </w:tc>
        <w:tc>
          <w:tcPr>
            <w:tcW w:w="533" w:type="pct"/>
            <w:tcBorders>
              <w:top w:val="single" w:sz="4" w:space="0" w:color="auto"/>
            </w:tcBorders>
            <w:vAlign w:val="bottom"/>
          </w:tcPr>
          <w:p w14:paraId="76BEC39A" w14:textId="77777777" w:rsidR="007D7BB4" w:rsidRPr="00774D1C" w:rsidRDefault="007D7BB4" w:rsidP="008D32BA">
            <w:pPr>
              <w:spacing w:after="0"/>
              <w:jc w:val="right"/>
              <w:rPr>
                <w:sz w:val="22"/>
                <w:szCs w:val="22"/>
              </w:rPr>
            </w:pPr>
            <w:r w:rsidRPr="00774D1C">
              <w:rPr>
                <w:sz w:val="22"/>
                <w:szCs w:val="22"/>
              </w:rPr>
              <w:t>2 000</w:t>
            </w:r>
          </w:p>
        </w:tc>
      </w:tr>
      <w:tr w:rsidR="007D7BB4" w:rsidRPr="003E7C47" w14:paraId="0A00171C" w14:textId="77777777" w:rsidTr="008D32BA">
        <w:tc>
          <w:tcPr>
            <w:tcW w:w="1310" w:type="pct"/>
            <w:tcBorders>
              <w:bottom w:val="single" w:sz="4" w:space="0" w:color="auto"/>
            </w:tcBorders>
          </w:tcPr>
          <w:p w14:paraId="5E827DF8" w14:textId="77777777" w:rsidR="007D7BB4" w:rsidRPr="003E7C47" w:rsidRDefault="007D7BB4" w:rsidP="008D32BA">
            <w:pPr>
              <w:spacing w:after="0"/>
            </w:pPr>
            <w:r w:rsidRPr="003E7C47">
              <w:t>Stillinger med spesialkompetanse</w:t>
            </w:r>
          </w:p>
        </w:tc>
        <w:tc>
          <w:tcPr>
            <w:tcW w:w="623" w:type="pct"/>
            <w:tcBorders>
              <w:bottom w:val="single" w:sz="4" w:space="0" w:color="auto"/>
            </w:tcBorders>
            <w:vAlign w:val="bottom"/>
          </w:tcPr>
          <w:p w14:paraId="4F276AC2" w14:textId="77777777" w:rsidR="007D7BB4" w:rsidRPr="00774D1C" w:rsidRDefault="007D7BB4" w:rsidP="008D32BA">
            <w:pPr>
              <w:spacing w:after="0"/>
              <w:jc w:val="right"/>
              <w:rPr>
                <w:sz w:val="22"/>
                <w:szCs w:val="22"/>
              </w:rPr>
            </w:pPr>
            <w:r w:rsidRPr="00774D1C">
              <w:rPr>
                <w:sz w:val="22"/>
                <w:szCs w:val="22"/>
              </w:rPr>
              <w:t>396 000</w:t>
            </w:r>
          </w:p>
        </w:tc>
        <w:tc>
          <w:tcPr>
            <w:tcW w:w="675" w:type="pct"/>
            <w:tcBorders>
              <w:bottom w:val="single" w:sz="4" w:space="0" w:color="auto"/>
            </w:tcBorders>
            <w:vAlign w:val="bottom"/>
          </w:tcPr>
          <w:p w14:paraId="3637823F" w14:textId="77777777" w:rsidR="007D7BB4" w:rsidRPr="00774D1C" w:rsidRDefault="007D7BB4" w:rsidP="008D32BA">
            <w:pPr>
              <w:spacing w:after="0"/>
              <w:jc w:val="right"/>
              <w:rPr>
                <w:sz w:val="22"/>
                <w:szCs w:val="22"/>
              </w:rPr>
            </w:pPr>
            <w:r w:rsidRPr="00774D1C">
              <w:rPr>
                <w:sz w:val="22"/>
                <w:szCs w:val="22"/>
              </w:rPr>
              <w:t>400 000</w:t>
            </w:r>
          </w:p>
        </w:tc>
        <w:tc>
          <w:tcPr>
            <w:tcW w:w="606" w:type="pct"/>
            <w:tcBorders>
              <w:bottom w:val="single" w:sz="4" w:space="0" w:color="auto"/>
            </w:tcBorders>
            <w:vAlign w:val="bottom"/>
          </w:tcPr>
          <w:p w14:paraId="0A8C88B3" w14:textId="77777777" w:rsidR="007D7BB4" w:rsidRPr="00774D1C" w:rsidRDefault="007D7BB4" w:rsidP="008D32BA">
            <w:pPr>
              <w:spacing w:after="0"/>
              <w:jc w:val="right"/>
              <w:rPr>
                <w:sz w:val="22"/>
                <w:szCs w:val="22"/>
              </w:rPr>
            </w:pPr>
            <w:r w:rsidRPr="00774D1C">
              <w:rPr>
                <w:sz w:val="22"/>
                <w:szCs w:val="22"/>
              </w:rPr>
              <w:t>4 000</w:t>
            </w:r>
          </w:p>
        </w:tc>
        <w:tc>
          <w:tcPr>
            <w:tcW w:w="607" w:type="pct"/>
            <w:tcBorders>
              <w:bottom w:val="single" w:sz="4" w:space="0" w:color="auto"/>
            </w:tcBorders>
            <w:vAlign w:val="bottom"/>
          </w:tcPr>
          <w:p w14:paraId="4C64FE63" w14:textId="77777777" w:rsidR="007D7BB4" w:rsidRPr="00774D1C" w:rsidRDefault="007D7BB4" w:rsidP="008D32BA">
            <w:pPr>
              <w:spacing w:after="0"/>
              <w:jc w:val="right"/>
              <w:rPr>
                <w:sz w:val="22"/>
                <w:szCs w:val="22"/>
              </w:rPr>
            </w:pPr>
            <w:r w:rsidRPr="00774D1C">
              <w:rPr>
                <w:sz w:val="22"/>
                <w:szCs w:val="22"/>
              </w:rPr>
              <w:t>465 000</w:t>
            </w:r>
          </w:p>
        </w:tc>
        <w:tc>
          <w:tcPr>
            <w:tcW w:w="646" w:type="pct"/>
            <w:tcBorders>
              <w:bottom w:val="single" w:sz="4" w:space="0" w:color="auto"/>
            </w:tcBorders>
            <w:vAlign w:val="bottom"/>
          </w:tcPr>
          <w:p w14:paraId="5980011E" w14:textId="77777777" w:rsidR="007D7BB4" w:rsidRPr="00774D1C" w:rsidRDefault="007D7BB4" w:rsidP="008D32BA">
            <w:pPr>
              <w:spacing w:after="0"/>
              <w:jc w:val="right"/>
              <w:rPr>
                <w:sz w:val="22"/>
                <w:szCs w:val="22"/>
              </w:rPr>
            </w:pPr>
            <w:r w:rsidRPr="00774D1C">
              <w:rPr>
                <w:sz w:val="22"/>
                <w:szCs w:val="22"/>
              </w:rPr>
              <w:t>469 000</w:t>
            </w:r>
          </w:p>
        </w:tc>
        <w:tc>
          <w:tcPr>
            <w:tcW w:w="533" w:type="pct"/>
            <w:tcBorders>
              <w:bottom w:val="single" w:sz="4" w:space="0" w:color="auto"/>
            </w:tcBorders>
            <w:vAlign w:val="bottom"/>
          </w:tcPr>
          <w:p w14:paraId="1EB7BDFB" w14:textId="77777777" w:rsidR="007D7BB4" w:rsidRPr="00774D1C" w:rsidRDefault="007D7BB4" w:rsidP="008D32BA">
            <w:pPr>
              <w:spacing w:after="0"/>
              <w:jc w:val="right"/>
              <w:rPr>
                <w:sz w:val="22"/>
                <w:szCs w:val="22"/>
              </w:rPr>
            </w:pPr>
            <w:r w:rsidRPr="00774D1C">
              <w:rPr>
                <w:sz w:val="22"/>
                <w:szCs w:val="22"/>
              </w:rPr>
              <w:t>4 000</w:t>
            </w:r>
          </w:p>
        </w:tc>
      </w:tr>
    </w:tbl>
    <w:p w14:paraId="0750E69A" w14:textId="77777777" w:rsidR="007D7BB4" w:rsidRDefault="007D7BB4" w:rsidP="007D7BB4">
      <w:pPr>
        <w:pStyle w:val="Overskrift2"/>
      </w:pPr>
      <w:bookmarkStart w:id="423" w:name="_Toc256681357"/>
      <w:bookmarkStart w:id="424" w:name="_Toc256684374"/>
      <w:bookmarkStart w:id="425" w:name="_Toc257118277"/>
      <w:bookmarkStart w:id="426" w:name="_Toc257201077"/>
      <w:bookmarkStart w:id="427" w:name="_Toc257462266"/>
      <w:bookmarkStart w:id="428" w:name="_Toc264463028"/>
      <w:bookmarkStart w:id="429" w:name="_Toc264645452"/>
      <w:bookmarkStart w:id="430" w:name="_Toc286073411"/>
      <w:bookmarkStart w:id="431" w:name="_Toc286074035"/>
      <w:bookmarkStart w:id="432" w:name="_Toc286075055"/>
      <w:bookmarkStart w:id="433" w:name="_Toc286075304"/>
      <w:bookmarkStart w:id="434" w:name="_Toc358202907"/>
      <w:bookmarkStart w:id="435" w:name="_Toc359263579"/>
      <w:bookmarkStart w:id="436" w:name="_Toc422226840"/>
      <w:bookmarkStart w:id="437" w:name="_Toc443829085"/>
      <w:bookmarkStart w:id="438" w:name="_Toc443843742"/>
      <w:bookmarkStart w:id="439" w:name="_Toc443844274"/>
      <w:bookmarkStart w:id="440" w:name="_Toc443999014"/>
      <w:r w:rsidRPr="00143EF3">
        <w:t>Konflikter i 201</w:t>
      </w:r>
      <w:r>
        <w:t>5</w:t>
      </w:r>
      <w:r w:rsidRPr="00143EF3">
        <w:t>-oppgjøret</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143EF3">
        <w:t xml:space="preserve"> </w:t>
      </w:r>
    </w:p>
    <w:p w14:paraId="45AB4397" w14:textId="77777777" w:rsidR="007D7BB4" w:rsidRDefault="007D7BB4" w:rsidP="007D7BB4">
      <w:pPr>
        <w:rPr>
          <w:rFonts w:ascii="Times New Roman" w:hAnsi="Times New Roman"/>
        </w:rPr>
      </w:pPr>
      <w:r>
        <w:t xml:space="preserve">Meklingen mellom </w:t>
      </w:r>
      <w:r>
        <w:rPr>
          <w:i/>
          <w:iCs/>
        </w:rPr>
        <w:t>Norsk Cockpitforbund og NHO Luftfart om opprettelse av avtale for piloter i SAS</w:t>
      </w:r>
      <w:r>
        <w:t xml:space="preserve"> førte ikke til enighet. Seks piloter ble tatt ut i streik fra 21. mai, deretter seks nye den 22. mai, og ytterligere syv fra den 24. mai. Den 27. mai ble meklingen gjenopptatt og den 28. mai la </w:t>
      </w:r>
      <w:r>
        <w:rPr>
          <w:rFonts w:ascii="Times New Roman" w:hAnsi="Times New Roman"/>
        </w:rPr>
        <w:t>Riksmekleren fram forslag til løsning. Arbeidsgiversiden aksepterte forslaget og det ble senere også godkjent av arbeidstakersiden.</w:t>
      </w:r>
    </w:p>
    <w:p w14:paraId="564CC0AF" w14:textId="77777777" w:rsidR="007D7BB4" w:rsidRDefault="007D7BB4" w:rsidP="007D7BB4">
      <w:pPr>
        <w:spacing w:after="0"/>
        <w:rPr>
          <w:rFonts w:ascii="Times New Roman" w:hAnsi="Times New Roman"/>
        </w:rPr>
      </w:pPr>
      <w:r>
        <w:rPr>
          <w:rFonts w:ascii="Times New Roman" w:hAnsi="Times New Roman"/>
        </w:rPr>
        <w:br w:type="page"/>
      </w:r>
    </w:p>
    <w:p w14:paraId="5988E8B1" w14:textId="77777777" w:rsidR="007D7BB4" w:rsidRPr="008C4E0C" w:rsidRDefault="007D7BB4" w:rsidP="007D7BB4">
      <w:pPr>
        <w:rPr>
          <w:b/>
        </w:rPr>
      </w:pPr>
      <w:r w:rsidRPr="008C4E0C">
        <w:rPr>
          <w:b/>
        </w:rPr>
        <w:t>Undervedlegg 1</w:t>
      </w:r>
    </w:p>
    <w:p w14:paraId="7453B673" w14:textId="77777777" w:rsidR="007D7BB4" w:rsidRPr="008C4E0C" w:rsidRDefault="007D7BB4" w:rsidP="007D7BB4"/>
    <w:p w14:paraId="4A8B460C" w14:textId="77777777" w:rsidR="007D7BB4" w:rsidRPr="008C4E0C" w:rsidRDefault="007D7BB4" w:rsidP="007D7BB4">
      <w:pPr>
        <w:rPr>
          <w:b/>
        </w:rPr>
      </w:pPr>
      <w:r w:rsidRPr="008C4E0C">
        <w:rPr>
          <w:b/>
        </w:rPr>
        <w:t>Brev fra LO og NHO til statsminister Erna Solberg</w:t>
      </w:r>
    </w:p>
    <w:p w14:paraId="5C0B2654" w14:textId="77777777" w:rsidR="007D7BB4" w:rsidRPr="008C4E0C" w:rsidRDefault="007D7BB4" w:rsidP="007D7BB4"/>
    <w:p w14:paraId="32CA5AE7" w14:textId="77777777" w:rsidR="007D7BB4" w:rsidRPr="008C4E0C" w:rsidRDefault="007D7BB4" w:rsidP="007D7BB4">
      <w:r w:rsidRPr="008C4E0C">
        <w:t xml:space="preserve">Statsminister Erna Solberg </w:t>
      </w:r>
      <w:r w:rsidRPr="008C4E0C">
        <w:br/>
        <w:t xml:space="preserve">Statsministerens kontor </w:t>
      </w:r>
      <w:r w:rsidRPr="008C4E0C">
        <w:br/>
        <w:t>Postboks 8001 Dep</w:t>
      </w:r>
    </w:p>
    <w:p w14:paraId="180E2976" w14:textId="77777777" w:rsidR="007D7BB4" w:rsidRPr="008C4E0C" w:rsidRDefault="007D7BB4" w:rsidP="007D7BB4">
      <w:r w:rsidRPr="008C4E0C">
        <w:t>0030 Oslo</w:t>
      </w:r>
      <w:r w:rsidRPr="008C4E0C">
        <w:tab/>
      </w:r>
      <w:r w:rsidRPr="008C4E0C">
        <w:tab/>
      </w:r>
      <w:r w:rsidRPr="008C4E0C">
        <w:tab/>
      </w:r>
      <w:r w:rsidRPr="008C4E0C">
        <w:tab/>
      </w:r>
      <w:r w:rsidRPr="008C4E0C">
        <w:tab/>
      </w:r>
      <w:r w:rsidRPr="008C4E0C">
        <w:tab/>
      </w:r>
      <w:r w:rsidRPr="008C4E0C">
        <w:tab/>
      </w:r>
      <w:r w:rsidRPr="008C4E0C">
        <w:tab/>
        <w:t>Oslo, 26. mars 2015</w:t>
      </w:r>
    </w:p>
    <w:p w14:paraId="725949AA" w14:textId="77777777" w:rsidR="007D7BB4" w:rsidRPr="008C4E0C" w:rsidRDefault="007D7BB4" w:rsidP="007D7BB4"/>
    <w:p w14:paraId="666BE8A1" w14:textId="77777777" w:rsidR="007D7BB4" w:rsidRPr="008C4E0C" w:rsidRDefault="007D7BB4" w:rsidP="007D7BB4">
      <w:r w:rsidRPr="008C4E0C">
        <w:t>LO og NHO har ved mellomoppgjøret lagt vekt på å tilpasse lønnsutviklingen til en ny makroøkonomisk situasjon for Norge. Gjennom dette gir partene et viktig bidrag til å sikre arbeidsplasser og bedriftenes økonomi. Det øker myndighetenes spillerom for egen tiltaksinnsats som fremmer kompetanse og bærekraft i næringslivet.</w:t>
      </w:r>
    </w:p>
    <w:p w14:paraId="54C85BA7" w14:textId="77777777" w:rsidR="007D7BB4" w:rsidRPr="008C4E0C" w:rsidRDefault="007D7BB4" w:rsidP="007D7BB4">
      <w:r w:rsidRPr="008C4E0C">
        <w:t>Lav oljepris har ført til at utsiktene er særlig svake for oljerelaterte deler av næringslivet. Men det drar med seg svakere vekst også i andre næringer. Perioden med svakere aktivitetsvekst bør brukes til kompetanseheving, for å gjøre arbeidstakere og bedrifter bedre rustet til omstillinger og styrke deres posisjon i det framtidige arbeids- og næringsliv. Det bør legges til rette for økt bruk av bedriftsintern opplæring (BIO), jfr. gode erfaringer med det i forbindelse med finanskrisen. Målgruppen og innholdet i arbeidsmarkedspolitikkens utdanningstiltak bør også utvides.</w:t>
      </w:r>
    </w:p>
    <w:p w14:paraId="2570F67A" w14:textId="77777777" w:rsidR="007D7BB4" w:rsidRPr="008C4E0C" w:rsidRDefault="007D7BB4" w:rsidP="007D7BB4">
      <w:r w:rsidRPr="008C4E0C">
        <w:t>Permittering er en mulighet for å hjelpe bedrifter og ansatte i en kritisk fase ved markedssvikt. Målet er ikke å sementere en næringsstruktur som ikke har livets rett, men å hindre at en kortvarig svikt fører til unødvendige nedleggelser og oppsigelser.</w:t>
      </w:r>
    </w:p>
    <w:p w14:paraId="79AC73DE" w14:textId="77777777" w:rsidR="007D7BB4" w:rsidRPr="008C4E0C" w:rsidRDefault="007D7BB4" w:rsidP="007D7BB4">
      <w:r w:rsidRPr="008C4E0C">
        <w:t>NHO og LO erkjenner at et regelverk som åpner for omfattende og langvarig permitteringer vil kunne gi negative effekter. Partene mener dog at dagens regelverk er langt unna det nivået.</w:t>
      </w:r>
    </w:p>
    <w:p w14:paraId="67E60BC6" w14:textId="77777777" w:rsidR="007D7BB4" w:rsidRPr="008C4E0C" w:rsidRDefault="007D7BB4" w:rsidP="007D7BB4">
      <w:r w:rsidRPr="008C4E0C">
        <w:rPr>
          <w:noProof/>
        </w:rPr>
        <mc:AlternateContent>
          <mc:Choice Requires="wpg">
            <w:drawing>
              <wp:anchor distT="0" distB="0" distL="114300" distR="114300" simplePos="0" relativeHeight="251666432" behindDoc="0" locked="0" layoutInCell="1" allowOverlap="1" wp14:anchorId="704837AA" wp14:editId="1D8C5BF0">
                <wp:simplePos x="0" y="0"/>
                <wp:positionH relativeFrom="page">
                  <wp:posOffset>7463155</wp:posOffset>
                </wp:positionH>
                <wp:positionV relativeFrom="paragraph">
                  <wp:posOffset>231775</wp:posOffset>
                </wp:positionV>
                <wp:extent cx="1270" cy="3663950"/>
                <wp:effectExtent l="14605" t="16510" r="12700" b="15240"/>
                <wp:wrapNone/>
                <wp:docPr id="84" name="Gruppe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63950"/>
                          <a:chOff x="11753" y="365"/>
                          <a:chExt cx="2" cy="5770"/>
                        </a:xfrm>
                      </wpg:grpSpPr>
                      <wps:wsp>
                        <wps:cNvPr id="85" name="Freeform 5"/>
                        <wps:cNvSpPr>
                          <a:spLocks/>
                        </wps:cNvSpPr>
                        <wps:spPr bwMode="auto">
                          <a:xfrm>
                            <a:off x="11753" y="365"/>
                            <a:ext cx="2" cy="5770"/>
                          </a:xfrm>
                          <a:custGeom>
                            <a:avLst/>
                            <a:gdLst>
                              <a:gd name="T0" fmla="+- 0 6134 365"/>
                              <a:gd name="T1" fmla="*/ 6134 h 5770"/>
                              <a:gd name="T2" fmla="+- 0 365 365"/>
                              <a:gd name="T3" fmla="*/ 365 h 5770"/>
                            </a:gdLst>
                            <a:ahLst/>
                            <a:cxnLst>
                              <a:cxn ang="0">
                                <a:pos x="0" y="T1"/>
                              </a:cxn>
                              <a:cxn ang="0">
                                <a:pos x="0" y="T3"/>
                              </a:cxn>
                            </a:cxnLst>
                            <a:rect l="0" t="0" r="r" b="b"/>
                            <a:pathLst>
                              <a:path h="5770">
                                <a:moveTo>
                                  <a:pt x="0" y="5769"/>
                                </a:moveTo>
                                <a:lnTo>
                                  <a:pt x="0" y="0"/>
                                </a:lnTo>
                              </a:path>
                            </a:pathLst>
                          </a:custGeom>
                          <a:noFill/>
                          <a:ln w="22733">
                            <a:solidFill>
                              <a:srgbClr val="D8D8D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AFBC2" id="Gruppe 84" o:spid="_x0000_s1026" style="position:absolute;margin-left:587.65pt;margin-top:18.25pt;width:.1pt;height:288.5pt;z-index:251666432;mso-position-horizontal-relative:page" coordorigin="11753,365" coordsize="2,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">
                <v:shape id="Freeform 5" o:spid="_x0000_s1027" style="position:absolute;left:11753;top:365;width:2;height:5770;visibility:visible;mso-wrap-style:square;v-text-anchor:top" coordsize="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dRsIA&#10;AADbAAAADwAAAGRycy9kb3ducmV2LnhtbESPQWvCQBSE7wX/w/IEb3WjtEWjqySF2EJP2oLXR/aZ&#10;DWbfhuxq4r93C4LHYWa+YdbbwTbiSp2vHSuYTRMQxKXTNVcK/n6L1wUIH5A1No5JwY08bDejlzWm&#10;2vW8p+shVCJC2KeowITQplL60pBFP3UtcfROrrMYouwqqTvsI9w2cp4kH9JizXHBYEufhsrz4WIV&#10;LM0+6IvMdzo//bisLI7+Db+UmoyHbAUi0BCe4Uf7WytYvMP/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51GwgAAANsAAAAPAAAAAAAAAAAAAAAAAJgCAABkcnMvZG93&#10;bnJldi54bWxQSwUGAAAAAAQABAD1AAAAhwMAAAAA&#10;" path="m,5769l,e" filled="f" strokecolor="#d8d8d8" strokeweight="1.79pt">
                  <v:path arrowok="t" o:connecttype="custom" o:connectlocs="0,6134;0,365" o:connectangles="0,0"/>
                </v:shape>
                <w10:wrap anchorx="page"/>
              </v:group>
            </w:pict>
          </mc:Fallback>
        </mc:AlternateContent>
      </w:r>
      <w:r w:rsidRPr="008C4E0C">
        <w:t>For stort omfang av oppsigelser og større utskiftning av arbeidskraft kan medføre lavere produktivitetsvekst.  Hensynet til at bedriftene kan miste nødvendig kompetanse som vanskelig lar seg erstatte når produksjonen igjen tar seg opp er viktig. For de ansatte vil det bety inntektssikring og tryggere rammer, særlig dersom alternativet er oppsigelse.</w:t>
      </w:r>
    </w:p>
    <w:p w14:paraId="7F5E9C25" w14:textId="77777777" w:rsidR="007D7BB4" w:rsidRPr="008C4E0C" w:rsidRDefault="007D7BB4" w:rsidP="007D7BB4">
      <w:r w:rsidRPr="008C4E0C">
        <w:t>LO og NHO ber om at Regjeringen endrer loven om dagpenger under permittering gjennom at bedriftene får redusert antall dager med lønnsplikt og at dagpengeperioden økes. Permitteringsperioden bør så langt som mulig brukes til kompetanseheving.</w:t>
      </w:r>
    </w:p>
    <w:p w14:paraId="6B9922E3" w14:textId="77777777" w:rsidR="007D7BB4" w:rsidRPr="008C4E0C" w:rsidRDefault="007D7BB4" w:rsidP="007D7BB4"/>
    <w:p w14:paraId="6CDC4A95" w14:textId="77777777" w:rsidR="007D7BB4" w:rsidRPr="008C4E0C" w:rsidRDefault="007D7BB4" w:rsidP="007D7BB4">
      <w:r w:rsidRPr="008C4E0C">
        <w:t>Vennlig hilsen</w:t>
      </w:r>
    </w:p>
    <w:p w14:paraId="5A263A87" w14:textId="77777777" w:rsidR="007D7BB4" w:rsidRPr="008C4E0C" w:rsidRDefault="007D7BB4" w:rsidP="007D7BB4">
      <w:r w:rsidRPr="008C4E0C">
        <w:rPr>
          <w:noProof/>
        </w:rPr>
        <w:drawing>
          <wp:inline distT="0" distB="0" distL="0" distR="0" wp14:anchorId="2CAFBE4F" wp14:editId="6D24B869">
            <wp:extent cx="1014984" cy="356616"/>
            <wp:effectExtent l="0" t="0" r="0" b="0"/>
            <wp:docPr id="8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1" cstate="print"/>
                    <a:stretch>
                      <a:fillRect/>
                    </a:stretch>
                  </pic:blipFill>
                  <pic:spPr>
                    <a:xfrm>
                      <a:off x="0" y="0"/>
                      <a:ext cx="1014984" cy="356616"/>
                    </a:xfrm>
                    <a:prstGeom prst="rect">
                      <a:avLst/>
                    </a:prstGeom>
                  </pic:spPr>
                </pic:pic>
              </a:graphicData>
            </a:graphic>
          </wp:inline>
        </w:drawing>
      </w:r>
    </w:p>
    <w:p w14:paraId="07A02563" w14:textId="77777777" w:rsidR="007D7BB4" w:rsidRPr="008C4E0C" w:rsidRDefault="007D7BB4" w:rsidP="007D7BB4">
      <w:r w:rsidRPr="008C4E0C">
        <w:rPr>
          <w:noProof/>
        </w:rPr>
        <w:drawing>
          <wp:anchor distT="0" distB="0" distL="114300" distR="114300" simplePos="0" relativeHeight="251665408" behindDoc="0" locked="0" layoutInCell="1" allowOverlap="1" wp14:anchorId="34C37A93" wp14:editId="4A421891">
            <wp:simplePos x="0" y="0"/>
            <wp:positionH relativeFrom="page">
              <wp:posOffset>4389120</wp:posOffset>
            </wp:positionH>
            <wp:positionV relativeFrom="paragraph">
              <wp:posOffset>-421005</wp:posOffset>
            </wp:positionV>
            <wp:extent cx="2464435" cy="640080"/>
            <wp:effectExtent l="19050" t="0" r="0" b="0"/>
            <wp:wrapNone/>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2464435" cy="640080"/>
                    </a:xfrm>
                    <a:prstGeom prst="rect">
                      <a:avLst/>
                    </a:prstGeom>
                    <a:noFill/>
                  </pic:spPr>
                </pic:pic>
              </a:graphicData>
            </a:graphic>
          </wp:anchor>
        </w:drawing>
      </w:r>
      <w:r w:rsidRPr="008C4E0C">
        <w:t>Kristin Skogen Lund</w:t>
      </w:r>
    </w:p>
    <w:p w14:paraId="25C7005D" w14:textId="77777777" w:rsidR="007D7BB4" w:rsidRPr="008C4E0C" w:rsidRDefault="007D7BB4" w:rsidP="007D7BB4">
      <w:r w:rsidRPr="008C4E0C">
        <w:br w:type="page"/>
      </w:r>
    </w:p>
    <w:p w14:paraId="5E65A881" w14:textId="77777777" w:rsidR="007D7BB4" w:rsidRPr="008C4E0C" w:rsidRDefault="007D7BB4" w:rsidP="007D7BB4">
      <w:pPr>
        <w:rPr>
          <w:b/>
        </w:rPr>
      </w:pPr>
      <w:r w:rsidRPr="008C4E0C">
        <w:rPr>
          <w:b/>
        </w:rPr>
        <w:t>Svarbrev fra statsminister Erna Solberg til LO og NHO</w:t>
      </w:r>
    </w:p>
    <w:p w14:paraId="7CFE49F5" w14:textId="77777777" w:rsidR="007D7BB4" w:rsidRPr="008C4E0C" w:rsidRDefault="007D7BB4" w:rsidP="007D7BB4">
      <w:pPr>
        <w:rPr>
          <w:b/>
        </w:rPr>
      </w:pPr>
    </w:p>
    <w:p w14:paraId="426827D3" w14:textId="77777777" w:rsidR="007D7BB4" w:rsidRPr="008C4E0C" w:rsidRDefault="007D7BB4" w:rsidP="007D7BB4">
      <w:r w:rsidRPr="008C4E0C">
        <w:t>LO</w:t>
      </w:r>
    </w:p>
    <w:p w14:paraId="30CCB22E" w14:textId="77777777" w:rsidR="007D7BB4" w:rsidRPr="008C4E0C" w:rsidRDefault="007D7BB4" w:rsidP="007D7BB4">
      <w:r w:rsidRPr="008C4E0C">
        <w:t>v/leder Gerd Kristiansen</w:t>
      </w:r>
      <w:r w:rsidRPr="008C4E0C">
        <w:tab/>
      </w:r>
      <w:r w:rsidRPr="008C4E0C">
        <w:tab/>
      </w:r>
      <w:r w:rsidRPr="008C4E0C">
        <w:tab/>
      </w:r>
      <w:r w:rsidRPr="008C4E0C">
        <w:tab/>
      </w:r>
      <w:r w:rsidRPr="008C4E0C">
        <w:tab/>
      </w:r>
      <w:r w:rsidRPr="008C4E0C">
        <w:tab/>
        <w:t>Oslo, 27. mars 2015</w:t>
      </w:r>
    </w:p>
    <w:p w14:paraId="37DC5119" w14:textId="77777777" w:rsidR="007D7BB4" w:rsidRPr="008C4E0C" w:rsidRDefault="007D7BB4" w:rsidP="007D7BB4">
      <w:r w:rsidRPr="008C4E0C">
        <w:t>NHO</w:t>
      </w:r>
    </w:p>
    <w:p w14:paraId="1A200360" w14:textId="77777777" w:rsidR="007D7BB4" w:rsidRPr="008C4E0C" w:rsidRDefault="007D7BB4" w:rsidP="007D7BB4">
      <w:r w:rsidRPr="008C4E0C">
        <w:t>v/leder Kristin Skogen Lund</w:t>
      </w:r>
    </w:p>
    <w:p w14:paraId="592E44CD" w14:textId="77777777" w:rsidR="007D7BB4" w:rsidRPr="008C4E0C" w:rsidRDefault="007D7BB4" w:rsidP="007D7BB4"/>
    <w:p w14:paraId="5F125EE3" w14:textId="77777777" w:rsidR="007D7BB4" w:rsidRDefault="007D7BB4" w:rsidP="007D7BB4">
      <w:pPr>
        <w:spacing w:after="0"/>
      </w:pPr>
      <w:r w:rsidRPr="008C4E0C">
        <w:t>Jeg viser til felles brev fra leder i LO og leder i NHO, datert 26. mars 2015.</w:t>
      </w:r>
      <w:r w:rsidRPr="008C4E0C">
        <w:br/>
      </w:r>
    </w:p>
    <w:p w14:paraId="5ECF1250" w14:textId="77777777" w:rsidR="007D7BB4" w:rsidRPr="008C4E0C" w:rsidRDefault="007D7BB4" w:rsidP="007D7BB4">
      <w:pPr>
        <w:spacing w:after="0"/>
      </w:pPr>
      <w:r w:rsidRPr="008C4E0C">
        <w:t>Jeg er glad for at LO og NHO har kommet fram til et lønnsoppgjør som er godt tilpasset de utfordringer som norsk økonomi nå står overfor.</w:t>
      </w:r>
      <w:r w:rsidRPr="008C4E0C">
        <w:br/>
      </w:r>
    </w:p>
    <w:p w14:paraId="48FE7DD3" w14:textId="77777777" w:rsidR="007D7BB4" w:rsidRPr="008C4E0C" w:rsidRDefault="007D7BB4" w:rsidP="007D7BB4">
      <w:pPr>
        <w:spacing w:after="0"/>
      </w:pPr>
      <w:r w:rsidRPr="008C4E0C">
        <w:t>I årene framover må vi være forberedt på lavere etterspørsel fra oljevirksomheten. Fallet I oljeprisen siden i fjor sommer kan framskynde og forsterke denne utviklingen. Mange bedrifter må vende seg mot nye markeder. En fortsatt høy sysselsetting og verdiskaping krever dermed omstillinger og strukturelle endringer i norsk økonomi. Disse utfordringene sto sentralt også i rapporten fra det partssammensatte Holden IIl­ utvalget, som ble lagt frem i desember 2013. En moderat lønnsvekst og økt produktivitet, sammen med svekkelsen vi har sett i kronekursen de siste par årene, er den beste hjelpen vi kan få i møte med disse utfordringene. Regjeringen legger for sin del stor vekt på politikktiltak som støtter opp under en produktiv og vekstkraftig økonomi.</w:t>
      </w:r>
      <w:r w:rsidRPr="008C4E0C">
        <w:br/>
      </w:r>
      <w:r w:rsidRPr="008C4E0C">
        <w:br/>
        <w:t>Det er ingen krise i arbeidsmarkedet, selv om det gradvis har blitt mindre stramt i løpet av de siste to årene. Sysselsettingen har fortsatt å vokse i et mer avdempet tempo enn tidligere. Den registrerte arbeidsledigheten har så langt i år holdt seg på om lag samme nivå som i fjor. Det er likevel store strukturelle forskjeller i utviklingen. Ledigheten har økt mye særlig i Rogaland og for yrkesgrupper som kan knyttes til oljenæringen, som IKT- og ingeniørfag. Samtidig er dette etterspurte yrkesgrupper med høy kompetanse. Så langt synes det som mange har funnet nytt arbeid. Regjeringen vil følge utviklingen i arbeidsmarkedet nøye og vurdere behovet for tilpasninger fram mot Revidert nasjonalbudsjett.</w:t>
      </w:r>
      <w:r w:rsidRPr="008C4E0C">
        <w:br/>
      </w:r>
    </w:p>
    <w:p w14:paraId="662DDDAB" w14:textId="77777777" w:rsidR="007D7BB4" w:rsidRPr="008C4E0C" w:rsidRDefault="007D7BB4" w:rsidP="007D7BB4">
      <w:pPr>
        <w:spacing w:after="0"/>
      </w:pPr>
      <w:r w:rsidRPr="008C4E0C">
        <w:t>Jeg har samtidig merket meg de innspillene LO og NHO har når det gjelder permitteringsordningen. Regjeringen vektlegger partenes syn. Det kan være behov for å være føre var i dagens situasjon. Regjeringen vil derfor foreslå enkelte endringer i permitteringsregelverket for Stortinget i forbindelse med Revidert nasjonalbudsjett som legges fram 12. mai. Konkret vil vi foreslå å øke den maksimale dagpengeperioden under permittering fra 26 til 30 uker, samt å redusere bedriftenes lønnsplikt under permittering fra 20 til 10 dager med virkning fra 1. juli 2015.</w:t>
      </w:r>
    </w:p>
    <w:p w14:paraId="089DD70B" w14:textId="77777777" w:rsidR="007D7BB4" w:rsidRPr="008C4E0C" w:rsidRDefault="007D7BB4" w:rsidP="007D7BB4"/>
    <w:p w14:paraId="2A4F8662" w14:textId="77777777" w:rsidR="007D7BB4" w:rsidRPr="008C4E0C" w:rsidRDefault="007D7BB4" w:rsidP="007D7BB4">
      <w:pPr>
        <w:jc w:val="center"/>
      </w:pPr>
      <w:r w:rsidRPr="008C4E0C">
        <w:t>Med vennlig hilsen</w:t>
      </w:r>
    </w:p>
    <w:p w14:paraId="47E318B8" w14:textId="77777777" w:rsidR="007D7BB4" w:rsidRPr="008C4E0C" w:rsidRDefault="007D7BB4" w:rsidP="007D7BB4">
      <w:pPr>
        <w:jc w:val="center"/>
      </w:pPr>
    </w:p>
    <w:p w14:paraId="6E3830BE" w14:textId="77777777" w:rsidR="007D7BB4" w:rsidRPr="008C4E0C" w:rsidRDefault="007D7BB4" w:rsidP="007D7BB4">
      <w:pPr>
        <w:jc w:val="center"/>
      </w:pPr>
      <w:r w:rsidRPr="008C4E0C">
        <w:rPr>
          <w:noProof/>
        </w:rPr>
        <w:drawing>
          <wp:inline distT="0" distB="0" distL="0" distR="0" wp14:anchorId="64B5513C" wp14:editId="1AFA4D7B">
            <wp:extent cx="2499360" cy="438912"/>
            <wp:effectExtent l="0" t="0" r="0" b="0"/>
            <wp:docPr id="8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3" cstate="print"/>
                    <a:stretch>
                      <a:fillRect/>
                    </a:stretch>
                  </pic:blipFill>
                  <pic:spPr>
                    <a:xfrm>
                      <a:off x="0" y="0"/>
                      <a:ext cx="2499360" cy="438912"/>
                    </a:xfrm>
                    <a:prstGeom prst="rect">
                      <a:avLst/>
                    </a:prstGeom>
                  </pic:spPr>
                </pic:pic>
              </a:graphicData>
            </a:graphic>
          </wp:inline>
        </w:drawing>
      </w:r>
    </w:p>
    <w:p w14:paraId="7CB2EA6C" w14:textId="77777777" w:rsidR="007D7BB4" w:rsidRPr="008C4E0C" w:rsidRDefault="007D7BB4" w:rsidP="007D7BB4">
      <w:pPr>
        <w:jc w:val="center"/>
        <w:sectPr w:rsidR="007D7BB4" w:rsidRPr="008C4E0C" w:rsidSect="007D7BB4">
          <w:footerReference w:type="even" r:id="rId64"/>
          <w:footerReference w:type="default" r:id="rId65"/>
          <w:type w:val="continuous"/>
          <w:pgSz w:w="11906" w:h="16838"/>
          <w:pgMar w:top="1418" w:right="1274" w:bottom="1701" w:left="1418" w:header="709" w:footer="709" w:gutter="0"/>
          <w:cols w:space="708"/>
          <w:docGrid w:linePitch="360"/>
        </w:sectPr>
      </w:pPr>
      <w:r w:rsidRPr="008C4E0C">
        <w:t>Erna S</w:t>
      </w:r>
      <w:r>
        <w:t>olberg</w:t>
      </w:r>
    </w:p>
    <w:p w14:paraId="455194B4" w14:textId="06BA0149" w:rsidR="00435783" w:rsidRDefault="00435783" w:rsidP="004779A9">
      <w:pPr>
        <w:pStyle w:val="vedlegg-nr"/>
        <w:rPr>
          <w:rFonts w:cs="Arial"/>
          <w:b w:val="0"/>
        </w:rPr>
      </w:pPr>
      <w:bookmarkStart w:id="441" w:name="_Toc225331363"/>
      <w:bookmarkStart w:id="442" w:name="_Toc225769716"/>
      <w:bookmarkStart w:id="443" w:name="_Toc225769842"/>
      <w:bookmarkStart w:id="444" w:name="_Toc257462267"/>
      <w:bookmarkStart w:id="445" w:name="_Toc286073412"/>
      <w:bookmarkStart w:id="446" w:name="_Toc286074036"/>
      <w:bookmarkStart w:id="447" w:name="_Toc286075056"/>
      <w:bookmarkStart w:id="448" w:name="_Toc348968333"/>
      <w:bookmarkStart w:id="449" w:name="_Toc383961399"/>
    </w:p>
    <w:p w14:paraId="65C29FB2" w14:textId="77777777" w:rsidR="00435783" w:rsidRPr="002C321E" w:rsidRDefault="00435783" w:rsidP="008643D6">
      <w:pPr>
        <w:pStyle w:val="Overskrift1"/>
        <w:numPr>
          <w:ilvl w:val="0"/>
          <w:numId w:val="47"/>
        </w:numPr>
        <w:ind w:left="714" w:hanging="357"/>
        <w:jc w:val="center"/>
      </w:pPr>
      <w:bookmarkStart w:id="450" w:name="_Toc443999015"/>
      <w:r w:rsidRPr="007256D6">
        <w:t>Definisjoner av en del lønnsbegreper m.m.</w:t>
      </w:r>
      <w:bookmarkEnd w:id="441"/>
      <w:bookmarkEnd w:id="442"/>
      <w:bookmarkEnd w:id="443"/>
      <w:bookmarkEnd w:id="444"/>
      <w:bookmarkEnd w:id="445"/>
      <w:bookmarkEnd w:id="446"/>
      <w:bookmarkEnd w:id="447"/>
      <w:bookmarkEnd w:id="448"/>
      <w:bookmarkEnd w:id="449"/>
      <w:bookmarkEnd w:id="450"/>
    </w:p>
    <w:p w14:paraId="3770AED1" w14:textId="77777777" w:rsidR="00435783" w:rsidRPr="00B303A1" w:rsidRDefault="00435783" w:rsidP="00435783">
      <w:pPr>
        <w:spacing w:after="0"/>
        <w:rPr>
          <w:rFonts w:ascii="Times New Roman" w:hAnsi="Times New Roman"/>
        </w:rPr>
      </w:pPr>
      <w:r w:rsidRPr="00B303A1">
        <w:rPr>
          <w:rFonts w:ascii="Times New Roman" w:hAnsi="Times New Roman"/>
        </w:rPr>
        <w:t xml:space="preserve">I dette vedlegget </w:t>
      </w:r>
      <w:r>
        <w:rPr>
          <w:rFonts w:ascii="Times New Roman" w:hAnsi="Times New Roman"/>
        </w:rPr>
        <w:t>defineres</w:t>
      </w:r>
      <w:r w:rsidRPr="00B303A1">
        <w:rPr>
          <w:rFonts w:ascii="Times New Roman" w:hAnsi="Times New Roman"/>
        </w:rPr>
        <w:t xml:space="preserve"> en del sentrale begreper som bl.a. brukes </w:t>
      </w:r>
      <w:r>
        <w:rPr>
          <w:rFonts w:ascii="Times New Roman" w:hAnsi="Times New Roman"/>
        </w:rPr>
        <w:t>i kapitlet om lønnsutviklingen.</w:t>
      </w:r>
    </w:p>
    <w:p w14:paraId="78EF534D" w14:textId="77777777" w:rsidR="00435783" w:rsidRDefault="00435783" w:rsidP="008643D6">
      <w:pPr>
        <w:pStyle w:val="Overskrift2"/>
        <w:numPr>
          <w:ilvl w:val="1"/>
          <w:numId w:val="50"/>
        </w:numPr>
      </w:pPr>
      <w:bookmarkStart w:id="451" w:name="ved0.1.1.0.1"/>
      <w:bookmarkStart w:id="452" w:name="_Toc383961400"/>
      <w:bookmarkStart w:id="453" w:name="_Toc443829087"/>
      <w:bookmarkStart w:id="454" w:name="_Toc443843744"/>
      <w:bookmarkStart w:id="455" w:name="_Toc443844276"/>
      <w:bookmarkStart w:id="456" w:name="_Toc443999016"/>
      <w:bookmarkEnd w:id="451"/>
      <w:r>
        <w:t>Statistikkbegreper</w:t>
      </w:r>
      <w:bookmarkEnd w:id="452"/>
      <w:bookmarkEnd w:id="453"/>
      <w:bookmarkEnd w:id="454"/>
      <w:bookmarkEnd w:id="455"/>
      <w:bookmarkEnd w:id="456"/>
    </w:p>
    <w:p w14:paraId="105BA6D7" w14:textId="77777777" w:rsidR="00435783" w:rsidRPr="002572B7" w:rsidRDefault="00435783" w:rsidP="00435783">
      <w:pPr>
        <w:spacing w:before="360"/>
        <w:rPr>
          <w:i/>
        </w:rPr>
      </w:pPr>
      <w:r w:rsidRPr="002572B7">
        <w:rPr>
          <w:i/>
        </w:rPr>
        <w:t>Årslønn, lønnsstatistikken</w:t>
      </w:r>
    </w:p>
    <w:p w14:paraId="271C2EF1" w14:textId="77777777" w:rsidR="00435783" w:rsidRPr="002161B9" w:rsidRDefault="00435783" w:rsidP="00435783">
      <w:pPr>
        <w:rPr>
          <w:rFonts w:ascii="Times New Roman" w:hAnsi="Times New Roman"/>
        </w:rPr>
      </w:pPr>
      <w:r>
        <w:t>Å</w:t>
      </w:r>
      <w:r w:rsidRPr="00B303A1">
        <w:t xml:space="preserve">rslønnsnivå er </w:t>
      </w:r>
      <w:r>
        <w:t>beregnet på bakgrunn av</w:t>
      </w:r>
      <w:r w:rsidRPr="00B303A1">
        <w:t xml:space="preserve"> </w:t>
      </w:r>
      <w:r>
        <w:t>månedslønn</w:t>
      </w:r>
      <w:r w:rsidRPr="00B303A1">
        <w:t xml:space="preserve"> eksklusive overtidstillegg</w:t>
      </w:r>
      <w:r>
        <w:rPr>
          <w:rStyle w:val="Fotnotereferanse"/>
        </w:rPr>
        <w:footnoteReference w:id="13"/>
      </w:r>
      <w:r w:rsidRPr="00B303A1">
        <w:t xml:space="preserve">, men inklusive andre typer tillegg. Beregningene inneholder de samme lønnskomponentene for alle grupper. </w:t>
      </w:r>
      <w:r>
        <w:rPr>
          <w:rFonts w:ascii="Times New Roman" w:hAnsi="Times New Roman"/>
        </w:rPr>
        <w:t xml:space="preserve">Beregningene tar utgangspunkt i </w:t>
      </w:r>
      <w:r w:rsidRPr="00B303A1">
        <w:rPr>
          <w:rFonts w:ascii="Times New Roman" w:hAnsi="Times New Roman"/>
        </w:rPr>
        <w:t>gjennomsnittlig lønn for lønnstakere som er i arbeid på tellingstidspunktet.</w:t>
      </w:r>
      <w:r w:rsidRPr="009273AC">
        <w:t xml:space="preserve"> </w:t>
      </w:r>
      <w:r w:rsidRPr="00B303A1">
        <w:rPr>
          <w:rFonts w:ascii="Times New Roman" w:hAnsi="Times New Roman"/>
        </w:rPr>
        <w:t xml:space="preserve">En lønnstaker vil normalt ha en del fravær i løpet av året. Ved beregning av årslønn forutsettes det at det gis full lønn under ferie, sykefravær, permisjoner </w:t>
      </w:r>
      <w:r>
        <w:rPr>
          <w:rFonts w:ascii="Times New Roman" w:hAnsi="Times New Roman"/>
        </w:rPr>
        <w:t xml:space="preserve">med mer. </w:t>
      </w:r>
      <w:r w:rsidRPr="00B303A1">
        <w:rPr>
          <w:rFonts w:ascii="Times New Roman" w:hAnsi="Times New Roman"/>
        </w:rPr>
        <w:t>Dette betyr at endringer i sykefraværet ikke vil påvirke årslønnsveksten slik den beregnes av utvalget.</w:t>
      </w:r>
    </w:p>
    <w:p w14:paraId="7F41AD29" w14:textId="77777777" w:rsidR="00435783" w:rsidRPr="00B303A1" w:rsidRDefault="00435783" w:rsidP="00435783">
      <w:r w:rsidRPr="00B303A1">
        <w:t>Utvalget har beregn</w:t>
      </w:r>
      <w:r>
        <w:t>et</w:t>
      </w:r>
      <w:r w:rsidRPr="00B303A1">
        <w:t xml:space="preserve"> lønnsnivå både for heltidsansatte, dvs. for lønnstakere som har utført et fullt normalt årsverk, og per beregnet årsverk. Begrepet «per beregnet årsverk» omfatter både heltids- og deltidsansatte der deltidsansatte er regnet om til heltidsekvivalenter.</w:t>
      </w:r>
      <w:r w:rsidRPr="00101A55">
        <w:t xml:space="preserve"> </w:t>
      </w:r>
      <w:r w:rsidRPr="00B303A1">
        <w:t>Et fullt normalt årsverk svarer ikke til det samme antall arbeidstimer for alle lønnstakergrupper.</w:t>
      </w:r>
    </w:p>
    <w:p w14:paraId="159D0764" w14:textId="0F64800D" w:rsidR="00435783" w:rsidRDefault="00435783" w:rsidP="00435783">
      <w:pPr>
        <w:rPr>
          <w:rFonts w:ascii="Times New Roman" w:hAnsi="Times New Roman"/>
        </w:rPr>
      </w:pPr>
      <w:r>
        <w:rPr>
          <w:rFonts w:ascii="Times New Roman" w:hAnsi="Times New Roman"/>
        </w:rPr>
        <w:t>I vedleggsavsnitt 2.</w:t>
      </w:r>
      <w:r w:rsidR="00324551">
        <w:rPr>
          <w:rFonts w:ascii="Times New Roman" w:hAnsi="Times New Roman"/>
        </w:rPr>
        <w:t>2</w:t>
      </w:r>
      <w:r>
        <w:rPr>
          <w:rFonts w:ascii="Times New Roman" w:hAnsi="Times New Roman"/>
        </w:rPr>
        <w:t xml:space="preserve"> gis det en mer utdypende beskrivelse av grunnlag og metoder for årslønnsberegningene.</w:t>
      </w:r>
    </w:p>
    <w:p w14:paraId="443146CB" w14:textId="77777777" w:rsidR="00435783" w:rsidRPr="00B303A1" w:rsidRDefault="00435783" w:rsidP="00435783">
      <w:pPr>
        <w:rPr>
          <w:rFonts w:ascii="Times New Roman" w:hAnsi="Times New Roman"/>
        </w:rPr>
      </w:pPr>
      <w:r>
        <w:rPr>
          <w:rFonts w:ascii="Times New Roman" w:hAnsi="Times New Roman"/>
        </w:rPr>
        <w:t xml:space="preserve">Årslønn benyttes bl.a. i avsnittene 1.1–1.3. </w:t>
      </w:r>
    </w:p>
    <w:p w14:paraId="3175ADD1" w14:textId="77777777" w:rsidR="00435783" w:rsidRPr="00152ED0" w:rsidRDefault="00435783" w:rsidP="00435783">
      <w:pPr>
        <w:spacing w:before="360"/>
        <w:rPr>
          <w:i/>
        </w:rPr>
      </w:pPr>
      <w:bookmarkStart w:id="457" w:name="ved0.1.1.0.2"/>
      <w:bookmarkStart w:id="458" w:name="ved0.1.1.0.3"/>
      <w:bookmarkEnd w:id="457"/>
      <w:bookmarkEnd w:id="458"/>
      <w:r w:rsidRPr="00152ED0">
        <w:rPr>
          <w:i/>
        </w:rPr>
        <w:t>Påløpt årslønn, nasjonalregnskapet</w:t>
      </w:r>
    </w:p>
    <w:p w14:paraId="0A99FD20" w14:textId="77777777" w:rsidR="00435783" w:rsidRDefault="00435783" w:rsidP="00435783">
      <w:r>
        <w:t xml:space="preserve">Påløpt årslønn </w:t>
      </w:r>
      <w:r w:rsidRPr="006C1796">
        <w:t xml:space="preserve">i nasjonalregnskapet er definert som lønnen en </w:t>
      </w:r>
      <w:r>
        <w:t>lønns</w:t>
      </w:r>
      <w:r w:rsidRPr="006C1796">
        <w:t xml:space="preserve">taker normalt vil motta i løpet av kalenderåret dersom vedkommende jobber full tid, ikke har fravær og ikke </w:t>
      </w:r>
      <w:r>
        <w:t>har betalt</w:t>
      </w:r>
      <w:r w:rsidRPr="006C1796">
        <w:t xml:space="preserve"> overtid. Årslønnen omfatter fastlønn inklusive etterbetalinger, feriepengetillegg, bonus og uregelmessige tillegg knyttet til arbeidets art. Naturallønn, overtidslønn og sluttvederlag</w:t>
      </w:r>
      <w:r>
        <w:t xml:space="preserve"> er ikke inkludert.</w:t>
      </w:r>
    </w:p>
    <w:p w14:paraId="50907211" w14:textId="77777777" w:rsidR="00435783" w:rsidRDefault="00435783" w:rsidP="00435783">
      <w:r w:rsidRPr="006C1796">
        <w:t>P</w:t>
      </w:r>
      <w:r>
        <w:t>opulasjonen er alle lønnstakere</w:t>
      </w:r>
      <w:r w:rsidRPr="006C1796">
        <w:t xml:space="preserve"> i bedriftene som inngår i produksjonsavgrensningen for Norge</w:t>
      </w:r>
      <w:r>
        <w:t>, det vil si alle lønnstakere som bidrar til norsk verdiskaping</w:t>
      </w:r>
      <w:r w:rsidRPr="006C1796">
        <w:t>.</w:t>
      </w:r>
      <w:r>
        <w:t xml:space="preserve"> Populasjonen omfatter dermed også ansatte i norske bedrifter som ikke er registrert bosatte i Norge (utenlandsk arbeidskraft på korttidsopphold), ansatte på skip og båter i utenriks sjøfart og vernepliktige i forsvar.</w:t>
      </w:r>
    </w:p>
    <w:p w14:paraId="5074CDEB" w14:textId="0CFCB49D" w:rsidR="00435783" w:rsidRPr="00B303A1" w:rsidRDefault="00435783" w:rsidP="00435783">
      <w:pPr>
        <w:rPr>
          <w:rFonts w:ascii="Times New Roman" w:hAnsi="Times New Roman"/>
        </w:rPr>
      </w:pPr>
      <w:r w:rsidRPr="00C5199D">
        <w:rPr>
          <w:rFonts w:ascii="Times New Roman" w:hAnsi="Times New Roman"/>
        </w:rPr>
        <w:t>Påløpt årslønn</w:t>
      </w:r>
      <w:r>
        <w:rPr>
          <w:rFonts w:ascii="Times New Roman" w:hAnsi="Times New Roman"/>
        </w:rPr>
        <w:t xml:space="preserve"> benyttes i første kolonne </w:t>
      </w:r>
      <w:r w:rsidR="005B3209">
        <w:rPr>
          <w:rFonts w:ascii="Times New Roman" w:hAnsi="Times New Roman"/>
        </w:rPr>
        <w:t>i tabell 1.2 i kapitel 1, og i v</w:t>
      </w:r>
      <w:bookmarkStart w:id="459" w:name="_GoBack"/>
      <w:bookmarkEnd w:id="459"/>
      <w:r>
        <w:rPr>
          <w:rFonts w:ascii="Times New Roman" w:hAnsi="Times New Roman"/>
        </w:rPr>
        <w:t>edlegg 2, tabellene 2.1, 2.2 og 2.3.</w:t>
      </w:r>
    </w:p>
    <w:p w14:paraId="2C0C7EBF" w14:textId="77777777" w:rsidR="00435783" w:rsidRPr="00C5199D" w:rsidRDefault="00435783" w:rsidP="00435783">
      <w:pPr>
        <w:spacing w:before="360"/>
        <w:rPr>
          <w:i/>
        </w:rPr>
      </w:pPr>
      <w:r w:rsidRPr="00C5199D">
        <w:rPr>
          <w:i/>
        </w:rPr>
        <w:t>Lønn per utførte timeverk</w:t>
      </w:r>
    </w:p>
    <w:p w14:paraId="76673F13" w14:textId="77777777" w:rsidR="00435783" w:rsidRDefault="00435783" w:rsidP="00435783">
      <w:r w:rsidRPr="00B303A1">
        <w:t>Lønn per utførte timeverk er definert som forholdet mellom de samlede lønnsutgifter ekskl. arbeidsgivers trygde- og pensjonspremier og antall utførte timeverk for lønnstakere. I utførte timeverk inngår overtidstimer, mens fravær på grunn av ferie, sykdom eller permisjon ikke inngår. Mer overtidsarbeid bidrar til å øke antall utførte timeverk, mens høyere fravær trekker utførte timeverk ned. Antall utførte timeverk er også påvirket av kalendermessige forhold (bevegelige helligdager og skuddår). Antall arbeidsdager kan variere med inntil 3 dager fra ett år til et annet.</w:t>
      </w:r>
    </w:p>
    <w:p w14:paraId="71EBA600" w14:textId="08CE63CB" w:rsidR="00435783" w:rsidRDefault="00435783" w:rsidP="00435783">
      <w:r>
        <w:t xml:space="preserve">Sammenhengen mellom timelønnskostnader og årslønn er beskrevet i </w:t>
      </w:r>
      <w:r w:rsidR="00324551">
        <w:t>dette vedlegget</w:t>
      </w:r>
      <w:r>
        <w:t>.</w:t>
      </w:r>
    </w:p>
    <w:p w14:paraId="784C2FA1" w14:textId="77777777" w:rsidR="00435783" w:rsidRPr="002572B7" w:rsidRDefault="00435783" w:rsidP="00435783">
      <w:pPr>
        <w:spacing w:before="360"/>
        <w:rPr>
          <w:i/>
        </w:rPr>
      </w:pPr>
      <w:r w:rsidRPr="002572B7">
        <w:rPr>
          <w:i/>
        </w:rPr>
        <w:t>Arbeidstid</w:t>
      </w:r>
    </w:p>
    <w:p w14:paraId="1DCC2768" w14:textId="74B12286" w:rsidR="00435783" w:rsidRPr="00B303A1" w:rsidRDefault="00435783" w:rsidP="00435783">
      <w:r w:rsidRPr="00B303A1">
        <w:t xml:space="preserve">Den lovbestemte alminnelige arbeidstid er 40 t/uke. Avtalefestet normalarbeidstid er den arbeidstid per uke som gjelder for vedkommende lønnstakergruppe ifølge tariffavtaler. Den er vanligvis 37,5 t/ uke. Ved arbeidstidsordninger som skift-, turnus- og nattarbeid, er både lovfestet og avtalt arbeidstid lavere enn dette. Mellom LO og NHO er for eksempel avtalefestet arbeidstid 36,5 t/uke for vanlig 2-skiftarbeid, 35,5 t/uke for døgnkontinuerlig skift- og sammenliknbart turnusarbeid og 33,6 t/uke for helkontinuerlig </w:t>
      </w:r>
      <w:r w:rsidR="00324551">
        <w:t>skift- og sammenliknbart turnus</w:t>
      </w:r>
      <w:r w:rsidRPr="00B303A1">
        <w:t>arbeid.</w:t>
      </w:r>
    </w:p>
    <w:p w14:paraId="3C107442" w14:textId="76D65056" w:rsidR="00435783" w:rsidRPr="00B303A1" w:rsidRDefault="00435783" w:rsidP="00435783">
      <w:r w:rsidRPr="00B303A1">
        <w:t xml:space="preserve">For arbeidere i </w:t>
      </w:r>
      <w:r w:rsidRPr="00D17CD2">
        <w:rPr>
          <w:rStyle w:val="kursiv"/>
        </w:rPr>
        <w:t>NHO-bedrifter</w:t>
      </w:r>
      <w:r w:rsidRPr="00B303A1">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sammenlikne lønnstall bransjer </w:t>
      </w:r>
      <w:r w:rsidR="0022390E" w:rsidRPr="00B303A1">
        <w:t>imellom</w:t>
      </w:r>
      <w:r w:rsidRPr="00B303A1">
        <w:t>,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5E48D9A6" w14:textId="2269E513" w:rsidR="00435783" w:rsidRDefault="00435783" w:rsidP="00435783">
      <w:r w:rsidRPr="00B303A1">
        <w:t xml:space="preserve">I den offisielle lønnsstatistikken </w:t>
      </w:r>
      <w:r>
        <w:t xml:space="preserve">fra SSB </w:t>
      </w:r>
      <w:r w:rsidRPr="00B303A1">
        <w:t xml:space="preserve">blir heltid </w:t>
      </w:r>
      <w:r>
        <w:t xml:space="preserve">som hovedregel </w:t>
      </w:r>
      <w:r w:rsidRPr="00B303A1">
        <w:t xml:space="preserve">definert som </w:t>
      </w:r>
      <w:r w:rsidR="00324551">
        <w:t xml:space="preserve">stillingsprosent </w:t>
      </w:r>
      <w:r>
        <w:t>på 100</w:t>
      </w:r>
      <w:r w:rsidRPr="00B303A1">
        <w:t xml:space="preserve"> eller mer</w:t>
      </w:r>
      <w:r>
        <w:t>.</w:t>
      </w:r>
      <w:r w:rsidRPr="00B303A1">
        <w:t xml:space="preserve"> SSB kan sette andre grenser etter ønske fra oppdragsgivere, </w:t>
      </w:r>
      <w:r>
        <w:t>for eksempel</w:t>
      </w:r>
      <w:r w:rsidRPr="00B303A1">
        <w:t xml:space="preserve"> i forbindelse med utarbeiding av statistikk</w:t>
      </w:r>
      <w:r>
        <w:t xml:space="preserve"> for tariffområder</w:t>
      </w:r>
      <w:r w:rsidRPr="00B303A1">
        <w:t xml:space="preserve">. </w:t>
      </w:r>
    </w:p>
    <w:p w14:paraId="2BD28EB2" w14:textId="77777777" w:rsidR="00435783" w:rsidRDefault="00435783" w:rsidP="00435783">
      <w:r w:rsidRPr="00B303A1">
        <w:t xml:space="preserve">I lønnsstatistikken </w:t>
      </w:r>
      <w:r>
        <w:t>ble det til og med 2014 innhentet</w:t>
      </w:r>
      <w:r w:rsidRPr="00B303A1">
        <w:t xml:space="preserve"> opplysninger om avtalt arbeidstid</w:t>
      </w:r>
      <w:r>
        <w:t xml:space="preserve">, som ble </w:t>
      </w:r>
      <w:r w:rsidRPr="00B303A1">
        <w:t xml:space="preserve">benyttet som basis for å definere om en arbeidstaker er heltidsansatt eller deltidsansatt. </w:t>
      </w:r>
      <w:r>
        <w:t>Fra og med 2015 innhentes ikke lenger opplysninger om avtalt arbeidstid, men i stedet om stillingsprosent</w:t>
      </w:r>
      <w:r>
        <w:rPr>
          <w:rStyle w:val="Fotnotereferanse"/>
        </w:rPr>
        <w:footnoteReference w:id="14"/>
      </w:r>
      <w:r>
        <w:t xml:space="preserve"> og antall arbeidstimer for heltidsstilling. For NHO-bedrifter er det ingen endring fra tidligere, fordi innrapporteringen også i tidligere utvalgsstatistikk (frem til 2014) omfattet arbeidstidsordninger og dermed arbeidstimer pr. uke for heltidsstilling for alle innenfor området. En deltidsansatt er som hovedregel fra og med 2015 definert som en arbeidstaker med under 100 prosent stilling.</w:t>
      </w:r>
    </w:p>
    <w:p w14:paraId="47B910E4" w14:textId="77777777" w:rsidR="00435783" w:rsidRPr="0075640C" w:rsidRDefault="00435783" w:rsidP="00435783">
      <w:r>
        <w:t>I a-meldingen rapporteres stillingsprosent hver måned. Dette gjelder også f</w:t>
      </w:r>
      <w:r w:rsidRPr="00B303A1">
        <w:t>or arbeidstakere som har en varierende arbeidstid fra uke til uke.</w:t>
      </w:r>
      <w:r>
        <w:t xml:space="preserve"> Det innhentes også opplysninger om ulike arbeidstidsordninger, for eksempel døgnkontinuerlig/helkontinuerlig skift eller turnusarbeid. </w:t>
      </w:r>
    </w:p>
    <w:p w14:paraId="37031FA0" w14:textId="77777777" w:rsidR="00324551" w:rsidRDefault="00435783" w:rsidP="00324551">
      <w:bookmarkStart w:id="460" w:name="ved0.1.1.0.11"/>
      <w:bookmarkStart w:id="461" w:name="ved0.1.1.0.12"/>
      <w:bookmarkEnd w:id="460"/>
      <w:bookmarkEnd w:id="461"/>
      <w:r w:rsidRPr="00B303A1">
        <w:t>For å kunne sammenlikne lønn mellom hel</w:t>
      </w:r>
      <w:r>
        <w:t>tids</w:t>
      </w:r>
      <w:r w:rsidRPr="00B303A1">
        <w:t xml:space="preserve">- og deltidsansatte omregnes lønnen til de deltidsansatte til hva den ville vært hvis de jobbet heltid. </w:t>
      </w:r>
      <w:bookmarkStart w:id="462" w:name="ved0.1.1.0.13"/>
      <w:bookmarkEnd w:id="462"/>
    </w:p>
    <w:p w14:paraId="21C9C695" w14:textId="0DE0FD0B" w:rsidR="00435783" w:rsidRPr="00213CE3" w:rsidRDefault="00435783" w:rsidP="00324551">
      <w:pPr>
        <w:keepNext/>
        <w:spacing w:before="360"/>
        <w:rPr>
          <w:i/>
        </w:rPr>
      </w:pPr>
      <w:r w:rsidRPr="00213CE3">
        <w:rPr>
          <w:i/>
        </w:rPr>
        <w:t>Kjennemerker</w:t>
      </w:r>
    </w:p>
    <w:p w14:paraId="54D40E1B" w14:textId="77777777" w:rsidR="00435783" w:rsidRDefault="00435783" w:rsidP="00435783">
      <w:pPr>
        <w:rPr>
          <w:rFonts w:ascii="Times New Roman" w:hAnsi="Times New Roman" w:cstheme="minorBidi"/>
        </w:rPr>
      </w:pPr>
      <w:r>
        <w:rPr>
          <w:rFonts w:ascii="Times New Roman" w:hAnsi="Times New Roman" w:cstheme="minorBidi"/>
        </w:rPr>
        <w:t xml:space="preserve">Arbeidsgivere opplyser om </w:t>
      </w:r>
      <w:r w:rsidRPr="00213CE3">
        <w:rPr>
          <w:rFonts w:ascii="Times New Roman" w:hAnsi="Times New Roman" w:cstheme="minorBidi"/>
        </w:rPr>
        <w:t xml:space="preserve">alder, kjønn og stilling for den enkelte ansatte. </w:t>
      </w:r>
      <w:r>
        <w:rPr>
          <w:rFonts w:ascii="Times New Roman" w:hAnsi="Times New Roman" w:cstheme="minorBidi"/>
        </w:rPr>
        <w:t xml:space="preserve">Fra 2015 skal arbeidsgiver rapportere </w:t>
      </w:r>
      <w:r w:rsidRPr="00A53D80">
        <w:rPr>
          <w:rFonts w:ascii="Times New Roman" w:hAnsi="Times New Roman" w:cstheme="minorBidi"/>
        </w:rPr>
        <w:t>7-sifret yrkeskode</w:t>
      </w:r>
      <w:r>
        <w:rPr>
          <w:rFonts w:ascii="Times New Roman" w:hAnsi="Times New Roman" w:cstheme="minorBidi"/>
        </w:rPr>
        <w:t xml:space="preserve">. </w:t>
      </w:r>
      <w:r w:rsidRPr="00A53D80">
        <w:rPr>
          <w:rFonts w:ascii="Times New Roman" w:hAnsi="Times New Roman" w:cstheme="minorBidi"/>
        </w:rPr>
        <w:t xml:space="preserve">De </w:t>
      </w:r>
      <w:r>
        <w:rPr>
          <w:rFonts w:ascii="Times New Roman" w:hAnsi="Times New Roman" w:cstheme="minorBidi"/>
        </w:rPr>
        <w:t>fire</w:t>
      </w:r>
      <w:r w:rsidRPr="00A53D80">
        <w:rPr>
          <w:rFonts w:ascii="Times New Roman" w:hAnsi="Times New Roman" w:cstheme="minorBidi"/>
        </w:rPr>
        <w:t xml:space="preserve"> første sifrene er sammenlignbare med tidligere</w:t>
      </w:r>
      <w:r>
        <w:rPr>
          <w:rFonts w:ascii="Times New Roman" w:hAnsi="Times New Roman" w:cstheme="minorBidi"/>
        </w:rPr>
        <w:t xml:space="preserve">. </w:t>
      </w:r>
      <w:r w:rsidRPr="00213CE3">
        <w:rPr>
          <w:rFonts w:ascii="Times New Roman" w:hAnsi="Times New Roman" w:cstheme="minorBidi"/>
        </w:rPr>
        <w:t xml:space="preserve">I lønnsstatistikken nyttes i størst mulig grad standard for yrkesklassifisering (Standard for yrkeskoding C 521 STYRK) som er den norske versjonen av den internasjonale yrkesstandarden ISCO-88. Kompetansenivå og spesialisering er de to hovedprinsippene standarden bygger på for å klassifisere yrkesutøvere etter yrke. </w:t>
      </w:r>
    </w:p>
    <w:p w14:paraId="662E02B0" w14:textId="77777777" w:rsidR="00435783" w:rsidRPr="00213CE3" w:rsidRDefault="00435783" w:rsidP="00435783">
      <w:pPr>
        <w:rPr>
          <w:rFonts w:ascii="Times New Roman" w:hAnsi="Times New Roman" w:cstheme="minorBidi"/>
        </w:rPr>
      </w:pPr>
      <w:r w:rsidRPr="00213CE3">
        <w:rPr>
          <w:rFonts w:ascii="Times New Roman" w:hAnsi="Times New Roman" w:cstheme="minorBidi"/>
        </w:rPr>
        <w:t>SSB kopler også til datamaterialet opplysninger om høyeste fullførte utdanning fra utdannelsesregisteret. Her gjenstår det fortsatt en god del arbeid for å få til en stillingskoding som har nok detaljert informasjon for sentrale brukere av statistikken.</w:t>
      </w:r>
    </w:p>
    <w:p w14:paraId="0E2A14D3" w14:textId="77777777" w:rsidR="00435783" w:rsidRDefault="00435783" w:rsidP="00435783">
      <w:pPr>
        <w:spacing w:before="360"/>
        <w:rPr>
          <w:rStyle w:val="Merknadsreferanse"/>
          <w:rFonts w:ascii="Times New Roman" w:hAnsi="Times New Roman" w:cstheme="minorBidi"/>
          <w:i/>
          <w:sz w:val="24"/>
        </w:rPr>
      </w:pPr>
      <w:bookmarkStart w:id="463" w:name="ved0.1.1.0.14"/>
      <w:bookmarkEnd w:id="463"/>
      <w:r w:rsidRPr="009A471F">
        <w:rPr>
          <w:rFonts w:ascii="Times New Roman" w:hAnsi="Times New Roman" w:cstheme="minorBidi"/>
          <w:i/>
        </w:rPr>
        <w:t>K</w:t>
      </w:r>
      <w:r w:rsidRPr="002161B9">
        <w:rPr>
          <w:rFonts w:ascii="Times New Roman" w:hAnsi="Times New Roman" w:cstheme="minorBidi"/>
          <w:i/>
        </w:rPr>
        <w:t>vartalsvis lønnsindeks for ansatte i privat sektor</w:t>
      </w:r>
    </w:p>
    <w:p w14:paraId="7F6D91EE" w14:textId="77777777" w:rsidR="00435783" w:rsidRDefault="00435783" w:rsidP="00435783">
      <w:r w:rsidRPr="00B303A1">
        <w:t>SSB utarbeider en kvartalsvis lønnsindeks</w:t>
      </w:r>
      <w:r>
        <w:t xml:space="preserve"> for ansatte</w:t>
      </w:r>
      <w:r w:rsidRPr="00B303A1">
        <w:t xml:space="preserve"> i privat sektor. Et hovedformål med denne indeksen er måling av lønnsendring gjennom året til bruk i konjunkturovervåkingen. </w:t>
      </w:r>
    </w:p>
    <w:p w14:paraId="298448E7" w14:textId="77777777" w:rsidR="00435783" w:rsidRDefault="00435783" w:rsidP="00435783">
      <w:r>
        <w:t xml:space="preserve">Til og med 2014 ble data innhentet elektronisk fra virksomheter som omfattes av utvalget til kvartalsvis lønnsstatistikk (strukturstatistikken). Det ble innhentet informasjon om blant annet avtalt lønn, bonus, uregelmessige tillegg og arbeidstid til den enkelte ansatte i virksomheten. Indeksene ble utarbeidet på grunnlag av innrapportering fra et representativt utvalg av foretak som var gruppert etter sysselsetting og næring. </w:t>
      </w:r>
      <w:r w:rsidRPr="0024736D">
        <w:t xml:space="preserve">Fra og med 2015 er datagrunnlaget </w:t>
      </w:r>
      <w:r>
        <w:t>for</w:t>
      </w:r>
      <w:r w:rsidRPr="0024736D">
        <w:t xml:space="preserve"> statistikken opplysninger fra a-meldingen.</w:t>
      </w:r>
      <w:r>
        <w:t xml:space="preserve"> Se avsnitt 2.2 i dette vedlegget for omtale av datafangsten. </w:t>
      </w:r>
    </w:p>
    <w:p w14:paraId="52EDA00E" w14:textId="77777777" w:rsidR="00435783" w:rsidRDefault="00435783" w:rsidP="00435783">
      <w:r>
        <w:t xml:space="preserve">Indeksene for </w:t>
      </w:r>
      <w:r w:rsidRPr="00E171D8">
        <w:rPr>
          <w:i/>
        </w:rPr>
        <w:t>avtalt månedslønn</w:t>
      </w:r>
      <w:r>
        <w:t xml:space="preserve"> måler endring i avtalt lønn hvert kvartal. Lønnsindeksene tar ikke hensyn til når forhandlingsresultater ved lønnsoppgjør faktisk gjelder fra, men måler endringen i lønn slik den har kommet til faktisk utbetaling på tidspunktet for rapportering. Resultater fra lønnsoppgjørene kommer gjerne til utbetaling litt senere enn tidspunktet tarifftilleggene skal gjelde fra. </w:t>
      </w:r>
    </w:p>
    <w:p w14:paraId="012226A3" w14:textId="77777777" w:rsidR="00435783" w:rsidRPr="00B303A1" w:rsidRDefault="00435783" w:rsidP="00435783">
      <w:r>
        <w:t xml:space="preserve">Indeks for </w:t>
      </w:r>
      <w:r w:rsidRPr="00E171D8">
        <w:rPr>
          <w:i/>
        </w:rPr>
        <w:t>gjennomsnittlig månedslønn</w:t>
      </w:r>
      <w:r>
        <w:t xml:space="preserve"> består av gjennomsnittlig avtalt månedslønn, uregelmessige tillegg og bonuser, der tillegg og bonuser er beregnet som et gjennomsnitt for gjeldende kvartal. Det betyr at indeksen påvirkes av når på året utbetalingene for tillegg og bonuser finner sted.</w:t>
      </w:r>
    </w:p>
    <w:p w14:paraId="1630DDC2" w14:textId="77777777" w:rsidR="00435783" w:rsidRDefault="00435783" w:rsidP="00435783">
      <w:r w:rsidRPr="00B303A1">
        <w:t>Den kvartalsvise lønnsindeksen er nært knyttet til den årlige strukturstatistikken for lønn (lønnsstatistikken). Lønnsbegrepene (utbetalt avtalt lønn og månedslønn i alt) er identiske med lønnsbegrepene som benyttes i strukturstatistikken for lønn. Utviklingen i utbetalt avtalt lønn, som er hovedkomponenten i månedslønnen i alt, er direkte sammenliknbar mellom den kvartalsvise lønnsindeksen og strukturstatistikken. Utviklingen i månedslønnen er derimot ikke direkte sammenliknbar mellom de to statistikkene. Årsaken til dette er at uregelmessige tillegg og bonuser mv. beregnes som et snitt over året i strukturstatistikken, mens i den kvartalsvise lønnsindeksen beregnes gjennomsnittet for størrelsene kun for det gjeldende kvartalet.</w:t>
      </w:r>
    </w:p>
    <w:p w14:paraId="6BB82B33" w14:textId="77777777" w:rsidR="00435783" w:rsidRDefault="00435783" w:rsidP="00435783">
      <w:r w:rsidRPr="00B303A1">
        <w:t>De kvartalsvise lønnsindeksene blir publisert om lag to måneder etter statistikkvartalets utløp.</w:t>
      </w:r>
      <w:r>
        <w:t xml:space="preserve"> </w:t>
      </w:r>
    </w:p>
    <w:p w14:paraId="135E3310" w14:textId="77777777" w:rsidR="00435783" w:rsidRDefault="00435783" w:rsidP="00435783">
      <w:r w:rsidRPr="00696F93">
        <w:t>Kvartalsvis lønnsindeks inngår blant annet i beregningene av vekst i gjennomsnittlig årslønn i tabell 1.2.</w:t>
      </w:r>
      <w:bookmarkStart w:id="464" w:name="ved0.1.1.0.7"/>
      <w:bookmarkEnd w:id="464"/>
    </w:p>
    <w:p w14:paraId="1FD99B7F" w14:textId="77777777" w:rsidR="00435783" w:rsidRPr="00B303A1" w:rsidRDefault="00435783" w:rsidP="00A52B29">
      <w:pPr>
        <w:keepNext/>
        <w:spacing w:before="360"/>
      </w:pPr>
      <w:r w:rsidRPr="002572B7">
        <w:rPr>
          <w:rFonts w:ascii="Times New Roman" w:hAnsi="Times New Roman" w:cstheme="minorBidi"/>
          <w:i/>
        </w:rPr>
        <w:t>Lønnsstatistikk</w:t>
      </w:r>
      <w:r w:rsidRPr="00B303A1">
        <w:t xml:space="preserve"> </w:t>
      </w:r>
    </w:p>
    <w:p w14:paraId="7A2F10D4" w14:textId="036C6414" w:rsidR="00435783" w:rsidRDefault="00435783" w:rsidP="00435783">
      <w:bookmarkStart w:id="465" w:name="ved0.1.1.0.8"/>
      <w:bookmarkEnd w:id="465"/>
      <w:r w:rsidRPr="002572B7">
        <w:t xml:space="preserve">Lønnsstatistikken bygger på opplysninger fra a-meldingen for både privat og </w:t>
      </w:r>
      <w:r w:rsidR="0022390E" w:rsidRPr="002572B7">
        <w:t>offentlig</w:t>
      </w:r>
      <w:r w:rsidRPr="002572B7">
        <w:t xml:space="preserve"> sektor.</w:t>
      </w:r>
      <w:r>
        <w:t xml:space="preserve"> </w:t>
      </w:r>
      <w:r w:rsidRPr="002572B7">
        <w:t>Statistikken er grunnlaget for SSBs årslønnsberegninger og for tariffstatistikk og beregninger i forhandlingsområdene.</w:t>
      </w:r>
    </w:p>
    <w:p w14:paraId="7AA58FF8" w14:textId="77777777" w:rsidR="00435783" w:rsidRPr="0075640C" w:rsidRDefault="00435783" w:rsidP="00435783">
      <w:bookmarkStart w:id="466" w:name="ved0.1.1.0.9"/>
      <w:bookmarkEnd w:id="466"/>
      <w:r>
        <w:t>L</w:t>
      </w:r>
      <w:r w:rsidRPr="00B303A1">
        <w:t>ønn</w:t>
      </w:r>
      <w:r>
        <w:t>sbegrepet i lønnsstatistikken</w:t>
      </w:r>
      <w:r w:rsidRPr="00B303A1">
        <w:t xml:space="preserve"> er basert på kontantlønnsbegrepet, gjennomsnittlig månedslønn. I månedslønnen inngår fast avtalt lønn inkl. faste tillegg, uregelmessige tillegg</w:t>
      </w:r>
      <w:r w:rsidRPr="00B303A1">
        <w:rPr>
          <w:rStyle w:val="Fotnotereferanse"/>
          <w:rFonts w:ascii="Times New Roman" w:hAnsi="Times New Roman"/>
        </w:rPr>
        <w:footnoteReference w:id="15"/>
      </w:r>
      <w:r w:rsidRPr="00B303A1">
        <w:t xml:space="preserve"> og bonuser. Lønnsbegrepet omfatter ikke overtidsgodtgjørelse og naturalytelser, men det innhentes opplysninger om overtidsgodtgjørelse og det gis tall for gjennomsnittlig overtidsgodtgjørelse per måned som en tilleggsopplysning. Den faste avtalte lønnen er gitt for </w:t>
      </w:r>
      <w:r>
        <w:t>tellingsmåneden</w:t>
      </w:r>
      <w:r w:rsidRPr="00B303A1">
        <w:t xml:space="preserve">, mens de andre lønnskomponentene er et gjennomsnitt per måned for perioden «hittil i år», dvs. fra 1. januar til tellingstidspunktet for statistikken. </w:t>
      </w:r>
      <w:r>
        <w:t>Eventuelle etterbetalinger av lønn (avtalt lønn) i tellingsmåneden blir justert for.</w:t>
      </w:r>
    </w:p>
    <w:p w14:paraId="3C912025" w14:textId="77777777" w:rsidR="00435783" w:rsidRPr="002572B7" w:rsidRDefault="00435783" w:rsidP="00435783">
      <w:pPr>
        <w:spacing w:before="360"/>
        <w:rPr>
          <w:rFonts w:ascii="Times New Roman" w:hAnsi="Times New Roman" w:cstheme="minorBidi"/>
          <w:i/>
        </w:rPr>
      </w:pPr>
      <w:r w:rsidRPr="002572B7">
        <w:rPr>
          <w:rFonts w:ascii="Times New Roman" w:hAnsi="Times New Roman" w:cstheme="minorBidi"/>
          <w:i/>
        </w:rPr>
        <w:t>Lønnsoverheng</w:t>
      </w:r>
    </w:p>
    <w:p w14:paraId="268AF972" w14:textId="77777777" w:rsidR="00435783" w:rsidRPr="00B303A1" w:rsidRDefault="00435783" w:rsidP="00435783">
      <w:r w:rsidRPr="00B303A1">
        <w:t>Lønnsoverhenget beskriver hvor mye lønnsnivået ved utløpet av ett år ligger over gjenno</w:t>
      </w:r>
      <w:r>
        <w:t>msnitts</w:t>
      </w:r>
      <w:r w:rsidRPr="00B303A1">
        <w:t>nivået for året. Det forteller dermed hvor stor lønnsveksten fra ett år til det neste vil bli dersom det ikke gis lønnstillegg eller foregår strukturendringer i det andre året.</w:t>
      </w:r>
    </w:p>
    <w:p w14:paraId="3C904143" w14:textId="77777777" w:rsidR="00435783" w:rsidRPr="00B303A1" w:rsidRDefault="00435783" w:rsidP="00435783">
      <w:r w:rsidRPr="00B303A1">
        <w:t>Dersom alle lønnsoppgjør foregikk samtidig og ved begynnelsen av året og lønnsnivået ikke endret seg gjennom året, ville lønnsoverhenget per definisjon være null og slike beregninger dermed overflødige. Tarifftillegg og lønnsøkninger ellers blir imidlertid gitt på ulike tidspunkter for ulike lønnstakergrupper og spredt utover hele året. Beregninger av overheng og årslønnsvekst er derfor nødvendig hvis det skal være mulig å sammenlikne lønnsutviklingen mellom to år for ulike lønnstakergrupper.</w:t>
      </w:r>
    </w:p>
    <w:p w14:paraId="05247FAF" w14:textId="77777777" w:rsidR="00435783" w:rsidRPr="00B303A1" w:rsidRDefault="00435783" w:rsidP="00435783">
      <w:r w:rsidRPr="00B303A1">
        <w:t>I praksis vil størrelsen på overhenget ofte være et tolkingsspørsmål, bl.a. knyttet til tidspunktene for når lønnsøkningen skjer. Det kan også variere betydelig mellom områdene. Lønnstillegg som gis sent i året, fører til større overheng til neste år enn tilsvarende tillegg som gis tidlig i året.</w:t>
      </w:r>
    </w:p>
    <w:p w14:paraId="644315F8" w14:textId="77777777" w:rsidR="00435783" w:rsidRPr="00B303A1" w:rsidRDefault="00435783" w:rsidP="00435783">
      <w:r w:rsidRPr="00B303A1">
        <w:t>Det kan argumenteres for å holde bonus</w:t>
      </w:r>
      <w:r>
        <w:t>er og provisjoner mv.</w:t>
      </w:r>
      <w:r w:rsidRPr="00B303A1">
        <w:t xml:space="preserve"> </w:t>
      </w:r>
      <w:r>
        <w:t xml:space="preserve">(kort: bonus) </w:t>
      </w:r>
      <w:r w:rsidRPr="00B303A1">
        <w:t>utenom lønnsbegrepet ved beregning av overheng. Bonus er en lønnsutbetaling som ofte skyldes spesielle forhold i ett år, og som ikke kommer igjen til neste år. Motargumenter er bl.a. at bonus også kan være knyttet til den vanlige aktiviteten gjennom hele året</w:t>
      </w:r>
      <w:r>
        <w:t>, og som derfor kan forventes utbetalt i ett eller annet omfang hvert år</w:t>
      </w:r>
      <w:r w:rsidRPr="00B303A1">
        <w:t>. I beregningene er det forutsatt en jevn fordeling av bonus over året, dvs. et fast påslag per måned/tidsenhet. Dermed får det liten betydning om bonus inkluderes eller holdes utenfor ved beregning av overheng.</w:t>
      </w:r>
    </w:p>
    <w:p w14:paraId="7CAEAA2D" w14:textId="77777777" w:rsidR="00435783" w:rsidRPr="00B303A1" w:rsidRDefault="00435783" w:rsidP="00435783">
      <w:r w:rsidRPr="00B303A1">
        <w:t>Grunnlaget for beregningene</w:t>
      </w:r>
      <w:r>
        <w:t xml:space="preserve"> av lønnsoverheng</w:t>
      </w:r>
      <w:r w:rsidRPr="00B303A1">
        <w:t xml:space="preserve"> er informasjon både fra strukturstatistikken (lønnsstatistikken) per september og fra den kvartalsvise lønnsindeksen (som måler lønnsendring gjennom året, se omtale av kvartalsindeksen senere i vedlegget) samt fra lønnsforhandlingene.</w:t>
      </w:r>
    </w:p>
    <w:p w14:paraId="53C36D71" w14:textId="77777777" w:rsidR="00435783" w:rsidRPr="0075640C" w:rsidRDefault="00435783" w:rsidP="00435783">
      <w:r w:rsidRPr="00B303A1">
        <w:t>Utvalgets beregninger av lønnsoverheng for tariffområder er derimot ikke fullt ut i samsvar med den prinsipielle definisjonen av overheng. Under forutsetning av at det ikke gis sentrale tillegg på slutten av året, eller det foreligger andre opplysninger om lønnsutviklingen, legger utvalget til grunn at lønnsnivået på tellingspunktet for lønnsstatistikken (september</w:t>
      </w:r>
      <w:r w:rsidRPr="00B303A1">
        <w:rPr>
          <w:rStyle w:val="Fotnotereferanse"/>
          <w:rFonts w:ascii="Times New Roman" w:hAnsi="Times New Roman"/>
        </w:rPr>
        <w:footnoteReference w:id="16"/>
      </w:r>
      <w:r w:rsidRPr="00B303A1">
        <w:t xml:space="preserve">) holder seg på samme nivå ut året. Det betyr at overhenget for tariffområder beregnes på grunnlag av lønnsnivået på tellingspunktet i forhold til gjennomsnittet for året. Dette er en praktisk tilpasning fordi vi </w:t>
      </w:r>
      <w:r>
        <w:t xml:space="preserve">før a-meldingen hadde </w:t>
      </w:r>
      <w:r w:rsidRPr="00B303A1">
        <w:t xml:space="preserve">lite informasjon om lønnsveksten mot slutten av året og at overhengsberegningene for forhandlingsområder må være ferdige i god tid før forhandlingene starter opp. Denne beregningsmetoden gjelder bl.a. for funksjonærer og arbeidere i NHO-bedrifter, ansatte i Virke-bedrifter i varehandel, </w:t>
      </w:r>
      <w:r>
        <w:t>finanstjenester</w:t>
      </w:r>
      <w:r w:rsidRPr="00B303A1">
        <w:t>, staten, undervisningssektoren og Spekter-bedrifter. Denne metoden påvirker ikke størrelsen på samlet lønnsvekst sett over flere år, men påvirker fordelingen av lønnsveksten mellom år og kan gi en annen fordeling mellom overheng og bidrag fra lønnsglidning i det enkelte år enn om en hadde lagt til grunn et beregnet lønnsnivå ved utløpet av året i forhold til gjennomsnittsnivået for året.</w:t>
      </w:r>
    </w:p>
    <w:p w14:paraId="0B4A73E0" w14:textId="77777777" w:rsidR="00435783" w:rsidRPr="002572B7" w:rsidRDefault="00435783" w:rsidP="00435783">
      <w:pPr>
        <w:spacing w:before="360"/>
        <w:rPr>
          <w:rFonts w:ascii="Times New Roman" w:hAnsi="Times New Roman" w:cstheme="minorBidi"/>
          <w:i/>
        </w:rPr>
      </w:pPr>
      <w:bookmarkStart w:id="467" w:name="ved0.1.1.0.5"/>
      <w:bookmarkEnd w:id="467"/>
      <w:r w:rsidRPr="002572B7">
        <w:rPr>
          <w:rFonts w:ascii="Times New Roman" w:hAnsi="Times New Roman" w:cstheme="minorBidi"/>
          <w:i/>
        </w:rPr>
        <w:t>Tariffmessig lønnsøkning</w:t>
      </w:r>
    </w:p>
    <w:p w14:paraId="424C1A76" w14:textId="77777777" w:rsidR="00435783" w:rsidRPr="0075640C" w:rsidRDefault="00435783" w:rsidP="00435783">
      <w:pPr>
        <w:spacing w:after="0"/>
      </w:pPr>
      <w:r w:rsidRPr="00B303A1">
        <w:t>Tariffmessig lønnsøkning er lønnsøkning fastsatt i tariffavtaler</w:t>
      </w:r>
      <w:r>
        <w:t xml:space="preserve">. </w:t>
      </w:r>
      <w:r w:rsidRPr="00B303A1">
        <w:t>Tariffmessig lønnsøkning kan være generelle tillegg, lavlønnstillegg, garantitillegg, tillegg på minstelønnssatser etc. som følge av sentrale eller forbundsvise forhandlinger.</w:t>
      </w:r>
    </w:p>
    <w:p w14:paraId="7CA002A5" w14:textId="77777777" w:rsidR="00435783" w:rsidRPr="002572B7" w:rsidRDefault="00435783" w:rsidP="00435783">
      <w:pPr>
        <w:spacing w:before="360"/>
        <w:rPr>
          <w:rFonts w:ascii="Times New Roman" w:hAnsi="Times New Roman" w:cstheme="minorBidi"/>
          <w:i/>
        </w:rPr>
      </w:pPr>
      <w:bookmarkStart w:id="468" w:name="ved0.1.1.0.6"/>
      <w:bookmarkEnd w:id="468"/>
      <w:r w:rsidRPr="002572B7">
        <w:rPr>
          <w:rFonts w:ascii="Times New Roman" w:hAnsi="Times New Roman" w:cstheme="minorBidi"/>
          <w:i/>
        </w:rPr>
        <w:t>Lønnsglidning</w:t>
      </w:r>
    </w:p>
    <w:p w14:paraId="219275B8" w14:textId="77777777" w:rsidR="00435783" w:rsidRPr="00B303A1" w:rsidRDefault="00435783" w:rsidP="00435783">
      <w:r w:rsidRPr="00B303A1">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på de enkelte arbeidsplasser, økt fortjeneste pga. økt akkord eller strukturelle endringer i sysselsettingen, f</w:t>
      </w:r>
      <w:r>
        <w:t>or eksempel</w:t>
      </w:r>
      <w:r w:rsidRPr="00B303A1">
        <w:t xml:space="preserve"> gjennom forskyvninger i timeverkene mellom bransjer med ulikt lønnsnivå eller </w:t>
      </w:r>
      <w:r>
        <w:t xml:space="preserve">ved </w:t>
      </w:r>
      <w:r w:rsidRPr="00B303A1">
        <w:t>endret bruk av skiftarbeid. Tillegg ved lokale forhandlinger i privat sektor og for stillinger med bare lokal lønnsdannelse i kommunene regnes som lønnsglidning. I noen tariffområder er forhandlingsmodellen slik at partene også regner de lokale forhandlingene som en del av den avtalte lønnsøkningen. For ansatte i staten og i kommunene med sentral lønnsdannelse, er tillegg ved lokale forhandlinger normalt en del av rammen fastsatt sentralt. I staten f. eks. kan etatene/virksomhetene overføre penger fra driftsbudsjettet til lønnsmidler. I tillegg kan partene lokalt føre forhandlinger på særlig grunnlag.</w:t>
      </w:r>
    </w:p>
    <w:p w14:paraId="0ABADE67" w14:textId="77777777" w:rsidR="00435783" w:rsidRPr="00B303A1" w:rsidRDefault="00435783" w:rsidP="00435783">
      <w:r w:rsidRPr="00B303A1">
        <w:t xml:space="preserve">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beregningsåret. Normalt betyr lønnsglidningen </w:t>
      </w:r>
      <w:r>
        <w:t xml:space="preserve">og tarifftilleggene </w:t>
      </w:r>
      <w:r w:rsidRPr="00B303A1">
        <w:t>mer for årslønnsveksten enn det som framgår av tabell 1.3 for alle forhandlingsområdene. Dette skyldes at lønns</w:t>
      </w:r>
      <w:r>
        <w:t>endringer</w:t>
      </w:r>
      <w:r w:rsidRPr="00B303A1">
        <w:t xml:space="preserve"> </w:t>
      </w:r>
      <w:r>
        <w:t xml:space="preserve">etter 1. januar </w:t>
      </w:r>
      <w:r w:rsidRPr="00B303A1">
        <w:t xml:space="preserve">i beregningsåret påvirker </w:t>
      </w:r>
      <w:r>
        <w:t>o</w:t>
      </w:r>
      <w:r w:rsidRPr="00B303A1">
        <w:t>verhenget til neste år</w:t>
      </w:r>
      <w:r>
        <w:t>. Endringer med virkning fra 1. januar har derimot ingen overhengsvirkning</w:t>
      </w:r>
      <w:r w:rsidRPr="00B303A1">
        <w:t xml:space="preserve">. </w:t>
      </w:r>
    </w:p>
    <w:p w14:paraId="3DF2BEA1" w14:textId="70D710FA" w:rsidR="00435783" w:rsidRPr="005C1032" w:rsidRDefault="00435783" w:rsidP="008643D6">
      <w:pPr>
        <w:pStyle w:val="Overskrift2"/>
        <w:numPr>
          <w:ilvl w:val="1"/>
          <w:numId w:val="50"/>
        </w:numPr>
      </w:pPr>
      <w:bookmarkStart w:id="469" w:name="_Toc443829088"/>
      <w:bookmarkStart w:id="470" w:name="_Toc443843745"/>
      <w:bookmarkStart w:id="471" w:name="_Toc443844277"/>
      <w:bookmarkStart w:id="472" w:name="_Toc443999017"/>
      <w:r>
        <w:t>Grunnlag og metoder for beregning av lønnsnivå og lønnsvekst</w:t>
      </w:r>
      <w:bookmarkEnd w:id="469"/>
      <w:bookmarkEnd w:id="470"/>
      <w:bookmarkEnd w:id="471"/>
      <w:bookmarkEnd w:id="472"/>
    </w:p>
    <w:p w14:paraId="2487FC95" w14:textId="05B32EF0" w:rsidR="00435783" w:rsidRDefault="00435783" w:rsidP="00435783">
      <w:pPr>
        <w:pStyle w:val="avsnitt-under-undertittel"/>
      </w:pPr>
      <w:bookmarkStart w:id="473" w:name="ved0.1.1.0.15"/>
      <w:bookmarkEnd w:id="473"/>
      <w:r>
        <w:t>A-meldingen nytt datagrunnlag fra 2015</w:t>
      </w:r>
    </w:p>
    <w:p w14:paraId="0FF1AEA8" w14:textId="77777777" w:rsidR="00435783" w:rsidRDefault="00435783" w:rsidP="00435783">
      <w:r>
        <w:t xml:space="preserve">Det er knyttet særlige utfordringer til beregning av lønnsveksten fra 2014 til 2015. Dette skyldes at </w:t>
      </w:r>
      <w:r>
        <w:rPr>
          <w:rFonts w:ascii="Times New Roman" w:hAnsi="Times New Roman"/>
          <w:szCs w:val="24"/>
        </w:rPr>
        <w:t xml:space="preserve">det i 2015 var </w:t>
      </w:r>
      <w:r w:rsidRPr="00FA637F">
        <w:rPr>
          <w:rFonts w:ascii="Times New Roman" w:hAnsi="Times New Roman"/>
          <w:szCs w:val="24"/>
        </w:rPr>
        <w:t xml:space="preserve">overgang til </w:t>
      </w:r>
      <w:r>
        <w:rPr>
          <w:rFonts w:ascii="Times New Roman" w:hAnsi="Times New Roman"/>
          <w:szCs w:val="24"/>
        </w:rPr>
        <w:t xml:space="preserve">et </w:t>
      </w:r>
      <w:r w:rsidRPr="00FA637F">
        <w:rPr>
          <w:rFonts w:ascii="Times New Roman" w:hAnsi="Times New Roman"/>
          <w:szCs w:val="24"/>
        </w:rPr>
        <w:t>nytt elektronisk system for bedrifters rapportering av lønn (A-ordningen)</w:t>
      </w:r>
      <w:r>
        <w:rPr>
          <w:rFonts w:ascii="Times New Roman" w:hAnsi="Times New Roman"/>
          <w:szCs w:val="24"/>
        </w:rPr>
        <w:t>. Datagrunnlaget fra denne innrapporteringen skal</w:t>
      </w:r>
      <w:r w:rsidRPr="00FA637F">
        <w:rPr>
          <w:rFonts w:ascii="Times New Roman" w:hAnsi="Times New Roman"/>
          <w:szCs w:val="24"/>
        </w:rPr>
        <w:t xml:space="preserve"> sammenlignes med utvalgsbasert tradis</w:t>
      </w:r>
      <w:r>
        <w:rPr>
          <w:rFonts w:ascii="Times New Roman" w:hAnsi="Times New Roman"/>
          <w:szCs w:val="24"/>
        </w:rPr>
        <w:t>jonell lønnsstatistikk for 2014</w:t>
      </w:r>
      <w:r>
        <w:t>.</w:t>
      </w:r>
    </w:p>
    <w:p w14:paraId="45C6244B" w14:textId="77777777" w:rsidR="00435783" w:rsidRDefault="00435783" w:rsidP="00435783">
      <w:r>
        <w:t xml:space="preserve">Fra og med 2015 er datagrunnlaget til lønnsstatistikken basert på opplysninger fra a-ordningen som omfatter alle arbeidsgivere både for privat og offentlig sektor. A-ordningen er en samordnet rapportering av lønns- og ansettelsesopplysninger til Skatteetaten, NAV og Statistisk sentralbyrå regulert av a-opplysningsloven. Data blir innhentet elektronisk fra Skatteetaten ved Etatenes fellesforvaltning (EFF). </w:t>
      </w:r>
    </w:p>
    <w:p w14:paraId="5D6B331A" w14:textId="77777777" w:rsidR="00435783" w:rsidRDefault="00435783" w:rsidP="00435783">
      <w:r>
        <w:t>Alle arbeidsgivere som har betalt ut lønn, kontantytelser eller naturalytelser må levere a-melding. Datamaterialet omfatter dermed alle ansatte i alle foretak med rapporteringsplikt til de nevnte forvaltningsorganene. A-meldingen rapporteres månedlig og omfatter alle kontant- og naturalytelser samt utgiftsgodtgjørelser.</w:t>
      </w:r>
    </w:p>
    <w:p w14:paraId="74944ED3" w14:textId="77777777" w:rsidR="00435783" w:rsidRDefault="00435783" w:rsidP="00435783">
      <w:r>
        <w:t>For å sikre god sammenheng til tidligere statistikk, er innholdet i avtalt månedslønn og månedslønn det samme som tidligere.</w:t>
      </w:r>
    </w:p>
    <w:p w14:paraId="78A0E172" w14:textId="77777777" w:rsidR="00435783" w:rsidRDefault="00435783" w:rsidP="00435783">
      <w:r w:rsidRPr="002F3B49">
        <w:t>Det</w:t>
      </w:r>
      <w:r>
        <w:t xml:space="preserve"> tilstrebes å utarbeide en sammenlignbar lønnsstatistikk fra 2014 til 2015. Dette gjelder blant annet med </w:t>
      </w:r>
      <w:r w:rsidRPr="00DB286C">
        <w:t xml:space="preserve">tanke på tellingstidspunkt, lønnsbegrep, arbeidstid og yrkeskoder. I tillegg tilpasses statistikken utvalgsstørrelser i 2014 innen hver næring. </w:t>
      </w:r>
    </w:p>
    <w:p w14:paraId="4EF5C8BA" w14:textId="4BAC6391" w:rsidR="00435783" w:rsidRDefault="00435783" w:rsidP="00435783">
      <w:r w:rsidRPr="00475C6B">
        <w:t xml:space="preserve">For NHO-bedrifter </w:t>
      </w:r>
      <w:r>
        <w:t xml:space="preserve">og for Virke-bedrifter </w:t>
      </w:r>
      <w:r w:rsidRPr="00475C6B">
        <w:t xml:space="preserve">er sammenligning </w:t>
      </w:r>
      <w:r>
        <w:t>mellom</w:t>
      </w:r>
      <w:r w:rsidRPr="00475C6B">
        <w:t xml:space="preserve"> 2014 </w:t>
      </w:r>
      <w:r>
        <w:t>og</w:t>
      </w:r>
      <w:r w:rsidRPr="00475C6B">
        <w:t xml:space="preserve"> 2015 basert </w:t>
      </w:r>
      <w:r w:rsidRPr="00DB286C">
        <w:t xml:space="preserve">på at metoden brukt i 2014 i hovedsak er kopiert i 2015, med basis i lønnsnivå for "avtalt lønn" fra </w:t>
      </w:r>
      <w:r>
        <w:t>a</w:t>
      </w:r>
      <w:r w:rsidRPr="00DB286C">
        <w:t>-meldingen pr. 1.</w:t>
      </w:r>
      <w:r w:rsidR="00A52B29">
        <w:t xml:space="preserve"> </w:t>
      </w:r>
      <w:r w:rsidRPr="00DB286C">
        <w:t>oktober (sept</w:t>
      </w:r>
      <w:r w:rsidR="00A52B29">
        <w:t>emberlønn med justeringer av ev</w:t>
      </w:r>
      <w:r w:rsidRPr="00DB286C">
        <w:t>. etterbetalinger) og reguleringstidspunkter innenfor de enkelte tariffområder, samt bonuser og uregelmessige tillegg over en 9 måneders periode. Lønnsnivå pr. 1.</w:t>
      </w:r>
      <w:r w:rsidR="00A52B29">
        <w:t xml:space="preserve"> </w:t>
      </w:r>
      <w:r w:rsidRPr="00DB286C">
        <w:t>oktober holdes ut året både i 2014 og 2015</w:t>
      </w:r>
      <w:r>
        <w:t xml:space="preserve"> i </w:t>
      </w:r>
      <w:r w:rsidRPr="00F30B99">
        <w:t xml:space="preserve">beregningene. I helseforetakene i Spekter-området er årslønnsvekstberegningen basert på lønnsnivået i oktober 2014 justert med utviklingen i den kvartalsvise lønnsindeksen fra 3. kvartal 2014 til 3. kvartal 2015. For øvrige bedrifter har Spekter gjennomført en egen datainnhenting per 1. oktober 2015. </w:t>
      </w:r>
    </w:p>
    <w:p w14:paraId="46225A37" w14:textId="77777777" w:rsidR="00435783" w:rsidRDefault="00435783" w:rsidP="00435783">
      <w:r>
        <w:t xml:space="preserve">KS samler fortsatt inn data for ansatte i kommuner, fylkeskommuner og ansatte som arbeider i virksomheter som følger tariffavtaler hvor KS/Oslo kommune er part. KS har derfor ingen nye utfordringer i datainnsamlingen. KS har også egen undersøkelse av virkningstidspunkter brukt for lønnstillegg ved lokale forhandlinger. </w:t>
      </w:r>
      <w:r w:rsidRPr="00F30B99">
        <w:t xml:space="preserve"> </w:t>
      </w:r>
    </w:p>
    <w:p w14:paraId="2EEBD73C" w14:textId="77777777" w:rsidR="00435783" w:rsidRDefault="00435783" w:rsidP="00435783">
      <w:r w:rsidRPr="00505564">
        <w:t xml:space="preserve">En utfordring er at bedriftenes klassifisering av lønnskomponenter i 2015, ikke er helt lik </w:t>
      </w:r>
      <w:r>
        <w:t>som</w:t>
      </w:r>
      <w:r w:rsidRPr="00505564">
        <w:t xml:space="preserve"> i 2014</w:t>
      </w:r>
      <w:r>
        <w:t>.</w:t>
      </w:r>
    </w:p>
    <w:p w14:paraId="28ACD7D0" w14:textId="2F7482D3" w:rsidR="00435783" w:rsidRDefault="00435783" w:rsidP="00435783">
      <w:r>
        <w:t>Veksten i bonusutbetalinger er basert på gjennomsnittlig bonus i 9 måneder av 2015 omregnet til 12 måneder, og sammenlignet med tilsvarende fra utvalgsstatistikken i 2014. I tidligere utvalgsstatistikker har man målt bonuser over 12 måneder (hvor man tok med seg bonus fra siste kvartal året før), for å justere for sesong. Bonus for 4.</w:t>
      </w:r>
      <w:r w:rsidR="00A52B29">
        <w:t xml:space="preserve"> </w:t>
      </w:r>
      <w:r>
        <w:t>kvartal 2014 er ikke tilgjengelig i datamaterialet fra A-ordningen for 2015 eller fra utvalgsstatistikken i 2014. Tidligere grunnmateriale hadde likevel bonuser for 9 måneder spesifisert, slik at lønnskomponenten er sammenlignbar med 2015. Det som lønnsstatistikken registrerer som utbetalt bonus for ett år, kan være opptjent året før.</w:t>
      </w:r>
    </w:p>
    <w:p w14:paraId="09E01730" w14:textId="77777777" w:rsidR="00435783" w:rsidRDefault="00435783" w:rsidP="00435783">
      <w:r>
        <w:t xml:space="preserve">Uregelmessige tillegg er knyttet til lønn etter arbeidets art slik som skifttillegg, offshoretillegg etc. I a-meldingen er slike tillegg innberettet på en langt mere detaljert og omfangsrik måte.  Elementer i "uregelmessige tillegg" for 2015, er summert og sammenholdt med 2014 - materiale. Uregelmessige tillegg er basert på gjennomsnittet av de 9 første månedene av 2015, sammenlignet med tilsvarende for 2014 fra utvalgsstatistikken. </w:t>
      </w:r>
    </w:p>
    <w:p w14:paraId="74E650FE" w14:textId="77777777" w:rsidR="00435783" w:rsidRPr="00C73CE8" w:rsidRDefault="00435783" w:rsidP="00435783">
      <w:r w:rsidRPr="00DB286C">
        <w:t xml:space="preserve">Statistisk sentralbyrå ser for seg en full gjennomgang av lønnsstatistikken når det er kommet inn et datagrunnlag for både 2015 og 2016. Dette for å kunne utnytte </w:t>
      </w:r>
      <w:r>
        <w:t>materialet fra A-ordningen fullt ut, og ikke være bundet opp av den utvalgsbaserte lønnsstatistikken.</w:t>
      </w:r>
    </w:p>
    <w:p w14:paraId="42BE2832" w14:textId="77777777" w:rsidR="00435783" w:rsidRPr="00705BE2" w:rsidRDefault="00435783" w:rsidP="007F466C">
      <w:pPr>
        <w:keepNext/>
        <w:spacing w:before="360"/>
        <w:rPr>
          <w:i/>
        </w:rPr>
      </w:pPr>
      <w:r w:rsidRPr="002E7B60">
        <w:rPr>
          <w:i/>
        </w:rPr>
        <w:t>Nærmere omtale av beregninger av årslønn i tabell 1.1</w:t>
      </w:r>
      <w:r>
        <w:rPr>
          <w:i/>
        </w:rPr>
        <w:t xml:space="preserve"> </w:t>
      </w:r>
    </w:p>
    <w:p w14:paraId="1418CCD3" w14:textId="77777777" w:rsidR="00435783" w:rsidRPr="009A12E2" w:rsidRDefault="00435783" w:rsidP="00435783">
      <w:r>
        <w:t xml:space="preserve">Beregningene av årslønn og lønnsvekst for forhandlingsområdene i tabell 1.1 i kapittel 1 bygger på lønnsstatistikk for de enkelte gruppene, og på opplysninger om lønnstillegg og reguleringstidspunkter i de enkelte år. </w:t>
      </w:r>
      <w:r w:rsidRPr="009A12E2">
        <w:t xml:space="preserve">Beregningene er basert på </w:t>
      </w:r>
      <w:r>
        <w:t>opplysninger om</w:t>
      </w:r>
      <w:r w:rsidRPr="009A12E2">
        <w:t xml:space="preserve"> time- eller måneds</w:t>
      </w:r>
      <w:r>
        <w:t>lønn</w:t>
      </w:r>
      <w:r w:rsidRPr="009A12E2">
        <w:t xml:space="preserve"> eksklusive overtidstillegg, men inklusive andre typer tillegg. Måneds</w:t>
      </w:r>
      <w:r>
        <w:t>lønnen</w:t>
      </w:r>
      <w:r w:rsidRPr="009A12E2">
        <w:t xml:space="preserve"> består av avtalt lønn</w:t>
      </w:r>
      <w:r>
        <w:t xml:space="preserve">, </w:t>
      </w:r>
      <w:r w:rsidRPr="009A12E2">
        <w:t>uregelmessige tillegg</w:t>
      </w:r>
      <w:r>
        <w:rPr>
          <w:rStyle w:val="Fotnotereferanse"/>
        </w:rPr>
        <w:footnoteReference w:id="17"/>
      </w:r>
      <w:r w:rsidRPr="009A12E2">
        <w:t xml:space="preserve"> og bonuser</w:t>
      </w:r>
      <w:r>
        <w:t xml:space="preserve">. </w:t>
      </w:r>
      <w:r w:rsidRPr="009A12E2">
        <w:t>Derimot inngår ikke fordel ved opsjoner og fordel ved aks</w:t>
      </w:r>
      <w:r>
        <w:t>jer til underkurs.</w:t>
      </w:r>
    </w:p>
    <w:p w14:paraId="16767925" w14:textId="77777777" w:rsidR="00435783" w:rsidRDefault="00435783" w:rsidP="00435783">
      <w:r w:rsidRPr="009A12E2">
        <w:t xml:space="preserve">Beregningene inneholder de samme lønnskomponentene for alle grupper. </w:t>
      </w:r>
      <w:r>
        <w:t>Noen av</w:t>
      </w:r>
      <w:r w:rsidRPr="009A12E2">
        <w:t xml:space="preserve"> lønnskomponentene </w:t>
      </w:r>
      <w:r>
        <w:t xml:space="preserve">som </w:t>
      </w:r>
      <w:r w:rsidRPr="009A12E2">
        <w:t>inngår</w:t>
      </w:r>
      <w:r>
        <w:t>,</w:t>
      </w:r>
      <w:r w:rsidRPr="009A12E2">
        <w:t xml:space="preserve"> kan </w:t>
      </w:r>
      <w:r>
        <w:t>være bransjespesifikke tillegg, slik som</w:t>
      </w:r>
      <w:r w:rsidRPr="009A12E2">
        <w:t xml:space="preserve"> f.eks. skifttillegg og ulempetillegg. </w:t>
      </w:r>
    </w:p>
    <w:p w14:paraId="5A1246A6" w14:textId="77777777" w:rsidR="00435783" w:rsidRPr="001B22C3" w:rsidRDefault="00435783" w:rsidP="00435783">
      <w:r w:rsidRPr="009A12E2">
        <w:t xml:space="preserve">For gruppene/tariffområdene i tabell 1.1 beregnes årslønn for alle grupper ved å ta utgangspunkt i lønnsstatistikken for </w:t>
      </w:r>
      <w:r>
        <w:t xml:space="preserve">samme periode inneværende år og året før. </w:t>
      </w:r>
      <w:r w:rsidRPr="009A12E2">
        <w:t>Økningen i måneds</w:t>
      </w:r>
      <w:r>
        <w:t>lønnen</w:t>
      </w:r>
      <w:r w:rsidRPr="009A12E2">
        <w:t xml:space="preserve"> over denne </w:t>
      </w:r>
      <w:r>
        <w:t>12-måneders</w:t>
      </w:r>
      <w:r w:rsidRPr="009A12E2">
        <w:t>perioden deles i tariffmessig lønnsøkning og lønnsglidning. Tariffmessig lønnsøkning anslås på grunnlag av tariffavtaler og kan fordeles på bestemte tidspunkter i 12-månedersperioden. Lønnsglidningen, som beregnes som en restpost, blir fordelt på ett eller flere tidspunkter for de ulike gruppene</w:t>
      </w:r>
      <w:r>
        <w:t>, bl.a. ut fra kunnskap om virkningstidspunkt for lokalt avtalte tillegg</w:t>
      </w:r>
      <w:r w:rsidRPr="009A12E2">
        <w:t xml:space="preserve">. </w:t>
      </w:r>
      <w:r w:rsidRPr="001B22C3">
        <w:t>Under forutsetning av at det ikke gis sentrale tillegg på slutten av året eller det foreligger andre opplysninger om lønnsutviklingen, legger utvalget til grunn at lønnsnivået på tellingspunktet for lønnsstatistikken holder seg på samme nivå ut året.</w:t>
      </w:r>
      <w:r>
        <w:t xml:space="preserve"> </w:t>
      </w:r>
      <w:r w:rsidRPr="009A12E2">
        <w:t>Deretter kan en beregne et gjennomsnittlig lønnsnivå for det aktuelle året.</w:t>
      </w:r>
    </w:p>
    <w:p w14:paraId="0A2D2FB7" w14:textId="77777777" w:rsidR="00435783" w:rsidRDefault="00435783" w:rsidP="00435783">
      <w:pPr>
        <w:rPr>
          <w:rFonts w:ascii="Times New Roman" w:hAnsi="Times New Roman"/>
          <w:szCs w:val="24"/>
        </w:rPr>
      </w:pPr>
      <w:r>
        <w:rPr>
          <w:rFonts w:ascii="Times New Roman" w:hAnsi="Times New Roman"/>
          <w:szCs w:val="24"/>
        </w:rPr>
        <w:t xml:space="preserve">Tabell 1.1 i rapporten viser årslønnsberegninger for </w:t>
      </w:r>
      <w:r w:rsidRPr="002E7B60">
        <w:rPr>
          <w:rFonts w:ascii="Times New Roman" w:hAnsi="Times New Roman"/>
          <w:i/>
          <w:szCs w:val="24"/>
        </w:rPr>
        <w:t>forhandlingsområder</w:t>
      </w:r>
      <w:r>
        <w:rPr>
          <w:rFonts w:ascii="Times New Roman" w:hAnsi="Times New Roman"/>
          <w:szCs w:val="24"/>
        </w:rPr>
        <w:t xml:space="preserve">. Disse beregningene bruker litt andre prinsipper enn </w:t>
      </w:r>
      <w:r w:rsidRPr="00E57555">
        <w:rPr>
          <w:rFonts w:ascii="Times New Roman" w:hAnsi="Times New Roman"/>
          <w:szCs w:val="24"/>
        </w:rPr>
        <w:t xml:space="preserve">SSBs årslønnsberegninger for </w:t>
      </w:r>
      <w:r w:rsidRPr="002E7B60">
        <w:rPr>
          <w:rFonts w:ascii="Times New Roman" w:hAnsi="Times New Roman"/>
          <w:i/>
          <w:szCs w:val="24"/>
        </w:rPr>
        <w:t>næringsområder</w:t>
      </w:r>
      <w:r>
        <w:rPr>
          <w:rFonts w:ascii="Times New Roman" w:hAnsi="Times New Roman"/>
          <w:szCs w:val="24"/>
        </w:rPr>
        <w:t xml:space="preserve"> i privat sektor med utgangspunkt i lønnsstatistikken (som for varehandel i alt i vedleggstabell 4.10)</w:t>
      </w:r>
      <w:r w:rsidRPr="00E57555">
        <w:rPr>
          <w:rFonts w:ascii="Times New Roman" w:hAnsi="Times New Roman"/>
          <w:szCs w:val="24"/>
        </w:rPr>
        <w:t xml:space="preserve">. Innholdet i lønnsbegrepet er imidlertid det samme og </w:t>
      </w:r>
      <w:r>
        <w:rPr>
          <w:rFonts w:ascii="Times New Roman" w:hAnsi="Times New Roman"/>
          <w:szCs w:val="24"/>
        </w:rPr>
        <w:t xml:space="preserve">i </w:t>
      </w:r>
      <w:r w:rsidRPr="00E57555">
        <w:rPr>
          <w:rFonts w:ascii="Times New Roman" w:hAnsi="Times New Roman"/>
          <w:szCs w:val="24"/>
        </w:rPr>
        <w:t xml:space="preserve">begge </w:t>
      </w:r>
      <w:r>
        <w:rPr>
          <w:rFonts w:ascii="Times New Roman" w:hAnsi="Times New Roman"/>
          <w:szCs w:val="24"/>
        </w:rPr>
        <w:t>beregningene tas det</w:t>
      </w:r>
      <w:r w:rsidRPr="00E57555">
        <w:rPr>
          <w:rFonts w:ascii="Times New Roman" w:hAnsi="Times New Roman"/>
          <w:szCs w:val="24"/>
        </w:rPr>
        <w:t xml:space="preserve"> utgangspunkt i </w:t>
      </w:r>
      <w:r>
        <w:rPr>
          <w:rFonts w:ascii="Times New Roman" w:hAnsi="Times New Roman"/>
          <w:szCs w:val="24"/>
        </w:rPr>
        <w:t>flere</w:t>
      </w:r>
      <w:r w:rsidRPr="00E57555">
        <w:rPr>
          <w:rFonts w:ascii="Times New Roman" w:hAnsi="Times New Roman"/>
          <w:szCs w:val="24"/>
        </w:rPr>
        <w:t xml:space="preserve"> årganger av lønnsstatistikken. I SSBs beregninger </w:t>
      </w:r>
      <w:r>
        <w:rPr>
          <w:rFonts w:ascii="Times New Roman" w:hAnsi="Times New Roman"/>
          <w:szCs w:val="24"/>
        </w:rPr>
        <w:t>for næringsområder</w:t>
      </w:r>
      <w:r w:rsidRPr="00E57555">
        <w:rPr>
          <w:rFonts w:ascii="Times New Roman" w:hAnsi="Times New Roman"/>
          <w:szCs w:val="24"/>
        </w:rPr>
        <w:t xml:space="preserve"> </w:t>
      </w:r>
      <w:r>
        <w:rPr>
          <w:rFonts w:ascii="Times New Roman" w:hAnsi="Times New Roman"/>
          <w:szCs w:val="24"/>
        </w:rPr>
        <w:t xml:space="preserve">i privat sektor </w:t>
      </w:r>
      <w:r w:rsidRPr="00E57555">
        <w:rPr>
          <w:rFonts w:ascii="Times New Roman" w:hAnsi="Times New Roman"/>
          <w:szCs w:val="24"/>
        </w:rPr>
        <w:t>er det utviklingen i den kvartalsvise lønnsindeksen for avtalt lønn som gir fordelingen av lønnsøkningen gjennom året.</w:t>
      </w:r>
      <w:r>
        <w:rPr>
          <w:rFonts w:ascii="Times New Roman" w:hAnsi="Times New Roman"/>
          <w:szCs w:val="24"/>
        </w:rPr>
        <w:t xml:space="preserve"> De faktiske utbetalingene uavhengig av virkningsdato legges til grunn. I områder der det ikke finnes informasjon fra kvartalsindeksen, benyttes informasjon fra lønnsoppgjørene på samme måte som i forhandlingsområdene i tabell 1.1. Dette gjelder bl.a. for offentlig sektor unntatt helseforetakene og for finansnæringen. </w:t>
      </w:r>
    </w:p>
    <w:p w14:paraId="028C380E" w14:textId="1503E689" w:rsidR="00435783" w:rsidRPr="001B22C3" w:rsidRDefault="00435783" w:rsidP="00435783">
      <w:r>
        <w:t xml:space="preserve">I noen av forhandlingsområdene i tabell 1.1 gjelder beregningen av årslønnsnivå og årslønnsvekst for heltidsansatte. </w:t>
      </w:r>
      <w:r w:rsidRPr="001B22C3">
        <w:t xml:space="preserve">I beregningene </w:t>
      </w:r>
      <w:r>
        <w:t xml:space="preserve">før 2015 </w:t>
      </w:r>
      <w:r w:rsidRPr="001B22C3">
        <w:t>inng</w:t>
      </w:r>
      <w:r>
        <w:t>ikk</w:t>
      </w:r>
      <w:r w:rsidRPr="001B22C3">
        <w:t xml:space="preserve"> som hovedregel de som ha</w:t>
      </w:r>
      <w:r>
        <w:t>dde</w:t>
      </w:r>
      <w:r w:rsidRPr="001B22C3">
        <w:t xml:space="preserve"> en avtalt arbeidstid på 33 timer eller mer i uken</w:t>
      </w:r>
      <w:r>
        <w:t>. I 2015 er som hovedregel heltidsansatte ansatte med stillingsprosent på minst 100</w:t>
      </w:r>
      <w:r w:rsidRPr="001B22C3">
        <w:t xml:space="preserve">. Dette er i samsvar med definisjonen av heltid i offisiell lønnsstatistikk. Det skilles ikke </w:t>
      </w:r>
      <w:r>
        <w:t xml:space="preserve">der </w:t>
      </w:r>
      <w:r w:rsidRPr="001B22C3">
        <w:t xml:space="preserve">mellom arbeid på skift/turnus og på dagtid. I forbindelse med </w:t>
      </w:r>
      <w:r w:rsidR="0022390E" w:rsidRPr="001B22C3">
        <w:t>utarbeiding</w:t>
      </w:r>
      <w:r w:rsidRPr="001B22C3">
        <w:t xml:space="preserve"> av tariffstatistikk kan SSB sette andre grenser. For ansatte i staten og kommunene inkl. undervisningssektoren er heltid definert som dellønnsprosent/stillingsandel på 100 prosent. For de statlig eide helseforetakene har en også mulighet for å sette grenser mellom heltid og deltid som i privat sektor.</w:t>
      </w:r>
    </w:p>
    <w:p w14:paraId="584F29E1" w14:textId="5108C69F" w:rsidR="00435783" w:rsidRDefault="00435783" w:rsidP="00435783">
      <w:r w:rsidRPr="001B22C3">
        <w:t>For å kunne sammenlikne lønn mellom heltids- og deltidsansatte omregnes lønnen til de deltidsansatte til hva den ville vært hvis de jobbet heltid. Lønn per heltidsekvivalent for de deltidsansatte kan da slås sammen med lønnen for de heltidsansatte slik at man kan beregne gjennomsnittlig lønn for alle ansatte.</w:t>
      </w:r>
      <w:r>
        <w:t xml:space="preserve"> I de fleste tariffområdene og i SSB årslønnsberegninger for ulike næringer, gjøres årslønnsberegningene for heltidsekvivalenter der både heltids- og deltidsansatte inngår. </w:t>
      </w:r>
    </w:p>
    <w:p w14:paraId="700690CD" w14:textId="69A4438C" w:rsidR="00435783" w:rsidRDefault="00435783" w:rsidP="00435783">
      <w:r w:rsidRPr="00A52B29">
        <w:t xml:space="preserve">I noen områder står deltidsansatte for en stor del av årsverkene. I det kommunale- og fylkeskommunale tariffområdet arbeider om lag 50 prosent av de ansatte deltid mens andelen er om lag 44 prosent i varehandelen (utfører om lag ⅓ av årsverkene) og om lag </w:t>
      </w:r>
      <w:r w:rsidR="00A52B29" w:rsidRPr="00A52B29">
        <w:t xml:space="preserve">40 </w:t>
      </w:r>
      <w:r w:rsidRPr="00A52B29">
        <w:t xml:space="preserve">prosent blant undervisningspersonale (utfører om lag </w:t>
      </w:r>
      <w:r w:rsidR="00E46379" w:rsidRPr="00A52B29">
        <w:t>⅓</w:t>
      </w:r>
      <w:r w:rsidR="00A52B29" w:rsidRPr="00A52B29">
        <w:t xml:space="preserve"> </w:t>
      </w:r>
      <w:r w:rsidRPr="00A52B29">
        <w:t>av årsverkene). For de andre gruppene/næringene i tabell 1.1 i kapittel 1 ligger deltidsandelen rundt 20 prosent eller lavere unntatt for helseforetakene hvor andelen ligger rundt 45 prosent.</w:t>
      </w:r>
    </w:p>
    <w:p w14:paraId="46EE072D" w14:textId="77777777" w:rsidR="00435783" w:rsidRPr="009016E3" w:rsidRDefault="00435783" w:rsidP="008643D6">
      <w:pPr>
        <w:pStyle w:val="Overskrift2"/>
        <w:numPr>
          <w:ilvl w:val="1"/>
          <w:numId w:val="50"/>
        </w:numPr>
      </w:pPr>
      <w:bookmarkStart w:id="474" w:name="ved0.1.1.0.4"/>
      <w:bookmarkStart w:id="475" w:name="_Toc383961403"/>
      <w:bookmarkStart w:id="476" w:name="_Toc443829089"/>
      <w:bookmarkStart w:id="477" w:name="_Toc443843746"/>
      <w:bookmarkStart w:id="478" w:name="_Toc443844278"/>
      <w:bookmarkStart w:id="479" w:name="_Toc443999018"/>
      <w:bookmarkEnd w:id="474"/>
      <w:r w:rsidRPr="009016E3">
        <w:t>Lønn og lønnskostnader</w:t>
      </w:r>
      <w:bookmarkEnd w:id="475"/>
      <w:bookmarkEnd w:id="476"/>
      <w:bookmarkEnd w:id="477"/>
      <w:bookmarkEnd w:id="478"/>
      <w:bookmarkEnd w:id="479"/>
    </w:p>
    <w:p w14:paraId="3496292F" w14:textId="77777777" w:rsidR="00435783" w:rsidRDefault="00435783" w:rsidP="00435783">
      <w:pPr>
        <w:rPr>
          <w:rFonts w:ascii="Times New Roman" w:hAnsi="Times New Roman" w:cstheme="minorBidi"/>
          <w:i/>
        </w:rPr>
      </w:pPr>
      <w:r w:rsidRPr="002E7B60">
        <w:rPr>
          <w:rFonts w:ascii="Times New Roman" w:hAnsi="Times New Roman" w:cstheme="minorBidi"/>
          <w:i/>
        </w:rPr>
        <w:t>Sammenheng mellom</w:t>
      </w:r>
      <w:r>
        <w:t xml:space="preserve"> </w:t>
      </w:r>
      <w:r w:rsidRPr="007E0A50">
        <w:rPr>
          <w:rFonts w:ascii="Times New Roman" w:hAnsi="Times New Roman" w:cstheme="minorBidi"/>
          <w:i/>
        </w:rPr>
        <w:t>timelønnskostnader og årslønn</w:t>
      </w:r>
    </w:p>
    <w:p w14:paraId="7FB6AFC2" w14:textId="77777777" w:rsidR="00435783" w:rsidRPr="00B303A1" w:rsidRDefault="00435783" w:rsidP="00435783">
      <w:r w:rsidRPr="00B303A1">
        <w:t xml:space="preserve">Timelønnskostnadene </w:t>
      </w:r>
      <w:r w:rsidRPr="008716C7">
        <w:rPr>
          <w:shd w:val="clear" w:color="auto" w:fill="FFFFFF" w:themeFill="background1"/>
        </w:rPr>
        <w:t xml:space="preserve">som omtales i kapittel </w:t>
      </w:r>
      <w:r w:rsidRPr="008716C7">
        <w:t>4.1</w:t>
      </w:r>
      <w:r w:rsidRPr="008716C7">
        <w:rPr>
          <w:shd w:val="clear" w:color="auto" w:fill="FFFFFF" w:themeFill="background1"/>
        </w:rPr>
        <w:t xml:space="preserve"> utgjør i</w:t>
      </w:r>
      <w:r w:rsidRPr="00B303A1">
        <w:t xml:space="preserve"> hovedsak samlede lønnskostnader regnet per utførte timeverk. Lønnskostnadene inkluderer i prinsippet direkte lønnskostnader (alle lønnsutbetalinger inklusive overtidsgodtgjørelse og lønn under sykdom, fødselspermisjoner m</w:t>
      </w:r>
      <w:r>
        <w:t>v</w:t>
      </w:r>
      <w:r w:rsidRPr="00B303A1">
        <w:t>. som betales av arbeidsgiver) og indirekte lønnskostnader (</w:t>
      </w:r>
      <w:r>
        <w:t xml:space="preserve">som </w:t>
      </w:r>
      <w:r w:rsidRPr="00B303A1">
        <w:t>arbeidsgiveravgift, faktiske og beregnede pensjonsutgifter betalt av arbeidsgiver</w:t>
      </w:r>
      <w:r>
        <w:t>)</w:t>
      </w:r>
      <w:r w:rsidRPr="00B303A1">
        <w:t>. Antall utførte timeverk regnes eksklusive fravær, som for eksempel ferie, permisjon og sykefravær, men inklusive overtid.</w:t>
      </w:r>
    </w:p>
    <w:p w14:paraId="1E81B4D1" w14:textId="77777777" w:rsidR="00435783" w:rsidRPr="00B303A1" w:rsidRDefault="00435783" w:rsidP="00435783">
      <w:r w:rsidRPr="00B303A1">
        <w:t>Det følger av definisjonene ovenfor at bl.a. følgende forhold kan bidra til ulik utvikling i timelønnskostnader og årslønn:</w:t>
      </w:r>
    </w:p>
    <w:p w14:paraId="71027BD5" w14:textId="77777777" w:rsidR="00435783" w:rsidRPr="00B303A1" w:rsidRDefault="00435783" w:rsidP="00435783">
      <w:pPr>
        <w:pStyle w:val="Liste"/>
      </w:pPr>
      <w:r w:rsidRPr="00B303A1">
        <w:t>endringer i overtid</w:t>
      </w:r>
    </w:p>
    <w:p w14:paraId="07558648" w14:textId="77777777" w:rsidR="00435783" w:rsidRPr="00B303A1" w:rsidRDefault="00435783" w:rsidP="00435783">
      <w:pPr>
        <w:pStyle w:val="Liste"/>
      </w:pPr>
      <w:r w:rsidRPr="00B303A1">
        <w:t xml:space="preserve">endringer i </w:t>
      </w:r>
      <w:r>
        <w:t>syke</w:t>
      </w:r>
      <w:r w:rsidRPr="00B303A1">
        <w:t>fravær</w:t>
      </w:r>
    </w:p>
    <w:p w14:paraId="770D1AD8" w14:textId="77777777" w:rsidR="00435783" w:rsidRPr="00B303A1" w:rsidRDefault="00435783" w:rsidP="00435783">
      <w:pPr>
        <w:pStyle w:val="Liste"/>
      </w:pPr>
      <w:r w:rsidRPr="00B303A1">
        <w:t>endringer i antall virkedager, f.eks. pga. endringer i bevegelige helligdager og skuddår</w:t>
      </w:r>
    </w:p>
    <w:p w14:paraId="4CCBD47E" w14:textId="77777777" w:rsidR="00435783" w:rsidRPr="00B303A1" w:rsidRDefault="00435783" w:rsidP="00435783">
      <w:pPr>
        <w:pStyle w:val="Liste"/>
      </w:pPr>
      <w:r w:rsidRPr="00B303A1">
        <w:t>endringer i arbeidsgiveravgift og pensjonspremier</w:t>
      </w:r>
    </w:p>
    <w:p w14:paraId="42A3C1B6" w14:textId="77777777" w:rsidR="00435783" w:rsidRPr="00B303A1" w:rsidRDefault="00435783" w:rsidP="00435783">
      <w:pPr>
        <w:pStyle w:val="Liste"/>
      </w:pPr>
      <w:r>
        <w:t>endret sats for feriepenger</w:t>
      </w:r>
    </w:p>
    <w:p w14:paraId="1F4B3817" w14:textId="77777777" w:rsidR="00435783" w:rsidRPr="0075640C" w:rsidRDefault="00435783" w:rsidP="00435783">
      <w:r w:rsidRPr="00B303A1">
        <w:t xml:space="preserve">I tillegg til faktorene som er nevnt i strekpunktene ovenfor, vil forskyvninger i sysselsettingen mellom ulike regioner med forskjellig arbeidsgiveravgift bidra til at de samlede timelønnskostnadene for en lønnstakergruppe utvikler seg forskjellig fra årslønnen. </w:t>
      </w:r>
    </w:p>
    <w:p w14:paraId="23B37D15" w14:textId="77777777" w:rsidR="00435783" w:rsidRDefault="00435783" w:rsidP="00435783">
      <w:r w:rsidRPr="007D2CE8">
        <w:t>Tabell 2.1 gir en illustrasjon på hvordan ulike faktorer har bidratt til avvik mellom påløpt årslønn og lønnskostnader per utførte timeverk i Norge. I 201</w:t>
      </w:r>
      <w:r>
        <w:t>3</w:t>
      </w:r>
      <w:r w:rsidRPr="007D2CE8">
        <w:t xml:space="preserve"> var veksten i timelønnskostnadene for alle grupper </w:t>
      </w:r>
      <w:r>
        <w:t>1,1</w:t>
      </w:r>
      <w:r w:rsidRPr="007D2CE8">
        <w:t xml:space="preserve"> prosentpoeng høyere enn veksten i påløpt årslønn. Ifølge foreløpige beregninger for 201</w:t>
      </w:r>
      <w:r>
        <w:t>4</w:t>
      </w:r>
      <w:r w:rsidRPr="007D2CE8">
        <w:t xml:space="preserve"> var veksten i timelønnskostnadene </w:t>
      </w:r>
      <w:r>
        <w:t xml:space="preserve">0,1 </w:t>
      </w:r>
      <w:r w:rsidRPr="007D2CE8">
        <w:t xml:space="preserve">prosentpoeng </w:t>
      </w:r>
      <w:r>
        <w:t>lavere</w:t>
      </w:r>
      <w:r w:rsidRPr="007D2CE8">
        <w:t xml:space="preserve"> enn veksten i påløpt årslønn</w:t>
      </w:r>
      <w:r>
        <w:t>, mens veksten var lik i 2015</w:t>
      </w:r>
      <w:r w:rsidRPr="007D2CE8">
        <w:t>. Det var en virkedag mer i 201</w:t>
      </w:r>
      <w:r>
        <w:t>5</w:t>
      </w:r>
      <w:r w:rsidRPr="007D2CE8">
        <w:t xml:space="preserve"> enn i 201</w:t>
      </w:r>
      <w:r>
        <w:t>4</w:t>
      </w:r>
      <w:r w:rsidRPr="007D2CE8">
        <w:t>. Dette trekker timelønnskostnadene ned relativt til påløpt årslønn. I 201</w:t>
      </w:r>
      <w:r>
        <w:t>5</w:t>
      </w:r>
      <w:r w:rsidRPr="007D2CE8">
        <w:t xml:space="preserve"> trakk andre faktorer i motsatt retning. Tallene for 201</w:t>
      </w:r>
      <w:r>
        <w:t>4</w:t>
      </w:r>
      <w:r w:rsidRPr="007D2CE8">
        <w:t xml:space="preserve"> og 201</w:t>
      </w:r>
      <w:r>
        <w:t>5</w:t>
      </w:r>
      <w:r w:rsidRPr="007D2CE8">
        <w:t xml:space="preserve"> er beheftet med usikkerhet som følge av at anslagene for utvikling i overtid, skiftarbeid og trygde- og pensjonspremier (dvs. ”Andre arbeidskraftkostnader” i tabell 2.1) bygger på et foreløpig kildemateriale.</w:t>
      </w:r>
    </w:p>
    <w:p w14:paraId="37D26758" w14:textId="77777777" w:rsidR="00435783" w:rsidRDefault="00435783" w:rsidP="00435783"/>
    <w:p w14:paraId="3974C5E9" w14:textId="77777777" w:rsidR="00AF6955" w:rsidRDefault="00AF6955">
      <w:pPr>
        <w:spacing w:after="0"/>
        <w:rPr>
          <w:rFonts w:ascii="Arial" w:eastAsia="Times New Roman" w:hAnsi="Arial" w:cstheme="minorBidi"/>
          <w:spacing w:val="4"/>
          <w:szCs w:val="22"/>
        </w:rPr>
      </w:pPr>
      <w:r>
        <w:br w:type="page"/>
      </w:r>
    </w:p>
    <w:p w14:paraId="1DD37735" w14:textId="294E3C87" w:rsidR="00435783" w:rsidRDefault="00435783" w:rsidP="00435783">
      <w:pPr>
        <w:pStyle w:val="tabell-tittel"/>
        <w:numPr>
          <w:ilvl w:val="0"/>
          <w:numId w:val="0"/>
        </w:numPr>
      </w:pPr>
      <w:r>
        <w:t xml:space="preserve">Tabell 2.1 </w:t>
      </w:r>
      <w:r w:rsidRPr="007D5C73">
        <w:t>Ulike faktorers bidrag til avvik mellom påløpt årslønn og lønnskostnader per utførte timeverk for alle grupper. Bidrag i prosentpoeng.</w:t>
      </w:r>
    </w:p>
    <w:tbl>
      <w:tblPr>
        <w:tblW w:w="4658" w:type="pct"/>
        <w:tblLook w:val="00A0" w:firstRow="1" w:lastRow="0" w:firstColumn="1" w:lastColumn="0" w:noHBand="0" w:noVBand="0"/>
      </w:tblPr>
      <w:tblGrid>
        <w:gridCol w:w="2020"/>
        <w:gridCol w:w="616"/>
        <w:gridCol w:w="616"/>
        <w:gridCol w:w="616"/>
        <w:gridCol w:w="616"/>
        <w:gridCol w:w="616"/>
        <w:gridCol w:w="616"/>
        <w:gridCol w:w="616"/>
        <w:gridCol w:w="646"/>
        <w:gridCol w:w="716"/>
        <w:gridCol w:w="716"/>
      </w:tblGrid>
      <w:tr w:rsidR="00435783" w:rsidRPr="002572B7" w14:paraId="13E1FC6E" w14:textId="77777777" w:rsidTr="00083940">
        <w:trPr>
          <w:trHeight w:val="311"/>
        </w:trPr>
        <w:tc>
          <w:tcPr>
            <w:tcW w:w="1209" w:type="pct"/>
            <w:tcBorders>
              <w:top w:val="single" w:sz="4" w:space="0" w:color="auto"/>
              <w:bottom w:val="single" w:sz="4" w:space="0" w:color="auto"/>
            </w:tcBorders>
          </w:tcPr>
          <w:p w14:paraId="5490F6BB"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w:t>
            </w:r>
          </w:p>
        </w:tc>
        <w:tc>
          <w:tcPr>
            <w:tcW w:w="368" w:type="pct"/>
            <w:tcBorders>
              <w:top w:val="single" w:sz="4" w:space="0" w:color="auto"/>
              <w:bottom w:val="single" w:sz="4" w:space="0" w:color="auto"/>
            </w:tcBorders>
          </w:tcPr>
          <w:p w14:paraId="585652E7"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2006</w:t>
            </w:r>
          </w:p>
        </w:tc>
        <w:tc>
          <w:tcPr>
            <w:tcW w:w="368" w:type="pct"/>
            <w:tcBorders>
              <w:top w:val="single" w:sz="4" w:space="0" w:color="auto"/>
              <w:bottom w:val="single" w:sz="4" w:space="0" w:color="auto"/>
            </w:tcBorders>
          </w:tcPr>
          <w:p w14:paraId="02B74223"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2007</w:t>
            </w:r>
          </w:p>
        </w:tc>
        <w:tc>
          <w:tcPr>
            <w:tcW w:w="367" w:type="pct"/>
            <w:tcBorders>
              <w:top w:val="single" w:sz="4" w:space="0" w:color="auto"/>
              <w:bottom w:val="single" w:sz="4" w:space="0" w:color="auto"/>
            </w:tcBorders>
          </w:tcPr>
          <w:p w14:paraId="4B70E080"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2008</w:t>
            </w:r>
          </w:p>
        </w:tc>
        <w:tc>
          <w:tcPr>
            <w:tcW w:w="367" w:type="pct"/>
            <w:tcBorders>
              <w:top w:val="single" w:sz="4" w:space="0" w:color="auto"/>
              <w:bottom w:val="single" w:sz="4" w:space="0" w:color="auto"/>
            </w:tcBorders>
          </w:tcPr>
          <w:p w14:paraId="446179A6"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2009</w:t>
            </w:r>
          </w:p>
        </w:tc>
        <w:tc>
          <w:tcPr>
            <w:tcW w:w="367" w:type="pct"/>
            <w:tcBorders>
              <w:top w:val="single" w:sz="4" w:space="0" w:color="auto"/>
              <w:bottom w:val="single" w:sz="4" w:space="0" w:color="auto"/>
            </w:tcBorders>
          </w:tcPr>
          <w:p w14:paraId="6A84BC67"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2010</w:t>
            </w:r>
          </w:p>
        </w:tc>
        <w:tc>
          <w:tcPr>
            <w:tcW w:w="367" w:type="pct"/>
            <w:tcBorders>
              <w:top w:val="single" w:sz="4" w:space="0" w:color="auto"/>
              <w:bottom w:val="single" w:sz="4" w:space="0" w:color="auto"/>
            </w:tcBorders>
          </w:tcPr>
          <w:p w14:paraId="013CB93A"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2011</w:t>
            </w:r>
          </w:p>
        </w:tc>
        <w:tc>
          <w:tcPr>
            <w:tcW w:w="367" w:type="pct"/>
            <w:tcBorders>
              <w:top w:val="single" w:sz="4" w:space="0" w:color="auto"/>
              <w:bottom w:val="single" w:sz="4" w:space="0" w:color="auto"/>
            </w:tcBorders>
          </w:tcPr>
          <w:p w14:paraId="119A9893"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2012</w:t>
            </w:r>
          </w:p>
        </w:tc>
        <w:tc>
          <w:tcPr>
            <w:tcW w:w="427" w:type="pct"/>
            <w:tcBorders>
              <w:top w:val="single" w:sz="4" w:space="0" w:color="auto"/>
              <w:bottom w:val="single" w:sz="4" w:space="0" w:color="auto"/>
            </w:tcBorders>
          </w:tcPr>
          <w:p w14:paraId="72DC0336" w14:textId="77777777" w:rsidR="00435783" w:rsidRPr="002572B7" w:rsidRDefault="00435783" w:rsidP="00083940">
            <w:pPr>
              <w:jc w:val="right"/>
              <w:rPr>
                <w:rFonts w:ascii="Times New Roman" w:hAnsi="Times New Roman"/>
                <w:sz w:val="20"/>
              </w:rPr>
            </w:pPr>
            <w:r w:rsidRPr="007D2CE8">
              <w:rPr>
                <w:rFonts w:ascii="Times New Roman" w:hAnsi="Times New Roman"/>
                <w:sz w:val="20"/>
                <w:lang w:eastAsia="en-US"/>
              </w:rPr>
              <w:t>2013</w:t>
            </w:r>
            <w:r w:rsidRPr="002572B7">
              <w:rPr>
                <w:rFonts w:ascii="Times New Roman" w:hAnsi="Times New Roman"/>
                <w:sz w:val="20"/>
              </w:rPr>
              <w:t xml:space="preserve">  </w:t>
            </w:r>
          </w:p>
        </w:tc>
        <w:tc>
          <w:tcPr>
            <w:tcW w:w="427" w:type="pct"/>
            <w:tcBorders>
              <w:top w:val="single" w:sz="4" w:space="0" w:color="auto"/>
              <w:bottom w:val="single" w:sz="4" w:space="0" w:color="auto"/>
            </w:tcBorders>
          </w:tcPr>
          <w:p w14:paraId="7D7422B7"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2014*</w:t>
            </w:r>
          </w:p>
        </w:tc>
        <w:tc>
          <w:tcPr>
            <w:tcW w:w="366" w:type="pct"/>
            <w:tcBorders>
              <w:top w:val="single" w:sz="4" w:space="0" w:color="auto"/>
              <w:bottom w:val="single" w:sz="4" w:space="0" w:color="auto"/>
            </w:tcBorders>
          </w:tcPr>
          <w:p w14:paraId="6B64C4E2" w14:textId="77777777" w:rsidR="00435783" w:rsidRPr="002572B7" w:rsidRDefault="00435783" w:rsidP="00083940">
            <w:pPr>
              <w:jc w:val="right"/>
              <w:rPr>
                <w:rFonts w:ascii="Times New Roman" w:hAnsi="Times New Roman"/>
                <w:sz w:val="20"/>
                <w:lang w:eastAsia="en-US"/>
              </w:rPr>
            </w:pPr>
            <w:r w:rsidRPr="002572B7">
              <w:rPr>
                <w:rFonts w:ascii="Times New Roman" w:hAnsi="Times New Roman"/>
                <w:sz w:val="20"/>
                <w:lang w:eastAsia="en-US"/>
              </w:rPr>
              <w:t>2015</w:t>
            </w:r>
            <w:r>
              <w:rPr>
                <w:rFonts w:ascii="Times New Roman" w:hAnsi="Times New Roman"/>
                <w:sz w:val="20"/>
                <w:lang w:eastAsia="en-US"/>
              </w:rPr>
              <w:t>*</w:t>
            </w:r>
          </w:p>
        </w:tc>
      </w:tr>
      <w:tr w:rsidR="00435783" w:rsidRPr="002572B7" w14:paraId="2EA381A2" w14:textId="77777777" w:rsidTr="00083940">
        <w:trPr>
          <w:trHeight w:val="510"/>
        </w:trPr>
        <w:tc>
          <w:tcPr>
            <w:tcW w:w="1209" w:type="pct"/>
            <w:tcBorders>
              <w:top w:val="single" w:sz="4" w:space="0" w:color="auto"/>
            </w:tcBorders>
          </w:tcPr>
          <w:p w14:paraId="5F9DB1D8" w14:textId="77777777" w:rsidR="00435783" w:rsidRPr="002572B7" w:rsidRDefault="00435783" w:rsidP="00083940">
            <w:pPr>
              <w:rPr>
                <w:rFonts w:ascii="Times New Roman" w:hAnsi="Times New Roman"/>
                <w:sz w:val="20"/>
              </w:rPr>
            </w:pPr>
            <w:r w:rsidRPr="002572B7">
              <w:rPr>
                <w:rFonts w:ascii="Times New Roman" w:hAnsi="Times New Roman"/>
                <w:sz w:val="20"/>
              </w:rPr>
              <w:t>Lønnskostnader pr. time, prosent</w:t>
            </w:r>
          </w:p>
        </w:tc>
        <w:tc>
          <w:tcPr>
            <w:tcW w:w="368" w:type="pct"/>
            <w:tcBorders>
              <w:top w:val="single" w:sz="4" w:space="0" w:color="auto"/>
            </w:tcBorders>
          </w:tcPr>
          <w:p w14:paraId="3FBC99EA"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 xml:space="preserve">5,7       </w:t>
            </w:r>
          </w:p>
        </w:tc>
        <w:tc>
          <w:tcPr>
            <w:tcW w:w="368" w:type="pct"/>
            <w:tcBorders>
              <w:top w:val="single" w:sz="4" w:space="0" w:color="auto"/>
            </w:tcBorders>
          </w:tcPr>
          <w:p w14:paraId="416975CF"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5,5</w:t>
            </w:r>
          </w:p>
        </w:tc>
        <w:tc>
          <w:tcPr>
            <w:tcW w:w="367" w:type="pct"/>
            <w:tcBorders>
              <w:top w:val="single" w:sz="4" w:space="0" w:color="auto"/>
            </w:tcBorders>
          </w:tcPr>
          <w:p w14:paraId="05D94AD6"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5,</w:t>
            </w:r>
            <w:r w:rsidRPr="002572B7">
              <w:rPr>
                <w:rFonts w:ascii="Times New Roman" w:hAnsi="Times New Roman"/>
                <w:sz w:val="20"/>
                <w:lang w:eastAsia="en-US"/>
              </w:rPr>
              <w:t>9</w:t>
            </w:r>
          </w:p>
        </w:tc>
        <w:tc>
          <w:tcPr>
            <w:tcW w:w="367" w:type="pct"/>
            <w:tcBorders>
              <w:top w:val="single" w:sz="4" w:space="0" w:color="auto"/>
            </w:tcBorders>
          </w:tcPr>
          <w:p w14:paraId="7C18B5E7"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4,9</w:t>
            </w:r>
          </w:p>
        </w:tc>
        <w:tc>
          <w:tcPr>
            <w:tcW w:w="367" w:type="pct"/>
            <w:tcBorders>
              <w:top w:val="single" w:sz="4" w:space="0" w:color="auto"/>
            </w:tcBorders>
          </w:tcPr>
          <w:p w14:paraId="5B0747AB"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2,6</w:t>
            </w:r>
          </w:p>
        </w:tc>
        <w:tc>
          <w:tcPr>
            <w:tcW w:w="367" w:type="pct"/>
            <w:tcBorders>
              <w:top w:val="single" w:sz="4" w:space="0" w:color="auto"/>
            </w:tcBorders>
          </w:tcPr>
          <w:p w14:paraId="41554290"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4,3</w:t>
            </w:r>
          </w:p>
        </w:tc>
        <w:tc>
          <w:tcPr>
            <w:tcW w:w="367" w:type="pct"/>
            <w:tcBorders>
              <w:top w:val="single" w:sz="4" w:space="0" w:color="auto"/>
            </w:tcBorders>
          </w:tcPr>
          <w:p w14:paraId="7EE7672D"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4,7</w:t>
            </w:r>
          </w:p>
        </w:tc>
        <w:tc>
          <w:tcPr>
            <w:tcW w:w="427" w:type="pct"/>
            <w:tcBorders>
              <w:top w:val="single" w:sz="4" w:space="0" w:color="auto"/>
            </w:tcBorders>
          </w:tcPr>
          <w:p w14:paraId="0E6E1386"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xml:space="preserve">5,0       </w:t>
            </w:r>
          </w:p>
        </w:tc>
        <w:tc>
          <w:tcPr>
            <w:tcW w:w="427" w:type="pct"/>
            <w:tcBorders>
              <w:top w:val="single" w:sz="4" w:space="0" w:color="auto"/>
            </w:tcBorders>
          </w:tcPr>
          <w:p w14:paraId="2FEFBDFE"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3,0</w:t>
            </w:r>
          </w:p>
        </w:tc>
        <w:tc>
          <w:tcPr>
            <w:tcW w:w="366" w:type="pct"/>
            <w:tcBorders>
              <w:top w:val="single" w:sz="4" w:space="0" w:color="auto"/>
            </w:tcBorders>
          </w:tcPr>
          <w:p w14:paraId="1B588999"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2,8</w:t>
            </w:r>
          </w:p>
        </w:tc>
      </w:tr>
      <w:tr w:rsidR="00435783" w:rsidRPr="002572B7" w14:paraId="75DC5EC8" w14:textId="77777777" w:rsidTr="00083940">
        <w:trPr>
          <w:trHeight w:val="424"/>
        </w:trPr>
        <w:tc>
          <w:tcPr>
            <w:tcW w:w="1209" w:type="pct"/>
          </w:tcPr>
          <w:p w14:paraId="51B0EF87" w14:textId="77777777" w:rsidR="00435783" w:rsidRPr="002572B7" w:rsidRDefault="00435783" w:rsidP="00083940">
            <w:pPr>
              <w:rPr>
                <w:rFonts w:ascii="Times New Roman" w:hAnsi="Times New Roman"/>
                <w:sz w:val="20"/>
              </w:rPr>
            </w:pPr>
            <w:r w:rsidRPr="002572B7">
              <w:rPr>
                <w:rFonts w:ascii="Times New Roman" w:hAnsi="Times New Roman"/>
                <w:sz w:val="20"/>
              </w:rPr>
              <w:t>Årslønn, påløpt, prosent</w:t>
            </w:r>
          </w:p>
        </w:tc>
        <w:tc>
          <w:tcPr>
            <w:tcW w:w="368" w:type="pct"/>
          </w:tcPr>
          <w:p w14:paraId="0BE1F96B"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4,1</w:t>
            </w:r>
          </w:p>
        </w:tc>
        <w:tc>
          <w:tcPr>
            <w:tcW w:w="368" w:type="pct"/>
          </w:tcPr>
          <w:p w14:paraId="772A3C82"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5,4</w:t>
            </w:r>
          </w:p>
        </w:tc>
        <w:tc>
          <w:tcPr>
            <w:tcW w:w="367" w:type="pct"/>
          </w:tcPr>
          <w:p w14:paraId="2A6041BC"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6,3</w:t>
            </w:r>
          </w:p>
        </w:tc>
        <w:tc>
          <w:tcPr>
            <w:tcW w:w="367" w:type="pct"/>
          </w:tcPr>
          <w:p w14:paraId="49C6A289"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 xml:space="preserve">  4,2</w:t>
            </w:r>
          </w:p>
        </w:tc>
        <w:tc>
          <w:tcPr>
            <w:tcW w:w="367" w:type="pct"/>
          </w:tcPr>
          <w:p w14:paraId="6456486B"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3,7</w:t>
            </w:r>
          </w:p>
        </w:tc>
        <w:tc>
          <w:tcPr>
            <w:tcW w:w="367" w:type="pct"/>
          </w:tcPr>
          <w:p w14:paraId="5D252B3A"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4,2</w:t>
            </w:r>
          </w:p>
        </w:tc>
        <w:tc>
          <w:tcPr>
            <w:tcW w:w="367" w:type="pct"/>
          </w:tcPr>
          <w:p w14:paraId="75F841A9"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 xml:space="preserve"> 4,0</w:t>
            </w:r>
          </w:p>
        </w:tc>
        <w:tc>
          <w:tcPr>
            <w:tcW w:w="427" w:type="pct"/>
          </w:tcPr>
          <w:p w14:paraId="4FFBD852"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xml:space="preserve">  3,9       </w:t>
            </w:r>
          </w:p>
        </w:tc>
        <w:tc>
          <w:tcPr>
            <w:tcW w:w="427" w:type="pct"/>
          </w:tcPr>
          <w:p w14:paraId="0BA6993C"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3,1</w:t>
            </w:r>
          </w:p>
        </w:tc>
        <w:tc>
          <w:tcPr>
            <w:tcW w:w="366" w:type="pct"/>
          </w:tcPr>
          <w:p w14:paraId="1151454D"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2,8</w:t>
            </w:r>
          </w:p>
        </w:tc>
      </w:tr>
      <w:tr w:rsidR="00435783" w:rsidRPr="002572B7" w14:paraId="1819511E" w14:textId="77777777" w:rsidTr="00083940">
        <w:trPr>
          <w:trHeight w:val="430"/>
        </w:trPr>
        <w:tc>
          <w:tcPr>
            <w:tcW w:w="1209" w:type="pct"/>
          </w:tcPr>
          <w:p w14:paraId="222D0742" w14:textId="77777777" w:rsidR="00435783" w:rsidRPr="002572B7" w:rsidRDefault="00435783" w:rsidP="00083940">
            <w:pPr>
              <w:rPr>
                <w:rFonts w:ascii="Times New Roman" w:hAnsi="Times New Roman"/>
                <w:sz w:val="20"/>
              </w:rPr>
            </w:pPr>
            <w:r w:rsidRPr="002572B7">
              <w:rPr>
                <w:rFonts w:ascii="Times New Roman" w:hAnsi="Times New Roman"/>
                <w:sz w:val="20"/>
              </w:rPr>
              <w:t>Avvik i prosentpoeng</w:t>
            </w:r>
            <w:r w:rsidRPr="002572B7">
              <w:rPr>
                <w:rFonts w:ascii="Times New Roman" w:hAnsi="Times New Roman"/>
                <w:sz w:val="20"/>
                <w:vertAlign w:val="superscript"/>
              </w:rPr>
              <w:t>1</w:t>
            </w:r>
          </w:p>
        </w:tc>
        <w:tc>
          <w:tcPr>
            <w:tcW w:w="368" w:type="pct"/>
          </w:tcPr>
          <w:p w14:paraId="347C3855"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1,</w:t>
            </w:r>
            <w:r w:rsidRPr="002572B7">
              <w:rPr>
                <w:rFonts w:ascii="Times New Roman" w:hAnsi="Times New Roman"/>
                <w:sz w:val="20"/>
              </w:rPr>
              <w:t>6</w:t>
            </w:r>
          </w:p>
        </w:tc>
        <w:tc>
          <w:tcPr>
            <w:tcW w:w="368" w:type="pct"/>
          </w:tcPr>
          <w:p w14:paraId="1C89E80D"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367" w:type="pct"/>
          </w:tcPr>
          <w:p w14:paraId="71980606"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-0,4</w:t>
            </w:r>
          </w:p>
        </w:tc>
        <w:tc>
          <w:tcPr>
            <w:tcW w:w="367" w:type="pct"/>
          </w:tcPr>
          <w:p w14:paraId="702C0312"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0,7</w:t>
            </w:r>
          </w:p>
        </w:tc>
        <w:tc>
          <w:tcPr>
            <w:tcW w:w="367" w:type="pct"/>
          </w:tcPr>
          <w:p w14:paraId="637EC325"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-1,1</w:t>
            </w:r>
          </w:p>
        </w:tc>
        <w:tc>
          <w:tcPr>
            <w:tcW w:w="367" w:type="pct"/>
          </w:tcPr>
          <w:p w14:paraId="11115B27"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0,1</w:t>
            </w:r>
          </w:p>
        </w:tc>
        <w:tc>
          <w:tcPr>
            <w:tcW w:w="367" w:type="pct"/>
          </w:tcPr>
          <w:p w14:paraId="61E2B28B"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0,7</w:t>
            </w:r>
          </w:p>
        </w:tc>
        <w:tc>
          <w:tcPr>
            <w:tcW w:w="427" w:type="pct"/>
          </w:tcPr>
          <w:p w14:paraId="50E8745C"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xml:space="preserve"> 1,1     </w:t>
            </w:r>
          </w:p>
        </w:tc>
        <w:tc>
          <w:tcPr>
            <w:tcW w:w="427" w:type="pct"/>
          </w:tcPr>
          <w:p w14:paraId="00C4BC8D"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-0,1</w:t>
            </w:r>
          </w:p>
        </w:tc>
        <w:tc>
          <w:tcPr>
            <w:tcW w:w="366" w:type="pct"/>
          </w:tcPr>
          <w:p w14:paraId="16821982"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r>
      <w:tr w:rsidR="00435783" w:rsidRPr="002572B7" w14:paraId="345932D3" w14:textId="77777777" w:rsidTr="00083940">
        <w:trPr>
          <w:trHeight w:val="698"/>
        </w:trPr>
        <w:tc>
          <w:tcPr>
            <w:tcW w:w="1209" w:type="pct"/>
          </w:tcPr>
          <w:p w14:paraId="1E49B66B" w14:textId="77777777" w:rsidR="00435783" w:rsidRPr="002572B7" w:rsidRDefault="00435783" w:rsidP="00083940">
            <w:pPr>
              <w:rPr>
                <w:rFonts w:ascii="Times New Roman" w:hAnsi="Times New Roman"/>
                <w:sz w:val="20"/>
              </w:rPr>
            </w:pPr>
            <w:r w:rsidRPr="002572B7">
              <w:rPr>
                <w:rFonts w:ascii="Times New Roman" w:hAnsi="Times New Roman"/>
                <w:sz w:val="20"/>
              </w:rPr>
              <w:t>Anslag på bidrag til avvik i prosentpoeng. Endring i</w:t>
            </w:r>
            <w:r w:rsidRPr="002572B7">
              <w:rPr>
                <w:rFonts w:ascii="Times New Roman" w:hAnsi="Times New Roman"/>
                <w:sz w:val="20"/>
                <w:vertAlign w:val="superscript"/>
              </w:rPr>
              <w:t>2</w:t>
            </w:r>
            <w:r w:rsidRPr="002572B7">
              <w:rPr>
                <w:rFonts w:ascii="Times New Roman" w:hAnsi="Times New Roman"/>
                <w:sz w:val="20"/>
              </w:rPr>
              <w:t>:</w:t>
            </w:r>
          </w:p>
        </w:tc>
        <w:tc>
          <w:tcPr>
            <w:tcW w:w="368" w:type="pct"/>
          </w:tcPr>
          <w:p w14:paraId="0CE7DFC8" w14:textId="77777777" w:rsidR="00435783" w:rsidRPr="002572B7" w:rsidRDefault="00435783" w:rsidP="00083940">
            <w:pPr>
              <w:jc w:val="right"/>
              <w:rPr>
                <w:rFonts w:ascii="Times New Roman" w:hAnsi="Times New Roman"/>
                <w:sz w:val="20"/>
              </w:rPr>
            </w:pPr>
          </w:p>
        </w:tc>
        <w:tc>
          <w:tcPr>
            <w:tcW w:w="368" w:type="pct"/>
          </w:tcPr>
          <w:p w14:paraId="3680C0A1" w14:textId="77777777" w:rsidR="00435783" w:rsidRPr="002572B7" w:rsidRDefault="00435783" w:rsidP="00083940">
            <w:pPr>
              <w:jc w:val="right"/>
              <w:rPr>
                <w:rFonts w:ascii="Times New Roman" w:hAnsi="Times New Roman"/>
                <w:sz w:val="20"/>
              </w:rPr>
            </w:pPr>
          </w:p>
        </w:tc>
        <w:tc>
          <w:tcPr>
            <w:tcW w:w="367" w:type="pct"/>
          </w:tcPr>
          <w:p w14:paraId="046AAED4" w14:textId="77777777" w:rsidR="00435783" w:rsidRPr="002572B7" w:rsidRDefault="00435783" w:rsidP="00083940">
            <w:pPr>
              <w:jc w:val="right"/>
              <w:rPr>
                <w:rFonts w:ascii="Times New Roman" w:hAnsi="Times New Roman"/>
                <w:sz w:val="20"/>
              </w:rPr>
            </w:pPr>
          </w:p>
        </w:tc>
        <w:tc>
          <w:tcPr>
            <w:tcW w:w="367" w:type="pct"/>
          </w:tcPr>
          <w:p w14:paraId="0BC1BE01" w14:textId="77777777" w:rsidR="00435783" w:rsidRPr="002572B7" w:rsidRDefault="00435783" w:rsidP="00083940">
            <w:pPr>
              <w:jc w:val="right"/>
              <w:rPr>
                <w:rFonts w:ascii="Times New Roman" w:hAnsi="Times New Roman"/>
                <w:sz w:val="20"/>
              </w:rPr>
            </w:pPr>
          </w:p>
        </w:tc>
        <w:tc>
          <w:tcPr>
            <w:tcW w:w="367" w:type="pct"/>
          </w:tcPr>
          <w:p w14:paraId="22A2EEAD" w14:textId="77777777" w:rsidR="00435783" w:rsidRPr="002572B7" w:rsidRDefault="00435783" w:rsidP="00083940">
            <w:pPr>
              <w:jc w:val="right"/>
              <w:rPr>
                <w:rFonts w:ascii="Times New Roman" w:hAnsi="Times New Roman"/>
                <w:sz w:val="20"/>
              </w:rPr>
            </w:pPr>
          </w:p>
        </w:tc>
        <w:tc>
          <w:tcPr>
            <w:tcW w:w="367" w:type="pct"/>
          </w:tcPr>
          <w:p w14:paraId="5FAB332B" w14:textId="77777777" w:rsidR="00435783" w:rsidRPr="002572B7" w:rsidRDefault="00435783" w:rsidP="00083940">
            <w:pPr>
              <w:jc w:val="right"/>
              <w:rPr>
                <w:rFonts w:ascii="Times New Roman" w:hAnsi="Times New Roman"/>
                <w:sz w:val="20"/>
              </w:rPr>
            </w:pPr>
          </w:p>
        </w:tc>
        <w:tc>
          <w:tcPr>
            <w:tcW w:w="367" w:type="pct"/>
          </w:tcPr>
          <w:p w14:paraId="45D6EE09" w14:textId="77777777" w:rsidR="00435783" w:rsidRPr="002572B7" w:rsidRDefault="00435783" w:rsidP="00083940">
            <w:pPr>
              <w:jc w:val="right"/>
              <w:rPr>
                <w:rFonts w:ascii="Times New Roman" w:hAnsi="Times New Roman"/>
                <w:sz w:val="20"/>
              </w:rPr>
            </w:pPr>
          </w:p>
        </w:tc>
        <w:tc>
          <w:tcPr>
            <w:tcW w:w="427" w:type="pct"/>
          </w:tcPr>
          <w:p w14:paraId="61769AF2" w14:textId="77777777" w:rsidR="00435783" w:rsidRPr="002572B7" w:rsidRDefault="00435783" w:rsidP="00083940">
            <w:pPr>
              <w:jc w:val="right"/>
              <w:rPr>
                <w:rFonts w:ascii="Times New Roman" w:hAnsi="Times New Roman"/>
                <w:sz w:val="20"/>
              </w:rPr>
            </w:pPr>
          </w:p>
        </w:tc>
        <w:tc>
          <w:tcPr>
            <w:tcW w:w="427" w:type="pct"/>
          </w:tcPr>
          <w:p w14:paraId="1E23214A" w14:textId="77777777" w:rsidR="00435783" w:rsidRPr="002572B7" w:rsidRDefault="00435783" w:rsidP="00083940">
            <w:pPr>
              <w:jc w:val="right"/>
              <w:rPr>
                <w:rFonts w:ascii="Times New Roman" w:hAnsi="Times New Roman"/>
                <w:sz w:val="20"/>
              </w:rPr>
            </w:pPr>
          </w:p>
        </w:tc>
        <w:tc>
          <w:tcPr>
            <w:tcW w:w="366" w:type="pct"/>
          </w:tcPr>
          <w:p w14:paraId="44C0D286" w14:textId="77777777" w:rsidR="00435783" w:rsidRPr="002572B7" w:rsidRDefault="00435783" w:rsidP="00083940">
            <w:pPr>
              <w:jc w:val="right"/>
              <w:rPr>
                <w:rFonts w:ascii="Times New Roman" w:hAnsi="Times New Roman"/>
                <w:sz w:val="20"/>
              </w:rPr>
            </w:pPr>
          </w:p>
        </w:tc>
      </w:tr>
      <w:tr w:rsidR="00435783" w:rsidRPr="002572B7" w14:paraId="5E730967" w14:textId="77777777" w:rsidTr="00083940">
        <w:trPr>
          <w:trHeight w:val="375"/>
        </w:trPr>
        <w:tc>
          <w:tcPr>
            <w:tcW w:w="1209" w:type="pct"/>
          </w:tcPr>
          <w:p w14:paraId="5CFFA1D1" w14:textId="77777777" w:rsidR="00435783" w:rsidRPr="002572B7" w:rsidRDefault="00435783" w:rsidP="00083940">
            <w:pPr>
              <w:rPr>
                <w:rFonts w:ascii="Times New Roman" w:hAnsi="Times New Roman"/>
                <w:sz w:val="20"/>
              </w:rPr>
            </w:pPr>
            <w:r w:rsidRPr="002572B7">
              <w:rPr>
                <w:rFonts w:ascii="Times New Roman" w:hAnsi="Times New Roman"/>
                <w:sz w:val="20"/>
              </w:rPr>
              <w:t>- Antall virkedager</w:t>
            </w:r>
          </w:p>
        </w:tc>
        <w:tc>
          <w:tcPr>
            <w:tcW w:w="368" w:type="pct"/>
          </w:tcPr>
          <w:p w14:paraId="55EFAE9C"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,8</w:t>
            </w:r>
          </w:p>
        </w:tc>
        <w:tc>
          <w:tcPr>
            <w:tcW w:w="368" w:type="pct"/>
          </w:tcPr>
          <w:p w14:paraId="670A6EC9"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0</w:t>
            </w:r>
          </w:p>
        </w:tc>
        <w:tc>
          <w:tcPr>
            <w:tcW w:w="367" w:type="pct"/>
          </w:tcPr>
          <w:p w14:paraId="1649063D"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-0,7</w:t>
            </w:r>
          </w:p>
        </w:tc>
        <w:tc>
          <w:tcPr>
            <w:tcW w:w="367" w:type="pct"/>
          </w:tcPr>
          <w:p w14:paraId="0A81173F"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0,4</w:t>
            </w:r>
          </w:p>
        </w:tc>
        <w:tc>
          <w:tcPr>
            <w:tcW w:w="367" w:type="pct"/>
          </w:tcPr>
          <w:p w14:paraId="1565917F"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-0,4</w:t>
            </w:r>
          </w:p>
        </w:tc>
        <w:tc>
          <w:tcPr>
            <w:tcW w:w="367" w:type="pct"/>
          </w:tcPr>
          <w:p w14:paraId="748B8528"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0,0</w:t>
            </w:r>
          </w:p>
        </w:tc>
        <w:tc>
          <w:tcPr>
            <w:tcW w:w="367" w:type="pct"/>
          </w:tcPr>
          <w:p w14:paraId="27804F70"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4</w:t>
            </w:r>
          </w:p>
        </w:tc>
        <w:tc>
          <w:tcPr>
            <w:tcW w:w="427" w:type="pct"/>
          </w:tcPr>
          <w:p w14:paraId="00743191"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8</w:t>
            </w:r>
            <w:r w:rsidRPr="002572B7">
              <w:rPr>
                <w:rFonts w:ascii="Times New Roman" w:hAnsi="Times New Roman"/>
                <w:sz w:val="20"/>
              </w:rPr>
              <w:t xml:space="preserve">      </w:t>
            </w:r>
          </w:p>
        </w:tc>
        <w:tc>
          <w:tcPr>
            <w:tcW w:w="427" w:type="pct"/>
          </w:tcPr>
          <w:p w14:paraId="049E2BCC"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-0,4</w:t>
            </w:r>
          </w:p>
        </w:tc>
        <w:tc>
          <w:tcPr>
            <w:tcW w:w="366" w:type="pct"/>
          </w:tcPr>
          <w:p w14:paraId="4302D35A"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-0,4</w:t>
            </w:r>
          </w:p>
        </w:tc>
      </w:tr>
      <w:tr w:rsidR="00435783" w:rsidRPr="002572B7" w14:paraId="4AB5EC1F" w14:textId="77777777" w:rsidTr="00083940">
        <w:trPr>
          <w:trHeight w:val="315"/>
        </w:trPr>
        <w:tc>
          <w:tcPr>
            <w:tcW w:w="1209" w:type="pct"/>
          </w:tcPr>
          <w:p w14:paraId="7E3CAFF9" w14:textId="77777777" w:rsidR="00435783" w:rsidRPr="002572B7" w:rsidRDefault="00435783" w:rsidP="00083940">
            <w:pPr>
              <w:rPr>
                <w:rFonts w:ascii="Times New Roman" w:hAnsi="Times New Roman"/>
                <w:sz w:val="20"/>
              </w:rPr>
            </w:pPr>
            <w:r w:rsidRPr="002572B7">
              <w:rPr>
                <w:rFonts w:ascii="Times New Roman" w:hAnsi="Times New Roman"/>
                <w:sz w:val="20"/>
              </w:rPr>
              <w:t>- Sykefravær</w:t>
            </w:r>
          </w:p>
        </w:tc>
        <w:tc>
          <w:tcPr>
            <w:tcW w:w="368" w:type="pct"/>
          </w:tcPr>
          <w:p w14:paraId="7937D173"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2</w:t>
            </w:r>
          </w:p>
        </w:tc>
        <w:tc>
          <w:tcPr>
            <w:tcW w:w="368" w:type="pct"/>
          </w:tcPr>
          <w:p w14:paraId="6D6B1B7D"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0</w:t>
            </w:r>
          </w:p>
        </w:tc>
        <w:tc>
          <w:tcPr>
            <w:tcW w:w="367" w:type="pct"/>
          </w:tcPr>
          <w:p w14:paraId="410A8E36"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0</w:t>
            </w:r>
          </w:p>
        </w:tc>
        <w:tc>
          <w:tcPr>
            <w:tcW w:w="367" w:type="pct"/>
          </w:tcPr>
          <w:p w14:paraId="4CFE7493"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0,2</w:t>
            </w:r>
          </w:p>
        </w:tc>
        <w:tc>
          <w:tcPr>
            <w:tcW w:w="367" w:type="pct"/>
          </w:tcPr>
          <w:p w14:paraId="58CB05C4"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-0,2</w:t>
            </w:r>
          </w:p>
        </w:tc>
        <w:tc>
          <w:tcPr>
            <w:tcW w:w="367" w:type="pct"/>
          </w:tcPr>
          <w:p w14:paraId="7FA90C49"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w:t>
            </w:r>
            <w:r w:rsidRPr="002572B7">
              <w:rPr>
                <w:rFonts w:ascii="Times New Roman" w:hAnsi="Times New Roman"/>
                <w:sz w:val="20"/>
              </w:rPr>
              <w:t>0,1</w:t>
            </w:r>
          </w:p>
        </w:tc>
        <w:tc>
          <w:tcPr>
            <w:tcW w:w="367" w:type="pct"/>
          </w:tcPr>
          <w:p w14:paraId="134955CB"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1</w:t>
            </w:r>
          </w:p>
        </w:tc>
        <w:tc>
          <w:tcPr>
            <w:tcW w:w="427" w:type="pct"/>
          </w:tcPr>
          <w:p w14:paraId="7F6CF73A"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xml:space="preserve">0,0    </w:t>
            </w:r>
          </w:p>
        </w:tc>
        <w:tc>
          <w:tcPr>
            <w:tcW w:w="427" w:type="pct"/>
          </w:tcPr>
          <w:p w14:paraId="12556BE7"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 xml:space="preserve">     0,0</w:t>
            </w:r>
          </w:p>
        </w:tc>
        <w:tc>
          <w:tcPr>
            <w:tcW w:w="366" w:type="pct"/>
          </w:tcPr>
          <w:p w14:paraId="72192BE5"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r>
      <w:tr w:rsidR="00435783" w:rsidRPr="002572B7" w14:paraId="0D17DEAE" w14:textId="77777777" w:rsidTr="00083940">
        <w:trPr>
          <w:trHeight w:val="456"/>
        </w:trPr>
        <w:tc>
          <w:tcPr>
            <w:tcW w:w="1209" w:type="pct"/>
          </w:tcPr>
          <w:p w14:paraId="40304BE3" w14:textId="77777777" w:rsidR="00435783" w:rsidRPr="002572B7" w:rsidRDefault="00435783" w:rsidP="00083940">
            <w:pPr>
              <w:rPr>
                <w:rFonts w:ascii="Times New Roman" w:hAnsi="Times New Roman"/>
                <w:sz w:val="20"/>
              </w:rPr>
            </w:pPr>
            <w:r w:rsidRPr="002572B7">
              <w:rPr>
                <w:rFonts w:ascii="Times New Roman" w:hAnsi="Times New Roman"/>
                <w:sz w:val="20"/>
              </w:rPr>
              <w:t>- Overtid</w:t>
            </w:r>
          </w:p>
        </w:tc>
        <w:tc>
          <w:tcPr>
            <w:tcW w:w="368" w:type="pct"/>
          </w:tcPr>
          <w:p w14:paraId="17DC0927"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368" w:type="pct"/>
          </w:tcPr>
          <w:p w14:paraId="6F57CDCB"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367" w:type="pct"/>
          </w:tcPr>
          <w:p w14:paraId="167EE088"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0</w:t>
            </w:r>
          </w:p>
        </w:tc>
        <w:tc>
          <w:tcPr>
            <w:tcW w:w="367" w:type="pct"/>
          </w:tcPr>
          <w:p w14:paraId="1C787795"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0,0</w:t>
            </w:r>
          </w:p>
        </w:tc>
        <w:tc>
          <w:tcPr>
            <w:tcW w:w="367" w:type="pct"/>
          </w:tcPr>
          <w:p w14:paraId="54904F1E"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0,0</w:t>
            </w:r>
          </w:p>
        </w:tc>
        <w:tc>
          <w:tcPr>
            <w:tcW w:w="367" w:type="pct"/>
          </w:tcPr>
          <w:p w14:paraId="3F381062"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0,0</w:t>
            </w:r>
          </w:p>
        </w:tc>
        <w:tc>
          <w:tcPr>
            <w:tcW w:w="367" w:type="pct"/>
          </w:tcPr>
          <w:p w14:paraId="64D95B50"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0,0</w:t>
            </w:r>
          </w:p>
        </w:tc>
        <w:tc>
          <w:tcPr>
            <w:tcW w:w="427" w:type="pct"/>
          </w:tcPr>
          <w:p w14:paraId="0190F27E"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0,0</w:t>
            </w:r>
            <w:r w:rsidRPr="002572B7">
              <w:rPr>
                <w:rFonts w:ascii="Times New Roman" w:hAnsi="Times New Roman"/>
                <w:sz w:val="20"/>
              </w:rPr>
              <w:t xml:space="preserve">      </w:t>
            </w:r>
          </w:p>
        </w:tc>
        <w:tc>
          <w:tcPr>
            <w:tcW w:w="427" w:type="pct"/>
          </w:tcPr>
          <w:p w14:paraId="30B38ADD"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c>
          <w:tcPr>
            <w:tcW w:w="366" w:type="pct"/>
          </w:tcPr>
          <w:p w14:paraId="72E317E0"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r>
      <w:tr w:rsidR="00435783" w:rsidRPr="002572B7" w14:paraId="5CB7BA8D" w14:textId="77777777" w:rsidTr="00083940">
        <w:trPr>
          <w:trHeight w:val="431"/>
        </w:trPr>
        <w:tc>
          <w:tcPr>
            <w:tcW w:w="1209" w:type="pct"/>
          </w:tcPr>
          <w:p w14:paraId="67C68376" w14:textId="77777777" w:rsidR="00435783" w:rsidRPr="002572B7" w:rsidRDefault="00435783" w:rsidP="00083940">
            <w:pPr>
              <w:rPr>
                <w:rFonts w:ascii="Times New Roman" w:hAnsi="Times New Roman"/>
                <w:sz w:val="20"/>
              </w:rPr>
            </w:pPr>
            <w:r w:rsidRPr="002572B7">
              <w:rPr>
                <w:rFonts w:ascii="Times New Roman" w:hAnsi="Times New Roman"/>
                <w:sz w:val="20"/>
              </w:rPr>
              <w:t>- Naturallønn</w:t>
            </w:r>
          </w:p>
        </w:tc>
        <w:tc>
          <w:tcPr>
            <w:tcW w:w="368" w:type="pct"/>
          </w:tcPr>
          <w:p w14:paraId="45AE464B"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0,2</w:t>
            </w:r>
          </w:p>
        </w:tc>
        <w:tc>
          <w:tcPr>
            <w:tcW w:w="368" w:type="pct"/>
          </w:tcPr>
          <w:p w14:paraId="49CB91D3"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0</w:t>
            </w:r>
          </w:p>
        </w:tc>
        <w:tc>
          <w:tcPr>
            <w:tcW w:w="367" w:type="pct"/>
          </w:tcPr>
          <w:p w14:paraId="21A618AE"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1</w:t>
            </w:r>
          </w:p>
        </w:tc>
        <w:tc>
          <w:tcPr>
            <w:tcW w:w="367" w:type="pct"/>
          </w:tcPr>
          <w:p w14:paraId="7C0D9A8F"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367" w:type="pct"/>
          </w:tcPr>
          <w:p w14:paraId="30EF4780"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367" w:type="pct"/>
          </w:tcPr>
          <w:p w14:paraId="6696D489"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0,0</w:t>
            </w:r>
          </w:p>
        </w:tc>
        <w:tc>
          <w:tcPr>
            <w:tcW w:w="367" w:type="pct"/>
          </w:tcPr>
          <w:p w14:paraId="43648035"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-0,1</w:t>
            </w:r>
          </w:p>
        </w:tc>
        <w:tc>
          <w:tcPr>
            <w:tcW w:w="427" w:type="pct"/>
          </w:tcPr>
          <w:p w14:paraId="01975570"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 xml:space="preserve">0,0       </w:t>
            </w:r>
          </w:p>
        </w:tc>
        <w:tc>
          <w:tcPr>
            <w:tcW w:w="427" w:type="pct"/>
          </w:tcPr>
          <w:p w14:paraId="25B5578C"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c>
          <w:tcPr>
            <w:tcW w:w="366" w:type="pct"/>
          </w:tcPr>
          <w:p w14:paraId="38EC4FA2"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0,0</w:t>
            </w:r>
          </w:p>
        </w:tc>
      </w:tr>
      <w:tr w:rsidR="00435783" w:rsidRPr="002572B7" w14:paraId="5C73DFD1" w14:textId="77777777" w:rsidTr="00083940">
        <w:trPr>
          <w:trHeight w:val="424"/>
        </w:trPr>
        <w:tc>
          <w:tcPr>
            <w:tcW w:w="1209" w:type="pct"/>
            <w:tcBorders>
              <w:bottom w:val="single" w:sz="4" w:space="0" w:color="auto"/>
            </w:tcBorders>
          </w:tcPr>
          <w:p w14:paraId="0F7C9A54" w14:textId="12CDD0AC" w:rsidR="00435783" w:rsidRPr="002572B7" w:rsidRDefault="00435783" w:rsidP="00083940">
            <w:pPr>
              <w:rPr>
                <w:rFonts w:ascii="Times New Roman" w:hAnsi="Times New Roman"/>
                <w:sz w:val="20"/>
              </w:rPr>
            </w:pPr>
            <w:r w:rsidRPr="002572B7">
              <w:rPr>
                <w:rFonts w:ascii="Times New Roman" w:hAnsi="Times New Roman"/>
                <w:sz w:val="20"/>
              </w:rPr>
              <w:t xml:space="preserve">- Andre </w:t>
            </w:r>
            <w:r w:rsidR="0022390E" w:rsidRPr="002572B7">
              <w:rPr>
                <w:rFonts w:ascii="Times New Roman" w:hAnsi="Times New Roman"/>
                <w:sz w:val="20"/>
              </w:rPr>
              <w:t>arbeidskraft</w:t>
            </w:r>
            <w:r w:rsidR="00FA47A7">
              <w:rPr>
                <w:rFonts w:ascii="Times New Roman" w:hAnsi="Times New Roman"/>
                <w:sz w:val="20"/>
              </w:rPr>
              <w:t>-</w:t>
            </w:r>
            <w:r w:rsidR="0022390E" w:rsidRPr="002572B7">
              <w:rPr>
                <w:rFonts w:ascii="Times New Roman" w:hAnsi="Times New Roman"/>
                <w:sz w:val="20"/>
              </w:rPr>
              <w:t>kostnader</w:t>
            </w:r>
            <w:r w:rsidRPr="002572B7">
              <w:rPr>
                <w:rFonts w:ascii="Times New Roman" w:hAnsi="Times New Roman"/>
                <w:sz w:val="20"/>
              </w:rPr>
              <w:t xml:space="preserve"> (inkl. strukturendringer)</w:t>
            </w:r>
          </w:p>
        </w:tc>
        <w:tc>
          <w:tcPr>
            <w:tcW w:w="368" w:type="pct"/>
            <w:tcBorders>
              <w:bottom w:val="single" w:sz="4" w:space="0" w:color="auto"/>
            </w:tcBorders>
          </w:tcPr>
          <w:p w14:paraId="3A393998"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3</w:t>
            </w:r>
          </w:p>
        </w:tc>
        <w:tc>
          <w:tcPr>
            <w:tcW w:w="368" w:type="pct"/>
            <w:tcBorders>
              <w:bottom w:val="single" w:sz="4" w:space="0" w:color="auto"/>
            </w:tcBorders>
          </w:tcPr>
          <w:p w14:paraId="40635516"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2</w:t>
            </w:r>
          </w:p>
        </w:tc>
        <w:tc>
          <w:tcPr>
            <w:tcW w:w="367" w:type="pct"/>
            <w:tcBorders>
              <w:bottom w:val="single" w:sz="4" w:space="0" w:color="auto"/>
            </w:tcBorders>
          </w:tcPr>
          <w:p w14:paraId="3DC3F0CE"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0,2</w:t>
            </w:r>
          </w:p>
        </w:tc>
        <w:tc>
          <w:tcPr>
            <w:tcW w:w="367" w:type="pct"/>
            <w:tcBorders>
              <w:bottom w:val="single" w:sz="4" w:space="0" w:color="auto"/>
            </w:tcBorders>
          </w:tcPr>
          <w:p w14:paraId="20F9D113"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0,0</w:t>
            </w:r>
          </w:p>
        </w:tc>
        <w:tc>
          <w:tcPr>
            <w:tcW w:w="367" w:type="pct"/>
            <w:tcBorders>
              <w:bottom w:val="single" w:sz="4" w:space="0" w:color="auto"/>
            </w:tcBorders>
          </w:tcPr>
          <w:p w14:paraId="2AD68F42"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-0,4</w:t>
            </w:r>
          </w:p>
        </w:tc>
        <w:tc>
          <w:tcPr>
            <w:tcW w:w="367" w:type="pct"/>
            <w:tcBorders>
              <w:bottom w:val="single" w:sz="4" w:space="0" w:color="auto"/>
            </w:tcBorders>
          </w:tcPr>
          <w:p w14:paraId="0442AA27" w14:textId="77777777" w:rsidR="00435783" w:rsidRPr="002572B7" w:rsidRDefault="00435783" w:rsidP="00083940">
            <w:pPr>
              <w:jc w:val="right"/>
              <w:rPr>
                <w:rFonts w:ascii="Times New Roman" w:hAnsi="Times New Roman"/>
                <w:sz w:val="20"/>
              </w:rPr>
            </w:pPr>
            <w:r w:rsidRPr="002572B7">
              <w:rPr>
                <w:rFonts w:ascii="Times New Roman" w:hAnsi="Times New Roman"/>
                <w:sz w:val="20"/>
                <w:lang w:eastAsia="en-US"/>
              </w:rPr>
              <w:t>0,2</w:t>
            </w:r>
          </w:p>
        </w:tc>
        <w:tc>
          <w:tcPr>
            <w:tcW w:w="367" w:type="pct"/>
            <w:tcBorders>
              <w:bottom w:val="single" w:sz="4" w:space="0" w:color="auto"/>
            </w:tcBorders>
          </w:tcPr>
          <w:p w14:paraId="0C863F1C"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0,5</w:t>
            </w:r>
          </w:p>
        </w:tc>
        <w:tc>
          <w:tcPr>
            <w:tcW w:w="427" w:type="pct"/>
            <w:tcBorders>
              <w:bottom w:val="single" w:sz="4" w:space="0" w:color="auto"/>
            </w:tcBorders>
          </w:tcPr>
          <w:p w14:paraId="152FDDB5" w14:textId="77777777" w:rsidR="00435783" w:rsidRPr="002572B7" w:rsidRDefault="00435783" w:rsidP="00083940">
            <w:pPr>
              <w:jc w:val="right"/>
              <w:rPr>
                <w:rFonts w:ascii="Times New Roman" w:hAnsi="Times New Roman"/>
                <w:sz w:val="20"/>
              </w:rPr>
            </w:pPr>
            <w:r w:rsidRPr="002572B7">
              <w:rPr>
                <w:rFonts w:ascii="Times New Roman" w:hAnsi="Times New Roman"/>
                <w:sz w:val="20"/>
              </w:rPr>
              <w:t>0,</w:t>
            </w:r>
            <w:r w:rsidRPr="002572B7">
              <w:rPr>
                <w:rFonts w:ascii="Times New Roman" w:hAnsi="Times New Roman"/>
                <w:sz w:val="20"/>
                <w:lang w:eastAsia="en-US"/>
              </w:rPr>
              <w:t>3</w:t>
            </w:r>
            <w:r w:rsidRPr="002572B7">
              <w:rPr>
                <w:rFonts w:ascii="Times New Roman" w:hAnsi="Times New Roman"/>
                <w:sz w:val="20"/>
              </w:rPr>
              <w:t xml:space="preserve">       </w:t>
            </w:r>
          </w:p>
        </w:tc>
        <w:tc>
          <w:tcPr>
            <w:tcW w:w="427" w:type="pct"/>
            <w:tcBorders>
              <w:bottom w:val="single" w:sz="4" w:space="0" w:color="auto"/>
            </w:tcBorders>
          </w:tcPr>
          <w:p w14:paraId="685915A2"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0,3</w:t>
            </w:r>
          </w:p>
        </w:tc>
        <w:tc>
          <w:tcPr>
            <w:tcW w:w="366" w:type="pct"/>
            <w:tcBorders>
              <w:bottom w:val="single" w:sz="4" w:space="0" w:color="auto"/>
            </w:tcBorders>
          </w:tcPr>
          <w:p w14:paraId="3C9FE07D" w14:textId="77777777" w:rsidR="00435783" w:rsidRPr="002572B7" w:rsidRDefault="00435783" w:rsidP="00083940">
            <w:pPr>
              <w:jc w:val="right"/>
              <w:rPr>
                <w:rFonts w:ascii="Times New Roman" w:hAnsi="Times New Roman"/>
                <w:sz w:val="20"/>
              </w:rPr>
            </w:pPr>
            <w:r w:rsidRPr="00003C6F">
              <w:rPr>
                <w:rFonts w:ascii="Times New Roman" w:hAnsi="Times New Roman"/>
                <w:sz w:val="20"/>
              </w:rPr>
              <w:t>0,4</w:t>
            </w:r>
          </w:p>
        </w:tc>
      </w:tr>
    </w:tbl>
    <w:p w14:paraId="645E4EE8" w14:textId="77777777" w:rsidR="00435783" w:rsidRDefault="00435783" w:rsidP="009F0FBE">
      <w:pPr>
        <w:pStyle w:val="tabell-noter"/>
        <w:spacing w:before="0" w:after="0"/>
      </w:pPr>
      <w:r w:rsidRPr="0098079B">
        <w:t>* Foreløpige tall</w:t>
      </w:r>
    </w:p>
    <w:p w14:paraId="11060F66" w14:textId="77777777" w:rsidR="00435783" w:rsidRPr="0075640C" w:rsidRDefault="00435783" w:rsidP="008643D6">
      <w:pPr>
        <w:pStyle w:val="Nummerertliste"/>
        <w:numPr>
          <w:ilvl w:val="0"/>
          <w:numId w:val="48"/>
        </w:numPr>
        <w:tabs>
          <w:tab w:val="clear" w:pos="397"/>
          <w:tab w:val="num" w:pos="142"/>
        </w:tabs>
        <w:spacing w:after="0"/>
        <w:ind w:left="142" w:hanging="142"/>
        <w:rPr>
          <w:sz w:val="20"/>
        </w:rPr>
      </w:pPr>
      <w:r w:rsidRPr="0075640C">
        <w:rPr>
          <w:sz w:val="20"/>
        </w:rPr>
        <w:t>Positivt avvik innebærer at timelønnskostnadene øker mer enn påløpt årslønn.</w:t>
      </w:r>
    </w:p>
    <w:p w14:paraId="30896BDC" w14:textId="77777777" w:rsidR="00435783" w:rsidRPr="00080203" w:rsidRDefault="00435783" w:rsidP="008643D6">
      <w:pPr>
        <w:pStyle w:val="Nummerertliste"/>
        <w:numPr>
          <w:ilvl w:val="0"/>
          <w:numId w:val="48"/>
        </w:numPr>
        <w:tabs>
          <w:tab w:val="clear" w:pos="397"/>
          <w:tab w:val="num" w:pos="142"/>
        </w:tabs>
        <w:spacing w:after="0"/>
        <w:ind w:left="142" w:hanging="142"/>
        <w:rPr>
          <w:sz w:val="20"/>
        </w:rPr>
      </w:pPr>
      <w:r w:rsidRPr="00080203">
        <w:rPr>
          <w:sz w:val="20"/>
        </w:rPr>
        <w:t>Flere virkedager bidrar til lavere timelønnskostnader sammenliknet med årslønn. Økt overtid og naturallønn bidrar motsatt. Økt sykefravær bidrar normalt også til å øke timelønnen relativt til årslønn.</w:t>
      </w:r>
    </w:p>
    <w:p w14:paraId="22FBAC6B" w14:textId="77777777" w:rsidR="00435783" w:rsidRDefault="00435783" w:rsidP="009F0FBE">
      <w:pPr>
        <w:pStyle w:val="Kilde"/>
        <w:spacing w:before="120"/>
      </w:pPr>
      <w:r w:rsidRPr="00E47AAA">
        <w:t>Kilde</w:t>
      </w:r>
      <w:r>
        <w:t>r</w:t>
      </w:r>
      <w:r w:rsidRPr="00B303A1">
        <w:t>: Statistisk sentralbyrå og Beregningsutvalget</w:t>
      </w:r>
    </w:p>
    <w:p w14:paraId="2C124204" w14:textId="77777777" w:rsidR="00435783" w:rsidRPr="00B303A1" w:rsidRDefault="00435783" w:rsidP="00435783">
      <w:pPr>
        <w:pStyle w:val="avsnitt-under-undertittel"/>
      </w:pPr>
      <w:r>
        <w:t xml:space="preserve">Sammenheng mellom lønn per </w:t>
      </w:r>
      <w:r w:rsidRPr="00B303A1">
        <w:t>årsverk og årslønn</w:t>
      </w:r>
      <w:r>
        <w:t xml:space="preserve"> </w:t>
      </w:r>
    </w:p>
    <w:p w14:paraId="537B4F52" w14:textId="77777777" w:rsidR="00435783" w:rsidRDefault="00435783" w:rsidP="00435783">
      <w:r w:rsidRPr="00B303A1">
        <w:t xml:space="preserve">Tabell 2.2 gir en sammenligning av nivået på </w:t>
      </w:r>
      <w:r>
        <w:t xml:space="preserve">påløpt </w:t>
      </w:r>
      <w:r w:rsidRPr="00B303A1">
        <w:t xml:space="preserve">årslønn og lønn per årsverk </w:t>
      </w:r>
      <w:r>
        <w:t xml:space="preserve">(tidligere kalt lønn per normalårsverk) </w:t>
      </w:r>
      <w:r w:rsidRPr="00B303A1">
        <w:t xml:space="preserve">for industri, varehandel og offentlig forvaltning slik </w:t>
      </w:r>
      <w:r>
        <w:t>disse størrelsene</w:t>
      </w:r>
      <w:r w:rsidRPr="00B303A1">
        <w:t xml:space="preserve"> er beregnet i nasjonalregnskapet. Også lønnskostnader per årsverk er angitt. Tabell 2.3 viser den prosentvis veksten fra året før for de samme størrelsene.</w:t>
      </w:r>
      <w:r w:rsidRPr="0045255F">
        <w:t xml:space="preserve"> </w:t>
      </w:r>
    </w:p>
    <w:p w14:paraId="3C9EDBA6" w14:textId="77777777" w:rsidR="00435783" w:rsidRPr="0075640C" w:rsidRDefault="00435783" w:rsidP="00435783">
      <w:pPr>
        <w:rPr>
          <w:rFonts w:eastAsia="Times New Roman" w:cs="Times"/>
          <w:szCs w:val="24"/>
        </w:rPr>
      </w:pPr>
      <w:r>
        <w:t xml:space="preserve">Som omtalt ovenfor omfatter påløpt </w:t>
      </w:r>
      <w:r w:rsidRPr="00B066B7">
        <w:t>årslønn</w:t>
      </w:r>
      <w:r>
        <w:t xml:space="preserve"> i nasjonalregnskapet</w:t>
      </w:r>
      <w:r w:rsidRPr="006C1796">
        <w:t xml:space="preserve"> fastlønn inklusive etterbetalinger, feriepengetillegg, bonus og uregelmessige ti</w:t>
      </w:r>
      <w:r>
        <w:t>llegg knyttet til arbeidets art, mens n</w:t>
      </w:r>
      <w:r w:rsidRPr="006C1796">
        <w:t>aturallønn, overtidslønn og sluttvederlag</w:t>
      </w:r>
      <w:r>
        <w:t xml:space="preserve"> ikke er inkludert. </w:t>
      </w:r>
      <w:r w:rsidRPr="00B066B7">
        <w:t>Lønn per årsverk</w:t>
      </w:r>
      <w:r>
        <w:t xml:space="preserve"> omfatter alle lønnsutbetalinger til en arbeidstaker, også naturallønn, overtid og sluttvederlag knyttet til individuelle avtaler. Feriepenger føres til året de er påløpt.</w:t>
      </w:r>
      <w:r w:rsidRPr="0045255F">
        <w:t xml:space="preserve"> </w:t>
      </w:r>
      <w:r>
        <w:t xml:space="preserve">Lønnskostnadene inkluderer i tillegg til lønnen </w:t>
      </w:r>
      <w:r w:rsidRPr="00B303A1">
        <w:t xml:space="preserve">indirekte kostnader </w:t>
      </w:r>
      <w:r>
        <w:t xml:space="preserve">som </w:t>
      </w:r>
      <w:r w:rsidRPr="00B303A1">
        <w:t xml:space="preserve">arbeidsgiveravgift </w:t>
      </w:r>
      <w:r>
        <w:t xml:space="preserve">og pensjonskostnader (i tråd med generell regnskapsføring). Når det gjelder lønn og lønnskostnader, er det viktig å være klar over at </w:t>
      </w:r>
      <w:r>
        <w:rPr>
          <w:rFonts w:eastAsia="Times New Roman" w:cs="Times"/>
          <w:szCs w:val="24"/>
        </w:rPr>
        <w:t xml:space="preserve">virksomhetene i staten, helseforetakene og i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Flere virksomheter innenfor statsforvaltningen betaler ikke premie for sine ansatte til Statens pensjonskasse (SPK). For disse virksomhetene benyttes pensjonskostnader beregnet av SPK med utgangspunkt i karakteristika ved de ansatte og deres arbeidsforhold (alder, kjønn, ansiennitet, lønnsnivå mv). Frem til hovedrevisjonen av nasjonalregnskapet i 2014 ble underskuddet i SPK inkludert i pensjonskostnadene. </w:t>
      </w:r>
    </w:p>
    <w:p w14:paraId="355D477F" w14:textId="499CB2E3" w:rsidR="00435783" w:rsidRDefault="00435783" w:rsidP="00435783">
      <w:r>
        <w:t>L</w:t>
      </w:r>
      <w:r w:rsidRPr="00B303A1">
        <w:t xml:space="preserve">ønnskostnadene per årsverk i gjennomsnitt for alle grupper lå </w:t>
      </w:r>
      <w:r>
        <w:t xml:space="preserve">i overkant av </w:t>
      </w:r>
      <w:r w:rsidRPr="00B303A1">
        <w:t>2</w:t>
      </w:r>
      <w:r>
        <w:t>2</w:t>
      </w:r>
      <w:r w:rsidRPr="00B303A1">
        <w:t xml:space="preserve"> prosent over lønn</w:t>
      </w:r>
      <w:r>
        <w:t xml:space="preserve"> per årsverk</w:t>
      </w:r>
      <w:r w:rsidRPr="00B303A1">
        <w:t xml:space="preserve"> i årene 200</w:t>
      </w:r>
      <w:r>
        <w:t>6-2011</w:t>
      </w:r>
      <w:r w:rsidRPr="00B303A1">
        <w:t>, og</w:t>
      </w:r>
      <w:r>
        <w:t xml:space="preserve"> avstanden har</w:t>
      </w:r>
      <w:r w:rsidRPr="00B303A1">
        <w:t xml:space="preserve"> </w:t>
      </w:r>
      <w:r>
        <w:t xml:space="preserve">deretter </w:t>
      </w:r>
      <w:r w:rsidRPr="00B303A1">
        <w:t xml:space="preserve">økt </w:t>
      </w:r>
      <w:r>
        <w:t xml:space="preserve">til 23,8 </w:t>
      </w:r>
      <w:r w:rsidR="00553599">
        <w:t xml:space="preserve">prosent </w:t>
      </w:r>
      <w:r>
        <w:t>i 2015, jf. tabell 2.2</w:t>
      </w:r>
      <w:r w:rsidRPr="00B303A1">
        <w:t>.</w:t>
      </w:r>
    </w:p>
    <w:p w14:paraId="568CA4F5" w14:textId="77777777" w:rsidR="00435783" w:rsidRPr="00B303A1" w:rsidRDefault="00435783" w:rsidP="00435783">
      <w:r>
        <w:t>Tabellen viser ellers at l</w:t>
      </w:r>
      <w:r w:rsidRPr="002739A8">
        <w:t>ønn per</w:t>
      </w:r>
      <w:r>
        <w:t xml:space="preserve"> </w:t>
      </w:r>
      <w:r w:rsidRPr="002739A8">
        <w:t>årsverk er lavere enn årslønn i offentlig forvaltning</w:t>
      </w:r>
      <w:r>
        <w:t>. Dette skyldes at</w:t>
      </w:r>
      <w:r w:rsidRPr="002739A8">
        <w:t xml:space="preserve"> summen av overtidslønn og naturallønn ikke er tilstrekkelig til å dekke opp for tapet av lønn knyttet til sykefravær</w:t>
      </w:r>
      <w:r>
        <w:t xml:space="preserve"> (utover arbeidsgiverperioden)</w:t>
      </w:r>
      <w:r w:rsidRPr="002739A8">
        <w:t>. Det er særlig det lave nivået på natural</w:t>
      </w:r>
      <w:r>
        <w:t>l</w:t>
      </w:r>
      <w:r w:rsidRPr="002739A8">
        <w:t xml:space="preserve">ønn i forvaltning som </w:t>
      </w:r>
      <w:r>
        <w:t xml:space="preserve">gir dette </w:t>
      </w:r>
      <w:r w:rsidRPr="002739A8">
        <w:t>resultatet</w:t>
      </w:r>
      <w:r>
        <w:t xml:space="preserve">. I de øvrige næringene er lønn per årsverk høyere enn årslønn. Avviket er størst i finansierings- og forsikringsvirksomhet, der lønn per årsverk var 8,5 prosent høyere enn årslønnen i 2015, mens avviket er lavest i varehandel og overnattings- og serveringsvirksomhet med i overkant av 1 prosent. I gjennomsnitt for alle næringer var lønn per årsverk bortimot 2 prosent høyere enn årslønnen. </w:t>
      </w:r>
    </w:p>
    <w:p w14:paraId="6CA13254" w14:textId="48B0141E" w:rsidR="00435783" w:rsidRDefault="00435783" w:rsidP="00435783">
      <w:r>
        <w:t xml:space="preserve">I tabell 2.4 er lønnskostnadene per årsverk fordelt på lønn, arbeidsgiveravgift og pensjonskostnader mv. I gjennomsnitt utgjør lønnen i overkant av 81 prosent, arbeidsgiveravgiften vel 11 prosent og pensjonskostnader mv. resten. I markedsrettet virksomhet for Fastlands-Norge og industrien utgjør lønnen rundt 84 prosent og pensjonskostnadene mv. rundt 5 prosent, mens for offentlig forvaltning utgjør pensjonskostnader og arbeidsgiveravgift hver vel 11 prosent og lønnen 77-78 prosent av samlede </w:t>
      </w:r>
      <w:r w:rsidR="0022390E">
        <w:t>lønnskostnader</w:t>
      </w:r>
      <w:r>
        <w:t>.</w:t>
      </w:r>
    </w:p>
    <w:p w14:paraId="7F14ACDC" w14:textId="3C3F6A95" w:rsidR="00435783" w:rsidRDefault="00435783" w:rsidP="00435783">
      <w:r w:rsidRPr="00B303A1">
        <w:t>I figur 2.</w:t>
      </w:r>
      <w:r>
        <w:t>1</w:t>
      </w:r>
      <w:r w:rsidRPr="00B303A1">
        <w:t xml:space="preserve"> sammenlignes lønn per årsverk i offentlig forvaltning med tilsvarende i industrien. </w:t>
      </w:r>
      <w:r>
        <w:t xml:space="preserve">Det er forskjell i antall utførte timer bak årsverkene i ulike næringer. Derfor viser figuren også det relative forholdet mellom lønn </w:t>
      </w:r>
      <w:r w:rsidRPr="00B303A1">
        <w:t>i offentlig forvaltning</w:t>
      </w:r>
      <w:r>
        <w:t xml:space="preserve"> og i industrien når man regner per utførte timeverk. </w:t>
      </w:r>
      <w:r w:rsidRPr="00B303A1">
        <w:t>Det framgår at</w:t>
      </w:r>
      <w:r>
        <w:t xml:space="preserve"> </w:t>
      </w:r>
      <w:r w:rsidRPr="00B303A1">
        <w:t>lønn</w:t>
      </w:r>
      <w:r>
        <w:t xml:space="preserve"> per årsverk i offentlig forvaltning utgjorde om lag 88 prosent av lønn per årsverk i </w:t>
      </w:r>
      <w:r w:rsidRPr="00B303A1">
        <w:t>industrien</w:t>
      </w:r>
      <w:r>
        <w:t xml:space="preserve"> i årene 2006-2014, men økte til i overkant av 89 prosent i 2015. Til sammenligning utgjorde lønn per utførte timeverk i forvaltningen bortimot 97 prosent av tilsvarende timelønn i industrien i 2006. Etter å ha kommet opp i 98 </w:t>
      </w:r>
      <w:r w:rsidR="00553599">
        <w:t xml:space="preserve">prosent </w:t>
      </w:r>
      <w:r>
        <w:t xml:space="preserve">i årene 2007 og 2008 har forholdstallet stabilisert seg på rundt 97 </w:t>
      </w:r>
      <w:r w:rsidR="00553599">
        <w:t>prosent</w:t>
      </w:r>
      <w:r>
        <w:t xml:space="preserve">. </w:t>
      </w:r>
    </w:p>
    <w:p w14:paraId="573866F0" w14:textId="67E8AB8C" w:rsidR="00435783" w:rsidRDefault="00435783" w:rsidP="00435783">
      <w:r w:rsidRPr="00657DCF">
        <w:rPr>
          <w:rFonts w:ascii="Times New Roman" w:hAnsi="Times New Roman"/>
        </w:rPr>
        <w:t xml:space="preserve">En tilsvarende sammenligning av lønnskostnader per årsverk og per timeverk for offentlig forvaltning og industri er vist i figur 2.2. </w:t>
      </w:r>
      <w:r>
        <w:rPr>
          <w:rFonts w:ascii="Times New Roman" w:hAnsi="Times New Roman"/>
        </w:rPr>
        <w:t xml:space="preserve">Over den tiårsperioden som figuren viser, har </w:t>
      </w:r>
      <w:r w:rsidRPr="00657DCF">
        <w:rPr>
          <w:rFonts w:ascii="Times New Roman" w:hAnsi="Times New Roman"/>
        </w:rPr>
        <w:t xml:space="preserve">lønnskostnadene </w:t>
      </w:r>
      <w:r>
        <w:rPr>
          <w:rFonts w:ascii="Times New Roman" w:hAnsi="Times New Roman"/>
        </w:rPr>
        <w:t>per årsverk</w:t>
      </w:r>
      <w:r w:rsidRPr="00657DCF">
        <w:rPr>
          <w:rFonts w:ascii="Times New Roman" w:hAnsi="Times New Roman"/>
        </w:rPr>
        <w:t xml:space="preserve"> i forvaltningen nærmet seg industriens</w:t>
      </w:r>
      <w:r>
        <w:rPr>
          <w:rFonts w:ascii="Times New Roman" w:hAnsi="Times New Roman"/>
        </w:rPr>
        <w:t xml:space="preserve"> noe</w:t>
      </w:r>
      <w:r w:rsidRPr="00657DCF">
        <w:rPr>
          <w:rFonts w:ascii="Times New Roman" w:hAnsi="Times New Roman"/>
        </w:rPr>
        <w:t xml:space="preserve"> </w:t>
      </w:r>
      <w:r>
        <w:rPr>
          <w:rFonts w:ascii="Times New Roman" w:hAnsi="Times New Roman"/>
        </w:rPr>
        <w:t>fra å utgjøre vel 92 prosent av lønnskostnadene i industrien i 2006 til 99 prosent i 2015. Tabell 2</w:t>
      </w:r>
      <w:r w:rsidR="00553599">
        <w:rPr>
          <w:rFonts w:ascii="Times New Roman" w:hAnsi="Times New Roman"/>
        </w:rPr>
        <w:t>.</w:t>
      </w:r>
      <w:r>
        <w:rPr>
          <w:rFonts w:ascii="Times New Roman" w:hAnsi="Times New Roman"/>
        </w:rPr>
        <w:t xml:space="preserve">3 viser en relativt sterk vekst i lønnskostnadene per årsverk i offentlig forvaltning i 2015. Det kan i sin helhet </w:t>
      </w:r>
      <w:r>
        <w:t>henføres til kraftig vekst i pensjonskostnadene i helseforetakene på grunn av en betydelig reduksjon i anvendt diskonteringsrente fra 2014 til 2015.</w:t>
      </w:r>
    </w:p>
    <w:p w14:paraId="29D1D823" w14:textId="6409F665" w:rsidR="00435783" w:rsidRDefault="00435783" w:rsidP="00435783">
      <w:pPr>
        <w:rPr>
          <w:rFonts w:ascii="Times New Roman" w:hAnsi="Times New Roman"/>
        </w:rPr>
      </w:pPr>
      <w:r w:rsidRPr="00657DCF">
        <w:rPr>
          <w:rFonts w:ascii="Times New Roman" w:hAnsi="Times New Roman"/>
        </w:rPr>
        <w:t>Når det gjelder lønnskostnader per timeverk er disse høyere i offentlig forvaltning enn i industrien. Det relative forholdstallet økt</w:t>
      </w:r>
      <w:r>
        <w:rPr>
          <w:rFonts w:ascii="Times New Roman" w:hAnsi="Times New Roman"/>
        </w:rPr>
        <w:t xml:space="preserve">e over perioden som måles her, fra 1 prosent høyere i 2006 til 8 </w:t>
      </w:r>
      <w:r w:rsidR="00553599">
        <w:t>prosent</w:t>
      </w:r>
      <w:r>
        <w:rPr>
          <w:rFonts w:ascii="Times New Roman" w:hAnsi="Times New Roman"/>
        </w:rPr>
        <w:t xml:space="preserve"> høyere i 2015.</w:t>
      </w:r>
      <w:r w:rsidRPr="00657DCF">
        <w:rPr>
          <w:rFonts w:ascii="Times New Roman" w:hAnsi="Times New Roman"/>
        </w:rPr>
        <w:t xml:space="preserve"> </w:t>
      </w:r>
    </w:p>
    <w:p w14:paraId="725D6D1C" w14:textId="77777777" w:rsidR="00435783" w:rsidRPr="00657DCF" w:rsidRDefault="00435783" w:rsidP="00435783">
      <w:pPr>
        <w:pStyle w:val="tabell-tittel"/>
        <w:numPr>
          <w:ilvl w:val="0"/>
          <w:numId w:val="0"/>
        </w:numPr>
      </w:pPr>
      <w:r>
        <w:br w:type="column"/>
        <w:t xml:space="preserve">Tabell 2.2 </w:t>
      </w:r>
      <w:r w:rsidRPr="00657DCF">
        <w:t>Lønnsnivå</w:t>
      </w:r>
      <w:r>
        <w:t xml:space="preserve"> og lønnskostnader</w:t>
      </w:r>
      <w:r w:rsidRPr="00657DCF">
        <w:t xml:space="preserve"> per årsverk. 1000 kroner.</w:t>
      </w:r>
    </w:p>
    <w:tbl>
      <w:tblPr>
        <w:tblW w:w="9969" w:type="dxa"/>
        <w:tblInd w:w="-330" w:type="dxa"/>
        <w:tblLayout w:type="fixed"/>
        <w:tblLook w:val="00A0" w:firstRow="1" w:lastRow="0" w:firstColumn="1" w:lastColumn="0" w:noHBand="0" w:noVBand="0"/>
      </w:tblPr>
      <w:tblGrid>
        <w:gridCol w:w="2598"/>
        <w:gridCol w:w="709"/>
        <w:gridCol w:w="709"/>
        <w:gridCol w:w="709"/>
        <w:gridCol w:w="708"/>
        <w:gridCol w:w="709"/>
        <w:gridCol w:w="709"/>
        <w:gridCol w:w="709"/>
        <w:gridCol w:w="708"/>
        <w:gridCol w:w="851"/>
        <w:gridCol w:w="850"/>
      </w:tblGrid>
      <w:tr w:rsidR="00435783" w:rsidRPr="0090094E" w14:paraId="19E3720F" w14:textId="77777777" w:rsidTr="00AF6955">
        <w:trPr>
          <w:trHeight w:val="255"/>
        </w:trPr>
        <w:tc>
          <w:tcPr>
            <w:tcW w:w="2598" w:type="dxa"/>
            <w:tcBorders>
              <w:top w:val="single" w:sz="4" w:space="0" w:color="auto"/>
              <w:bottom w:val="single" w:sz="4" w:space="0" w:color="auto"/>
            </w:tcBorders>
            <w:noWrap/>
          </w:tcPr>
          <w:p w14:paraId="052FC66F" w14:textId="77777777" w:rsidR="00435783" w:rsidRPr="0090094E" w:rsidRDefault="00435783" w:rsidP="00083940">
            <w:pPr>
              <w:rPr>
                <w:rFonts w:ascii="Times New Roman" w:hAnsi="Times New Roman"/>
                <w:sz w:val="20"/>
              </w:rPr>
            </w:pPr>
            <w:r w:rsidRPr="0090094E">
              <w:rPr>
                <w:rFonts w:ascii="Times New Roman" w:hAnsi="Times New Roman"/>
                <w:sz w:val="20"/>
              </w:rPr>
              <w:t> </w:t>
            </w:r>
          </w:p>
        </w:tc>
        <w:tc>
          <w:tcPr>
            <w:tcW w:w="709" w:type="dxa"/>
            <w:tcBorders>
              <w:top w:val="single" w:sz="4" w:space="0" w:color="auto"/>
              <w:bottom w:val="single" w:sz="4" w:space="0" w:color="auto"/>
            </w:tcBorders>
            <w:noWrap/>
          </w:tcPr>
          <w:p w14:paraId="14DC3C29"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2006</w:t>
            </w:r>
          </w:p>
        </w:tc>
        <w:tc>
          <w:tcPr>
            <w:tcW w:w="709" w:type="dxa"/>
            <w:tcBorders>
              <w:top w:val="single" w:sz="4" w:space="0" w:color="auto"/>
              <w:bottom w:val="single" w:sz="4" w:space="0" w:color="auto"/>
            </w:tcBorders>
            <w:noWrap/>
          </w:tcPr>
          <w:p w14:paraId="5FFCAE56"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2007</w:t>
            </w:r>
          </w:p>
        </w:tc>
        <w:tc>
          <w:tcPr>
            <w:tcW w:w="709" w:type="dxa"/>
            <w:tcBorders>
              <w:top w:val="single" w:sz="4" w:space="0" w:color="auto"/>
              <w:bottom w:val="single" w:sz="4" w:space="0" w:color="auto"/>
            </w:tcBorders>
            <w:noWrap/>
          </w:tcPr>
          <w:p w14:paraId="7BB8F0FB"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2008</w:t>
            </w:r>
          </w:p>
        </w:tc>
        <w:tc>
          <w:tcPr>
            <w:tcW w:w="708" w:type="dxa"/>
            <w:tcBorders>
              <w:top w:val="single" w:sz="4" w:space="0" w:color="auto"/>
              <w:bottom w:val="single" w:sz="4" w:space="0" w:color="auto"/>
            </w:tcBorders>
            <w:noWrap/>
          </w:tcPr>
          <w:p w14:paraId="0101C1ED"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2009</w:t>
            </w:r>
          </w:p>
        </w:tc>
        <w:tc>
          <w:tcPr>
            <w:tcW w:w="709" w:type="dxa"/>
            <w:tcBorders>
              <w:top w:val="single" w:sz="4" w:space="0" w:color="auto"/>
              <w:bottom w:val="single" w:sz="4" w:space="0" w:color="auto"/>
            </w:tcBorders>
            <w:noWrap/>
          </w:tcPr>
          <w:p w14:paraId="3B795493"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2010</w:t>
            </w:r>
          </w:p>
        </w:tc>
        <w:tc>
          <w:tcPr>
            <w:tcW w:w="709" w:type="dxa"/>
            <w:tcBorders>
              <w:top w:val="single" w:sz="4" w:space="0" w:color="auto"/>
              <w:bottom w:val="single" w:sz="4" w:space="0" w:color="auto"/>
            </w:tcBorders>
            <w:noWrap/>
          </w:tcPr>
          <w:p w14:paraId="38AE5D13"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2011</w:t>
            </w:r>
          </w:p>
        </w:tc>
        <w:tc>
          <w:tcPr>
            <w:tcW w:w="709" w:type="dxa"/>
            <w:tcBorders>
              <w:top w:val="single" w:sz="4" w:space="0" w:color="auto"/>
              <w:bottom w:val="single" w:sz="4" w:space="0" w:color="auto"/>
            </w:tcBorders>
            <w:noWrap/>
          </w:tcPr>
          <w:p w14:paraId="143586C2"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2012</w:t>
            </w:r>
          </w:p>
        </w:tc>
        <w:tc>
          <w:tcPr>
            <w:tcW w:w="708" w:type="dxa"/>
            <w:tcBorders>
              <w:top w:val="single" w:sz="4" w:space="0" w:color="auto"/>
              <w:bottom w:val="single" w:sz="4" w:space="0" w:color="auto"/>
            </w:tcBorders>
            <w:noWrap/>
          </w:tcPr>
          <w:p w14:paraId="647F86AF"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2013</w:t>
            </w:r>
          </w:p>
        </w:tc>
        <w:tc>
          <w:tcPr>
            <w:tcW w:w="851" w:type="dxa"/>
            <w:tcBorders>
              <w:top w:val="single" w:sz="4" w:space="0" w:color="auto"/>
              <w:bottom w:val="single" w:sz="4" w:space="0" w:color="auto"/>
            </w:tcBorders>
            <w:noWrap/>
          </w:tcPr>
          <w:p w14:paraId="0B5EC8FC" w14:textId="77777777" w:rsidR="00435783" w:rsidRPr="0090094E" w:rsidRDefault="00435783" w:rsidP="00083940">
            <w:pPr>
              <w:jc w:val="right"/>
              <w:rPr>
                <w:rFonts w:ascii="Times New Roman" w:hAnsi="Times New Roman"/>
                <w:sz w:val="20"/>
              </w:rPr>
            </w:pPr>
            <w:r w:rsidRPr="0090094E">
              <w:rPr>
                <w:rFonts w:ascii="Times New Roman" w:hAnsi="Times New Roman"/>
                <w:bCs/>
                <w:sz w:val="20"/>
              </w:rPr>
              <w:t>2014</w:t>
            </w:r>
            <w:r w:rsidRPr="0090094E">
              <w:rPr>
                <w:rFonts w:ascii="Times New Roman" w:hAnsi="Times New Roman"/>
                <w:sz w:val="20"/>
              </w:rPr>
              <w:t>*</w:t>
            </w:r>
          </w:p>
        </w:tc>
        <w:tc>
          <w:tcPr>
            <w:tcW w:w="850" w:type="dxa"/>
            <w:tcBorders>
              <w:top w:val="single" w:sz="4" w:space="0" w:color="auto"/>
              <w:bottom w:val="single" w:sz="4" w:space="0" w:color="auto"/>
            </w:tcBorders>
          </w:tcPr>
          <w:p w14:paraId="4E51241E" w14:textId="77777777" w:rsidR="00435783" w:rsidRPr="0090094E" w:rsidRDefault="00435783" w:rsidP="00083940">
            <w:pPr>
              <w:jc w:val="right"/>
              <w:rPr>
                <w:rFonts w:ascii="Times New Roman" w:hAnsi="Times New Roman"/>
                <w:bCs/>
                <w:sz w:val="20"/>
              </w:rPr>
            </w:pPr>
            <w:r w:rsidRPr="0090094E">
              <w:rPr>
                <w:rFonts w:ascii="Times New Roman" w:hAnsi="Times New Roman"/>
                <w:bCs/>
                <w:sz w:val="20"/>
              </w:rPr>
              <w:t>2015</w:t>
            </w:r>
            <w:r>
              <w:rPr>
                <w:rFonts w:ascii="Times New Roman" w:hAnsi="Times New Roman"/>
                <w:bCs/>
                <w:sz w:val="20"/>
              </w:rPr>
              <w:t>*</w:t>
            </w:r>
          </w:p>
        </w:tc>
      </w:tr>
      <w:tr w:rsidR="00435783" w:rsidRPr="0090094E" w14:paraId="7B199B71" w14:textId="77777777" w:rsidTr="00AF6955">
        <w:trPr>
          <w:trHeight w:val="165"/>
        </w:trPr>
        <w:tc>
          <w:tcPr>
            <w:tcW w:w="2598" w:type="dxa"/>
            <w:tcBorders>
              <w:top w:val="single" w:sz="4" w:space="0" w:color="auto"/>
            </w:tcBorders>
            <w:noWrap/>
          </w:tcPr>
          <w:p w14:paraId="459B7726" w14:textId="77777777" w:rsidR="00435783" w:rsidRPr="0090094E" w:rsidRDefault="00435783" w:rsidP="00083940">
            <w:pPr>
              <w:rPr>
                <w:rFonts w:ascii="Times New Roman" w:hAnsi="Times New Roman"/>
                <w:i/>
                <w:iCs/>
                <w:sz w:val="20"/>
              </w:rPr>
            </w:pPr>
            <w:r w:rsidRPr="0090094E">
              <w:rPr>
                <w:rFonts w:ascii="Times New Roman" w:hAnsi="Times New Roman"/>
                <w:i/>
                <w:iCs/>
                <w:sz w:val="20"/>
              </w:rPr>
              <w:t>Totalt</w:t>
            </w:r>
          </w:p>
        </w:tc>
        <w:tc>
          <w:tcPr>
            <w:tcW w:w="709" w:type="dxa"/>
            <w:tcBorders>
              <w:top w:val="single" w:sz="4" w:space="0" w:color="auto"/>
            </w:tcBorders>
            <w:noWrap/>
          </w:tcPr>
          <w:p w14:paraId="7836D481" w14:textId="77777777" w:rsidR="00435783" w:rsidRPr="0090094E" w:rsidRDefault="00435783" w:rsidP="00083940">
            <w:pPr>
              <w:jc w:val="right"/>
              <w:rPr>
                <w:rFonts w:ascii="Times New Roman" w:hAnsi="Times New Roman"/>
                <w:sz w:val="20"/>
              </w:rPr>
            </w:pPr>
          </w:p>
        </w:tc>
        <w:tc>
          <w:tcPr>
            <w:tcW w:w="709" w:type="dxa"/>
            <w:tcBorders>
              <w:top w:val="single" w:sz="4" w:space="0" w:color="auto"/>
            </w:tcBorders>
            <w:noWrap/>
          </w:tcPr>
          <w:p w14:paraId="6A8341B0" w14:textId="77777777" w:rsidR="00435783" w:rsidRPr="0090094E" w:rsidRDefault="00435783" w:rsidP="00083940">
            <w:pPr>
              <w:jc w:val="right"/>
              <w:rPr>
                <w:rFonts w:ascii="Times New Roman" w:hAnsi="Times New Roman"/>
                <w:sz w:val="20"/>
              </w:rPr>
            </w:pPr>
          </w:p>
        </w:tc>
        <w:tc>
          <w:tcPr>
            <w:tcW w:w="709" w:type="dxa"/>
            <w:tcBorders>
              <w:top w:val="single" w:sz="4" w:space="0" w:color="auto"/>
            </w:tcBorders>
            <w:noWrap/>
          </w:tcPr>
          <w:p w14:paraId="487BDB46" w14:textId="77777777" w:rsidR="00435783" w:rsidRPr="0090094E" w:rsidRDefault="00435783" w:rsidP="00083940">
            <w:pPr>
              <w:jc w:val="right"/>
              <w:rPr>
                <w:rFonts w:ascii="Times New Roman" w:hAnsi="Times New Roman"/>
                <w:sz w:val="20"/>
              </w:rPr>
            </w:pPr>
          </w:p>
        </w:tc>
        <w:tc>
          <w:tcPr>
            <w:tcW w:w="708" w:type="dxa"/>
            <w:tcBorders>
              <w:top w:val="single" w:sz="4" w:space="0" w:color="auto"/>
            </w:tcBorders>
            <w:noWrap/>
          </w:tcPr>
          <w:p w14:paraId="5297DA34" w14:textId="77777777" w:rsidR="00435783" w:rsidRPr="0090094E" w:rsidRDefault="00435783" w:rsidP="00083940">
            <w:pPr>
              <w:jc w:val="right"/>
              <w:rPr>
                <w:rFonts w:ascii="Times New Roman" w:hAnsi="Times New Roman"/>
                <w:sz w:val="20"/>
              </w:rPr>
            </w:pPr>
          </w:p>
        </w:tc>
        <w:tc>
          <w:tcPr>
            <w:tcW w:w="709" w:type="dxa"/>
            <w:tcBorders>
              <w:top w:val="single" w:sz="4" w:space="0" w:color="auto"/>
            </w:tcBorders>
            <w:noWrap/>
          </w:tcPr>
          <w:p w14:paraId="269AEB90" w14:textId="77777777" w:rsidR="00435783" w:rsidRPr="0090094E" w:rsidRDefault="00435783" w:rsidP="00083940">
            <w:pPr>
              <w:jc w:val="right"/>
              <w:rPr>
                <w:rFonts w:ascii="Times New Roman" w:hAnsi="Times New Roman"/>
                <w:sz w:val="20"/>
              </w:rPr>
            </w:pPr>
          </w:p>
        </w:tc>
        <w:tc>
          <w:tcPr>
            <w:tcW w:w="709" w:type="dxa"/>
            <w:tcBorders>
              <w:top w:val="single" w:sz="4" w:space="0" w:color="auto"/>
            </w:tcBorders>
            <w:noWrap/>
          </w:tcPr>
          <w:p w14:paraId="204BB1A8" w14:textId="77777777" w:rsidR="00435783" w:rsidRPr="0090094E" w:rsidRDefault="00435783" w:rsidP="00083940">
            <w:pPr>
              <w:jc w:val="right"/>
              <w:rPr>
                <w:rFonts w:ascii="Times New Roman" w:hAnsi="Times New Roman"/>
                <w:sz w:val="20"/>
              </w:rPr>
            </w:pPr>
          </w:p>
        </w:tc>
        <w:tc>
          <w:tcPr>
            <w:tcW w:w="709" w:type="dxa"/>
            <w:tcBorders>
              <w:top w:val="single" w:sz="4" w:space="0" w:color="auto"/>
            </w:tcBorders>
            <w:noWrap/>
          </w:tcPr>
          <w:p w14:paraId="12EB324E" w14:textId="77777777" w:rsidR="00435783" w:rsidRPr="0090094E" w:rsidRDefault="00435783" w:rsidP="00083940">
            <w:pPr>
              <w:jc w:val="right"/>
              <w:rPr>
                <w:rFonts w:ascii="Times New Roman" w:hAnsi="Times New Roman"/>
                <w:sz w:val="20"/>
              </w:rPr>
            </w:pPr>
          </w:p>
        </w:tc>
        <w:tc>
          <w:tcPr>
            <w:tcW w:w="708" w:type="dxa"/>
            <w:tcBorders>
              <w:top w:val="single" w:sz="4" w:space="0" w:color="auto"/>
            </w:tcBorders>
            <w:noWrap/>
          </w:tcPr>
          <w:p w14:paraId="63F59D9F" w14:textId="77777777" w:rsidR="00435783" w:rsidRPr="0090094E" w:rsidRDefault="00435783" w:rsidP="00083940">
            <w:pPr>
              <w:jc w:val="right"/>
              <w:rPr>
                <w:rFonts w:ascii="Times New Roman" w:hAnsi="Times New Roman"/>
                <w:sz w:val="20"/>
              </w:rPr>
            </w:pPr>
          </w:p>
        </w:tc>
        <w:tc>
          <w:tcPr>
            <w:tcW w:w="851" w:type="dxa"/>
            <w:tcBorders>
              <w:top w:val="single" w:sz="4" w:space="0" w:color="auto"/>
            </w:tcBorders>
            <w:noWrap/>
          </w:tcPr>
          <w:p w14:paraId="60ACBAF2" w14:textId="77777777" w:rsidR="00435783" w:rsidRPr="0090094E" w:rsidRDefault="00435783" w:rsidP="00083940">
            <w:pPr>
              <w:jc w:val="right"/>
              <w:rPr>
                <w:rFonts w:ascii="Times New Roman" w:hAnsi="Times New Roman"/>
                <w:sz w:val="20"/>
              </w:rPr>
            </w:pPr>
          </w:p>
        </w:tc>
        <w:tc>
          <w:tcPr>
            <w:tcW w:w="850" w:type="dxa"/>
            <w:tcBorders>
              <w:top w:val="single" w:sz="4" w:space="0" w:color="auto"/>
            </w:tcBorders>
          </w:tcPr>
          <w:p w14:paraId="5D8CBC1D" w14:textId="77777777" w:rsidR="00435783" w:rsidRPr="0090094E" w:rsidRDefault="00435783" w:rsidP="00083940">
            <w:pPr>
              <w:jc w:val="right"/>
              <w:rPr>
                <w:rFonts w:ascii="Times New Roman" w:hAnsi="Times New Roman"/>
                <w:sz w:val="20"/>
              </w:rPr>
            </w:pPr>
          </w:p>
        </w:tc>
      </w:tr>
      <w:tr w:rsidR="00435783" w:rsidRPr="0090094E" w14:paraId="6D72C975" w14:textId="77777777" w:rsidTr="00AF6955">
        <w:trPr>
          <w:trHeight w:val="255"/>
        </w:trPr>
        <w:tc>
          <w:tcPr>
            <w:tcW w:w="2598" w:type="dxa"/>
            <w:noWrap/>
          </w:tcPr>
          <w:p w14:paraId="206D485F"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1B7E23FB" w14:textId="77777777" w:rsidR="00435783" w:rsidRPr="0090094E" w:rsidRDefault="00435783" w:rsidP="00083940">
            <w:pPr>
              <w:jc w:val="right"/>
              <w:rPr>
                <w:rFonts w:ascii="Times New Roman" w:hAnsi="Times New Roman"/>
                <w:sz w:val="20"/>
              </w:rPr>
            </w:pPr>
            <w:r>
              <w:rPr>
                <w:rFonts w:ascii="Times New Roman" w:hAnsi="Times New Roman"/>
                <w:sz w:val="20"/>
              </w:rPr>
              <w:t>359,7</w:t>
            </w:r>
          </w:p>
        </w:tc>
        <w:tc>
          <w:tcPr>
            <w:tcW w:w="709" w:type="dxa"/>
            <w:noWrap/>
          </w:tcPr>
          <w:p w14:paraId="513701E4" w14:textId="77777777" w:rsidR="00435783" w:rsidRPr="0090094E" w:rsidRDefault="00435783" w:rsidP="00083940">
            <w:pPr>
              <w:jc w:val="right"/>
              <w:rPr>
                <w:rFonts w:ascii="Times New Roman" w:hAnsi="Times New Roman"/>
                <w:sz w:val="20"/>
              </w:rPr>
            </w:pPr>
            <w:r>
              <w:rPr>
                <w:rFonts w:ascii="Times New Roman" w:hAnsi="Times New Roman"/>
                <w:sz w:val="20"/>
              </w:rPr>
              <w:t>379,1</w:t>
            </w:r>
          </w:p>
        </w:tc>
        <w:tc>
          <w:tcPr>
            <w:tcW w:w="709" w:type="dxa"/>
            <w:noWrap/>
          </w:tcPr>
          <w:p w14:paraId="46505A0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403,</w:t>
            </w:r>
            <w:r>
              <w:rPr>
                <w:rFonts w:ascii="Times New Roman" w:hAnsi="Times New Roman"/>
                <w:sz w:val="20"/>
              </w:rPr>
              <w:t>2</w:t>
            </w:r>
          </w:p>
        </w:tc>
        <w:tc>
          <w:tcPr>
            <w:tcW w:w="708" w:type="dxa"/>
            <w:noWrap/>
          </w:tcPr>
          <w:p w14:paraId="139A7BF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420,2</w:t>
            </w:r>
          </w:p>
        </w:tc>
        <w:tc>
          <w:tcPr>
            <w:tcW w:w="709" w:type="dxa"/>
            <w:noWrap/>
          </w:tcPr>
          <w:p w14:paraId="28934A4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435,7</w:t>
            </w:r>
          </w:p>
        </w:tc>
        <w:tc>
          <w:tcPr>
            <w:tcW w:w="709" w:type="dxa"/>
            <w:noWrap/>
          </w:tcPr>
          <w:p w14:paraId="3595C74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453,9</w:t>
            </w:r>
          </w:p>
        </w:tc>
        <w:tc>
          <w:tcPr>
            <w:tcW w:w="709" w:type="dxa"/>
            <w:noWrap/>
          </w:tcPr>
          <w:p w14:paraId="4E0A08A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472</w:t>
            </w:r>
            <w:r>
              <w:rPr>
                <w:rFonts w:ascii="Times New Roman" w:hAnsi="Times New Roman"/>
                <w:sz w:val="20"/>
              </w:rPr>
              <w:t>,0</w:t>
            </w:r>
          </w:p>
        </w:tc>
        <w:tc>
          <w:tcPr>
            <w:tcW w:w="708" w:type="dxa"/>
            <w:noWrap/>
          </w:tcPr>
          <w:p w14:paraId="71FB4BD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490,6</w:t>
            </w:r>
          </w:p>
        </w:tc>
        <w:tc>
          <w:tcPr>
            <w:tcW w:w="851" w:type="dxa"/>
            <w:noWrap/>
          </w:tcPr>
          <w:p w14:paraId="5099F23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505,6</w:t>
            </w:r>
          </w:p>
        </w:tc>
        <w:tc>
          <w:tcPr>
            <w:tcW w:w="850" w:type="dxa"/>
          </w:tcPr>
          <w:p w14:paraId="3CED0F5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519,7</w:t>
            </w:r>
          </w:p>
        </w:tc>
      </w:tr>
      <w:tr w:rsidR="00435783" w:rsidRPr="0090094E" w14:paraId="3FFA5F56" w14:textId="77777777" w:rsidTr="00AF6955">
        <w:trPr>
          <w:trHeight w:val="255"/>
        </w:trPr>
        <w:tc>
          <w:tcPr>
            <w:tcW w:w="2598" w:type="dxa"/>
            <w:noWrap/>
          </w:tcPr>
          <w:p w14:paraId="67A77E92"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1FAF84A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370,3</w:t>
            </w:r>
          </w:p>
        </w:tc>
        <w:tc>
          <w:tcPr>
            <w:tcW w:w="709" w:type="dxa"/>
            <w:noWrap/>
          </w:tcPr>
          <w:p w14:paraId="2B7FC2F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389</w:t>
            </w:r>
            <w:r>
              <w:rPr>
                <w:rFonts w:ascii="Times New Roman" w:hAnsi="Times New Roman"/>
                <w:sz w:val="20"/>
              </w:rPr>
              <w:t>,0</w:t>
            </w:r>
          </w:p>
        </w:tc>
        <w:tc>
          <w:tcPr>
            <w:tcW w:w="709" w:type="dxa"/>
            <w:noWrap/>
          </w:tcPr>
          <w:p w14:paraId="5F66891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410,4</w:t>
            </w:r>
          </w:p>
        </w:tc>
        <w:tc>
          <w:tcPr>
            <w:tcW w:w="708" w:type="dxa"/>
            <w:noWrap/>
          </w:tcPr>
          <w:p w14:paraId="7BA5322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425,3</w:t>
            </w:r>
          </w:p>
        </w:tc>
        <w:tc>
          <w:tcPr>
            <w:tcW w:w="709" w:type="dxa"/>
            <w:noWrap/>
          </w:tcPr>
          <w:p w14:paraId="0B811DD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442,3</w:t>
            </w:r>
          </w:p>
        </w:tc>
        <w:tc>
          <w:tcPr>
            <w:tcW w:w="709" w:type="dxa"/>
            <w:noWrap/>
          </w:tcPr>
          <w:p w14:paraId="736292B3"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461,4</w:t>
            </w:r>
          </w:p>
        </w:tc>
        <w:tc>
          <w:tcPr>
            <w:tcW w:w="709" w:type="dxa"/>
            <w:noWrap/>
          </w:tcPr>
          <w:p w14:paraId="27A2D5D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480,8</w:t>
            </w:r>
          </w:p>
        </w:tc>
        <w:tc>
          <w:tcPr>
            <w:tcW w:w="708" w:type="dxa"/>
            <w:noWrap/>
          </w:tcPr>
          <w:p w14:paraId="2CF15EE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500,6</w:t>
            </w:r>
          </w:p>
        </w:tc>
        <w:tc>
          <w:tcPr>
            <w:tcW w:w="851" w:type="dxa"/>
            <w:noWrap/>
          </w:tcPr>
          <w:p w14:paraId="42D2DC0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515,1</w:t>
            </w:r>
          </w:p>
        </w:tc>
        <w:tc>
          <w:tcPr>
            <w:tcW w:w="850" w:type="dxa"/>
          </w:tcPr>
          <w:p w14:paraId="2E4FA1A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528,2</w:t>
            </w:r>
          </w:p>
        </w:tc>
      </w:tr>
      <w:tr w:rsidR="00435783" w:rsidRPr="0090094E" w14:paraId="44CEAA34" w14:textId="77777777" w:rsidTr="00AF6955">
        <w:trPr>
          <w:trHeight w:val="255"/>
        </w:trPr>
        <w:tc>
          <w:tcPr>
            <w:tcW w:w="2598" w:type="dxa"/>
            <w:noWrap/>
          </w:tcPr>
          <w:p w14:paraId="032838E4"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391B43B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452,6</w:t>
            </w:r>
          </w:p>
        </w:tc>
        <w:tc>
          <w:tcPr>
            <w:tcW w:w="709" w:type="dxa"/>
            <w:noWrap/>
          </w:tcPr>
          <w:p w14:paraId="6601A8D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476,7</w:t>
            </w:r>
          </w:p>
        </w:tc>
        <w:tc>
          <w:tcPr>
            <w:tcW w:w="709" w:type="dxa"/>
            <w:noWrap/>
          </w:tcPr>
          <w:p w14:paraId="68B7E78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503,8</w:t>
            </w:r>
          </w:p>
        </w:tc>
        <w:tc>
          <w:tcPr>
            <w:tcW w:w="708" w:type="dxa"/>
            <w:noWrap/>
          </w:tcPr>
          <w:p w14:paraId="723AC7B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521,3</w:t>
            </w:r>
          </w:p>
        </w:tc>
        <w:tc>
          <w:tcPr>
            <w:tcW w:w="709" w:type="dxa"/>
            <w:noWrap/>
          </w:tcPr>
          <w:p w14:paraId="540C99D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540,1</w:t>
            </w:r>
          </w:p>
        </w:tc>
        <w:tc>
          <w:tcPr>
            <w:tcW w:w="709" w:type="dxa"/>
            <w:noWrap/>
          </w:tcPr>
          <w:p w14:paraId="027779C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564,5</w:t>
            </w:r>
          </w:p>
        </w:tc>
        <w:tc>
          <w:tcPr>
            <w:tcW w:w="709" w:type="dxa"/>
            <w:noWrap/>
          </w:tcPr>
          <w:p w14:paraId="3C8837A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591,2</w:t>
            </w:r>
          </w:p>
        </w:tc>
        <w:tc>
          <w:tcPr>
            <w:tcW w:w="708" w:type="dxa"/>
            <w:noWrap/>
          </w:tcPr>
          <w:p w14:paraId="50CC433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616,7</w:t>
            </w:r>
          </w:p>
        </w:tc>
        <w:tc>
          <w:tcPr>
            <w:tcW w:w="851" w:type="dxa"/>
            <w:noWrap/>
          </w:tcPr>
          <w:p w14:paraId="473B3FE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636</w:t>
            </w:r>
            <w:r>
              <w:rPr>
                <w:rFonts w:ascii="Times New Roman" w:hAnsi="Times New Roman"/>
                <w:sz w:val="20"/>
              </w:rPr>
              <w:t>,0</w:t>
            </w:r>
          </w:p>
        </w:tc>
        <w:tc>
          <w:tcPr>
            <w:tcW w:w="850" w:type="dxa"/>
          </w:tcPr>
          <w:p w14:paraId="470FD0E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654,1</w:t>
            </w:r>
          </w:p>
        </w:tc>
      </w:tr>
      <w:tr w:rsidR="00435783" w:rsidRPr="0090094E" w14:paraId="29DDF4CD" w14:textId="77777777" w:rsidTr="00AF6955">
        <w:trPr>
          <w:trHeight w:val="255"/>
        </w:trPr>
        <w:tc>
          <w:tcPr>
            <w:tcW w:w="2598" w:type="dxa"/>
            <w:noWrap/>
          </w:tcPr>
          <w:p w14:paraId="476456C5" w14:textId="77777777" w:rsidR="00435783" w:rsidRPr="0090094E" w:rsidRDefault="00435783" w:rsidP="00083940">
            <w:pPr>
              <w:rPr>
                <w:rFonts w:ascii="Times New Roman" w:hAnsi="Times New Roman"/>
                <w:i/>
                <w:iCs/>
                <w:sz w:val="20"/>
              </w:rPr>
            </w:pPr>
            <w:r w:rsidRPr="0090094E">
              <w:rPr>
                <w:rFonts w:ascii="Times New Roman" w:hAnsi="Times New Roman"/>
                <w:i/>
                <w:iCs/>
                <w:sz w:val="20"/>
              </w:rPr>
              <w:t>Industri</w:t>
            </w:r>
          </w:p>
        </w:tc>
        <w:tc>
          <w:tcPr>
            <w:tcW w:w="709" w:type="dxa"/>
            <w:noWrap/>
          </w:tcPr>
          <w:p w14:paraId="6F61A126" w14:textId="77777777" w:rsidR="00435783" w:rsidRPr="0090094E" w:rsidRDefault="00435783" w:rsidP="00083940">
            <w:pPr>
              <w:jc w:val="right"/>
              <w:rPr>
                <w:rFonts w:ascii="Times New Roman" w:hAnsi="Times New Roman"/>
                <w:sz w:val="20"/>
              </w:rPr>
            </w:pPr>
          </w:p>
        </w:tc>
        <w:tc>
          <w:tcPr>
            <w:tcW w:w="709" w:type="dxa"/>
            <w:noWrap/>
          </w:tcPr>
          <w:p w14:paraId="0F7029FD" w14:textId="77777777" w:rsidR="00435783" w:rsidRPr="0090094E" w:rsidRDefault="00435783" w:rsidP="00083940">
            <w:pPr>
              <w:jc w:val="right"/>
              <w:rPr>
                <w:rFonts w:ascii="Times New Roman" w:hAnsi="Times New Roman"/>
                <w:sz w:val="20"/>
              </w:rPr>
            </w:pPr>
          </w:p>
        </w:tc>
        <w:tc>
          <w:tcPr>
            <w:tcW w:w="709" w:type="dxa"/>
            <w:noWrap/>
          </w:tcPr>
          <w:p w14:paraId="5D079A10" w14:textId="77777777" w:rsidR="00435783" w:rsidRPr="0090094E" w:rsidRDefault="00435783" w:rsidP="00083940">
            <w:pPr>
              <w:jc w:val="right"/>
              <w:rPr>
                <w:rFonts w:ascii="Times New Roman" w:hAnsi="Times New Roman"/>
                <w:sz w:val="20"/>
              </w:rPr>
            </w:pPr>
          </w:p>
        </w:tc>
        <w:tc>
          <w:tcPr>
            <w:tcW w:w="708" w:type="dxa"/>
            <w:noWrap/>
          </w:tcPr>
          <w:p w14:paraId="07AE38C6" w14:textId="77777777" w:rsidR="00435783" w:rsidRPr="0090094E" w:rsidRDefault="00435783" w:rsidP="00083940">
            <w:pPr>
              <w:jc w:val="right"/>
              <w:rPr>
                <w:rFonts w:ascii="Times New Roman" w:hAnsi="Times New Roman"/>
                <w:sz w:val="20"/>
              </w:rPr>
            </w:pPr>
          </w:p>
        </w:tc>
        <w:tc>
          <w:tcPr>
            <w:tcW w:w="709" w:type="dxa"/>
            <w:noWrap/>
          </w:tcPr>
          <w:p w14:paraId="41C4B90E" w14:textId="77777777" w:rsidR="00435783" w:rsidRPr="0090094E" w:rsidRDefault="00435783" w:rsidP="00083940">
            <w:pPr>
              <w:jc w:val="right"/>
              <w:rPr>
                <w:rFonts w:ascii="Times New Roman" w:hAnsi="Times New Roman"/>
                <w:sz w:val="20"/>
              </w:rPr>
            </w:pPr>
          </w:p>
        </w:tc>
        <w:tc>
          <w:tcPr>
            <w:tcW w:w="709" w:type="dxa"/>
            <w:noWrap/>
          </w:tcPr>
          <w:p w14:paraId="32FC1F9C" w14:textId="77777777" w:rsidR="00435783" w:rsidRPr="0090094E" w:rsidRDefault="00435783" w:rsidP="00083940">
            <w:pPr>
              <w:jc w:val="right"/>
              <w:rPr>
                <w:rFonts w:ascii="Times New Roman" w:hAnsi="Times New Roman"/>
                <w:sz w:val="20"/>
              </w:rPr>
            </w:pPr>
          </w:p>
        </w:tc>
        <w:tc>
          <w:tcPr>
            <w:tcW w:w="709" w:type="dxa"/>
            <w:noWrap/>
          </w:tcPr>
          <w:p w14:paraId="0D556F21" w14:textId="77777777" w:rsidR="00435783" w:rsidRPr="0090094E" w:rsidRDefault="00435783" w:rsidP="00083940">
            <w:pPr>
              <w:jc w:val="right"/>
              <w:rPr>
                <w:rFonts w:ascii="Times New Roman" w:hAnsi="Times New Roman"/>
                <w:sz w:val="20"/>
              </w:rPr>
            </w:pPr>
          </w:p>
        </w:tc>
        <w:tc>
          <w:tcPr>
            <w:tcW w:w="708" w:type="dxa"/>
            <w:noWrap/>
          </w:tcPr>
          <w:p w14:paraId="2194F518" w14:textId="77777777" w:rsidR="00435783" w:rsidRPr="0090094E" w:rsidRDefault="00435783" w:rsidP="00083940">
            <w:pPr>
              <w:jc w:val="right"/>
              <w:rPr>
                <w:rFonts w:ascii="Times New Roman" w:hAnsi="Times New Roman"/>
                <w:sz w:val="20"/>
              </w:rPr>
            </w:pPr>
          </w:p>
        </w:tc>
        <w:tc>
          <w:tcPr>
            <w:tcW w:w="851" w:type="dxa"/>
            <w:noWrap/>
          </w:tcPr>
          <w:p w14:paraId="6A8B64B8" w14:textId="77777777" w:rsidR="00435783" w:rsidRPr="0090094E" w:rsidRDefault="00435783" w:rsidP="00083940">
            <w:pPr>
              <w:jc w:val="right"/>
              <w:rPr>
                <w:rFonts w:ascii="Times New Roman" w:hAnsi="Times New Roman"/>
                <w:sz w:val="20"/>
              </w:rPr>
            </w:pPr>
          </w:p>
        </w:tc>
        <w:tc>
          <w:tcPr>
            <w:tcW w:w="850" w:type="dxa"/>
          </w:tcPr>
          <w:p w14:paraId="00A3E03B" w14:textId="77777777" w:rsidR="00435783" w:rsidRPr="0090094E" w:rsidRDefault="00435783" w:rsidP="00083940">
            <w:pPr>
              <w:jc w:val="right"/>
              <w:rPr>
                <w:rFonts w:ascii="Times New Roman" w:hAnsi="Times New Roman"/>
                <w:sz w:val="20"/>
              </w:rPr>
            </w:pPr>
          </w:p>
        </w:tc>
      </w:tr>
      <w:tr w:rsidR="00435783" w:rsidRPr="0090094E" w14:paraId="50FCB234" w14:textId="77777777" w:rsidTr="00AF6955">
        <w:trPr>
          <w:trHeight w:val="255"/>
        </w:trPr>
        <w:tc>
          <w:tcPr>
            <w:tcW w:w="2598" w:type="dxa"/>
            <w:noWrap/>
          </w:tcPr>
          <w:p w14:paraId="43052D3F"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38A5A7E3" w14:textId="77777777" w:rsidR="00435783" w:rsidRPr="0090094E" w:rsidRDefault="00435783" w:rsidP="00083940">
            <w:pPr>
              <w:jc w:val="right"/>
              <w:rPr>
                <w:rFonts w:ascii="Times New Roman" w:hAnsi="Times New Roman"/>
                <w:sz w:val="20"/>
              </w:rPr>
            </w:pPr>
          </w:p>
        </w:tc>
        <w:tc>
          <w:tcPr>
            <w:tcW w:w="709" w:type="dxa"/>
            <w:noWrap/>
          </w:tcPr>
          <w:p w14:paraId="4626711A" w14:textId="77777777" w:rsidR="00435783" w:rsidRPr="0090094E" w:rsidRDefault="00435783" w:rsidP="00083940">
            <w:pPr>
              <w:jc w:val="right"/>
              <w:rPr>
                <w:rFonts w:ascii="Times New Roman" w:hAnsi="Times New Roman"/>
                <w:sz w:val="20"/>
              </w:rPr>
            </w:pPr>
          </w:p>
        </w:tc>
        <w:tc>
          <w:tcPr>
            <w:tcW w:w="709" w:type="dxa"/>
            <w:noWrap/>
          </w:tcPr>
          <w:p w14:paraId="4BCDD0C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407,1</w:t>
            </w:r>
          </w:p>
        </w:tc>
        <w:tc>
          <w:tcPr>
            <w:tcW w:w="708" w:type="dxa"/>
            <w:noWrap/>
          </w:tcPr>
          <w:p w14:paraId="31CF566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425,1</w:t>
            </w:r>
          </w:p>
        </w:tc>
        <w:tc>
          <w:tcPr>
            <w:tcW w:w="709" w:type="dxa"/>
            <w:noWrap/>
          </w:tcPr>
          <w:p w14:paraId="7A33A8A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441,6</w:t>
            </w:r>
          </w:p>
        </w:tc>
        <w:tc>
          <w:tcPr>
            <w:tcW w:w="709" w:type="dxa"/>
            <w:noWrap/>
          </w:tcPr>
          <w:p w14:paraId="2AD90D3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458,8</w:t>
            </w:r>
          </w:p>
        </w:tc>
        <w:tc>
          <w:tcPr>
            <w:tcW w:w="709" w:type="dxa"/>
            <w:noWrap/>
          </w:tcPr>
          <w:p w14:paraId="63DBEF6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478,4</w:t>
            </w:r>
          </w:p>
        </w:tc>
        <w:tc>
          <w:tcPr>
            <w:tcW w:w="708" w:type="dxa"/>
            <w:noWrap/>
          </w:tcPr>
          <w:p w14:paraId="077D5EF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497,1</w:t>
            </w:r>
          </w:p>
        </w:tc>
        <w:tc>
          <w:tcPr>
            <w:tcW w:w="851" w:type="dxa"/>
            <w:noWrap/>
          </w:tcPr>
          <w:p w14:paraId="6FB154A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513</w:t>
            </w:r>
            <w:r>
              <w:rPr>
                <w:rFonts w:ascii="Times New Roman" w:hAnsi="Times New Roman"/>
                <w:sz w:val="20"/>
              </w:rPr>
              <w:t>,0</w:t>
            </w:r>
          </w:p>
        </w:tc>
        <w:tc>
          <w:tcPr>
            <w:tcW w:w="850" w:type="dxa"/>
          </w:tcPr>
          <w:p w14:paraId="0108FDC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527,5</w:t>
            </w:r>
          </w:p>
        </w:tc>
      </w:tr>
      <w:tr w:rsidR="00435783" w:rsidRPr="0090094E" w14:paraId="7010D90A" w14:textId="77777777" w:rsidTr="00AF6955">
        <w:trPr>
          <w:trHeight w:val="255"/>
        </w:trPr>
        <w:tc>
          <w:tcPr>
            <w:tcW w:w="2598" w:type="dxa"/>
            <w:noWrap/>
          </w:tcPr>
          <w:p w14:paraId="094D58DA"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7756479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389,3</w:t>
            </w:r>
          </w:p>
        </w:tc>
        <w:tc>
          <w:tcPr>
            <w:tcW w:w="709" w:type="dxa"/>
            <w:noWrap/>
          </w:tcPr>
          <w:p w14:paraId="4406102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407,9</w:t>
            </w:r>
          </w:p>
        </w:tc>
        <w:tc>
          <w:tcPr>
            <w:tcW w:w="709" w:type="dxa"/>
            <w:noWrap/>
          </w:tcPr>
          <w:p w14:paraId="37A671F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425,5</w:t>
            </w:r>
          </w:p>
        </w:tc>
        <w:tc>
          <w:tcPr>
            <w:tcW w:w="708" w:type="dxa"/>
            <w:noWrap/>
          </w:tcPr>
          <w:p w14:paraId="076F341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445,4</w:t>
            </w:r>
          </w:p>
        </w:tc>
        <w:tc>
          <w:tcPr>
            <w:tcW w:w="709" w:type="dxa"/>
            <w:noWrap/>
          </w:tcPr>
          <w:p w14:paraId="502D95D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466,3</w:t>
            </w:r>
          </w:p>
        </w:tc>
        <w:tc>
          <w:tcPr>
            <w:tcW w:w="709" w:type="dxa"/>
            <w:noWrap/>
          </w:tcPr>
          <w:p w14:paraId="7FDA4A3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486,5</w:t>
            </w:r>
          </w:p>
        </w:tc>
        <w:tc>
          <w:tcPr>
            <w:tcW w:w="709" w:type="dxa"/>
            <w:noWrap/>
          </w:tcPr>
          <w:p w14:paraId="745F375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507,4</w:t>
            </w:r>
          </w:p>
        </w:tc>
        <w:tc>
          <w:tcPr>
            <w:tcW w:w="708" w:type="dxa"/>
            <w:noWrap/>
          </w:tcPr>
          <w:p w14:paraId="03DBDAF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525,8</w:t>
            </w:r>
          </w:p>
        </w:tc>
        <w:tc>
          <w:tcPr>
            <w:tcW w:w="851" w:type="dxa"/>
            <w:noWrap/>
          </w:tcPr>
          <w:p w14:paraId="246B995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543,3</w:t>
            </w:r>
          </w:p>
        </w:tc>
        <w:tc>
          <w:tcPr>
            <w:tcW w:w="850" w:type="dxa"/>
          </w:tcPr>
          <w:p w14:paraId="4EE631C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554,2</w:t>
            </w:r>
          </w:p>
        </w:tc>
      </w:tr>
      <w:tr w:rsidR="00435783" w:rsidRPr="0090094E" w14:paraId="5FD1C4A9" w14:textId="77777777" w:rsidTr="00AF6955">
        <w:trPr>
          <w:trHeight w:val="255"/>
        </w:trPr>
        <w:tc>
          <w:tcPr>
            <w:tcW w:w="2598" w:type="dxa"/>
            <w:noWrap/>
          </w:tcPr>
          <w:p w14:paraId="5163397C"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66A136C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473,7</w:t>
            </w:r>
          </w:p>
        </w:tc>
        <w:tc>
          <w:tcPr>
            <w:tcW w:w="709" w:type="dxa"/>
            <w:noWrap/>
          </w:tcPr>
          <w:p w14:paraId="51BEEC8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496,2</w:t>
            </w:r>
          </w:p>
        </w:tc>
        <w:tc>
          <w:tcPr>
            <w:tcW w:w="709" w:type="dxa"/>
            <w:noWrap/>
          </w:tcPr>
          <w:p w14:paraId="24858D8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514,6</w:t>
            </w:r>
          </w:p>
        </w:tc>
        <w:tc>
          <w:tcPr>
            <w:tcW w:w="708" w:type="dxa"/>
            <w:noWrap/>
          </w:tcPr>
          <w:p w14:paraId="32943A2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527,8</w:t>
            </w:r>
          </w:p>
        </w:tc>
        <w:tc>
          <w:tcPr>
            <w:tcW w:w="709" w:type="dxa"/>
            <w:noWrap/>
          </w:tcPr>
          <w:p w14:paraId="7B86F10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548,1</w:t>
            </w:r>
          </w:p>
        </w:tc>
        <w:tc>
          <w:tcPr>
            <w:tcW w:w="709" w:type="dxa"/>
            <w:noWrap/>
          </w:tcPr>
          <w:p w14:paraId="02D8BE9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574,1</w:t>
            </w:r>
          </w:p>
        </w:tc>
        <w:tc>
          <w:tcPr>
            <w:tcW w:w="709" w:type="dxa"/>
            <w:noWrap/>
          </w:tcPr>
          <w:p w14:paraId="5014207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601,6</w:t>
            </w:r>
          </w:p>
        </w:tc>
        <w:tc>
          <w:tcPr>
            <w:tcW w:w="708" w:type="dxa"/>
            <w:noWrap/>
          </w:tcPr>
          <w:p w14:paraId="2F2F246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625,2</w:t>
            </w:r>
          </w:p>
        </w:tc>
        <w:tc>
          <w:tcPr>
            <w:tcW w:w="851" w:type="dxa"/>
            <w:noWrap/>
          </w:tcPr>
          <w:p w14:paraId="3E93FE0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645,9</w:t>
            </w:r>
          </w:p>
        </w:tc>
        <w:tc>
          <w:tcPr>
            <w:tcW w:w="850" w:type="dxa"/>
          </w:tcPr>
          <w:p w14:paraId="4E85030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659,2</w:t>
            </w:r>
          </w:p>
        </w:tc>
      </w:tr>
      <w:tr w:rsidR="00435783" w:rsidRPr="0090094E" w14:paraId="25A80811" w14:textId="77777777" w:rsidTr="00AF6955">
        <w:trPr>
          <w:trHeight w:val="255"/>
        </w:trPr>
        <w:tc>
          <w:tcPr>
            <w:tcW w:w="2598" w:type="dxa"/>
            <w:noWrap/>
          </w:tcPr>
          <w:p w14:paraId="0D726C2D" w14:textId="77777777" w:rsidR="00435783" w:rsidRPr="0090094E" w:rsidRDefault="00435783" w:rsidP="00083940">
            <w:pPr>
              <w:rPr>
                <w:rFonts w:ascii="Times New Roman" w:hAnsi="Times New Roman"/>
                <w:i/>
                <w:iCs/>
                <w:sz w:val="20"/>
              </w:rPr>
            </w:pPr>
            <w:r w:rsidRPr="0090094E">
              <w:rPr>
                <w:rFonts w:ascii="Times New Roman" w:hAnsi="Times New Roman"/>
                <w:i/>
                <w:iCs/>
                <w:sz w:val="20"/>
              </w:rPr>
              <w:t>Varehandel og reparasjon av motorvogner</w:t>
            </w:r>
          </w:p>
        </w:tc>
        <w:tc>
          <w:tcPr>
            <w:tcW w:w="709" w:type="dxa"/>
            <w:noWrap/>
          </w:tcPr>
          <w:p w14:paraId="79ACB995" w14:textId="77777777" w:rsidR="00435783" w:rsidRPr="0090094E" w:rsidRDefault="00435783" w:rsidP="00083940">
            <w:pPr>
              <w:jc w:val="right"/>
              <w:rPr>
                <w:rFonts w:ascii="Times New Roman" w:hAnsi="Times New Roman"/>
                <w:sz w:val="20"/>
              </w:rPr>
            </w:pPr>
          </w:p>
        </w:tc>
        <w:tc>
          <w:tcPr>
            <w:tcW w:w="709" w:type="dxa"/>
            <w:noWrap/>
          </w:tcPr>
          <w:p w14:paraId="72589504" w14:textId="77777777" w:rsidR="00435783" w:rsidRPr="0090094E" w:rsidRDefault="00435783" w:rsidP="00083940">
            <w:pPr>
              <w:jc w:val="right"/>
              <w:rPr>
                <w:rFonts w:ascii="Times New Roman" w:hAnsi="Times New Roman"/>
                <w:sz w:val="20"/>
              </w:rPr>
            </w:pPr>
          </w:p>
        </w:tc>
        <w:tc>
          <w:tcPr>
            <w:tcW w:w="709" w:type="dxa"/>
            <w:noWrap/>
          </w:tcPr>
          <w:p w14:paraId="4B59BF73" w14:textId="77777777" w:rsidR="00435783" w:rsidRPr="0090094E" w:rsidRDefault="00435783" w:rsidP="00083940">
            <w:pPr>
              <w:jc w:val="right"/>
              <w:rPr>
                <w:rFonts w:ascii="Times New Roman" w:hAnsi="Times New Roman"/>
                <w:sz w:val="20"/>
              </w:rPr>
            </w:pPr>
          </w:p>
        </w:tc>
        <w:tc>
          <w:tcPr>
            <w:tcW w:w="708" w:type="dxa"/>
            <w:noWrap/>
          </w:tcPr>
          <w:p w14:paraId="4D128880" w14:textId="77777777" w:rsidR="00435783" w:rsidRPr="0090094E" w:rsidRDefault="00435783" w:rsidP="00083940">
            <w:pPr>
              <w:jc w:val="right"/>
              <w:rPr>
                <w:rFonts w:ascii="Times New Roman" w:hAnsi="Times New Roman"/>
                <w:sz w:val="20"/>
              </w:rPr>
            </w:pPr>
          </w:p>
        </w:tc>
        <w:tc>
          <w:tcPr>
            <w:tcW w:w="709" w:type="dxa"/>
            <w:noWrap/>
          </w:tcPr>
          <w:p w14:paraId="5B0B7BA7" w14:textId="77777777" w:rsidR="00435783" w:rsidRPr="0090094E" w:rsidRDefault="00435783" w:rsidP="00083940">
            <w:pPr>
              <w:jc w:val="right"/>
              <w:rPr>
                <w:rFonts w:ascii="Times New Roman" w:hAnsi="Times New Roman"/>
                <w:sz w:val="20"/>
              </w:rPr>
            </w:pPr>
          </w:p>
        </w:tc>
        <w:tc>
          <w:tcPr>
            <w:tcW w:w="709" w:type="dxa"/>
            <w:noWrap/>
          </w:tcPr>
          <w:p w14:paraId="629397BF" w14:textId="77777777" w:rsidR="00435783" w:rsidRPr="0090094E" w:rsidRDefault="00435783" w:rsidP="00083940">
            <w:pPr>
              <w:jc w:val="right"/>
              <w:rPr>
                <w:rFonts w:ascii="Times New Roman" w:hAnsi="Times New Roman"/>
                <w:sz w:val="20"/>
              </w:rPr>
            </w:pPr>
          </w:p>
        </w:tc>
        <w:tc>
          <w:tcPr>
            <w:tcW w:w="709" w:type="dxa"/>
            <w:noWrap/>
          </w:tcPr>
          <w:p w14:paraId="533171AC" w14:textId="77777777" w:rsidR="00435783" w:rsidRPr="0090094E" w:rsidRDefault="00435783" w:rsidP="00083940">
            <w:pPr>
              <w:jc w:val="right"/>
              <w:rPr>
                <w:rFonts w:ascii="Times New Roman" w:hAnsi="Times New Roman"/>
                <w:sz w:val="20"/>
              </w:rPr>
            </w:pPr>
          </w:p>
        </w:tc>
        <w:tc>
          <w:tcPr>
            <w:tcW w:w="708" w:type="dxa"/>
            <w:noWrap/>
          </w:tcPr>
          <w:p w14:paraId="2AE2B3EB" w14:textId="77777777" w:rsidR="00435783" w:rsidRPr="0090094E" w:rsidRDefault="00435783" w:rsidP="00083940">
            <w:pPr>
              <w:jc w:val="right"/>
              <w:rPr>
                <w:rFonts w:ascii="Times New Roman" w:hAnsi="Times New Roman"/>
                <w:sz w:val="20"/>
              </w:rPr>
            </w:pPr>
          </w:p>
        </w:tc>
        <w:tc>
          <w:tcPr>
            <w:tcW w:w="851" w:type="dxa"/>
            <w:noWrap/>
          </w:tcPr>
          <w:p w14:paraId="561D0F71" w14:textId="77777777" w:rsidR="00435783" w:rsidRPr="0090094E" w:rsidRDefault="00435783" w:rsidP="00083940">
            <w:pPr>
              <w:jc w:val="right"/>
              <w:rPr>
                <w:rFonts w:ascii="Times New Roman" w:hAnsi="Times New Roman"/>
                <w:sz w:val="20"/>
              </w:rPr>
            </w:pPr>
          </w:p>
        </w:tc>
        <w:tc>
          <w:tcPr>
            <w:tcW w:w="850" w:type="dxa"/>
          </w:tcPr>
          <w:p w14:paraId="33E6506C" w14:textId="77777777" w:rsidR="00435783" w:rsidRPr="0090094E" w:rsidRDefault="00435783" w:rsidP="00083940">
            <w:pPr>
              <w:jc w:val="right"/>
              <w:rPr>
                <w:rFonts w:ascii="Times New Roman" w:hAnsi="Times New Roman"/>
                <w:sz w:val="20"/>
              </w:rPr>
            </w:pPr>
          </w:p>
        </w:tc>
      </w:tr>
      <w:tr w:rsidR="00435783" w:rsidRPr="0090094E" w14:paraId="733590F6" w14:textId="77777777" w:rsidTr="00AF6955">
        <w:trPr>
          <w:trHeight w:val="255"/>
        </w:trPr>
        <w:tc>
          <w:tcPr>
            <w:tcW w:w="2598" w:type="dxa"/>
            <w:noWrap/>
          </w:tcPr>
          <w:p w14:paraId="3A4A3CEF"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4D105E9C" w14:textId="77777777" w:rsidR="00435783" w:rsidRPr="0090094E" w:rsidRDefault="00435783" w:rsidP="00083940">
            <w:pPr>
              <w:jc w:val="right"/>
              <w:rPr>
                <w:rFonts w:ascii="Times New Roman" w:hAnsi="Times New Roman"/>
                <w:sz w:val="20"/>
              </w:rPr>
            </w:pPr>
          </w:p>
        </w:tc>
        <w:tc>
          <w:tcPr>
            <w:tcW w:w="709" w:type="dxa"/>
            <w:noWrap/>
          </w:tcPr>
          <w:p w14:paraId="080A72F2" w14:textId="77777777" w:rsidR="00435783" w:rsidRPr="0090094E" w:rsidRDefault="00435783" w:rsidP="00083940">
            <w:pPr>
              <w:jc w:val="right"/>
              <w:rPr>
                <w:rFonts w:ascii="Times New Roman" w:hAnsi="Times New Roman"/>
                <w:sz w:val="20"/>
              </w:rPr>
            </w:pPr>
          </w:p>
        </w:tc>
        <w:tc>
          <w:tcPr>
            <w:tcW w:w="709" w:type="dxa"/>
            <w:noWrap/>
          </w:tcPr>
          <w:p w14:paraId="13E87373"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372,6</w:t>
            </w:r>
          </w:p>
        </w:tc>
        <w:tc>
          <w:tcPr>
            <w:tcW w:w="708" w:type="dxa"/>
            <w:noWrap/>
          </w:tcPr>
          <w:p w14:paraId="57A1CBD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384,7</w:t>
            </w:r>
          </w:p>
        </w:tc>
        <w:tc>
          <w:tcPr>
            <w:tcW w:w="709" w:type="dxa"/>
            <w:noWrap/>
          </w:tcPr>
          <w:p w14:paraId="7515880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397,1</w:t>
            </w:r>
          </w:p>
        </w:tc>
        <w:tc>
          <w:tcPr>
            <w:tcW w:w="709" w:type="dxa"/>
            <w:noWrap/>
          </w:tcPr>
          <w:p w14:paraId="5610C36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411,4</w:t>
            </w:r>
          </w:p>
        </w:tc>
        <w:tc>
          <w:tcPr>
            <w:tcW w:w="709" w:type="dxa"/>
            <w:noWrap/>
          </w:tcPr>
          <w:p w14:paraId="5C25CD5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425,2</w:t>
            </w:r>
          </w:p>
        </w:tc>
        <w:tc>
          <w:tcPr>
            <w:tcW w:w="708" w:type="dxa"/>
            <w:noWrap/>
          </w:tcPr>
          <w:p w14:paraId="31436AE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440</w:t>
            </w:r>
            <w:r>
              <w:rPr>
                <w:rFonts w:ascii="Times New Roman" w:hAnsi="Times New Roman"/>
                <w:sz w:val="20"/>
              </w:rPr>
              <w:t>,0</w:t>
            </w:r>
          </w:p>
        </w:tc>
        <w:tc>
          <w:tcPr>
            <w:tcW w:w="851" w:type="dxa"/>
            <w:noWrap/>
          </w:tcPr>
          <w:p w14:paraId="02691A2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452,3</w:t>
            </w:r>
          </w:p>
        </w:tc>
        <w:tc>
          <w:tcPr>
            <w:tcW w:w="850" w:type="dxa"/>
          </w:tcPr>
          <w:p w14:paraId="151C214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464,7</w:t>
            </w:r>
          </w:p>
        </w:tc>
      </w:tr>
      <w:tr w:rsidR="00435783" w:rsidRPr="0090094E" w14:paraId="4F1FB1C6" w14:textId="77777777" w:rsidTr="00AF6955">
        <w:trPr>
          <w:trHeight w:val="255"/>
        </w:trPr>
        <w:tc>
          <w:tcPr>
            <w:tcW w:w="2598" w:type="dxa"/>
            <w:noWrap/>
          </w:tcPr>
          <w:p w14:paraId="69071AFC"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50A32BD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347,8</w:t>
            </w:r>
          </w:p>
        </w:tc>
        <w:tc>
          <w:tcPr>
            <w:tcW w:w="709" w:type="dxa"/>
            <w:noWrap/>
          </w:tcPr>
          <w:p w14:paraId="1ED6697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361,4</w:t>
            </w:r>
          </w:p>
        </w:tc>
        <w:tc>
          <w:tcPr>
            <w:tcW w:w="709" w:type="dxa"/>
            <w:noWrap/>
          </w:tcPr>
          <w:p w14:paraId="2299E70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377,1</w:t>
            </w:r>
          </w:p>
        </w:tc>
        <w:tc>
          <w:tcPr>
            <w:tcW w:w="708" w:type="dxa"/>
            <w:noWrap/>
          </w:tcPr>
          <w:p w14:paraId="0541ED9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386,3</w:t>
            </w:r>
          </w:p>
        </w:tc>
        <w:tc>
          <w:tcPr>
            <w:tcW w:w="709" w:type="dxa"/>
            <w:noWrap/>
          </w:tcPr>
          <w:p w14:paraId="4D4463B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401,9</w:t>
            </w:r>
          </w:p>
        </w:tc>
        <w:tc>
          <w:tcPr>
            <w:tcW w:w="709" w:type="dxa"/>
            <w:noWrap/>
          </w:tcPr>
          <w:p w14:paraId="53B3381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417,5</w:t>
            </w:r>
          </w:p>
        </w:tc>
        <w:tc>
          <w:tcPr>
            <w:tcW w:w="709" w:type="dxa"/>
            <w:noWrap/>
          </w:tcPr>
          <w:p w14:paraId="1D7C339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431,5</w:t>
            </w:r>
          </w:p>
        </w:tc>
        <w:tc>
          <w:tcPr>
            <w:tcW w:w="708" w:type="dxa"/>
            <w:noWrap/>
          </w:tcPr>
          <w:p w14:paraId="40D4AC4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449,3</w:t>
            </w:r>
          </w:p>
        </w:tc>
        <w:tc>
          <w:tcPr>
            <w:tcW w:w="851" w:type="dxa"/>
            <w:noWrap/>
          </w:tcPr>
          <w:p w14:paraId="39E314D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459,1</w:t>
            </w:r>
          </w:p>
        </w:tc>
        <w:tc>
          <w:tcPr>
            <w:tcW w:w="850" w:type="dxa"/>
          </w:tcPr>
          <w:p w14:paraId="57A424A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468,8</w:t>
            </w:r>
          </w:p>
        </w:tc>
      </w:tr>
      <w:tr w:rsidR="00435783" w:rsidRPr="0090094E" w14:paraId="2BBDF1ED" w14:textId="77777777" w:rsidTr="00AF6955">
        <w:trPr>
          <w:trHeight w:val="255"/>
        </w:trPr>
        <w:tc>
          <w:tcPr>
            <w:tcW w:w="2598" w:type="dxa"/>
            <w:noWrap/>
          </w:tcPr>
          <w:p w14:paraId="0DF3EA3A"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616D58C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414,1</w:t>
            </w:r>
          </w:p>
        </w:tc>
        <w:tc>
          <w:tcPr>
            <w:tcW w:w="709" w:type="dxa"/>
            <w:noWrap/>
          </w:tcPr>
          <w:p w14:paraId="3AF2F25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433,3</w:t>
            </w:r>
          </w:p>
        </w:tc>
        <w:tc>
          <w:tcPr>
            <w:tcW w:w="709" w:type="dxa"/>
            <w:noWrap/>
          </w:tcPr>
          <w:p w14:paraId="154750E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452,6</w:t>
            </w:r>
          </w:p>
        </w:tc>
        <w:tc>
          <w:tcPr>
            <w:tcW w:w="708" w:type="dxa"/>
            <w:noWrap/>
          </w:tcPr>
          <w:p w14:paraId="6BF7F70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463,5</w:t>
            </w:r>
          </w:p>
        </w:tc>
        <w:tc>
          <w:tcPr>
            <w:tcW w:w="709" w:type="dxa"/>
            <w:noWrap/>
          </w:tcPr>
          <w:p w14:paraId="22CC8F1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481,1</w:t>
            </w:r>
          </w:p>
        </w:tc>
        <w:tc>
          <w:tcPr>
            <w:tcW w:w="709" w:type="dxa"/>
            <w:noWrap/>
          </w:tcPr>
          <w:p w14:paraId="1C9A9DE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497,9</w:t>
            </w:r>
          </w:p>
        </w:tc>
        <w:tc>
          <w:tcPr>
            <w:tcW w:w="709" w:type="dxa"/>
            <w:noWrap/>
          </w:tcPr>
          <w:p w14:paraId="72A88F5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517</w:t>
            </w:r>
            <w:r>
              <w:rPr>
                <w:rFonts w:ascii="Times New Roman" w:hAnsi="Times New Roman"/>
                <w:sz w:val="20"/>
              </w:rPr>
              <w:t>,0</w:t>
            </w:r>
          </w:p>
        </w:tc>
        <w:tc>
          <w:tcPr>
            <w:tcW w:w="708" w:type="dxa"/>
            <w:noWrap/>
          </w:tcPr>
          <w:p w14:paraId="4790EAE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538,2</w:t>
            </w:r>
          </w:p>
        </w:tc>
        <w:tc>
          <w:tcPr>
            <w:tcW w:w="851" w:type="dxa"/>
            <w:noWrap/>
          </w:tcPr>
          <w:p w14:paraId="1D9187F3"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549,8</w:t>
            </w:r>
          </w:p>
        </w:tc>
        <w:tc>
          <w:tcPr>
            <w:tcW w:w="850" w:type="dxa"/>
          </w:tcPr>
          <w:p w14:paraId="731946C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561,5</w:t>
            </w:r>
          </w:p>
        </w:tc>
      </w:tr>
      <w:tr w:rsidR="00435783" w:rsidRPr="0090094E" w14:paraId="7CB69E13" w14:textId="77777777" w:rsidTr="00AF6955">
        <w:trPr>
          <w:trHeight w:val="255"/>
        </w:trPr>
        <w:tc>
          <w:tcPr>
            <w:tcW w:w="2598" w:type="dxa"/>
            <w:noWrap/>
            <w:vAlign w:val="bottom"/>
          </w:tcPr>
          <w:p w14:paraId="30F6E7A4" w14:textId="77777777" w:rsidR="00435783" w:rsidRPr="0090094E" w:rsidRDefault="00435783" w:rsidP="00083940">
            <w:pPr>
              <w:rPr>
                <w:rFonts w:ascii="Times New Roman" w:hAnsi="Times New Roman"/>
                <w:color w:val="000000"/>
                <w:sz w:val="20"/>
              </w:rPr>
            </w:pPr>
            <w:r w:rsidRPr="0090094E">
              <w:rPr>
                <w:rFonts w:ascii="Times New Roman" w:hAnsi="Times New Roman"/>
                <w:i/>
                <w:iCs/>
                <w:sz w:val="20"/>
              </w:rPr>
              <w:t>Bygge- og anleggsvirksomhet</w:t>
            </w:r>
          </w:p>
        </w:tc>
        <w:tc>
          <w:tcPr>
            <w:tcW w:w="709" w:type="dxa"/>
            <w:noWrap/>
            <w:vAlign w:val="bottom"/>
          </w:tcPr>
          <w:p w14:paraId="0B21508E"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181C0020"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053D895F"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24CBA867"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3408354F"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39F1F2E3"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11FFCA7B"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1D078643" w14:textId="77777777" w:rsidR="00435783" w:rsidRPr="0090094E" w:rsidRDefault="00435783" w:rsidP="00083940">
            <w:pPr>
              <w:jc w:val="right"/>
              <w:rPr>
                <w:rFonts w:ascii="Times New Roman" w:hAnsi="Times New Roman"/>
                <w:color w:val="000000"/>
                <w:sz w:val="20"/>
              </w:rPr>
            </w:pPr>
          </w:p>
        </w:tc>
        <w:tc>
          <w:tcPr>
            <w:tcW w:w="851" w:type="dxa"/>
            <w:noWrap/>
            <w:vAlign w:val="bottom"/>
          </w:tcPr>
          <w:p w14:paraId="44B666F2" w14:textId="77777777" w:rsidR="00435783" w:rsidRPr="0090094E" w:rsidRDefault="00435783" w:rsidP="00083940">
            <w:pPr>
              <w:jc w:val="right"/>
              <w:rPr>
                <w:rFonts w:ascii="Times New Roman" w:hAnsi="Times New Roman"/>
                <w:color w:val="000000"/>
                <w:sz w:val="20"/>
              </w:rPr>
            </w:pPr>
          </w:p>
        </w:tc>
        <w:tc>
          <w:tcPr>
            <w:tcW w:w="850" w:type="dxa"/>
          </w:tcPr>
          <w:p w14:paraId="24982B01" w14:textId="77777777" w:rsidR="00435783" w:rsidRPr="0090094E" w:rsidRDefault="00435783" w:rsidP="00083940">
            <w:pPr>
              <w:jc w:val="right"/>
              <w:rPr>
                <w:rFonts w:ascii="Times New Roman" w:hAnsi="Times New Roman"/>
                <w:color w:val="000000"/>
                <w:sz w:val="20"/>
              </w:rPr>
            </w:pPr>
          </w:p>
        </w:tc>
      </w:tr>
      <w:tr w:rsidR="00435783" w:rsidRPr="0090094E" w14:paraId="2A93C66A" w14:textId="77777777" w:rsidTr="00AF6955">
        <w:trPr>
          <w:trHeight w:val="255"/>
        </w:trPr>
        <w:tc>
          <w:tcPr>
            <w:tcW w:w="2598" w:type="dxa"/>
            <w:noWrap/>
            <w:vAlign w:val="bottom"/>
          </w:tcPr>
          <w:p w14:paraId="04DB4182"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6A6CBC6A" w14:textId="77777777" w:rsidR="00435783" w:rsidRPr="0090094E" w:rsidRDefault="00435783" w:rsidP="00083940">
            <w:pPr>
              <w:jc w:val="right"/>
              <w:rPr>
                <w:rFonts w:ascii="Times New Roman" w:hAnsi="Times New Roman"/>
                <w:sz w:val="20"/>
              </w:rPr>
            </w:pPr>
          </w:p>
        </w:tc>
        <w:tc>
          <w:tcPr>
            <w:tcW w:w="709" w:type="dxa"/>
            <w:noWrap/>
          </w:tcPr>
          <w:p w14:paraId="68852471" w14:textId="77777777" w:rsidR="00435783" w:rsidRPr="0090094E" w:rsidRDefault="00435783" w:rsidP="00083940">
            <w:pPr>
              <w:jc w:val="right"/>
              <w:rPr>
                <w:rFonts w:ascii="Times New Roman" w:hAnsi="Times New Roman"/>
                <w:sz w:val="20"/>
              </w:rPr>
            </w:pPr>
          </w:p>
        </w:tc>
        <w:tc>
          <w:tcPr>
            <w:tcW w:w="709" w:type="dxa"/>
            <w:noWrap/>
          </w:tcPr>
          <w:p w14:paraId="56D3FF8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395,3</w:t>
            </w:r>
          </w:p>
        </w:tc>
        <w:tc>
          <w:tcPr>
            <w:tcW w:w="708" w:type="dxa"/>
            <w:noWrap/>
          </w:tcPr>
          <w:p w14:paraId="1DFDECC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414,4</w:t>
            </w:r>
          </w:p>
        </w:tc>
        <w:tc>
          <w:tcPr>
            <w:tcW w:w="709" w:type="dxa"/>
            <w:noWrap/>
          </w:tcPr>
          <w:p w14:paraId="3170696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424,2</w:t>
            </w:r>
          </w:p>
        </w:tc>
        <w:tc>
          <w:tcPr>
            <w:tcW w:w="709" w:type="dxa"/>
            <w:noWrap/>
          </w:tcPr>
          <w:p w14:paraId="408769B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439,2</w:t>
            </w:r>
          </w:p>
        </w:tc>
        <w:tc>
          <w:tcPr>
            <w:tcW w:w="709" w:type="dxa"/>
            <w:noWrap/>
          </w:tcPr>
          <w:p w14:paraId="25F00D5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453,6</w:t>
            </w:r>
          </w:p>
        </w:tc>
        <w:tc>
          <w:tcPr>
            <w:tcW w:w="708" w:type="dxa"/>
            <w:noWrap/>
          </w:tcPr>
          <w:p w14:paraId="053BA2D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469,4</w:t>
            </w:r>
          </w:p>
        </w:tc>
        <w:tc>
          <w:tcPr>
            <w:tcW w:w="851" w:type="dxa"/>
            <w:noWrap/>
          </w:tcPr>
          <w:p w14:paraId="5BE3A1D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483,1</w:t>
            </w:r>
          </w:p>
        </w:tc>
        <w:tc>
          <w:tcPr>
            <w:tcW w:w="850" w:type="dxa"/>
          </w:tcPr>
          <w:p w14:paraId="46C5BA9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496</w:t>
            </w:r>
            <w:r>
              <w:rPr>
                <w:rFonts w:ascii="Times New Roman" w:hAnsi="Times New Roman"/>
                <w:sz w:val="20"/>
              </w:rPr>
              <w:t>,0</w:t>
            </w:r>
          </w:p>
        </w:tc>
      </w:tr>
      <w:tr w:rsidR="00435783" w:rsidRPr="0090094E" w14:paraId="2CC4F7D0" w14:textId="77777777" w:rsidTr="00AF6955">
        <w:trPr>
          <w:trHeight w:val="255"/>
        </w:trPr>
        <w:tc>
          <w:tcPr>
            <w:tcW w:w="2598" w:type="dxa"/>
            <w:noWrap/>
            <w:vAlign w:val="bottom"/>
          </w:tcPr>
          <w:p w14:paraId="022F93A6"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763FF13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374,4</w:t>
            </w:r>
          </w:p>
        </w:tc>
        <w:tc>
          <w:tcPr>
            <w:tcW w:w="709" w:type="dxa"/>
            <w:noWrap/>
          </w:tcPr>
          <w:p w14:paraId="0E14ACE3"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393,3</w:t>
            </w:r>
          </w:p>
        </w:tc>
        <w:tc>
          <w:tcPr>
            <w:tcW w:w="709" w:type="dxa"/>
            <w:noWrap/>
          </w:tcPr>
          <w:p w14:paraId="4A3940F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416,3</w:t>
            </w:r>
          </w:p>
        </w:tc>
        <w:tc>
          <w:tcPr>
            <w:tcW w:w="708" w:type="dxa"/>
            <w:noWrap/>
          </w:tcPr>
          <w:p w14:paraId="117E9FB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428,8</w:t>
            </w:r>
          </w:p>
        </w:tc>
        <w:tc>
          <w:tcPr>
            <w:tcW w:w="709" w:type="dxa"/>
            <w:noWrap/>
          </w:tcPr>
          <w:p w14:paraId="41C23B1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440,5</w:t>
            </w:r>
          </w:p>
        </w:tc>
        <w:tc>
          <w:tcPr>
            <w:tcW w:w="709" w:type="dxa"/>
            <w:noWrap/>
          </w:tcPr>
          <w:p w14:paraId="53610A9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458,7</w:t>
            </w:r>
          </w:p>
        </w:tc>
        <w:tc>
          <w:tcPr>
            <w:tcW w:w="709" w:type="dxa"/>
            <w:noWrap/>
          </w:tcPr>
          <w:p w14:paraId="4CE00FA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475</w:t>
            </w:r>
            <w:r>
              <w:rPr>
                <w:rFonts w:ascii="Times New Roman" w:hAnsi="Times New Roman"/>
                <w:sz w:val="20"/>
              </w:rPr>
              <w:t>,0</w:t>
            </w:r>
          </w:p>
        </w:tc>
        <w:tc>
          <w:tcPr>
            <w:tcW w:w="708" w:type="dxa"/>
            <w:noWrap/>
          </w:tcPr>
          <w:p w14:paraId="4AC580D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493,2</w:t>
            </w:r>
          </w:p>
        </w:tc>
        <w:tc>
          <w:tcPr>
            <w:tcW w:w="851" w:type="dxa"/>
            <w:noWrap/>
          </w:tcPr>
          <w:p w14:paraId="15EC85A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507,4</w:t>
            </w:r>
          </w:p>
        </w:tc>
        <w:tc>
          <w:tcPr>
            <w:tcW w:w="850" w:type="dxa"/>
          </w:tcPr>
          <w:p w14:paraId="2DD057C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520,6</w:t>
            </w:r>
          </w:p>
        </w:tc>
      </w:tr>
      <w:tr w:rsidR="00435783" w:rsidRPr="0090094E" w14:paraId="29C061E1" w14:textId="77777777" w:rsidTr="00AF6955">
        <w:trPr>
          <w:trHeight w:val="397"/>
        </w:trPr>
        <w:tc>
          <w:tcPr>
            <w:tcW w:w="2598" w:type="dxa"/>
            <w:noWrap/>
            <w:vAlign w:val="bottom"/>
          </w:tcPr>
          <w:p w14:paraId="1B63C413"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5D65DAC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436,8</w:t>
            </w:r>
          </w:p>
        </w:tc>
        <w:tc>
          <w:tcPr>
            <w:tcW w:w="709" w:type="dxa"/>
            <w:noWrap/>
          </w:tcPr>
          <w:p w14:paraId="2785ED6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459,6</w:t>
            </w:r>
          </w:p>
        </w:tc>
        <w:tc>
          <w:tcPr>
            <w:tcW w:w="709" w:type="dxa"/>
            <w:noWrap/>
          </w:tcPr>
          <w:p w14:paraId="57F0CF8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492,6</w:t>
            </w:r>
          </w:p>
        </w:tc>
        <w:tc>
          <w:tcPr>
            <w:tcW w:w="708" w:type="dxa"/>
            <w:noWrap/>
          </w:tcPr>
          <w:p w14:paraId="4C570CD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505,4</w:t>
            </w:r>
          </w:p>
        </w:tc>
        <w:tc>
          <w:tcPr>
            <w:tcW w:w="709" w:type="dxa"/>
            <w:noWrap/>
          </w:tcPr>
          <w:p w14:paraId="429586C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523,1</w:t>
            </w:r>
          </w:p>
        </w:tc>
        <w:tc>
          <w:tcPr>
            <w:tcW w:w="709" w:type="dxa"/>
            <w:noWrap/>
          </w:tcPr>
          <w:p w14:paraId="7D6049D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545,1</w:t>
            </w:r>
          </w:p>
        </w:tc>
        <w:tc>
          <w:tcPr>
            <w:tcW w:w="709" w:type="dxa"/>
            <w:noWrap/>
          </w:tcPr>
          <w:p w14:paraId="71FED81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566,7</w:t>
            </w:r>
          </w:p>
        </w:tc>
        <w:tc>
          <w:tcPr>
            <w:tcW w:w="708" w:type="dxa"/>
            <w:noWrap/>
          </w:tcPr>
          <w:p w14:paraId="58B4A95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587</w:t>
            </w:r>
            <w:r>
              <w:rPr>
                <w:rFonts w:ascii="Times New Roman" w:hAnsi="Times New Roman"/>
                <w:sz w:val="20"/>
              </w:rPr>
              <w:t>,0</w:t>
            </w:r>
          </w:p>
        </w:tc>
        <w:tc>
          <w:tcPr>
            <w:tcW w:w="851" w:type="dxa"/>
            <w:noWrap/>
          </w:tcPr>
          <w:p w14:paraId="25D2723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604</w:t>
            </w:r>
            <w:r>
              <w:rPr>
                <w:rFonts w:ascii="Times New Roman" w:hAnsi="Times New Roman"/>
                <w:sz w:val="20"/>
              </w:rPr>
              <w:t>,0</w:t>
            </w:r>
          </w:p>
        </w:tc>
        <w:tc>
          <w:tcPr>
            <w:tcW w:w="850" w:type="dxa"/>
          </w:tcPr>
          <w:p w14:paraId="15744D2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619,7</w:t>
            </w:r>
          </w:p>
        </w:tc>
      </w:tr>
      <w:tr w:rsidR="00435783" w:rsidRPr="0090094E" w14:paraId="7026CD78" w14:textId="77777777" w:rsidTr="00AF6955">
        <w:trPr>
          <w:trHeight w:val="255"/>
        </w:trPr>
        <w:tc>
          <w:tcPr>
            <w:tcW w:w="2598" w:type="dxa"/>
            <w:noWrap/>
            <w:vAlign w:val="bottom"/>
          </w:tcPr>
          <w:p w14:paraId="5477BB9F" w14:textId="77777777" w:rsidR="00435783" w:rsidRPr="0090094E" w:rsidRDefault="00435783" w:rsidP="00083940">
            <w:pPr>
              <w:rPr>
                <w:rFonts w:ascii="Times New Roman" w:hAnsi="Times New Roman"/>
                <w:color w:val="000000"/>
                <w:sz w:val="20"/>
              </w:rPr>
            </w:pPr>
            <w:r w:rsidRPr="0090094E">
              <w:rPr>
                <w:rFonts w:ascii="Times New Roman" w:hAnsi="Times New Roman"/>
                <w:i/>
                <w:iCs/>
                <w:sz w:val="20"/>
              </w:rPr>
              <w:t>Overnattings- og serveringsvirksomhet</w:t>
            </w:r>
          </w:p>
        </w:tc>
        <w:tc>
          <w:tcPr>
            <w:tcW w:w="709" w:type="dxa"/>
            <w:noWrap/>
            <w:vAlign w:val="bottom"/>
          </w:tcPr>
          <w:p w14:paraId="10659629"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243E5CBE"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0778A132"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39CCA92C"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7B82C4B0"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62C08D9F"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1005E601"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4D5574A7" w14:textId="77777777" w:rsidR="00435783" w:rsidRPr="0090094E" w:rsidRDefault="00435783" w:rsidP="00083940">
            <w:pPr>
              <w:jc w:val="right"/>
              <w:rPr>
                <w:rFonts w:ascii="Times New Roman" w:hAnsi="Times New Roman"/>
                <w:color w:val="000000"/>
                <w:sz w:val="20"/>
              </w:rPr>
            </w:pPr>
          </w:p>
        </w:tc>
        <w:tc>
          <w:tcPr>
            <w:tcW w:w="851" w:type="dxa"/>
            <w:noWrap/>
            <w:vAlign w:val="bottom"/>
          </w:tcPr>
          <w:p w14:paraId="6268FEA9" w14:textId="77777777" w:rsidR="00435783" w:rsidRPr="0090094E" w:rsidRDefault="00435783" w:rsidP="00083940">
            <w:pPr>
              <w:jc w:val="right"/>
              <w:rPr>
                <w:rFonts w:ascii="Times New Roman" w:hAnsi="Times New Roman"/>
                <w:color w:val="000000"/>
                <w:sz w:val="20"/>
              </w:rPr>
            </w:pPr>
          </w:p>
        </w:tc>
        <w:tc>
          <w:tcPr>
            <w:tcW w:w="850" w:type="dxa"/>
          </w:tcPr>
          <w:p w14:paraId="70FE8AFC" w14:textId="77777777" w:rsidR="00435783" w:rsidRPr="0090094E" w:rsidRDefault="00435783" w:rsidP="00083940">
            <w:pPr>
              <w:jc w:val="right"/>
              <w:rPr>
                <w:rFonts w:ascii="Times New Roman" w:hAnsi="Times New Roman"/>
                <w:color w:val="000000"/>
                <w:sz w:val="20"/>
              </w:rPr>
            </w:pPr>
          </w:p>
        </w:tc>
      </w:tr>
      <w:tr w:rsidR="00435783" w:rsidRPr="0090094E" w14:paraId="7B6897E3" w14:textId="77777777" w:rsidTr="00AF6955">
        <w:trPr>
          <w:trHeight w:val="255"/>
        </w:trPr>
        <w:tc>
          <w:tcPr>
            <w:tcW w:w="2598" w:type="dxa"/>
            <w:noWrap/>
            <w:vAlign w:val="bottom"/>
          </w:tcPr>
          <w:p w14:paraId="1BA57267"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35228BFF" w14:textId="77777777" w:rsidR="00435783" w:rsidRPr="0090094E" w:rsidRDefault="00435783" w:rsidP="00083940">
            <w:pPr>
              <w:jc w:val="right"/>
              <w:rPr>
                <w:rFonts w:ascii="Times New Roman" w:hAnsi="Times New Roman"/>
                <w:sz w:val="20"/>
              </w:rPr>
            </w:pPr>
          </w:p>
        </w:tc>
        <w:tc>
          <w:tcPr>
            <w:tcW w:w="709" w:type="dxa"/>
            <w:noWrap/>
          </w:tcPr>
          <w:p w14:paraId="0961806B" w14:textId="77777777" w:rsidR="00435783" w:rsidRPr="0090094E" w:rsidRDefault="00435783" w:rsidP="00083940">
            <w:pPr>
              <w:jc w:val="right"/>
              <w:rPr>
                <w:rFonts w:ascii="Times New Roman" w:hAnsi="Times New Roman"/>
                <w:sz w:val="20"/>
              </w:rPr>
            </w:pPr>
          </w:p>
        </w:tc>
        <w:tc>
          <w:tcPr>
            <w:tcW w:w="709" w:type="dxa"/>
            <w:noWrap/>
          </w:tcPr>
          <w:p w14:paraId="7C8846F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297,1</w:t>
            </w:r>
          </w:p>
        </w:tc>
        <w:tc>
          <w:tcPr>
            <w:tcW w:w="708" w:type="dxa"/>
            <w:noWrap/>
          </w:tcPr>
          <w:p w14:paraId="131821A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307,8</w:t>
            </w:r>
          </w:p>
        </w:tc>
        <w:tc>
          <w:tcPr>
            <w:tcW w:w="709" w:type="dxa"/>
            <w:noWrap/>
          </w:tcPr>
          <w:p w14:paraId="1FCF603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319,3</w:t>
            </w:r>
          </w:p>
        </w:tc>
        <w:tc>
          <w:tcPr>
            <w:tcW w:w="709" w:type="dxa"/>
            <w:noWrap/>
          </w:tcPr>
          <w:p w14:paraId="71AB6E2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328,7</w:t>
            </w:r>
          </w:p>
        </w:tc>
        <w:tc>
          <w:tcPr>
            <w:tcW w:w="709" w:type="dxa"/>
            <w:noWrap/>
          </w:tcPr>
          <w:p w14:paraId="58ACD8C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337,9</w:t>
            </w:r>
          </w:p>
        </w:tc>
        <w:tc>
          <w:tcPr>
            <w:tcW w:w="708" w:type="dxa"/>
            <w:noWrap/>
          </w:tcPr>
          <w:p w14:paraId="7A044C2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348,5</w:t>
            </w:r>
          </w:p>
        </w:tc>
        <w:tc>
          <w:tcPr>
            <w:tcW w:w="851" w:type="dxa"/>
            <w:noWrap/>
          </w:tcPr>
          <w:p w14:paraId="11EBB2B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356,3</w:t>
            </w:r>
          </w:p>
        </w:tc>
        <w:tc>
          <w:tcPr>
            <w:tcW w:w="850" w:type="dxa"/>
          </w:tcPr>
          <w:p w14:paraId="1A34ECA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363,4</w:t>
            </w:r>
          </w:p>
        </w:tc>
      </w:tr>
      <w:tr w:rsidR="00435783" w:rsidRPr="0090094E" w14:paraId="03B65E10" w14:textId="77777777" w:rsidTr="00AF6955">
        <w:trPr>
          <w:trHeight w:val="255"/>
        </w:trPr>
        <w:tc>
          <w:tcPr>
            <w:tcW w:w="2598" w:type="dxa"/>
            <w:noWrap/>
            <w:vAlign w:val="bottom"/>
          </w:tcPr>
          <w:p w14:paraId="7697E702"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3C86283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286,2</w:t>
            </w:r>
          </w:p>
        </w:tc>
        <w:tc>
          <w:tcPr>
            <w:tcW w:w="709" w:type="dxa"/>
            <w:noWrap/>
          </w:tcPr>
          <w:p w14:paraId="01C0D25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290,1</w:t>
            </w:r>
          </w:p>
        </w:tc>
        <w:tc>
          <w:tcPr>
            <w:tcW w:w="709" w:type="dxa"/>
            <w:noWrap/>
          </w:tcPr>
          <w:p w14:paraId="5D532F9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298,9</w:t>
            </w:r>
          </w:p>
        </w:tc>
        <w:tc>
          <w:tcPr>
            <w:tcW w:w="708" w:type="dxa"/>
            <w:noWrap/>
          </w:tcPr>
          <w:p w14:paraId="5B54E28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306,7</w:t>
            </w:r>
          </w:p>
        </w:tc>
        <w:tc>
          <w:tcPr>
            <w:tcW w:w="709" w:type="dxa"/>
            <w:noWrap/>
          </w:tcPr>
          <w:p w14:paraId="628475B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320,3</w:t>
            </w:r>
          </w:p>
        </w:tc>
        <w:tc>
          <w:tcPr>
            <w:tcW w:w="709" w:type="dxa"/>
            <w:noWrap/>
          </w:tcPr>
          <w:p w14:paraId="0EA4F1A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330,6</w:t>
            </w:r>
          </w:p>
        </w:tc>
        <w:tc>
          <w:tcPr>
            <w:tcW w:w="709" w:type="dxa"/>
            <w:noWrap/>
          </w:tcPr>
          <w:p w14:paraId="68D77D6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341</w:t>
            </w:r>
            <w:r>
              <w:rPr>
                <w:rFonts w:ascii="Times New Roman" w:hAnsi="Times New Roman"/>
                <w:sz w:val="20"/>
              </w:rPr>
              <w:t>,0</w:t>
            </w:r>
          </w:p>
        </w:tc>
        <w:tc>
          <w:tcPr>
            <w:tcW w:w="708" w:type="dxa"/>
            <w:noWrap/>
          </w:tcPr>
          <w:p w14:paraId="2DF24A7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352,9</w:t>
            </w:r>
          </w:p>
        </w:tc>
        <w:tc>
          <w:tcPr>
            <w:tcW w:w="851" w:type="dxa"/>
            <w:noWrap/>
          </w:tcPr>
          <w:p w14:paraId="432032C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361,2</w:t>
            </w:r>
          </w:p>
        </w:tc>
        <w:tc>
          <w:tcPr>
            <w:tcW w:w="850" w:type="dxa"/>
          </w:tcPr>
          <w:p w14:paraId="45485A2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368,7</w:t>
            </w:r>
          </w:p>
        </w:tc>
      </w:tr>
      <w:tr w:rsidR="00435783" w:rsidRPr="0090094E" w14:paraId="3D244CDF" w14:textId="77777777" w:rsidTr="00AF6955">
        <w:trPr>
          <w:trHeight w:val="255"/>
        </w:trPr>
        <w:tc>
          <w:tcPr>
            <w:tcW w:w="2598" w:type="dxa"/>
            <w:noWrap/>
            <w:vAlign w:val="bottom"/>
          </w:tcPr>
          <w:p w14:paraId="06433687"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5B8F7AA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327,5</w:t>
            </w:r>
          </w:p>
        </w:tc>
        <w:tc>
          <w:tcPr>
            <w:tcW w:w="709" w:type="dxa"/>
            <w:noWrap/>
          </w:tcPr>
          <w:p w14:paraId="2A627AC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335,5</w:t>
            </w:r>
          </w:p>
        </w:tc>
        <w:tc>
          <w:tcPr>
            <w:tcW w:w="709" w:type="dxa"/>
            <w:noWrap/>
          </w:tcPr>
          <w:p w14:paraId="1F0CA053"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346,2</w:t>
            </w:r>
          </w:p>
        </w:tc>
        <w:tc>
          <w:tcPr>
            <w:tcW w:w="708" w:type="dxa"/>
            <w:noWrap/>
          </w:tcPr>
          <w:p w14:paraId="426F51F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356,7</w:t>
            </w:r>
          </w:p>
        </w:tc>
        <w:tc>
          <w:tcPr>
            <w:tcW w:w="709" w:type="dxa"/>
            <w:noWrap/>
          </w:tcPr>
          <w:p w14:paraId="43A7507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373,5</w:t>
            </w:r>
          </w:p>
        </w:tc>
        <w:tc>
          <w:tcPr>
            <w:tcW w:w="709" w:type="dxa"/>
            <w:noWrap/>
          </w:tcPr>
          <w:p w14:paraId="04C6846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386,4</w:t>
            </w:r>
          </w:p>
        </w:tc>
        <w:tc>
          <w:tcPr>
            <w:tcW w:w="709" w:type="dxa"/>
            <w:noWrap/>
          </w:tcPr>
          <w:p w14:paraId="4ED22C7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399,5</w:t>
            </w:r>
          </w:p>
        </w:tc>
        <w:tc>
          <w:tcPr>
            <w:tcW w:w="708" w:type="dxa"/>
            <w:noWrap/>
          </w:tcPr>
          <w:p w14:paraId="7000FB9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413,1</w:t>
            </w:r>
          </w:p>
        </w:tc>
        <w:tc>
          <w:tcPr>
            <w:tcW w:w="851" w:type="dxa"/>
            <w:noWrap/>
          </w:tcPr>
          <w:p w14:paraId="70C1B82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422,8</w:t>
            </w:r>
          </w:p>
        </w:tc>
        <w:tc>
          <w:tcPr>
            <w:tcW w:w="850" w:type="dxa"/>
          </w:tcPr>
          <w:p w14:paraId="52C3D08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431,6</w:t>
            </w:r>
          </w:p>
        </w:tc>
      </w:tr>
      <w:tr w:rsidR="00435783" w:rsidRPr="0090094E" w14:paraId="7B5DBA47" w14:textId="77777777" w:rsidTr="00AF6955">
        <w:trPr>
          <w:trHeight w:val="255"/>
        </w:trPr>
        <w:tc>
          <w:tcPr>
            <w:tcW w:w="2598" w:type="dxa"/>
            <w:noWrap/>
            <w:vAlign w:val="bottom"/>
          </w:tcPr>
          <w:p w14:paraId="34A5E1D3" w14:textId="77777777" w:rsidR="00435783" w:rsidRPr="0090094E" w:rsidRDefault="00435783" w:rsidP="00083940">
            <w:pPr>
              <w:rPr>
                <w:rFonts w:ascii="Times New Roman" w:hAnsi="Times New Roman"/>
                <w:color w:val="000000"/>
                <w:sz w:val="20"/>
              </w:rPr>
            </w:pPr>
            <w:r w:rsidRPr="0090094E">
              <w:rPr>
                <w:rFonts w:ascii="Times New Roman" w:hAnsi="Times New Roman"/>
                <w:i/>
                <w:iCs/>
                <w:sz w:val="20"/>
              </w:rPr>
              <w:t>Finansierings- og forsikringsvirksomhet</w:t>
            </w:r>
          </w:p>
        </w:tc>
        <w:tc>
          <w:tcPr>
            <w:tcW w:w="709" w:type="dxa"/>
            <w:noWrap/>
            <w:vAlign w:val="bottom"/>
          </w:tcPr>
          <w:p w14:paraId="5AD53B2F"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414C6A9E"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2BA3027F"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27A38679"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476A9C9C"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6006DF8A" w14:textId="77777777" w:rsidR="00435783" w:rsidRPr="0090094E" w:rsidRDefault="00435783" w:rsidP="00083940">
            <w:pPr>
              <w:jc w:val="right"/>
              <w:rPr>
                <w:rFonts w:ascii="Times New Roman" w:hAnsi="Times New Roman"/>
                <w:color w:val="000000"/>
                <w:sz w:val="20"/>
              </w:rPr>
            </w:pPr>
          </w:p>
        </w:tc>
        <w:tc>
          <w:tcPr>
            <w:tcW w:w="709" w:type="dxa"/>
            <w:noWrap/>
            <w:vAlign w:val="bottom"/>
          </w:tcPr>
          <w:p w14:paraId="02BAAD4B" w14:textId="77777777" w:rsidR="00435783" w:rsidRPr="0090094E" w:rsidRDefault="00435783" w:rsidP="00083940">
            <w:pPr>
              <w:jc w:val="right"/>
              <w:rPr>
                <w:rFonts w:ascii="Times New Roman" w:hAnsi="Times New Roman"/>
                <w:color w:val="000000"/>
                <w:sz w:val="20"/>
              </w:rPr>
            </w:pPr>
          </w:p>
        </w:tc>
        <w:tc>
          <w:tcPr>
            <w:tcW w:w="708" w:type="dxa"/>
            <w:noWrap/>
            <w:vAlign w:val="bottom"/>
          </w:tcPr>
          <w:p w14:paraId="4E96C8E6" w14:textId="77777777" w:rsidR="00435783" w:rsidRPr="0090094E" w:rsidRDefault="00435783" w:rsidP="00083940">
            <w:pPr>
              <w:jc w:val="right"/>
              <w:rPr>
                <w:rFonts w:ascii="Times New Roman" w:hAnsi="Times New Roman"/>
                <w:color w:val="000000"/>
                <w:sz w:val="20"/>
              </w:rPr>
            </w:pPr>
          </w:p>
        </w:tc>
        <w:tc>
          <w:tcPr>
            <w:tcW w:w="851" w:type="dxa"/>
            <w:noWrap/>
            <w:vAlign w:val="bottom"/>
          </w:tcPr>
          <w:p w14:paraId="09A5F14F" w14:textId="77777777" w:rsidR="00435783" w:rsidRPr="0090094E" w:rsidRDefault="00435783" w:rsidP="00083940">
            <w:pPr>
              <w:jc w:val="right"/>
              <w:rPr>
                <w:rFonts w:ascii="Times New Roman" w:hAnsi="Times New Roman"/>
                <w:color w:val="000000"/>
                <w:sz w:val="20"/>
              </w:rPr>
            </w:pPr>
          </w:p>
        </w:tc>
        <w:tc>
          <w:tcPr>
            <w:tcW w:w="850" w:type="dxa"/>
          </w:tcPr>
          <w:p w14:paraId="3E270E55" w14:textId="77777777" w:rsidR="00435783" w:rsidRPr="0090094E" w:rsidRDefault="00435783" w:rsidP="00083940">
            <w:pPr>
              <w:jc w:val="right"/>
              <w:rPr>
                <w:rFonts w:ascii="Times New Roman" w:hAnsi="Times New Roman"/>
                <w:color w:val="000000"/>
                <w:sz w:val="20"/>
              </w:rPr>
            </w:pPr>
          </w:p>
        </w:tc>
      </w:tr>
      <w:tr w:rsidR="00435783" w:rsidRPr="0090094E" w14:paraId="0C8854A5" w14:textId="77777777" w:rsidTr="00AF6955">
        <w:trPr>
          <w:trHeight w:val="255"/>
        </w:trPr>
        <w:tc>
          <w:tcPr>
            <w:tcW w:w="2598" w:type="dxa"/>
            <w:noWrap/>
            <w:vAlign w:val="bottom"/>
          </w:tcPr>
          <w:p w14:paraId="55C0291B" w14:textId="77777777" w:rsidR="00435783" w:rsidRPr="0090094E" w:rsidRDefault="00435783" w:rsidP="00083940">
            <w:pPr>
              <w:rPr>
                <w:rFonts w:ascii="Times New Roman" w:hAnsi="Times New Roman"/>
                <w:color w:val="000000"/>
                <w:sz w:val="20"/>
              </w:rPr>
            </w:pPr>
            <w:r w:rsidRPr="0090094E">
              <w:rPr>
                <w:rFonts w:ascii="Times New Roman" w:hAnsi="Times New Roman"/>
                <w:color w:val="000000"/>
                <w:sz w:val="20"/>
              </w:rPr>
              <w:t>Årslønn, påløpt</w:t>
            </w:r>
          </w:p>
        </w:tc>
        <w:tc>
          <w:tcPr>
            <w:tcW w:w="709" w:type="dxa"/>
            <w:noWrap/>
          </w:tcPr>
          <w:p w14:paraId="47F5DFA1" w14:textId="77777777" w:rsidR="00435783" w:rsidRPr="0090094E" w:rsidRDefault="00435783" w:rsidP="00083940">
            <w:pPr>
              <w:jc w:val="right"/>
              <w:rPr>
                <w:rFonts w:ascii="Times New Roman" w:hAnsi="Times New Roman"/>
                <w:sz w:val="20"/>
              </w:rPr>
            </w:pPr>
          </w:p>
        </w:tc>
        <w:tc>
          <w:tcPr>
            <w:tcW w:w="709" w:type="dxa"/>
            <w:noWrap/>
          </w:tcPr>
          <w:p w14:paraId="3E90EFC4" w14:textId="77777777" w:rsidR="00435783" w:rsidRPr="0090094E" w:rsidRDefault="00435783" w:rsidP="00083940">
            <w:pPr>
              <w:jc w:val="right"/>
              <w:rPr>
                <w:rFonts w:ascii="Times New Roman" w:hAnsi="Times New Roman"/>
                <w:sz w:val="20"/>
              </w:rPr>
            </w:pPr>
          </w:p>
        </w:tc>
        <w:tc>
          <w:tcPr>
            <w:tcW w:w="709" w:type="dxa"/>
            <w:noWrap/>
          </w:tcPr>
          <w:p w14:paraId="594B089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575,4</w:t>
            </w:r>
          </w:p>
        </w:tc>
        <w:tc>
          <w:tcPr>
            <w:tcW w:w="708" w:type="dxa"/>
            <w:noWrap/>
          </w:tcPr>
          <w:p w14:paraId="2E95999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572,4</w:t>
            </w:r>
          </w:p>
        </w:tc>
        <w:tc>
          <w:tcPr>
            <w:tcW w:w="709" w:type="dxa"/>
            <w:noWrap/>
          </w:tcPr>
          <w:p w14:paraId="3C33198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610,8</w:t>
            </w:r>
          </w:p>
        </w:tc>
        <w:tc>
          <w:tcPr>
            <w:tcW w:w="709" w:type="dxa"/>
            <w:noWrap/>
          </w:tcPr>
          <w:p w14:paraId="0F67A67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651,2</w:t>
            </w:r>
          </w:p>
        </w:tc>
        <w:tc>
          <w:tcPr>
            <w:tcW w:w="709" w:type="dxa"/>
            <w:noWrap/>
          </w:tcPr>
          <w:p w14:paraId="166ADDB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656</w:t>
            </w:r>
            <w:r>
              <w:rPr>
                <w:rFonts w:ascii="Times New Roman" w:hAnsi="Times New Roman"/>
                <w:sz w:val="20"/>
              </w:rPr>
              <w:t>,0</w:t>
            </w:r>
          </w:p>
        </w:tc>
        <w:tc>
          <w:tcPr>
            <w:tcW w:w="708" w:type="dxa"/>
            <w:noWrap/>
          </w:tcPr>
          <w:p w14:paraId="1CC8297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692,7</w:t>
            </w:r>
          </w:p>
        </w:tc>
        <w:tc>
          <w:tcPr>
            <w:tcW w:w="851" w:type="dxa"/>
            <w:noWrap/>
          </w:tcPr>
          <w:p w14:paraId="45EC9E37"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727,5</w:t>
            </w:r>
          </w:p>
        </w:tc>
        <w:tc>
          <w:tcPr>
            <w:tcW w:w="850" w:type="dxa"/>
          </w:tcPr>
          <w:p w14:paraId="217E7CD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753,2</w:t>
            </w:r>
          </w:p>
        </w:tc>
      </w:tr>
      <w:tr w:rsidR="00435783" w:rsidRPr="0090094E" w14:paraId="7E67D9F3" w14:textId="77777777" w:rsidTr="00AF6955">
        <w:trPr>
          <w:trHeight w:val="255"/>
        </w:trPr>
        <w:tc>
          <w:tcPr>
            <w:tcW w:w="2598" w:type="dxa"/>
            <w:noWrap/>
            <w:vAlign w:val="bottom"/>
          </w:tcPr>
          <w:p w14:paraId="6524002D" w14:textId="77777777" w:rsidR="00435783" w:rsidRPr="0090094E" w:rsidRDefault="00435783" w:rsidP="00083940">
            <w:pPr>
              <w:rPr>
                <w:rFonts w:ascii="Times New Roman" w:hAnsi="Times New Roman"/>
                <w:color w:val="000000"/>
                <w:sz w:val="20"/>
              </w:rPr>
            </w:pPr>
            <w:r w:rsidRPr="0090094E">
              <w:rPr>
                <w:rFonts w:ascii="Times New Roman" w:hAnsi="Times New Roman"/>
                <w:color w:val="000000"/>
                <w:sz w:val="20"/>
              </w:rPr>
              <w:t>Lønn per årsverk</w:t>
            </w:r>
            <w:r w:rsidRPr="0090094E">
              <w:rPr>
                <w:rFonts w:ascii="Times New Roman" w:hAnsi="Times New Roman"/>
                <w:sz w:val="20"/>
                <w:vertAlign w:val="superscript"/>
              </w:rPr>
              <w:t>1</w:t>
            </w:r>
          </w:p>
        </w:tc>
        <w:tc>
          <w:tcPr>
            <w:tcW w:w="709" w:type="dxa"/>
            <w:noWrap/>
          </w:tcPr>
          <w:p w14:paraId="3127AE1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529,3</w:t>
            </w:r>
          </w:p>
        </w:tc>
        <w:tc>
          <w:tcPr>
            <w:tcW w:w="709" w:type="dxa"/>
            <w:noWrap/>
          </w:tcPr>
          <w:p w14:paraId="5A4D955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565,5</w:t>
            </w:r>
          </w:p>
        </w:tc>
        <w:tc>
          <w:tcPr>
            <w:tcW w:w="709" w:type="dxa"/>
            <w:noWrap/>
          </w:tcPr>
          <w:p w14:paraId="6D6742A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607,7</w:t>
            </w:r>
          </w:p>
        </w:tc>
        <w:tc>
          <w:tcPr>
            <w:tcW w:w="708" w:type="dxa"/>
            <w:noWrap/>
          </w:tcPr>
          <w:p w14:paraId="2D742FB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605</w:t>
            </w:r>
            <w:r>
              <w:rPr>
                <w:rFonts w:ascii="Times New Roman" w:hAnsi="Times New Roman"/>
                <w:sz w:val="20"/>
              </w:rPr>
              <w:t>,0</w:t>
            </w:r>
          </w:p>
        </w:tc>
        <w:tc>
          <w:tcPr>
            <w:tcW w:w="709" w:type="dxa"/>
            <w:noWrap/>
          </w:tcPr>
          <w:p w14:paraId="5D5885A1"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644</w:t>
            </w:r>
            <w:r>
              <w:rPr>
                <w:rFonts w:ascii="Times New Roman" w:hAnsi="Times New Roman"/>
                <w:sz w:val="20"/>
              </w:rPr>
              <w:t>,0</w:t>
            </w:r>
          </w:p>
        </w:tc>
        <w:tc>
          <w:tcPr>
            <w:tcW w:w="709" w:type="dxa"/>
            <w:noWrap/>
          </w:tcPr>
          <w:p w14:paraId="280B6A2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687,1</w:t>
            </w:r>
          </w:p>
        </w:tc>
        <w:tc>
          <w:tcPr>
            <w:tcW w:w="709" w:type="dxa"/>
            <w:noWrap/>
          </w:tcPr>
          <w:p w14:paraId="58F3120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712,6</w:t>
            </w:r>
          </w:p>
        </w:tc>
        <w:tc>
          <w:tcPr>
            <w:tcW w:w="708" w:type="dxa"/>
            <w:noWrap/>
          </w:tcPr>
          <w:p w14:paraId="0007B6E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751,3</w:t>
            </w:r>
          </w:p>
        </w:tc>
        <w:tc>
          <w:tcPr>
            <w:tcW w:w="851" w:type="dxa"/>
            <w:noWrap/>
          </w:tcPr>
          <w:p w14:paraId="4300179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789,3</w:t>
            </w:r>
          </w:p>
        </w:tc>
        <w:tc>
          <w:tcPr>
            <w:tcW w:w="850" w:type="dxa"/>
          </w:tcPr>
          <w:p w14:paraId="75955EE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816,8</w:t>
            </w:r>
          </w:p>
        </w:tc>
      </w:tr>
      <w:tr w:rsidR="00435783" w:rsidRPr="0090094E" w14:paraId="42228213" w14:textId="77777777" w:rsidTr="00AF6955">
        <w:trPr>
          <w:trHeight w:val="255"/>
        </w:trPr>
        <w:tc>
          <w:tcPr>
            <w:tcW w:w="2598" w:type="dxa"/>
            <w:noWrap/>
            <w:vAlign w:val="bottom"/>
          </w:tcPr>
          <w:p w14:paraId="71214B77" w14:textId="77777777" w:rsidR="00435783" w:rsidRPr="0090094E" w:rsidRDefault="00435783" w:rsidP="00083940">
            <w:pPr>
              <w:rPr>
                <w:rFonts w:ascii="Times New Roman" w:hAnsi="Times New Roman"/>
                <w:color w:val="000000"/>
                <w:sz w:val="20"/>
              </w:rPr>
            </w:pPr>
            <w:r w:rsidRPr="0090094E">
              <w:rPr>
                <w:rFonts w:ascii="Times New Roman" w:hAnsi="Times New Roman"/>
                <w:sz w:val="20"/>
              </w:rPr>
              <w:t>Lønnskostnader per årsverk</w:t>
            </w:r>
          </w:p>
        </w:tc>
        <w:tc>
          <w:tcPr>
            <w:tcW w:w="709" w:type="dxa"/>
            <w:noWrap/>
          </w:tcPr>
          <w:p w14:paraId="25590EB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662,4</w:t>
            </w:r>
          </w:p>
        </w:tc>
        <w:tc>
          <w:tcPr>
            <w:tcW w:w="709" w:type="dxa"/>
            <w:noWrap/>
          </w:tcPr>
          <w:p w14:paraId="649741E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725,3</w:t>
            </w:r>
          </w:p>
        </w:tc>
        <w:tc>
          <w:tcPr>
            <w:tcW w:w="709" w:type="dxa"/>
            <w:noWrap/>
          </w:tcPr>
          <w:p w14:paraId="19C7FB3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769,4</w:t>
            </w:r>
          </w:p>
        </w:tc>
        <w:tc>
          <w:tcPr>
            <w:tcW w:w="708" w:type="dxa"/>
            <w:noWrap/>
          </w:tcPr>
          <w:p w14:paraId="27FCF44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771,5</w:t>
            </w:r>
          </w:p>
        </w:tc>
        <w:tc>
          <w:tcPr>
            <w:tcW w:w="709" w:type="dxa"/>
            <w:noWrap/>
          </w:tcPr>
          <w:p w14:paraId="2E33067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803</w:t>
            </w:r>
          </w:p>
        </w:tc>
        <w:tc>
          <w:tcPr>
            <w:tcW w:w="709" w:type="dxa"/>
            <w:noWrap/>
          </w:tcPr>
          <w:p w14:paraId="768C5E3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842,7</w:t>
            </w:r>
          </w:p>
        </w:tc>
        <w:tc>
          <w:tcPr>
            <w:tcW w:w="709" w:type="dxa"/>
            <w:noWrap/>
          </w:tcPr>
          <w:p w14:paraId="02086E42"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885,9</w:t>
            </w:r>
          </w:p>
        </w:tc>
        <w:tc>
          <w:tcPr>
            <w:tcW w:w="708" w:type="dxa"/>
            <w:noWrap/>
          </w:tcPr>
          <w:p w14:paraId="187A85A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930,1</w:t>
            </w:r>
          </w:p>
        </w:tc>
        <w:tc>
          <w:tcPr>
            <w:tcW w:w="851" w:type="dxa"/>
            <w:noWrap/>
          </w:tcPr>
          <w:p w14:paraId="2F667A4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982</w:t>
            </w:r>
            <w:r>
              <w:rPr>
                <w:rFonts w:ascii="Times New Roman" w:hAnsi="Times New Roman"/>
                <w:sz w:val="20"/>
              </w:rPr>
              <w:t>,0</w:t>
            </w:r>
          </w:p>
        </w:tc>
        <w:tc>
          <w:tcPr>
            <w:tcW w:w="850" w:type="dxa"/>
          </w:tcPr>
          <w:p w14:paraId="096D5354"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1021,3</w:t>
            </w:r>
          </w:p>
        </w:tc>
      </w:tr>
      <w:tr w:rsidR="00435783" w:rsidRPr="0090094E" w14:paraId="5D198C0E" w14:textId="77777777" w:rsidTr="00AF6955">
        <w:trPr>
          <w:trHeight w:val="255"/>
        </w:trPr>
        <w:tc>
          <w:tcPr>
            <w:tcW w:w="2598" w:type="dxa"/>
            <w:noWrap/>
          </w:tcPr>
          <w:p w14:paraId="40E4F476" w14:textId="77777777" w:rsidR="00435783" w:rsidRPr="0090094E" w:rsidRDefault="00435783" w:rsidP="00083940">
            <w:pPr>
              <w:rPr>
                <w:rFonts w:ascii="Times New Roman" w:hAnsi="Times New Roman"/>
                <w:i/>
                <w:iCs/>
                <w:sz w:val="20"/>
              </w:rPr>
            </w:pPr>
            <w:r w:rsidRPr="0090094E">
              <w:rPr>
                <w:rFonts w:ascii="Times New Roman" w:hAnsi="Times New Roman"/>
                <w:i/>
                <w:iCs/>
                <w:sz w:val="20"/>
              </w:rPr>
              <w:t>Offentlig forvaltning</w:t>
            </w:r>
          </w:p>
        </w:tc>
        <w:tc>
          <w:tcPr>
            <w:tcW w:w="709" w:type="dxa"/>
            <w:noWrap/>
          </w:tcPr>
          <w:p w14:paraId="2A831960" w14:textId="77777777" w:rsidR="00435783" w:rsidRPr="0090094E" w:rsidRDefault="00435783" w:rsidP="00083940">
            <w:pPr>
              <w:jc w:val="right"/>
              <w:rPr>
                <w:rFonts w:ascii="Times New Roman" w:hAnsi="Times New Roman"/>
                <w:sz w:val="20"/>
              </w:rPr>
            </w:pPr>
          </w:p>
        </w:tc>
        <w:tc>
          <w:tcPr>
            <w:tcW w:w="709" w:type="dxa"/>
            <w:noWrap/>
          </w:tcPr>
          <w:p w14:paraId="02714ECC" w14:textId="77777777" w:rsidR="00435783" w:rsidRPr="0090094E" w:rsidRDefault="00435783" w:rsidP="00083940">
            <w:pPr>
              <w:jc w:val="right"/>
              <w:rPr>
                <w:rFonts w:ascii="Times New Roman" w:hAnsi="Times New Roman"/>
                <w:sz w:val="20"/>
              </w:rPr>
            </w:pPr>
          </w:p>
        </w:tc>
        <w:tc>
          <w:tcPr>
            <w:tcW w:w="709" w:type="dxa"/>
            <w:noWrap/>
          </w:tcPr>
          <w:p w14:paraId="4FE89032" w14:textId="77777777" w:rsidR="00435783" w:rsidRPr="0090094E" w:rsidRDefault="00435783" w:rsidP="00083940">
            <w:pPr>
              <w:jc w:val="right"/>
              <w:rPr>
                <w:rFonts w:ascii="Times New Roman" w:hAnsi="Times New Roman"/>
                <w:sz w:val="20"/>
              </w:rPr>
            </w:pPr>
          </w:p>
        </w:tc>
        <w:tc>
          <w:tcPr>
            <w:tcW w:w="708" w:type="dxa"/>
            <w:noWrap/>
          </w:tcPr>
          <w:p w14:paraId="27F0AED3" w14:textId="77777777" w:rsidR="00435783" w:rsidRPr="0090094E" w:rsidRDefault="00435783" w:rsidP="00083940">
            <w:pPr>
              <w:jc w:val="right"/>
              <w:rPr>
                <w:rFonts w:ascii="Times New Roman" w:hAnsi="Times New Roman"/>
                <w:sz w:val="20"/>
              </w:rPr>
            </w:pPr>
          </w:p>
        </w:tc>
        <w:tc>
          <w:tcPr>
            <w:tcW w:w="709" w:type="dxa"/>
            <w:noWrap/>
          </w:tcPr>
          <w:p w14:paraId="576FAB45" w14:textId="77777777" w:rsidR="00435783" w:rsidRPr="0090094E" w:rsidRDefault="00435783" w:rsidP="00083940">
            <w:pPr>
              <w:jc w:val="right"/>
              <w:rPr>
                <w:rFonts w:ascii="Times New Roman" w:hAnsi="Times New Roman"/>
                <w:sz w:val="20"/>
              </w:rPr>
            </w:pPr>
          </w:p>
        </w:tc>
        <w:tc>
          <w:tcPr>
            <w:tcW w:w="709" w:type="dxa"/>
            <w:noWrap/>
          </w:tcPr>
          <w:p w14:paraId="720A4F01" w14:textId="77777777" w:rsidR="00435783" w:rsidRPr="0090094E" w:rsidRDefault="00435783" w:rsidP="00083940">
            <w:pPr>
              <w:jc w:val="right"/>
              <w:rPr>
                <w:rFonts w:ascii="Times New Roman" w:hAnsi="Times New Roman"/>
                <w:sz w:val="20"/>
              </w:rPr>
            </w:pPr>
          </w:p>
        </w:tc>
        <w:tc>
          <w:tcPr>
            <w:tcW w:w="709" w:type="dxa"/>
            <w:noWrap/>
          </w:tcPr>
          <w:p w14:paraId="1085CA82" w14:textId="77777777" w:rsidR="00435783" w:rsidRPr="0090094E" w:rsidRDefault="00435783" w:rsidP="00083940">
            <w:pPr>
              <w:jc w:val="right"/>
              <w:rPr>
                <w:rFonts w:ascii="Times New Roman" w:hAnsi="Times New Roman"/>
                <w:sz w:val="20"/>
              </w:rPr>
            </w:pPr>
          </w:p>
        </w:tc>
        <w:tc>
          <w:tcPr>
            <w:tcW w:w="708" w:type="dxa"/>
            <w:noWrap/>
          </w:tcPr>
          <w:p w14:paraId="77B69B7D" w14:textId="77777777" w:rsidR="00435783" w:rsidRPr="0090094E" w:rsidRDefault="00435783" w:rsidP="00083940">
            <w:pPr>
              <w:jc w:val="right"/>
              <w:rPr>
                <w:rFonts w:ascii="Times New Roman" w:hAnsi="Times New Roman"/>
                <w:sz w:val="20"/>
              </w:rPr>
            </w:pPr>
          </w:p>
        </w:tc>
        <w:tc>
          <w:tcPr>
            <w:tcW w:w="851" w:type="dxa"/>
            <w:noWrap/>
          </w:tcPr>
          <w:p w14:paraId="33780871" w14:textId="77777777" w:rsidR="00435783" w:rsidRPr="0090094E" w:rsidRDefault="00435783" w:rsidP="00083940">
            <w:pPr>
              <w:jc w:val="right"/>
              <w:rPr>
                <w:rFonts w:ascii="Times New Roman" w:hAnsi="Times New Roman"/>
                <w:sz w:val="20"/>
              </w:rPr>
            </w:pPr>
          </w:p>
        </w:tc>
        <w:tc>
          <w:tcPr>
            <w:tcW w:w="850" w:type="dxa"/>
          </w:tcPr>
          <w:p w14:paraId="1EE89E9C" w14:textId="77777777" w:rsidR="00435783" w:rsidRPr="0090094E" w:rsidRDefault="00435783" w:rsidP="00083940">
            <w:pPr>
              <w:jc w:val="right"/>
              <w:rPr>
                <w:rFonts w:ascii="Times New Roman" w:hAnsi="Times New Roman"/>
                <w:sz w:val="20"/>
              </w:rPr>
            </w:pPr>
          </w:p>
        </w:tc>
      </w:tr>
      <w:tr w:rsidR="00435783" w:rsidRPr="0090094E" w14:paraId="4282291F" w14:textId="77777777" w:rsidTr="00AF6955">
        <w:trPr>
          <w:trHeight w:val="255"/>
        </w:trPr>
        <w:tc>
          <w:tcPr>
            <w:tcW w:w="2598" w:type="dxa"/>
            <w:noWrap/>
          </w:tcPr>
          <w:p w14:paraId="381ED692" w14:textId="77777777" w:rsidR="00435783" w:rsidRPr="0090094E" w:rsidRDefault="00435783" w:rsidP="00083940">
            <w:pPr>
              <w:rPr>
                <w:rFonts w:ascii="Times New Roman" w:hAnsi="Times New Roman"/>
                <w:sz w:val="20"/>
              </w:rPr>
            </w:pPr>
            <w:r w:rsidRPr="0090094E">
              <w:rPr>
                <w:rFonts w:ascii="Times New Roman" w:hAnsi="Times New Roman"/>
                <w:sz w:val="20"/>
              </w:rPr>
              <w:t>Årslønn, påløpt</w:t>
            </w:r>
          </w:p>
        </w:tc>
        <w:tc>
          <w:tcPr>
            <w:tcW w:w="709" w:type="dxa"/>
            <w:noWrap/>
          </w:tcPr>
          <w:p w14:paraId="121A5E95" w14:textId="77777777" w:rsidR="00435783" w:rsidRPr="0090094E" w:rsidRDefault="00435783" w:rsidP="00083940">
            <w:pPr>
              <w:jc w:val="right"/>
              <w:rPr>
                <w:rFonts w:ascii="Times New Roman" w:hAnsi="Times New Roman"/>
                <w:sz w:val="20"/>
              </w:rPr>
            </w:pPr>
          </w:p>
        </w:tc>
        <w:tc>
          <w:tcPr>
            <w:tcW w:w="709" w:type="dxa"/>
            <w:noWrap/>
          </w:tcPr>
          <w:p w14:paraId="18AB2ECE" w14:textId="77777777" w:rsidR="00435783" w:rsidRPr="0090094E" w:rsidRDefault="00435783" w:rsidP="00083940">
            <w:pPr>
              <w:jc w:val="right"/>
              <w:rPr>
                <w:rFonts w:ascii="Times New Roman" w:hAnsi="Times New Roman"/>
                <w:sz w:val="20"/>
              </w:rPr>
            </w:pPr>
          </w:p>
        </w:tc>
        <w:tc>
          <w:tcPr>
            <w:tcW w:w="709" w:type="dxa"/>
            <w:noWrap/>
          </w:tcPr>
          <w:p w14:paraId="7A2F62E8"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390,1</w:t>
            </w:r>
          </w:p>
        </w:tc>
        <w:tc>
          <w:tcPr>
            <w:tcW w:w="708" w:type="dxa"/>
            <w:noWrap/>
          </w:tcPr>
          <w:p w14:paraId="06F268D4"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407,8</w:t>
            </w:r>
          </w:p>
        </w:tc>
        <w:tc>
          <w:tcPr>
            <w:tcW w:w="709" w:type="dxa"/>
            <w:noWrap/>
          </w:tcPr>
          <w:p w14:paraId="1CAC3AF3"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424,0</w:t>
            </w:r>
          </w:p>
        </w:tc>
        <w:tc>
          <w:tcPr>
            <w:tcW w:w="709" w:type="dxa"/>
            <w:noWrap/>
          </w:tcPr>
          <w:p w14:paraId="165E3D05"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441,4</w:t>
            </w:r>
          </w:p>
        </w:tc>
        <w:tc>
          <w:tcPr>
            <w:tcW w:w="709" w:type="dxa"/>
            <w:noWrap/>
          </w:tcPr>
          <w:p w14:paraId="385799E5"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460,6</w:t>
            </w:r>
          </w:p>
        </w:tc>
        <w:tc>
          <w:tcPr>
            <w:tcW w:w="708" w:type="dxa"/>
            <w:noWrap/>
          </w:tcPr>
          <w:p w14:paraId="13B7BF0F"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477,8</w:t>
            </w:r>
          </w:p>
        </w:tc>
        <w:tc>
          <w:tcPr>
            <w:tcW w:w="851" w:type="dxa"/>
            <w:noWrap/>
          </w:tcPr>
          <w:p w14:paraId="0B296643"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493,6</w:t>
            </w:r>
          </w:p>
        </w:tc>
        <w:tc>
          <w:tcPr>
            <w:tcW w:w="850" w:type="dxa"/>
          </w:tcPr>
          <w:p w14:paraId="4E44DA93"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508,9</w:t>
            </w:r>
          </w:p>
        </w:tc>
      </w:tr>
      <w:tr w:rsidR="00435783" w:rsidRPr="0090094E" w14:paraId="187EE7A8" w14:textId="77777777" w:rsidTr="00AF6955">
        <w:trPr>
          <w:trHeight w:val="255"/>
        </w:trPr>
        <w:tc>
          <w:tcPr>
            <w:tcW w:w="2598" w:type="dxa"/>
            <w:noWrap/>
          </w:tcPr>
          <w:p w14:paraId="16705D6F" w14:textId="77777777" w:rsidR="00435783" w:rsidRPr="0090094E" w:rsidRDefault="00435783" w:rsidP="00083940">
            <w:pPr>
              <w:rPr>
                <w:rFonts w:ascii="Times New Roman" w:hAnsi="Times New Roman"/>
                <w:sz w:val="20"/>
              </w:rPr>
            </w:pPr>
            <w:r w:rsidRPr="0090094E">
              <w:rPr>
                <w:rFonts w:ascii="Times New Roman" w:hAnsi="Times New Roman"/>
                <w:sz w:val="20"/>
              </w:rPr>
              <w:t>Lønn per årsverk</w:t>
            </w:r>
            <w:r w:rsidRPr="0090094E">
              <w:rPr>
                <w:rFonts w:ascii="Times New Roman" w:hAnsi="Times New Roman"/>
                <w:sz w:val="20"/>
                <w:vertAlign w:val="superscript"/>
              </w:rPr>
              <w:t>1</w:t>
            </w:r>
          </w:p>
        </w:tc>
        <w:tc>
          <w:tcPr>
            <w:tcW w:w="709" w:type="dxa"/>
            <w:noWrap/>
          </w:tcPr>
          <w:p w14:paraId="6FBD36A0"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344,2</w:t>
            </w:r>
          </w:p>
        </w:tc>
        <w:tc>
          <w:tcPr>
            <w:tcW w:w="709" w:type="dxa"/>
            <w:noWrap/>
          </w:tcPr>
          <w:p w14:paraId="48E58705"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359,3</w:t>
            </w:r>
          </w:p>
        </w:tc>
        <w:tc>
          <w:tcPr>
            <w:tcW w:w="709" w:type="dxa"/>
            <w:noWrap/>
          </w:tcPr>
          <w:p w14:paraId="28799E10"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379,5</w:t>
            </w:r>
          </w:p>
        </w:tc>
        <w:tc>
          <w:tcPr>
            <w:tcW w:w="708" w:type="dxa"/>
            <w:noWrap/>
          </w:tcPr>
          <w:p w14:paraId="5CB19E15"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395,3</w:t>
            </w:r>
          </w:p>
        </w:tc>
        <w:tc>
          <w:tcPr>
            <w:tcW w:w="709" w:type="dxa"/>
            <w:noWrap/>
          </w:tcPr>
          <w:p w14:paraId="250A7667"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412,5</w:t>
            </w:r>
          </w:p>
        </w:tc>
        <w:tc>
          <w:tcPr>
            <w:tcW w:w="709" w:type="dxa"/>
            <w:noWrap/>
          </w:tcPr>
          <w:p w14:paraId="1D6D210A"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429,2</w:t>
            </w:r>
          </w:p>
        </w:tc>
        <w:tc>
          <w:tcPr>
            <w:tcW w:w="709" w:type="dxa"/>
            <w:noWrap/>
          </w:tcPr>
          <w:p w14:paraId="7E994B61"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447,8</w:t>
            </w:r>
          </w:p>
        </w:tc>
        <w:tc>
          <w:tcPr>
            <w:tcW w:w="708" w:type="dxa"/>
            <w:noWrap/>
          </w:tcPr>
          <w:p w14:paraId="59EDC4C5"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464,7</w:t>
            </w:r>
          </w:p>
        </w:tc>
        <w:tc>
          <w:tcPr>
            <w:tcW w:w="851" w:type="dxa"/>
            <w:noWrap/>
          </w:tcPr>
          <w:p w14:paraId="11A28F36"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479,6</w:t>
            </w:r>
          </w:p>
        </w:tc>
        <w:tc>
          <w:tcPr>
            <w:tcW w:w="850" w:type="dxa"/>
          </w:tcPr>
          <w:p w14:paraId="245CD5B3"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494,9</w:t>
            </w:r>
          </w:p>
        </w:tc>
      </w:tr>
      <w:tr w:rsidR="00435783" w:rsidRPr="0090094E" w14:paraId="7ED07891" w14:textId="77777777" w:rsidTr="00AF6955">
        <w:trPr>
          <w:trHeight w:val="255"/>
        </w:trPr>
        <w:tc>
          <w:tcPr>
            <w:tcW w:w="2598" w:type="dxa"/>
            <w:noWrap/>
          </w:tcPr>
          <w:p w14:paraId="5789D146"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p>
        </w:tc>
        <w:tc>
          <w:tcPr>
            <w:tcW w:w="709" w:type="dxa"/>
            <w:noWrap/>
          </w:tcPr>
          <w:p w14:paraId="5D2E61F0"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437</w:t>
            </w:r>
            <w:r>
              <w:rPr>
                <w:rFonts w:ascii="Times New Roman" w:hAnsi="Times New Roman"/>
                <w:sz w:val="20"/>
              </w:rPr>
              <w:t>,0</w:t>
            </w:r>
          </w:p>
        </w:tc>
        <w:tc>
          <w:tcPr>
            <w:tcW w:w="709" w:type="dxa"/>
            <w:noWrap/>
          </w:tcPr>
          <w:p w14:paraId="57702986"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457,9</w:t>
            </w:r>
          </w:p>
        </w:tc>
        <w:tc>
          <w:tcPr>
            <w:tcW w:w="709" w:type="dxa"/>
            <w:noWrap/>
          </w:tcPr>
          <w:p w14:paraId="04F5E4C2"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485,9</w:t>
            </w:r>
          </w:p>
        </w:tc>
        <w:tc>
          <w:tcPr>
            <w:tcW w:w="708" w:type="dxa"/>
            <w:noWrap/>
          </w:tcPr>
          <w:p w14:paraId="6855893E"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506,9</w:t>
            </w:r>
          </w:p>
        </w:tc>
        <w:tc>
          <w:tcPr>
            <w:tcW w:w="709" w:type="dxa"/>
            <w:noWrap/>
          </w:tcPr>
          <w:p w14:paraId="347EF427"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528,7</w:t>
            </w:r>
          </w:p>
        </w:tc>
        <w:tc>
          <w:tcPr>
            <w:tcW w:w="709" w:type="dxa"/>
            <w:noWrap/>
          </w:tcPr>
          <w:p w14:paraId="056953D7"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551,3</w:t>
            </w:r>
          </w:p>
        </w:tc>
        <w:tc>
          <w:tcPr>
            <w:tcW w:w="709" w:type="dxa"/>
            <w:noWrap/>
          </w:tcPr>
          <w:p w14:paraId="34C20026"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578,9</w:t>
            </w:r>
          </w:p>
        </w:tc>
        <w:tc>
          <w:tcPr>
            <w:tcW w:w="708" w:type="dxa"/>
            <w:noWrap/>
          </w:tcPr>
          <w:p w14:paraId="118C8F9E"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603,2</w:t>
            </w:r>
          </w:p>
        </w:tc>
        <w:tc>
          <w:tcPr>
            <w:tcW w:w="851" w:type="dxa"/>
            <w:noWrap/>
          </w:tcPr>
          <w:p w14:paraId="586E63C2"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627</w:t>
            </w:r>
            <w:r>
              <w:rPr>
                <w:rFonts w:ascii="Times New Roman" w:hAnsi="Times New Roman"/>
                <w:sz w:val="20"/>
              </w:rPr>
              <w:t>,0</w:t>
            </w:r>
          </w:p>
        </w:tc>
        <w:tc>
          <w:tcPr>
            <w:tcW w:w="850" w:type="dxa"/>
          </w:tcPr>
          <w:p w14:paraId="1DF5EEA2"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652,6</w:t>
            </w:r>
          </w:p>
        </w:tc>
      </w:tr>
      <w:tr w:rsidR="00435783" w:rsidRPr="0090094E" w14:paraId="18653452" w14:textId="77777777" w:rsidTr="00AF6955">
        <w:trPr>
          <w:trHeight w:val="255"/>
        </w:trPr>
        <w:tc>
          <w:tcPr>
            <w:tcW w:w="2598" w:type="dxa"/>
            <w:tcBorders>
              <w:bottom w:val="single" w:sz="4" w:space="0" w:color="auto"/>
            </w:tcBorders>
            <w:noWrap/>
          </w:tcPr>
          <w:p w14:paraId="1EAE49F7" w14:textId="77777777" w:rsidR="00435783" w:rsidRPr="0090094E" w:rsidRDefault="00435783" w:rsidP="00083940">
            <w:pPr>
              <w:rPr>
                <w:rFonts w:ascii="Times New Roman" w:hAnsi="Times New Roman"/>
                <w:sz w:val="20"/>
              </w:rPr>
            </w:pPr>
            <w:r w:rsidRPr="0090094E">
              <w:rPr>
                <w:rFonts w:ascii="Times New Roman" w:hAnsi="Times New Roman"/>
                <w:sz w:val="20"/>
              </w:rPr>
              <w:t>Lønnskostnader per årsverk,</w:t>
            </w:r>
            <w:r w:rsidRPr="0090094E">
              <w:rPr>
                <w:rFonts w:ascii="Times New Roman" w:hAnsi="Times New Roman"/>
                <w:sz w:val="20"/>
              </w:rPr>
              <w:br/>
              <w:t>inkludert premieavvik</w:t>
            </w:r>
            <w:r w:rsidRPr="0090094E">
              <w:rPr>
                <w:rFonts w:ascii="Times New Roman" w:hAnsi="Times New Roman"/>
                <w:sz w:val="20"/>
                <w:vertAlign w:val="superscript"/>
              </w:rPr>
              <w:t>2</w:t>
            </w:r>
          </w:p>
        </w:tc>
        <w:tc>
          <w:tcPr>
            <w:tcW w:w="709" w:type="dxa"/>
            <w:tcBorders>
              <w:bottom w:val="single" w:sz="4" w:space="0" w:color="auto"/>
            </w:tcBorders>
            <w:noWrap/>
          </w:tcPr>
          <w:p w14:paraId="1F5842CD"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440,1</w:t>
            </w:r>
          </w:p>
        </w:tc>
        <w:tc>
          <w:tcPr>
            <w:tcW w:w="709" w:type="dxa"/>
            <w:tcBorders>
              <w:bottom w:val="single" w:sz="4" w:space="0" w:color="auto"/>
            </w:tcBorders>
            <w:noWrap/>
          </w:tcPr>
          <w:p w14:paraId="1807838C"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462</w:t>
            </w:r>
            <w:r>
              <w:rPr>
                <w:rFonts w:ascii="Times New Roman" w:hAnsi="Times New Roman"/>
                <w:sz w:val="20"/>
              </w:rPr>
              <w:t>,0</w:t>
            </w:r>
          </w:p>
        </w:tc>
        <w:tc>
          <w:tcPr>
            <w:tcW w:w="709" w:type="dxa"/>
            <w:tcBorders>
              <w:bottom w:val="single" w:sz="4" w:space="0" w:color="auto"/>
            </w:tcBorders>
            <w:noWrap/>
          </w:tcPr>
          <w:p w14:paraId="734E59DD"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492,1</w:t>
            </w:r>
          </w:p>
        </w:tc>
        <w:tc>
          <w:tcPr>
            <w:tcW w:w="708" w:type="dxa"/>
            <w:tcBorders>
              <w:bottom w:val="single" w:sz="4" w:space="0" w:color="auto"/>
            </w:tcBorders>
            <w:noWrap/>
          </w:tcPr>
          <w:p w14:paraId="1FDA627B"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510,7</w:t>
            </w:r>
          </w:p>
        </w:tc>
        <w:tc>
          <w:tcPr>
            <w:tcW w:w="709" w:type="dxa"/>
            <w:tcBorders>
              <w:bottom w:val="single" w:sz="4" w:space="0" w:color="auto"/>
            </w:tcBorders>
            <w:noWrap/>
          </w:tcPr>
          <w:p w14:paraId="1800D171"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533,9</w:t>
            </w:r>
          </w:p>
        </w:tc>
        <w:tc>
          <w:tcPr>
            <w:tcW w:w="709" w:type="dxa"/>
            <w:tcBorders>
              <w:bottom w:val="single" w:sz="4" w:space="0" w:color="auto"/>
            </w:tcBorders>
            <w:noWrap/>
          </w:tcPr>
          <w:p w14:paraId="726F9DD6"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551,8</w:t>
            </w:r>
          </w:p>
        </w:tc>
        <w:tc>
          <w:tcPr>
            <w:tcW w:w="709" w:type="dxa"/>
            <w:tcBorders>
              <w:bottom w:val="single" w:sz="4" w:space="0" w:color="auto"/>
            </w:tcBorders>
            <w:noWrap/>
          </w:tcPr>
          <w:p w14:paraId="3F070704"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585,4</w:t>
            </w:r>
          </w:p>
        </w:tc>
        <w:tc>
          <w:tcPr>
            <w:tcW w:w="708" w:type="dxa"/>
            <w:tcBorders>
              <w:bottom w:val="single" w:sz="4" w:space="0" w:color="auto"/>
            </w:tcBorders>
            <w:noWrap/>
          </w:tcPr>
          <w:p w14:paraId="0BA4EA11"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602,6</w:t>
            </w:r>
          </w:p>
        </w:tc>
        <w:tc>
          <w:tcPr>
            <w:tcW w:w="851" w:type="dxa"/>
            <w:tcBorders>
              <w:bottom w:val="single" w:sz="4" w:space="0" w:color="auto"/>
            </w:tcBorders>
            <w:noWrap/>
          </w:tcPr>
          <w:p w14:paraId="50B437D6"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632,2</w:t>
            </w:r>
          </w:p>
        </w:tc>
        <w:tc>
          <w:tcPr>
            <w:tcW w:w="850" w:type="dxa"/>
            <w:tcBorders>
              <w:bottom w:val="single" w:sz="4" w:space="0" w:color="auto"/>
            </w:tcBorders>
          </w:tcPr>
          <w:p w14:paraId="2CCEE648" w14:textId="77777777" w:rsidR="00435783" w:rsidRPr="0090094E" w:rsidRDefault="00435783" w:rsidP="00083940">
            <w:pPr>
              <w:jc w:val="right"/>
              <w:rPr>
                <w:rFonts w:ascii="Times New Roman" w:hAnsi="Times New Roman"/>
                <w:sz w:val="20"/>
              </w:rPr>
            </w:pPr>
            <w:r w:rsidRPr="00305423">
              <w:rPr>
                <w:rFonts w:ascii="Times New Roman" w:hAnsi="Times New Roman"/>
                <w:sz w:val="20"/>
              </w:rPr>
              <w:t>-</w:t>
            </w:r>
          </w:p>
        </w:tc>
      </w:tr>
    </w:tbl>
    <w:p w14:paraId="7D94F14C" w14:textId="77777777" w:rsidR="00435783" w:rsidRPr="00026A31" w:rsidRDefault="00435783" w:rsidP="00136713">
      <w:pPr>
        <w:pStyle w:val="tabell-noter"/>
        <w:spacing w:before="0"/>
        <w:ind w:left="-284"/>
      </w:pPr>
      <w:r w:rsidRPr="00A6055A">
        <w:t xml:space="preserve">* Foreløpige tall. </w:t>
      </w:r>
    </w:p>
    <w:p w14:paraId="55F9E3B3" w14:textId="77777777" w:rsidR="00435783" w:rsidRPr="00531416" w:rsidRDefault="00435783" w:rsidP="00136713">
      <w:pPr>
        <w:pStyle w:val="tabell-noter"/>
        <w:numPr>
          <w:ilvl w:val="0"/>
          <w:numId w:val="49"/>
        </w:numPr>
        <w:tabs>
          <w:tab w:val="clear" w:pos="284"/>
          <w:tab w:val="left" w:pos="-142"/>
        </w:tabs>
        <w:ind w:left="-142" w:hanging="142"/>
      </w:pPr>
      <w:r w:rsidRPr="00531416">
        <w:t>Tidligere kalt lønn per normalårsverk</w:t>
      </w:r>
      <w:r>
        <w:t>.</w:t>
      </w:r>
    </w:p>
    <w:p w14:paraId="6EA123DD" w14:textId="77777777" w:rsidR="00435783" w:rsidRPr="00026A31" w:rsidRDefault="00435783" w:rsidP="00136713">
      <w:pPr>
        <w:pStyle w:val="tabell-noter"/>
        <w:numPr>
          <w:ilvl w:val="0"/>
          <w:numId w:val="49"/>
        </w:numPr>
        <w:tabs>
          <w:tab w:val="clear" w:pos="284"/>
          <w:tab w:val="left" w:pos="-142"/>
        </w:tabs>
        <w:ind w:left="-142" w:hanging="142"/>
      </w:pPr>
      <w:r w:rsidRPr="00026A31">
        <w:t>Omfatter såkalte premieavvik i kommunene. Dette er definert som avvik mellom netto pensjonskostnad og betalt pensjonspremie.</w:t>
      </w:r>
    </w:p>
    <w:p w14:paraId="36E9CD52" w14:textId="77777777" w:rsidR="00435783" w:rsidRDefault="00435783" w:rsidP="00136713">
      <w:pPr>
        <w:pStyle w:val="Kilde"/>
        <w:ind w:left="-284"/>
        <w:rPr>
          <w:noProof/>
        </w:rPr>
      </w:pPr>
      <w:r w:rsidRPr="00B303A1">
        <w:rPr>
          <w:noProof/>
        </w:rPr>
        <w:t>Kilde: Nasjonalregnskapet</w:t>
      </w:r>
      <w:r>
        <w:rPr>
          <w:noProof/>
        </w:rPr>
        <w:t>,</w:t>
      </w:r>
      <w:r w:rsidRPr="00B303A1">
        <w:rPr>
          <w:noProof/>
        </w:rPr>
        <w:t xml:space="preserve"> Statistisk sentralbyrå</w:t>
      </w:r>
    </w:p>
    <w:p w14:paraId="42769C54" w14:textId="0E03EF7C" w:rsidR="00435783" w:rsidRPr="00657DCF" w:rsidRDefault="00435783" w:rsidP="00435783">
      <w:pPr>
        <w:pStyle w:val="tabell-tittel"/>
        <w:numPr>
          <w:ilvl w:val="0"/>
          <w:numId w:val="0"/>
        </w:numPr>
      </w:pPr>
      <w:r>
        <w:t xml:space="preserve">Tabell 2.3 </w:t>
      </w:r>
      <w:r w:rsidRPr="00657DCF">
        <w:t>Gjennomsnittlig vekst i årslønn, lønn per årsverk og lønnskostnader per årsverk. Prosentvis vekst fra året før.</w:t>
      </w:r>
    </w:p>
    <w:tbl>
      <w:tblPr>
        <w:tblStyle w:val="StandardTabell"/>
        <w:tblW w:w="9968" w:type="dxa"/>
        <w:tblInd w:w="-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54"/>
        <w:gridCol w:w="708"/>
        <w:gridCol w:w="708"/>
        <w:gridCol w:w="698"/>
        <w:gridCol w:w="714"/>
        <w:gridCol w:w="207"/>
        <w:gridCol w:w="506"/>
        <w:gridCol w:w="714"/>
        <w:gridCol w:w="221"/>
        <w:gridCol w:w="486"/>
        <w:gridCol w:w="285"/>
        <w:gridCol w:w="425"/>
        <w:gridCol w:w="730"/>
        <w:gridCol w:w="339"/>
        <w:gridCol w:w="518"/>
        <w:gridCol w:w="255"/>
      </w:tblGrid>
      <w:tr w:rsidR="00AF6955" w:rsidRPr="007F1F10" w14:paraId="69D016A5" w14:textId="77777777" w:rsidTr="00136713">
        <w:trPr>
          <w:gridAfter w:val="1"/>
          <w:wAfter w:w="128" w:type="pct"/>
          <w:trHeight w:val="113"/>
        </w:trPr>
        <w:tc>
          <w:tcPr>
            <w:tcW w:w="1231" w:type="pct"/>
            <w:tcBorders>
              <w:top w:val="single" w:sz="4" w:space="0" w:color="auto"/>
              <w:bottom w:val="single" w:sz="4" w:space="0" w:color="auto"/>
            </w:tcBorders>
            <w:noWrap/>
          </w:tcPr>
          <w:p w14:paraId="5B581EAD" w14:textId="77777777" w:rsidR="00435783" w:rsidRPr="007F1F10" w:rsidRDefault="00435783" w:rsidP="00083940">
            <w:pPr>
              <w:spacing w:after="0"/>
              <w:rPr>
                <w:rFonts w:ascii="Times New Roman" w:hAnsi="Times New Roman"/>
                <w:sz w:val="20"/>
              </w:rPr>
            </w:pPr>
          </w:p>
        </w:tc>
        <w:tc>
          <w:tcPr>
            <w:tcW w:w="355" w:type="pct"/>
            <w:tcBorders>
              <w:top w:val="single" w:sz="4" w:space="0" w:color="auto"/>
              <w:bottom w:val="single" w:sz="4" w:space="0" w:color="auto"/>
            </w:tcBorders>
            <w:noWrap/>
          </w:tcPr>
          <w:p w14:paraId="5E9DBCB8"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2006</w:t>
            </w:r>
          </w:p>
        </w:tc>
        <w:tc>
          <w:tcPr>
            <w:tcW w:w="355" w:type="pct"/>
            <w:tcBorders>
              <w:top w:val="single" w:sz="4" w:space="0" w:color="auto"/>
              <w:bottom w:val="single" w:sz="4" w:space="0" w:color="auto"/>
            </w:tcBorders>
            <w:noWrap/>
          </w:tcPr>
          <w:p w14:paraId="645DD1EF"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2007</w:t>
            </w:r>
          </w:p>
        </w:tc>
        <w:tc>
          <w:tcPr>
            <w:tcW w:w="350" w:type="pct"/>
            <w:tcBorders>
              <w:top w:val="single" w:sz="4" w:space="0" w:color="auto"/>
              <w:bottom w:val="single" w:sz="4" w:space="0" w:color="auto"/>
            </w:tcBorders>
            <w:noWrap/>
          </w:tcPr>
          <w:p w14:paraId="7E4B97A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2008</w:t>
            </w:r>
          </w:p>
        </w:tc>
        <w:tc>
          <w:tcPr>
            <w:tcW w:w="358" w:type="pct"/>
            <w:tcBorders>
              <w:top w:val="single" w:sz="4" w:space="0" w:color="auto"/>
              <w:bottom w:val="single" w:sz="4" w:space="0" w:color="auto"/>
            </w:tcBorders>
            <w:noWrap/>
          </w:tcPr>
          <w:p w14:paraId="3506266E"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2009</w:t>
            </w:r>
          </w:p>
        </w:tc>
        <w:tc>
          <w:tcPr>
            <w:tcW w:w="358" w:type="pct"/>
            <w:gridSpan w:val="2"/>
            <w:tcBorders>
              <w:top w:val="single" w:sz="4" w:space="0" w:color="auto"/>
              <w:bottom w:val="single" w:sz="4" w:space="0" w:color="auto"/>
            </w:tcBorders>
            <w:noWrap/>
          </w:tcPr>
          <w:p w14:paraId="47FD238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2010</w:t>
            </w:r>
          </w:p>
        </w:tc>
        <w:tc>
          <w:tcPr>
            <w:tcW w:w="358" w:type="pct"/>
            <w:tcBorders>
              <w:top w:val="single" w:sz="4" w:space="0" w:color="auto"/>
              <w:bottom w:val="single" w:sz="4" w:space="0" w:color="auto"/>
            </w:tcBorders>
            <w:noWrap/>
          </w:tcPr>
          <w:p w14:paraId="5547C1A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2011</w:t>
            </w:r>
          </w:p>
        </w:tc>
        <w:tc>
          <w:tcPr>
            <w:tcW w:w="355" w:type="pct"/>
            <w:gridSpan w:val="2"/>
            <w:tcBorders>
              <w:top w:val="single" w:sz="4" w:space="0" w:color="auto"/>
              <w:bottom w:val="single" w:sz="4" w:space="0" w:color="auto"/>
            </w:tcBorders>
            <w:noWrap/>
          </w:tcPr>
          <w:p w14:paraId="3CDD5A45"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2012</w:t>
            </w:r>
          </w:p>
        </w:tc>
        <w:tc>
          <w:tcPr>
            <w:tcW w:w="356" w:type="pct"/>
            <w:gridSpan w:val="2"/>
            <w:tcBorders>
              <w:top w:val="single" w:sz="4" w:space="0" w:color="auto"/>
              <w:bottom w:val="single" w:sz="4" w:space="0" w:color="auto"/>
            </w:tcBorders>
            <w:noWrap/>
          </w:tcPr>
          <w:p w14:paraId="12DCD5C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2013</w:t>
            </w:r>
          </w:p>
        </w:tc>
        <w:tc>
          <w:tcPr>
            <w:tcW w:w="366" w:type="pct"/>
            <w:tcBorders>
              <w:top w:val="single" w:sz="4" w:space="0" w:color="auto"/>
              <w:bottom w:val="single" w:sz="4" w:space="0" w:color="auto"/>
            </w:tcBorders>
            <w:noWrap/>
          </w:tcPr>
          <w:p w14:paraId="3D02A696"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2014*</w:t>
            </w:r>
          </w:p>
        </w:tc>
        <w:tc>
          <w:tcPr>
            <w:tcW w:w="430" w:type="pct"/>
            <w:gridSpan w:val="2"/>
            <w:tcBorders>
              <w:top w:val="single" w:sz="4" w:space="0" w:color="auto"/>
              <w:bottom w:val="single" w:sz="4" w:space="0" w:color="auto"/>
            </w:tcBorders>
          </w:tcPr>
          <w:p w14:paraId="29BD9A2A"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2015*</w:t>
            </w:r>
          </w:p>
        </w:tc>
      </w:tr>
      <w:tr w:rsidR="00AF6955" w:rsidRPr="0090094E" w14:paraId="4151AFFF" w14:textId="77777777" w:rsidTr="00136713">
        <w:trPr>
          <w:gridAfter w:val="1"/>
          <w:wAfter w:w="128" w:type="pct"/>
          <w:trHeight w:val="113"/>
        </w:trPr>
        <w:tc>
          <w:tcPr>
            <w:tcW w:w="1231" w:type="pct"/>
            <w:noWrap/>
          </w:tcPr>
          <w:p w14:paraId="6F01AC87" w14:textId="77777777" w:rsidR="00435783" w:rsidRPr="007F1F10" w:rsidRDefault="00435783" w:rsidP="00083940">
            <w:pPr>
              <w:spacing w:after="0"/>
              <w:rPr>
                <w:rFonts w:ascii="Times New Roman" w:hAnsi="Times New Roman"/>
                <w:bCs/>
                <w:i/>
                <w:sz w:val="20"/>
              </w:rPr>
            </w:pPr>
            <w:r w:rsidRPr="007F1F10">
              <w:rPr>
                <w:rFonts w:ascii="Times New Roman" w:hAnsi="Times New Roman"/>
                <w:i/>
                <w:sz w:val="20"/>
              </w:rPr>
              <w:t>Totalt</w:t>
            </w:r>
          </w:p>
        </w:tc>
        <w:tc>
          <w:tcPr>
            <w:tcW w:w="355" w:type="pct"/>
            <w:noWrap/>
          </w:tcPr>
          <w:p w14:paraId="2E44A929" w14:textId="77777777" w:rsidR="00435783" w:rsidRPr="0090094E" w:rsidRDefault="00435783" w:rsidP="00083940">
            <w:pPr>
              <w:spacing w:after="0"/>
              <w:jc w:val="right"/>
              <w:rPr>
                <w:rFonts w:ascii="Times New Roman" w:hAnsi="Times New Roman"/>
                <w:sz w:val="20"/>
              </w:rPr>
            </w:pPr>
          </w:p>
        </w:tc>
        <w:tc>
          <w:tcPr>
            <w:tcW w:w="355" w:type="pct"/>
            <w:noWrap/>
          </w:tcPr>
          <w:p w14:paraId="1B1A55F3" w14:textId="77777777" w:rsidR="00435783" w:rsidRPr="0090094E" w:rsidRDefault="00435783" w:rsidP="00083940">
            <w:pPr>
              <w:spacing w:after="0"/>
              <w:jc w:val="right"/>
              <w:rPr>
                <w:rFonts w:ascii="Times New Roman" w:hAnsi="Times New Roman"/>
                <w:sz w:val="20"/>
              </w:rPr>
            </w:pPr>
          </w:p>
        </w:tc>
        <w:tc>
          <w:tcPr>
            <w:tcW w:w="350" w:type="pct"/>
            <w:noWrap/>
          </w:tcPr>
          <w:p w14:paraId="5C600CC3" w14:textId="77777777" w:rsidR="00435783" w:rsidRPr="0090094E" w:rsidRDefault="00435783" w:rsidP="00083940">
            <w:pPr>
              <w:spacing w:after="0"/>
              <w:jc w:val="right"/>
              <w:rPr>
                <w:rFonts w:ascii="Times New Roman" w:hAnsi="Times New Roman"/>
                <w:sz w:val="20"/>
              </w:rPr>
            </w:pPr>
          </w:p>
        </w:tc>
        <w:tc>
          <w:tcPr>
            <w:tcW w:w="358" w:type="pct"/>
            <w:noWrap/>
          </w:tcPr>
          <w:p w14:paraId="6BD68B99" w14:textId="77777777" w:rsidR="00435783" w:rsidRPr="0090094E" w:rsidRDefault="00435783" w:rsidP="00083940">
            <w:pPr>
              <w:spacing w:after="0"/>
              <w:jc w:val="right"/>
              <w:rPr>
                <w:rFonts w:ascii="Times New Roman" w:hAnsi="Times New Roman"/>
                <w:sz w:val="20"/>
              </w:rPr>
            </w:pPr>
          </w:p>
        </w:tc>
        <w:tc>
          <w:tcPr>
            <w:tcW w:w="358" w:type="pct"/>
            <w:gridSpan w:val="2"/>
            <w:noWrap/>
          </w:tcPr>
          <w:p w14:paraId="20B668F7" w14:textId="77777777" w:rsidR="00435783" w:rsidRPr="0090094E" w:rsidRDefault="00435783" w:rsidP="00083940">
            <w:pPr>
              <w:spacing w:after="0"/>
              <w:jc w:val="right"/>
              <w:rPr>
                <w:rFonts w:ascii="Times New Roman" w:hAnsi="Times New Roman"/>
                <w:sz w:val="20"/>
              </w:rPr>
            </w:pPr>
          </w:p>
        </w:tc>
        <w:tc>
          <w:tcPr>
            <w:tcW w:w="469" w:type="pct"/>
            <w:gridSpan w:val="2"/>
            <w:noWrap/>
          </w:tcPr>
          <w:p w14:paraId="10E5934A" w14:textId="77777777" w:rsidR="00435783" w:rsidRPr="0090094E" w:rsidRDefault="00435783" w:rsidP="00083940">
            <w:pPr>
              <w:spacing w:after="0"/>
              <w:jc w:val="right"/>
              <w:rPr>
                <w:rFonts w:ascii="Times New Roman" w:hAnsi="Times New Roman"/>
                <w:sz w:val="20"/>
              </w:rPr>
            </w:pPr>
          </w:p>
        </w:tc>
        <w:tc>
          <w:tcPr>
            <w:tcW w:w="387" w:type="pct"/>
            <w:gridSpan w:val="2"/>
            <w:noWrap/>
          </w:tcPr>
          <w:p w14:paraId="52504344" w14:textId="77777777" w:rsidR="00435783" w:rsidRPr="0090094E" w:rsidRDefault="00435783" w:rsidP="00083940">
            <w:pPr>
              <w:spacing w:after="0"/>
              <w:jc w:val="right"/>
              <w:rPr>
                <w:rFonts w:ascii="Times New Roman" w:hAnsi="Times New Roman"/>
                <w:sz w:val="20"/>
              </w:rPr>
            </w:pPr>
          </w:p>
        </w:tc>
        <w:tc>
          <w:tcPr>
            <w:tcW w:w="212" w:type="pct"/>
            <w:noWrap/>
          </w:tcPr>
          <w:p w14:paraId="6C31692F" w14:textId="77777777" w:rsidR="00435783" w:rsidRPr="0090094E" w:rsidRDefault="00435783" w:rsidP="00083940">
            <w:pPr>
              <w:spacing w:after="0"/>
              <w:jc w:val="right"/>
              <w:rPr>
                <w:rFonts w:ascii="Times New Roman" w:hAnsi="Times New Roman"/>
                <w:sz w:val="20"/>
              </w:rPr>
            </w:pPr>
          </w:p>
        </w:tc>
        <w:tc>
          <w:tcPr>
            <w:tcW w:w="366" w:type="pct"/>
            <w:noWrap/>
          </w:tcPr>
          <w:p w14:paraId="3E9D15FA" w14:textId="77777777" w:rsidR="00435783" w:rsidRPr="0090094E" w:rsidRDefault="00435783" w:rsidP="00083940">
            <w:pPr>
              <w:spacing w:after="0"/>
              <w:jc w:val="right"/>
              <w:rPr>
                <w:rFonts w:ascii="Times New Roman" w:hAnsi="Times New Roman"/>
                <w:sz w:val="20"/>
              </w:rPr>
            </w:pPr>
          </w:p>
        </w:tc>
        <w:tc>
          <w:tcPr>
            <w:tcW w:w="430" w:type="pct"/>
            <w:gridSpan w:val="2"/>
          </w:tcPr>
          <w:p w14:paraId="2B60F2DC" w14:textId="77777777" w:rsidR="00435783" w:rsidRPr="0090094E" w:rsidRDefault="00435783" w:rsidP="00083940">
            <w:pPr>
              <w:spacing w:after="0"/>
              <w:jc w:val="right"/>
              <w:rPr>
                <w:rFonts w:ascii="Times New Roman" w:hAnsi="Times New Roman"/>
                <w:sz w:val="20"/>
              </w:rPr>
            </w:pPr>
          </w:p>
        </w:tc>
      </w:tr>
      <w:tr w:rsidR="00AF6955" w:rsidRPr="007F1F10" w14:paraId="29921413" w14:textId="77777777" w:rsidTr="00136713">
        <w:trPr>
          <w:gridAfter w:val="1"/>
          <w:wAfter w:w="128" w:type="pct"/>
          <w:trHeight w:val="234"/>
        </w:trPr>
        <w:tc>
          <w:tcPr>
            <w:tcW w:w="1231" w:type="pct"/>
            <w:noWrap/>
          </w:tcPr>
          <w:p w14:paraId="75D9ADD0" w14:textId="77777777" w:rsidR="00435783" w:rsidRPr="007F1F10" w:rsidRDefault="00435783" w:rsidP="00083940">
            <w:pPr>
              <w:rPr>
                <w:rFonts w:ascii="Times New Roman" w:hAnsi="Times New Roman"/>
                <w:sz w:val="20"/>
              </w:rPr>
            </w:pPr>
            <w:r w:rsidRPr="007F1F10">
              <w:rPr>
                <w:rFonts w:ascii="Times New Roman" w:hAnsi="Times New Roman"/>
                <w:sz w:val="20"/>
              </w:rPr>
              <w:t>Årslønn, påløpt</w:t>
            </w:r>
          </w:p>
        </w:tc>
        <w:tc>
          <w:tcPr>
            <w:tcW w:w="355" w:type="pct"/>
            <w:noWrap/>
          </w:tcPr>
          <w:p w14:paraId="3AEDFF25" w14:textId="77777777" w:rsidR="00435783" w:rsidRPr="0090094E" w:rsidRDefault="00435783" w:rsidP="00083940">
            <w:pPr>
              <w:jc w:val="right"/>
              <w:rPr>
                <w:rFonts w:ascii="Times New Roman" w:hAnsi="Times New Roman"/>
                <w:sz w:val="20"/>
              </w:rPr>
            </w:pPr>
            <w:r>
              <w:rPr>
                <w:rFonts w:ascii="Times New Roman" w:hAnsi="Times New Roman"/>
                <w:sz w:val="20"/>
              </w:rPr>
              <w:t>4,1</w:t>
            </w:r>
          </w:p>
        </w:tc>
        <w:tc>
          <w:tcPr>
            <w:tcW w:w="355" w:type="pct"/>
            <w:noWrap/>
          </w:tcPr>
          <w:p w14:paraId="57620E93" w14:textId="77777777" w:rsidR="00435783" w:rsidRPr="0090094E" w:rsidRDefault="00435783" w:rsidP="00083940">
            <w:pPr>
              <w:jc w:val="right"/>
              <w:rPr>
                <w:rFonts w:ascii="Times New Roman" w:hAnsi="Times New Roman"/>
                <w:sz w:val="20"/>
              </w:rPr>
            </w:pPr>
            <w:r>
              <w:rPr>
                <w:rFonts w:ascii="Times New Roman" w:hAnsi="Times New Roman"/>
                <w:sz w:val="20"/>
              </w:rPr>
              <w:t>5,4</w:t>
            </w:r>
          </w:p>
        </w:tc>
        <w:tc>
          <w:tcPr>
            <w:tcW w:w="350" w:type="pct"/>
            <w:noWrap/>
          </w:tcPr>
          <w:p w14:paraId="67D5F8F6" w14:textId="77777777" w:rsidR="00435783" w:rsidRPr="0090094E" w:rsidRDefault="00435783" w:rsidP="00083940">
            <w:pPr>
              <w:jc w:val="right"/>
              <w:rPr>
                <w:rFonts w:ascii="Times New Roman" w:hAnsi="Times New Roman"/>
                <w:sz w:val="20"/>
              </w:rPr>
            </w:pPr>
            <w:r>
              <w:rPr>
                <w:rFonts w:ascii="Times New Roman" w:hAnsi="Times New Roman"/>
                <w:sz w:val="20"/>
              </w:rPr>
              <w:t>6,3</w:t>
            </w:r>
          </w:p>
        </w:tc>
        <w:tc>
          <w:tcPr>
            <w:tcW w:w="358" w:type="pct"/>
            <w:noWrap/>
          </w:tcPr>
          <w:p w14:paraId="16BCF43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w:t>
            </w:r>
          </w:p>
        </w:tc>
        <w:tc>
          <w:tcPr>
            <w:tcW w:w="358" w:type="pct"/>
            <w:gridSpan w:val="2"/>
            <w:noWrap/>
          </w:tcPr>
          <w:p w14:paraId="69F1F609"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3,7</w:t>
            </w:r>
          </w:p>
        </w:tc>
        <w:tc>
          <w:tcPr>
            <w:tcW w:w="358" w:type="pct"/>
            <w:noWrap/>
          </w:tcPr>
          <w:p w14:paraId="0278B47B"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4,2</w:t>
            </w:r>
          </w:p>
        </w:tc>
        <w:tc>
          <w:tcPr>
            <w:tcW w:w="355" w:type="pct"/>
            <w:gridSpan w:val="2"/>
            <w:noWrap/>
          </w:tcPr>
          <w:p w14:paraId="6BB073CD"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4,0</w:t>
            </w:r>
          </w:p>
        </w:tc>
        <w:tc>
          <w:tcPr>
            <w:tcW w:w="356" w:type="pct"/>
            <w:gridSpan w:val="2"/>
            <w:noWrap/>
          </w:tcPr>
          <w:p w14:paraId="6B576440"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3,9</w:t>
            </w:r>
          </w:p>
        </w:tc>
        <w:tc>
          <w:tcPr>
            <w:tcW w:w="366" w:type="pct"/>
            <w:noWrap/>
          </w:tcPr>
          <w:p w14:paraId="12ADE7DC" w14:textId="77777777" w:rsidR="00435783" w:rsidRPr="0090094E" w:rsidRDefault="00435783" w:rsidP="00083940">
            <w:pPr>
              <w:jc w:val="right"/>
              <w:rPr>
                <w:rFonts w:ascii="Times New Roman" w:hAnsi="Times New Roman"/>
                <w:sz w:val="20"/>
              </w:rPr>
            </w:pPr>
            <w:r w:rsidRPr="0090094E">
              <w:rPr>
                <w:rFonts w:ascii="Times New Roman" w:hAnsi="Times New Roman"/>
                <w:sz w:val="20"/>
              </w:rPr>
              <w:t>3,1</w:t>
            </w:r>
          </w:p>
        </w:tc>
        <w:tc>
          <w:tcPr>
            <w:tcW w:w="430" w:type="pct"/>
            <w:gridSpan w:val="2"/>
          </w:tcPr>
          <w:p w14:paraId="34A49919" w14:textId="77777777" w:rsidR="00435783" w:rsidRPr="0090094E" w:rsidRDefault="00435783" w:rsidP="00083940">
            <w:pPr>
              <w:spacing w:after="0"/>
              <w:jc w:val="right"/>
              <w:rPr>
                <w:rFonts w:ascii="Times New Roman" w:hAnsi="Times New Roman"/>
                <w:sz w:val="20"/>
              </w:rPr>
            </w:pPr>
            <w:r w:rsidRPr="0090094E">
              <w:rPr>
                <w:rFonts w:ascii="Times New Roman" w:hAnsi="Times New Roman"/>
                <w:sz w:val="20"/>
              </w:rPr>
              <w:t>2,8</w:t>
            </w:r>
          </w:p>
        </w:tc>
      </w:tr>
      <w:tr w:rsidR="00AF6955" w:rsidRPr="007F1F10" w14:paraId="4F35E672" w14:textId="77777777" w:rsidTr="00136713">
        <w:trPr>
          <w:gridAfter w:val="1"/>
          <w:wAfter w:w="128" w:type="pct"/>
          <w:trHeight w:val="113"/>
        </w:trPr>
        <w:tc>
          <w:tcPr>
            <w:tcW w:w="1231" w:type="pct"/>
            <w:noWrap/>
          </w:tcPr>
          <w:p w14:paraId="6418D506"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p>
        </w:tc>
        <w:tc>
          <w:tcPr>
            <w:tcW w:w="355" w:type="pct"/>
            <w:noWrap/>
          </w:tcPr>
          <w:p w14:paraId="27B122E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55" w:type="pct"/>
            <w:noWrap/>
          </w:tcPr>
          <w:p w14:paraId="51946B4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5,1</w:t>
            </w:r>
          </w:p>
        </w:tc>
        <w:tc>
          <w:tcPr>
            <w:tcW w:w="350" w:type="pct"/>
            <w:noWrap/>
          </w:tcPr>
          <w:p w14:paraId="45E3821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5,5</w:t>
            </w:r>
          </w:p>
        </w:tc>
        <w:tc>
          <w:tcPr>
            <w:tcW w:w="358" w:type="pct"/>
            <w:noWrap/>
          </w:tcPr>
          <w:p w14:paraId="44019DC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58" w:type="pct"/>
            <w:gridSpan w:val="2"/>
            <w:noWrap/>
          </w:tcPr>
          <w:p w14:paraId="0D0E4F0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4,0</w:t>
            </w:r>
          </w:p>
        </w:tc>
        <w:tc>
          <w:tcPr>
            <w:tcW w:w="358" w:type="pct"/>
            <w:noWrap/>
          </w:tcPr>
          <w:p w14:paraId="78F9BB4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5" w:type="pct"/>
            <w:gridSpan w:val="2"/>
            <w:noWrap/>
          </w:tcPr>
          <w:p w14:paraId="1F93159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4,2</w:t>
            </w:r>
          </w:p>
        </w:tc>
        <w:tc>
          <w:tcPr>
            <w:tcW w:w="356" w:type="pct"/>
            <w:gridSpan w:val="2"/>
            <w:noWrap/>
          </w:tcPr>
          <w:p w14:paraId="68B0510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66" w:type="pct"/>
            <w:noWrap/>
          </w:tcPr>
          <w:p w14:paraId="4F21F14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2,9</w:t>
            </w:r>
          </w:p>
        </w:tc>
        <w:tc>
          <w:tcPr>
            <w:tcW w:w="430" w:type="pct"/>
            <w:gridSpan w:val="2"/>
          </w:tcPr>
          <w:p w14:paraId="643137C8"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2,5</w:t>
            </w:r>
          </w:p>
        </w:tc>
      </w:tr>
      <w:tr w:rsidR="00AF6955" w:rsidRPr="007F1F10" w14:paraId="05AFEED6" w14:textId="77777777" w:rsidTr="00136713">
        <w:trPr>
          <w:gridAfter w:val="1"/>
          <w:wAfter w:w="128" w:type="pct"/>
          <w:trHeight w:val="113"/>
        </w:trPr>
        <w:tc>
          <w:tcPr>
            <w:tcW w:w="1231" w:type="pct"/>
            <w:noWrap/>
          </w:tcPr>
          <w:p w14:paraId="61D687BE"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7E22662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4,2</w:t>
            </w:r>
          </w:p>
        </w:tc>
        <w:tc>
          <w:tcPr>
            <w:tcW w:w="355" w:type="pct"/>
            <w:noWrap/>
          </w:tcPr>
          <w:p w14:paraId="08B6CA9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5,3</w:t>
            </w:r>
          </w:p>
        </w:tc>
        <w:tc>
          <w:tcPr>
            <w:tcW w:w="350" w:type="pct"/>
            <w:noWrap/>
          </w:tcPr>
          <w:p w14:paraId="6787525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5,7</w:t>
            </w:r>
          </w:p>
        </w:tc>
        <w:tc>
          <w:tcPr>
            <w:tcW w:w="358" w:type="pct"/>
            <w:noWrap/>
          </w:tcPr>
          <w:p w14:paraId="4D6E5F4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58" w:type="pct"/>
            <w:gridSpan w:val="2"/>
            <w:noWrap/>
          </w:tcPr>
          <w:p w14:paraId="1E4AA6F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58" w:type="pct"/>
            <w:noWrap/>
          </w:tcPr>
          <w:p w14:paraId="30F4796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4,5</w:t>
            </w:r>
          </w:p>
        </w:tc>
        <w:tc>
          <w:tcPr>
            <w:tcW w:w="355" w:type="pct"/>
            <w:gridSpan w:val="2"/>
            <w:noWrap/>
          </w:tcPr>
          <w:p w14:paraId="2DE2EB58"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6" w:type="pct"/>
            <w:gridSpan w:val="2"/>
            <w:noWrap/>
          </w:tcPr>
          <w:p w14:paraId="756B50E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66" w:type="pct"/>
            <w:noWrap/>
          </w:tcPr>
          <w:p w14:paraId="310BA82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3,1</w:t>
            </w:r>
          </w:p>
        </w:tc>
        <w:tc>
          <w:tcPr>
            <w:tcW w:w="430" w:type="pct"/>
            <w:gridSpan w:val="2"/>
          </w:tcPr>
          <w:p w14:paraId="273DB75B"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2,8</w:t>
            </w:r>
          </w:p>
        </w:tc>
      </w:tr>
      <w:tr w:rsidR="00AF6955" w:rsidRPr="007F1F10" w14:paraId="5BD9835A" w14:textId="77777777" w:rsidTr="00136713">
        <w:trPr>
          <w:gridAfter w:val="1"/>
          <w:wAfter w:w="128" w:type="pct"/>
          <w:trHeight w:val="113"/>
        </w:trPr>
        <w:tc>
          <w:tcPr>
            <w:tcW w:w="1231" w:type="pct"/>
            <w:noWrap/>
          </w:tcPr>
          <w:p w14:paraId="496A33E0" w14:textId="77777777" w:rsidR="00435783" w:rsidRPr="007F1F10" w:rsidRDefault="00435783" w:rsidP="00083940">
            <w:pPr>
              <w:rPr>
                <w:rFonts w:ascii="Times New Roman" w:hAnsi="Times New Roman"/>
                <w:bCs/>
                <w:i/>
                <w:sz w:val="20"/>
              </w:rPr>
            </w:pPr>
            <w:r w:rsidRPr="007F1F10">
              <w:rPr>
                <w:rFonts w:ascii="Times New Roman" w:hAnsi="Times New Roman"/>
                <w:i/>
                <w:sz w:val="20"/>
              </w:rPr>
              <w:t>Industri</w:t>
            </w:r>
          </w:p>
        </w:tc>
        <w:tc>
          <w:tcPr>
            <w:tcW w:w="355" w:type="pct"/>
            <w:noWrap/>
          </w:tcPr>
          <w:p w14:paraId="0A54F1B1" w14:textId="77777777" w:rsidR="00435783" w:rsidRPr="007F1F10" w:rsidRDefault="00435783" w:rsidP="00083940">
            <w:pPr>
              <w:jc w:val="right"/>
              <w:rPr>
                <w:rFonts w:ascii="Times New Roman" w:hAnsi="Times New Roman"/>
                <w:sz w:val="20"/>
              </w:rPr>
            </w:pPr>
          </w:p>
        </w:tc>
        <w:tc>
          <w:tcPr>
            <w:tcW w:w="355" w:type="pct"/>
            <w:noWrap/>
          </w:tcPr>
          <w:p w14:paraId="77C8DA8E" w14:textId="77777777" w:rsidR="00435783" w:rsidRPr="007F1F10" w:rsidRDefault="00435783" w:rsidP="00083940">
            <w:pPr>
              <w:jc w:val="right"/>
              <w:rPr>
                <w:rFonts w:ascii="Times New Roman" w:hAnsi="Times New Roman"/>
                <w:sz w:val="20"/>
              </w:rPr>
            </w:pPr>
          </w:p>
        </w:tc>
        <w:tc>
          <w:tcPr>
            <w:tcW w:w="350" w:type="pct"/>
            <w:noWrap/>
          </w:tcPr>
          <w:p w14:paraId="6F756FD2" w14:textId="77777777" w:rsidR="00435783" w:rsidRPr="007F1F10" w:rsidRDefault="00435783" w:rsidP="00083940">
            <w:pPr>
              <w:jc w:val="right"/>
              <w:rPr>
                <w:rFonts w:ascii="Times New Roman" w:hAnsi="Times New Roman"/>
                <w:sz w:val="20"/>
              </w:rPr>
            </w:pPr>
          </w:p>
        </w:tc>
        <w:tc>
          <w:tcPr>
            <w:tcW w:w="358" w:type="pct"/>
            <w:noWrap/>
          </w:tcPr>
          <w:p w14:paraId="074FBD69" w14:textId="77777777" w:rsidR="00435783" w:rsidRPr="007F1F10" w:rsidRDefault="00435783" w:rsidP="00083940">
            <w:pPr>
              <w:jc w:val="right"/>
              <w:rPr>
                <w:rFonts w:ascii="Times New Roman" w:hAnsi="Times New Roman"/>
                <w:sz w:val="20"/>
              </w:rPr>
            </w:pPr>
          </w:p>
        </w:tc>
        <w:tc>
          <w:tcPr>
            <w:tcW w:w="358" w:type="pct"/>
            <w:gridSpan w:val="2"/>
            <w:noWrap/>
          </w:tcPr>
          <w:p w14:paraId="19220AD6" w14:textId="77777777" w:rsidR="00435783" w:rsidRPr="007F1F10" w:rsidRDefault="00435783" w:rsidP="00083940">
            <w:pPr>
              <w:jc w:val="right"/>
              <w:rPr>
                <w:rFonts w:ascii="Times New Roman" w:hAnsi="Times New Roman"/>
                <w:sz w:val="20"/>
              </w:rPr>
            </w:pPr>
          </w:p>
        </w:tc>
        <w:tc>
          <w:tcPr>
            <w:tcW w:w="358" w:type="pct"/>
            <w:noWrap/>
          </w:tcPr>
          <w:p w14:paraId="4A06753B" w14:textId="77777777" w:rsidR="00435783" w:rsidRPr="007F1F10" w:rsidRDefault="00435783" w:rsidP="00083940">
            <w:pPr>
              <w:jc w:val="right"/>
              <w:rPr>
                <w:rFonts w:ascii="Times New Roman" w:hAnsi="Times New Roman"/>
                <w:sz w:val="20"/>
              </w:rPr>
            </w:pPr>
          </w:p>
        </w:tc>
        <w:tc>
          <w:tcPr>
            <w:tcW w:w="355" w:type="pct"/>
            <w:gridSpan w:val="2"/>
            <w:noWrap/>
          </w:tcPr>
          <w:p w14:paraId="74CC28D4" w14:textId="77777777" w:rsidR="00435783" w:rsidRPr="007F1F10" w:rsidRDefault="00435783" w:rsidP="00083940">
            <w:pPr>
              <w:jc w:val="right"/>
              <w:rPr>
                <w:rFonts w:ascii="Times New Roman" w:hAnsi="Times New Roman"/>
                <w:sz w:val="20"/>
              </w:rPr>
            </w:pPr>
          </w:p>
        </w:tc>
        <w:tc>
          <w:tcPr>
            <w:tcW w:w="356" w:type="pct"/>
            <w:gridSpan w:val="2"/>
            <w:noWrap/>
          </w:tcPr>
          <w:p w14:paraId="57474965" w14:textId="77777777" w:rsidR="00435783" w:rsidRPr="007F1F10" w:rsidRDefault="00435783" w:rsidP="00083940">
            <w:pPr>
              <w:jc w:val="right"/>
              <w:rPr>
                <w:rFonts w:ascii="Times New Roman" w:hAnsi="Times New Roman"/>
                <w:sz w:val="20"/>
              </w:rPr>
            </w:pPr>
          </w:p>
        </w:tc>
        <w:tc>
          <w:tcPr>
            <w:tcW w:w="366" w:type="pct"/>
            <w:noWrap/>
          </w:tcPr>
          <w:p w14:paraId="64D7959C" w14:textId="77777777" w:rsidR="00435783" w:rsidRPr="007F1F10" w:rsidRDefault="00435783" w:rsidP="00083940">
            <w:pPr>
              <w:jc w:val="right"/>
              <w:rPr>
                <w:rFonts w:ascii="Times New Roman" w:hAnsi="Times New Roman"/>
                <w:sz w:val="20"/>
              </w:rPr>
            </w:pPr>
          </w:p>
        </w:tc>
        <w:tc>
          <w:tcPr>
            <w:tcW w:w="430" w:type="pct"/>
            <w:gridSpan w:val="2"/>
          </w:tcPr>
          <w:p w14:paraId="3D936D6B" w14:textId="77777777" w:rsidR="00435783" w:rsidRPr="007F1F10" w:rsidRDefault="00435783" w:rsidP="00083940">
            <w:pPr>
              <w:spacing w:after="0"/>
              <w:jc w:val="right"/>
              <w:rPr>
                <w:rFonts w:ascii="Times New Roman" w:hAnsi="Times New Roman"/>
                <w:sz w:val="20"/>
              </w:rPr>
            </w:pPr>
          </w:p>
        </w:tc>
      </w:tr>
      <w:tr w:rsidR="00AF6955" w:rsidRPr="007F1F10" w14:paraId="77D0273B" w14:textId="77777777" w:rsidTr="00136713">
        <w:trPr>
          <w:gridAfter w:val="1"/>
          <w:wAfter w:w="128" w:type="pct"/>
          <w:trHeight w:val="113"/>
        </w:trPr>
        <w:tc>
          <w:tcPr>
            <w:tcW w:w="1231" w:type="pct"/>
            <w:noWrap/>
          </w:tcPr>
          <w:p w14:paraId="4290F999" w14:textId="77777777" w:rsidR="00435783" w:rsidRPr="007F1F10" w:rsidRDefault="00435783" w:rsidP="00083940">
            <w:pPr>
              <w:rPr>
                <w:rFonts w:ascii="Times New Roman" w:hAnsi="Times New Roman"/>
                <w:sz w:val="20"/>
              </w:rPr>
            </w:pPr>
            <w:r w:rsidRPr="007F1F10">
              <w:rPr>
                <w:rFonts w:ascii="Times New Roman" w:hAnsi="Times New Roman"/>
                <w:sz w:val="20"/>
              </w:rPr>
              <w:t>Årslønn, påløpt</w:t>
            </w:r>
          </w:p>
        </w:tc>
        <w:tc>
          <w:tcPr>
            <w:tcW w:w="355" w:type="pct"/>
            <w:noWrap/>
          </w:tcPr>
          <w:p w14:paraId="4EC43D9F" w14:textId="77777777" w:rsidR="00435783" w:rsidRPr="007F1F10" w:rsidRDefault="00435783" w:rsidP="00083940">
            <w:pPr>
              <w:jc w:val="right"/>
              <w:rPr>
                <w:rFonts w:ascii="Times New Roman" w:hAnsi="Times New Roman"/>
                <w:sz w:val="20"/>
              </w:rPr>
            </w:pPr>
          </w:p>
        </w:tc>
        <w:tc>
          <w:tcPr>
            <w:tcW w:w="355" w:type="pct"/>
            <w:noWrap/>
          </w:tcPr>
          <w:p w14:paraId="597CCAD6" w14:textId="77777777" w:rsidR="00435783" w:rsidRPr="007F1F10" w:rsidRDefault="00435783" w:rsidP="00083940">
            <w:pPr>
              <w:jc w:val="right"/>
              <w:rPr>
                <w:rFonts w:ascii="Times New Roman" w:hAnsi="Times New Roman"/>
                <w:sz w:val="20"/>
              </w:rPr>
            </w:pPr>
          </w:p>
        </w:tc>
        <w:tc>
          <w:tcPr>
            <w:tcW w:w="350" w:type="pct"/>
            <w:noWrap/>
          </w:tcPr>
          <w:p w14:paraId="237E57EC" w14:textId="77777777" w:rsidR="00435783" w:rsidRPr="007F1F10" w:rsidRDefault="00435783" w:rsidP="00083940">
            <w:pPr>
              <w:jc w:val="right"/>
              <w:rPr>
                <w:rFonts w:ascii="Times New Roman" w:hAnsi="Times New Roman"/>
                <w:sz w:val="20"/>
              </w:rPr>
            </w:pPr>
          </w:p>
        </w:tc>
        <w:tc>
          <w:tcPr>
            <w:tcW w:w="358" w:type="pct"/>
            <w:noWrap/>
          </w:tcPr>
          <w:p w14:paraId="40FFCCF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4,4</w:t>
            </w:r>
          </w:p>
        </w:tc>
        <w:tc>
          <w:tcPr>
            <w:tcW w:w="358" w:type="pct"/>
            <w:gridSpan w:val="2"/>
            <w:noWrap/>
          </w:tcPr>
          <w:p w14:paraId="30668CC6"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58" w:type="pct"/>
            <w:noWrap/>
          </w:tcPr>
          <w:p w14:paraId="6933637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55" w:type="pct"/>
            <w:gridSpan w:val="2"/>
            <w:noWrap/>
          </w:tcPr>
          <w:p w14:paraId="737CB14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6" w:type="pct"/>
            <w:gridSpan w:val="2"/>
            <w:noWrap/>
          </w:tcPr>
          <w:p w14:paraId="11A9450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66" w:type="pct"/>
            <w:noWrap/>
          </w:tcPr>
          <w:p w14:paraId="25CA411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430" w:type="pct"/>
            <w:gridSpan w:val="2"/>
          </w:tcPr>
          <w:p w14:paraId="5B30BD04"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2,8</w:t>
            </w:r>
          </w:p>
        </w:tc>
      </w:tr>
      <w:tr w:rsidR="00AF6955" w:rsidRPr="007F1F10" w14:paraId="59DE4733" w14:textId="77777777" w:rsidTr="00136713">
        <w:trPr>
          <w:gridAfter w:val="1"/>
          <w:wAfter w:w="128" w:type="pct"/>
          <w:trHeight w:val="113"/>
        </w:trPr>
        <w:tc>
          <w:tcPr>
            <w:tcW w:w="1231" w:type="pct"/>
            <w:noWrap/>
          </w:tcPr>
          <w:p w14:paraId="077DE80A"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p>
        </w:tc>
        <w:tc>
          <w:tcPr>
            <w:tcW w:w="355" w:type="pct"/>
            <w:noWrap/>
          </w:tcPr>
          <w:p w14:paraId="043B86C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5,2</w:t>
            </w:r>
          </w:p>
        </w:tc>
        <w:tc>
          <w:tcPr>
            <w:tcW w:w="355" w:type="pct"/>
            <w:noWrap/>
          </w:tcPr>
          <w:p w14:paraId="7AAF1EA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4,8</w:t>
            </w:r>
          </w:p>
        </w:tc>
        <w:tc>
          <w:tcPr>
            <w:tcW w:w="350" w:type="pct"/>
            <w:noWrap/>
          </w:tcPr>
          <w:p w14:paraId="2B3868C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8" w:type="pct"/>
            <w:noWrap/>
          </w:tcPr>
          <w:p w14:paraId="2E1962D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8" w:type="pct"/>
            <w:gridSpan w:val="2"/>
            <w:noWrap/>
          </w:tcPr>
          <w:p w14:paraId="1EF231F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8" w:type="pct"/>
            <w:noWrap/>
          </w:tcPr>
          <w:p w14:paraId="4C74AD3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5" w:type="pct"/>
            <w:gridSpan w:val="2"/>
            <w:noWrap/>
          </w:tcPr>
          <w:p w14:paraId="3326364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6" w:type="pct"/>
            <w:gridSpan w:val="2"/>
            <w:noWrap/>
          </w:tcPr>
          <w:p w14:paraId="5BFD221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66" w:type="pct"/>
            <w:noWrap/>
          </w:tcPr>
          <w:p w14:paraId="19111C6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3,3</w:t>
            </w:r>
          </w:p>
        </w:tc>
        <w:tc>
          <w:tcPr>
            <w:tcW w:w="430" w:type="pct"/>
            <w:gridSpan w:val="2"/>
          </w:tcPr>
          <w:p w14:paraId="407B6BAB"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2,0</w:t>
            </w:r>
          </w:p>
        </w:tc>
      </w:tr>
      <w:tr w:rsidR="00AF6955" w:rsidRPr="007F1F10" w14:paraId="5490DA05" w14:textId="77777777" w:rsidTr="00136713">
        <w:trPr>
          <w:gridAfter w:val="1"/>
          <w:wAfter w:w="128" w:type="pct"/>
          <w:trHeight w:val="113"/>
        </w:trPr>
        <w:tc>
          <w:tcPr>
            <w:tcW w:w="1231" w:type="pct"/>
            <w:noWrap/>
          </w:tcPr>
          <w:p w14:paraId="3F5E65B1"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236FFBF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5,7</w:t>
            </w:r>
          </w:p>
        </w:tc>
        <w:tc>
          <w:tcPr>
            <w:tcW w:w="355" w:type="pct"/>
            <w:noWrap/>
          </w:tcPr>
          <w:p w14:paraId="1A20E85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0" w:type="pct"/>
            <w:noWrap/>
          </w:tcPr>
          <w:p w14:paraId="7B7E871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3,7</w:t>
            </w:r>
          </w:p>
        </w:tc>
        <w:tc>
          <w:tcPr>
            <w:tcW w:w="358" w:type="pct"/>
            <w:noWrap/>
          </w:tcPr>
          <w:p w14:paraId="401107E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2,6</w:t>
            </w:r>
          </w:p>
        </w:tc>
        <w:tc>
          <w:tcPr>
            <w:tcW w:w="358" w:type="pct"/>
            <w:gridSpan w:val="2"/>
            <w:noWrap/>
          </w:tcPr>
          <w:p w14:paraId="6869B3B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58" w:type="pct"/>
            <w:noWrap/>
          </w:tcPr>
          <w:p w14:paraId="3A212CA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5" w:type="pct"/>
            <w:gridSpan w:val="2"/>
            <w:noWrap/>
          </w:tcPr>
          <w:p w14:paraId="25BBF2F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4,8</w:t>
            </w:r>
          </w:p>
        </w:tc>
        <w:tc>
          <w:tcPr>
            <w:tcW w:w="356" w:type="pct"/>
            <w:gridSpan w:val="2"/>
            <w:noWrap/>
          </w:tcPr>
          <w:p w14:paraId="3663D85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66" w:type="pct"/>
            <w:noWrap/>
          </w:tcPr>
          <w:p w14:paraId="2F6EBAA6"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3,3</w:t>
            </w:r>
          </w:p>
        </w:tc>
        <w:tc>
          <w:tcPr>
            <w:tcW w:w="430" w:type="pct"/>
            <w:gridSpan w:val="2"/>
          </w:tcPr>
          <w:p w14:paraId="45FB4B9F"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2,1</w:t>
            </w:r>
          </w:p>
        </w:tc>
      </w:tr>
      <w:tr w:rsidR="00AF6955" w:rsidRPr="007F1F10" w14:paraId="0AD6BB70" w14:textId="77777777" w:rsidTr="00136713">
        <w:trPr>
          <w:gridAfter w:val="1"/>
          <w:wAfter w:w="128" w:type="pct"/>
          <w:trHeight w:val="113"/>
        </w:trPr>
        <w:tc>
          <w:tcPr>
            <w:tcW w:w="1231" w:type="pct"/>
            <w:noWrap/>
          </w:tcPr>
          <w:p w14:paraId="5408C1B0" w14:textId="77777777" w:rsidR="00435783" w:rsidRPr="007F1F10" w:rsidRDefault="00435783" w:rsidP="00083940">
            <w:pPr>
              <w:rPr>
                <w:rFonts w:ascii="Times New Roman" w:hAnsi="Times New Roman"/>
                <w:bCs/>
                <w:i/>
                <w:sz w:val="20"/>
              </w:rPr>
            </w:pPr>
            <w:r w:rsidRPr="007F1F10">
              <w:rPr>
                <w:rFonts w:ascii="Times New Roman" w:hAnsi="Times New Roman"/>
                <w:i/>
                <w:sz w:val="20"/>
              </w:rPr>
              <w:t>Varehandel og reparasjon av motorvogner</w:t>
            </w:r>
          </w:p>
        </w:tc>
        <w:tc>
          <w:tcPr>
            <w:tcW w:w="355" w:type="pct"/>
            <w:noWrap/>
          </w:tcPr>
          <w:p w14:paraId="6EFB6EE7" w14:textId="77777777" w:rsidR="00435783" w:rsidRPr="007F1F10" w:rsidRDefault="00435783" w:rsidP="00083940">
            <w:pPr>
              <w:jc w:val="right"/>
              <w:rPr>
                <w:rFonts w:ascii="Times New Roman" w:hAnsi="Times New Roman"/>
                <w:sz w:val="20"/>
              </w:rPr>
            </w:pPr>
          </w:p>
        </w:tc>
        <w:tc>
          <w:tcPr>
            <w:tcW w:w="355" w:type="pct"/>
            <w:noWrap/>
          </w:tcPr>
          <w:p w14:paraId="3EDA7853" w14:textId="77777777" w:rsidR="00435783" w:rsidRPr="007F1F10" w:rsidRDefault="00435783" w:rsidP="00083940">
            <w:pPr>
              <w:jc w:val="right"/>
              <w:rPr>
                <w:rFonts w:ascii="Times New Roman" w:hAnsi="Times New Roman"/>
                <w:sz w:val="20"/>
              </w:rPr>
            </w:pPr>
          </w:p>
        </w:tc>
        <w:tc>
          <w:tcPr>
            <w:tcW w:w="350" w:type="pct"/>
            <w:noWrap/>
          </w:tcPr>
          <w:p w14:paraId="5E46CAE9" w14:textId="77777777" w:rsidR="00435783" w:rsidRPr="007F1F10" w:rsidRDefault="00435783" w:rsidP="00083940">
            <w:pPr>
              <w:jc w:val="right"/>
              <w:rPr>
                <w:rFonts w:ascii="Times New Roman" w:hAnsi="Times New Roman"/>
                <w:sz w:val="20"/>
              </w:rPr>
            </w:pPr>
          </w:p>
        </w:tc>
        <w:tc>
          <w:tcPr>
            <w:tcW w:w="358" w:type="pct"/>
            <w:noWrap/>
          </w:tcPr>
          <w:p w14:paraId="5CE346C7" w14:textId="77777777" w:rsidR="00435783" w:rsidRPr="007F1F10" w:rsidRDefault="00435783" w:rsidP="00083940">
            <w:pPr>
              <w:jc w:val="right"/>
              <w:rPr>
                <w:rFonts w:ascii="Times New Roman" w:hAnsi="Times New Roman"/>
                <w:sz w:val="20"/>
              </w:rPr>
            </w:pPr>
          </w:p>
        </w:tc>
        <w:tc>
          <w:tcPr>
            <w:tcW w:w="358" w:type="pct"/>
            <w:gridSpan w:val="2"/>
            <w:noWrap/>
          </w:tcPr>
          <w:p w14:paraId="161F1CFB" w14:textId="77777777" w:rsidR="00435783" w:rsidRPr="007F1F10" w:rsidRDefault="00435783" w:rsidP="00083940">
            <w:pPr>
              <w:jc w:val="right"/>
              <w:rPr>
                <w:rFonts w:ascii="Times New Roman" w:hAnsi="Times New Roman"/>
                <w:sz w:val="20"/>
              </w:rPr>
            </w:pPr>
          </w:p>
        </w:tc>
        <w:tc>
          <w:tcPr>
            <w:tcW w:w="358" w:type="pct"/>
            <w:noWrap/>
          </w:tcPr>
          <w:p w14:paraId="42A7971C" w14:textId="77777777" w:rsidR="00435783" w:rsidRPr="007F1F10" w:rsidRDefault="00435783" w:rsidP="00083940">
            <w:pPr>
              <w:jc w:val="right"/>
              <w:rPr>
                <w:rFonts w:ascii="Times New Roman" w:hAnsi="Times New Roman"/>
                <w:sz w:val="20"/>
              </w:rPr>
            </w:pPr>
          </w:p>
        </w:tc>
        <w:tc>
          <w:tcPr>
            <w:tcW w:w="355" w:type="pct"/>
            <w:gridSpan w:val="2"/>
            <w:noWrap/>
          </w:tcPr>
          <w:p w14:paraId="325CE36A" w14:textId="77777777" w:rsidR="00435783" w:rsidRPr="007F1F10" w:rsidRDefault="00435783" w:rsidP="00083940">
            <w:pPr>
              <w:jc w:val="right"/>
              <w:rPr>
                <w:rFonts w:ascii="Times New Roman" w:hAnsi="Times New Roman"/>
                <w:sz w:val="20"/>
              </w:rPr>
            </w:pPr>
          </w:p>
        </w:tc>
        <w:tc>
          <w:tcPr>
            <w:tcW w:w="356" w:type="pct"/>
            <w:gridSpan w:val="2"/>
            <w:noWrap/>
          </w:tcPr>
          <w:p w14:paraId="308D35F8" w14:textId="77777777" w:rsidR="00435783" w:rsidRPr="007F1F10" w:rsidRDefault="00435783" w:rsidP="00083940">
            <w:pPr>
              <w:jc w:val="right"/>
              <w:rPr>
                <w:rFonts w:ascii="Times New Roman" w:hAnsi="Times New Roman"/>
                <w:sz w:val="20"/>
              </w:rPr>
            </w:pPr>
          </w:p>
        </w:tc>
        <w:tc>
          <w:tcPr>
            <w:tcW w:w="366" w:type="pct"/>
            <w:noWrap/>
          </w:tcPr>
          <w:p w14:paraId="345C4A7A" w14:textId="77777777" w:rsidR="00435783" w:rsidRPr="007F1F10" w:rsidRDefault="00435783" w:rsidP="00083940">
            <w:pPr>
              <w:jc w:val="right"/>
              <w:rPr>
                <w:rFonts w:ascii="Times New Roman" w:hAnsi="Times New Roman"/>
                <w:sz w:val="20"/>
              </w:rPr>
            </w:pPr>
          </w:p>
        </w:tc>
        <w:tc>
          <w:tcPr>
            <w:tcW w:w="430" w:type="pct"/>
            <w:gridSpan w:val="2"/>
          </w:tcPr>
          <w:p w14:paraId="53A20CED" w14:textId="77777777" w:rsidR="00435783" w:rsidRPr="007F1F10" w:rsidRDefault="00435783" w:rsidP="00083940">
            <w:pPr>
              <w:spacing w:after="0"/>
              <w:jc w:val="right"/>
              <w:rPr>
                <w:rFonts w:ascii="Times New Roman" w:hAnsi="Times New Roman"/>
                <w:sz w:val="20"/>
              </w:rPr>
            </w:pPr>
          </w:p>
        </w:tc>
      </w:tr>
      <w:tr w:rsidR="00AF6955" w:rsidRPr="007F1F10" w14:paraId="08422C00" w14:textId="77777777" w:rsidTr="00136713">
        <w:trPr>
          <w:gridAfter w:val="1"/>
          <w:wAfter w:w="128" w:type="pct"/>
          <w:trHeight w:val="113"/>
        </w:trPr>
        <w:tc>
          <w:tcPr>
            <w:tcW w:w="1231" w:type="pct"/>
            <w:noWrap/>
          </w:tcPr>
          <w:p w14:paraId="6AE17B45" w14:textId="77777777" w:rsidR="00435783" w:rsidRPr="007F1F10" w:rsidRDefault="00435783" w:rsidP="00083940">
            <w:pPr>
              <w:rPr>
                <w:rFonts w:ascii="Times New Roman" w:hAnsi="Times New Roman"/>
                <w:sz w:val="20"/>
              </w:rPr>
            </w:pPr>
            <w:r w:rsidRPr="007F1F10">
              <w:rPr>
                <w:rFonts w:ascii="Times New Roman" w:hAnsi="Times New Roman"/>
                <w:sz w:val="20"/>
              </w:rPr>
              <w:t>Årslønn, påløpt</w:t>
            </w:r>
          </w:p>
        </w:tc>
        <w:tc>
          <w:tcPr>
            <w:tcW w:w="355" w:type="pct"/>
            <w:noWrap/>
          </w:tcPr>
          <w:p w14:paraId="6743001F" w14:textId="77777777" w:rsidR="00435783" w:rsidRPr="007F1F10" w:rsidRDefault="00435783" w:rsidP="00083940">
            <w:pPr>
              <w:jc w:val="right"/>
              <w:rPr>
                <w:rFonts w:ascii="Times New Roman" w:hAnsi="Times New Roman"/>
                <w:sz w:val="20"/>
              </w:rPr>
            </w:pPr>
          </w:p>
        </w:tc>
        <w:tc>
          <w:tcPr>
            <w:tcW w:w="355" w:type="pct"/>
            <w:noWrap/>
          </w:tcPr>
          <w:p w14:paraId="1068A16C" w14:textId="77777777" w:rsidR="00435783" w:rsidRPr="007F1F10" w:rsidRDefault="00435783" w:rsidP="00083940">
            <w:pPr>
              <w:jc w:val="right"/>
              <w:rPr>
                <w:rFonts w:ascii="Times New Roman" w:hAnsi="Times New Roman"/>
                <w:sz w:val="20"/>
              </w:rPr>
            </w:pPr>
          </w:p>
        </w:tc>
        <w:tc>
          <w:tcPr>
            <w:tcW w:w="350" w:type="pct"/>
            <w:noWrap/>
          </w:tcPr>
          <w:p w14:paraId="19055EE3" w14:textId="77777777" w:rsidR="00435783" w:rsidRPr="007F1F10" w:rsidRDefault="00435783" w:rsidP="00083940">
            <w:pPr>
              <w:jc w:val="right"/>
              <w:rPr>
                <w:rFonts w:ascii="Times New Roman" w:hAnsi="Times New Roman"/>
                <w:sz w:val="20"/>
              </w:rPr>
            </w:pPr>
          </w:p>
        </w:tc>
        <w:tc>
          <w:tcPr>
            <w:tcW w:w="358" w:type="pct"/>
            <w:noWrap/>
          </w:tcPr>
          <w:p w14:paraId="7E15FC3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358" w:type="pct"/>
            <w:gridSpan w:val="2"/>
            <w:noWrap/>
          </w:tcPr>
          <w:p w14:paraId="2C7983F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358" w:type="pct"/>
            <w:noWrap/>
          </w:tcPr>
          <w:p w14:paraId="4CC8D81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55" w:type="pct"/>
            <w:gridSpan w:val="2"/>
            <w:noWrap/>
          </w:tcPr>
          <w:p w14:paraId="50162AF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56" w:type="pct"/>
            <w:gridSpan w:val="2"/>
            <w:noWrap/>
          </w:tcPr>
          <w:p w14:paraId="7D7B2C4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66" w:type="pct"/>
            <w:noWrap/>
          </w:tcPr>
          <w:p w14:paraId="795F9FB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2,8</w:t>
            </w:r>
          </w:p>
        </w:tc>
        <w:tc>
          <w:tcPr>
            <w:tcW w:w="430" w:type="pct"/>
            <w:gridSpan w:val="2"/>
          </w:tcPr>
          <w:p w14:paraId="647F71EB"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2,7</w:t>
            </w:r>
          </w:p>
        </w:tc>
      </w:tr>
      <w:tr w:rsidR="00AF6955" w:rsidRPr="007F1F10" w14:paraId="2A30D122" w14:textId="77777777" w:rsidTr="00136713">
        <w:trPr>
          <w:gridAfter w:val="1"/>
          <w:wAfter w:w="128" w:type="pct"/>
          <w:trHeight w:val="113"/>
        </w:trPr>
        <w:tc>
          <w:tcPr>
            <w:tcW w:w="1231" w:type="pct"/>
            <w:noWrap/>
          </w:tcPr>
          <w:p w14:paraId="6D9EB77E"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p>
        </w:tc>
        <w:tc>
          <w:tcPr>
            <w:tcW w:w="355" w:type="pct"/>
            <w:noWrap/>
          </w:tcPr>
          <w:p w14:paraId="7CF23F2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55" w:type="pct"/>
            <w:noWrap/>
          </w:tcPr>
          <w:p w14:paraId="746DA80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50" w:type="pct"/>
            <w:noWrap/>
          </w:tcPr>
          <w:p w14:paraId="2DD45EA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8" w:type="pct"/>
            <w:noWrap/>
          </w:tcPr>
          <w:p w14:paraId="473EF59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2,4</w:t>
            </w:r>
          </w:p>
        </w:tc>
        <w:tc>
          <w:tcPr>
            <w:tcW w:w="358" w:type="pct"/>
            <w:gridSpan w:val="2"/>
            <w:noWrap/>
          </w:tcPr>
          <w:p w14:paraId="556191E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58" w:type="pct"/>
            <w:noWrap/>
          </w:tcPr>
          <w:p w14:paraId="1B272D2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355" w:type="pct"/>
            <w:gridSpan w:val="2"/>
            <w:noWrap/>
          </w:tcPr>
          <w:p w14:paraId="48FBE9A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56" w:type="pct"/>
            <w:gridSpan w:val="2"/>
            <w:noWrap/>
          </w:tcPr>
          <w:p w14:paraId="033FF6F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66" w:type="pct"/>
            <w:noWrap/>
          </w:tcPr>
          <w:p w14:paraId="47F19A1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2,2</w:t>
            </w:r>
          </w:p>
        </w:tc>
        <w:tc>
          <w:tcPr>
            <w:tcW w:w="430" w:type="pct"/>
            <w:gridSpan w:val="2"/>
          </w:tcPr>
          <w:p w14:paraId="1AB1986A"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2,1</w:t>
            </w:r>
          </w:p>
        </w:tc>
      </w:tr>
      <w:tr w:rsidR="00AF6955" w:rsidRPr="007F1F10" w14:paraId="2EFDC311" w14:textId="77777777" w:rsidTr="00136713">
        <w:trPr>
          <w:gridAfter w:val="1"/>
          <w:wAfter w:w="128" w:type="pct"/>
          <w:trHeight w:val="113"/>
        </w:trPr>
        <w:tc>
          <w:tcPr>
            <w:tcW w:w="1231" w:type="pct"/>
            <w:noWrap/>
          </w:tcPr>
          <w:p w14:paraId="2DD3C8CA"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30CAB32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4,4</w:t>
            </w:r>
          </w:p>
        </w:tc>
        <w:tc>
          <w:tcPr>
            <w:tcW w:w="355" w:type="pct"/>
            <w:noWrap/>
          </w:tcPr>
          <w:p w14:paraId="6B474A0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4,6</w:t>
            </w:r>
          </w:p>
        </w:tc>
        <w:tc>
          <w:tcPr>
            <w:tcW w:w="350" w:type="pct"/>
            <w:noWrap/>
          </w:tcPr>
          <w:p w14:paraId="28F032EF"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4,5</w:t>
            </w:r>
          </w:p>
        </w:tc>
        <w:tc>
          <w:tcPr>
            <w:tcW w:w="358" w:type="pct"/>
            <w:noWrap/>
          </w:tcPr>
          <w:p w14:paraId="21DEB17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2,4</w:t>
            </w:r>
          </w:p>
        </w:tc>
        <w:tc>
          <w:tcPr>
            <w:tcW w:w="358" w:type="pct"/>
            <w:gridSpan w:val="2"/>
            <w:noWrap/>
          </w:tcPr>
          <w:p w14:paraId="774A4C36"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58" w:type="pct"/>
            <w:noWrap/>
          </w:tcPr>
          <w:p w14:paraId="785A9FB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55" w:type="pct"/>
            <w:gridSpan w:val="2"/>
            <w:noWrap/>
          </w:tcPr>
          <w:p w14:paraId="47AEF3B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56" w:type="pct"/>
            <w:gridSpan w:val="2"/>
            <w:noWrap/>
          </w:tcPr>
          <w:p w14:paraId="1DC7CC0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66" w:type="pct"/>
            <w:noWrap/>
          </w:tcPr>
          <w:p w14:paraId="14EA222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2,2</w:t>
            </w:r>
          </w:p>
        </w:tc>
        <w:tc>
          <w:tcPr>
            <w:tcW w:w="430" w:type="pct"/>
            <w:gridSpan w:val="2"/>
          </w:tcPr>
          <w:p w14:paraId="752BDE58"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2,1</w:t>
            </w:r>
          </w:p>
        </w:tc>
      </w:tr>
      <w:tr w:rsidR="00AF6955" w:rsidRPr="007F1F10" w14:paraId="15F08A20" w14:textId="77777777" w:rsidTr="00136713">
        <w:trPr>
          <w:gridAfter w:val="1"/>
          <w:wAfter w:w="128" w:type="pct"/>
          <w:trHeight w:val="113"/>
        </w:trPr>
        <w:tc>
          <w:tcPr>
            <w:tcW w:w="1231" w:type="pct"/>
            <w:noWrap/>
          </w:tcPr>
          <w:p w14:paraId="583128A2" w14:textId="77777777" w:rsidR="00435783" w:rsidRPr="007F1F10" w:rsidRDefault="00435783" w:rsidP="00083940">
            <w:pPr>
              <w:rPr>
                <w:rFonts w:ascii="Times New Roman" w:hAnsi="Times New Roman"/>
                <w:i/>
                <w:sz w:val="20"/>
              </w:rPr>
            </w:pPr>
            <w:r w:rsidRPr="007F1F10">
              <w:rPr>
                <w:rFonts w:ascii="Times New Roman" w:eastAsia="Times New Roman" w:hAnsi="Times New Roman"/>
                <w:i/>
                <w:color w:val="000000"/>
                <w:sz w:val="20"/>
              </w:rPr>
              <w:t>Bygge- og anleggsvirksomhet</w:t>
            </w:r>
          </w:p>
        </w:tc>
        <w:tc>
          <w:tcPr>
            <w:tcW w:w="355" w:type="pct"/>
            <w:noWrap/>
          </w:tcPr>
          <w:p w14:paraId="70F0B74D" w14:textId="77777777" w:rsidR="00435783" w:rsidRPr="007F1F10" w:rsidRDefault="00435783" w:rsidP="00083940">
            <w:pPr>
              <w:jc w:val="right"/>
              <w:rPr>
                <w:rFonts w:ascii="Times New Roman" w:hAnsi="Times New Roman"/>
                <w:sz w:val="20"/>
              </w:rPr>
            </w:pPr>
          </w:p>
        </w:tc>
        <w:tc>
          <w:tcPr>
            <w:tcW w:w="355" w:type="pct"/>
            <w:noWrap/>
          </w:tcPr>
          <w:p w14:paraId="5DB4E6C1" w14:textId="77777777" w:rsidR="00435783" w:rsidRPr="007F1F10" w:rsidRDefault="00435783" w:rsidP="00083940">
            <w:pPr>
              <w:jc w:val="right"/>
              <w:rPr>
                <w:rFonts w:ascii="Times New Roman" w:hAnsi="Times New Roman"/>
                <w:sz w:val="20"/>
              </w:rPr>
            </w:pPr>
          </w:p>
        </w:tc>
        <w:tc>
          <w:tcPr>
            <w:tcW w:w="350" w:type="pct"/>
            <w:noWrap/>
          </w:tcPr>
          <w:p w14:paraId="0005559B" w14:textId="77777777" w:rsidR="00435783" w:rsidRPr="007F1F10" w:rsidRDefault="00435783" w:rsidP="00083940">
            <w:pPr>
              <w:jc w:val="right"/>
              <w:rPr>
                <w:rFonts w:ascii="Times New Roman" w:hAnsi="Times New Roman"/>
                <w:sz w:val="20"/>
              </w:rPr>
            </w:pPr>
          </w:p>
        </w:tc>
        <w:tc>
          <w:tcPr>
            <w:tcW w:w="358" w:type="pct"/>
            <w:noWrap/>
          </w:tcPr>
          <w:p w14:paraId="67B1C677" w14:textId="77777777" w:rsidR="00435783" w:rsidRPr="007F1F10" w:rsidRDefault="00435783" w:rsidP="00083940">
            <w:pPr>
              <w:jc w:val="right"/>
              <w:rPr>
                <w:rFonts w:ascii="Times New Roman" w:hAnsi="Times New Roman"/>
                <w:sz w:val="20"/>
              </w:rPr>
            </w:pPr>
          </w:p>
        </w:tc>
        <w:tc>
          <w:tcPr>
            <w:tcW w:w="358" w:type="pct"/>
            <w:gridSpan w:val="2"/>
            <w:noWrap/>
          </w:tcPr>
          <w:p w14:paraId="2A17B50D" w14:textId="77777777" w:rsidR="00435783" w:rsidRPr="007F1F10" w:rsidRDefault="00435783" w:rsidP="00083940">
            <w:pPr>
              <w:jc w:val="right"/>
              <w:rPr>
                <w:rFonts w:ascii="Times New Roman" w:hAnsi="Times New Roman"/>
                <w:sz w:val="20"/>
              </w:rPr>
            </w:pPr>
          </w:p>
        </w:tc>
        <w:tc>
          <w:tcPr>
            <w:tcW w:w="358" w:type="pct"/>
            <w:noWrap/>
          </w:tcPr>
          <w:p w14:paraId="6A8971B0" w14:textId="77777777" w:rsidR="00435783" w:rsidRPr="007F1F10" w:rsidRDefault="00435783" w:rsidP="00083940">
            <w:pPr>
              <w:jc w:val="right"/>
              <w:rPr>
                <w:rFonts w:ascii="Times New Roman" w:hAnsi="Times New Roman"/>
                <w:sz w:val="20"/>
              </w:rPr>
            </w:pPr>
          </w:p>
        </w:tc>
        <w:tc>
          <w:tcPr>
            <w:tcW w:w="355" w:type="pct"/>
            <w:gridSpan w:val="2"/>
            <w:noWrap/>
          </w:tcPr>
          <w:p w14:paraId="35DB4F18" w14:textId="77777777" w:rsidR="00435783" w:rsidRPr="007F1F10" w:rsidRDefault="00435783" w:rsidP="00083940">
            <w:pPr>
              <w:jc w:val="right"/>
              <w:rPr>
                <w:rFonts w:ascii="Times New Roman" w:hAnsi="Times New Roman"/>
                <w:sz w:val="20"/>
              </w:rPr>
            </w:pPr>
          </w:p>
        </w:tc>
        <w:tc>
          <w:tcPr>
            <w:tcW w:w="356" w:type="pct"/>
            <w:gridSpan w:val="2"/>
            <w:noWrap/>
          </w:tcPr>
          <w:p w14:paraId="3976239C" w14:textId="77777777" w:rsidR="00435783" w:rsidRPr="007F1F10" w:rsidRDefault="00435783" w:rsidP="00083940">
            <w:pPr>
              <w:jc w:val="right"/>
              <w:rPr>
                <w:rFonts w:ascii="Times New Roman" w:hAnsi="Times New Roman"/>
                <w:sz w:val="20"/>
              </w:rPr>
            </w:pPr>
          </w:p>
        </w:tc>
        <w:tc>
          <w:tcPr>
            <w:tcW w:w="366" w:type="pct"/>
            <w:noWrap/>
          </w:tcPr>
          <w:p w14:paraId="0440F3FD" w14:textId="77777777" w:rsidR="00435783" w:rsidRPr="007F1F10" w:rsidRDefault="00435783" w:rsidP="00083940">
            <w:pPr>
              <w:jc w:val="right"/>
              <w:rPr>
                <w:rFonts w:ascii="Times New Roman" w:hAnsi="Times New Roman"/>
                <w:sz w:val="20"/>
              </w:rPr>
            </w:pPr>
          </w:p>
        </w:tc>
        <w:tc>
          <w:tcPr>
            <w:tcW w:w="430" w:type="pct"/>
            <w:gridSpan w:val="2"/>
          </w:tcPr>
          <w:p w14:paraId="4ADCDBFE" w14:textId="77777777" w:rsidR="00435783" w:rsidRPr="007F1F10" w:rsidRDefault="00435783" w:rsidP="00083940">
            <w:pPr>
              <w:spacing w:after="0"/>
              <w:jc w:val="right"/>
              <w:rPr>
                <w:rFonts w:ascii="Times New Roman" w:hAnsi="Times New Roman"/>
                <w:sz w:val="20"/>
              </w:rPr>
            </w:pPr>
          </w:p>
        </w:tc>
      </w:tr>
      <w:tr w:rsidR="00AF6955" w:rsidRPr="007F1F10" w14:paraId="34BC1748" w14:textId="77777777" w:rsidTr="00136713">
        <w:trPr>
          <w:gridAfter w:val="1"/>
          <w:wAfter w:w="128" w:type="pct"/>
          <w:trHeight w:val="113"/>
        </w:trPr>
        <w:tc>
          <w:tcPr>
            <w:tcW w:w="1231" w:type="pct"/>
            <w:noWrap/>
            <w:vAlign w:val="bottom"/>
          </w:tcPr>
          <w:p w14:paraId="47EFA1DA" w14:textId="77777777" w:rsidR="00435783" w:rsidRPr="007F1F10" w:rsidRDefault="00435783" w:rsidP="00083940">
            <w:pPr>
              <w:rPr>
                <w:rFonts w:ascii="Times New Roman" w:eastAsia="Times New Roman" w:hAnsi="Times New Roman"/>
                <w:color w:val="000000"/>
                <w:sz w:val="20"/>
              </w:rPr>
            </w:pPr>
            <w:r w:rsidRPr="007F1F10">
              <w:rPr>
                <w:rFonts w:ascii="Times New Roman" w:eastAsia="Times New Roman" w:hAnsi="Times New Roman"/>
                <w:color w:val="000000"/>
                <w:sz w:val="20"/>
              </w:rPr>
              <w:t xml:space="preserve">Årslønn, påløpt </w:t>
            </w:r>
          </w:p>
        </w:tc>
        <w:tc>
          <w:tcPr>
            <w:tcW w:w="355" w:type="pct"/>
            <w:noWrap/>
          </w:tcPr>
          <w:p w14:paraId="4F20F2D3" w14:textId="77777777" w:rsidR="00435783" w:rsidRPr="007F1F10" w:rsidRDefault="00435783" w:rsidP="00083940">
            <w:pPr>
              <w:jc w:val="right"/>
              <w:rPr>
                <w:rFonts w:ascii="Times New Roman" w:hAnsi="Times New Roman"/>
                <w:sz w:val="20"/>
              </w:rPr>
            </w:pPr>
          </w:p>
        </w:tc>
        <w:tc>
          <w:tcPr>
            <w:tcW w:w="355" w:type="pct"/>
            <w:noWrap/>
          </w:tcPr>
          <w:p w14:paraId="3E105F32" w14:textId="77777777" w:rsidR="00435783" w:rsidRPr="007F1F10" w:rsidRDefault="00435783" w:rsidP="00083940">
            <w:pPr>
              <w:jc w:val="right"/>
              <w:rPr>
                <w:rFonts w:ascii="Times New Roman" w:hAnsi="Times New Roman"/>
                <w:sz w:val="20"/>
              </w:rPr>
            </w:pPr>
          </w:p>
        </w:tc>
        <w:tc>
          <w:tcPr>
            <w:tcW w:w="350" w:type="pct"/>
            <w:noWrap/>
          </w:tcPr>
          <w:p w14:paraId="1520D323" w14:textId="77777777" w:rsidR="00435783" w:rsidRPr="007F1F10" w:rsidRDefault="00435783" w:rsidP="00083940">
            <w:pPr>
              <w:jc w:val="right"/>
              <w:rPr>
                <w:rFonts w:ascii="Times New Roman" w:hAnsi="Times New Roman"/>
                <w:sz w:val="20"/>
              </w:rPr>
            </w:pPr>
          </w:p>
        </w:tc>
        <w:tc>
          <w:tcPr>
            <w:tcW w:w="358" w:type="pct"/>
            <w:noWrap/>
          </w:tcPr>
          <w:p w14:paraId="2750B49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4,8</w:t>
            </w:r>
          </w:p>
        </w:tc>
        <w:tc>
          <w:tcPr>
            <w:tcW w:w="358" w:type="pct"/>
            <w:gridSpan w:val="2"/>
            <w:noWrap/>
          </w:tcPr>
          <w:p w14:paraId="5E2DCF2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2,4</w:t>
            </w:r>
          </w:p>
        </w:tc>
        <w:tc>
          <w:tcPr>
            <w:tcW w:w="358" w:type="pct"/>
            <w:noWrap/>
          </w:tcPr>
          <w:p w14:paraId="1E70655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55" w:type="pct"/>
            <w:gridSpan w:val="2"/>
            <w:noWrap/>
          </w:tcPr>
          <w:p w14:paraId="58EC2BC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3,3</w:t>
            </w:r>
          </w:p>
        </w:tc>
        <w:tc>
          <w:tcPr>
            <w:tcW w:w="356" w:type="pct"/>
            <w:gridSpan w:val="2"/>
            <w:noWrap/>
          </w:tcPr>
          <w:p w14:paraId="7757FFC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66" w:type="pct"/>
            <w:noWrap/>
          </w:tcPr>
          <w:p w14:paraId="05FB6B2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2,9</w:t>
            </w:r>
          </w:p>
        </w:tc>
        <w:tc>
          <w:tcPr>
            <w:tcW w:w="430" w:type="pct"/>
            <w:gridSpan w:val="2"/>
          </w:tcPr>
          <w:p w14:paraId="19498691"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2,7</w:t>
            </w:r>
          </w:p>
        </w:tc>
      </w:tr>
      <w:tr w:rsidR="00AF6955" w:rsidRPr="007F1F10" w14:paraId="508CC0D6" w14:textId="77777777" w:rsidTr="00136713">
        <w:trPr>
          <w:gridAfter w:val="1"/>
          <w:wAfter w:w="128" w:type="pct"/>
          <w:trHeight w:val="113"/>
        </w:trPr>
        <w:tc>
          <w:tcPr>
            <w:tcW w:w="1231" w:type="pct"/>
            <w:noWrap/>
            <w:vAlign w:val="bottom"/>
          </w:tcPr>
          <w:p w14:paraId="2ED5FE3F"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p>
        </w:tc>
        <w:tc>
          <w:tcPr>
            <w:tcW w:w="355" w:type="pct"/>
            <w:noWrap/>
          </w:tcPr>
          <w:p w14:paraId="62878F9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3,1</w:t>
            </w:r>
          </w:p>
        </w:tc>
        <w:tc>
          <w:tcPr>
            <w:tcW w:w="355" w:type="pct"/>
            <w:noWrap/>
          </w:tcPr>
          <w:p w14:paraId="059CE33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5,1</w:t>
            </w:r>
          </w:p>
        </w:tc>
        <w:tc>
          <w:tcPr>
            <w:tcW w:w="350" w:type="pct"/>
            <w:noWrap/>
          </w:tcPr>
          <w:p w14:paraId="6EC44C8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5,8</w:t>
            </w:r>
          </w:p>
        </w:tc>
        <w:tc>
          <w:tcPr>
            <w:tcW w:w="358" w:type="pct"/>
            <w:noWrap/>
          </w:tcPr>
          <w:p w14:paraId="7BB9AC3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3,0</w:t>
            </w:r>
          </w:p>
        </w:tc>
        <w:tc>
          <w:tcPr>
            <w:tcW w:w="358" w:type="pct"/>
            <w:gridSpan w:val="2"/>
            <w:noWrap/>
          </w:tcPr>
          <w:p w14:paraId="1D0FAE18"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2,7</w:t>
            </w:r>
          </w:p>
        </w:tc>
        <w:tc>
          <w:tcPr>
            <w:tcW w:w="358" w:type="pct"/>
            <w:noWrap/>
          </w:tcPr>
          <w:p w14:paraId="7D967D8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55" w:type="pct"/>
            <w:gridSpan w:val="2"/>
            <w:noWrap/>
          </w:tcPr>
          <w:p w14:paraId="115B51D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56" w:type="pct"/>
            <w:gridSpan w:val="2"/>
            <w:noWrap/>
          </w:tcPr>
          <w:p w14:paraId="77600AE8"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66" w:type="pct"/>
            <w:noWrap/>
          </w:tcPr>
          <w:p w14:paraId="3A8F6A0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2,9</w:t>
            </w:r>
          </w:p>
        </w:tc>
        <w:tc>
          <w:tcPr>
            <w:tcW w:w="430" w:type="pct"/>
            <w:gridSpan w:val="2"/>
          </w:tcPr>
          <w:p w14:paraId="2AE28ECB"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2,6</w:t>
            </w:r>
          </w:p>
        </w:tc>
      </w:tr>
      <w:tr w:rsidR="00AF6955" w:rsidRPr="007F1F10" w14:paraId="402D02AB" w14:textId="77777777" w:rsidTr="00136713">
        <w:trPr>
          <w:gridAfter w:val="1"/>
          <w:wAfter w:w="128" w:type="pct"/>
          <w:trHeight w:val="113"/>
        </w:trPr>
        <w:tc>
          <w:tcPr>
            <w:tcW w:w="1231" w:type="pct"/>
            <w:noWrap/>
            <w:vAlign w:val="bottom"/>
          </w:tcPr>
          <w:p w14:paraId="42CEA955"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0D4308AF"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3,7</w:t>
            </w:r>
          </w:p>
        </w:tc>
        <w:tc>
          <w:tcPr>
            <w:tcW w:w="355" w:type="pct"/>
            <w:noWrap/>
          </w:tcPr>
          <w:p w14:paraId="5FB0DD2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5,2</w:t>
            </w:r>
          </w:p>
        </w:tc>
        <w:tc>
          <w:tcPr>
            <w:tcW w:w="350" w:type="pct"/>
            <w:noWrap/>
          </w:tcPr>
          <w:p w14:paraId="1F20976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7,2</w:t>
            </w:r>
          </w:p>
        </w:tc>
        <w:tc>
          <w:tcPr>
            <w:tcW w:w="358" w:type="pct"/>
            <w:noWrap/>
          </w:tcPr>
          <w:p w14:paraId="405E1946"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2,6</w:t>
            </w:r>
          </w:p>
        </w:tc>
        <w:tc>
          <w:tcPr>
            <w:tcW w:w="358" w:type="pct"/>
            <w:gridSpan w:val="2"/>
            <w:noWrap/>
          </w:tcPr>
          <w:p w14:paraId="74FC62C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58" w:type="pct"/>
            <w:noWrap/>
          </w:tcPr>
          <w:p w14:paraId="1165552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4,2</w:t>
            </w:r>
          </w:p>
        </w:tc>
        <w:tc>
          <w:tcPr>
            <w:tcW w:w="355" w:type="pct"/>
            <w:gridSpan w:val="2"/>
            <w:noWrap/>
          </w:tcPr>
          <w:p w14:paraId="7780F80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4,0</w:t>
            </w:r>
          </w:p>
        </w:tc>
        <w:tc>
          <w:tcPr>
            <w:tcW w:w="356" w:type="pct"/>
            <w:gridSpan w:val="2"/>
            <w:noWrap/>
          </w:tcPr>
          <w:p w14:paraId="29B7571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3,6</w:t>
            </w:r>
          </w:p>
        </w:tc>
        <w:tc>
          <w:tcPr>
            <w:tcW w:w="366" w:type="pct"/>
            <w:noWrap/>
          </w:tcPr>
          <w:p w14:paraId="7994083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2,9</w:t>
            </w:r>
          </w:p>
        </w:tc>
        <w:tc>
          <w:tcPr>
            <w:tcW w:w="430" w:type="pct"/>
            <w:gridSpan w:val="2"/>
          </w:tcPr>
          <w:p w14:paraId="3F0BBBB6"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2,6</w:t>
            </w:r>
          </w:p>
        </w:tc>
      </w:tr>
      <w:tr w:rsidR="00AF6955" w:rsidRPr="007F1F10" w14:paraId="31D85383" w14:textId="77777777" w:rsidTr="00136713">
        <w:trPr>
          <w:gridAfter w:val="1"/>
          <w:wAfter w:w="128" w:type="pct"/>
          <w:trHeight w:val="113"/>
        </w:trPr>
        <w:tc>
          <w:tcPr>
            <w:tcW w:w="1231" w:type="pct"/>
            <w:noWrap/>
            <w:vAlign w:val="bottom"/>
          </w:tcPr>
          <w:p w14:paraId="19CC33E3" w14:textId="77777777" w:rsidR="00435783" w:rsidRPr="007F1F10" w:rsidRDefault="00435783" w:rsidP="00083940">
            <w:pPr>
              <w:rPr>
                <w:rFonts w:ascii="Times New Roman" w:hAnsi="Times New Roman"/>
                <w:i/>
                <w:sz w:val="20"/>
              </w:rPr>
            </w:pPr>
            <w:r w:rsidRPr="007F1F10">
              <w:rPr>
                <w:rFonts w:ascii="Times New Roman" w:hAnsi="Times New Roman"/>
                <w:i/>
                <w:sz w:val="20"/>
              </w:rPr>
              <w:t xml:space="preserve">Overnattings- og serveringsvirksomhet </w:t>
            </w:r>
          </w:p>
        </w:tc>
        <w:tc>
          <w:tcPr>
            <w:tcW w:w="355" w:type="pct"/>
            <w:noWrap/>
          </w:tcPr>
          <w:p w14:paraId="49EF562B" w14:textId="77777777" w:rsidR="00435783" w:rsidRPr="007F1F10" w:rsidRDefault="00435783" w:rsidP="00083940">
            <w:pPr>
              <w:jc w:val="right"/>
              <w:rPr>
                <w:rFonts w:ascii="Times New Roman" w:hAnsi="Times New Roman"/>
                <w:sz w:val="20"/>
              </w:rPr>
            </w:pPr>
          </w:p>
        </w:tc>
        <w:tc>
          <w:tcPr>
            <w:tcW w:w="355" w:type="pct"/>
            <w:noWrap/>
          </w:tcPr>
          <w:p w14:paraId="7DC98D21" w14:textId="77777777" w:rsidR="00435783" w:rsidRPr="007F1F10" w:rsidRDefault="00435783" w:rsidP="00083940">
            <w:pPr>
              <w:jc w:val="right"/>
              <w:rPr>
                <w:rFonts w:ascii="Times New Roman" w:hAnsi="Times New Roman"/>
                <w:sz w:val="20"/>
              </w:rPr>
            </w:pPr>
          </w:p>
        </w:tc>
        <w:tc>
          <w:tcPr>
            <w:tcW w:w="350" w:type="pct"/>
            <w:noWrap/>
          </w:tcPr>
          <w:p w14:paraId="38381F34" w14:textId="77777777" w:rsidR="00435783" w:rsidRPr="007F1F10" w:rsidRDefault="00435783" w:rsidP="00083940">
            <w:pPr>
              <w:jc w:val="right"/>
              <w:rPr>
                <w:rFonts w:ascii="Times New Roman" w:hAnsi="Times New Roman"/>
                <w:sz w:val="20"/>
              </w:rPr>
            </w:pPr>
          </w:p>
        </w:tc>
        <w:tc>
          <w:tcPr>
            <w:tcW w:w="358" w:type="pct"/>
            <w:noWrap/>
          </w:tcPr>
          <w:p w14:paraId="5C11DD3D" w14:textId="77777777" w:rsidR="00435783" w:rsidRPr="007F1F10" w:rsidRDefault="00435783" w:rsidP="00083940">
            <w:pPr>
              <w:jc w:val="right"/>
              <w:rPr>
                <w:rFonts w:ascii="Times New Roman" w:hAnsi="Times New Roman"/>
                <w:sz w:val="20"/>
              </w:rPr>
            </w:pPr>
          </w:p>
        </w:tc>
        <w:tc>
          <w:tcPr>
            <w:tcW w:w="358" w:type="pct"/>
            <w:gridSpan w:val="2"/>
            <w:noWrap/>
          </w:tcPr>
          <w:p w14:paraId="346154B6" w14:textId="77777777" w:rsidR="00435783" w:rsidRPr="007F1F10" w:rsidRDefault="00435783" w:rsidP="00083940">
            <w:pPr>
              <w:jc w:val="right"/>
              <w:rPr>
                <w:rFonts w:ascii="Times New Roman" w:hAnsi="Times New Roman"/>
                <w:sz w:val="20"/>
              </w:rPr>
            </w:pPr>
          </w:p>
        </w:tc>
        <w:tc>
          <w:tcPr>
            <w:tcW w:w="358" w:type="pct"/>
            <w:noWrap/>
          </w:tcPr>
          <w:p w14:paraId="14FBA502" w14:textId="77777777" w:rsidR="00435783" w:rsidRPr="007F1F10" w:rsidRDefault="00435783" w:rsidP="00083940">
            <w:pPr>
              <w:jc w:val="right"/>
              <w:rPr>
                <w:rFonts w:ascii="Times New Roman" w:hAnsi="Times New Roman"/>
                <w:sz w:val="20"/>
              </w:rPr>
            </w:pPr>
          </w:p>
        </w:tc>
        <w:tc>
          <w:tcPr>
            <w:tcW w:w="355" w:type="pct"/>
            <w:gridSpan w:val="2"/>
            <w:noWrap/>
          </w:tcPr>
          <w:p w14:paraId="14F5FDDE" w14:textId="77777777" w:rsidR="00435783" w:rsidRPr="007F1F10" w:rsidRDefault="00435783" w:rsidP="00083940">
            <w:pPr>
              <w:jc w:val="right"/>
              <w:rPr>
                <w:rFonts w:ascii="Times New Roman" w:hAnsi="Times New Roman"/>
                <w:sz w:val="20"/>
              </w:rPr>
            </w:pPr>
          </w:p>
        </w:tc>
        <w:tc>
          <w:tcPr>
            <w:tcW w:w="356" w:type="pct"/>
            <w:gridSpan w:val="2"/>
            <w:noWrap/>
          </w:tcPr>
          <w:p w14:paraId="3C18F3B5" w14:textId="77777777" w:rsidR="00435783" w:rsidRPr="007F1F10" w:rsidRDefault="00435783" w:rsidP="00083940">
            <w:pPr>
              <w:jc w:val="right"/>
              <w:rPr>
                <w:rFonts w:ascii="Times New Roman" w:hAnsi="Times New Roman"/>
                <w:sz w:val="20"/>
              </w:rPr>
            </w:pPr>
          </w:p>
        </w:tc>
        <w:tc>
          <w:tcPr>
            <w:tcW w:w="366" w:type="pct"/>
            <w:noWrap/>
          </w:tcPr>
          <w:p w14:paraId="244A3A3A" w14:textId="77777777" w:rsidR="00435783" w:rsidRPr="007F1F10" w:rsidRDefault="00435783" w:rsidP="00083940">
            <w:pPr>
              <w:jc w:val="right"/>
              <w:rPr>
                <w:rFonts w:ascii="Times New Roman" w:hAnsi="Times New Roman"/>
                <w:sz w:val="20"/>
              </w:rPr>
            </w:pPr>
          </w:p>
        </w:tc>
        <w:tc>
          <w:tcPr>
            <w:tcW w:w="430" w:type="pct"/>
            <w:gridSpan w:val="2"/>
          </w:tcPr>
          <w:p w14:paraId="4EA883E2" w14:textId="77777777" w:rsidR="00435783" w:rsidRPr="007F1F10" w:rsidRDefault="00435783" w:rsidP="00083940">
            <w:pPr>
              <w:spacing w:after="0"/>
              <w:jc w:val="right"/>
              <w:rPr>
                <w:rFonts w:ascii="Times New Roman" w:hAnsi="Times New Roman"/>
                <w:sz w:val="20"/>
              </w:rPr>
            </w:pPr>
          </w:p>
        </w:tc>
      </w:tr>
      <w:tr w:rsidR="00AF6955" w:rsidRPr="007F1F10" w14:paraId="440F837D" w14:textId="77777777" w:rsidTr="00136713">
        <w:trPr>
          <w:gridAfter w:val="1"/>
          <w:wAfter w:w="128" w:type="pct"/>
          <w:trHeight w:val="113"/>
        </w:trPr>
        <w:tc>
          <w:tcPr>
            <w:tcW w:w="1231" w:type="pct"/>
            <w:noWrap/>
            <w:vAlign w:val="bottom"/>
          </w:tcPr>
          <w:p w14:paraId="53089D55" w14:textId="77777777" w:rsidR="00435783" w:rsidRPr="007F1F10" w:rsidRDefault="00435783" w:rsidP="00083940">
            <w:pPr>
              <w:rPr>
                <w:rFonts w:ascii="Times New Roman" w:eastAsia="Times New Roman" w:hAnsi="Times New Roman"/>
                <w:color w:val="000000"/>
                <w:sz w:val="20"/>
              </w:rPr>
            </w:pPr>
            <w:r w:rsidRPr="007F1F10">
              <w:rPr>
                <w:rFonts w:ascii="Times New Roman" w:eastAsia="Times New Roman" w:hAnsi="Times New Roman"/>
                <w:color w:val="000000"/>
                <w:sz w:val="20"/>
              </w:rPr>
              <w:t xml:space="preserve">Årslønn, påløpt </w:t>
            </w:r>
          </w:p>
        </w:tc>
        <w:tc>
          <w:tcPr>
            <w:tcW w:w="355" w:type="pct"/>
            <w:noWrap/>
          </w:tcPr>
          <w:p w14:paraId="0C88B06E" w14:textId="77777777" w:rsidR="00435783" w:rsidRPr="007F1F10" w:rsidRDefault="00435783" w:rsidP="00083940">
            <w:pPr>
              <w:jc w:val="right"/>
              <w:rPr>
                <w:rFonts w:ascii="Times New Roman" w:eastAsia="Times New Roman" w:hAnsi="Times New Roman"/>
                <w:color w:val="000000"/>
                <w:sz w:val="20"/>
              </w:rPr>
            </w:pPr>
          </w:p>
        </w:tc>
        <w:tc>
          <w:tcPr>
            <w:tcW w:w="355" w:type="pct"/>
            <w:noWrap/>
          </w:tcPr>
          <w:p w14:paraId="72E52AAC" w14:textId="77777777" w:rsidR="00435783" w:rsidRPr="007F1F10" w:rsidRDefault="00435783" w:rsidP="00083940">
            <w:pPr>
              <w:jc w:val="right"/>
              <w:rPr>
                <w:rFonts w:ascii="Times New Roman" w:eastAsia="Times New Roman" w:hAnsi="Times New Roman"/>
                <w:color w:val="000000"/>
                <w:sz w:val="20"/>
              </w:rPr>
            </w:pPr>
          </w:p>
        </w:tc>
        <w:tc>
          <w:tcPr>
            <w:tcW w:w="350" w:type="pct"/>
            <w:noWrap/>
          </w:tcPr>
          <w:p w14:paraId="5CA309F6" w14:textId="77777777" w:rsidR="00435783" w:rsidRPr="007F1F10" w:rsidRDefault="00435783" w:rsidP="00083940">
            <w:pPr>
              <w:jc w:val="right"/>
              <w:rPr>
                <w:rFonts w:ascii="Times New Roman" w:eastAsia="Times New Roman" w:hAnsi="Times New Roman"/>
                <w:color w:val="000000"/>
                <w:sz w:val="20"/>
              </w:rPr>
            </w:pPr>
          </w:p>
        </w:tc>
        <w:tc>
          <w:tcPr>
            <w:tcW w:w="358" w:type="pct"/>
            <w:noWrap/>
          </w:tcPr>
          <w:p w14:paraId="75C1F768"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3,6</w:t>
            </w:r>
          </w:p>
        </w:tc>
        <w:tc>
          <w:tcPr>
            <w:tcW w:w="358" w:type="pct"/>
            <w:gridSpan w:val="2"/>
            <w:noWrap/>
          </w:tcPr>
          <w:p w14:paraId="2D3D5734"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3,7</w:t>
            </w:r>
          </w:p>
        </w:tc>
        <w:tc>
          <w:tcPr>
            <w:tcW w:w="358" w:type="pct"/>
            <w:noWrap/>
          </w:tcPr>
          <w:p w14:paraId="25473AA3"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3,0</w:t>
            </w:r>
          </w:p>
        </w:tc>
        <w:tc>
          <w:tcPr>
            <w:tcW w:w="355" w:type="pct"/>
            <w:gridSpan w:val="2"/>
            <w:noWrap/>
          </w:tcPr>
          <w:p w14:paraId="38A14366"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2,8</w:t>
            </w:r>
          </w:p>
        </w:tc>
        <w:tc>
          <w:tcPr>
            <w:tcW w:w="356" w:type="pct"/>
            <w:gridSpan w:val="2"/>
            <w:noWrap/>
          </w:tcPr>
          <w:p w14:paraId="1DA38523"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3,1</w:t>
            </w:r>
          </w:p>
        </w:tc>
        <w:tc>
          <w:tcPr>
            <w:tcW w:w="366" w:type="pct"/>
            <w:noWrap/>
          </w:tcPr>
          <w:p w14:paraId="25374477"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2,2</w:t>
            </w:r>
          </w:p>
        </w:tc>
        <w:tc>
          <w:tcPr>
            <w:tcW w:w="430" w:type="pct"/>
            <w:gridSpan w:val="2"/>
          </w:tcPr>
          <w:p w14:paraId="544A5E46" w14:textId="77777777" w:rsidR="00435783" w:rsidRPr="007F1F10" w:rsidRDefault="00435783" w:rsidP="00083940">
            <w:pPr>
              <w:spacing w:after="0"/>
              <w:jc w:val="right"/>
              <w:rPr>
                <w:rFonts w:ascii="Times New Roman" w:eastAsia="Times New Roman" w:hAnsi="Times New Roman"/>
                <w:color w:val="000000"/>
                <w:sz w:val="20"/>
              </w:rPr>
            </w:pPr>
            <w:r w:rsidRPr="007F1F10">
              <w:rPr>
                <w:rFonts w:ascii="Times New Roman" w:hAnsi="Times New Roman"/>
                <w:sz w:val="20"/>
              </w:rPr>
              <w:t>2,0</w:t>
            </w:r>
          </w:p>
        </w:tc>
      </w:tr>
      <w:tr w:rsidR="00AF6955" w:rsidRPr="007F1F10" w14:paraId="6D743C64" w14:textId="77777777" w:rsidTr="00136713">
        <w:trPr>
          <w:gridAfter w:val="1"/>
          <w:wAfter w:w="128" w:type="pct"/>
          <w:trHeight w:val="113"/>
        </w:trPr>
        <w:tc>
          <w:tcPr>
            <w:tcW w:w="1231" w:type="pct"/>
            <w:noWrap/>
            <w:vAlign w:val="bottom"/>
          </w:tcPr>
          <w:p w14:paraId="22342702"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r w:rsidRPr="007F1F10">
              <w:rPr>
                <w:rFonts w:ascii="Times New Roman" w:hAnsi="Times New Roman"/>
                <w:sz w:val="20"/>
              </w:rPr>
              <w:t xml:space="preserve"> </w:t>
            </w:r>
          </w:p>
        </w:tc>
        <w:tc>
          <w:tcPr>
            <w:tcW w:w="355" w:type="pct"/>
            <w:noWrap/>
          </w:tcPr>
          <w:p w14:paraId="45C92DF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0,1</w:t>
            </w:r>
          </w:p>
        </w:tc>
        <w:tc>
          <w:tcPr>
            <w:tcW w:w="355" w:type="pct"/>
            <w:noWrap/>
          </w:tcPr>
          <w:p w14:paraId="51F596C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1,4</w:t>
            </w:r>
          </w:p>
        </w:tc>
        <w:tc>
          <w:tcPr>
            <w:tcW w:w="350" w:type="pct"/>
            <w:noWrap/>
          </w:tcPr>
          <w:p w14:paraId="55A62AA8"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3,0</w:t>
            </w:r>
          </w:p>
        </w:tc>
        <w:tc>
          <w:tcPr>
            <w:tcW w:w="358" w:type="pct"/>
            <w:noWrap/>
          </w:tcPr>
          <w:p w14:paraId="62BF4B1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2,6</w:t>
            </w:r>
          </w:p>
        </w:tc>
        <w:tc>
          <w:tcPr>
            <w:tcW w:w="358" w:type="pct"/>
            <w:gridSpan w:val="2"/>
            <w:noWrap/>
          </w:tcPr>
          <w:p w14:paraId="5FB1A0C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4,4</w:t>
            </w:r>
          </w:p>
        </w:tc>
        <w:tc>
          <w:tcPr>
            <w:tcW w:w="358" w:type="pct"/>
            <w:noWrap/>
          </w:tcPr>
          <w:p w14:paraId="3C72CFAF"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355" w:type="pct"/>
            <w:gridSpan w:val="2"/>
            <w:noWrap/>
          </w:tcPr>
          <w:p w14:paraId="1B96460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3,1</w:t>
            </w:r>
          </w:p>
        </w:tc>
        <w:tc>
          <w:tcPr>
            <w:tcW w:w="356" w:type="pct"/>
            <w:gridSpan w:val="2"/>
            <w:noWrap/>
          </w:tcPr>
          <w:p w14:paraId="6F09C2D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3,5</w:t>
            </w:r>
          </w:p>
        </w:tc>
        <w:tc>
          <w:tcPr>
            <w:tcW w:w="366" w:type="pct"/>
            <w:noWrap/>
          </w:tcPr>
          <w:p w14:paraId="648406A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2,3</w:t>
            </w:r>
          </w:p>
        </w:tc>
        <w:tc>
          <w:tcPr>
            <w:tcW w:w="430" w:type="pct"/>
            <w:gridSpan w:val="2"/>
          </w:tcPr>
          <w:p w14:paraId="37FFDAA8"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2,1</w:t>
            </w:r>
          </w:p>
        </w:tc>
      </w:tr>
      <w:tr w:rsidR="00AF6955" w:rsidRPr="007F1F10" w14:paraId="7F0F583C" w14:textId="77777777" w:rsidTr="00136713">
        <w:trPr>
          <w:gridAfter w:val="1"/>
          <w:wAfter w:w="128" w:type="pct"/>
          <w:trHeight w:val="113"/>
        </w:trPr>
        <w:tc>
          <w:tcPr>
            <w:tcW w:w="1231" w:type="pct"/>
            <w:noWrap/>
            <w:vAlign w:val="bottom"/>
          </w:tcPr>
          <w:p w14:paraId="1F3DAE9C"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1C6047E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0,9</w:t>
            </w:r>
          </w:p>
        </w:tc>
        <w:tc>
          <w:tcPr>
            <w:tcW w:w="355" w:type="pct"/>
            <w:noWrap/>
          </w:tcPr>
          <w:p w14:paraId="34B3295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2,4</w:t>
            </w:r>
          </w:p>
        </w:tc>
        <w:tc>
          <w:tcPr>
            <w:tcW w:w="350" w:type="pct"/>
            <w:noWrap/>
          </w:tcPr>
          <w:p w14:paraId="584669F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358" w:type="pct"/>
            <w:noWrap/>
          </w:tcPr>
          <w:p w14:paraId="205CF84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3,0</w:t>
            </w:r>
          </w:p>
        </w:tc>
        <w:tc>
          <w:tcPr>
            <w:tcW w:w="358" w:type="pct"/>
            <w:gridSpan w:val="2"/>
            <w:noWrap/>
          </w:tcPr>
          <w:p w14:paraId="29ACE4A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4,7</w:t>
            </w:r>
          </w:p>
        </w:tc>
        <w:tc>
          <w:tcPr>
            <w:tcW w:w="358" w:type="pct"/>
            <w:noWrap/>
          </w:tcPr>
          <w:p w14:paraId="68CCAAF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55" w:type="pct"/>
            <w:gridSpan w:val="2"/>
            <w:noWrap/>
          </w:tcPr>
          <w:p w14:paraId="0EC8A15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56" w:type="pct"/>
            <w:gridSpan w:val="2"/>
            <w:noWrap/>
          </w:tcPr>
          <w:p w14:paraId="41E1B8D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66" w:type="pct"/>
            <w:noWrap/>
          </w:tcPr>
          <w:p w14:paraId="0B7C886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2,3</w:t>
            </w:r>
          </w:p>
        </w:tc>
        <w:tc>
          <w:tcPr>
            <w:tcW w:w="430" w:type="pct"/>
            <w:gridSpan w:val="2"/>
          </w:tcPr>
          <w:p w14:paraId="438922F8"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2,1</w:t>
            </w:r>
          </w:p>
        </w:tc>
      </w:tr>
      <w:tr w:rsidR="00AF6955" w:rsidRPr="007F1F10" w14:paraId="497E701A" w14:textId="77777777" w:rsidTr="00136713">
        <w:trPr>
          <w:gridAfter w:val="1"/>
          <w:wAfter w:w="128" w:type="pct"/>
          <w:trHeight w:val="113"/>
        </w:trPr>
        <w:tc>
          <w:tcPr>
            <w:tcW w:w="1231" w:type="pct"/>
            <w:noWrap/>
          </w:tcPr>
          <w:p w14:paraId="0AB8F554" w14:textId="77777777" w:rsidR="00435783" w:rsidRPr="007F1F10" w:rsidRDefault="00435783" w:rsidP="00083940">
            <w:pPr>
              <w:rPr>
                <w:rFonts w:ascii="Times New Roman" w:hAnsi="Times New Roman"/>
                <w:i/>
                <w:sz w:val="20"/>
              </w:rPr>
            </w:pPr>
            <w:r w:rsidRPr="007F1F10">
              <w:rPr>
                <w:rFonts w:ascii="Times New Roman" w:hAnsi="Times New Roman"/>
                <w:i/>
                <w:sz w:val="20"/>
              </w:rPr>
              <w:t>Finansierings- og forsikringsvirksomhet</w:t>
            </w:r>
          </w:p>
        </w:tc>
        <w:tc>
          <w:tcPr>
            <w:tcW w:w="355" w:type="pct"/>
            <w:noWrap/>
          </w:tcPr>
          <w:p w14:paraId="74A850FC" w14:textId="77777777" w:rsidR="00435783" w:rsidRPr="007F1F10" w:rsidRDefault="00435783" w:rsidP="00083940">
            <w:pPr>
              <w:jc w:val="right"/>
              <w:rPr>
                <w:rFonts w:ascii="Times New Roman" w:hAnsi="Times New Roman"/>
                <w:i/>
                <w:sz w:val="20"/>
              </w:rPr>
            </w:pPr>
          </w:p>
        </w:tc>
        <w:tc>
          <w:tcPr>
            <w:tcW w:w="355" w:type="pct"/>
            <w:noWrap/>
          </w:tcPr>
          <w:p w14:paraId="7837B999" w14:textId="77777777" w:rsidR="00435783" w:rsidRPr="007F1F10" w:rsidRDefault="00435783" w:rsidP="00083940">
            <w:pPr>
              <w:jc w:val="right"/>
              <w:rPr>
                <w:rFonts w:ascii="Times New Roman" w:hAnsi="Times New Roman"/>
                <w:i/>
                <w:sz w:val="20"/>
              </w:rPr>
            </w:pPr>
          </w:p>
        </w:tc>
        <w:tc>
          <w:tcPr>
            <w:tcW w:w="350" w:type="pct"/>
            <w:noWrap/>
          </w:tcPr>
          <w:p w14:paraId="0CD80BB6" w14:textId="77777777" w:rsidR="00435783" w:rsidRPr="007F1F10" w:rsidRDefault="00435783" w:rsidP="00083940">
            <w:pPr>
              <w:jc w:val="right"/>
              <w:rPr>
                <w:rFonts w:ascii="Times New Roman" w:hAnsi="Times New Roman"/>
                <w:i/>
                <w:sz w:val="20"/>
              </w:rPr>
            </w:pPr>
          </w:p>
        </w:tc>
        <w:tc>
          <w:tcPr>
            <w:tcW w:w="358" w:type="pct"/>
            <w:noWrap/>
          </w:tcPr>
          <w:p w14:paraId="5745F299" w14:textId="77777777" w:rsidR="00435783" w:rsidRPr="007F1F10" w:rsidRDefault="00435783" w:rsidP="00083940">
            <w:pPr>
              <w:jc w:val="right"/>
              <w:rPr>
                <w:rFonts w:ascii="Times New Roman" w:hAnsi="Times New Roman"/>
                <w:i/>
                <w:sz w:val="20"/>
              </w:rPr>
            </w:pPr>
          </w:p>
        </w:tc>
        <w:tc>
          <w:tcPr>
            <w:tcW w:w="358" w:type="pct"/>
            <w:gridSpan w:val="2"/>
            <w:noWrap/>
          </w:tcPr>
          <w:p w14:paraId="3178BB3D" w14:textId="77777777" w:rsidR="00435783" w:rsidRPr="007F1F10" w:rsidRDefault="00435783" w:rsidP="00083940">
            <w:pPr>
              <w:jc w:val="right"/>
              <w:rPr>
                <w:rFonts w:ascii="Times New Roman" w:hAnsi="Times New Roman"/>
                <w:i/>
                <w:sz w:val="20"/>
              </w:rPr>
            </w:pPr>
          </w:p>
        </w:tc>
        <w:tc>
          <w:tcPr>
            <w:tcW w:w="358" w:type="pct"/>
            <w:noWrap/>
          </w:tcPr>
          <w:p w14:paraId="7FB3DCF6" w14:textId="77777777" w:rsidR="00435783" w:rsidRPr="007F1F10" w:rsidRDefault="00435783" w:rsidP="00083940">
            <w:pPr>
              <w:jc w:val="right"/>
              <w:rPr>
                <w:rFonts w:ascii="Times New Roman" w:hAnsi="Times New Roman"/>
                <w:i/>
                <w:sz w:val="20"/>
              </w:rPr>
            </w:pPr>
          </w:p>
        </w:tc>
        <w:tc>
          <w:tcPr>
            <w:tcW w:w="355" w:type="pct"/>
            <w:gridSpan w:val="2"/>
            <w:noWrap/>
          </w:tcPr>
          <w:p w14:paraId="3230C659" w14:textId="77777777" w:rsidR="00435783" w:rsidRPr="007F1F10" w:rsidRDefault="00435783" w:rsidP="00083940">
            <w:pPr>
              <w:jc w:val="right"/>
              <w:rPr>
                <w:rFonts w:ascii="Times New Roman" w:hAnsi="Times New Roman"/>
                <w:i/>
                <w:sz w:val="20"/>
              </w:rPr>
            </w:pPr>
          </w:p>
        </w:tc>
        <w:tc>
          <w:tcPr>
            <w:tcW w:w="356" w:type="pct"/>
            <w:gridSpan w:val="2"/>
            <w:noWrap/>
          </w:tcPr>
          <w:p w14:paraId="14361D46" w14:textId="77777777" w:rsidR="00435783" w:rsidRPr="007F1F10" w:rsidRDefault="00435783" w:rsidP="00083940">
            <w:pPr>
              <w:jc w:val="right"/>
              <w:rPr>
                <w:rFonts w:ascii="Times New Roman" w:hAnsi="Times New Roman"/>
                <w:i/>
                <w:sz w:val="20"/>
              </w:rPr>
            </w:pPr>
          </w:p>
        </w:tc>
        <w:tc>
          <w:tcPr>
            <w:tcW w:w="366" w:type="pct"/>
            <w:noWrap/>
          </w:tcPr>
          <w:p w14:paraId="7B0DD134" w14:textId="77777777" w:rsidR="00435783" w:rsidRPr="007F1F10" w:rsidRDefault="00435783" w:rsidP="00083940">
            <w:pPr>
              <w:jc w:val="right"/>
              <w:rPr>
                <w:rFonts w:ascii="Times New Roman" w:hAnsi="Times New Roman"/>
                <w:i/>
                <w:sz w:val="20"/>
              </w:rPr>
            </w:pPr>
          </w:p>
        </w:tc>
        <w:tc>
          <w:tcPr>
            <w:tcW w:w="430" w:type="pct"/>
            <w:gridSpan w:val="2"/>
          </w:tcPr>
          <w:p w14:paraId="5C1FC2BB" w14:textId="77777777" w:rsidR="00435783" w:rsidRPr="007F1F10" w:rsidRDefault="00435783" w:rsidP="00083940">
            <w:pPr>
              <w:spacing w:after="0"/>
              <w:jc w:val="right"/>
              <w:rPr>
                <w:rFonts w:ascii="Times New Roman" w:hAnsi="Times New Roman"/>
                <w:i/>
                <w:sz w:val="20"/>
              </w:rPr>
            </w:pPr>
          </w:p>
        </w:tc>
      </w:tr>
      <w:tr w:rsidR="00AF6955" w:rsidRPr="007F1F10" w14:paraId="6C5E5B42" w14:textId="77777777" w:rsidTr="00136713">
        <w:trPr>
          <w:gridAfter w:val="1"/>
          <w:wAfter w:w="128" w:type="pct"/>
          <w:trHeight w:val="113"/>
        </w:trPr>
        <w:tc>
          <w:tcPr>
            <w:tcW w:w="1231" w:type="pct"/>
            <w:noWrap/>
            <w:vAlign w:val="bottom"/>
          </w:tcPr>
          <w:p w14:paraId="129F6C11" w14:textId="77777777" w:rsidR="00435783" w:rsidRPr="007F1F10" w:rsidRDefault="00435783" w:rsidP="00083940">
            <w:pPr>
              <w:rPr>
                <w:rFonts w:ascii="Times New Roman" w:eastAsia="Times New Roman" w:hAnsi="Times New Roman"/>
                <w:color w:val="000000"/>
                <w:sz w:val="20"/>
              </w:rPr>
            </w:pPr>
            <w:r w:rsidRPr="007F1F10">
              <w:rPr>
                <w:rFonts w:ascii="Times New Roman" w:eastAsia="Times New Roman" w:hAnsi="Times New Roman"/>
                <w:color w:val="000000"/>
                <w:sz w:val="20"/>
              </w:rPr>
              <w:t xml:space="preserve">Årslønn, påløpt </w:t>
            </w:r>
          </w:p>
        </w:tc>
        <w:tc>
          <w:tcPr>
            <w:tcW w:w="355" w:type="pct"/>
            <w:noWrap/>
          </w:tcPr>
          <w:p w14:paraId="09017AC2" w14:textId="77777777" w:rsidR="00435783" w:rsidRPr="007F1F10" w:rsidRDefault="00435783" w:rsidP="00083940">
            <w:pPr>
              <w:jc w:val="right"/>
              <w:rPr>
                <w:rFonts w:ascii="Times New Roman" w:eastAsia="Times New Roman" w:hAnsi="Times New Roman"/>
                <w:color w:val="000000"/>
                <w:sz w:val="20"/>
              </w:rPr>
            </w:pPr>
          </w:p>
        </w:tc>
        <w:tc>
          <w:tcPr>
            <w:tcW w:w="355" w:type="pct"/>
            <w:noWrap/>
          </w:tcPr>
          <w:p w14:paraId="18CF08E5" w14:textId="77777777" w:rsidR="00435783" w:rsidRPr="007F1F10" w:rsidRDefault="00435783" w:rsidP="00083940">
            <w:pPr>
              <w:jc w:val="right"/>
              <w:rPr>
                <w:rFonts w:ascii="Times New Roman" w:eastAsia="Times New Roman" w:hAnsi="Times New Roman"/>
                <w:color w:val="000000"/>
                <w:sz w:val="20"/>
              </w:rPr>
            </w:pPr>
          </w:p>
        </w:tc>
        <w:tc>
          <w:tcPr>
            <w:tcW w:w="350" w:type="pct"/>
            <w:noWrap/>
          </w:tcPr>
          <w:p w14:paraId="5994F74E" w14:textId="77777777" w:rsidR="00435783" w:rsidRPr="007F1F10" w:rsidRDefault="00435783" w:rsidP="00083940">
            <w:pPr>
              <w:jc w:val="right"/>
              <w:rPr>
                <w:rFonts w:ascii="Times New Roman" w:eastAsia="Times New Roman" w:hAnsi="Times New Roman"/>
                <w:color w:val="000000"/>
                <w:sz w:val="20"/>
              </w:rPr>
            </w:pPr>
          </w:p>
        </w:tc>
        <w:tc>
          <w:tcPr>
            <w:tcW w:w="358" w:type="pct"/>
            <w:noWrap/>
          </w:tcPr>
          <w:p w14:paraId="42E05B6E"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-0,5</w:t>
            </w:r>
          </w:p>
        </w:tc>
        <w:tc>
          <w:tcPr>
            <w:tcW w:w="358" w:type="pct"/>
            <w:gridSpan w:val="2"/>
            <w:noWrap/>
          </w:tcPr>
          <w:p w14:paraId="34205A9C"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6,7</w:t>
            </w:r>
          </w:p>
        </w:tc>
        <w:tc>
          <w:tcPr>
            <w:tcW w:w="358" w:type="pct"/>
            <w:noWrap/>
          </w:tcPr>
          <w:p w14:paraId="5840EFBB"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6,6</w:t>
            </w:r>
          </w:p>
        </w:tc>
        <w:tc>
          <w:tcPr>
            <w:tcW w:w="355" w:type="pct"/>
            <w:gridSpan w:val="2"/>
            <w:noWrap/>
          </w:tcPr>
          <w:p w14:paraId="4E39C9B3"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0,7</w:t>
            </w:r>
          </w:p>
        </w:tc>
        <w:tc>
          <w:tcPr>
            <w:tcW w:w="356" w:type="pct"/>
            <w:gridSpan w:val="2"/>
            <w:noWrap/>
          </w:tcPr>
          <w:p w14:paraId="19FBC008"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5,6</w:t>
            </w:r>
          </w:p>
        </w:tc>
        <w:tc>
          <w:tcPr>
            <w:tcW w:w="366" w:type="pct"/>
            <w:noWrap/>
          </w:tcPr>
          <w:p w14:paraId="6A02AAE0"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5,0</w:t>
            </w:r>
          </w:p>
        </w:tc>
        <w:tc>
          <w:tcPr>
            <w:tcW w:w="430" w:type="pct"/>
            <w:gridSpan w:val="2"/>
          </w:tcPr>
          <w:p w14:paraId="03624785" w14:textId="77777777" w:rsidR="00435783" w:rsidRPr="007F1F10" w:rsidRDefault="00435783" w:rsidP="00083940">
            <w:pPr>
              <w:spacing w:after="0"/>
              <w:jc w:val="right"/>
              <w:rPr>
                <w:rFonts w:ascii="Times New Roman" w:eastAsia="Times New Roman" w:hAnsi="Times New Roman"/>
                <w:color w:val="000000"/>
                <w:sz w:val="20"/>
              </w:rPr>
            </w:pPr>
            <w:r w:rsidRPr="007F1F10">
              <w:rPr>
                <w:rFonts w:ascii="Times New Roman" w:hAnsi="Times New Roman"/>
                <w:sz w:val="20"/>
              </w:rPr>
              <w:t>3,5</w:t>
            </w:r>
          </w:p>
        </w:tc>
      </w:tr>
      <w:tr w:rsidR="00AF6955" w:rsidRPr="007F1F10" w14:paraId="6643E1D5" w14:textId="77777777" w:rsidTr="00136713">
        <w:trPr>
          <w:gridAfter w:val="1"/>
          <w:wAfter w:w="128" w:type="pct"/>
          <w:trHeight w:val="113"/>
        </w:trPr>
        <w:tc>
          <w:tcPr>
            <w:tcW w:w="1231" w:type="pct"/>
            <w:noWrap/>
            <w:vAlign w:val="bottom"/>
          </w:tcPr>
          <w:p w14:paraId="7ADFD7AD" w14:textId="77777777" w:rsidR="00435783" w:rsidRPr="007F1F10" w:rsidRDefault="00435783" w:rsidP="00083940">
            <w:pPr>
              <w:rPr>
                <w:rFonts w:ascii="Times New Roman" w:eastAsia="Times New Roman" w:hAnsi="Times New Roman"/>
                <w:color w:val="000000"/>
                <w:sz w:val="20"/>
              </w:rPr>
            </w:pPr>
            <w:r w:rsidRPr="007F1F10">
              <w:rPr>
                <w:rFonts w:ascii="Times New Roman" w:eastAsia="Times New Roman" w:hAnsi="Times New Roman"/>
                <w:color w:val="000000"/>
                <w:sz w:val="20"/>
              </w:rPr>
              <w:t>Lønn per årsverk</w:t>
            </w:r>
            <w:r w:rsidRPr="007F1F10">
              <w:rPr>
                <w:rFonts w:ascii="Times New Roman" w:hAnsi="Times New Roman"/>
                <w:sz w:val="20"/>
                <w:vertAlign w:val="superscript"/>
              </w:rPr>
              <w:t>1</w:t>
            </w:r>
            <w:r w:rsidRPr="007F1F10">
              <w:rPr>
                <w:rFonts w:ascii="Times New Roman" w:eastAsia="Times New Roman" w:hAnsi="Times New Roman"/>
                <w:color w:val="000000"/>
                <w:sz w:val="20"/>
              </w:rPr>
              <w:t xml:space="preserve"> </w:t>
            </w:r>
          </w:p>
        </w:tc>
        <w:tc>
          <w:tcPr>
            <w:tcW w:w="355" w:type="pct"/>
            <w:noWrap/>
          </w:tcPr>
          <w:p w14:paraId="78620CD8"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8,0</w:t>
            </w:r>
          </w:p>
        </w:tc>
        <w:tc>
          <w:tcPr>
            <w:tcW w:w="355" w:type="pct"/>
            <w:noWrap/>
          </w:tcPr>
          <w:p w14:paraId="6493A431"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6,8</w:t>
            </w:r>
          </w:p>
        </w:tc>
        <w:tc>
          <w:tcPr>
            <w:tcW w:w="350" w:type="pct"/>
            <w:noWrap/>
          </w:tcPr>
          <w:p w14:paraId="0F0ED108"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7,5</w:t>
            </w:r>
          </w:p>
        </w:tc>
        <w:tc>
          <w:tcPr>
            <w:tcW w:w="358" w:type="pct"/>
            <w:noWrap/>
          </w:tcPr>
          <w:p w14:paraId="4675E298"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-0,4</w:t>
            </w:r>
          </w:p>
        </w:tc>
        <w:tc>
          <w:tcPr>
            <w:tcW w:w="358" w:type="pct"/>
            <w:gridSpan w:val="2"/>
            <w:noWrap/>
          </w:tcPr>
          <w:p w14:paraId="3382AE05"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6,4</w:t>
            </w:r>
          </w:p>
        </w:tc>
        <w:tc>
          <w:tcPr>
            <w:tcW w:w="358" w:type="pct"/>
            <w:noWrap/>
          </w:tcPr>
          <w:p w14:paraId="375AD6A0"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6,7</w:t>
            </w:r>
          </w:p>
        </w:tc>
        <w:tc>
          <w:tcPr>
            <w:tcW w:w="355" w:type="pct"/>
            <w:gridSpan w:val="2"/>
            <w:noWrap/>
          </w:tcPr>
          <w:p w14:paraId="32E885AD"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3,7</w:t>
            </w:r>
          </w:p>
        </w:tc>
        <w:tc>
          <w:tcPr>
            <w:tcW w:w="356" w:type="pct"/>
            <w:gridSpan w:val="2"/>
            <w:noWrap/>
          </w:tcPr>
          <w:p w14:paraId="1D5D179D"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5,4</w:t>
            </w:r>
          </w:p>
        </w:tc>
        <w:tc>
          <w:tcPr>
            <w:tcW w:w="366" w:type="pct"/>
            <w:noWrap/>
          </w:tcPr>
          <w:p w14:paraId="175FACBE"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5,1</w:t>
            </w:r>
          </w:p>
        </w:tc>
        <w:tc>
          <w:tcPr>
            <w:tcW w:w="430" w:type="pct"/>
            <w:gridSpan w:val="2"/>
          </w:tcPr>
          <w:p w14:paraId="4C72AC2C" w14:textId="77777777" w:rsidR="00435783" w:rsidRPr="007F1F10" w:rsidRDefault="00435783" w:rsidP="00083940">
            <w:pPr>
              <w:spacing w:after="0"/>
              <w:jc w:val="right"/>
              <w:rPr>
                <w:rFonts w:ascii="Times New Roman" w:eastAsia="Times New Roman" w:hAnsi="Times New Roman"/>
                <w:color w:val="000000"/>
                <w:sz w:val="20"/>
              </w:rPr>
            </w:pPr>
            <w:r w:rsidRPr="007F1F10">
              <w:rPr>
                <w:rFonts w:ascii="Times New Roman" w:hAnsi="Times New Roman"/>
                <w:sz w:val="20"/>
              </w:rPr>
              <w:t>3,5</w:t>
            </w:r>
          </w:p>
        </w:tc>
      </w:tr>
      <w:tr w:rsidR="00AF6955" w:rsidRPr="007F1F10" w14:paraId="76F1365A" w14:textId="77777777" w:rsidTr="00136713">
        <w:trPr>
          <w:gridAfter w:val="1"/>
          <w:wAfter w:w="128" w:type="pct"/>
          <w:trHeight w:val="113"/>
        </w:trPr>
        <w:tc>
          <w:tcPr>
            <w:tcW w:w="1231" w:type="pct"/>
            <w:noWrap/>
            <w:vAlign w:val="bottom"/>
          </w:tcPr>
          <w:p w14:paraId="553B9E04" w14:textId="77777777" w:rsidR="00435783" w:rsidRPr="007F1F10" w:rsidRDefault="00435783" w:rsidP="00083940">
            <w:pPr>
              <w:rPr>
                <w:rFonts w:ascii="Times New Roman" w:eastAsia="Times New Roman" w:hAnsi="Times New Roman"/>
                <w:color w:val="000000"/>
                <w:sz w:val="20"/>
              </w:rPr>
            </w:pPr>
            <w:r w:rsidRPr="007F1F10">
              <w:rPr>
                <w:rFonts w:ascii="Times New Roman" w:hAnsi="Times New Roman"/>
                <w:sz w:val="20"/>
              </w:rPr>
              <w:t>Lønnskostnader per årsverk</w:t>
            </w:r>
          </w:p>
        </w:tc>
        <w:tc>
          <w:tcPr>
            <w:tcW w:w="355" w:type="pct"/>
            <w:noWrap/>
          </w:tcPr>
          <w:p w14:paraId="6B29E009"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6,5</w:t>
            </w:r>
          </w:p>
        </w:tc>
        <w:tc>
          <w:tcPr>
            <w:tcW w:w="355" w:type="pct"/>
            <w:noWrap/>
          </w:tcPr>
          <w:p w14:paraId="40849847"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9,5</w:t>
            </w:r>
          </w:p>
        </w:tc>
        <w:tc>
          <w:tcPr>
            <w:tcW w:w="350" w:type="pct"/>
            <w:noWrap/>
          </w:tcPr>
          <w:p w14:paraId="39D2C1EC"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6,1</w:t>
            </w:r>
          </w:p>
        </w:tc>
        <w:tc>
          <w:tcPr>
            <w:tcW w:w="358" w:type="pct"/>
            <w:noWrap/>
          </w:tcPr>
          <w:p w14:paraId="65664450"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0,3</w:t>
            </w:r>
          </w:p>
        </w:tc>
        <w:tc>
          <w:tcPr>
            <w:tcW w:w="358" w:type="pct"/>
            <w:gridSpan w:val="2"/>
            <w:noWrap/>
          </w:tcPr>
          <w:p w14:paraId="1F579924"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4,1</w:t>
            </w:r>
          </w:p>
        </w:tc>
        <w:tc>
          <w:tcPr>
            <w:tcW w:w="358" w:type="pct"/>
            <w:noWrap/>
          </w:tcPr>
          <w:p w14:paraId="7E9AB904"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4,9</w:t>
            </w:r>
          </w:p>
        </w:tc>
        <w:tc>
          <w:tcPr>
            <w:tcW w:w="355" w:type="pct"/>
            <w:gridSpan w:val="2"/>
            <w:noWrap/>
          </w:tcPr>
          <w:p w14:paraId="10B8BE79"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5,1</w:t>
            </w:r>
          </w:p>
        </w:tc>
        <w:tc>
          <w:tcPr>
            <w:tcW w:w="356" w:type="pct"/>
            <w:gridSpan w:val="2"/>
            <w:noWrap/>
          </w:tcPr>
          <w:p w14:paraId="1A6FF0B7"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5,0</w:t>
            </w:r>
          </w:p>
        </w:tc>
        <w:tc>
          <w:tcPr>
            <w:tcW w:w="366" w:type="pct"/>
            <w:noWrap/>
          </w:tcPr>
          <w:p w14:paraId="53725E44" w14:textId="77777777" w:rsidR="00435783" w:rsidRPr="007F1F10" w:rsidRDefault="00435783" w:rsidP="00083940">
            <w:pPr>
              <w:jc w:val="right"/>
              <w:rPr>
                <w:rFonts w:ascii="Times New Roman" w:eastAsia="Times New Roman" w:hAnsi="Times New Roman"/>
                <w:color w:val="000000"/>
                <w:sz w:val="20"/>
              </w:rPr>
            </w:pPr>
            <w:r w:rsidRPr="007F1F10">
              <w:rPr>
                <w:rFonts w:ascii="Times New Roman" w:hAnsi="Times New Roman"/>
                <w:sz w:val="20"/>
              </w:rPr>
              <w:t>5,6</w:t>
            </w:r>
          </w:p>
        </w:tc>
        <w:tc>
          <w:tcPr>
            <w:tcW w:w="430" w:type="pct"/>
            <w:gridSpan w:val="2"/>
          </w:tcPr>
          <w:p w14:paraId="659742F9" w14:textId="77777777" w:rsidR="00435783" w:rsidRPr="007F1F10" w:rsidRDefault="00435783" w:rsidP="00083940">
            <w:pPr>
              <w:spacing w:after="0"/>
              <w:jc w:val="right"/>
              <w:rPr>
                <w:rFonts w:ascii="Times New Roman" w:eastAsia="Times New Roman" w:hAnsi="Times New Roman"/>
                <w:color w:val="000000"/>
                <w:sz w:val="20"/>
              </w:rPr>
            </w:pPr>
            <w:r w:rsidRPr="007F1F10">
              <w:rPr>
                <w:rFonts w:ascii="Times New Roman" w:hAnsi="Times New Roman"/>
                <w:sz w:val="20"/>
              </w:rPr>
              <w:t>4,0</w:t>
            </w:r>
          </w:p>
        </w:tc>
      </w:tr>
      <w:tr w:rsidR="00AF6955" w:rsidRPr="007F1F10" w14:paraId="6BAA9AAE" w14:textId="77777777" w:rsidTr="00136713">
        <w:trPr>
          <w:trHeight w:val="113"/>
        </w:trPr>
        <w:tc>
          <w:tcPr>
            <w:tcW w:w="1231" w:type="pct"/>
            <w:noWrap/>
          </w:tcPr>
          <w:p w14:paraId="1EBF0A1E" w14:textId="77777777" w:rsidR="00435783" w:rsidRPr="007F1F10" w:rsidRDefault="00435783" w:rsidP="00083940">
            <w:pPr>
              <w:rPr>
                <w:rFonts w:ascii="Times New Roman" w:hAnsi="Times New Roman"/>
                <w:bCs/>
                <w:i/>
                <w:sz w:val="20"/>
              </w:rPr>
            </w:pPr>
            <w:r w:rsidRPr="007F1F10">
              <w:rPr>
                <w:rFonts w:ascii="Times New Roman" w:hAnsi="Times New Roman"/>
                <w:i/>
                <w:sz w:val="20"/>
              </w:rPr>
              <w:t>Offentlig forvaltning</w:t>
            </w:r>
          </w:p>
        </w:tc>
        <w:tc>
          <w:tcPr>
            <w:tcW w:w="355" w:type="pct"/>
            <w:noWrap/>
          </w:tcPr>
          <w:p w14:paraId="21F3D846" w14:textId="77777777" w:rsidR="00435783" w:rsidRPr="007F1F10" w:rsidRDefault="00435783" w:rsidP="00083940">
            <w:pPr>
              <w:jc w:val="right"/>
              <w:rPr>
                <w:rFonts w:ascii="Times New Roman" w:hAnsi="Times New Roman"/>
                <w:sz w:val="20"/>
              </w:rPr>
            </w:pPr>
          </w:p>
        </w:tc>
        <w:tc>
          <w:tcPr>
            <w:tcW w:w="355" w:type="pct"/>
            <w:noWrap/>
          </w:tcPr>
          <w:p w14:paraId="22BCB1D3" w14:textId="77777777" w:rsidR="00435783" w:rsidRPr="007F1F10" w:rsidRDefault="00435783" w:rsidP="00083940">
            <w:pPr>
              <w:jc w:val="right"/>
              <w:rPr>
                <w:rFonts w:ascii="Times New Roman" w:hAnsi="Times New Roman"/>
                <w:sz w:val="20"/>
              </w:rPr>
            </w:pPr>
          </w:p>
        </w:tc>
        <w:tc>
          <w:tcPr>
            <w:tcW w:w="350" w:type="pct"/>
            <w:noWrap/>
          </w:tcPr>
          <w:p w14:paraId="3BFEAE90" w14:textId="77777777" w:rsidR="00435783" w:rsidRPr="007F1F10" w:rsidRDefault="00435783" w:rsidP="00083940">
            <w:pPr>
              <w:jc w:val="right"/>
              <w:rPr>
                <w:rFonts w:ascii="Times New Roman" w:hAnsi="Times New Roman"/>
                <w:sz w:val="20"/>
              </w:rPr>
            </w:pPr>
          </w:p>
        </w:tc>
        <w:tc>
          <w:tcPr>
            <w:tcW w:w="462" w:type="pct"/>
            <w:gridSpan w:val="2"/>
            <w:noWrap/>
          </w:tcPr>
          <w:p w14:paraId="347BAC05" w14:textId="77777777" w:rsidR="00435783" w:rsidRPr="007F1F10" w:rsidRDefault="00435783" w:rsidP="00083940">
            <w:pPr>
              <w:jc w:val="right"/>
              <w:rPr>
                <w:rFonts w:ascii="Times New Roman" w:hAnsi="Times New Roman"/>
                <w:sz w:val="20"/>
              </w:rPr>
            </w:pPr>
          </w:p>
        </w:tc>
        <w:tc>
          <w:tcPr>
            <w:tcW w:w="254" w:type="pct"/>
            <w:noWrap/>
          </w:tcPr>
          <w:p w14:paraId="07831044" w14:textId="77777777" w:rsidR="00435783" w:rsidRPr="007F1F10" w:rsidRDefault="00435783" w:rsidP="00083940">
            <w:pPr>
              <w:jc w:val="right"/>
              <w:rPr>
                <w:rFonts w:ascii="Times New Roman" w:hAnsi="Times New Roman"/>
                <w:sz w:val="20"/>
              </w:rPr>
            </w:pPr>
          </w:p>
        </w:tc>
        <w:tc>
          <w:tcPr>
            <w:tcW w:w="469" w:type="pct"/>
            <w:gridSpan w:val="2"/>
            <w:noWrap/>
          </w:tcPr>
          <w:p w14:paraId="4A13A904" w14:textId="77777777" w:rsidR="00435783" w:rsidRPr="007F1F10" w:rsidRDefault="00435783" w:rsidP="00083940">
            <w:pPr>
              <w:jc w:val="right"/>
              <w:rPr>
                <w:rFonts w:ascii="Times New Roman" w:hAnsi="Times New Roman"/>
                <w:sz w:val="20"/>
              </w:rPr>
            </w:pPr>
          </w:p>
        </w:tc>
        <w:tc>
          <w:tcPr>
            <w:tcW w:w="387" w:type="pct"/>
            <w:gridSpan w:val="2"/>
            <w:noWrap/>
          </w:tcPr>
          <w:p w14:paraId="6F47CDA6" w14:textId="77777777" w:rsidR="00435783" w:rsidRPr="007F1F10" w:rsidRDefault="00435783" w:rsidP="00083940">
            <w:pPr>
              <w:jc w:val="right"/>
              <w:rPr>
                <w:rFonts w:ascii="Times New Roman" w:hAnsi="Times New Roman"/>
                <w:sz w:val="20"/>
              </w:rPr>
            </w:pPr>
          </w:p>
        </w:tc>
        <w:tc>
          <w:tcPr>
            <w:tcW w:w="212" w:type="pct"/>
            <w:noWrap/>
          </w:tcPr>
          <w:p w14:paraId="30A95949" w14:textId="77777777" w:rsidR="00435783" w:rsidRPr="007F1F10" w:rsidRDefault="00435783" w:rsidP="00083940">
            <w:pPr>
              <w:jc w:val="right"/>
              <w:rPr>
                <w:rFonts w:ascii="Times New Roman" w:hAnsi="Times New Roman"/>
                <w:sz w:val="20"/>
              </w:rPr>
            </w:pPr>
          </w:p>
        </w:tc>
        <w:tc>
          <w:tcPr>
            <w:tcW w:w="536" w:type="pct"/>
            <w:gridSpan w:val="2"/>
            <w:noWrap/>
          </w:tcPr>
          <w:p w14:paraId="6BD30249" w14:textId="77777777" w:rsidR="00435783" w:rsidRPr="007F1F10" w:rsidRDefault="00435783" w:rsidP="00083940">
            <w:pPr>
              <w:jc w:val="right"/>
              <w:rPr>
                <w:rFonts w:ascii="Times New Roman" w:hAnsi="Times New Roman"/>
                <w:sz w:val="20"/>
              </w:rPr>
            </w:pPr>
          </w:p>
        </w:tc>
        <w:tc>
          <w:tcPr>
            <w:tcW w:w="388" w:type="pct"/>
            <w:gridSpan w:val="2"/>
          </w:tcPr>
          <w:p w14:paraId="190B9046" w14:textId="77777777" w:rsidR="00435783" w:rsidRPr="007F1F10" w:rsidRDefault="00435783" w:rsidP="00083940">
            <w:pPr>
              <w:jc w:val="right"/>
              <w:rPr>
                <w:rFonts w:ascii="Times New Roman" w:hAnsi="Times New Roman"/>
                <w:sz w:val="20"/>
              </w:rPr>
            </w:pPr>
          </w:p>
        </w:tc>
      </w:tr>
      <w:tr w:rsidR="00AF6955" w:rsidRPr="007F1F10" w14:paraId="00E6FE98" w14:textId="77777777" w:rsidTr="00136713">
        <w:trPr>
          <w:gridAfter w:val="1"/>
          <w:wAfter w:w="128" w:type="pct"/>
          <w:trHeight w:val="113"/>
        </w:trPr>
        <w:tc>
          <w:tcPr>
            <w:tcW w:w="1231" w:type="pct"/>
            <w:noWrap/>
          </w:tcPr>
          <w:p w14:paraId="0AFCE978" w14:textId="77777777" w:rsidR="00435783" w:rsidRPr="007F1F10" w:rsidRDefault="00435783" w:rsidP="00083940">
            <w:pPr>
              <w:rPr>
                <w:rFonts w:ascii="Times New Roman" w:hAnsi="Times New Roman"/>
                <w:sz w:val="20"/>
              </w:rPr>
            </w:pPr>
            <w:r w:rsidRPr="007F1F10">
              <w:rPr>
                <w:rFonts w:ascii="Times New Roman" w:hAnsi="Times New Roman"/>
                <w:sz w:val="20"/>
              </w:rPr>
              <w:t>Årslønn, påløpt</w:t>
            </w:r>
          </w:p>
        </w:tc>
        <w:tc>
          <w:tcPr>
            <w:tcW w:w="355" w:type="pct"/>
            <w:noWrap/>
          </w:tcPr>
          <w:p w14:paraId="23955592" w14:textId="77777777" w:rsidR="00435783" w:rsidRPr="007F1F10" w:rsidRDefault="00435783" w:rsidP="00083940">
            <w:pPr>
              <w:jc w:val="right"/>
              <w:rPr>
                <w:rFonts w:ascii="Times New Roman" w:hAnsi="Times New Roman"/>
                <w:sz w:val="20"/>
              </w:rPr>
            </w:pPr>
          </w:p>
        </w:tc>
        <w:tc>
          <w:tcPr>
            <w:tcW w:w="355" w:type="pct"/>
            <w:noWrap/>
          </w:tcPr>
          <w:p w14:paraId="330085A0" w14:textId="77777777" w:rsidR="00435783" w:rsidRPr="007F1F10" w:rsidRDefault="00435783" w:rsidP="00083940">
            <w:pPr>
              <w:jc w:val="right"/>
              <w:rPr>
                <w:rFonts w:ascii="Times New Roman" w:hAnsi="Times New Roman"/>
                <w:sz w:val="20"/>
              </w:rPr>
            </w:pPr>
          </w:p>
        </w:tc>
        <w:tc>
          <w:tcPr>
            <w:tcW w:w="350" w:type="pct"/>
            <w:noWrap/>
          </w:tcPr>
          <w:p w14:paraId="36131ED2" w14:textId="77777777" w:rsidR="00435783" w:rsidRPr="007F1F10" w:rsidRDefault="00435783" w:rsidP="00083940">
            <w:pPr>
              <w:jc w:val="right"/>
              <w:rPr>
                <w:rFonts w:ascii="Times New Roman" w:hAnsi="Times New Roman"/>
                <w:sz w:val="20"/>
              </w:rPr>
            </w:pPr>
          </w:p>
        </w:tc>
        <w:tc>
          <w:tcPr>
            <w:tcW w:w="358" w:type="pct"/>
            <w:noWrap/>
          </w:tcPr>
          <w:p w14:paraId="1692340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4,5</w:t>
            </w:r>
          </w:p>
        </w:tc>
        <w:tc>
          <w:tcPr>
            <w:tcW w:w="358" w:type="pct"/>
            <w:gridSpan w:val="2"/>
            <w:noWrap/>
          </w:tcPr>
          <w:p w14:paraId="01E202C7"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4,0</w:t>
            </w:r>
          </w:p>
        </w:tc>
        <w:tc>
          <w:tcPr>
            <w:tcW w:w="358" w:type="pct"/>
            <w:noWrap/>
          </w:tcPr>
          <w:p w14:paraId="56913BC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55" w:type="pct"/>
            <w:gridSpan w:val="2"/>
            <w:noWrap/>
          </w:tcPr>
          <w:p w14:paraId="1CAFE11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6" w:type="pct"/>
            <w:gridSpan w:val="2"/>
            <w:noWrap/>
          </w:tcPr>
          <w:p w14:paraId="225B3A5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3,7</w:t>
            </w:r>
          </w:p>
        </w:tc>
        <w:tc>
          <w:tcPr>
            <w:tcW w:w="366" w:type="pct"/>
            <w:noWrap/>
          </w:tcPr>
          <w:p w14:paraId="20DA400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3,3</w:t>
            </w:r>
          </w:p>
        </w:tc>
        <w:tc>
          <w:tcPr>
            <w:tcW w:w="430" w:type="pct"/>
            <w:gridSpan w:val="2"/>
          </w:tcPr>
          <w:p w14:paraId="6FD60767"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3,1</w:t>
            </w:r>
          </w:p>
        </w:tc>
      </w:tr>
      <w:tr w:rsidR="00AF6955" w:rsidRPr="007F1F10" w14:paraId="00F78A18" w14:textId="77777777" w:rsidTr="00136713">
        <w:trPr>
          <w:gridAfter w:val="1"/>
          <w:wAfter w:w="128" w:type="pct"/>
          <w:trHeight w:val="113"/>
        </w:trPr>
        <w:tc>
          <w:tcPr>
            <w:tcW w:w="1231" w:type="pct"/>
            <w:noWrap/>
          </w:tcPr>
          <w:p w14:paraId="38C1D094" w14:textId="77777777" w:rsidR="00435783" w:rsidRPr="007F1F10" w:rsidRDefault="00435783" w:rsidP="00083940">
            <w:pPr>
              <w:rPr>
                <w:rFonts w:ascii="Times New Roman" w:hAnsi="Times New Roman"/>
                <w:sz w:val="20"/>
              </w:rPr>
            </w:pPr>
            <w:r w:rsidRPr="007F1F10">
              <w:rPr>
                <w:rFonts w:ascii="Times New Roman" w:hAnsi="Times New Roman"/>
                <w:sz w:val="20"/>
              </w:rPr>
              <w:t>Lønn per årsverk</w:t>
            </w:r>
            <w:r w:rsidRPr="007F1F10">
              <w:rPr>
                <w:rFonts w:ascii="Times New Roman" w:hAnsi="Times New Roman"/>
                <w:sz w:val="20"/>
                <w:vertAlign w:val="superscript"/>
              </w:rPr>
              <w:t>1</w:t>
            </w:r>
          </w:p>
        </w:tc>
        <w:tc>
          <w:tcPr>
            <w:tcW w:w="355" w:type="pct"/>
            <w:noWrap/>
          </w:tcPr>
          <w:p w14:paraId="7E6BA2E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3,4</w:t>
            </w:r>
          </w:p>
        </w:tc>
        <w:tc>
          <w:tcPr>
            <w:tcW w:w="355" w:type="pct"/>
            <w:noWrap/>
          </w:tcPr>
          <w:p w14:paraId="0255FEE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4,4</w:t>
            </w:r>
          </w:p>
        </w:tc>
        <w:tc>
          <w:tcPr>
            <w:tcW w:w="350" w:type="pct"/>
            <w:noWrap/>
          </w:tcPr>
          <w:p w14:paraId="3821466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5,6</w:t>
            </w:r>
          </w:p>
        </w:tc>
        <w:tc>
          <w:tcPr>
            <w:tcW w:w="358" w:type="pct"/>
            <w:noWrap/>
          </w:tcPr>
          <w:p w14:paraId="6F97A142"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4,2</w:t>
            </w:r>
          </w:p>
        </w:tc>
        <w:tc>
          <w:tcPr>
            <w:tcW w:w="358" w:type="pct"/>
            <w:gridSpan w:val="2"/>
            <w:noWrap/>
          </w:tcPr>
          <w:p w14:paraId="271253C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4,4</w:t>
            </w:r>
          </w:p>
        </w:tc>
        <w:tc>
          <w:tcPr>
            <w:tcW w:w="358" w:type="pct"/>
            <w:noWrap/>
          </w:tcPr>
          <w:p w14:paraId="05246A8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4,1</w:t>
            </w:r>
          </w:p>
        </w:tc>
        <w:tc>
          <w:tcPr>
            <w:tcW w:w="355" w:type="pct"/>
            <w:gridSpan w:val="2"/>
            <w:noWrap/>
          </w:tcPr>
          <w:p w14:paraId="6117C590"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6" w:type="pct"/>
            <w:gridSpan w:val="2"/>
            <w:noWrap/>
          </w:tcPr>
          <w:p w14:paraId="6802FD3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66" w:type="pct"/>
            <w:noWrap/>
          </w:tcPr>
          <w:p w14:paraId="55B89034"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3,2</w:t>
            </w:r>
          </w:p>
        </w:tc>
        <w:tc>
          <w:tcPr>
            <w:tcW w:w="430" w:type="pct"/>
            <w:gridSpan w:val="2"/>
          </w:tcPr>
          <w:p w14:paraId="2480EC57"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3,2</w:t>
            </w:r>
          </w:p>
        </w:tc>
      </w:tr>
      <w:tr w:rsidR="00AF6955" w:rsidRPr="007F1F10" w14:paraId="5E424E50" w14:textId="77777777" w:rsidTr="00136713">
        <w:trPr>
          <w:gridAfter w:val="1"/>
          <w:wAfter w:w="128" w:type="pct"/>
          <w:trHeight w:val="113"/>
        </w:trPr>
        <w:tc>
          <w:tcPr>
            <w:tcW w:w="1231" w:type="pct"/>
            <w:noWrap/>
          </w:tcPr>
          <w:p w14:paraId="33796EF2"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w:t>
            </w:r>
          </w:p>
        </w:tc>
        <w:tc>
          <w:tcPr>
            <w:tcW w:w="355" w:type="pct"/>
            <w:noWrap/>
          </w:tcPr>
          <w:p w14:paraId="54A2048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3,0</w:t>
            </w:r>
          </w:p>
        </w:tc>
        <w:tc>
          <w:tcPr>
            <w:tcW w:w="355" w:type="pct"/>
            <w:noWrap/>
          </w:tcPr>
          <w:p w14:paraId="66952A8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4,8</w:t>
            </w:r>
          </w:p>
        </w:tc>
        <w:tc>
          <w:tcPr>
            <w:tcW w:w="350" w:type="pct"/>
            <w:noWrap/>
          </w:tcPr>
          <w:p w14:paraId="038DD0CB"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6,1</w:t>
            </w:r>
          </w:p>
        </w:tc>
        <w:tc>
          <w:tcPr>
            <w:tcW w:w="358" w:type="pct"/>
            <w:noWrap/>
          </w:tcPr>
          <w:p w14:paraId="728FBB5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8" w:type="pct"/>
            <w:gridSpan w:val="2"/>
            <w:noWrap/>
          </w:tcPr>
          <w:p w14:paraId="0F139A6E"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8" w:type="pct"/>
            <w:noWrap/>
          </w:tcPr>
          <w:p w14:paraId="7E1837E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4,3</w:t>
            </w:r>
          </w:p>
        </w:tc>
        <w:tc>
          <w:tcPr>
            <w:tcW w:w="355" w:type="pct"/>
            <w:gridSpan w:val="2"/>
            <w:noWrap/>
          </w:tcPr>
          <w:p w14:paraId="0225F09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5,0</w:t>
            </w:r>
          </w:p>
        </w:tc>
        <w:tc>
          <w:tcPr>
            <w:tcW w:w="356" w:type="pct"/>
            <w:gridSpan w:val="2"/>
            <w:noWrap/>
          </w:tcPr>
          <w:p w14:paraId="048A952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4,2</w:t>
            </w:r>
          </w:p>
        </w:tc>
        <w:tc>
          <w:tcPr>
            <w:tcW w:w="366" w:type="pct"/>
            <w:noWrap/>
          </w:tcPr>
          <w:p w14:paraId="53891F5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3,9</w:t>
            </w:r>
          </w:p>
        </w:tc>
        <w:tc>
          <w:tcPr>
            <w:tcW w:w="430" w:type="pct"/>
            <w:gridSpan w:val="2"/>
          </w:tcPr>
          <w:p w14:paraId="4E84F89C"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4,1</w:t>
            </w:r>
          </w:p>
        </w:tc>
      </w:tr>
      <w:tr w:rsidR="00AF6955" w:rsidRPr="007F1F10" w14:paraId="2786819A" w14:textId="77777777" w:rsidTr="00136713">
        <w:trPr>
          <w:gridAfter w:val="1"/>
          <w:wAfter w:w="128" w:type="pct"/>
          <w:trHeight w:val="113"/>
        </w:trPr>
        <w:tc>
          <w:tcPr>
            <w:tcW w:w="1231" w:type="pct"/>
            <w:tcBorders>
              <w:bottom w:val="single" w:sz="4" w:space="0" w:color="auto"/>
            </w:tcBorders>
            <w:noWrap/>
          </w:tcPr>
          <w:p w14:paraId="30C34481" w14:textId="77777777" w:rsidR="00435783" w:rsidRPr="007F1F10" w:rsidRDefault="00435783" w:rsidP="00083940">
            <w:pPr>
              <w:rPr>
                <w:rFonts w:ascii="Times New Roman" w:hAnsi="Times New Roman"/>
                <w:sz w:val="20"/>
              </w:rPr>
            </w:pPr>
            <w:r w:rsidRPr="007F1F10">
              <w:rPr>
                <w:rFonts w:ascii="Times New Roman" w:hAnsi="Times New Roman"/>
                <w:sz w:val="20"/>
              </w:rPr>
              <w:t>Lønnskostnader per årsverk, inkludert premieavvik</w:t>
            </w:r>
            <w:r w:rsidRPr="007F1F10">
              <w:rPr>
                <w:rFonts w:ascii="Times New Roman" w:hAnsi="Times New Roman"/>
                <w:sz w:val="20"/>
                <w:vertAlign w:val="superscript"/>
              </w:rPr>
              <w:t>2</w:t>
            </w:r>
          </w:p>
        </w:tc>
        <w:tc>
          <w:tcPr>
            <w:tcW w:w="355" w:type="pct"/>
            <w:tcBorders>
              <w:bottom w:val="single" w:sz="4" w:space="0" w:color="auto"/>
            </w:tcBorders>
            <w:noWrap/>
          </w:tcPr>
          <w:p w14:paraId="4E27E2DA"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55" w:type="pct"/>
            <w:tcBorders>
              <w:bottom w:val="single" w:sz="4" w:space="0" w:color="auto"/>
            </w:tcBorders>
            <w:noWrap/>
          </w:tcPr>
          <w:p w14:paraId="6B36A4CD"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5,0</w:t>
            </w:r>
          </w:p>
        </w:tc>
        <w:tc>
          <w:tcPr>
            <w:tcW w:w="350" w:type="pct"/>
            <w:tcBorders>
              <w:bottom w:val="single" w:sz="4" w:space="0" w:color="auto"/>
            </w:tcBorders>
            <w:noWrap/>
          </w:tcPr>
          <w:p w14:paraId="2A5D43FC"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6,5</w:t>
            </w:r>
          </w:p>
        </w:tc>
        <w:tc>
          <w:tcPr>
            <w:tcW w:w="358" w:type="pct"/>
            <w:tcBorders>
              <w:bottom w:val="single" w:sz="4" w:space="0" w:color="auto"/>
            </w:tcBorders>
            <w:noWrap/>
          </w:tcPr>
          <w:p w14:paraId="5705E998"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3,8</w:t>
            </w:r>
          </w:p>
        </w:tc>
        <w:tc>
          <w:tcPr>
            <w:tcW w:w="358" w:type="pct"/>
            <w:gridSpan w:val="2"/>
            <w:tcBorders>
              <w:bottom w:val="single" w:sz="4" w:space="0" w:color="auto"/>
            </w:tcBorders>
            <w:noWrap/>
          </w:tcPr>
          <w:p w14:paraId="18DF5E4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4,5</w:t>
            </w:r>
          </w:p>
        </w:tc>
        <w:tc>
          <w:tcPr>
            <w:tcW w:w="358" w:type="pct"/>
            <w:tcBorders>
              <w:bottom w:val="single" w:sz="4" w:space="0" w:color="auto"/>
            </w:tcBorders>
            <w:noWrap/>
          </w:tcPr>
          <w:p w14:paraId="4C2FF559"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3,3</w:t>
            </w:r>
          </w:p>
        </w:tc>
        <w:tc>
          <w:tcPr>
            <w:tcW w:w="355" w:type="pct"/>
            <w:gridSpan w:val="2"/>
            <w:tcBorders>
              <w:bottom w:val="single" w:sz="4" w:space="0" w:color="auto"/>
            </w:tcBorders>
            <w:noWrap/>
          </w:tcPr>
          <w:p w14:paraId="66E43C55"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6,1</w:t>
            </w:r>
          </w:p>
        </w:tc>
        <w:tc>
          <w:tcPr>
            <w:tcW w:w="356" w:type="pct"/>
            <w:gridSpan w:val="2"/>
            <w:tcBorders>
              <w:bottom w:val="single" w:sz="4" w:space="0" w:color="auto"/>
            </w:tcBorders>
            <w:noWrap/>
          </w:tcPr>
          <w:p w14:paraId="5CEB8363"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2,9</w:t>
            </w:r>
          </w:p>
        </w:tc>
        <w:tc>
          <w:tcPr>
            <w:tcW w:w="366" w:type="pct"/>
            <w:tcBorders>
              <w:bottom w:val="single" w:sz="4" w:space="0" w:color="auto"/>
            </w:tcBorders>
            <w:noWrap/>
          </w:tcPr>
          <w:p w14:paraId="521C4621" w14:textId="77777777" w:rsidR="00435783" w:rsidRPr="007F1F10" w:rsidRDefault="00435783" w:rsidP="00083940">
            <w:pPr>
              <w:jc w:val="right"/>
              <w:rPr>
                <w:rFonts w:ascii="Times New Roman" w:hAnsi="Times New Roman"/>
                <w:sz w:val="20"/>
              </w:rPr>
            </w:pPr>
            <w:r w:rsidRPr="007F1F10">
              <w:rPr>
                <w:rFonts w:ascii="Times New Roman" w:hAnsi="Times New Roman"/>
                <w:sz w:val="20"/>
              </w:rPr>
              <w:t>4,9</w:t>
            </w:r>
          </w:p>
        </w:tc>
        <w:tc>
          <w:tcPr>
            <w:tcW w:w="430" w:type="pct"/>
            <w:gridSpan w:val="2"/>
            <w:tcBorders>
              <w:bottom w:val="single" w:sz="4" w:space="0" w:color="auto"/>
            </w:tcBorders>
          </w:tcPr>
          <w:p w14:paraId="21BB3FAD" w14:textId="77777777" w:rsidR="00435783" w:rsidRPr="007F1F10" w:rsidRDefault="00435783" w:rsidP="00083940">
            <w:pPr>
              <w:spacing w:after="0"/>
              <w:jc w:val="right"/>
              <w:rPr>
                <w:rFonts w:ascii="Times New Roman" w:hAnsi="Times New Roman"/>
                <w:sz w:val="20"/>
              </w:rPr>
            </w:pPr>
            <w:r w:rsidRPr="007F1F10">
              <w:rPr>
                <w:rFonts w:ascii="Times New Roman" w:hAnsi="Times New Roman"/>
                <w:sz w:val="20"/>
              </w:rPr>
              <w:t>-</w:t>
            </w:r>
          </w:p>
        </w:tc>
      </w:tr>
    </w:tbl>
    <w:p w14:paraId="6E26BBCC" w14:textId="77777777" w:rsidR="00435783" w:rsidRDefault="00435783" w:rsidP="00136713">
      <w:pPr>
        <w:pStyle w:val="tabell-noter"/>
        <w:spacing w:before="0" w:after="0"/>
        <w:ind w:left="-284"/>
      </w:pPr>
      <w:r w:rsidRPr="00A6055A">
        <w:t xml:space="preserve">* Foreløpige tall. </w:t>
      </w:r>
    </w:p>
    <w:p w14:paraId="5EFF6C8E" w14:textId="77777777" w:rsidR="00435783" w:rsidRPr="004F38D3" w:rsidRDefault="00435783" w:rsidP="00136713">
      <w:pPr>
        <w:pStyle w:val="tabell-noter"/>
        <w:numPr>
          <w:ilvl w:val="0"/>
          <w:numId w:val="51"/>
        </w:numPr>
        <w:tabs>
          <w:tab w:val="clear" w:pos="284"/>
          <w:tab w:val="left" w:pos="-142"/>
        </w:tabs>
        <w:ind w:left="-284" w:firstLine="0"/>
      </w:pPr>
      <w:r w:rsidRPr="00531416">
        <w:t>Tidligere kalt lønn per normalårsverk</w:t>
      </w:r>
    </w:p>
    <w:p w14:paraId="07F46FB6" w14:textId="77777777" w:rsidR="00435783" w:rsidRPr="00026A31" w:rsidRDefault="00435783" w:rsidP="00FA47A7">
      <w:pPr>
        <w:pStyle w:val="tabell-noter"/>
        <w:numPr>
          <w:ilvl w:val="0"/>
          <w:numId w:val="51"/>
        </w:numPr>
        <w:tabs>
          <w:tab w:val="clear" w:pos="284"/>
          <w:tab w:val="left" w:pos="-142"/>
        </w:tabs>
        <w:ind w:left="-142" w:hanging="142"/>
      </w:pPr>
      <w:r w:rsidRPr="00026A31">
        <w:t>Omfatter såkalte premieavvik i kommunene. Dette er definert som avvik mellom netto pensjonskostnad og betalt pensjonspremie.</w:t>
      </w:r>
    </w:p>
    <w:p w14:paraId="476E50B7" w14:textId="77777777" w:rsidR="00435783" w:rsidRDefault="00435783" w:rsidP="00136713">
      <w:pPr>
        <w:pStyle w:val="Kilde"/>
        <w:ind w:left="-284"/>
      </w:pPr>
      <w:r w:rsidRPr="00B303A1">
        <w:rPr>
          <w:noProof/>
        </w:rPr>
        <w:t>Kilde: Nasjonalregnskapet</w:t>
      </w:r>
      <w:r>
        <w:rPr>
          <w:noProof/>
        </w:rPr>
        <w:t>,</w:t>
      </w:r>
      <w:r w:rsidRPr="00B303A1">
        <w:rPr>
          <w:noProof/>
        </w:rPr>
        <w:t xml:space="preserve"> Statistisk sentralbyrå</w:t>
      </w:r>
    </w:p>
    <w:p w14:paraId="2883A835" w14:textId="77777777" w:rsidR="00435783" w:rsidRPr="00657DCF" w:rsidRDefault="00435783" w:rsidP="00435783">
      <w:pPr>
        <w:pStyle w:val="tabell-tittel"/>
        <w:numPr>
          <w:ilvl w:val="0"/>
          <w:numId w:val="0"/>
        </w:numPr>
        <w:ind w:left="-340"/>
      </w:pPr>
      <w:r>
        <w:t>Tabell 2.4 Lønns</w:t>
      </w:r>
      <w:r w:rsidRPr="00657DCF">
        <w:t>kostnader per årsverk</w:t>
      </w:r>
      <w:r>
        <w:t xml:space="preserve"> i</w:t>
      </w:r>
      <w:r w:rsidRPr="00657DCF">
        <w:t xml:space="preserve"> </w:t>
      </w:r>
      <w:r>
        <w:t>1000 kroner, og fordeling på kostnadstype i prosent</w:t>
      </w:r>
      <w:r w:rsidRPr="00657DCF">
        <w:t xml:space="preserve"> </w:t>
      </w:r>
    </w:p>
    <w:tbl>
      <w:tblPr>
        <w:tblW w:w="10110" w:type="dxa"/>
        <w:tblInd w:w="-330" w:type="dxa"/>
        <w:tblLayout w:type="fixed"/>
        <w:tblLook w:val="00A0" w:firstRow="1" w:lastRow="0" w:firstColumn="1" w:lastColumn="0" w:noHBand="0" w:noVBand="0"/>
      </w:tblPr>
      <w:tblGrid>
        <w:gridCol w:w="2742"/>
        <w:gridCol w:w="736"/>
        <w:gridCol w:w="737"/>
        <w:gridCol w:w="737"/>
        <w:gridCol w:w="737"/>
        <w:gridCol w:w="737"/>
        <w:gridCol w:w="736"/>
        <w:gridCol w:w="737"/>
        <w:gridCol w:w="737"/>
        <w:gridCol w:w="737"/>
        <w:gridCol w:w="737"/>
      </w:tblGrid>
      <w:tr w:rsidR="00435783" w:rsidRPr="00221AFD" w14:paraId="3DB41973" w14:textId="77777777" w:rsidTr="00083940">
        <w:trPr>
          <w:trHeight w:val="255"/>
        </w:trPr>
        <w:tc>
          <w:tcPr>
            <w:tcW w:w="2742" w:type="dxa"/>
            <w:tcBorders>
              <w:top w:val="single" w:sz="4" w:space="0" w:color="auto"/>
              <w:bottom w:val="single" w:sz="4" w:space="0" w:color="auto"/>
            </w:tcBorders>
            <w:noWrap/>
          </w:tcPr>
          <w:p w14:paraId="5DD8B5B8" w14:textId="77777777" w:rsidR="00435783" w:rsidRPr="00221AFD" w:rsidRDefault="00435783" w:rsidP="00083940">
            <w:pPr>
              <w:rPr>
                <w:rFonts w:ascii="Times New Roman" w:hAnsi="Times New Roman"/>
                <w:sz w:val="20"/>
              </w:rPr>
            </w:pPr>
            <w:r w:rsidRPr="00221AFD">
              <w:rPr>
                <w:rFonts w:ascii="Times New Roman" w:hAnsi="Times New Roman"/>
                <w:sz w:val="20"/>
              </w:rPr>
              <w:t> </w:t>
            </w:r>
          </w:p>
        </w:tc>
        <w:tc>
          <w:tcPr>
            <w:tcW w:w="736" w:type="dxa"/>
            <w:tcBorders>
              <w:top w:val="single" w:sz="4" w:space="0" w:color="auto"/>
              <w:bottom w:val="single" w:sz="4" w:space="0" w:color="auto"/>
            </w:tcBorders>
            <w:noWrap/>
          </w:tcPr>
          <w:p w14:paraId="5DC04416"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2006</w:t>
            </w:r>
          </w:p>
        </w:tc>
        <w:tc>
          <w:tcPr>
            <w:tcW w:w="737" w:type="dxa"/>
            <w:tcBorders>
              <w:top w:val="single" w:sz="4" w:space="0" w:color="auto"/>
              <w:bottom w:val="single" w:sz="4" w:space="0" w:color="auto"/>
            </w:tcBorders>
            <w:noWrap/>
          </w:tcPr>
          <w:p w14:paraId="3400DD94"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2007</w:t>
            </w:r>
          </w:p>
        </w:tc>
        <w:tc>
          <w:tcPr>
            <w:tcW w:w="737" w:type="dxa"/>
            <w:tcBorders>
              <w:top w:val="single" w:sz="4" w:space="0" w:color="auto"/>
              <w:bottom w:val="single" w:sz="4" w:space="0" w:color="auto"/>
            </w:tcBorders>
            <w:noWrap/>
          </w:tcPr>
          <w:p w14:paraId="20414B96"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2008</w:t>
            </w:r>
          </w:p>
        </w:tc>
        <w:tc>
          <w:tcPr>
            <w:tcW w:w="737" w:type="dxa"/>
            <w:tcBorders>
              <w:top w:val="single" w:sz="4" w:space="0" w:color="auto"/>
              <w:bottom w:val="single" w:sz="4" w:space="0" w:color="auto"/>
            </w:tcBorders>
            <w:noWrap/>
          </w:tcPr>
          <w:p w14:paraId="03FD84A6"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2009</w:t>
            </w:r>
          </w:p>
        </w:tc>
        <w:tc>
          <w:tcPr>
            <w:tcW w:w="737" w:type="dxa"/>
            <w:tcBorders>
              <w:top w:val="single" w:sz="4" w:space="0" w:color="auto"/>
              <w:bottom w:val="single" w:sz="4" w:space="0" w:color="auto"/>
            </w:tcBorders>
            <w:noWrap/>
          </w:tcPr>
          <w:p w14:paraId="2FD68EE6"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2010</w:t>
            </w:r>
          </w:p>
        </w:tc>
        <w:tc>
          <w:tcPr>
            <w:tcW w:w="736" w:type="dxa"/>
            <w:tcBorders>
              <w:top w:val="single" w:sz="4" w:space="0" w:color="auto"/>
              <w:bottom w:val="single" w:sz="4" w:space="0" w:color="auto"/>
            </w:tcBorders>
            <w:noWrap/>
          </w:tcPr>
          <w:p w14:paraId="5534E90B"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2011</w:t>
            </w:r>
          </w:p>
        </w:tc>
        <w:tc>
          <w:tcPr>
            <w:tcW w:w="737" w:type="dxa"/>
            <w:tcBorders>
              <w:top w:val="single" w:sz="4" w:space="0" w:color="auto"/>
              <w:bottom w:val="single" w:sz="4" w:space="0" w:color="auto"/>
            </w:tcBorders>
            <w:noWrap/>
          </w:tcPr>
          <w:p w14:paraId="69DD1C84"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2012</w:t>
            </w:r>
          </w:p>
        </w:tc>
        <w:tc>
          <w:tcPr>
            <w:tcW w:w="737" w:type="dxa"/>
            <w:tcBorders>
              <w:top w:val="single" w:sz="4" w:space="0" w:color="auto"/>
              <w:bottom w:val="single" w:sz="4" w:space="0" w:color="auto"/>
            </w:tcBorders>
            <w:noWrap/>
          </w:tcPr>
          <w:p w14:paraId="629BE5C4"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2013</w:t>
            </w:r>
          </w:p>
        </w:tc>
        <w:tc>
          <w:tcPr>
            <w:tcW w:w="737" w:type="dxa"/>
            <w:tcBorders>
              <w:top w:val="single" w:sz="4" w:space="0" w:color="auto"/>
              <w:bottom w:val="single" w:sz="4" w:space="0" w:color="auto"/>
            </w:tcBorders>
            <w:noWrap/>
          </w:tcPr>
          <w:p w14:paraId="11CA8D09"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2014</w:t>
            </w:r>
            <w:r w:rsidRPr="00221AFD">
              <w:rPr>
                <w:rFonts w:ascii="Times New Roman" w:hAnsi="Times New Roman"/>
                <w:sz w:val="20"/>
              </w:rPr>
              <w:t>*</w:t>
            </w:r>
          </w:p>
        </w:tc>
        <w:tc>
          <w:tcPr>
            <w:tcW w:w="737" w:type="dxa"/>
            <w:tcBorders>
              <w:top w:val="single" w:sz="4" w:space="0" w:color="auto"/>
              <w:bottom w:val="single" w:sz="4" w:space="0" w:color="auto"/>
            </w:tcBorders>
            <w:noWrap/>
          </w:tcPr>
          <w:p w14:paraId="22915D46" w14:textId="77777777" w:rsidR="00435783" w:rsidRPr="00221AFD" w:rsidRDefault="00435783" w:rsidP="00083940">
            <w:pPr>
              <w:jc w:val="right"/>
              <w:rPr>
                <w:rFonts w:ascii="Times New Roman" w:hAnsi="Times New Roman"/>
                <w:sz w:val="20"/>
              </w:rPr>
            </w:pPr>
            <w:r w:rsidRPr="00221AFD">
              <w:rPr>
                <w:rFonts w:ascii="Times New Roman" w:hAnsi="Times New Roman"/>
                <w:bCs/>
                <w:sz w:val="20"/>
              </w:rPr>
              <w:t>2015</w:t>
            </w:r>
            <w:r w:rsidRPr="00221AFD">
              <w:rPr>
                <w:rFonts w:ascii="Times New Roman" w:hAnsi="Times New Roman"/>
                <w:sz w:val="20"/>
              </w:rPr>
              <w:t>*</w:t>
            </w:r>
          </w:p>
        </w:tc>
      </w:tr>
      <w:tr w:rsidR="00435783" w:rsidRPr="00221AFD" w14:paraId="16DA7E5D" w14:textId="77777777" w:rsidTr="00083940">
        <w:trPr>
          <w:trHeight w:val="165"/>
        </w:trPr>
        <w:tc>
          <w:tcPr>
            <w:tcW w:w="2742" w:type="dxa"/>
            <w:tcBorders>
              <w:top w:val="single" w:sz="4" w:space="0" w:color="auto"/>
            </w:tcBorders>
            <w:noWrap/>
          </w:tcPr>
          <w:p w14:paraId="41413482" w14:textId="77777777" w:rsidR="00435783" w:rsidRPr="00221AFD" w:rsidRDefault="00435783" w:rsidP="00083940">
            <w:pPr>
              <w:spacing w:after="0"/>
              <w:rPr>
                <w:rFonts w:ascii="Times New Roman" w:hAnsi="Times New Roman"/>
                <w:bCs/>
                <w:i/>
                <w:sz w:val="20"/>
              </w:rPr>
            </w:pPr>
            <w:r w:rsidRPr="00221AFD">
              <w:rPr>
                <w:rFonts w:ascii="Times New Roman" w:hAnsi="Times New Roman"/>
                <w:i/>
                <w:sz w:val="20"/>
              </w:rPr>
              <w:t>Totalt</w:t>
            </w:r>
          </w:p>
        </w:tc>
        <w:tc>
          <w:tcPr>
            <w:tcW w:w="736" w:type="dxa"/>
            <w:tcBorders>
              <w:top w:val="single" w:sz="4" w:space="0" w:color="auto"/>
            </w:tcBorders>
            <w:noWrap/>
          </w:tcPr>
          <w:p w14:paraId="7D882FFF"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6CA6427E"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4151DB87"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7C5F9857"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7A643AB0" w14:textId="77777777" w:rsidR="00435783" w:rsidRPr="00221AFD" w:rsidRDefault="00435783" w:rsidP="00083940">
            <w:pPr>
              <w:rPr>
                <w:rFonts w:ascii="Times New Roman" w:hAnsi="Times New Roman"/>
                <w:sz w:val="20"/>
              </w:rPr>
            </w:pPr>
          </w:p>
        </w:tc>
        <w:tc>
          <w:tcPr>
            <w:tcW w:w="736" w:type="dxa"/>
            <w:tcBorders>
              <w:top w:val="single" w:sz="4" w:space="0" w:color="auto"/>
            </w:tcBorders>
            <w:noWrap/>
          </w:tcPr>
          <w:p w14:paraId="722C6027"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2B71BFDD"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45DA5953"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64A1AF66" w14:textId="77777777" w:rsidR="00435783" w:rsidRPr="00221AFD" w:rsidRDefault="00435783" w:rsidP="00083940">
            <w:pPr>
              <w:rPr>
                <w:rFonts w:ascii="Times New Roman" w:hAnsi="Times New Roman"/>
                <w:sz w:val="20"/>
              </w:rPr>
            </w:pPr>
          </w:p>
        </w:tc>
        <w:tc>
          <w:tcPr>
            <w:tcW w:w="737" w:type="dxa"/>
            <w:tcBorders>
              <w:top w:val="single" w:sz="4" w:space="0" w:color="auto"/>
            </w:tcBorders>
            <w:noWrap/>
          </w:tcPr>
          <w:p w14:paraId="29D2CBA0" w14:textId="77777777" w:rsidR="00435783" w:rsidRPr="00221AFD" w:rsidRDefault="00435783" w:rsidP="00083940">
            <w:pPr>
              <w:rPr>
                <w:rFonts w:ascii="Times New Roman" w:hAnsi="Times New Roman"/>
                <w:sz w:val="20"/>
              </w:rPr>
            </w:pPr>
          </w:p>
        </w:tc>
      </w:tr>
      <w:tr w:rsidR="00435783" w:rsidRPr="00221AFD" w14:paraId="14EEFBC1" w14:textId="77777777" w:rsidTr="00083940">
        <w:trPr>
          <w:trHeight w:val="255"/>
        </w:trPr>
        <w:tc>
          <w:tcPr>
            <w:tcW w:w="2742" w:type="dxa"/>
            <w:noWrap/>
          </w:tcPr>
          <w:p w14:paraId="572E62F7"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Lønnskostnader per årsverk</w:t>
            </w:r>
          </w:p>
        </w:tc>
        <w:tc>
          <w:tcPr>
            <w:tcW w:w="736" w:type="dxa"/>
            <w:noWrap/>
            <w:vAlign w:val="bottom"/>
          </w:tcPr>
          <w:p w14:paraId="29978BE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452,6</w:t>
            </w:r>
          </w:p>
        </w:tc>
        <w:tc>
          <w:tcPr>
            <w:tcW w:w="737" w:type="dxa"/>
            <w:noWrap/>
            <w:vAlign w:val="bottom"/>
          </w:tcPr>
          <w:p w14:paraId="35DDEAA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476,7</w:t>
            </w:r>
          </w:p>
        </w:tc>
        <w:tc>
          <w:tcPr>
            <w:tcW w:w="737" w:type="dxa"/>
            <w:noWrap/>
            <w:vAlign w:val="bottom"/>
          </w:tcPr>
          <w:p w14:paraId="1D8050E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503,8</w:t>
            </w:r>
          </w:p>
        </w:tc>
        <w:tc>
          <w:tcPr>
            <w:tcW w:w="737" w:type="dxa"/>
            <w:noWrap/>
            <w:vAlign w:val="bottom"/>
          </w:tcPr>
          <w:p w14:paraId="5EAB886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521,3</w:t>
            </w:r>
          </w:p>
        </w:tc>
        <w:tc>
          <w:tcPr>
            <w:tcW w:w="737" w:type="dxa"/>
            <w:noWrap/>
            <w:vAlign w:val="bottom"/>
          </w:tcPr>
          <w:p w14:paraId="759CA7E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540,1</w:t>
            </w:r>
          </w:p>
        </w:tc>
        <w:tc>
          <w:tcPr>
            <w:tcW w:w="736" w:type="dxa"/>
            <w:noWrap/>
            <w:vAlign w:val="bottom"/>
          </w:tcPr>
          <w:p w14:paraId="15E1B2D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564,5</w:t>
            </w:r>
          </w:p>
        </w:tc>
        <w:tc>
          <w:tcPr>
            <w:tcW w:w="737" w:type="dxa"/>
            <w:noWrap/>
            <w:vAlign w:val="bottom"/>
          </w:tcPr>
          <w:p w14:paraId="0E95BF7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591,2</w:t>
            </w:r>
          </w:p>
        </w:tc>
        <w:tc>
          <w:tcPr>
            <w:tcW w:w="737" w:type="dxa"/>
            <w:noWrap/>
            <w:vAlign w:val="bottom"/>
          </w:tcPr>
          <w:p w14:paraId="21DDF86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616,7</w:t>
            </w:r>
          </w:p>
        </w:tc>
        <w:tc>
          <w:tcPr>
            <w:tcW w:w="737" w:type="dxa"/>
            <w:noWrap/>
            <w:vAlign w:val="bottom"/>
          </w:tcPr>
          <w:p w14:paraId="5B8FD45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636,0</w:t>
            </w:r>
          </w:p>
        </w:tc>
        <w:tc>
          <w:tcPr>
            <w:tcW w:w="737" w:type="dxa"/>
            <w:noWrap/>
            <w:vAlign w:val="bottom"/>
          </w:tcPr>
          <w:p w14:paraId="37D22C0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654,1</w:t>
            </w:r>
          </w:p>
        </w:tc>
      </w:tr>
      <w:tr w:rsidR="00435783" w:rsidRPr="00221AFD" w14:paraId="6A381961" w14:textId="77777777" w:rsidTr="00083940">
        <w:trPr>
          <w:trHeight w:val="255"/>
        </w:trPr>
        <w:tc>
          <w:tcPr>
            <w:tcW w:w="2742" w:type="dxa"/>
            <w:noWrap/>
          </w:tcPr>
          <w:p w14:paraId="2F3CE957"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Lønn</w:t>
            </w:r>
          </w:p>
        </w:tc>
        <w:tc>
          <w:tcPr>
            <w:tcW w:w="736" w:type="dxa"/>
            <w:noWrap/>
            <w:vAlign w:val="bottom"/>
          </w:tcPr>
          <w:p w14:paraId="4ED07A5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81,8</w:t>
            </w:r>
          </w:p>
        </w:tc>
        <w:tc>
          <w:tcPr>
            <w:tcW w:w="737" w:type="dxa"/>
            <w:noWrap/>
            <w:vAlign w:val="bottom"/>
          </w:tcPr>
          <w:p w14:paraId="2EF2E76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81,6</w:t>
            </w:r>
          </w:p>
        </w:tc>
        <w:tc>
          <w:tcPr>
            <w:tcW w:w="737" w:type="dxa"/>
            <w:noWrap/>
            <w:vAlign w:val="bottom"/>
          </w:tcPr>
          <w:p w14:paraId="37A414F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81,5</w:t>
            </w:r>
          </w:p>
        </w:tc>
        <w:tc>
          <w:tcPr>
            <w:tcW w:w="737" w:type="dxa"/>
            <w:noWrap/>
            <w:vAlign w:val="bottom"/>
          </w:tcPr>
          <w:p w14:paraId="2CC40FB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81,6</w:t>
            </w:r>
          </w:p>
        </w:tc>
        <w:tc>
          <w:tcPr>
            <w:tcW w:w="737" w:type="dxa"/>
            <w:noWrap/>
            <w:vAlign w:val="bottom"/>
          </w:tcPr>
          <w:p w14:paraId="789B686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81,9</w:t>
            </w:r>
          </w:p>
        </w:tc>
        <w:tc>
          <w:tcPr>
            <w:tcW w:w="736" w:type="dxa"/>
            <w:noWrap/>
            <w:vAlign w:val="bottom"/>
          </w:tcPr>
          <w:p w14:paraId="7D00DC2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81,7</w:t>
            </w:r>
          </w:p>
        </w:tc>
        <w:tc>
          <w:tcPr>
            <w:tcW w:w="737" w:type="dxa"/>
            <w:noWrap/>
            <w:vAlign w:val="bottom"/>
          </w:tcPr>
          <w:p w14:paraId="2509DE7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81,3</w:t>
            </w:r>
          </w:p>
        </w:tc>
        <w:tc>
          <w:tcPr>
            <w:tcW w:w="737" w:type="dxa"/>
            <w:noWrap/>
            <w:vAlign w:val="bottom"/>
          </w:tcPr>
          <w:p w14:paraId="06A94F0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81,2</w:t>
            </w:r>
          </w:p>
        </w:tc>
        <w:tc>
          <w:tcPr>
            <w:tcW w:w="737" w:type="dxa"/>
            <w:noWrap/>
            <w:vAlign w:val="bottom"/>
          </w:tcPr>
          <w:p w14:paraId="2849B5C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81,0</w:t>
            </w:r>
          </w:p>
        </w:tc>
        <w:tc>
          <w:tcPr>
            <w:tcW w:w="737" w:type="dxa"/>
            <w:noWrap/>
            <w:vAlign w:val="bottom"/>
          </w:tcPr>
          <w:p w14:paraId="2ECF854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80,7</w:t>
            </w:r>
          </w:p>
        </w:tc>
      </w:tr>
      <w:tr w:rsidR="00435783" w:rsidRPr="00221AFD" w14:paraId="66031CC3" w14:textId="77777777" w:rsidTr="00083940">
        <w:trPr>
          <w:trHeight w:val="255"/>
        </w:trPr>
        <w:tc>
          <w:tcPr>
            <w:tcW w:w="2742" w:type="dxa"/>
            <w:noWrap/>
          </w:tcPr>
          <w:p w14:paraId="0532875E"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Arbeidsgiveravgift</w:t>
            </w:r>
          </w:p>
        </w:tc>
        <w:tc>
          <w:tcPr>
            <w:tcW w:w="736" w:type="dxa"/>
            <w:noWrap/>
            <w:vAlign w:val="bottom"/>
          </w:tcPr>
          <w:p w14:paraId="7E7FCE8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0823FA4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11,3</w:t>
            </w:r>
          </w:p>
        </w:tc>
        <w:tc>
          <w:tcPr>
            <w:tcW w:w="737" w:type="dxa"/>
            <w:noWrap/>
            <w:vAlign w:val="bottom"/>
          </w:tcPr>
          <w:p w14:paraId="67451D6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6186E22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0E9F8A5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6" w:type="dxa"/>
            <w:noWrap/>
            <w:vAlign w:val="bottom"/>
          </w:tcPr>
          <w:p w14:paraId="198A71E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6F40D6B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257A8AA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6926879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062C213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4F9D9C2C" w14:textId="77777777" w:rsidTr="00083940">
        <w:trPr>
          <w:trHeight w:val="255"/>
        </w:trPr>
        <w:tc>
          <w:tcPr>
            <w:tcW w:w="2742" w:type="dxa"/>
            <w:noWrap/>
          </w:tcPr>
          <w:p w14:paraId="20734041"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Pensjonskostnader mv.</w:t>
            </w:r>
          </w:p>
        </w:tc>
        <w:tc>
          <w:tcPr>
            <w:tcW w:w="736" w:type="dxa"/>
            <w:noWrap/>
            <w:vAlign w:val="bottom"/>
          </w:tcPr>
          <w:p w14:paraId="0074C82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6,7</w:t>
            </w:r>
          </w:p>
        </w:tc>
        <w:tc>
          <w:tcPr>
            <w:tcW w:w="737" w:type="dxa"/>
            <w:noWrap/>
            <w:vAlign w:val="bottom"/>
          </w:tcPr>
          <w:p w14:paraId="1B2FE93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7,1</w:t>
            </w:r>
          </w:p>
        </w:tc>
        <w:tc>
          <w:tcPr>
            <w:tcW w:w="737" w:type="dxa"/>
            <w:noWrap/>
            <w:vAlign w:val="bottom"/>
          </w:tcPr>
          <w:p w14:paraId="1811F94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7,2</w:t>
            </w:r>
          </w:p>
        </w:tc>
        <w:tc>
          <w:tcPr>
            <w:tcW w:w="737" w:type="dxa"/>
            <w:noWrap/>
            <w:vAlign w:val="bottom"/>
          </w:tcPr>
          <w:p w14:paraId="0494330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w:t>
            </w:r>
          </w:p>
        </w:tc>
        <w:tc>
          <w:tcPr>
            <w:tcW w:w="737" w:type="dxa"/>
            <w:noWrap/>
            <w:vAlign w:val="bottom"/>
          </w:tcPr>
          <w:p w14:paraId="44757D4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6,6</w:t>
            </w:r>
          </w:p>
        </w:tc>
        <w:tc>
          <w:tcPr>
            <w:tcW w:w="736" w:type="dxa"/>
            <w:noWrap/>
            <w:vAlign w:val="bottom"/>
          </w:tcPr>
          <w:p w14:paraId="6A53C8B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6,9</w:t>
            </w:r>
          </w:p>
        </w:tc>
        <w:tc>
          <w:tcPr>
            <w:tcW w:w="737" w:type="dxa"/>
            <w:noWrap/>
            <w:vAlign w:val="bottom"/>
          </w:tcPr>
          <w:p w14:paraId="2B474A2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7,2</w:t>
            </w:r>
          </w:p>
        </w:tc>
        <w:tc>
          <w:tcPr>
            <w:tcW w:w="737" w:type="dxa"/>
            <w:noWrap/>
            <w:vAlign w:val="bottom"/>
          </w:tcPr>
          <w:p w14:paraId="68F48CD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7,4</w:t>
            </w:r>
          </w:p>
        </w:tc>
        <w:tc>
          <w:tcPr>
            <w:tcW w:w="737" w:type="dxa"/>
            <w:noWrap/>
            <w:vAlign w:val="bottom"/>
          </w:tcPr>
          <w:p w14:paraId="08CAEED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6C3886F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0A3E7348" w14:textId="77777777" w:rsidTr="00083940">
        <w:trPr>
          <w:trHeight w:val="255"/>
        </w:trPr>
        <w:tc>
          <w:tcPr>
            <w:tcW w:w="2742" w:type="dxa"/>
            <w:noWrap/>
          </w:tcPr>
          <w:p w14:paraId="6C7D2EE8" w14:textId="77777777" w:rsidR="00435783" w:rsidRPr="00221AFD" w:rsidRDefault="00435783" w:rsidP="00083940">
            <w:pPr>
              <w:spacing w:after="0"/>
              <w:rPr>
                <w:rFonts w:ascii="Times New Roman" w:hAnsi="Times New Roman"/>
                <w:bCs/>
                <w:i/>
                <w:sz w:val="20"/>
              </w:rPr>
            </w:pPr>
            <w:r w:rsidRPr="00221AFD">
              <w:rPr>
                <w:rFonts w:ascii="Times New Roman" w:hAnsi="Times New Roman"/>
                <w:i/>
                <w:sz w:val="20"/>
              </w:rPr>
              <w:t>Markedsrettet virksomhet Fastlands-Norge</w:t>
            </w:r>
          </w:p>
        </w:tc>
        <w:tc>
          <w:tcPr>
            <w:tcW w:w="736" w:type="dxa"/>
            <w:noWrap/>
            <w:vAlign w:val="bottom"/>
          </w:tcPr>
          <w:p w14:paraId="197D5BD7" w14:textId="77777777" w:rsidR="00435783" w:rsidRPr="00221AFD" w:rsidRDefault="00435783" w:rsidP="00083940">
            <w:pPr>
              <w:jc w:val="right"/>
              <w:rPr>
                <w:rFonts w:ascii="Times New Roman" w:hAnsi="Times New Roman"/>
                <w:sz w:val="20"/>
              </w:rPr>
            </w:pPr>
          </w:p>
        </w:tc>
        <w:tc>
          <w:tcPr>
            <w:tcW w:w="737" w:type="dxa"/>
            <w:noWrap/>
            <w:vAlign w:val="bottom"/>
          </w:tcPr>
          <w:p w14:paraId="79390DC2" w14:textId="77777777" w:rsidR="00435783" w:rsidRPr="00221AFD" w:rsidRDefault="00435783" w:rsidP="00083940">
            <w:pPr>
              <w:jc w:val="right"/>
              <w:rPr>
                <w:rFonts w:ascii="Times New Roman" w:hAnsi="Times New Roman"/>
                <w:sz w:val="20"/>
              </w:rPr>
            </w:pPr>
          </w:p>
        </w:tc>
        <w:tc>
          <w:tcPr>
            <w:tcW w:w="737" w:type="dxa"/>
            <w:noWrap/>
            <w:vAlign w:val="bottom"/>
          </w:tcPr>
          <w:p w14:paraId="1CD1D6B2" w14:textId="77777777" w:rsidR="00435783" w:rsidRPr="00221AFD" w:rsidRDefault="00435783" w:rsidP="00083940">
            <w:pPr>
              <w:jc w:val="right"/>
              <w:rPr>
                <w:rFonts w:ascii="Times New Roman" w:hAnsi="Times New Roman"/>
                <w:sz w:val="20"/>
              </w:rPr>
            </w:pPr>
          </w:p>
        </w:tc>
        <w:tc>
          <w:tcPr>
            <w:tcW w:w="737" w:type="dxa"/>
            <w:noWrap/>
            <w:vAlign w:val="bottom"/>
          </w:tcPr>
          <w:p w14:paraId="39263106" w14:textId="77777777" w:rsidR="00435783" w:rsidRPr="00221AFD" w:rsidRDefault="00435783" w:rsidP="00083940">
            <w:pPr>
              <w:jc w:val="right"/>
              <w:rPr>
                <w:rFonts w:ascii="Times New Roman" w:hAnsi="Times New Roman"/>
                <w:sz w:val="20"/>
              </w:rPr>
            </w:pPr>
          </w:p>
        </w:tc>
        <w:tc>
          <w:tcPr>
            <w:tcW w:w="737" w:type="dxa"/>
            <w:noWrap/>
            <w:vAlign w:val="bottom"/>
          </w:tcPr>
          <w:p w14:paraId="09337C2A" w14:textId="77777777" w:rsidR="00435783" w:rsidRPr="00221AFD" w:rsidRDefault="00435783" w:rsidP="00083940">
            <w:pPr>
              <w:jc w:val="right"/>
              <w:rPr>
                <w:rFonts w:ascii="Times New Roman" w:hAnsi="Times New Roman"/>
                <w:sz w:val="20"/>
              </w:rPr>
            </w:pPr>
          </w:p>
        </w:tc>
        <w:tc>
          <w:tcPr>
            <w:tcW w:w="736" w:type="dxa"/>
            <w:noWrap/>
            <w:vAlign w:val="bottom"/>
          </w:tcPr>
          <w:p w14:paraId="172F0797" w14:textId="77777777" w:rsidR="00435783" w:rsidRPr="00221AFD" w:rsidRDefault="00435783" w:rsidP="00083940">
            <w:pPr>
              <w:jc w:val="right"/>
              <w:rPr>
                <w:rFonts w:ascii="Times New Roman" w:hAnsi="Times New Roman"/>
                <w:sz w:val="20"/>
              </w:rPr>
            </w:pPr>
          </w:p>
        </w:tc>
        <w:tc>
          <w:tcPr>
            <w:tcW w:w="737" w:type="dxa"/>
            <w:noWrap/>
            <w:vAlign w:val="bottom"/>
          </w:tcPr>
          <w:p w14:paraId="0242E568" w14:textId="77777777" w:rsidR="00435783" w:rsidRPr="00221AFD" w:rsidRDefault="00435783" w:rsidP="00083940">
            <w:pPr>
              <w:jc w:val="right"/>
              <w:rPr>
                <w:rFonts w:ascii="Times New Roman" w:hAnsi="Times New Roman"/>
                <w:sz w:val="20"/>
              </w:rPr>
            </w:pPr>
          </w:p>
        </w:tc>
        <w:tc>
          <w:tcPr>
            <w:tcW w:w="737" w:type="dxa"/>
            <w:noWrap/>
            <w:vAlign w:val="bottom"/>
          </w:tcPr>
          <w:p w14:paraId="5B676713" w14:textId="77777777" w:rsidR="00435783" w:rsidRPr="00221AFD" w:rsidRDefault="00435783" w:rsidP="00083940">
            <w:pPr>
              <w:jc w:val="right"/>
              <w:rPr>
                <w:rFonts w:ascii="Times New Roman" w:hAnsi="Times New Roman"/>
                <w:sz w:val="20"/>
              </w:rPr>
            </w:pPr>
          </w:p>
        </w:tc>
        <w:tc>
          <w:tcPr>
            <w:tcW w:w="737" w:type="dxa"/>
            <w:noWrap/>
            <w:vAlign w:val="bottom"/>
          </w:tcPr>
          <w:p w14:paraId="28EA28C3" w14:textId="77777777" w:rsidR="00435783" w:rsidRPr="00221AFD" w:rsidRDefault="00435783" w:rsidP="00083940">
            <w:pPr>
              <w:jc w:val="right"/>
              <w:rPr>
                <w:rFonts w:ascii="Times New Roman" w:hAnsi="Times New Roman"/>
                <w:sz w:val="20"/>
              </w:rPr>
            </w:pPr>
          </w:p>
        </w:tc>
        <w:tc>
          <w:tcPr>
            <w:tcW w:w="737" w:type="dxa"/>
            <w:noWrap/>
            <w:vAlign w:val="bottom"/>
          </w:tcPr>
          <w:p w14:paraId="3A2A77B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 </w:t>
            </w:r>
          </w:p>
        </w:tc>
      </w:tr>
      <w:tr w:rsidR="00435783" w:rsidRPr="00221AFD" w14:paraId="5819BFBC" w14:textId="77777777" w:rsidTr="00083940">
        <w:trPr>
          <w:trHeight w:val="255"/>
        </w:trPr>
        <w:tc>
          <w:tcPr>
            <w:tcW w:w="2742" w:type="dxa"/>
            <w:noWrap/>
          </w:tcPr>
          <w:p w14:paraId="18D94A8E"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Lønnskostnader per årsverk</w:t>
            </w:r>
          </w:p>
        </w:tc>
        <w:tc>
          <w:tcPr>
            <w:tcW w:w="736" w:type="dxa"/>
            <w:noWrap/>
            <w:vAlign w:val="bottom"/>
          </w:tcPr>
          <w:p w14:paraId="630DE24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455,9</w:t>
            </w:r>
          </w:p>
        </w:tc>
        <w:tc>
          <w:tcPr>
            <w:tcW w:w="737" w:type="dxa"/>
            <w:noWrap/>
            <w:vAlign w:val="bottom"/>
          </w:tcPr>
          <w:p w14:paraId="26AFB76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480,3</w:t>
            </w:r>
          </w:p>
        </w:tc>
        <w:tc>
          <w:tcPr>
            <w:tcW w:w="737" w:type="dxa"/>
            <w:noWrap/>
            <w:vAlign w:val="bottom"/>
          </w:tcPr>
          <w:p w14:paraId="3E1CE2C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504,4</w:t>
            </w:r>
          </w:p>
        </w:tc>
        <w:tc>
          <w:tcPr>
            <w:tcW w:w="737" w:type="dxa"/>
            <w:noWrap/>
            <w:vAlign w:val="bottom"/>
          </w:tcPr>
          <w:p w14:paraId="7534FB1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519,4</w:t>
            </w:r>
          </w:p>
        </w:tc>
        <w:tc>
          <w:tcPr>
            <w:tcW w:w="737" w:type="dxa"/>
            <w:noWrap/>
            <w:vAlign w:val="bottom"/>
          </w:tcPr>
          <w:p w14:paraId="0C921C9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537,0</w:t>
            </w:r>
          </w:p>
        </w:tc>
        <w:tc>
          <w:tcPr>
            <w:tcW w:w="736" w:type="dxa"/>
            <w:noWrap/>
            <w:vAlign w:val="bottom"/>
          </w:tcPr>
          <w:p w14:paraId="5C5FA85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561,0</w:t>
            </w:r>
          </w:p>
        </w:tc>
        <w:tc>
          <w:tcPr>
            <w:tcW w:w="737" w:type="dxa"/>
            <w:noWrap/>
            <w:vAlign w:val="bottom"/>
          </w:tcPr>
          <w:p w14:paraId="5CCA097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586,4</w:t>
            </w:r>
          </w:p>
        </w:tc>
        <w:tc>
          <w:tcPr>
            <w:tcW w:w="737" w:type="dxa"/>
            <w:noWrap/>
            <w:vAlign w:val="bottom"/>
          </w:tcPr>
          <w:p w14:paraId="4DDAF23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611,2</w:t>
            </w:r>
          </w:p>
        </w:tc>
        <w:tc>
          <w:tcPr>
            <w:tcW w:w="737" w:type="dxa"/>
            <w:noWrap/>
            <w:vAlign w:val="bottom"/>
          </w:tcPr>
          <w:p w14:paraId="638B718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628,7</w:t>
            </w:r>
          </w:p>
        </w:tc>
        <w:tc>
          <w:tcPr>
            <w:tcW w:w="737" w:type="dxa"/>
            <w:noWrap/>
            <w:vAlign w:val="bottom"/>
          </w:tcPr>
          <w:p w14:paraId="778F862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644,5</w:t>
            </w:r>
          </w:p>
        </w:tc>
      </w:tr>
      <w:tr w:rsidR="00435783" w:rsidRPr="00221AFD" w14:paraId="177DF84E" w14:textId="77777777" w:rsidTr="00083940">
        <w:trPr>
          <w:trHeight w:val="255"/>
        </w:trPr>
        <w:tc>
          <w:tcPr>
            <w:tcW w:w="2742" w:type="dxa"/>
            <w:noWrap/>
          </w:tcPr>
          <w:p w14:paraId="6EDD7306"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Lønn</w:t>
            </w:r>
          </w:p>
        </w:tc>
        <w:tc>
          <w:tcPr>
            <w:tcW w:w="736" w:type="dxa"/>
            <w:noWrap/>
            <w:vAlign w:val="bottom"/>
          </w:tcPr>
          <w:p w14:paraId="4092A45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83,3</w:t>
            </w:r>
          </w:p>
        </w:tc>
        <w:tc>
          <w:tcPr>
            <w:tcW w:w="737" w:type="dxa"/>
            <w:noWrap/>
            <w:vAlign w:val="bottom"/>
          </w:tcPr>
          <w:p w14:paraId="54B68A1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83,0</w:t>
            </w:r>
          </w:p>
        </w:tc>
        <w:tc>
          <w:tcPr>
            <w:tcW w:w="737" w:type="dxa"/>
            <w:noWrap/>
            <w:vAlign w:val="bottom"/>
          </w:tcPr>
          <w:p w14:paraId="79DBBBC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83,2</w:t>
            </w:r>
          </w:p>
        </w:tc>
        <w:tc>
          <w:tcPr>
            <w:tcW w:w="737" w:type="dxa"/>
            <w:noWrap/>
            <w:vAlign w:val="bottom"/>
          </w:tcPr>
          <w:p w14:paraId="7DC019C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83,5</w:t>
            </w:r>
          </w:p>
        </w:tc>
        <w:tc>
          <w:tcPr>
            <w:tcW w:w="737" w:type="dxa"/>
            <w:noWrap/>
            <w:vAlign w:val="bottom"/>
          </w:tcPr>
          <w:p w14:paraId="4DA91E8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84,0</w:t>
            </w:r>
          </w:p>
        </w:tc>
        <w:tc>
          <w:tcPr>
            <w:tcW w:w="736" w:type="dxa"/>
            <w:noWrap/>
            <w:vAlign w:val="bottom"/>
          </w:tcPr>
          <w:p w14:paraId="6C055FB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83,8</w:t>
            </w:r>
          </w:p>
        </w:tc>
        <w:tc>
          <w:tcPr>
            <w:tcW w:w="737" w:type="dxa"/>
            <w:noWrap/>
            <w:vAlign w:val="bottom"/>
          </w:tcPr>
          <w:p w14:paraId="253693B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83,4</w:t>
            </w:r>
          </w:p>
        </w:tc>
        <w:tc>
          <w:tcPr>
            <w:tcW w:w="737" w:type="dxa"/>
            <w:noWrap/>
            <w:vAlign w:val="bottom"/>
          </w:tcPr>
          <w:p w14:paraId="39CD232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83,4</w:t>
            </w:r>
          </w:p>
        </w:tc>
        <w:tc>
          <w:tcPr>
            <w:tcW w:w="737" w:type="dxa"/>
            <w:noWrap/>
            <w:vAlign w:val="bottom"/>
          </w:tcPr>
          <w:p w14:paraId="0DCA62F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83,4</w:t>
            </w:r>
          </w:p>
        </w:tc>
        <w:tc>
          <w:tcPr>
            <w:tcW w:w="737" w:type="dxa"/>
            <w:noWrap/>
            <w:vAlign w:val="bottom"/>
          </w:tcPr>
          <w:p w14:paraId="28426DE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83,3</w:t>
            </w:r>
          </w:p>
        </w:tc>
      </w:tr>
      <w:tr w:rsidR="00435783" w:rsidRPr="00221AFD" w14:paraId="1FB910C2" w14:textId="77777777" w:rsidTr="00083940">
        <w:trPr>
          <w:trHeight w:val="255"/>
        </w:trPr>
        <w:tc>
          <w:tcPr>
            <w:tcW w:w="2742" w:type="dxa"/>
            <w:noWrap/>
          </w:tcPr>
          <w:p w14:paraId="56AB7837"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Arbeidsgiveravgift</w:t>
            </w:r>
          </w:p>
        </w:tc>
        <w:tc>
          <w:tcPr>
            <w:tcW w:w="736" w:type="dxa"/>
            <w:noWrap/>
            <w:vAlign w:val="bottom"/>
          </w:tcPr>
          <w:p w14:paraId="0B2FB27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11,7</w:t>
            </w:r>
          </w:p>
        </w:tc>
        <w:tc>
          <w:tcPr>
            <w:tcW w:w="737" w:type="dxa"/>
            <w:noWrap/>
            <w:vAlign w:val="bottom"/>
          </w:tcPr>
          <w:p w14:paraId="3FDD786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2E621CE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04FCB1C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6D3DC90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6" w:type="dxa"/>
            <w:noWrap/>
            <w:vAlign w:val="bottom"/>
          </w:tcPr>
          <w:p w14:paraId="7657182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0646193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4A42EBE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04603C2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7AF18CF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7661FB9C" w14:textId="77777777" w:rsidTr="00083940">
        <w:trPr>
          <w:trHeight w:val="255"/>
        </w:trPr>
        <w:tc>
          <w:tcPr>
            <w:tcW w:w="2742" w:type="dxa"/>
            <w:noWrap/>
          </w:tcPr>
          <w:p w14:paraId="19C4AB3C"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Pensjonskostnader mv.</w:t>
            </w:r>
          </w:p>
        </w:tc>
        <w:tc>
          <w:tcPr>
            <w:tcW w:w="736" w:type="dxa"/>
            <w:noWrap/>
            <w:vAlign w:val="bottom"/>
          </w:tcPr>
          <w:p w14:paraId="28E9DE9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5,1</w:t>
            </w:r>
          </w:p>
        </w:tc>
        <w:tc>
          <w:tcPr>
            <w:tcW w:w="737" w:type="dxa"/>
            <w:noWrap/>
            <w:vAlign w:val="bottom"/>
          </w:tcPr>
          <w:p w14:paraId="2F0CE66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5,5</w:t>
            </w:r>
          </w:p>
        </w:tc>
        <w:tc>
          <w:tcPr>
            <w:tcW w:w="737" w:type="dxa"/>
            <w:noWrap/>
            <w:vAlign w:val="bottom"/>
          </w:tcPr>
          <w:p w14:paraId="1CEFC2F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5,5</w:t>
            </w:r>
          </w:p>
        </w:tc>
        <w:tc>
          <w:tcPr>
            <w:tcW w:w="737" w:type="dxa"/>
            <w:noWrap/>
            <w:vAlign w:val="bottom"/>
          </w:tcPr>
          <w:p w14:paraId="3516D3B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5,4</w:t>
            </w:r>
          </w:p>
        </w:tc>
        <w:tc>
          <w:tcPr>
            <w:tcW w:w="737" w:type="dxa"/>
            <w:noWrap/>
            <w:vAlign w:val="bottom"/>
          </w:tcPr>
          <w:p w14:paraId="47C4315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4,5</w:t>
            </w:r>
          </w:p>
        </w:tc>
        <w:tc>
          <w:tcPr>
            <w:tcW w:w="736" w:type="dxa"/>
            <w:noWrap/>
            <w:vAlign w:val="bottom"/>
          </w:tcPr>
          <w:p w14:paraId="4CA518F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4,7</w:t>
            </w:r>
          </w:p>
        </w:tc>
        <w:tc>
          <w:tcPr>
            <w:tcW w:w="737" w:type="dxa"/>
            <w:noWrap/>
            <w:vAlign w:val="bottom"/>
          </w:tcPr>
          <w:p w14:paraId="74BA9C9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w:t>
            </w:r>
            <w:r>
              <w:rPr>
                <w:rFonts w:ascii="Times New Roman" w:hAnsi="Times New Roman"/>
                <w:color w:val="000000"/>
                <w:sz w:val="20"/>
              </w:rPr>
              <w:t>,0</w:t>
            </w:r>
          </w:p>
        </w:tc>
        <w:tc>
          <w:tcPr>
            <w:tcW w:w="737" w:type="dxa"/>
            <w:noWrap/>
            <w:vAlign w:val="bottom"/>
          </w:tcPr>
          <w:p w14:paraId="3615E17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5,1</w:t>
            </w:r>
          </w:p>
        </w:tc>
        <w:tc>
          <w:tcPr>
            <w:tcW w:w="737" w:type="dxa"/>
            <w:noWrap/>
            <w:vAlign w:val="bottom"/>
          </w:tcPr>
          <w:p w14:paraId="007743E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7A75058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2C0C79A9" w14:textId="77777777" w:rsidTr="00083940">
        <w:trPr>
          <w:trHeight w:val="255"/>
        </w:trPr>
        <w:tc>
          <w:tcPr>
            <w:tcW w:w="2742" w:type="dxa"/>
            <w:noWrap/>
          </w:tcPr>
          <w:p w14:paraId="27FE86E2" w14:textId="77777777" w:rsidR="00435783" w:rsidRPr="00221AFD" w:rsidRDefault="00435783" w:rsidP="00083940">
            <w:pPr>
              <w:spacing w:after="0"/>
              <w:rPr>
                <w:rFonts w:ascii="Times New Roman" w:hAnsi="Times New Roman"/>
                <w:bCs/>
                <w:i/>
                <w:sz w:val="20"/>
              </w:rPr>
            </w:pPr>
            <w:r w:rsidRPr="00221AFD">
              <w:rPr>
                <w:rFonts w:ascii="Times New Roman" w:hAnsi="Times New Roman"/>
                <w:i/>
                <w:sz w:val="20"/>
              </w:rPr>
              <w:t>Herav industri</w:t>
            </w:r>
          </w:p>
        </w:tc>
        <w:tc>
          <w:tcPr>
            <w:tcW w:w="736" w:type="dxa"/>
            <w:noWrap/>
            <w:vAlign w:val="bottom"/>
          </w:tcPr>
          <w:p w14:paraId="6A8965A3" w14:textId="77777777" w:rsidR="00435783" w:rsidRPr="00221AFD" w:rsidRDefault="00435783" w:rsidP="00083940">
            <w:pPr>
              <w:jc w:val="right"/>
              <w:rPr>
                <w:rFonts w:ascii="Times New Roman" w:hAnsi="Times New Roman"/>
                <w:sz w:val="20"/>
              </w:rPr>
            </w:pPr>
          </w:p>
        </w:tc>
        <w:tc>
          <w:tcPr>
            <w:tcW w:w="737" w:type="dxa"/>
            <w:noWrap/>
            <w:vAlign w:val="bottom"/>
          </w:tcPr>
          <w:p w14:paraId="340D20BE" w14:textId="77777777" w:rsidR="00435783" w:rsidRPr="00221AFD" w:rsidRDefault="00435783" w:rsidP="00083940">
            <w:pPr>
              <w:jc w:val="right"/>
              <w:rPr>
                <w:rFonts w:ascii="Times New Roman" w:hAnsi="Times New Roman"/>
                <w:sz w:val="20"/>
              </w:rPr>
            </w:pPr>
          </w:p>
        </w:tc>
        <w:tc>
          <w:tcPr>
            <w:tcW w:w="737" w:type="dxa"/>
            <w:noWrap/>
            <w:vAlign w:val="bottom"/>
          </w:tcPr>
          <w:p w14:paraId="76ADDC88" w14:textId="77777777" w:rsidR="00435783" w:rsidRPr="00221AFD" w:rsidRDefault="00435783" w:rsidP="00083940">
            <w:pPr>
              <w:jc w:val="right"/>
              <w:rPr>
                <w:rFonts w:ascii="Times New Roman" w:hAnsi="Times New Roman"/>
                <w:sz w:val="20"/>
              </w:rPr>
            </w:pPr>
          </w:p>
        </w:tc>
        <w:tc>
          <w:tcPr>
            <w:tcW w:w="737" w:type="dxa"/>
            <w:noWrap/>
            <w:vAlign w:val="bottom"/>
          </w:tcPr>
          <w:p w14:paraId="06F24080" w14:textId="77777777" w:rsidR="00435783" w:rsidRPr="00221AFD" w:rsidRDefault="00435783" w:rsidP="00083940">
            <w:pPr>
              <w:jc w:val="right"/>
              <w:rPr>
                <w:rFonts w:ascii="Times New Roman" w:hAnsi="Times New Roman"/>
                <w:sz w:val="20"/>
              </w:rPr>
            </w:pPr>
          </w:p>
        </w:tc>
        <w:tc>
          <w:tcPr>
            <w:tcW w:w="737" w:type="dxa"/>
            <w:noWrap/>
            <w:vAlign w:val="bottom"/>
          </w:tcPr>
          <w:p w14:paraId="16A121FB" w14:textId="77777777" w:rsidR="00435783" w:rsidRPr="00221AFD" w:rsidRDefault="00435783" w:rsidP="00083940">
            <w:pPr>
              <w:jc w:val="right"/>
              <w:rPr>
                <w:rFonts w:ascii="Times New Roman" w:hAnsi="Times New Roman"/>
                <w:sz w:val="20"/>
              </w:rPr>
            </w:pPr>
          </w:p>
        </w:tc>
        <w:tc>
          <w:tcPr>
            <w:tcW w:w="736" w:type="dxa"/>
            <w:noWrap/>
            <w:vAlign w:val="bottom"/>
          </w:tcPr>
          <w:p w14:paraId="3EA1457E" w14:textId="77777777" w:rsidR="00435783" w:rsidRPr="00221AFD" w:rsidRDefault="00435783" w:rsidP="00083940">
            <w:pPr>
              <w:jc w:val="right"/>
              <w:rPr>
                <w:rFonts w:ascii="Times New Roman" w:hAnsi="Times New Roman"/>
                <w:sz w:val="20"/>
              </w:rPr>
            </w:pPr>
          </w:p>
        </w:tc>
        <w:tc>
          <w:tcPr>
            <w:tcW w:w="737" w:type="dxa"/>
            <w:noWrap/>
            <w:vAlign w:val="bottom"/>
          </w:tcPr>
          <w:p w14:paraId="4BF3CC2A" w14:textId="77777777" w:rsidR="00435783" w:rsidRPr="00221AFD" w:rsidRDefault="00435783" w:rsidP="00083940">
            <w:pPr>
              <w:jc w:val="right"/>
              <w:rPr>
                <w:rFonts w:ascii="Times New Roman" w:hAnsi="Times New Roman"/>
                <w:sz w:val="20"/>
              </w:rPr>
            </w:pPr>
          </w:p>
        </w:tc>
        <w:tc>
          <w:tcPr>
            <w:tcW w:w="737" w:type="dxa"/>
            <w:noWrap/>
            <w:vAlign w:val="bottom"/>
          </w:tcPr>
          <w:p w14:paraId="62EC357B" w14:textId="77777777" w:rsidR="00435783" w:rsidRPr="00221AFD" w:rsidRDefault="00435783" w:rsidP="00083940">
            <w:pPr>
              <w:jc w:val="right"/>
              <w:rPr>
                <w:rFonts w:ascii="Times New Roman" w:hAnsi="Times New Roman"/>
                <w:sz w:val="20"/>
              </w:rPr>
            </w:pPr>
          </w:p>
        </w:tc>
        <w:tc>
          <w:tcPr>
            <w:tcW w:w="737" w:type="dxa"/>
            <w:noWrap/>
            <w:vAlign w:val="bottom"/>
          </w:tcPr>
          <w:p w14:paraId="1ACCA1CD" w14:textId="77777777" w:rsidR="00435783" w:rsidRPr="00221AFD" w:rsidRDefault="00435783" w:rsidP="00083940">
            <w:pPr>
              <w:jc w:val="right"/>
              <w:rPr>
                <w:rFonts w:ascii="Times New Roman" w:hAnsi="Times New Roman"/>
                <w:sz w:val="20"/>
              </w:rPr>
            </w:pPr>
          </w:p>
        </w:tc>
        <w:tc>
          <w:tcPr>
            <w:tcW w:w="737" w:type="dxa"/>
            <w:noWrap/>
            <w:vAlign w:val="bottom"/>
          </w:tcPr>
          <w:p w14:paraId="3768017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 </w:t>
            </w:r>
          </w:p>
        </w:tc>
      </w:tr>
      <w:tr w:rsidR="00435783" w:rsidRPr="00221AFD" w14:paraId="1E9D6865" w14:textId="77777777" w:rsidTr="00083940">
        <w:trPr>
          <w:trHeight w:val="255"/>
        </w:trPr>
        <w:tc>
          <w:tcPr>
            <w:tcW w:w="2742" w:type="dxa"/>
            <w:noWrap/>
          </w:tcPr>
          <w:p w14:paraId="75A41CE9"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Lønnskostnader per årsverk</w:t>
            </w:r>
          </w:p>
        </w:tc>
        <w:tc>
          <w:tcPr>
            <w:tcW w:w="736" w:type="dxa"/>
            <w:noWrap/>
            <w:vAlign w:val="bottom"/>
          </w:tcPr>
          <w:p w14:paraId="33F612A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473,7</w:t>
            </w:r>
          </w:p>
        </w:tc>
        <w:tc>
          <w:tcPr>
            <w:tcW w:w="737" w:type="dxa"/>
            <w:noWrap/>
            <w:vAlign w:val="bottom"/>
          </w:tcPr>
          <w:p w14:paraId="02365BD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496,2</w:t>
            </w:r>
          </w:p>
        </w:tc>
        <w:tc>
          <w:tcPr>
            <w:tcW w:w="737" w:type="dxa"/>
            <w:noWrap/>
            <w:vAlign w:val="bottom"/>
          </w:tcPr>
          <w:p w14:paraId="7A6D683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514,6</w:t>
            </w:r>
          </w:p>
        </w:tc>
        <w:tc>
          <w:tcPr>
            <w:tcW w:w="737" w:type="dxa"/>
            <w:noWrap/>
            <w:vAlign w:val="bottom"/>
          </w:tcPr>
          <w:p w14:paraId="5245146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527,8</w:t>
            </w:r>
          </w:p>
        </w:tc>
        <w:tc>
          <w:tcPr>
            <w:tcW w:w="737" w:type="dxa"/>
            <w:noWrap/>
            <w:vAlign w:val="bottom"/>
          </w:tcPr>
          <w:p w14:paraId="3F2B8F6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548,1</w:t>
            </w:r>
          </w:p>
        </w:tc>
        <w:tc>
          <w:tcPr>
            <w:tcW w:w="736" w:type="dxa"/>
            <w:noWrap/>
            <w:vAlign w:val="bottom"/>
          </w:tcPr>
          <w:p w14:paraId="052924C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574,1</w:t>
            </w:r>
          </w:p>
        </w:tc>
        <w:tc>
          <w:tcPr>
            <w:tcW w:w="737" w:type="dxa"/>
            <w:noWrap/>
            <w:vAlign w:val="bottom"/>
          </w:tcPr>
          <w:p w14:paraId="1675CA2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601,6</w:t>
            </w:r>
          </w:p>
        </w:tc>
        <w:tc>
          <w:tcPr>
            <w:tcW w:w="737" w:type="dxa"/>
            <w:noWrap/>
            <w:vAlign w:val="bottom"/>
          </w:tcPr>
          <w:p w14:paraId="3FD81EE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625,2</w:t>
            </w:r>
          </w:p>
        </w:tc>
        <w:tc>
          <w:tcPr>
            <w:tcW w:w="737" w:type="dxa"/>
            <w:noWrap/>
            <w:vAlign w:val="bottom"/>
          </w:tcPr>
          <w:p w14:paraId="6126E96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645,9</w:t>
            </w:r>
          </w:p>
        </w:tc>
        <w:tc>
          <w:tcPr>
            <w:tcW w:w="737" w:type="dxa"/>
            <w:noWrap/>
            <w:vAlign w:val="bottom"/>
          </w:tcPr>
          <w:p w14:paraId="2CD5BC1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659,2</w:t>
            </w:r>
          </w:p>
        </w:tc>
      </w:tr>
      <w:tr w:rsidR="00435783" w:rsidRPr="00221AFD" w14:paraId="4656DCC3" w14:textId="77777777" w:rsidTr="00083940">
        <w:trPr>
          <w:trHeight w:val="255"/>
        </w:trPr>
        <w:tc>
          <w:tcPr>
            <w:tcW w:w="2742" w:type="dxa"/>
            <w:noWrap/>
          </w:tcPr>
          <w:p w14:paraId="17BA9A59"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Lønn</w:t>
            </w:r>
          </w:p>
        </w:tc>
        <w:tc>
          <w:tcPr>
            <w:tcW w:w="736" w:type="dxa"/>
            <w:noWrap/>
            <w:vAlign w:val="bottom"/>
          </w:tcPr>
          <w:p w14:paraId="6CC00FE3"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82,2</w:t>
            </w:r>
          </w:p>
        </w:tc>
        <w:tc>
          <w:tcPr>
            <w:tcW w:w="737" w:type="dxa"/>
            <w:noWrap/>
            <w:vAlign w:val="bottom"/>
          </w:tcPr>
          <w:p w14:paraId="1F2E6337"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82,2</w:t>
            </w:r>
          </w:p>
        </w:tc>
        <w:tc>
          <w:tcPr>
            <w:tcW w:w="737" w:type="dxa"/>
            <w:noWrap/>
            <w:vAlign w:val="bottom"/>
          </w:tcPr>
          <w:p w14:paraId="51A0F03F"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82,7</w:t>
            </w:r>
          </w:p>
        </w:tc>
        <w:tc>
          <w:tcPr>
            <w:tcW w:w="737" w:type="dxa"/>
            <w:noWrap/>
            <w:vAlign w:val="bottom"/>
          </w:tcPr>
          <w:p w14:paraId="262D94BA"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84,4</w:t>
            </w:r>
          </w:p>
        </w:tc>
        <w:tc>
          <w:tcPr>
            <w:tcW w:w="737" w:type="dxa"/>
            <w:noWrap/>
            <w:vAlign w:val="bottom"/>
          </w:tcPr>
          <w:p w14:paraId="3DAF765E"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85,1</w:t>
            </w:r>
          </w:p>
        </w:tc>
        <w:tc>
          <w:tcPr>
            <w:tcW w:w="736" w:type="dxa"/>
            <w:noWrap/>
            <w:vAlign w:val="bottom"/>
          </w:tcPr>
          <w:p w14:paraId="0F5CC2FA"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84,7</w:t>
            </w:r>
          </w:p>
        </w:tc>
        <w:tc>
          <w:tcPr>
            <w:tcW w:w="737" w:type="dxa"/>
            <w:noWrap/>
            <w:vAlign w:val="bottom"/>
          </w:tcPr>
          <w:p w14:paraId="74B0A797"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84,4</w:t>
            </w:r>
          </w:p>
        </w:tc>
        <w:tc>
          <w:tcPr>
            <w:tcW w:w="737" w:type="dxa"/>
            <w:noWrap/>
            <w:vAlign w:val="bottom"/>
          </w:tcPr>
          <w:p w14:paraId="381A4397"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84,1</w:t>
            </w:r>
          </w:p>
        </w:tc>
        <w:tc>
          <w:tcPr>
            <w:tcW w:w="737" w:type="dxa"/>
            <w:noWrap/>
            <w:vAlign w:val="bottom"/>
          </w:tcPr>
          <w:p w14:paraId="629FDBE2"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84,1</w:t>
            </w:r>
          </w:p>
        </w:tc>
        <w:tc>
          <w:tcPr>
            <w:tcW w:w="737" w:type="dxa"/>
            <w:noWrap/>
            <w:vAlign w:val="bottom"/>
          </w:tcPr>
          <w:p w14:paraId="29C359C0"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84,1</w:t>
            </w:r>
          </w:p>
        </w:tc>
      </w:tr>
      <w:tr w:rsidR="00435783" w:rsidRPr="00221AFD" w14:paraId="76F95087" w14:textId="77777777" w:rsidTr="00083940">
        <w:trPr>
          <w:trHeight w:val="255"/>
        </w:trPr>
        <w:tc>
          <w:tcPr>
            <w:tcW w:w="2742" w:type="dxa"/>
            <w:noWrap/>
          </w:tcPr>
          <w:p w14:paraId="0D5FFFA8"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Arbeidsgiveravgift</w:t>
            </w:r>
          </w:p>
        </w:tc>
        <w:tc>
          <w:tcPr>
            <w:tcW w:w="736" w:type="dxa"/>
            <w:noWrap/>
            <w:vAlign w:val="bottom"/>
          </w:tcPr>
          <w:p w14:paraId="36DF893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389F5A1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544F37A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7E162C8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11,0</w:t>
            </w:r>
          </w:p>
        </w:tc>
        <w:tc>
          <w:tcPr>
            <w:tcW w:w="737" w:type="dxa"/>
            <w:noWrap/>
            <w:vAlign w:val="bottom"/>
          </w:tcPr>
          <w:p w14:paraId="33B7E9E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10,9</w:t>
            </w:r>
          </w:p>
        </w:tc>
        <w:tc>
          <w:tcPr>
            <w:tcW w:w="736" w:type="dxa"/>
            <w:noWrap/>
            <w:vAlign w:val="bottom"/>
          </w:tcPr>
          <w:p w14:paraId="3194095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11,0</w:t>
            </w:r>
          </w:p>
        </w:tc>
        <w:tc>
          <w:tcPr>
            <w:tcW w:w="737" w:type="dxa"/>
            <w:noWrap/>
            <w:vAlign w:val="bottom"/>
          </w:tcPr>
          <w:p w14:paraId="17366B8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1DC8D51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3CA4B20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154E46A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501199A4" w14:textId="77777777" w:rsidTr="00083940">
        <w:trPr>
          <w:trHeight w:val="255"/>
        </w:trPr>
        <w:tc>
          <w:tcPr>
            <w:tcW w:w="2742" w:type="dxa"/>
            <w:noWrap/>
          </w:tcPr>
          <w:p w14:paraId="55933F68"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Pensjonskostnader mv.</w:t>
            </w:r>
          </w:p>
        </w:tc>
        <w:tc>
          <w:tcPr>
            <w:tcW w:w="736" w:type="dxa"/>
            <w:noWrap/>
            <w:vAlign w:val="bottom"/>
          </w:tcPr>
          <w:p w14:paraId="0CF4561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6,6</w:t>
            </w:r>
          </w:p>
        </w:tc>
        <w:tc>
          <w:tcPr>
            <w:tcW w:w="737" w:type="dxa"/>
            <w:noWrap/>
            <w:vAlign w:val="bottom"/>
          </w:tcPr>
          <w:p w14:paraId="1496A97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6,7</w:t>
            </w:r>
          </w:p>
        </w:tc>
        <w:tc>
          <w:tcPr>
            <w:tcW w:w="737" w:type="dxa"/>
            <w:noWrap/>
            <w:vAlign w:val="bottom"/>
          </w:tcPr>
          <w:p w14:paraId="72F0D5A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6,2</w:t>
            </w:r>
          </w:p>
        </w:tc>
        <w:tc>
          <w:tcPr>
            <w:tcW w:w="737" w:type="dxa"/>
            <w:noWrap/>
            <w:vAlign w:val="bottom"/>
          </w:tcPr>
          <w:p w14:paraId="1C427A0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4,6</w:t>
            </w:r>
          </w:p>
        </w:tc>
        <w:tc>
          <w:tcPr>
            <w:tcW w:w="737" w:type="dxa"/>
            <w:noWrap/>
            <w:vAlign w:val="bottom"/>
          </w:tcPr>
          <w:p w14:paraId="3D506EA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4,0</w:t>
            </w:r>
          </w:p>
        </w:tc>
        <w:tc>
          <w:tcPr>
            <w:tcW w:w="736" w:type="dxa"/>
            <w:noWrap/>
            <w:vAlign w:val="bottom"/>
          </w:tcPr>
          <w:p w14:paraId="51B0FBA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4,2</w:t>
            </w:r>
          </w:p>
        </w:tc>
        <w:tc>
          <w:tcPr>
            <w:tcW w:w="737" w:type="dxa"/>
            <w:noWrap/>
            <w:vAlign w:val="bottom"/>
          </w:tcPr>
          <w:p w14:paraId="0DB2A4A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4,5</w:t>
            </w:r>
          </w:p>
        </w:tc>
        <w:tc>
          <w:tcPr>
            <w:tcW w:w="737" w:type="dxa"/>
            <w:noWrap/>
            <w:vAlign w:val="bottom"/>
          </w:tcPr>
          <w:p w14:paraId="1963B85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4,8</w:t>
            </w:r>
          </w:p>
        </w:tc>
        <w:tc>
          <w:tcPr>
            <w:tcW w:w="737" w:type="dxa"/>
            <w:noWrap/>
            <w:vAlign w:val="bottom"/>
          </w:tcPr>
          <w:p w14:paraId="21A2DBD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7FD957FE"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1334F4CE" w14:textId="77777777" w:rsidTr="00083940">
        <w:trPr>
          <w:trHeight w:val="397"/>
        </w:trPr>
        <w:tc>
          <w:tcPr>
            <w:tcW w:w="2742" w:type="dxa"/>
            <w:noWrap/>
          </w:tcPr>
          <w:p w14:paraId="4E4017D9" w14:textId="77777777" w:rsidR="00435783" w:rsidRPr="00221AFD" w:rsidRDefault="00435783" w:rsidP="00083940">
            <w:pPr>
              <w:spacing w:after="0"/>
              <w:rPr>
                <w:rFonts w:ascii="Times New Roman" w:hAnsi="Times New Roman"/>
                <w:i/>
                <w:sz w:val="20"/>
              </w:rPr>
            </w:pPr>
            <w:r w:rsidRPr="00221AFD">
              <w:rPr>
                <w:rFonts w:ascii="Times New Roman" w:hAnsi="Times New Roman"/>
                <w:i/>
                <w:sz w:val="20"/>
              </w:rPr>
              <w:t>Offentlig</w:t>
            </w:r>
            <w:r w:rsidRPr="00221AFD">
              <w:rPr>
                <w:rFonts w:ascii="Times New Roman" w:eastAsia="Times New Roman" w:hAnsi="Times New Roman"/>
                <w:i/>
                <w:color w:val="000000"/>
                <w:sz w:val="20"/>
              </w:rPr>
              <w:t xml:space="preserve"> forvaltning</w:t>
            </w:r>
          </w:p>
        </w:tc>
        <w:tc>
          <w:tcPr>
            <w:tcW w:w="736" w:type="dxa"/>
            <w:noWrap/>
            <w:vAlign w:val="bottom"/>
          </w:tcPr>
          <w:p w14:paraId="0BDFAF8F" w14:textId="77777777" w:rsidR="00435783" w:rsidRPr="00221AFD" w:rsidRDefault="00435783" w:rsidP="00083940">
            <w:pPr>
              <w:jc w:val="right"/>
              <w:rPr>
                <w:rFonts w:ascii="Times New Roman" w:hAnsi="Times New Roman"/>
                <w:sz w:val="20"/>
              </w:rPr>
            </w:pPr>
          </w:p>
        </w:tc>
        <w:tc>
          <w:tcPr>
            <w:tcW w:w="737" w:type="dxa"/>
            <w:noWrap/>
            <w:vAlign w:val="bottom"/>
          </w:tcPr>
          <w:p w14:paraId="1F5EBE9E" w14:textId="77777777" w:rsidR="00435783" w:rsidRPr="00221AFD" w:rsidRDefault="00435783" w:rsidP="00083940">
            <w:pPr>
              <w:jc w:val="right"/>
              <w:rPr>
                <w:rFonts w:ascii="Times New Roman" w:hAnsi="Times New Roman"/>
                <w:sz w:val="20"/>
              </w:rPr>
            </w:pPr>
          </w:p>
        </w:tc>
        <w:tc>
          <w:tcPr>
            <w:tcW w:w="737" w:type="dxa"/>
            <w:noWrap/>
            <w:vAlign w:val="bottom"/>
          </w:tcPr>
          <w:p w14:paraId="10C379AF" w14:textId="77777777" w:rsidR="00435783" w:rsidRPr="00221AFD" w:rsidRDefault="00435783" w:rsidP="00083940">
            <w:pPr>
              <w:jc w:val="right"/>
              <w:rPr>
                <w:rFonts w:ascii="Times New Roman" w:hAnsi="Times New Roman"/>
                <w:sz w:val="20"/>
              </w:rPr>
            </w:pPr>
          </w:p>
        </w:tc>
        <w:tc>
          <w:tcPr>
            <w:tcW w:w="737" w:type="dxa"/>
            <w:noWrap/>
            <w:vAlign w:val="bottom"/>
          </w:tcPr>
          <w:p w14:paraId="361FF096" w14:textId="77777777" w:rsidR="00435783" w:rsidRPr="00221AFD" w:rsidRDefault="00435783" w:rsidP="00083940">
            <w:pPr>
              <w:jc w:val="right"/>
              <w:rPr>
                <w:rFonts w:ascii="Times New Roman" w:hAnsi="Times New Roman"/>
                <w:sz w:val="20"/>
              </w:rPr>
            </w:pPr>
          </w:p>
        </w:tc>
        <w:tc>
          <w:tcPr>
            <w:tcW w:w="737" w:type="dxa"/>
            <w:noWrap/>
            <w:vAlign w:val="bottom"/>
          </w:tcPr>
          <w:p w14:paraId="025D854F" w14:textId="77777777" w:rsidR="00435783" w:rsidRPr="00221AFD" w:rsidRDefault="00435783" w:rsidP="00083940">
            <w:pPr>
              <w:jc w:val="right"/>
              <w:rPr>
                <w:rFonts w:ascii="Times New Roman" w:hAnsi="Times New Roman"/>
                <w:sz w:val="20"/>
              </w:rPr>
            </w:pPr>
          </w:p>
        </w:tc>
        <w:tc>
          <w:tcPr>
            <w:tcW w:w="736" w:type="dxa"/>
            <w:noWrap/>
            <w:vAlign w:val="bottom"/>
          </w:tcPr>
          <w:p w14:paraId="58CFE0DE" w14:textId="77777777" w:rsidR="00435783" w:rsidRPr="00221AFD" w:rsidRDefault="00435783" w:rsidP="00083940">
            <w:pPr>
              <w:jc w:val="right"/>
              <w:rPr>
                <w:rFonts w:ascii="Times New Roman" w:hAnsi="Times New Roman"/>
                <w:sz w:val="20"/>
              </w:rPr>
            </w:pPr>
          </w:p>
        </w:tc>
        <w:tc>
          <w:tcPr>
            <w:tcW w:w="737" w:type="dxa"/>
            <w:noWrap/>
            <w:vAlign w:val="bottom"/>
          </w:tcPr>
          <w:p w14:paraId="39F29532" w14:textId="77777777" w:rsidR="00435783" w:rsidRPr="00221AFD" w:rsidRDefault="00435783" w:rsidP="00083940">
            <w:pPr>
              <w:jc w:val="right"/>
              <w:rPr>
                <w:rFonts w:ascii="Times New Roman" w:hAnsi="Times New Roman"/>
                <w:sz w:val="20"/>
              </w:rPr>
            </w:pPr>
          </w:p>
        </w:tc>
        <w:tc>
          <w:tcPr>
            <w:tcW w:w="737" w:type="dxa"/>
            <w:noWrap/>
            <w:vAlign w:val="bottom"/>
          </w:tcPr>
          <w:p w14:paraId="2A5262E7" w14:textId="77777777" w:rsidR="00435783" w:rsidRPr="00221AFD" w:rsidRDefault="00435783" w:rsidP="00083940">
            <w:pPr>
              <w:jc w:val="right"/>
              <w:rPr>
                <w:rFonts w:ascii="Times New Roman" w:hAnsi="Times New Roman"/>
                <w:sz w:val="20"/>
              </w:rPr>
            </w:pPr>
          </w:p>
        </w:tc>
        <w:tc>
          <w:tcPr>
            <w:tcW w:w="737" w:type="dxa"/>
            <w:noWrap/>
            <w:vAlign w:val="bottom"/>
          </w:tcPr>
          <w:p w14:paraId="35A8F330" w14:textId="77777777" w:rsidR="00435783" w:rsidRPr="00221AFD" w:rsidRDefault="00435783" w:rsidP="00083940">
            <w:pPr>
              <w:jc w:val="right"/>
              <w:rPr>
                <w:rFonts w:ascii="Times New Roman" w:hAnsi="Times New Roman"/>
                <w:sz w:val="20"/>
              </w:rPr>
            </w:pPr>
          </w:p>
        </w:tc>
        <w:tc>
          <w:tcPr>
            <w:tcW w:w="737" w:type="dxa"/>
            <w:noWrap/>
            <w:vAlign w:val="bottom"/>
          </w:tcPr>
          <w:p w14:paraId="2D8645E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 </w:t>
            </w:r>
          </w:p>
        </w:tc>
      </w:tr>
      <w:tr w:rsidR="00435783" w:rsidRPr="00221AFD" w14:paraId="7A0AAA8C" w14:textId="77777777" w:rsidTr="00083940">
        <w:trPr>
          <w:trHeight w:val="255"/>
        </w:trPr>
        <w:tc>
          <w:tcPr>
            <w:tcW w:w="2742" w:type="dxa"/>
            <w:noWrap/>
          </w:tcPr>
          <w:p w14:paraId="71A051A8"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Lønnskostnader per årsverk</w:t>
            </w:r>
          </w:p>
        </w:tc>
        <w:tc>
          <w:tcPr>
            <w:tcW w:w="736" w:type="dxa"/>
            <w:noWrap/>
            <w:vAlign w:val="bottom"/>
          </w:tcPr>
          <w:p w14:paraId="2E699D88"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437,0</w:t>
            </w:r>
          </w:p>
        </w:tc>
        <w:tc>
          <w:tcPr>
            <w:tcW w:w="737" w:type="dxa"/>
            <w:noWrap/>
            <w:vAlign w:val="bottom"/>
          </w:tcPr>
          <w:p w14:paraId="24CD3BDB"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457,9</w:t>
            </w:r>
          </w:p>
        </w:tc>
        <w:tc>
          <w:tcPr>
            <w:tcW w:w="737" w:type="dxa"/>
            <w:noWrap/>
            <w:vAlign w:val="bottom"/>
          </w:tcPr>
          <w:p w14:paraId="707E050A"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485,9</w:t>
            </w:r>
          </w:p>
        </w:tc>
        <w:tc>
          <w:tcPr>
            <w:tcW w:w="737" w:type="dxa"/>
            <w:noWrap/>
            <w:vAlign w:val="bottom"/>
          </w:tcPr>
          <w:p w14:paraId="2D945196"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506,9</w:t>
            </w:r>
          </w:p>
        </w:tc>
        <w:tc>
          <w:tcPr>
            <w:tcW w:w="737" w:type="dxa"/>
            <w:noWrap/>
            <w:vAlign w:val="bottom"/>
          </w:tcPr>
          <w:p w14:paraId="2E0AB232"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528,7</w:t>
            </w:r>
          </w:p>
        </w:tc>
        <w:tc>
          <w:tcPr>
            <w:tcW w:w="736" w:type="dxa"/>
            <w:noWrap/>
            <w:vAlign w:val="bottom"/>
          </w:tcPr>
          <w:p w14:paraId="6B6305AC"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551,3</w:t>
            </w:r>
          </w:p>
        </w:tc>
        <w:tc>
          <w:tcPr>
            <w:tcW w:w="737" w:type="dxa"/>
            <w:noWrap/>
            <w:vAlign w:val="bottom"/>
          </w:tcPr>
          <w:p w14:paraId="50DD8BB3"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578,9</w:t>
            </w:r>
          </w:p>
        </w:tc>
        <w:tc>
          <w:tcPr>
            <w:tcW w:w="737" w:type="dxa"/>
            <w:noWrap/>
            <w:vAlign w:val="bottom"/>
          </w:tcPr>
          <w:p w14:paraId="5E452160"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603,2</w:t>
            </w:r>
          </w:p>
        </w:tc>
        <w:tc>
          <w:tcPr>
            <w:tcW w:w="737" w:type="dxa"/>
            <w:noWrap/>
            <w:vAlign w:val="bottom"/>
          </w:tcPr>
          <w:p w14:paraId="1D1E476E"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627,0</w:t>
            </w:r>
          </w:p>
        </w:tc>
        <w:tc>
          <w:tcPr>
            <w:tcW w:w="737" w:type="dxa"/>
            <w:noWrap/>
            <w:vAlign w:val="bottom"/>
          </w:tcPr>
          <w:p w14:paraId="2DA6FB7D"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652,6</w:t>
            </w:r>
          </w:p>
        </w:tc>
      </w:tr>
      <w:tr w:rsidR="00435783" w:rsidRPr="00221AFD" w14:paraId="228380D6" w14:textId="77777777" w:rsidTr="00083940">
        <w:trPr>
          <w:trHeight w:val="255"/>
        </w:trPr>
        <w:tc>
          <w:tcPr>
            <w:tcW w:w="2742" w:type="dxa"/>
            <w:noWrap/>
          </w:tcPr>
          <w:p w14:paraId="063DA949"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Lønn</w:t>
            </w:r>
          </w:p>
        </w:tc>
        <w:tc>
          <w:tcPr>
            <w:tcW w:w="736" w:type="dxa"/>
            <w:noWrap/>
            <w:vAlign w:val="bottom"/>
          </w:tcPr>
          <w:p w14:paraId="069402B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78,8</w:t>
            </w:r>
          </w:p>
        </w:tc>
        <w:tc>
          <w:tcPr>
            <w:tcW w:w="737" w:type="dxa"/>
            <w:noWrap/>
            <w:vAlign w:val="bottom"/>
          </w:tcPr>
          <w:p w14:paraId="77387B2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78,5</w:t>
            </w:r>
          </w:p>
        </w:tc>
        <w:tc>
          <w:tcPr>
            <w:tcW w:w="737" w:type="dxa"/>
            <w:noWrap/>
            <w:vAlign w:val="bottom"/>
          </w:tcPr>
          <w:p w14:paraId="4CDA214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78,1</w:t>
            </w:r>
          </w:p>
        </w:tc>
        <w:tc>
          <w:tcPr>
            <w:tcW w:w="737" w:type="dxa"/>
            <w:noWrap/>
            <w:vAlign w:val="bottom"/>
          </w:tcPr>
          <w:p w14:paraId="673B4F9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78,0</w:t>
            </w:r>
          </w:p>
        </w:tc>
        <w:tc>
          <w:tcPr>
            <w:tcW w:w="737" w:type="dxa"/>
            <w:noWrap/>
            <w:vAlign w:val="bottom"/>
          </w:tcPr>
          <w:p w14:paraId="696A74C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78,0</w:t>
            </w:r>
          </w:p>
        </w:tc>
        <w:tc>
          <w:tcPr>
            <w:tcW w:w="736" w:type="dxa"/>
            <w:noWrap/>
            <w:vAlign w:val="bottom"/>
          </w:tcPr>
          <w:p w14:paraId="340E02D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77,9</w:t>
            </w:r>
          </w:p>
        </w:tc>
        <w:tc>
          <w:tcPr>
            <w:tcW w:w="737" w:type="dxa"/>
            <w:noWrap/>
            <w:vAlign w:val="bottom"/>
          </w:tcPr>
          <w:p w14:paraId="188F5C6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77,4</w:t>
            </w:r>
          </w:p>
        </w:tc>
        <w:tc>
          <w:tcPr>
            <w:tcW w:w="737" w:type="dxa"/>
            <w:noWrap/>
            <w:vAlign w:val="bottom"/>
          </w:tcPr>
          <w:p w14:paraId="4ED7B52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77,0</w:t>
            </w:r>
          </w:p>
        </w:tc>
        <w:tc>
          <w:tcPr>
            <w:tcW w:w="737" w:type="dxa"/>
            <w:noWrap/>
            <w:vAlign w:val="bottom"/>
          </w:tcPr>
          <w:p w14:paraId="444D70A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76,5</w:t>
            </w:r>
          </w:p>
        </w:tc>
        <w:tc>
          <w:tcPr>
            <w:tcW w:w="737" w:type="dxa"/>
            <w:noWrap/>
            <w:vAlign w:val="bottom"/>
          </w:tcPr>
          <w:p w14:paraId="69E8C96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75,8</w:t>
            </w:r>
          </w:p>
        </w:tc>
      </w:tr>
      <w:tr w:rsidR="00435783" w:rsidRPr="00221AFD" w14:paraId="129754C9" w14:textId="77777777" w:rsidTr="00083940">
        <w:trPr>
          <w:trHeight w:val="255"/>
        </w:trPr>
        <w:tc>
          <w:tcPr>
            <w:tcW w:w="2742" w:type="dxa"/>
            <w:noWrap/>
          </w:tcPr>
          <w:p w14:paraId="29F2545B"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Arbeidsgiveravgift</w:t>
            </w:r>
          </w:p>
        </w:tc>
        <w:tc>
          <w:tcPr>
            <w:tcW w:w="736" w:type="dxa"/>
            <w:noWrap/>
            <w:vAlign w:val="bottom"/>
          </w:tcPr>
          <w:p w14:paraId="509AECE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627ECBC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355B9EA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16E249F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11,9</w:t>
            </w:r>
          </w:p>
        </w:tc>
        <w:tc>
          <w:tcPr>
            <w:tcW w:w="737" w:type="dxa"/>
            <w:noWrap/>
            <w:vAlign w:val="bottom"/>
          </w:tcPr>
          <w:p w14:paraId="023BF4F4"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6" w:type="dxa"/>
            <w:noWrap/>
            <w:vAlign w:val="bottom"/>
          </w:tcPr>
          <w:p w14:paraId="5130E9E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5C8A957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11,3</w:t>
            </w:r>
          </w:p>
        </w:tc>
        <w:tc>
          <w:tcPr>
            <w:tcW w:w="737" w:type="dxa"/>
            <w:noWrap/>
            <w:vAlign w:val="bottom"/>
          </w:tcPr>
          <w:p w14:paraId="4B94F6C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2CCD315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56EB0E7A"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6F1D96F3" w14:textId="77777777" w:rsidTr="00083940">
        <w:trPr>
          <w:trHeight w:val="255"/>
        </w:trPr>
        <w:tc>
          <w:tcPr>
            <w:tcW w:w="2742" w:type="dxa"/>
            <w:noWrap/>
          </w:tcPr>
          <w:p w14:paraId="529C5D2A"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Pensjonskostnader mv.</w:t>
            </w:r>
          </w:p>
        </w:tc>
        <w:tc>
          <w:tcPr>
            <w:tcW w:w="736" w:type="dxa"/>
            <w:noWrap/>
            <w:vAlign w:val="bottom"/>
          </w:tcPr>
          <w:p w14:paraId="53AEEC4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10,0</w:t>
            </w:r>
          </w:p>
        </w:tc>
        <w:tc>
          <w:tcPr>
            <w:tcW w:w="737" w:type="dxa"/>
            <w:noWrap/>
            <w:vAlign w:val="bottom"/>
          </w:tcPr>
          <w:p w14:paraId="78AC09D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10,4</w:t>
            </w:r>
          </w:p>
        </w:tc>
        <w:tc>
          <w:tcPr>
            <w:tcW w:w="737" w:type="dxa"/>
            <w:noWrap/>
            <w:vAlign w:val="bottom"/>
          </w:tcPr>
          <w:p w14:paraId="7B03062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10,4</w:t>
            </w:r>
          </w:p>
        </w:tc>
        <w:tc>
          <w:tcPr>
            <w:tcW w:w="737" w:type="dxa"/>
            <w:noWrap/>
            <w:vAlign w:val="bottom"/>
          </w:tcPr>
          <w:p w14:paraId="3E0EE54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10,1</w:t>
            </w:r>
          </w:p>
        </w:tc>
        <w:tc>
          <w:tcPr>
            <w:tcW w:w="737" w:type="dxa"/>
            <w:noWrap/>
            <w:vAlign w:val="bottom"/>
          </w:tcPr>
          <w:p w14:paraId="5C7F6F3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10,6</w:t>
            </w:r>
          </w:p>
        </w:tc>
        <w:tc>
          <w:tcPr>
            <w:tcW w:w="736" w:type="dxa"/>
            <w:noWrap/>
            <w:vAlign w:val="bottom"/>
          </w:tcPr>
          <w:p w14:paraId="1FD9C22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11,0</w:t>
            </w:r>
          </w:p>
        </w:tc>
        <w:tc>
          <w:tcPr>
            <w:tcW w:w="737" w:type="dxa"/>
            <w:noWrap/>
            <w:vAlign w:val="bottom"/>
          </w:tcPr>
          <w:p w14:paraId="7FFA4F1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7" w:type="dxa"/>
            <w:noWrap/>
            <w:vAlign w:val="bottom"/>
          </w:tcPr>
          <w:p w14:paraId="40B85DE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11,8</w:t>
            </w:r>
          </w:p>
        </w:tc>
        <w:tc>
          <w:tcPr>
            <w:tcW w:w="737" w:type="dxa"/>
            <w:noWrap/>
            <w:vAlign w:val="bottom"/>
          </w:tcPr>
          <w:p w14:paraId="7BF6296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2DA0064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579516FC" w14:textId="77777777" w:rsidTr="00083940">
        <w:trPr>
          <w:trHeight w:val="255"/>
        </w:trPr>
        <w:tc>
          <w:tcPr>
            <w:tcW w:w="2742" w:type="dxa"/>
            <w:noWrap/>
          </w:tcPr>
          <w:p w14:paraId="5D34DB37" w14:textId="77777777" w:rsidR="00435783" w:rsidRPr="00221AFD" w:rsidRDefault="00435783" w:rsidP="00083940">
            <w:pPr>
              <w:spacing w:after="0"/>
              <w:rPr>
                <w:rFonts w:ascii="Times New Roman" w:hAnsi="Times New Roman"/>
                <w:i/>
                <w:sz w:val="20"/>
              </w:rPr>
            </w:pPr>
            <w:r w:rsidRPr="00221AFD">
              <w:rPr>
                <w:rFonts w:ascii="Times New Roman" w:hAnsi="Times New Roman"/>
                <w:i/>
                <w:sz w:val="20"/>
              </w:rPr>
              <w:t>Offentlig</w:t>
            </w:r>
            <w:r w:rsidRPr="00221AFD">
              <w:rPr>
                <w:rFonts w:ascii="Times New Roman" w:eastAsia="Times New Roman" w:hAnsi="Times New Roman"/>
                <w:i/>
                <w:color w:val="000000"/>
                <w:sz w:val="20"/>
              </w:rPr>
              <w:t xml:space="preserve"> forvaltning, inkludert premieavvik</w:t>
            </w:r>
            <w:r w:rsidRPr="00221AFD">
              <w:rPr>
                <w:rFonts w:ascii="Times New Roman" w:eastAsia="Times New Roman" w:hAnsi="Times New Roman"/>
                <w:i/>
                <w:color w:val="000000"/>
                <w:sz w:val="20"/>
                <w:vertAlign w:val="superscript"/>
              </w:rPr>
              <w:t>1</w:t>
            </w:r>
          </w:p>
        </w:tc>
        <w:tc>
          <w:tcPr>
            <w:tcW w:w="736" w:type="dxa"/>
            <w:noWrap/>
            <w:vAlign w:val="bottom"/>
          </w:tcPr>
          <w:p w14:paraId="4FCABF65"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301D6D8B"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74003DE4"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48535035"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3F38EF2D" w14:textId="77777777" w:rsidR="00435783" w:rsidRPr="00221AFD" w:rsidRDefault="00435783" w:rsidP="00083940">
            <w:pPr>
              <w:jc w:val="right"/>
              <w:rPr>
                <w:rFonts w:ascii="Times New Roman" w:hAnsi="Times New Roman"/>
                <w:color w:val="000000"/>
                <w:sz w:val="20"/>
              </w:rPr>
            </w:pPr>
          </w:p>
        </w:tc>
        <w:tc>
          <w:tcPr>
            <w:tcW w:w="736" w:type="dxa"/>
            <w:noWrap/>
            <w:vAlign w:val="bottom"/>
          </w:tcPr>
          <w:p w14:paraId="063C56BC"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53D8256A"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2620396A"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3D474C2F" w14:textId="77777777" w:rsidR="00435783" w:rsidRPr="00221AFD" w:rsidRDefault="00435783" w:rsidP="00083940">
            <w:pPr>
              <w:jc w:val="right"/>
              <w:rPr>
                <w:rFonts w:ascii="Times New Roman" w:hAnsi="Times New Roman"/>
                <w:color w:val="000000"/>
                <w:sz w:val="20"/>
              </w:rPr>
            </w:pPr>
          </w:p>
        </w:tc>
        <w:tc>
          <w:tcPr>
            <w:tcW w:w="737" w:type="dxa"/>
            <w:noWrap/>
            <w:vAlign w:val="bottom"/>
          </w:tcPr>
          <w:p w14:paraId="73427526" w14:textId="77777777" w:rsidR="00435783" w:rsidRPr="00221AFD" w:rsidRDefault="00435783" w:rsidP="00083940">
            <w:pPr>
              <w:jc w:val="right"/>
              <w:rPr>
                <w:rFonts w:ascii="Times New Roman" w:hAnsi="Times New Roman"/>
                <w:color w:val="000000"/>
                <w:sz w:val="20"/>
              </w:rPr>
            </w:pPr>
            <w:r w:rsidRPr="00221AFD">
              <w:rPr>
                <w:rFonts w:ascii="Times New Roman" w:hAnsi="Times New Roman"/>
                <w:color w:val="000000"/>
                <w:sz w:val="20"/>
              </w:rPr>
              <w:t> </w:t>
            </w:r>
          </w:p>
        </w:tc>
      </w:tr>
      <w:tr w:rsidR="00435783" w:rsidRPr="00221AFD" w14:paraId="6FAC9E6E" w14:textId="77777777" w:rsidTr="00083940">
        <w:trPr>
          <w:trHeight w:val="255"/>
        </w:trPr>
        <w:tc>
          <w:tcPr>
            <w:tcW w:w="2742" w:type="dxa"/>
            <w:noWrap/>
          </w:tcPr>
          <w:p w14:paraId="0D9F95D8"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Lønnskostnader per årsverk</w:t>
            </w:r>
          </w:p>
        </w:tc>
        <w:tc>
          <w:tcPr>
            <w:tcW w:w="736" w:type="dxa"/>
            <w:noWrap/>
            <w:vAlign w:val="bottom"/>
          </w:tcPr>
          <w:p w14:paraId="3E444035"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440,1</w:t>
            </w:r>
          </w:p>
        </w:tc>
        <w:tc>
          <w:tcPr>
            <w:tcW w:w="737" w:type="dxa"/>
            <w:noWrap/>
            <w:vAlign w:val="bottom"/>
          </w:tcPr>
          <w:p w14:paraId="5B6008B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462,0</w:t>
            </w:r>
          </w:p>
        </w:tc>
        <w:tc>
          <w:tcPr>
            <w:tcW w:w="737" w:type="dxa"/>
            <w:noWrap/>
            <w:vAlign w:val="bottom"/>
          </w:tcPr>
          <w:p w14:paraId="0E3A6D8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492,1</w:t>
            </w:r>
          </w:p>
        </w:tc>
        <w:tc>
          <w:tcPr>
            <w:tcW w:w="737" w:type="dxa"/>
            <w:noWrap/>
            <w:vAlign w:val="bottom"/>
          </w:tcPr>
          <w:p w14:paraId="7288BE3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510,7</w:t>
            </w:r>
          </w:p>
        </w:tc>
        <w:tc>
          <w:tcPr>
            <w:tcW w:w="737" w:type="dxa"/>
            <w:noWrap/>
            <w:vAlign w:val="bottom"/>
          </w:tcPr>
          <w:p w14:paraId="02F62C96"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533,9</w:t>
            </w:r>
          </w:p>
        </w:tc>
        <w:tc>
          <w:tcPr>
            <w:tcW w:w="736" w:type="dxa"/>
            <w:noWrap/>
            <w:vAlign w:val="bottom"/>
          </w:tcPr>
          <w:p w14:paraId="3919197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551,8</w:t>
            </w:r>
          </w:p>
        </w:tc>
        <w:tc>
          <w:tcPr>
            <w:tcW w:w="737" w:type="dxa"/>
            <w:noWrap/>
            <w:vAlign w:val="bottom"/>
          </w:tcPr>
          <w:p w14:paraId="12F37D3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585,4</w:t>
            </w:r>
          </w:p>
        </w:tc>
        <w:tc>
          <w:tcPr>
            <w:tcW w:w="737" w:type="dxa"/>
            <w:noWrap/>
            <w:vAlign w:val="bottom"/>
          </w:tcPr>
          <w:p w14:paraId="2217AFA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602,6</w:t>
            </w:r>
          </w:p>
        </w:tc>
        <w:tc>
          <w:tcPr>
            <w:tcW w:w="737" w:type="dxa"/>
            <w:noWrap/>
            <w:vAlign w:val="bottom"/>
          </w:tcPr>
          <w:p w14:paraId="01BA592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632,2</w:t>
            </w:r>
          </w:p>
        </w:tc>
        <w:tc>
          <w:tcPr>
            <w:tcW w:w="737" w:type="dxa"/>
            <w:noWrap/>
            <w:vAlign w:val="bottom"/>
          </w:tcPr>
          <w:p w14:paraId="64FA416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60767B95" w14:textId="77777777" w:rsidTr="00083940">
        <w:trPr>
          <w:trHeight w:val="255"/>
        </w:trPr>
        <w:tc>
          <w:tcPr>
            <w:tcW w:w="2742" w:type="dxa"/>
            <w:noWrap/>
          </w:tcPr>
          <w:p w14:paraId="4C46DCC5"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Lønn</w:t>
            </w:r>
          </w:p>
        </w:tc>
        <w:tc>
          <w:tcPr>
            <w:tcW w:w="736" w:type="dxa"/>
            <w:noWrap/>
            <w:vAlign w:val="bottom"/>
          </w:tcPr>
          <w:p w14:paraId="5590405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78,8</w:t>
            </w:r>
          </w:p>
        </w:tc>
        <w:tc>
          <w:tcPr>
            <w:tcW w:w="737" w:type="dxa"/>
            <w:noWrap/>
            <w:vAlign w:val="bottom"/>
          </w:tcPr>
          <w:p w14:paraId="1A00399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78,5</w:t>
            </w:r>
          </w:p>
        </w:tc>
        <w:tc>
          <w:tcPr>
            <w:tcW w:w="737" w:type="dxa"/>
            <w:noWrap/>
            <w:vAlign w:val="bottom"/>
          </w:tcPr>
          <w:p w14:paraId="15AE51B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78,1</w:t>
            </w:r>
          </w:p>
        </w:tc>
        <w:tc>
          <w:tcPr>
            <w:tcW w:w="737" w:type="dxa"/>
            <w:noWrap/>
            <w:vAlign w:val="bottom"/>
          </w:tcPr>
          <w:p w14:paraId="5B81969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78,0</w:t>
            </w:r>
          </w:p>
        </w:tc>
        <w:tc>
          <w:tcPr>
            <w:tcW w:w="737" w:type="dxa"/>
            <w:noWrap/>
            <w:vAlign w:val="bottom"/>
          </w:tcPr>
          <w:p w14:paraId="157C33FF"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78,0</w:t>
            </w:r>
          </w:p>
        </w:tc>
        <w:tc>
          <w:tcPr>
            <w:tcW w:w="736" w:type="dxa"/>
            <w:noWrap/>
            <w:vAlign w:val="bottom"/>
          </w:tcPr>
          <w:p w14:paraId="58E3762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77,9</w:t>
            </w:r>
          </w:p>
        </w:tc>
        <w:tc>
          <w:tcPr>
            <w:tcW w:w="737" w:type="dxa"/>
            <w:noWrap/>
            <w:vAlign w:val="bottom"/>
          </w:tcPr>
          <w:p w14:paraId="2937CE8B"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77,4</w:t>
            </w:r>
          </w:p>
        </w:tc>
        <w:tc>
          <w:tcPr>
            <w:tcW w:w="737" w:type="dxa"/>
            <w:noWrap/>
            <w:vAlign w:val="bottom"/>
          </w:tcPr>
          <w:p w14:paraId="5CFB7C5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77,0</w:t>
            </w:r>
          </w:p>
        </w:tc>
        <w:tc>
          <w:tcPr>
            <w:tcW w:w="737" w:type="dxa"/>
            <w:noWrap/>
            <w:vAlign w:val="bottom"/>
          </w:tcPr>
          <w:p w14:paraId="36DD16C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76,5</w:t>
            </w:r>
          </w:p>
        </w:tc>
        <w:tc>
          <w:tcPr>
            <w:tcW w:w="737" w:type="dxa"/>
            <w:noWrap/>
            <w:vAlign w:val="bottom"/>
          </w:tcPr>
          <w:p w14:paraId="5ABEB01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50659B1E" w14:textId="77777777" w:rsidTr="00083940">
        <w:trPr>
          <w:trHeight w:val="255"/>
        </w:trPr>
        <w:tc>
          <w:tcPr>
            <w:tcW w:w="2742" w:type="dxa"/>
            <w:noWrap/>
          </w:tcPr>
          <w:p w14:paraId="3C6FEE6D"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Arbeidsgiveravgift</w:t>
            </w:r>
          </w:p>
        </w:tc>
        <w:tc>
          <w:tcPr>
            <w:tcW w:w="736" w:type="dxa"/>
            <w:noWrap/>
            <w:vAlign w:val="bottom"/>
          </w:tcPr>
          <w:p w14:paraId="2D1AA9A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72EA841D"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noWrap/>
            <w:vAlign w:val="bottom"/>
          </w:tcPr>
          <w:p w14:paraId="29DB4BB1"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11,5</w:t>
            </w:r>
          </w:p>
        </w:tc>
        <w:tc>
          <w:tcPr>
            <w:tcW w:w="737" w:type="dxa"/>
            <w:noWrap/>
            <w:vAlign w:val="bottom"/>
          </w:tcPr>
          <w:p w14:paraId="5CF38237"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11,9</w:t>
            </w:r>
          </w:p>
        </w:tc>
        <w:tc>
          <w:tcPr>
            <w:tcW w:w="737" w:type="dxa"/>
            <w:noWrap/>
            <w:vAlign w:val="bottom"/>
          </w:tcPr>
          <w:p w14:paraId="04D76BA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11,4</w:t>
            </w:r>
          </w:p>
        </w:tc>
        <w:tc>
          <w:tcPr>
            <w:tcW w:w="736" w:type="dxa"/>
            <w:noWrap/>
            <w:vAlign w:val="bottom"/>
          </w:tcPr>
          <w:p w14:paraId="574A6A5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5CDE890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11,3</w:t>
            </w:r>
          </w:p>
        </w:tc>
        <w:tc>
          <w:tcPr>
            <w:tcW w:w="737" w:type="dxa"/>
            <w:noWrap/>
            <w:vAlign w:val="bottom"/>
          </w:tcPr>
          <w:p w14:paraId="603BFAA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11,2</w:t>
            </w:r>
          </w:p>
        </w:tc>
        <w:tc>
          <w:tcPr>
            <w:tcW w:w="737" w:type="dxa"/>
            <w:noWrap/>
            <w:vAlign w:val="bottom"/>
          </w:tcPr>
          <w:p w14:paraId="780BD77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noWrap/>
            <w:vAlign w:val="bottom"/>
          </w:tcPr>
          <w:p w14:paraId="7955172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r w:rsidR="00435783" w:rsidRPr="00221AFD" w14:paraId="6883A257" w14:textId="77777777" w:rsidTr="00083940">
        <w:trPr>
          <w:trHeight w:val="255"/>
        </w:trPr>
        <w:tc>
          <w:tcPr>
            <w:tcW w:w="2742" w:type="dxa"/>
            <w:tcBorders>
              <w:bottom w:val="single" w:sz="4" w:space="0" w:color="auto"/>
            </w:tcBorders>
            <w:noWrap/>
          </w:tcPr>
          <w:p w14:paraId="64FC9C0C" w14:textId="77777777" w:rsidR="00435783" w:rsidRPr="00221AFD" w:rsidRDefault="00435783" w:rsidP="00083940">
            <w:pPr>
              <w:spacing w:after="0"/>
              <w:rPr>
                <w:rFonts w:ascii="Times New Roman" w:hAnsi="Times New Roman"/>
                <w:sz w:val="20"/>
              </w:rPr>
            </w:pPr>
            <w:r w:rsidRPr="00221AFD">
              <w:rPr>
                <w:rFonts w:ascii="Times New Roman" w:hAnsi="Times New Roman"/>
                <w:sz w:val="20"/>
              </w:rPr>
              <w:t xml:space="preserve"> - Pensjonskostnader mv.</w:t>
            </w:r>
          </w:p>
        </w:tc>
        <w:tc>
          <w:tcPr>
            <w:tcW w:w="736" w:type="dxa"/>
            <w:tcBorders>
              <w:bottom w:val="single" w:sz="4" w:space="0" w:color="auto"/>
            </w:tcBorders>
            <w:noWrap/>
            <w:vAlign w:val="bottom"/>
          </w:tcPr>
          <w:p w14:paraId="49FB6382"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10,7</w:t>
            </w:r>
          </w:p>
        </w:tc>
        <w:tc>
          <w:tcPr>
            <w:tcW w:w="737" w:type="dxa"/>
            <w:tcBorders>
              <w:bottom w:val="single" w:sz="4" w:space="0" w:color="auto"/>
            </w:tcBorders>
            <w:noWrap/>
            <w:vAlign w:val="bottom"/>
          </w:tcPr>
          <w:p w14:paraId="4C25425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11,3</w:t>
            </w:r>
          </w:p>
        </w:tc>
        <w:tc>
          <w:tcPr>
            <w:tcW w:w="737" w:type="dxa"/>
            <w:tcBorders>
              <w:bottom w:val="single" w:sz="4" w:space="0" w:color="auto"/>
            </w:tcBorders>
            <w:noWrap/>
            <w:vAlign w:val="bottom"/>
          </w:tcPr>
          <w:p w14:paraId="4C6E4AA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11,7</w:t>
            </w:r>
          </w:p>
        </w:tc>
        <w:tc>
          <w:tcPr>
            <w:tcW w:w="737" w:type="dxa"/>
            <w:tcBorders>
              <w:bottom w:val="single" w:sz="4" w:space="0" w:color="auto"/>
            </w:tcBorders>
            <w:noWrap/>
            <w:vAlign w:val="bottom"/>
          </w:tcPr>
          <w:p w14:paraId="3E330D70"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10,8</w:t>
            </w:r>
          </w:p>
        </w:tc>
        <w:tc>
          <w:tcPr>
            <w:tcW w:w="737" w:type="dxa"/>
            <w:tcBorders>
              <w:bottom w:val="single" w:sz="4" w:space="0" w:color="auto"/>
            </w:tcBorders>
            <w:noWrap/>
            <w:vAlign w:val="bottom"/>
          </w:tcPr>
          <w:p w14:paraId="4797459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11,6</w:t>
            </w:r>
          </w:p>
        </w:tc>
        <w:tc>
          <w:tcPr>
            <w:tcW w:w="736" w:type="dxa"/>
            <w:tcBorders>
              <w:bottom w:val="single" w:sz="4" w:space="0" w:color="auto"/>
            </w:tcBorders>
            <w:noWrap/>
            <w:vAlign w:val="bottom"/>
          </w:tcPr>
          <w:p w14:paraId="1154E19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11,1</w:t>
            </w:r>
          </w:p>
        </w:tc>
        <w:tc>
          <w:tcPr>
            <w:tcW w:w="737" w:type="dxa"/>
            <w:tcBorders>
              <w:bottom w:val="single" w:sz="4" w:space="0" w:color="auto"/>
            </w:tcBorders>
            <w:noWrap/>
            <w:vAlign w:val="bottom"/>
          </w:tcPr>
          <w:p w14:paraId="005FE2E9"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12,5</w:t>
            </w:r>
          </w:p>
        </w:tc>
        <w:tc>
          <w:tcPr>
            <w:tcW w:w="737" w:type="dxa"/>
            <w:tcBorders>
              <w:bottom w:val="single" w:sz="4" w:space="0" w:color="auto"/>
            </w:tcBorders>
            <w:noWrap/>
            <w:vAlign w:val="bottom"/>
          </w:tcPr>
          <w:p w14:paraId="7990B1D3"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11,7</w:t>
            </w:r>
          </w:p>
        </w:tc>
        <w:tc>
          <w:tcPr>
            <w:tcW w:w="737" w:type="dxa"/>
            <w:tcBorders>
              <w:bottom w:val="single" w:sz="4" w:space="0" w:color="auto"/>
            </w:tcBorders>
            <w:noWrap/>
            <w:vAlign w:val="bottom"/>
          </w:tcPr>
          <w:p w14:paraId="3F02D9CC"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c>
          <w:tcPr>
            <w:tcW w:w="737" w:type="dxa"/>
            <w:tcBorders>
              <w:bottom w:val="single" w:sz="4" w:space="0" w:color="auto"/>
            </w:tcBorders>
            <w:noWrap/>
            <w:vAlign w:val="bottom"/>
          </w:tcPr>
          <w:p w14:paraId="6B6A4FC8" w14:textId="77777777" w:rsidR="00435783" w:rsidRPr="00221AFD" w:rsidRDefault="00435783" w:rsidP="00083940">
            <w:pPr>
              <w:jc w:val="right"/>
              <w:rPr>
                <w:rFonts w:ascii="Times New Roman" w:hAnsi="Times New Roman"/>
                <w:sz w:val="20"/>
              </w:rPr>
            </w:pPr>
            <w:r w:rsidRPr="00221AFD">
              <w:rPr>
                <w:rFonts w:ascii="Times New Roman" w:hAnsi="Times New Roman"/>
                <w:color w:val="000000"/>
                <w:sz w:val="20"/>
              </w:rPr>
              <w:t>-</w:t>
            </w:r>
          </w:p>
        </w:tc>
      </w:tr>
    </w:tbl>
    <w:p w14:paraId="1CF7D905" w14:textId="77777777" w:rsidR="00435783" w:rsidRDefault="00435783" w:rsidP="009D735B">
      <w:pPr>
        <w:pStyle w:val="tabell-noter"/>
        <w:tabs>
          <w:tab w:val="clear" w:pos="284"/>
          <w:tab w:val="left" w:pos="-142"/>
        </w:tabs>
        <w:ind w:left="-284"/>
      </w:pPr>
      <w:r w:rsidRPr="00A6055A">
        <w:t xml:space="preserve">* Foreløpige tall. </w:t>
      </w:r>
    </w:p>
    <w:p w14:paraId="6B4D607E" w14:textId="77777777" w:rsidR="00435783" w:rsidRPr="00221AFD" w:rsidRDefault="00435783" w:rsidP="009D735B">
      <w:pPr>
        <w:pStyle w:val="tabell-noter"/>
        <w:numPr>
          <w:ilvl w:val="0"/>
          <w:numId w:val="99"/>
        </w:numPr>
        <w:tabs>
          <w:tab w:val="clear" w:pos="284"/>
          <w:tab w:val="left" w:pos="-142"/>
        </w:tabs>
        <w:ind w:left="-142" w:hanging="142"/>
      </w:pPr>
      <w:r w:rsidRPr="00221AFD">
        <w:t>Omfatter såkalte premieavvik i kommunene, fratrukket årets amortiserte premieavvik. Dette er definert som avvik mellom netto pensjonskostnad og betalt pensjonspremie.</w:t>
      </w:r>
    </w:p>
    <w:p w14:paraId="127BAD26" w14:textId="77777777" w:rsidR="00435783" w:rsidRDefault="00435783" w:rsidP="00435783">
      <w:pPr>
        <w:pStyle w:val="Kilde"/>
        <w:ind w:left="-227"/>
      </w:pPr>
      <w:r w:rsidRPr="00B303A1">
        <w:rPr>
          <w:noProof/>
        </w:rPr>
        <w:t>Kilde: Nasjonalregnskapet</w:t>
      </w:r>
      <w:r>
        <w:rPr>
          <w:noProof/>
        </w:rPr>
        <w:t>,</w:t>
      </w:r>
      <w:r w:rsidRPr="00B303A1">
        <w:rPr>
          <w:noProof/>
        </w:rPr>
        <w:t xml:space="preserve"> Statistisk sentralbyrå</w:t>
      </w:r>
    </w:p>
    <w:p w14:paraId="2DAE4985" w14:textId="77777777" w:rsidR="00435783" w:rsidRDefault="00435783" w:rsidP="00435783"/>
    <w:p w14:paraId="12474E6F" w14:textId="77777777" w:rsidR="00435783" w:rsidRDefault="00435783" w:rsidP="00435783"/>
    <w:p w14:paraId="5498A701" w14:textId="77777777" w:rsidR="00435783" w:rsidRDefault="00435783" w:rsidP="00435783"/>
    <w:p w14:paraId="7F4BB16B" w14:textId="77777777" w:rsidR="00435783" w:rsidRDefault="00435783" w:rsidP="00435783">
      <w:pPr>
        <w:keepNext/>
      </w:pPr>
      <w:r>
        <w:rPr>
          <w:noProof/>
        </w:rPr>
        <w:drawing>
          <wp:inline distT="0" distB="0" distL="0" distR="0" wp14:anchorId="0BDF65DC" wp14:editId="14534F37">
            <wp:extent cx="2659380" cy="2552700"/>
            <wp:effectExtent l="0" t="0" r="7620" b="0"/>
            <wp:docPr id="220" name="Bilde 220" descr="C:\Users\asd1745\AppData\Local\Microsoft\Windows\Temporary Internet Files\Content.Word\V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1745\AppData\Local\Microsoft\Windows\Temporary Internet Files\Content.Word\V2-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9380" cy="2552700"/>
                    </a:xfrm>
                    <a:prstGeom prst="rect">
                      <a:avLst/>
                    </a:prstGeom>
                    <a:noFill/>
                    <a:ln>
                      <a:noFill/>
                    </a:ln>
                  </pic:spPr>
                </pic:pic>
              </a:graphicData>
            </a:graphic>
          </wp:inline>
        </w:drawing>
      </w:r>
    </w:p>
    <w:p w14:paraId="15E250D5" w14:textId="77777777" w:rsidR="00435783" w:rsidRDefault="00435783" w:rsidP="00435783">
      <w:pPr>
        <w:pStyle w:val="figur-tittel"/>
        <w:numPr>
          <w:ilvl w:val="0"/>
          <w:numId w:val="0"/>
        </w:numPr>
      </w:pPr>
      <w:r>
        <w:t xml:space="preserve">Figur 2.1 </w:t>
      </w:r>
      <w:r w:rsidRPr="00657DCF">
        <w:t xml:space="preserve">Lønn per årsverk og timeverk i offentlig forvaltning sammenlignet med lønn per årsverk og timeverk i industrien. Lønn per årsverk/timeverk i industrien =100. </w:t>
      </w:r>
    </w:p>
    <w:p w14:paraId="2643B1B4" w14:textId="77777777" w:rsidR="00435783" w:rsidRPr="00B303A1" w:rsidRDefault="00435783" w:rsidP="00435783">
      <w:pPr>
        <w:pStyle w:val="figur-noter"/>
        <w:spacing w:after="0"/>
        <w:rPr>
          <w:noProof/>
        </w:rPr>
      </w:pPr>
      <w:r w:rsidRPr="00B303A1">
        <w:rPr>
          <w:noProof/>
        </w:rPr>
        <w:t xml:space="preserve">* Foreløpige tall. </w:t>
      </w:r>
    </w:p>
    <w:p w14:paraId="0E051452" w14:textId="77777777" w:rsidR="00435783" w:rsidRDefault="00435783" w:rsidP="009F0FBE">
      <w:pPr>
        <w:pStyle w:val="Kilde"/>
        <w:spacing w:before="120" w:after="0"/>
        <w:rPr>
          <w:noProof/>
        </w:rPr>
      </w:pPr>
      <w:r w:rsidRPr="00B303A1">
        <w:rPr>
          <w:noProof/>
        </w:rPr>
        <w:t>Kilde: Nasjonalregnskapet. Statistisk sentralbyrå</w:t>
      </w:r>
    </w:p>
    <w:p w14:paraId="73E93DAA" w14:textId="77777777" w:rsidR="00435783" w:rsidRDefault="00435783" w:rsidP="00435783">
      <w:pPr>
        <w:pStyle w:val="tabell-tit"/>
        <w:spacing w:after="0"/>
        <w:rPr>
          <w:i w:val="0"/>
        </w:rPr>
      </w:pPr>
    </w:p>
    <w:p w14:paraId="6DD87B25" w14:textId="77777777" w:rsidR="009F0FBE" w:rsidRPr="009F0FBE" w:rsidRDefault="009F0FBE" w:rsidP="009F0FBE"/>
    <w:p w14:paraId="55EFA595" w14:textId="77777777" w:rsidR="00435783" w:rsidRPr="00061BED" w:rsidRDefault="00435783" w:rsidP="00435783">
      <w:r>
        <w:rPr>
          <w:noProof/>
        </w:rPr>
        <w:drawing>
          <wp:inline distT="0" distB="0" distL="0" distR="0" wp14:anchorId="5B129D7D" wp14:editId="74309A33">
            <wp:extent cx="2659380" cy="2552700"/>
            <wp:effectExtent l="0" t="0" r="7620" b="0"/>
            <wp:docPr id="221" name="Bilde 221" descr="C:\Users\asd1745\AppData\Local\Microsoft\Windows\Temporary Internet Files\Content.Word\V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1745\AppData\Local\Microsoft\Windows\Temporary Internet Files\Content.Word\V2-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59380" cy="2552700"/>
                    </a:xfrm>
                    <a:prstGeom prst="rect">
                      <a:avLst/>
                    </a:prstGeom>
                    <a:noFill/>
                    <a:ln>
                      <a:noFill/>
                    </a:ln>
                  </pic:spPr>
                </pic:pic>
              </a:graphicData>
            </a:graphic>
          </wp:inline>
        </w:drawing>
      </w:r>
    </w:p>
    <w:p w14:paraId="65B024A9" w14:textId="77777777" w:rsidR="00435783" w:rsidRDefault="00435783" w:rsidP="00435783">
      <w:pPr>
        <w:pStyle w:val="figur-tittel"/>
        <w:numPr>
          <w:ilvl w:val="0"/>
          <w:numId w:val="0"/>
        </w:numPr>
      </w:pPr>
      <w:bookmarkStart w:id="480" w:name="ved0.1.1.0.10"/>
      <w:bookmarkEnd w:id="480"/>
      <w:r>
        <w:t xml:space="preserve">Figur 2.2 </w:t>
      </w:r>
      <w:r w:rsidRPr="00657DCF">
        <w:t xml:space="preserve">Lønnskostnad per årsverk og timeverk i offentlig forvaltning sammenlignet med lønnskostnad per årsverk og timeverk i industrien. Lønnskostnad per årsverk/timeverk i industrien =100. </w:t>
      </w:r>
    </w:p>
    <w:p w14:paraId="317B57F0" w14:textId="77777777" w:rsidR="00435783" w:rsidRPr="000E6F8B" w:rsidRDefault="00435783" w:rsidP="00435783">
      <w:pPr>
        <w:rPr>
          <w:sz w:val="20"/>
        </w:rPr>
      </w:pPr>
      <w:r w:rsidRPr="000E6F8B">
        <w:rPr>
          <w:sz w:val="20"/>
        </w:rPr>
        <w:t xml:space="preserve">* Foreløpige tall. </w:t>
      </w:r>
    </w:p>
    <w:p w14:paraId="63E96548" w14:textId="77777777" w:rsidR="00435783" w:rsidRDefault="00435783" w:rsidP="00435783">
      <w:pPr>
        <w:pStyle w:val="Kilde"/>
        <w:spacing w:after="0"/>
      </w:pPr>
      <w:r w:rsidRPr="00B303A1">
        <w:rPr>
          <w:noProof/>
        </w:rPr>
        <w:t>Kilde: Nasjonalregnskapet. Statistisk sentralbyrå</w:t>
      </w:r>
    </w:p>
    <w:p w14:paraId="7D3B069B" w14:textId="60681A73" w:rsidR="00585DCA" w:rsidRDefault="00585DCA">
      <w:pPr>
        <w:spacing w:after="0"/>
        <w:rPr>
          <w:sz w:val="20"/>
        </w:rPr>
      </w:pPr>
      <w:r>
        <w:rPr>
          <w:sz w:val="20"/>
        </w:rPr>
        <w:br w:type="page"/>
      </w:r>
    </w:p>
    <w:p w14:paraId="12C54E63" w14:textId="72389FE5" w:rsidR="00585DCA" w:rsidRPr="00567A12" w:rsidRDefault="00585DCA" w:rsidP="004779A9">
      <w:pPr>
        <w:pStyle w:val="vedlegg-nr"/>
        <w:rPr>
          <w:rFonts w:cs="Arial"/>
          <w:b w:val="0"/>
        </w:rPr>
      </w:pPr>
    </w:p>
    <w:p w14:paraId="23034E97" w14:textId="77777777" w:rsidR="00585DCA" w:rsidRDefault="00585DCA" w:rsidP="008643D6">
      <w:pPr>
        <w:pStyle w:val="Overskrift1"/>
        <w:numPr>
          <w:ilvl w:val="0"/>
          <w:numId w:val="47"/>
        </w:numPr>
        <w:ind w:left="714" w:hanging="357"/>
        <w:jc w:val="center"/>
      </w:pPr>
      <w:bookmarkStart w:id="481" w:name="_Toc96946858"/>
      <w:bookmarkStart w:id="482" w:name="_Toc411849510"/>
      <w:bookmarkStart w:id="483" w:name="_Toc443999019"/>
      <w:r>
        <w:t>Kursutviklingen</w:t>
      </w:r>
      <w:r w:rsidRPr="00980708">
        <w:t xml:space="preserve"> for norske kroner</w:t>
      </w:r>
      <w:bookmarkEnd w:id="481"/>
      <w:bookmarkEnd w:id="482"/>
      <w:bookmarkEnd w:id="483"/>
    </w:p>
    <w:p w14:paraId="3965C7AD" w14:textId="77777777" w:rsidR="0080730E" w:rsidRPr="00980708" w:rsidRDefault="0080730E" w:rsidP="0080730E">
      <w:pPr>
        <w:rPr>
          <w:i/>
          <w:iCs/>
        </w:rPr>
      </w:pPr>
      <w:r w:rsidRPr="00980708">
        <w:t xml:space="preserve">Dette vedlegget gir en omtale av utviklingen i kronekursen de siste </w:t>
      </w:r>
      <w:r>
        <w:t xml:space="preserve">ti </w:t>
      </w:r>
      <w:r w:rsidRPr="00980708">
        <w:t xml:space="preserve">årene. En omtale av valutakursutviklingen lenger tilbake i tid gis i </w:t>
      </w:r>
      <w:r>
        <w:t>NOU-</w:t>
      </w:r>
      <w:r w:rsidRPr="00980708">
        <w:t>rapport</w:t>
      </w:r>
      <w:r>
        <w:t xml:space="preserve"> 2003:10.</w:t>
      </w:r>
    </w:p>
    <w:p w14:paraId="10AA0840" w14:textId="77777777" w:rsidR="0080730E" w:rsidRPr="00980708" w:rsidRDefault="0080730E" w:rsidP="0080730E">
      <w:pPr>
        <w:rPr>
          <w:i/>
          <w:iCs/>
        </w:rPr>
      </w:pPr>
    </w:p>
    <w:p w14:paraId="660B2EE7" w14:textId="77777777" w:rsidR="0080730E" w:rsidRPr="00922154" w:rsidRDefault="0080730E" w:rsidP="0080730E">
      <w:pPr>
        <w:rPr>
          <w:rFonts w:ascii="Times New Roman" w:hAnsi="Times New Roman"/>
          <w:i/>
          <w:szCs w:val="24"/>
        </w:rPr>
      </w:pPr>
      <w:r w:rsidRPr="00922154">
        <w:rPr>
          <w:rFonts w:ascii="Times New Roman" w:hAnsi="Times New Roman"/>
          <w:i/>
          <w:szCs w:val="24"/>
        </w:rPr>
        <w:t xml:space="preserve">Kronekursindekser </w:t>
      </w:r>
    </w:p>
    <w:p w14:paraId="561341D6" w14:textId="77777777" w:rsidR="0080730E" w:rsidRDefault="0080730E" w:rsidP="0080730E">
      <w:pPr>
        <w:pStyle w:val="NormalWeb"/>
        <w:spacing w:after="0"/>
      </w:pPr>
      <w:r w:rsidRPr="00CA27B6">
        <w:rPr>
          <w:i/>
        </w:rPr>
        <w:t>Industriens effektive valutakurs</w:t>
      </w:r>
      <w:r>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 </w:t>
      </w:r>
    </w:p>
    <w:p w14:paraId="3BD19A7D" w14:textId="77777777" w:rsidR="0080730E" w:rsidRDefault="0080730E" w:rsidP="0080730E">
      <w:pPr>
        <w:pStyle w:val="NormalWeb"/>
        <w:spacing w:after="0"/>
      </w:pPr>
    </w:p>
    <w:p w14:paraId="73208EE4" w14:textId="77777777" w:rsidR="0080730E" w:rsidRDefault="0080730E" w:rsidP="0080730E">
      <w:pPr>
        <w:pStyle w:val="NormalWeb"/>
        <w:spacing w:after="0"/>
      </w:pPr>
      <w:r w:rsidRPr="00CA27B6">
        <w:rPr>
          <w:i/>
        </w:rPr>
        <w:t>Den importveide valutakursindeksen</w:t>
      </w:r>
      <w:r>
        <w:t xml:space="preserve"> (I44) er et geometrisk gjennomsnitt av 44 valutakurser. Vektene er beregnet på grunnlag av Norges vareimport fra 44 land. Indeksen er satt lik 100 i 1995. Fallende indeksverdi betyr en styrking av kronekursen. Indeksen er beregnet etter samme prinsipp som konkurransekursindeksen.</w:t>
      </w:r>
      <w:r w:rsidRPr="00980708">
        <w:t xml:space="preserve"> </w:t>
      </w:r>
    </w:p>
    <w:p w14:paraId="4316A6BB" w14:textId="77777777" w:rsidR="0080730E" w:rsidRDefault="0080730E" w:rsidP="0080730E">
      <w:pPr>
        <w:pStyle w:val="NormalWeb"/>
        <w:spacing w:after="0"/>
      </w:pPr>
    </w:p>
    <w:p w14:paraId="57072EF8" w14:textId="77777777" w:rsidR="0080730E" w:rsidRDefault="0080730E" w:rsidP="0080730E">
      <w:pPr>
        <w:pStyle w:val="NormalWeb"/>
        <w:spacing w:after="0"/>
      </w:pPr>
      <w:r>
        <w:t xml:space="preserve">Utviklingen i de to valutakursindeksene de siste ti årene er illustrert i figur 3.1 og tabell 3.1 nedenfor. </w:t>
      </w:r>
    </w:p>
    <w:p w14:paraId="49A1D488" w14:textId="77777777" w:rsidR="0080730E" w:rsidRPr="00C46EC2" w:rsidRDefault="0080730E" w:rsidP="0080730E">
      <w:pPr>
        <w:pStyle w:val="avsnitt-under-undertittel"/>
      </w:pPr>
      <w:r w:rsidRPr="00C46EC2">
        <w:t xml:space="preserve">Utviklingen i kronekursen </w:t>
      </w:r>
    </w:p>
    <w:p w14:paraId="60634995" w14:textId="77777777" w:rsidR="0080730E" w:rsidRDefault="0080730E" w:rsidP="0080730E">
      <w:pPr>
        <w:pStyle w:val="NormalWeb"/>
        <w:spacing w:after="0"/>
      </w:pPr>
      <w:r>
        <w:t xml:space="preserve">Kronen styrket seg fra starten av 2006 til sommeren 2008, perioden sett under ett, jf. figur 3.1. </w:t>
      </w:r>
    </w:p>
    <w:p w14:paraId="5C0AD3B6" w14:textId="77777777" w:rsidR="0080730E" w:rsidRDefault="0080730E" w:rsidP="0080730E">
      <w:pPr>
        <w:pStyle w:val="NormalWeb"/>
        <w:spacing w:after="0"/>
      </w:pPr>
      <w:r>
        <w:t xml:space="preserve">Høsten 2008 bidro den internasjonale finanskrisen til store svingninger i både rente- og valutamarkedene. I andre halvår av 2008 svekket kronen seg med drøyt 18 prosent. Gjennom 2009 ble imidlertid mye av denne svekkelsen reversert, og ved utgangen av 2009 var kronen i overkant av 13 prosent </w:t>
      </w:r>
      <w:r w:rsidRPr="00285965">
        <w:t>sterkere enn ved starten av året.</w:t>
      </w:r>
    </w:p>
    <w:p w14:paraId="2668CD41" w14:textId="77777777" w:rsidR="0080730E" w:rsidRDefault="0080730E" w:rsidP="0080730E">
      <w:pPr>
        <w:pStyle w:val="NormalWeb"/>
        <w:spacing w:after="0"/>
      </w:pPr>
    </w:p>
    <w:p w14:paraId="1D96EBD1" w14:textId="77777777" w:rsidR="0080730E" w:rsidRDefault="0080730E" w:rsidP="0080730E">
      <w:pPr>
        <w:pStyle w:val="NormalWeb"/>
        <w:spacing w:after="0"/>
      </w:pPr>
      <w:r>
        <w:t xml:space="preserve">I perioden 2010 – 2012 styrket kronen seg med i gjennomsnitt vel 2½ prosent per år. Kronestyrkingen må ses i sammenheng med at økonomien i Norge utviklet seg sterkere enn hos våre handelspartnere, og at rentenivået i Norge var høyere, jf. figur 3.4. </w:t>
      </w:r>
    </w:p>
    <w:p w14:paraId="41E1630E" w14:textId="77777777" w:rsidR="0080730E" w:rsidRDefault="0080730E" w:rsidP="0080730E">
      <w:pPr>
        <w:pStyle w:val="NormalWeb"/>
        <w:spacing w:after="0"/>
      </w:pPr>
    </w:p>
    <w:p w14:paraId="7EA1D76A" w14:textId="77777777" w:rsidR="0080730E" w:rsidRDefault="0080730E" w:rsidP="0080730E">
      <w:pPr>
        <w:pStyle w:val="NormalWeb"/>
        <w:spacing w:after="0"/>
      </w:pPr>
      <w:r>
        <w:t>Siden starten av 2013 har kronen svekket seg markert. Målt ved konkurransekursindeksen var kronen i midten av februar 2016 om lag 29 prosent svakere enn ved inngangen til 2013 og 18 prosent svakere enn gjennomsnittet for de siste 10 årene. Det har aldri hendt tidligere at kronen målt ved konkurransekursindeksen har svekket seg så mye i løpet av en tilsvarende tidsperiode, jf. figur 3.1</w:t>
      </w:r>
      <w:r>
        <w:rPr>
          <w:rStyle w:val="Fotnotereferanse"/>
        </w:rPr>
        <w:footnoteReference w:id="18"/>
      </w:r>
      <w:r>
        <w:t xml:space="preserve">.Den kraftige svekkelsen av kronen har inntruffet samtidig som oljeprisen har falt markert, jf. omtale i kapittel 3. Som årsgjennomsnitt var kronesvekkelsen 6 prosent i 2014 og nesten 11 prosent i 2015, målt ved konkurransekursindeksen. </w:t>
      </w:r>
    </w:p>
    <w:p w14:paraId="21D1FAB7" w14:textId="77777777" w:rsidR="0080730E" w:rsidRDefault="0080730E" w:rsidP="0080730E">
      <w:pPr>
        <w:pStyle w:val="NormalWeb"/>
        <w:spacing w:after="0"/>
      </w:pPr>
    </w:p>
    <w:p w14:paraId="0F8C060A" w14:textId="77777777" w:rsidR="0080730E" w:rsidRDefault="0080730E" w:rsidP="0080730E">
      <w:pPr>
        <w:pStyle w:val="NormalWeb"/>
        <w:spacing w:after="0"/>
      </w:pPr>
    </w:p>
    <w:p w14:paraId="09D07305" w14:textId="77777777" w:rsidR="0080730E" w:rsidRDefault="0080730E" w:rsidP="0080730E">
      <w:pPr>
        <w:pStyle w:val="NormalWeb"/>
        <w:spacing w:after="0"/>
      </w:pPr>
    </w:p>
    <w:p w14:paraId="1CD941F0" w14:textId="77777777" w:rsidR="0080730E" w:rsidRDefault="0080730E" w:rsidP="0080730E">
      <w:pPr>
        <w:pStyle w:val="NormalWeb"/>
        <w:spacing w:after="0"/>
      </w:pPr>
    </w:p>
    <w:p w14:paraId="416FE19C" w14:textId="77777777" w:rsidR="0080730E" w:rsidRDefault="0080730E" w:rsidP="0080730E">
      <w:pPr>
        <w:rPr>
          <w:rFonts w:ascii="Arial" w:hAnsi="Arial" w:cs="Arial"/>
        </w:rPr>
      </w:pPr>
      <w:r>
        <w:rPr>
          <w:rFonts w:ascii="Arial" w:hAnsi="Arial" w:cs="Arial"/>
          <w:noProof/>
        </w:rPr>
        <w:drawing>
          <wp:inline distT="0" distB="0" distL="0" distR="0" wp14:anchorId="7821F2B8" wp14:editId="4969763A">
            <wp:extent cx="2736878" cy="2590586"/>
            <wp:effectExtent l="0" t="0" r="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1.png"/>
                    <pic:cNvPicPr/>
                  </pic:nvPicPr>
                  <pic:blipFill>
                    <a:blip r:embed="rId68">
                      <a:extLst>
                        <a:ext uri="{28A0092B-C50C-407E-A947-70E740481C1C}">
                          <a14:useLocalDpi xmlns:a14="http://schemas.microsoft.com/office/drawing/2010/main" val="0"/>
                        </a:ext>
                      </a:extLst>
                    </a:blip>
                    <a:stretch>
                      <a:fillRect/>
                    </a:stretch>
                  </pic:blipFill>
                  <pic:spPr>
                    <a:xfrm>
                      <a:off x="0" y="0"/>
                      <a:ext cx="2736878" cy="2590586"/>
                    </a:xfrm>
                    <a:prstGeom prst="rect">
                      <a:avLst/>
                    </a:prstGeom>
                  </pic:spPr>
                </pic:pic>
              </a:graphicData>
            </a:graphic>
          </wp:inline>
        </w:drawing>
      </w:r>
    </w:p>
    <w:p w14:paraId="2F16E291" w14:textId="77777777" w:rsidR="0080730E" w:rsidRPr="00C46EC2" w:rsidRDefault="0080730E" w:rsidP="0080730E">
      <w:pPr>
        <w:rPr>
          <w:rFonts w:ascii="Arial" w:hAnsi="Arial" w:cs="Arial"/>
        </w:rPr>
      </w:pPr>
      <w:r w:rsidRPr="00C46EC2">
        <w:rPr>
          <w:rFonts w:ascii="Arial" w:hAnsi="Arial" w:cs="Arial"/>
        </w:rPr>
        <w:t xml:space="preserve">Figur 3.1 Industriens effektive valutakurs og importveid kronekurs. Fallende kurve angir sterkere kronekurs </w:t>
      </w:r>
    </w:p>
    <w:p w14:paraId="1BFEA8F9" w14:textId="77777777" w:rsidR="0080730E" w:rsidRDefault="0080730E" w:rsidP="0080730E">
      <w:pPr>
        <w:pStyle w:val="Kilde"/>
      </w:pPr>
      <w:r>
        <w:t>Kilde: Macrobond</w:t>
      </w:r>
    </w:p>
    <w:p w14:paraId="645FD6A1" w14:textId="77777777" w:rsidR="00922154" w:rsidRDefault="00922154" w:rsidP="0080730E">
      <w:pPr>
        <w:rPr>
          <w:rFonts w:ascii="Arial" w:hAnsi="Arial" w:cs="Arial"/>
        </w:rPr>
      </w:pPr>
    </w:p>
    <w:p w14:paraId="13A51933" w14:textId="77777777" w:rsidR="0080730E" w:rsidRDefault="0080730E" w:rsidP="0080730E">
      <w:pPr>
        <w:rPr>
          <w:rFonts w:ascii="Arial" w:hAnsi="Arial" w:cs="Arial"/>
          <w:vertAlign w:val="superscript"/>
        </w:rPr>
      </w:pPr>
      <w:r w:rsidRPr="00C46EC2">
        <w:rPr>
          <w:rFonts w:ascii="Arial" w:hAnsi="Arial" w:cs="Arial"/>
        </w:rPr>
        <w:t>Tabell 3.1 Kronekursen. Prosentvis endring fra året før</w:t>
      </w:r>
      <w:r w:rsidRPr="00C46EC2">
        <w:rPr>
          <w:rFonts w:ascii="Arial" w:hAnsi="Arial" w:cs="Arial"/>
          <w:vertAlign w:val="superscript"/>
        </w:rPr>
        <w:t>1</w:t>
      </w:r>
      <w:r>
        <w:rPr>
          <w:rFonts w:ascii="Arial" w:hAnsi="Arial" w:cs="Arial"/>
          <w:vertAlign w:val="superscript"/>
        </w:rPr>
        <w:t xml:space="preserve">  </w:t>
      </w:r>
    </w:p>
    <w:p w14:paraId="3FC46A9B" w14:textId="77777777" w:rsidR="0080730E" w:rsidRDefault="0080730E" w:rsidP="008643D6">
      <w:pPr>
        <w:spacing w:after="0"/>
        <w:rPr>
          <w:rFonts w:ascii="Arial" w:hAnsi="Arial" w:cs="Arial"/>
          <w:vertAlign w:val="superscript"/>
        </w:rPr>
      </w:pPr>
      <w:r w:rsidRPr="00B01A12">
        <w:rPr>
          <w:noProof/>
        </w:rPr>
        <w:drawing>
          <wp:inline distT="0" distB="0" distL="0" distR="0" wp14:anchorId="6DE972CC" wp14:editId="2FE5F33F">
            <wp:extent cx="5760720" cy="481980"/>
            <wp:effectExtent l="0" t="0" r="0" b="0"/>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481980"/>
                    </a:xfrm>
                    <a:prstGeom prst="rect">
                      <a:avLst/>
                    </a:prstGeom>
                    <a:noFill/>
                    <a:ln>
                      <a:noFill/>
                    </a:ln>
                  </pic:spPr>
                </pic:pic>
              </a:graphicData>
            </a:graphic>
          </wp:inline>
        </w:drawing>
      </w:r>
    </w:p>
    <w:p w14:paraId="6D3A952C" w14:textId="70215407" w:rsidR="0080730E" w:rsidRDefault="0080730E" w:rsidP="008643D6">
      <w:pPr>
        <w:pStyle w:val="tabell-noter"/>
        <w:numPr>
          <w:ilvl w:val="0"/>
          <w:numId w:val="95"/>
        </w:numPr>
        <w:tabs>
          <w:tab w:val="clear" w:pos="284"/>
          <w:tab w:val="left" w:pos="142"/>
        </w:tabs>
        <w:spacing w:before="0"/>
        <w:ind w:left="142" w:hanging="142"/>
      </w:pPr>
      <w:r w:rsidRPr="00002178">
        <w:t xml:space="preserve">Et positivt endringstall innebærer en effektiv </w:t>
      </w:r>
      <w:r>
        <w:t>svekkelse</w:t>
      </w:r>
      <w:r w:rsidRPr="00002178">
        <w:t xml:space="preserve"> av norske kroner målt ved hhv. industriens effektive valutakurs og den importveide valutakursen.</w:t>
      </w:r>
    </w:p>
    <w:p w14:paraId="7B79A328" w14:textId="77777777" w:rsidR="0080730E" w:rsidRDefault="0080730E" w:rsidP="0080730E">
      <w:pPr>
        <w:pStyle w:val="NormalWeb"/>
        <w:spacing w:after="0"/>
      </w:pPr>
    </w:p>
    <w:p w14:paraId="04751E36" w14:textId="77777777" w:rsidR="0080730E" w:rsidRDefault="0080730E" w:rsidP="0080730E">
      <w:pPr>
        <w:pStyle w:val="NormalWeb"/>
        <w:spacing w:after="0"/>
      </w:pPr>
      <w:r>
        <w:t>Figur 3.2 viser utviklingen i norske kroner per euro og dollar de siste ti årene. Målt mot euro var kronen i midten av februar 2016 nesten 18 prosent svakere enn gjennomsnittet de siste ti årene. Målt mot dollar var kronen hele 37 prosent svakere. Det har vært betydelige svingninger i perioden.</w:t>
      </w:r>
    </w:p>
    <w:p w14:paraId="285EC716" w14:textId="77777777" w:rsidR="00922154" w:rsidRDefault="00922154">
      <w:pPr>
        <w:spacing w:after="0"/>
        <w:rPr>
          <w:rFonts w:ascii="Arial" w:eastAsia="Times New Roman" w:hAnsi="Arial" w:cstheme="minorBidi"/>
          <w:spacing w:val="4"/>
          <w:szCs w:val="22"/>
        </w:rPr>
      </w:pPr>
      <w:r>
        <w:br w:type="page"/>
      </w:r>
    </w:p>
    <w:p w14:paraId="5F7087AF" w14:textId="39811711" w:rsidR="0080730E" w:rsidRDefault="0080730E" w:rsidP="0080730E">
      <w:pPr>
        <w:pStyle w:val="figur-tittel"/>
        <w:numPr>
          <w:ilvl w:val="0"/>
          <w:numId w:val="0"/>
        </w:numPr>
      </w:pPr>
      <w:r>
        <w:rPr>
          <w:noProof/>
        </w:rPr>
        <w:drawing>
          <wp:inline distT="0" distB="0" distL="0" distR="0" wp14:anchorId="23B18A89" wp14:editId="6D1C6AA8">
            <wp:extent cx="2682018" cy="2590586"/>
            <wp:effectExtent l="0" t="0" r="0"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2.png"/>
                    <pic:cNvPicPr/>
                  </pic:nvPicPr>
                  <pic:blipFill>
                    <a:blip r:embed="rId70">
                      <a:extLst>
                        <a:ext uri="{28A0092B-C50C-407E-A947-70E740481C1C}">
                          <a14:useLocalDpi xmlns:a14="http://schemas.microsoft.com/office/drawing/2010/main" val="0"/>
                        </a:ext>
                      </a:extLst>
                    </a:blip>
                    <a:stretch>
                      <a:fillRect/>
                    </a:stretch>
                  </pic:blipFill>
                  <pic:spPr>
                    <a:xfrm>
                      <a:off x="0" y="0"/>
                      <a:ext cx="2682018" cy="2590586"/>
                    </a:xfrm>
                    <a:prstGeom prst="rect">
                      <a:avLst/>
                    </a:prstGeom>
                  </pic:spPr>
                </pic:pic>
              </a:graphicData>
            </a:graphic>
          </wp:inline>
        </w:drawing>
      </w:r>
    </w:p>
    <w:p w14:paraId="7B12327E" w14:textId="77777777" w:rsidR="0080730E" w:rsidRPr="002511D0" w:rsidRDefault="0080730E" w:rsidP="0080730E">
      <w:pPr>
        <w:pStyle w:val="figur-tittel"/>
        <w:numPr>
          <w:ilvl w:val="0"/>
          <w:numId w:val="0"/>
        </w:numPr>
        <w:rPr>
          <w:i/>
        </w:rPr>
      </w:pPr>
      <w:r w:rsidRPr="002511D0">
        <w:t>Figur 3.</w:t>
      </w:r>
      <w:r>
        <w:t>2</w:t>
      </w:r>
      <w:r w:rsidRPr="002511D0">
        <w:t xml:space="preserve"> Utviklingen i norske kroner per euro og dollar. Fallende kurve angir sterkere kronekurs</w:t>
      </w:r>
    </w:p>
    <w:p w14:paraId="0427F786" w14:textId="77777777" w:rsidR="0080730E" w:rsidRDefault="0080730E" w:rsidP="0080730E">
      <w:pPr>
        <w:pStyle w:val="Kilde"/>
      </w:pPr>
      <w:r w:rsidRPr="00B83F6B">
        <w:t xml:space="preserve">Kilde: </w:t>
      </w:r>
      <w:r>
        <w:t>Macrobond</w:t>
      </w:r>
    </w:p>
    <w:p w14:paraId="0C4F8AF4" w14:textId="77777777" w:rsidR="0080730E" w:rsidRDefault="0080730E" w:rsidP="0080730E">
      <w:pPr>
        <w:pStyle w:val="NormalWeb"/>
      </w:pPr>
      <w:r>
        <w:t>Den norske kronen har svekket seg markert mot den svenske kronen de siste årene, jf. figur 3.3. I midten av februar 2016 var den norske kronen 15 prosent svakere enn gjennomsnittet for de siste ti årene. Det har vært store svingninger gjennom perioden.</w:t>
      </w:r>
    </w:p>
    <w:p w14:paraId="629259C0" w14:textId="77777777" w:rsidR="0080730E" w:rsidRDefault="0080730E" w:rsidP="0080730E">
      <w:pPr>
        <w:pStyle w:val="NormalWeb"/>
      </w:pPr>
    </w:p>
    <w:p w14:paraId="238A13E9" w14:textId="77777777" w:rsidR="0080730E" w:rsidRDefault="0080730E" w:rsidP="0080730E">
      <w:pPr>
        <w:rPr>
          <w:rFonts w:ascii="Arial" w:hAnsi="Arial" w:cs="Arial"/>
        </w:rPr>
      </w:pPr>
      <w:r>
        <w:rPr>
          <w:rFonts w:ascii="Arial" w:hAnsi="Arial" w:cs="Arial"/>
          <w:noProof/>
        </w:rPr>
        <w:drawing>
          <wp:inline distT="0" distB="0" distL="0" distR="0" wp14:anchorId="76349468" wp14:editId="5A2E50D7">
            <wp:extent cx="2736878" cy="2602777"/>
            <wp:effectExtent l="0" t="0" r="0" b="0"/>
            <wp:docPr id="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3.png"/>
                    <pic:cNvPicPr/>
                  </pic:nvPicPr>
                  <pic:blipFill>
                    <a:blip r:embed="rId71">
                      <a:extLst>
                        <a:ext uri="{28A0092B-C50C-407E-A947-70E740481C1C}">
                          <a14:useLocalDpi xmlns:a14="http://schemas.microsoft.com/office/drawing/2010/main" val="0"/>
                        </a:ext>
                      </a:extLst>
                    </a:blip>
                    <a:stretch>
                      <a:fillRect/>
                    </a:stretch>
                  </pic:blipFill>
                  <pic:spPr>
                    <a:xfrm>
                      <a:off x="0" y="0"/>
                      <a:ext cx="2736878" cy="2602777"/>
                    </a:xfrm>
                    <a:prstGeom prst="rect">
                      <a:avLst/>
                    </a:prstGeom>
                  </pic:spPr>
                </pic:pic>
              </a:graphicData>
            </a:graphic>
          </wp:inline>
        </w:drawing>
      </w:r>
    </w:p>
    <w:p w14:paraId="032AA079" w14:textId="77777777" w:rsidR="0080730E" w:rsidRPr="002639F0" w:rsidRDefault="0080730E" w:rsidP="0080730E">
      <w:pPr>
        <w:rPr>
          <w:rFonts w:ascii="Arial" w:hAnsi="Arial" w:cs="Arial"/>
          <w:i/>
        </w:rPr>
      </w:pPr>
      <w:r w:rsidRPr="002639F0">
        <w:rPr>
          <w:rFonts w:ascii="Arial" w:hAnsi="Arial" w:cs="Arial"/>
        </w:rPr>
        <w:t>Figur 3.</w:t>
      </w:r>
      <w:r>
        <w:rPr>
          <w:rFonts w:ascii="Arial" w:hAnsi="Arial" w:cs="Arial"/>
        </w:rPr>
        <w:t>3</w:t>
      </w:r>
      <w:r w:rsidRPr="002639F0">
        <w:rPr>
          <w:rFonts w:ascii="Arial" w:hAnsi="Arial" w:cs="Arial"/>
        </w:rPr>
        <w:t xml:space="preserve"> Utviklingen i norske kroner per svenske kroner. Fallende kurve angir sterkere kronekurs</w:t>
      </w:r>
    </w:p>
    <w:p w14:paraId="155AF8BC" w14:textId="77777777" w:rsidR="0080730E" w:rsidRDefault="0080730E" w:rsidP="0080730E">
      <w:pPr>
        <w:pStyle w:val="Kilde"/>
      </w:pPr>
      <w:r w:rsidRPr="00B83F6B">
        <w:t xml:space="preserve">Kilde: </w:t>
      </w:r>
      <w:r>
        <w:t>Macrobond</w:t>
      </w:r>
    </w:p>
    <w:p w14:paraId="5E04EF4E" w14:textId="77777777" w:rsidR="0080730E" w:rsidRPr="00C76AC3" w:rsidRDefault="0080730E" w:rsidP="0080730E"/>
    <w:p w14:paraId="7E5D7E37" w14:textId="77777777" w:rsidR="0080730E" w:rsidRDefault="0080730E" w:rsidP="0080730E">
      <w:pPr>
        <w:rPr>
          <w:i/>
        </w:rPr>
      </w:pPr>
      <w:r>
        <w:rPr>
          <w:i/>
        </w:rPr>
        <w:t>Utviklingen i renten</w:t>
      </w:r>
    </w:p>
    <w:p w14:paraId="63BFFFFC" w14:textId="77777777" w:rsidR="0080730E" w:rsidRDefault="0080730E" w:rsidP="0080730E">
      <w:r>
        <w:t xml:space="preserve">I perioden 2004-2007 var det høy vekst i norsk økonomi, og Norges Bank satte opp styringsrenten gradvis. Pengemarkedsrenten med tremåneders løpetid nådde sitt høyeste nivå i begynnelsen av oktober 2008, da den var på nesten 8 prosent, jf. figur 3.4. Utover høsten 2008 eskalerte uroen i finansmarkedene, og Norges Bank reduserte derfor styringsrenten markert. Sommeren 2009 var pengemarkedsrenten med tremåneders løpetid kommet ned i rundt 1¾ prosent. Som følge av at veksten tok seg opp i norsk økonomi valgte Norges Bank å øke styringsrenten gradvis i perioden 2009-2011 og pengemarkedsrenten tok seg derfor litt opp igjen. Svekkede utsikter for norsk økonomi, blant annet som følge av svakere utsikter for petroleumsinvesteringene og fall i oljeprisen har bidratt til ny rentenedgang. Pengemarkedsrenten med tre måneders løpetid er nå på 1¼ prosent, og prisene i terminmarkedet indikerer forventninger om videre nedgang framover. Renteutviklingen i Norge de siste ti årene har i stor grad hatt samme forløp som hos våre handelspartnere, men renten i Norge har gjennomgående vært høyere. </w:t>
      </w:r>
    </w:p>
    <w:p w14:paraId="555B3EC5" w14:textId="77777777" w:rsidR="0080730E" w:rsidRDefault="0080730E" w:rsidP="0080730E">
      <w:pPr>
        <w:rPr>
          <w:sz w:val="20"/>
        </w:rPr>
      </w:pPr>
    </w:p>
    <w:p w14:paraId="2883E70E" w14:textId="77777777" w:rsidR="0080730E" w:rsidRDefault="0080730E" w:rsidP="0080730E">
      <w:pPr>
        <w:rPr>
          <w:rFonts w:ascii="Arial" w:hAnsi="Arial" w:cs="Arial"/>
        </w:rPr>
      </w:pPr>
      <w:r>
        <w:rPr>
          <w:rFonts w:ascii="Arial" w:hAnsi="Arial" w:cs="Arial"/>
          <w:noProof/>
        </w:rPr>
        <w:drawing>
          <wp:inline distT="0" distB="0" distL="0" distR="0" wp14:anchorId="3DE03A12" wp14:editId="5E20A8F1">
            <wp:extent cx="2645445" cy="2590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4.png"/>
                    <pic:cNvPicPr/>
                  </pic:nvPicPr>
                  <pic:blipFill>
                    <a:blip r:embed="rId72">
                      <a:extLst>
                        <a:ext uri="{28A0092B-C50C-407E-A947-70E740481C1C}">
                          <a14:useLocalDpi xmlns:a14="http://schemas.microsoft.com/office/drawing/2010/main" val="0"/>
                        </a:ext>
                      </a:extLst>
                    </a:blip>
                    <a:stretch>
                      <a:fillRect/>
                    </a:stretch>
                  </pic:blipFill>
                  <pic:spPr>
                    <a:xfrm>
                      <a:off x="0" y="0"/>
                      <a:ext cx="2645445" cy="2590586"/>
                    </a:xfrm>
                    <a:prstGeom prst="rect">
                      <a:avLst/>
                    </a:prstGeom>
                  </pic:spPr>
                </pic:pic>
              </a:graphicData>
            </a:graphic>
          </wp:inline>
        </w:drawing>
      </w:r>
    </w:p>
    <w:p w14:paraId="30668D20" w14:textId="77777777" w:rsidR="0080730E" w:rsidRPr="00C46EC2" w:rsidRDefault="0080730E" w:rsidP="0080730E">
      <w:pPr>
        <w:rPr>
          <w:rFonts w:ascii="Arial" w:hAnsi="Arial" w:cs="Arial"/>
          <w:i/>
        </w:rPr>
      </w:pPr>
      <w:r w:rsidRPr="00C46EC2">
        <w:rPr>
          <w:rFonts w:ascii="Arial" w:hAnsi="Arial" w:cs="Arial"/>
        </w:rPr>
        <w:t>Figur 3.</w:t>
      </w:r>
      <w:r>
        <w:rPr>
          <w:rFonts w:ascii="Arial" w:hAnsi="Arial" w:cs="Arial"/>
        </w:rPr>
        <w:t>4</w:t>
      </w:r>
      <w:r w:rsidRPr="00C46EC2">
        <w:rPr>
          <w:rFonts w:ascii="Arial" w:hAnsi="Arial" w:cs="Arial"/>
        </w:rPr>
        <w:t xml:space="preserve"> Tremåneders pengemarkedsrente i Norge og hos noen av handelspartnerne. Prosent.</w:t>
      </w:r>
    </w:p>
    <w:p w14:paraId="189361FB" w14:textId="6940DB17" w:rsidR="00585DCA" w:rsidRDefault="0080730E" w:rsidP="0080730E">
      <w:pPr>
        <w:pStyle w:val="Kilde"/>
      </w:pPr>
      <w:r w:rsidRPr="00B83F6B">
        <w:t xml:space="preserve">Kilde: </w:t>
      </w:r>
      <w:r>
        <w:t>Macrobond</w:t>
      </w:r>
    </w:p>
    <w:p w14:paraId="69229D8B" w14:textId="77777777" w:rsidR="00585DCA" w:rsidRPr="00C76AC3" w:rsidRDefault="00585DCA" w:rsidP="00585DCA"/>
    <w:p w14:paraId="14CBA0A5" w14:textId="1F5FE13A" w:rsidR="0083434C" w:rsidRDefault="0083434C">
      <w:pPr>
        <w:spacing w:after="0"/>
        <w:rPr>
          <w:sz w:val="20"/>
        </w:rPr>
      </w:pPr>
      <w:r>
        <w:rPr>
          <w:sz w:val="20"/>
        </w:rPr>
        <w:br w:type="page"/>
      </w:r>
    </w:p>
    <w:p w14:paraId="6C9EE170" w14:textId="0A2A2C95" w:rsidR="0083434C" w:rsidRPr="00567A12" w:rsidRDefault="0083434C" w:rsidP="004779A9">
      <w:pPr>
        <w:pStyle w:val="vedlegg-nr"/>
        <w:rPr>
          <w:rFonts w:cs="Arial"/>
          <w:b w:val="0"/>
        </w:rPr>
      </w:pPr>
      <w:r w:rsidRPr="00567A12">
        <w:rPr>
          <w:rFonts w:cs="Arial"/>
          <w:b w:val="0"/>
        </w:rPr>
        <w:t xml:space="preserve"> </w:t>
      </w:r>
    </w:p>
    <w:p w14:paraId="52C06244" w14:textId="77777777" w:rsidR="0083434C" w:rsidRDefault="0083434C" w:rsidP="008643D6">
      <w:pPr>
        <w:pStyle w:val="Overskrift1"/>
        <w:numPr>
          <w:ilvl w:val="0"/>
          <w:numId w:val="76"/>
        </w:numPr>
        <w:jc w:val="center"/>
      </w:pPr>
      <w:bookmarkStart w:id="484" w:name="_Toc443999020"/>
      <w:r>
        <w:t>Tabellvedlegg</w:t>
      </w:r>
      <w:bookmarkEnd w:id="484"/>
    </w:p>
    <w:p w14:paraId="3986B241" w14:textId="77777777" w:rsidR="0083434C" w:rsidRPr="00E41288" w:rsidRDefault="0083434C" w:rsidP="0083434C">
      <w:pPr>
        <w:pStyle w:val="tabell-tittel"/>
        <w:numPr>
          <w:ilvl w:val="0"/>
          <w:numId w:val="0"/>
        </w:numPr>
        <w:rPr>
          <w:b/>
        </w:rPr>
      </w:pPr>
      <w:r w:rsidRPr="00E41288">
        <w:rPr>
          <w:b/>
        </w:rPr>
        <w:t>Tabell 4.1 Skattesatser og beløpsgrenser for inntektsårene 2010 – 2016</w:t>
      </w:r>
    </w:p>
    <w:tbl>
      <w:tblPr>
        <w:tblW w:w="9639" w:type="dxa"/>
        <w:jc w:val="center"/>
        <w:tblCellMar>
          <w:left w:w="0" w:type="dxa"/>
          <w:right w:w="0" w:type="dxa"/>
        </w:tblCellMar>
        <w:tblLook w:val="0000" w:firstRow="0" w:lastRow="0" w:firstColumn="0" w:lastColumn="0" w:noHBand="0" w:noVBand="0"/>
      </w:tblPr>
      <w:tblGrid>
        <w:gridCol w:w="2522"/>
        <w:gridCol w:w="985"/>
        <w:gridCol w:w="1055"/>
        <w:gridCol w:w="970"/>
        <w:gridCol w:w="1031"/>
        <w:gridCol w:w="1028"/>
        <w:gridCol w:w="1024"/>
        <w:gridCol w:w="1024"/>
      </w:tblGrid>
      <w:tr w:rsidR="0083434C" w:rsidRPr="00D861B9" w14:paraId="45EA3F6B" w14:textId="77777777" w:rsidTr="008E4229">
        <w:trPr>
          <w:trHeight w:val="446"/>
          <w:tblHeader/>
          <w:jc w:val="center"/>
        </w:trPr>
        <w:tc>
          <w:tcPr>
            <w:tcW w:w="1309" w:type="pct"/>
            <w:tcBorders>
              <w:top w:val="single" w:sz="8" w:space="0" w:color="auto"/>
              <w:left w:val="nil"/>
              <w:bottom w:val="single" w:sz="8" w:space="0" w:color="auto"/>
              <w:right w:val="nil"/>
            </w:tcBorders>
            <w:vAlign w:val="bottom"/>
          </w:tcPr>
          <w:p w14:paraId="7F71427F" w14:textId="77777777" w:rsidR="0083434C" w:rsidRPr="00D861B9" w:rsidRDefault="0083434C" w:rsidP="00083940">
            <w:pPr>
              <w:autoSpaceDE w:val="0"/>
              <w:autoSpaceDN w:val="0"/>
              <w:adjustRightInd w:val="0"/>
              <w:spacing w:before="80" w:after="80" w:line="220" w:lineRule="exact"/>
              <w:ind w:left="80" w:right="80"/>
              <w:jc w:val="right"/>
              <w:rPr>
                <w:noProof/>
                <w:sz w:val="20"/>
              </w:rPr>
            </w:pPr>
          </w:p>
        </w:tc>
        <w:tc>
          <w:tcPr>
            <w:tcW w:w="511" w:type="pct"/>
            <w:tcBorders>
              <w:top w:val="single" w:sz="8" w:space="0" w:color="auto"/>
              <w:left w:val="nil"/>
              <w:bottom w:val="single" w:sz="8" w:space="0" w:color="auto"/>
              <w:right w:val="nil"/>
            </w:tcBorders>
            <w:vAlign w:val="bottom"/>
          </w:tcPr>
          <w:p w14:paraId="37110F01" w14:textId="77777777" w:rsidR="0083434C" w:rsidRPr="00D861B9" w:rsidRDefault="0083434C" w:rsidP="00083940">
            <w:pPr>
              <w:autoSpaceDE w:val="0"/>
              <w:autoSpaceDN w:val="0"/>
              <w:adjustRightInd w:val="0"/>
              <w:spacing w:before="80" w:after="80" w:line="220" w:lineRule="exact"/>
              <w:ind w:left="80" w:right="80"/>
              <w:jc w:val="right"/>
              <w:rPr>
                <w:noProof/>
                <w:sz w:val="20"/>
              </w:rPr>
            </w:pPr>
            <w:r>
              <w:rPr>
                <w:noProof/>
                <w:sz w:val="20"/>
              </w:rPr>
              <w:t>2010</w:t>
            </w:r>
          </w:p>
        </w:tc>
        <w:tc>
          <w:tcPr>
            <w:tcW w:w="547" w:type="pct"/>
            <w:tcBorders>
              <w:top w:val="single" w:sz="8" w:space="0" w:color="auto"/>
              <w:left w:val="nil"/>
              <w:bottom w:val="single" w:sz="8" w:space="0" w:color="auto"/>
              <w:right w:val="nil"/>
            </w:tcBorders>
            <w:vAlign w:val="bottom"/>
          </w:tcPr>
          <w:p w14:paraId="24795F6C" w14:textId="77777777" w:rsidR="0083434C" w:rsidRPr="00D861B9" w:rsidRDefault="0083434C" w:rsidP="00083940">
            <w:pPr>
              <w:autoSpaceDE w:val="0"/>
              <w:autoSpaceDN w:val="0"/>
              <w:adjustRightInd w:val="0"/>
              <w:spacing w:before="80" w:after="80" w:line="220" w:lineRule="exact"/>
              <w:ind w:left="80" w:right="80"/>
              <w:jc w:val="right"/>
              <w:rPr>
                <w:noProof/>
                <w:sz w:val="20"/>
              </w:rPr>
            </w:pPr>
            <w:r>
              <w:rPr>
                <w:noProof/>
                <w:sz w:val="20"/>
              </w:rPr>
              <w:t>2011</w:t>
            </w:r>
          </w:p>
        </w:tc>
        <w:tc>
          <w:tcPr>
            <w:tcW w:w="503" w:type="pct"/>
            <w:tcBorders>
              <w:top w:val="single" w:sz="8" w:space="0" w:color="auto"/>
              <w:left w:val="nil"/>
              <w:bottom w:val="single" w:sz="8" w:space="0" w:color="auto"/>
              <w:right w:val="nil"/>
            </w:tcBorders>
            <w:vAlign w:val="bottom"/>
          </w:tcPr>
          <w:p w14:paraId="5F4E85B4" w14:textId="77777777" w:rsidR="0083434C" w:rsidRDefault="0083434C" w:rsidP="00083940">
            <w:pPr>
              <w:autoSpaceDE w:val="0"/>
              <w:autoSpaceDN w:val="0"/>
              <w:adjustRightInd w:val="0"/>
              <w:spacing w:before="80" w:after="80" w:line="220" w:lineRule="exact"/>
              <w:ind w:left="80" w:right="80"/>
              <w:jc w:val="right"/>
              <w:rPr>
                <w:noProof/>
                <w:sz w:val="20"/>
              </w:rPr>
            </w:pPr>
            <w:r>
              <w:rPr>
                <w:noProof/>
                <w:sz w:val="20"/>
              </w:rPr>
              <w:t>2012</w:t>
            </w:r>
          </w:p>
        </w:tc>
        <w:tc>
          <w:tcPr>
            <w:tcW w:w="535" w:type="pct"/>
            <w:tcBorders>
              <w:top w:val="single" w:sz="8" w:space="0" w:color="auto"/>
              <w:left w:val="nil"/>
              <w:bottom w:val="single" w:sz="8" w:space="0" w:color="auto"/>
              <w:right w:val="nil"/>
            </w:tcBorders>
            <w:vAlign w:val="bottom"/>
          </w:tcPr>
          <w:p w14:paraId="626C3191" w14:textId="77777777" w:rsidR="0083434C" w:rsidRDefault="0083434C" w:rsidP="00083940">
            <w:pPr>
              <w:autoSpaceDE w:val="0"/>
              <w:autoSpaceDN w:val="0"/>
              <w:adjustRightInd w:val="0"/>
              <w:spacing w:before="80" w:after="80" w:line="220" w:lineRule="exact"/>
              <w:ind w:right="80"/>
              <w:jc w:val="right"/>
              <w:rPr>
                <w:noProof/>
                <w:sz w:val="20"/>
              </w:rPr>
            </w:pPr>
            <w:r>
              <w:rPr>
                <w:noProof/>
                <w:sz w:val="20"/>
              </w:rPr>
              <w:t>2013</w:t>
            </w:r>
          </w:p>
        </w:tc>
        <w:tc>
          <w:tcPr>
            <w:tcW w:w="533" w:type="pct"/>
            <w:tcBorders>
              <w:top w:val="single" w:sz="8" w:space="0" w:color="auto"/>
              <w:left w:val="nil"/>
              <w:bottom w:val="single" w:sz="8" w:space="0" w:color="auto"/>
              <w:right w:val="nil"/>
            </w:tcBorders>
            <w:vAlign w:val="bottom"/>
          </w:tcPr>
          <w:p w14:paraId="6BB66615" w14:textId="77777777" w:rsidR="0083434C" w:rsidRDefault="0083434C" w:rsidP="00083940">
            <w:pPr>
              <w:autoSpaceDE w:val="0"/>
              <w:autoSpaceDN w:val="0"/>
              <w:adjustRightInd w:val="0"/>
              <w:spacing w:before="80" w:after="80" w:line="220" w:lineRule="exact"/>
              <w:ind w:left="80" w:right="80"/>
              <w:jc w:val="right"/>
              <w:rPr>
                <w:noProof/>
                <w:sz w:val="20"/>
              </w:rPr>
            </w:pPr>
            <w:r>
              <w:rPr>
                <w:noProof/>
                <w:sz w:val="20"/>
              </w:rPr>
              <w:t>2014</w:t>
            </w:r>
          </w:p>
        </w:tc>
        <w:tc>
          <w:tcPr>
            <w:tcW w:w="531" w:type="pct"/>
            <w:tcBorders>
              <w:top w:val="single" w:sz="8" w:space="0" w:color="auto"/>
              <w:left w:val="nil"/>
              <w:bottom w:val="single" w:sz="8" w:space="0" w:color="auto"/>
              <w:right w:val="nil"/>
            </w:tcBorders>
            <w:vAlign w:val="bottom"/>
          </w:tcPr>
          <w:p w14:paraId="4F772EBC" w14:textId="77777777" w:rsidR="0083434C" w:rsidRDefault="0083434C" w:rsidP="00083940">
            <w:pPr>
              <w:autoSpaceDE w:val="0"/>
              <w:autoSpaceDN w:val="0"/>
              <w:adjustRightInd w:val="0"/>
              <w:spacing w:before="80" w:after="80" w:line="220" w:lineRule="exact"/>
              <w:ind w:left="80" w:right="80"/>
              <w:jc w:val="right"/>
              <w:rPr>
                <w:noProof/>
                <w:sz w:val="20"/>
              </w:rPr>
            </w:pPr>
            <w:r>
              <w:rPr>
                <w:noProof/>
                <w:sz w:val="20"/>
              </w:rPr>
              <w:t>2015</w:t>
            </w:r>
          </w:p>
        </w:tc>
        <w:tc>
          <w:tcPr>
            <w:tcW w:w="531" w:type="pct"/>
            <w:tcBorders>
              <w:top w:val="single" w:sz="8" w:space="0" w:color="auto"/>
              <w:left w:val="nil"/>
              <w:bottom w:val="single" w:sz="8" w:space="0" w:color="auto"/>
              <w:right w:val="nil"/>
            </w:tcBorders>
            <w:vAlign w:val="bottom"/>
          </w:tcPr>
          <w:p w14:paraId="2A48CCEC" w14:textId="77777777" w:rsidR="0083434C" w:rsidRDefault="0083434C" w:rsidP="00083940">
            <w:pPr>
              <w:autoSpaceDE w:val="0"/>
              <w:autoSpaceDN w:val="0"/>
              <w:adjustRightInd w:val="0"/>
              <w:spacing w:before="80" w:after="80" w:line="220" w:lineRule="exact"/>
              <w:ind w:left="80" w:right="80"/>
              <w:jc w:val="right"/>
              <w:rPr>
                <w:noProof/>
                <w:sz w:val="20"/>
              </w:rPr>
            </w:pPr>
            <w:r>
              <w:rPr>
                <w:noProof/>
                <w:sz w:val="20"/>
              </w:rPr>
              <w:t>2016</w:t>
            </w:r>
          </w:p>
        </w:tc>
      </w:tr>
      <w:tr w:rsidR="0083434C" w:rsidRPr="00D861B9" w14:paraId="45C38F91" w14:textId="77777777" w:rsidTr="008E4229">
        <w:trPr>
          <w:jc w:val="center"/>
        </w:trPr>
        <w:tc>
          <w:tcPr>
            <w:tcW w:w="1309" w:type="pct"/>
            <w:tcBorders>
              <w:top w:val="single" w:sz="8" w:space="0" w:color="auto"/>
              <w:left w:val="nil"/>
              <w:bottom w:val="nil"/>
              <w:right w:val="nil"/>
            </w:tcBorders>
            <w:vAlign w:val="bottom"/>
          </w:tcPr>
          <w:p w14:paraId="468FC2DD" w14:textId="77777777" w:rsidR="0083434C" w:rsidRPr="00CC5CFE" w:rsidRDefault="0083434C" w:rsidP="00083940">
            <w:pPr>
              <w:autoSpaceDE w:val="0"/>
              <w:autoSpaceDN w:val="0"/>
              <w:adjustRightInd w:val="0"/>
              <w:spacing w:before="80" w:after="0" w:line="220" w:lineRule="exact"/>
              <w:ind w:right="80"/>
              <w:rPr>
                <w:i/>
                <w:sz w:val="20"/>
              </w:rPr>
            </w:pPr>
            <w:r>
              <w:rPr>
                <w:rStyle w:val="kursiv"/>
                <w:sz w:val="20"/>
              </w:rPr>
              <w:t xml:space="preserve">a. </w:t>
            </w:r>
            <w:r w:rsidRPr="00D861B9">
              <w:rPr>
                <w:rStyle w:val="kursiv"/>
                <w:sz w:val="20"/>
              </w:rPr>
              <w:t>Trygdeavgift</w:t>
            </w:r>
            <w:r>
              <w:rPr>
                <w:rStyle w:val="kursiv"/>
                <w:sz w:val="20"/>
              </w:rPr>
              <w:t xml:space="preserve"> pst</w:t>
            </w:r>
          </w:p>
        </w:tc>
        <w:tc>
          <w:tcPr>
            <w:tcW w:w="511" w:type="pct"/>
            <w:tcBorders>
              <w:top w:val="single" w:sz="8" w:space="0" w:color="auto"/>
              <w:left w:val="nil"/>
              <w:bottom w:val="nil"/>
              <w:right w:val="nil"/>
            </w:tcBorders>
            <w:vAlign w:val="bottom"/>
          </w:tcPr>
          <w:p w14:paraId="14336DB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single" w:sz="8" w:space="0" w:color="auto"/>
              <w:left w:val="nil"/>
              <w:bottom w:val="nil"/>
              <w:right w:val="nil"/>
            </w:tcBorders>
            <w:vAlign w:val="bottom"/>
          </w:tcPr>
          <w:p w14:paraId="14046EE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single" w:sz="8" w:space="0" w:color="auto"/>
              <w:left w:val="nil"/>
              <w:bottom w:val="nil"/>
              <w:right w:val="nil"/>
            </w:tcBorders>
          </w:tcPr>
          <w:p w14:paraId="09206074" w14:textId="77777777" w:rsidR="0083434C" w:rsidRPr="00D861B9" w:rsidRDefault="0083434C" w:rsidP="00083940">
            <w:pPr>
              <w:autoSpaceDE w:val="0"/>
              <w:autoSpaceDN w:val="0"/>
              <w:adjustRightInd w:val="0"/>
              <w:spacing w:before="80" w:after="0" w:line="220" w:lineRule="exact"/>
              <w:ind w:right="80"/>
              <w:jc w:val="right"/>
              <w:rPr>
                <w:noProof/>
                <w:sz w:val="20"/>
              </w:rPr>
            </w:pPr>
          </w:p>
        </w:tc>
        <w:tc>
          <w:tcPr>
            <w:tcW w:w="535" w:type="pct"/>
            <w:tcBorders>
              <w:top w:val="single" w:sz="8" w:space="0" w:color="auto"/>
              <w:left w:val="nil"/>
              <w:bottom w:val="nil"/>
              <w:right w:val="nil"/>
            </w:tcBorders>
            <w:vAlign w:val="bottom"/>
          </w:tcPr>
          <w:p w14:paraId="3A20FA4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single" w:sz="8" w:space="0" w:color="auto"/>
              <w:left w:val="nil"/>
              <w:bottom w:val="nil"/>
              <w:right w:val="nil"/>
            </w:tcBorders>
            <w:vAlign w:val="bottom"/>
          </w:tcPr>
          <w:p w14:paraId="1E2DB80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14:paraId="5AFAB12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single" w:sz="8" w:space="0" w:color="auto"/>
              <w:left w:val="nil"/>
              <w:bottom w:val="nil"/>
              <w:right w:val="nil"/>
            </w:tcBorders>
            <w:vAlign w:val="bottom"/>
          </w:tcPr>
          <w:p w14:paraId="5E6AE44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6A4AC87" w14:textId="77777777" w:rsidTr="008E4229">
        <w:trPr>
          <w:jc w:val="center"/>
        </w:trPr>
        <w:tc>
          <w:tcPr>
            <w:tcW w:w="1309" w:type="pct"/>
            <w:tcBorders>
              <w:top w:val="nil"/>
              <w:left w:val="nil"/>
              <w:bottom w:val="nil"/>
              <w:right w:val="nil"/>
            </w:tcBorders>
            <w:vAlign w:val="bottom"/>
          </w:tcPr>
          <w:p w14:paraId="7A679479"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Lønnsinntekt</w:t>
            </w:r>
            <w:r>
              <w:rPr>
                <w:noProof/>
                <w:sz w:val="20"/>
              </w:rPr>
              <w:t>, pst.</w:t>
            </w:r>
          </w:p>
        </w:tc>
        <w:tc>
          <w:tcPr>
            <w:tcW w:w="511" w:type="pct"/>
            <w:tcBorders>
              <w:top w:val="nil"/>
              <w:left w:val="nil"/>
              <w:bottom w:val="nil"/>
              <w:right w:val="nil"/>
            </w:tcBorders>
            <w:vAlign w:val="bottom"/>
          </w:tcPr>
          <w:p w14:paraId="72B7EE40"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47" w:type="pct"/>
            <w:tcBorders>
              <w:top w:val="nil"/>
              <w:left w:val="nil"/>
              <w:bottom w:val="nil"/>
              <w:right w:val="nil"/>
            </w:tcBorders>
            <w:vAlign w:val="bottom"/>
          </w:tcPr>
          <w:p w14:paraId="153BF6AD"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14:paraId="3873143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35" w:type="pct"/>
            <w:tcBorders>
              <w:top w:val="nil"/>
              <w:left w:val="nil"/>
              <w:bottom w:val="nil"/>
              <w:right w:val="nil"/>
            </w:tcBorders>
            <w:vAlign w:val="bottom"/>
          </w:tcPr>
          <w:p w14:paraId="31DAE210"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33" w:type="pct"/>
            <w:tcBorders>
              <w:top w:val="nil"/>
              <w:left w:val="nil"/>
              <w:bottom w:val="nil"/>
              <w:right w:val="nil"/>
            </w:tcBorders>
            <w:vAlign w:val="bottom"/>
          </w:tcPr>
          <w:p w14:paraId="351F4B1E"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8,2</w:t>
            </w:r>
          </w:p>
        </w:tc>
        <w:tc>
          <w:tcPr>
            <w:tcW w:w="531" w:type="pct"/>
            <w:tcBorders>
              <w:top w:val="nil"/>
              <w:left w:val="nil"/>
              <w:bottom w:val="nil"/>
              <w:right w:val="nil"/>
            </w:tcBorders>
            <w:vAlign w:val="bottom"/>
          </w:tcPr>
          <w:p w14:paraId="0C91866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8,2</w:t>
            </w:r>
          </w:p>
        </w:tc>
        <w:tc>
          <w:tcPr>
            <w:tcW w:w="531" w:type="pct"/>
            <w:tcBorders>
              <w:top w:val="nil"/>
              <w:left w:val="nil"/>
              <w:bottom w:val="nil"/>
              <w:right w:val="nil"/>
            </w:tcBorders>
            <w:vAlign w:val="bottom"/>
          </w:tcPr>
          <w:p w14:paraId="45DEFD3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8,2</w:t>
            </w:r>
          </w:p>
        </w:tc>
      </w:tr>
      <w:tr w:rsidR="0083434C" w:rsidRPr="00D861B9" w14:paraId="08C8D862" w14:textId="77777777" w:rsidTr="008E4229">
        <w:trPr>
          <w:jc w:val="center"/>
        </w:trPr>
        <w:tc>
          <w:tcPr>
            <w:tcW w:w="1309" w:type="pct"/>
            <w:tcBorders>
              <w:top w:val="nil"/>
              <w:left w:val="nil"/>
              <w:bottom w:val="nil"/>
              <w:right w:val="nil"/>
            </w:tcBorders>
            <w:vAlign w:val="bottom"/>
          </w:tcPr>
          <w:p w14:paraId="467B7B74"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Primærn</w:t>
            </w:r>
            <w:r w:rsidRPr="00D861B9">
              <w:rPr>
                <w:noProof/>
                <w:sz w:val="20"/>
              </w:rPr>
              <w:t>æringsinntekt</w:t>
            </w:r>
            <w:r>
              <w:rPr>
                <w:noProof/>
                <w:sz w:val="20"/>
                <w:vertAlign w:val="superscript"/>
              </w:rPr>
              <w:t>1</w:t>
            </w:r>
            <w:r>
              <w:rPr>
                <w:noProof/>
                <w:sz w:val="20"/>
              </w:rPr>
              <w:t>, pst.</w:t>
            </w:r>
          </w:p>
        </w:tc>
        <w:tc>
          <w:tcPr>
            <w:tcW w:w="511" w:type="pct"/>
            <w:tcBorders>
              <w:top w:val="nil"/>
              <w:left w:val="nil"/>
              <w:bottom w:val="nil"/>
              <w:right w:val="nil"/>
            </w:tcBorders>
            <w:vAlign w:val="bottom"/>
          </w:tcPr>
          <w:p w14:paraId="0A3BE4C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47" w:type="pct"/>
            <w:tcBorders>
              <w:top w:val="nil"/>
              <w:left w:val="nil"/>
              <w:bottom w:val="nil"/>
              <w:right w:val="nil"/>
            </w:tcBorders>
            <w:vAlign w:val="bottom"/>
          </w:tcPr>
          <w:p w14:paraId="36C3DB97"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7,8</w:t>
            </w:r>
          </w:p>
        </w:tc>
        <w:tc>
          <w:tcPr>
            <w:tcW w:w="503" w:type="pct"/>
            <w:tcBorders>
              <w:top w:val="nil"/>
              <w:left w:val="nil"/>
              <w:bottom w:val="nil"/>
              <w:right w:val="nil"/>
            </w:tcBorders>
            <w:vAlign w:val="bottom"/>
          </w:tcPr>
          <w:p w14:paraId="12CC0607"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14:paraId="380FE9A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14:paraId="55844EFD"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14:paraId="4FD7222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14:paraId="0B459DF1"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11,4</w:t>
            </w:r>
          </w:p>
        </w:tc>
      </w:tr>
      <w:tr w:rsidR="0083434C" w:rsidRPr="00D861B9" w14:paraId="17541F61" w14:textId="77777777" w:rsidTr="008E4229">
        <w:trPr>
          <w:jc w:val="center"/>
        </w:trPr>
        <w:tc>
          <w:tcPr>
            <w:tcW w:w="1309" w:type="pct"/>
            <w:tcBorders>
              <w:top w:val="nil"/>
              <w:left w:val="nil"/>
              <w:bottom w:val="nil"/>
              <w:right w:val="nil"/>
            </w:tcBorders>
            <w:vAlign w:val="bottom"/>
          </w:tcPr>
          <w:p w14:paraId="1C21D310" w14:textId="77777777" w:rsidR="0083434C" w:rsidRPr="00A50491" w:rsidRDefault="0083434C" w:rsidP="00083940">
            <w:pPr>
              <w:autoSpaceDE w:val="0"/>
              <w:autoSpaceDN w:val="0"/>
              <w:adjustRightInd w:val="0"/>
              <w:spacing w:before="80" w:after="0" w:line="220" w:lineRule="exact"/>
              <w:ind w:right="79"/>
              <w:rPr>
                <w:noProof/>
                <w:sz w:val="20"/>
              </w:rPr>
            </w:pPr>
            <w:r w:rsidRPr="00D861B9">
              <w:rPr>
                <w:noProof/>
                <w:sz w:val="20"/>
              </w:rPr>
              <w:t>Annen næringsinntekt</w:t>
            </w:r>
            <w:r w:rsidRPr="006944CC">
              <w:rPr>
                <w:rStyle w:val="skrift-hevet"/>
                <w:sz w:val="20"/>
                <w:vertAlign w:val="baseline"/>
              </w:rPr>
              <w:t>, pst.</w:t>
            </w:r>
          </w:p>
        </w:tc>
        <w:tc>
          <w:tcPr>
            <w:tcW w:w="511" w:type="pct"/>
            <w:tcBorders>
              <w:top w:val="nil"/>
              <w:left w:val="nil"/>
              <w:bottom w:val="nil"/>
              <w:right w:val="nil"/>
            </w:tcBorders>
            <w:vAlign w:val="bottom"/>
          </w:tcPr>
          <w:p w14:paraId="58AACDC6"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47" w:type="pct"/>
            <w:tcBorders>
              <w:top w:val="nil"/>
              <w:left w:val="nil"/>
              <w:bottom w:val="nil"/>
              <w:right w:val="nil"/>
            </w:tcBorders>
            <w:vAlign w:val="bottom"/>
          </w:tcPr>
          <w:p w14:paraId="2BA51147"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03" w:type="pct"/>
            <w:tcBorders>
              <w:top w:val="nil"/>
              <w:left w:val="nil"/>
              <w:bottom w:val="nil"/>
              <w:right w:val="nil"/>
            </w:tcBorders>
            <w:vAlign w:val="bottom"/>
          </w:tcPr>
          <w:p w14:paraId="76949D4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35" w:type="pct"/>
            <w:tcBorders>
              <w:top w:val="nil"/>
              <w:left w:val="nil"/>
              <w:bottom w:val="nil"/>
              <w:right w:val="nil"/>
            </w:tcBorders>
            <w:vAlign w:val="bottom"/>
          </w:tcPr>
          <w:p w14:paraId="3E63318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11,0</w:t>
            </w:r>
          </w:p>
        </w:tc>
        <w:tc>
          <w:tcPr>
            <w:tcW w:w="533" w:type="pct"/>
            <w:tcBorders>
              <w:top w:val="nil"/>
              <w:left w:val="nil"/>
              <w:bottom w:val="nil"/>
              <w:right w:val="nil"/>
            </w:tcBorders>
            <w:vAlign w:val="bottom"/>
          </w:tcPr>
          <w:p w14:paraId="7E707F87"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14:paraId="3CD95CA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11,4</w:t>
            </w:r>
          </w:p>
        </w:tc>
        <w:tc>
          <w:tcPr>
            <w:tcW w:w="531" w:type="pct"/>
            <w:tcBorders>
              <w:top w:val="nil"/>
              <w:left w:val="nil"/>
              <w:bottom w:val="nil"/>
              <w:right w:val="nil"/>
            </w:tcBorders>
            <w:vAlign w:val="bottom"/>
          </w:tcPr>
          <w:p w14:paraId="79C50B6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11,4</w:t>
            </w:r>
          </w:p>
        </w:tc>
      </w:tr>
      <w:tr w:rsidR="0083434C" w:rsidRPr="00D861B9" w14:paraId="364E9555" w14:textId="77777777" w:rsidTr="008E4229">
        <w:trPr>
          <w:jc w:val="center"/>
        </w:trPr>
        <w:tc>
          <w:tcPr>
            <w:tcW w:w="1309" w:type="pct"/>
            <w:tcBorders>
              <w:top w:val="nil"/>
              <w:left w:val="nil"/>
              <w:bottom w:val="nil"/>
              <w:right w:val="nil"/>
            </w:tcBorders>
            <w:vAlign w:val="bottom"/>
          </w:tcPr>
          <w:p w14:paraId="11448A82" w14:textId="77777777" w:rsidR="0083434C" w:rsidRPr="00E84E2D" w:rsidRDefault="0083434C" w:rsidP="00083940">
            <w:pPr>
              <w:spacing w:before="80" w:after="0" w:line="220" w:lineRule="exact"/>
              <w:rPr>
                <w:noProof/>
                <w:sz w:val="20"/>
              </w:rPr>
            </w:pPr>
            <w:r w:rsidRPr="00E84E2D">
              <w:rPr>
                <w:noProof/>
                <w:sz w:val="20"/>
              </w:rPr>
              <w:t>Pensjonsinntekt</w:t>
            </w:r>
          </w:p>
        </w:tc>
        <w:tc>
          <w:tcPr>
            <w:tcW w:w="511" w:type="pct"/>
            <w:tcBorders>
              <w:top w:val="nil"/>
              <w:left w:val="nil"/>
              <w:bottom w:val="nil"/>
              <w:right w:val="nil"/>
            </w:tcBorders>
            <w:vAlign w:val="bottom"/>
          </w:tcPr>
          <w:p w14:paraId="0D824E8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3,0</w:t>
            </w:r>
          </w:p>
        </w:tc>
        <w:tc>
          <w:tcPr>
            <w:tcW w:w="547" w:type="pct"/>
            <w:tcBorders>
              <w:top w:val="nil"/>
              <w:left w:val="nil"/>
              <w:bottom w:val="nil"/>
              <w:right w:val="nil"/>
            </w:tcBorders>
            <w:vAlign w:val="bottom"/>
          </w:tcPr>
          <w:p w14:paraId="5B0B7ED0"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w:t>
            </w:r>
          </w:p>
        </w:tc>
        <w:tc>
          <w:tcPr>
            <w:tcW w:w="503" w:type="pct"/>
            <w:tcBorders>
              <w:top w:val="nil"/>
              <w:left w:val="nil"/>
              <w:bottom w:val="nil"/>
              <w:right w:val="nil"/>
            </w:tcBorders>
            <w:vAlign w:val="bottom"/>
          </w:tcPr>
          <w:p w14:paraId="630CCF5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w:t>
            </w:r>
          </w:p>
        </w:tc>
        <w:tc>
          <w:tcPr>
            <w:tcW w:w="535" w:type="pct"/>
            <w:tcBorders>
              <w:top w:val="nil"/>
              <w:left w:val="nil"/>
              <w:bottom w:val="nil"/>
              <w:right w:val="nil"/>
            </w:tcBorders>
            <w:vAlign w:val="bottom"/>
          </w:tcPr>
          <w:p w14:paraId="7D7C593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w:t>
            </w:r>
          </w:p>
        </w:tc>
        <w:tc>
          <w:tcPr>
            <w:tcW w:w="533" w:type="pct"/>
            <w:tcBorders>
              <w:top w:val="nil"/>
              <w:left w:val="nil"/>
              <w:bottom w:val="nil"/>
              <w:right w:val="nil"/>
            </w:tcBorders>
            <w:vAlign w:val="bottom"/>
          </w:tcPr>
          <w:p w14:paraId="267837F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5,1</w:t>
            </w:r>
          </w:p>
        </w:tc>
        <w:tc>
          <w:tcPr>
            <w:tcW w:w="531" w:type="pct"/>
            <w:tcBorders>
              <w:top w:val="nil"/>
              <w:left w:val="nil"/>
              <w:bottom w:val="nil"/>
              <w:right w:val="nil"/>
            </w:tcBorders>
            <w:vAlign w:val="bottom"/>
          </w:tcPr>
          <w:p w14:paraId="6D07478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5,1</w:t>
            </w:r>
          </w:p>
        </w:tc>
        <w:tc>
          <w:tcPr>
            <w:tcW w:w="531" w:type="pct"/>
            <w:tcBorders>
              <w:top w:val="nil"/>
              <w:left w:val="nil"/>
              <w:bottom w:val="nil"/>
              <w:right w:val="nil"/>
            </w:tcBorders>
            <w:vAlign w:val="bottom"/>
          </w:tcPr>
          <w:p w14:paraId="4B4F251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5,1</w:t>
            </w:r>
          </w:p>
        </w:tc>
      </w:tr>
      <w:tr w:rsidR="0083434C" w:rsidRPr="00D861B9" w14:paraId="11DC3954" w14:textId="77777777" w:rsidTr="008E4229">
        <w:trPr>
          <w:jc w:val="center"/>
        </w:trPr>
        <w:tc>
          <w:tcPr>
            <w:tcW w:w="1309" w:type="pct"/>
            <w:tcBorders>
              <w:top w:val="nil"/>
              <w:left w:val="nil"/>
              <w:bottom w:val="nil"/>
              <w:right w:val="nil"/>
            </w:tcBorders>
            <w:vAlign w:val="bottom"/>
          </w:tcPr>
          <w:p w14:paraId="7FC3BDA2"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b</w:t>
            </w:r>
            <w:r>
              <w:rPr>
                <w:rStyle w:val="kursiv"/>
                <w:sz w:val="20"/>
              </w:rPr>
              <w:t>.</w:t>
            </w:r>
            <w:r w:rsidRPr="00D861B9">
              <w:rPr>
                <w:rStyle w:val="kursiv"/>
                <w:sz w:val="20"/>
              </w:rPr>
              <w:t xml:space="preserve"> </w:t>
            </w:r>
            <w:r>
              <w:rPr>
                <w:rStyle w:val="kursiv"/>
                <w:sz w:val="20"/>
              </w:rPr>
              <w:t>Trinnskatt (toppskatt t.o.m. 2015)</w:t>
            </w:r>
          </w:p>
        </w:tc>
        <w:tc>
          <w:tcPr>
            <w:tcW w:w="511" w:type="pct"/>
            <w:tcBorders>
              <w:top w:val="nil"/>
              <w:left w:val="nil"/>
              <w:bottom w:val="nil"/>
              <w:right w:val="nil"/>
            </w:tcBorders>
            <w:vAlign w:val="bottom"/>
          </w:tcPr>
          <w:p w14:paraId="134EF54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572551C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4DBF321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3AF133F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5263202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3FD59CC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00ECA75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1DEC60D" w14:textId="77777777" w:rsidTr="008E4229">
        <w:trPr>
          <w:jc w:val="center"/>
        </w:trPr>
        <w:tc>
          <w:tcPr>
            <w:tcW w:w="1309" w:type="pct"/>
            <w:tcBorders>
              <w:top w:val="nil"/>
              <w:left w:val="nil"/>
              <w:bottom w:val="nil"/>
              <w:right w:val="nil"/>
            </w:tcBorders>
            <w:vAlign w:val="bottom"/>
          </w:tcPr>
          <w:p w14:paraId="48901000"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Trinn 1</w:t>
            </w:r>
          </w:p>
        </w:tc>
        <w:tc>
          <w:tcPr>
            <w:tcW w:w="511" w:type="pct"/>
            <w:tcBorders>
              <w:top w:val="nil"/>
              <w:left w:val="nil"/>
              <w:bottom w:val="nil"/>
              <w:right w:val="nil"/>
            </w:tcBorders>
            <w:vAlign w:val="bottom"/>
          </w:tcPr>
          <w:p w14:paraId="59C2B61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1DD069A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5F72B2B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4E3FF2E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06562D2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330F3BF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6A7B28F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625AFCAF" w14:textId="77777777" w:rsidTr="008E4229">
        <w:trPr>
          <w:jc w:val="center"/>
        </w:trPr>
        <w:tc>
          <w:tcPr>
            <w:tcW w:w="1309" w:type="pct"/>
            <w:tcBorders>
              <w:top w:val="nil"/>
              <w:left w:val="nil"/>
              <w:bottom w:val="nil"/>
              <w:right w:val="nil"/>
            </w:tcBorders>
            <w:vAlign w:val="bottom"/>
          </w:tcPr>
          <w:p w14:paraId="2A60970C"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Sats, pst.</w:t>
            </w:r>
          </w:p>
        </w:tc>
        <w:tc>
          <w:tcPr>
            <w:tcW w:w="511" w:type="pct"/>
            <w:tcBorders>
              <w:top w:val="nil"/>
              <w:left w:val="nil"/>
              <w:bottom w:val="nil"/>
              <w:right w:val="nil"/>
            </w:tcBorders>
            <w:vAlign w:val="bottom"/>
          </w:tcPr>
          <w:p w14:paraId="568F754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589347C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2534E04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788DC95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72728AA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2F3E771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0A6BBDB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0,44</w:t>
            </w:r>
          </w:p>
        </w:tc>
      </w:tr>
      <w:tr w:rsidR="0083434C" w:rsidRPr="00D861B9" w14:paraId="425B0F7F" w14:textId="77777777" w:rsidTr="008E4229">
        <w:trPr>
          <w:jc w:val="center"/>
        </w:trPr>
        <w:tc>
          <w:tcPr>
            <w:tcW w:w="1309" w:type="pct"/>
            <w:tcBorders>
              <w:top w:val="nil"/>
              <w:left w:val="nil"/>
              <w:bottom w:val="nil"/>
              <w:right w:val="nil"/>
            </w:tcBorders>
            <w:vAlign w:val="bottom"/>
          </w:tcPr>
          <w:p w14:paraId="579CBD89"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Innslagspunkt</w:t>
            </w:r>
          </w:p>
        </w:tc>
        <w:tc>
          <w:tcPr>
            <w:tcW w:w="511" w:type="pct"/>
            <w:tcBorders>
              <w:top w:val="nil"/>
              <w:left w:val="nil"/>
              <w:bottom w:val="nil"/>
              <w:right w:val="nil"/>
            </w:tcBorders>
            <w:vAlign w:val="bottom"/>
          </w:tcPr>
          <w:p w14:paraId="3320033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6E27412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72FB1A2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26284CB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7314325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68DC2B5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61778CA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159 800</w:t>
            </w:r>
          </w:p>
        </w:tc>
      </w:tr>
      <w:tr w:rsidR="0083434C" w:rsidRPr="00D861B9" w14:paraId="0FBD9AA3" w14:textId="77777777" w:rsidTr="008E4229">
        <w:trPr>
          <w:jc w:val="center"/>
        </w:trPr>
        <w:tc>
          <w:tcPr>
            <w:tcW w:w="1309" w:type="pct"/>
            <w:tcBorders>
              <w:top w:val="nil"/>
              <w:left w:val="nil"/>
              <w:bottom w:val="nil"/>
              <w:right w:val="nil"/>
            </w:tcBorders>
            <w:vAlign w:val="bottom"/>
          </w:tcPr>
          <w:p w14:paraId="3A6E6383"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Trinn 2</w:t>
            </w:r>
          </w:p>
        </w:tc>
        <w:tc>
          <w:tcPr>
            <w:tcW w:w="511" w:type="pct"/>
            <w:tcBorders>
              <w:top w:val="nil"/>
              <w:left w:val="nil"/>
              <w:bottom w:val="nil"/>
              <w:right w:val="nil"/>
            </w:tcBorders>
            <w:vAlign w:val="bottom"/>
          </w:tcPr>
          <w:p w14:paraId="37EC736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051415F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6E9AFBD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4ABB7A6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1552EC6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2942F27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085DC0E4"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C7ACD9D" w14:textId="77777777" w:rsidTr="008E4229">
        <w:trPr>
          <w:jc w:val="center"/>
        </w:trPr>
        <w:tc>
          <w:tcPr>
            <w:tcW w:w="1309" w:type="pct"/>
            <w:tcBorders>
              <w:top w:val="nil"/>
              <w:left w:val="nil"/>
              <w:bottom w:val="nil"/>
              <w:right w:val="nil"/>
            </w:tcBorders>
            <w:vAlign w:val="bottom"/>
          </w:tcPr>
          <w:p w14:paraId="77E20E57"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Sats, pst.</w:t>
            </w:r>
          </w:p>
        </w:tc>
        <w:tc>
          <w:tcPr>
            <w:tcW w:w="511" w:type="pct"/>
            <w:tcBorders>
              <w:top w:val="nil"/>
              <w:left w:val="nil"/>
              <w:bottom w:val="nil"/>
              <w:right w:val="nil"/>
            </w:tcBorders>
            <w:vAlign w:val="bottom"/>
          </w:tcPr>
          <w:p w14:paraId="364D297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493CE93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40CAB54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3B99FCC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1D84164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6F58229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2333276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1,7</w:t>
            </w:r>
          </w:p>
        </w:tc>
      </w:tr>
      <w:tr w:rsidR="0083434C" w:rsidRPr="00D861B9" w14:paraId="3D0318CE" w14:textId="77777777" w:rsidTr="008E4229">
        <w:trPr>
          <w:jc w:val="center"/>
        </w:trPr>
        <w:tc>
          <w:tcPr>
            <w:tcW w:w="1309" w:type="pct"/>
            <w:tcBorders>
              <w:top w:val="nil"/>
              <w:left w:val="nil"/>
              <w:bottom w:val="nil"/>
              <w:right w:val="nil"/>
            </w:tcBorders>
            <w:vAlign w:val="bottom"/>
          </w:tcPr>
          <w:p w14:paraId="0E2EF946"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Innslagspunkt</w:t>
            </w:r>
          </w:p>
        </w:tc>
        <w:tc>
          <w:tcPr>
            <w:tcW w:w="511" w:type="pct"/>
            <w:tcBorders>
              <w:top w:val="nil"/>
              <w:left w:val="nil"/>
              <w:bottom w:val="nil"/>
              <w:right w:val="nil"/>
            </w:tcBorders>
            <w:vAlign w:val="bottom"/>
          </w:tcPr>
          <w:p w14:paraId="3B1DA20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7ADD0DA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0D6295B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1A166EA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69A039C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42D5BF8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1D22041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224 900</w:t>
            </w:r>
          </w:p>
        </w:tc>
      </w:tr>
      <w:tr w:rsidR="0083434C" w:rsidRPr="00D861B9" w14:paraId="57415664" w14:textId="77777777" w:rsidTr="008E4229">
        <w:trPr>
          <w:jc w:val="center"/>
        </w:trPr>
        <w:tc>
          <w:tcPr>
            <w:tcW w:w="1309" w:type="pct"/>
            <w:tcBorders>
              <w:top w:val="nil"/>
              <w:left w:val="nil"/>
              <w:bottom w:val="nil"/>
              <w:right w:val="nil"/>
            </w:tcBorders>
            <w:vAlign w:val="bottom"/>
          </w:tcPr>
          <w:p w14:paraId="3ADB70C0"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 xml:space="preserve">Trinn </w:t>
            </w:r>
            <w:r>
              <w:rPr>
                <w:noProof/>
                <w:sz w:val="20"/>
              </w:rPr>
              <w:t>3 (tidl trinn 1 i toppskatten)</w:t>
            </w:r>
          </w:p>
        </w:tc>
        <w:tc>
          <w:tcPr>
            <w:tcW w:w="511" w:type="pct"/>
            <w:tcBorders>
              <w:top w:val="nil"/>
              <w:left w:val="nil"/>
              <w:bottom w:val="nil"/>
              <w:right w:val="nil"/>
            </w:tcBorders>
            <w:vAlign w:val="bottom"/>
          </w:tcPr>
          <w:p w14:paraId="0F814E6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6EA9279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tcPr>
          <w:p w14:paraId="6A60E72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tcPr>
          <w:p w14:paraId="2291BE6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tcPr>
          <w:p w14:paraId="4C4173F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0609C33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tcPr>
          <w:p w14:paraId="3F91CBB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6DA83298" w14:textId="77777777" w:rsidTr="008E4229">
        <w:trPr>
          <w:jc w:val="center"/>
        </w:trPr>
        <w:tc>
          <w:tcPr>
            <w:tcW w:w="1309" w:type="pct"/>
            <w:tcBorders>
              <w:top w:val="nil"/>
              <w:left w:val="nil"/>
              <w:bottom w:val="nil"/>
              <w:right w:val="nil"/>
            </w:tcBorders>
            <w:vAlign w:val="bottom"/>
          </w:tcPr>
          <w:p w14:paraId="009C2089" w14:textId="77777777" w:rsidR="0083434C" w:rsidRPr="00A50491" w:rsidRDefault="0083434C" w:rsidP="00083940">
            <w:pPr>
              <w:autoSpaceDE w:val="0"/>
              <w:autoSpaceDN w:val="0"/>
              <w:adjustRightInd w:val="0"/>
              <w:spacing w:before="80" w:after="0" w:line="220" w:lineRule="exact"/>
              <w:ind w:right="80"/>
              <w:rPr>
                <w:noProof/>
                <w:sz w:val="20"/>
              </w:rPr>
            </w:pPr>
            <w:r w:rsidRPr="00D861B9">
              <w:rPr>
                <w:noProof/>
                <w:sz w:val="20"/>
              </w:rPr>
              <w:t>Sats</w:t>
            </w:r>
            <w:r>
              <w:rPr>
                <w:rStyle w:val="skrift-hevet"/>
                <w:sz w:val="20"/>
              </w:rPr>
              <w:t>2</w:t>
            </w:r>
            <w:r w:rsidRPr="006944CC">
              <w:rPr>
                <w:rStyle w:val="skrift-hevet"/>
                <w:sz w:val="20"/>
                <w:vertAlign w:val="baseline"/>
              </w:rPr>
              <w:t>, pst.</w:t>
            </w:r>
          </w:p>
        </w:tc>
        <w:tc>
          <w:tcPr>
            <w:tcW w:w="511" w:type="pct"/>
            <w:tcBorders>
              <w:top w:val="nil"/>
              <w:left w:val="nil"/>
              <w:bottom w:val="nil"/>
              <w:right w:val="nil"/>
            </w:tcBorders>
            <w:vAlign w:val="bottom"/>
          </w:tcPr>
          <w:p w14:paraId="0098D1F5"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47" w:type="pct"/>
            <w:tcBorders>
              <w:top w:val="nil"/>
              <w:left w:val="nil"/>
              <w:bottom w:val="nil"/>
              <w:right w:val="nil"/>
            </w:tcBorders>
            <w:vAlign w:val="bottom"/>
          </w:tcPr>
          <w:p w14:paraId="01BB619A"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03" w:type="pct"/>
            <w:tcBorders>
              <w:top w:val="nil"/>
              <w:left w:val="nil"/>
              <w:bottom w:val="nil"/>
              <w:right w:val="nil"/>
            </w:tcBorders>
            <w:vAlign w:val="bottom"/>
          </w:tcPr>
          <w:p w14:paraId="0C9BF56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35" w:type="pct"/>
            <w:tcBorders>
              <w:top w:val="nil"/>
              <w:left w:val="nil"/>
              <w:bottom w:val="nil"/>
              <w:right w:val="nil"/>
            </w:tcBorders>
            <w:vAlign w:val="bottom"/>
          </w:tcPr>
          <w:p w14:paraId="562207D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33" w:type="pct"/>
            <w:tcBorders>
              <w:top w:val="nil"/>
              <w:left w:val="nil"/>
              <w:bottom w:val="nil"/>
              <w:right w:val="nil"/>
            </w:tcBorders>
            <w:vAlign w:val="bottom"/>
          </w:tcPr>
          <w:p w14:paraId="7293B64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14:paraId="27C4B1E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w:t>
            </w:r>
          </w:p>
        </w:tc>
        <w:tc>
          <w:tcPr>
            <w:tcW w:w="531" w:type="pct"/>
            <w:tcBorders>
              <w:top w:val="nil"/>
              <w:left w:val="nil"/>
              <w:bottom w:val="nil"/>
              <w:right w:val="nil"/>
            </w:tcBorders>
            <w:vAlign w:val="bottom"/>
          </w:tcPr>
          <w:p w14:paraId="3FE9211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10,7</w:t>
            </w:r>
          </w:p>
        </w:tc>
      </w:tr>
      <w:tr w:rsidR="0083434C" w:rsidRPr="00D861B9" w14:paraId="6166A37D" w14:textId="77777777" w:rsidTr="008E4229">
        <w:trPr>
          <w:jc w:val="center"/>
        </w:trPr>
        <w:tc>
          <w:tcPr>
            <w:tcW w:w="1309" w:type="pct"/>
            <w:tcBorders>
              <w:top w:val="nil"/>
              <w:left w:val="nil"/>
              <w:bottom w:val="nil"/>
              <w:right w:val="nil"/>
            </w:tcBorders>
            <w:vAlign w:val="bottom"/>
          </w:tcPr>
          <w:p w14:paraId="68A9E1FC"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14:paraId="584F689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456 400</w:t>
            </w:r>
          </w:p>
        </w:tc>
        <w:tc>
          <w:tcPr>
            <w:tcW w:w="547" w:type="pct"/>
            <w:tcBorders>
              <w:top w:val="nil"/>
              <w:left w:val="nil"/>
              <w:bottom w:val="nil"/>
              <w:right w:val="nil"/>
            </w:tcBorders>
            <w:vAlign w:val="bottom"/>
          </w:tcPr>
          <w:p w14:paraId="796D8110"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471 200</w:t>
            </w:r>
          </w:p>
        </w:tc>
        <w:tc>
          <w:tcPr>
            <w:tcW w:w="503" w:type="pct"/>
            <w:tcBorders>
              <w:top w:val="nil"/>
              <w:left w:val="nil"/>
              <w:bottom w:val="nil"/>
              <w:right w:val="nil"/>
            </w:tcBorders>
            <w:vAlign w:val="bottom"/>
          </w:tcPr>
          <w:p w14:paraId="78FD32D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490 000</w:t>
            </w:r>
          </w:p>
        </w:tc>
        <w:tc>
          <w:tcPr>
            <w:tcW w:w="535" w:type="pct"/>
            <w:tcBorders>
              <w:top w:val="nil"/>
              <w:left w:val="nil"/>
              <w:bottom w:val="nil"/>
              <w:right w:val="nil"/>
            </w:tcBorders>
            <w:vAlign w:val="bottom"/>
          </w:tcPr>
          <w:p w14:paraId="2493DE2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509 600</w:t>
            </w:r>
          </w:p>
        </w:tc>
        <w:tc>
          <w:tcPr>
            <w:tcW w:w="533" w:type="pct"/>
            <w:tcBorders>
              <w:top w:val="nil"/>
              <w:left w:val="nil"/>
              <w:bottom w:val="nil"/>
              <w:right w:val="nil"/>
            </w:tcBorders>
            <w:vAlign w:val="bottom"/>
          </w:tcPr>
          <w:p w14:paraId="57BDA69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527 400</w:t>
            </w:r>
          </w:p>
        </w:tc>
        <w:tc>
          <w:tcPr>
            <w:tcW w:w="531" w:type="pct"/>
            <w:tcBorders>
              <w:top w:val="nil"/>
              <w:left w:val="nil"/>
              <w:bottom w:val="nil"/>
              <w:right w:val="nil"/>
            </w:tcBorders>
            <w:vAlign w:val="bottom"/>
          </w:tcPr>
          <w:p w14:paraId="21AC48A5"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550 550</w:t>
            </w:r>
          </w:p>
        </w:tc>
        <w:tc>
          <w:tcPr>
            <w:tcW w:w="531" w:type="pct"/>
            <w:tcBorders>
              <w:top w:val="nil"/>
              <w:left w:val="nil"/>
              <w:bottom w:val="nil"/>
              <w:right w:val="nil"/>
            </w:tcBorders>
            <w:vAlign w:val="bottom"/>
          </w:tcPr>
          <w:p w14:paraId="696BA35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565 400</w:t>
            </w:r>
          </w:p>
        </w:tc>
      </w:tr>
      <w:tr w:rsidR="0083434C" w:rsidRPr="00D861B9" w14:paraId="5B511625" w14:textId="77777777" w:rsidTr="008E4229">
        <w:trPr>
          <w:jc w:val="center"/>
        </w:trPr>
        <w:tc>
          <w:tcPr>
            <w:tcW w:w="1309" w:type="pct"/>
            <w:tcBorders>
              <w:top w:val="nil"/>
              <w:left w:val="nil"/>
              <w:bottom w:val="nil"/>
              <w:right w:val="nil"/>
            </w:tcBorders>
            <w:vAlign w:val="bottom"/>
          </w:tcPr>
          <w:p w14:paraId="399ACC8D"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 xml:space="preserve">Trinn </w:t>
            </w:r>
            <w:r>
              <w:rPr>
                <w:noProof/>
                <w:sz w:val="20"/>
              </w:rPr>
              <w:t>4 (tidl trinn 2 i toppskatten)</w:t>
            </w:r>
          </w:p>
        </w:tc>
        <w:tc>
          <w:tcPr>
            <w:tcW w:w="511" w:type="pct"/>
            <w:tcBorders>
              <w:top w:val="nil"/>
              <w:left w:val="nil"/>
              <w:bottom w:val="nil"/>
              <w:right w:val="nil"/>
            </w:tcBorders>
            <w:vAlign w:val="bottom"/>
          </w:tcPr>
          <w:p w14:paraId="02A6046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603D2B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4BB679A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3266436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1835902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9E8F78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96D909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27AA5054" w14:textId="77777777" w:rsidTr="008E4229">
        <w:trPr>
          <w:jc w:val="center"/>
        </w:trPr>
        <w:tc>
          <w:tcPr>
            <w:tcW w:w="1309" w:type="pct"/>
            <w:tcBorders>
              <w:top w:val="nil"/>
              <w:left w:val="nil"/>
              <w:bottom w:val="nil"/>
              <w:right w:val="nil"/>
            </w:tcBorders>
            <w:vAlign w:val="bottom"/>
          </w:tcPr>
          <w:p w14:paraId="50CB7E1B" w14:textId="77777777" w:rsidR="0083434C" w:rsidRPr="00A50491" w:rsidRDefault="0083434C" w:rsidP="00083940">
            <w:pPr>
              <w:autoSpaceDE w:val="0"/>
              <w:autoSpaceDN w:val="0"/>
              <w:adjustRightInd w:val="0"/>
              <w:spacing w:before="80" w:after="0" w:line="220" w:lineRule="exact"/>
              <w:ind w:right="80"/>
              <w:rPr>
                <w:noProof/>
                <w:sz w:val="20"/>
              </w:rPr>
            </w:pPr>
            <w:r w:rsidRPr="00D861B9">
              <w:rPr>
                <w:noProof/>
                <w:sz w:val="20"/>
              </w:rPr>
              <w:t>Sats</w:t>
            </w:r>
            <w:r w:rsidRPr="006944CC">
              <w:rPr>
                <w:rStyle w:val="skrift-hevet"/>
                <w:sz w:val="20"/>
                <w:vertAlign w:val="baseline"/>
              </w:rPr>
              <w:t>, pst.</w:t>
            </w:r>
          </w:p>
        </w:tc>
        <w:tc>
          <w:tcPr>
            <w:tcW w:w="511" w:type="pct"/>
            <w:tcBorders>
              <w:top w:val="nil"/>
              <w:left w:val="nil"/>
              <w:bottom w:val="nil"/>
              <w:right w:val="nil"/>
            </w:tcBorders>
            <w:vAlign w:val="bottom"/>
          </w:tcPr>
          <w:p w14:paraId="29B1A48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47" w:type="pct"/>
            <w:tcBorders>
              <w:top w:val="nil"/>
              <w:left w:val="nil"/>
              <w:bottom w:val="nil"/>
              <w:right w:val="nil"/>
            </w:tcBorders>
            <w:vAlign w:val="bottom"/>
          </w:tcPr>
          <w:p w14:paraId="1F01BD4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03" w:type="pct"/>
            <w:tcBorders>
              <w:top w:val="nil"/>
              <w:left w:val="nil"/>
              <w:bottom w:val="nil"/>
              <w:right w:val="nil"/>
            </w:tcBorders>
            <w:vAlign w:val="bottom"/>
          </w:tcPr>
          <w:p w14:paraId="20C6949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35" w:type="pct"/>
            <w:tcBorders>
              <w:top w:val="nil"/>
              <w:left w:val="nil"/>
              <w:bottom w:val="nil"/>
              <w:right w:val="nil"/>
            </w:tcBorders>
            <w:vAlign w:val="bottom"/>
          </w:tcPr>
          <w:p w14:paraId="7D3F829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33" w:type="pct"/>
            <w:tcBorders>
              <w:top w:val="nil"/>
              <w:left w:val="nil"/>
              <w:bottom w:val="nil"/>
              <w:right w:val="nil"/>
            </w:tcBorders>
            <w:vAlign w:val="bottom"/>
          </w:tcPr>
          <w:p w14:paraId="08814F2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14:paraId="63C6F19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12,0</w:t>
            </w:r>
          </w:p>
        </w:tc>
        <w:tc>
          <w:tcPr>
            <w:tcW w:w="531" w:type="pct"/>
            <w:tcBorders>
              <w:top w:val="nil"/>
              <w:left w:val="nil"/>
              <w:bottom w:val="nil"/>
              <w:right w:val="nil"/>
            </w:tcBorders>
            <w:vAlign w:val="bottom"/>
          </w:tcPr>
          <w:p w14:paraId="622E5CC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13,7</w:t>
            </w:r>
          </w:p>
        </w:tc>
      </w:tr>
      <w:tr w:rsidR="0083434C" w:rsidRPr="00D861B9" w14:paraId="4D6D1994" w14:textId="77777777" w:rsidTr="008E4229">
        <w:trPr>
          <w:jc w:val="center"/>
        </w:trPr>
        <w:tc>
          <w:tcPr>
            <w:tcW w:w="1309" w:type="pct"/>
            <w:tcBorders>
              <w:top w:val="nil"/>
              <w:left w:val="nil"/>
              <w:bottom w:val="nil"/>
              <w:right w:val="nil"/>
            </w:tcBorders>
            <w:vAlign w:val="bottom"/>
          </w:tcPr>
          <w:p w14:paraId="4BD88107"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Innslagspunkt</w:t>
            </w:r>
          </w:p>
        </w:tc>
        <w:tc>
          <w:tcPr>
            <w:tcW w:w="511" w:type="pct"/>
            <w:tcBorders>
              <w:top w:val="nil"/>
              <w:left w:val="nil"/>
              <w:bottom w:val="nil"/>
              <w:right w:val="nil"/>
            </w:tcBorders>
            <w:vAlign w:val="bottom"/>
          </w:tcPr>
          <w:p w14:paraId="4BDAD391"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741 700</w:t>
            </w:r>
          </w:p>
        </w:tc>
        <w:tc>
          <w:tcPr>
            <w:tcW w:w="547" w:type="pct"/>
            <w:tcBorders>
              <w:top w:val="nil"/>
              <w:left w:val="nil"/>
              <w:bottom w:val="nil"/>
              <w:right w:val="nil"/>
            </w:tcBorders>
            <w:vAlign w:val="bottom"/>
          </w:tcPr>
          <w:p w14:paraId="24F33C5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765 800</w:t>
            </w:r>
          </w:p>
        </w:tc>
        <w:tc>
          <w:tcPr>
            <w:tcW w:w="503" w:type="pct"/>
            <w:tcBorders>
              <w:top w:val="nil"/>
              <w:left w:val="nil"/>
              <w:bottom w:val="nil"/>
              <w:right w:val="nil"/>
            </w:tcBorders>
            <w:vAlign w:val="bottom"/>
          </w:tcPr>
          <w:p w14:paraId="225EA73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796 400</w:t>
            </w:r>
          </w:p>
        </w:tc>
        <w:tc>
          <w:tcPr>
            <w:tcW w:w="535" w:type="pct"/>
            <w:tcBorders>
              <w:top w:val="nil"/>
              <w:left w:val="nil"/>
              <w:bottom w:val="nil"/>
              <w:right w:val="nil"/>
            </w:tcBorders>
            <w:vAlign w:val="bottom"/>
          </w:tcPr>
          <w:p w14:paraId="2441485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828 300</w:t>
            </w:r>
          </w:p>
        </w:tc>
        <w:tc>
          <w:tcPr>
            <w:tcW w:w="533" w:type="pct"/>
            <w:tcBorders>
              <w:top w:val="nil"/>
              <w:left w:val="nil"/>
              <w:bottom w:val="nil"/>
              <w:right w:val="nil"/>
            </w:tcBorders>
            <w:vAlign w:val="bottom"/>
          </w:tcPr>
          <w:p w14:paraId="777FF76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857 300</w:t>
            </w:r>
          </w:p>
        </w:tc>
        <w:tc>
          <w:tcPr>
            <w:tcW w:w="531" w:type="pct"/>
            <w:tcBorders>
              <w:top w:val="nil"/>
              <w:left w:val="nil"/>
              <w:bottom w:val="nil"/>
              <w:right w:val="nil"/>
            </w:tcBorders>
            <w:vAlign w:val="bottom"/>
          </w:tcPr>
          <w:p w14:paraId="03434287"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885 600</w:t>
            </w:r>
          </w:p>
        </w:tc>
        <w:tc>
          <w:tcPr>
            <w:tcW w:w="531" w:type="pct"/>
            <w:tcBorders>
              <w:top w:val="nil"/>
              <w:left w:val="nil"/>
              <w:bottom w:val="nil"/>
              <w:right w:val="nil"/>
            </w:tcBorders>
            <w:vAlign w:val="bottom"/>
          </w:tcPr>
          <w:p w14:paraId="465BDE5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909 500</w:t>
            </w:r>
          </w:p>
        </w:tc>
      </w:tr>
      <w:tr w:rsidR="0083434C" w:rsidRPr="00D861B9" w14:paraId="7738FF1A" w14:textId="77777777" w:rsidTr="008E4229">
        <w:trPr>
          <w:jc w:val="center"/>
        </w:trPr>
        <w:tc>
          <w:tcPr>
            <w:tcW w:w="1309" w:type="pct"/>
            <w:tcBorders>
              <w:top w:val="nil"/>
              <w:left w:val="nil"/>
              <w:bottom w:val="nil"/>
              <w:right w:val="nil"/>
            </w:tcBorders>
            <w:vAlign w:val="bottom"/>
          </w:tcPr>
          <w:p w14:paraId="6D7B242C"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Skatter på alminnelig inntekt</w:t>
            </w:r>
          </w:p>
        </w:tc>
        <w:tc>
          <w:tcPr>
            <w:tcW w:w="511" w:type="pct"/>
            <w:tcBorders>
              <w:top w:val="nil"/>
              <w:left w:val="nil"/>
              <w:bottom w:val="nil"/>
              <w:right w:val="nil"/>
            </w:tcBorders>
            <w:vAlign w:val="bottom"/>
          </w:tcPr>
          <w:p w14:paraId="28278AE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1009389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4CCD66F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EF4686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0155FA4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A6E6A5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8F2D74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696A8879" w14:textId="77777777" w:rsidTr="008E4229">
        <w:trPr>
          <w:jc w:val="center"/>
        </w:trPr>
        <w:tc>
          <w:tcPr>
            <w:tcW w:w="1309" w:type="pct"/>
            <w:tcBorders>
              <w:top w:val="nil"/>
              <w:left w:val="nil"/>
              <w:bottom w:val="nil"/>
              <w:right w:val="nil"/>
            </w:tcBorders>
            <w:vAlign w:val="bottom"/>
          </w:tcPr>
          <w:p w14:paraId="609F7983"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c</w:t>
            </w:r>
            <w:r>
              <w:rPr>
                <w:rStyle w:val="kursiv"/>
                <w:sz w:val="20"/>
              </w:rPr>
              <w:t>.</w:t>
            </w:r>
            <w:r w:rsidRPr="00D861B9">
              <w:rPr>
                <w:rStyle w:val="kursiv"/>
                <w:sz w:val="20"/>
              </w:rPr>
              <w:t xml:space="preserve"> Kommune, fylkes- og fellesskatt</w:t>
            </w:r>
          </w:p>
        </w:tc>
        <w:tc>
          <w:tcPr>
            <w:tcW w:w="511" w:type="pct"/>
            <w:tcBorders>
              <w:top w:val="nil"/>
              <w:left w:val="nil"/>
              <w:bottom w:val="nil"/>
              <w:right w:val="nil"/>
            </w:tcBorders>
            <w:vAlign w:val="bottom"/>
          </w:tcPr>
          <w:p w14:paraId="6105742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2946B72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18EDB7C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2B007E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662B6AF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2AB2E43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2BEACA9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4C6E013A" w14:textId="77777777" w:rsidTr="008E4229">
        <w:trPr>
          <w:jc w:val="center"/>
        </w:trPr>
        <w:tc>
          <w:tcPr>
            <w:tcW w:w="1309" w:type="pct"/>
            <w:tcBorders>
              <w:top w:val="nil"/>
              <w:left w:val="nil"/>
              <w:bottom w:val="nil"/>
              <w:right w:val="nil"/>
            </w:tcBorders>
            <w:vAlign w:val="bottom"/>
          </w:tcPr>
          <w:p w14:paraId="37027BB3"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Finnmark og Nord- Troms</w:t>
            </w:r>
            <w:r>
              <w:rPr>
                <w:noProof/>
                <w:sz w:val="20"/>
              </w:rPr>
              <w:t>, pst.</w:t>
            </w:r>
          </w:p>
        </w:tc>
        <w:tc>
          <w:tcPr>
            <w:tcW w:w="511" w:type="pct"/>
            <w:tcBorders>
              <w:top w:val="nil"/>
              <w:left w:val="nil"/>
              <w:bottom w:val="nil"/>
              <w:right w:val="nil"/>
            </w:tcBorders>
            <w:vAlign w:val="bottom"/>
          </w:tcPr>
          <w:p w14:paraId="75505186"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24,5</w:t>
            </w:r>
          </w:p>
        </w:tc>
        <w:tc>
          <w:tcPr>
            <w:tcW w:w="547" w:type="pct"/>
            <w:tcBorders>
              <w:top w:val="nil"/>
              <w:left w:val="nil"/>
              <w:bottom w:val="nil"/>
              <w:right w:val="nil"/>
            </w:tcBorders>
            <w:vAlign w:val="bottom"/>
          </w:tcPr>
          <w:p w14:paraId="2554772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24,5</w:t>
            </w:r>
          </w:p>
        </w:tc>
        <w:tc>
          <w:tcPr>
            <w:tcW w:w="503" w:type="pct"/>
            <w:tcBorders>
              <w:top w:val="nil"/>
              <w:left w:val="nil"/>
              <w:bottom w:val="nil"/>
              <w:right w:val="nil"/>
            </w:tcBorders>
            <w:vAlign w:val="bottom"/>
          </w:tcPr>
          <w:p w14:paraId="346C7F45"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24,5</w:t>
            </w:r>
          </w:p>
        </w:tc>
        <w:tc>
          <w:tcPr>
            <w:tcW w:w="535" w:type="pct"/>
            <w:tcBorders>
              <w:top w:val="nil"/>
              <w:left w:val="nil"/>
              <w:bottom w:val="nil"/>
              <w:right w:val="nil"/>
            </w:tcBorders>
            <w:vAlign w:val="bottom"/>
          </w:tcPr>
          <w:p w14:paraId="415B3AF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24,5</w:t>
            </w:r>
          </w:p>
        </w:tc>
        <w:tc>
          <w:tcPr>
            <w:tcW w:w="533" w:type="pct"/>
            <w:tcBorders>
              <w:top w:val="nil"/>
              <w:left w:val="nil"/>
              <w:bottom w:val="nil"/>
              <w:right w:val="nil"/>
            </w:tcBorders>
            <w:vAlign w:val="bottom"/>
          </w:tcPr>
          <w:p w14:paraId="63F1880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23,5</w:t>
            </w:r>
          </w:p>
        </w:tc>
        <w:tc>
          <w:tcPr>
            <w:tcW w:w="531" w:type="pct"/>
            <w:tcBorders>
              <w:top w:val="nil"/>
              <w:left w:val="nil"/>
              <w:bottom w:val="nil"/>
              <w:right w:val="nil"/>
            </w:tcBorders>
            <w:vAlign w:val="bottom"/>
          </w:tcPr>
          <w:p w14:paraId="43FBF87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23,5</w:t>
            </w:r>
          </w:p>
        </w:tc>
        <w:tc>
          <w:tcPr>
            <w:tcW w:w="531" w:type="pct"/>
            <w:tcBorders>
              <w:top w:val="nil"/>
              <w:left w:val="nil"/>
              <w:bottom w:val="nil"/>
              <w:right w:val="nil"/>
            </w:tcBorders>
            <w:vAlign w:val="bottom"/>
          </w:tcPr>
          <w:p w14:paraId="3476CB9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21,5</w:t>
            </w:r>
          </w:p>
        </w:tc>
      </w:tr>
      <w:tr w:rsidR="0083434C" w:rsidRPr="00D861B9" w14:paraId="3F4736C2" w14:textId="77777777" w:rsidTr="008E4229">
        <w:trPr>
          <w:jc w:val="center"/>
        </w:trPr>
        <w:tc>
          <w:tcPr>
            <w:tcW w:w="1309" w:type="pct"/>
            <w:tcBorders>
              <w:top w:val="nil"/>
              <w:left w:val="nil"/>
              <w:bottom w:val="nil"/>
              <w:right w:val="nil"/>
            </w:tcBorders>
            <w:vAlign w:val="bottom"/>
          </w:tcPr>
          <w:p w14:paraId="3331FAF1"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Landet ellers</w:t>
            </w:r>
            <w:r>
              <w:rPr>
                <w:noProof/>
                <w:sz w:val="20"/>
              </w:rPr>
              <w:t>, pst.</w:t>
            </w:r>
          </w:p>
        </w:tc>
        <w:tc>
          <w:tcPr>
            <w:tcW w:w="511" w:type="pct"/>
            <w:tcBorders>
              <w:top w:val="nil"/>
              <w:left w:val="nil"/>
              <w:bottom w:val="nil"/>
              <w:right w:val="nil"/>
            </w:tcBorders>
            <w:vAlign w:val="bottom"/>
          </w:tcPr>
          <w:p w14:paraId="1F74C67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28,0</w:t>
            </w:r>
          </w:p>
        </w:tc>
        <w:tc>
          <w:tcPr>
            <w:tcW w:w="547" w:type="pct"/>
            <w:tcBorders>
              <w:top w:val="nil"/>
              <w:left w:val="nil"/>
              <w:bottom w:val="nil"/>
              <w:right w:val="nil"/>
            </w:tcBorders>
            <w:vAlign w:val="bottom"/>
          </w:tcPr>
          <w:p w14:paraId="5DEEB80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28,0</w:t>
            </w:r>
          </w:p>
        </w:tc>
        <w:tc>
          <w:tcPr>
            <w:tcW w:w="503" w:type="pct"/>
            <w:tcBorders>
              <w:top w:val="nil"/>
              <w:left w:val="nil"/>
              <w:bottom w:val="nil"/>
              <w:right w:val="nil"/>
            </w:tcBorders>
            <w:vAlign w:val="bottom"/>
          </w:tcPr>
          <w:p w14:paraId="2A175EA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28,0</w:t>
            </w:r>
          </w:p>
        </w:tc>
        <w:tc>
          <w:tcPr>
            <w:tcW w:w="535" w:type="pct"/>
            <w:tcBorders>
              <w:top w:val="nil"/>
              <w:left w:val="nil"/>
              <w:bottom w:val="nil"/>
              <w:right w:val="nil"/>
            </w:tcBorders>
            <w:vAlign w:val="bottom"/>
          </w:tcPr>
          <w:p w14:paraId="5D9712A5"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28,0</w:t>
            </w:r>
          </w:p>
        </w:tc>
        <w:tc>
          <w:tcPr>
            <w:tcW w:w="533" w:type="pct"/>
            <w:tcBorders>
              <w:top w:val="nil"/>
              <w:left w:val="nil"/>
              <w:bottom w:val="nil"/>
              <w:right w:val="nil"/>
            </w:tcBorders>
            <w:vAlign w:val="bottom"/>
          </w:tcPr>
          <w:p w14:paraId="07B325F4"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27,0</w:t>
            </w:r>
          </w:p>
        </w:tc>
        <w:tc>
          <w:tcPr>
            <w:tcW w:w="531" w:type="pct"/>
            <w:tcBorders>
              <w:top w:val="nil"/>
              <w:left w:val="nil"/>
              <w:bottom w:val="nil"/>
              <w:right w:val="nil"/>
            </w:tcBorders>
            <w:vAlign w:val="bottom"/>
          </w:tcPr>
          <w:p w14:paraId="7EC3A53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27,0</w:t>
            </w:r>
          </w:p>
        </w:tc>
        <w:tc>
          <w:tcPr>
            <w:tcW w:w="531" w:type="pct"/>
            <w:tcBorders>
              <w:top w:val="nil"/>
              <w:left w:val="nil"/>
              <w:bottom w:val="nil"/>
              <w:right w:val="nil"/>
            </w:tcBorders>
            <w:vAlign w:val="bottom"/>
          </w:tcPr>
          <w:p w14:paraId="32A6ACF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25,0</w:t>
            </w:r>
          </w:p>
        </w:tc>
      </w:tr>
      <w:tr w:rsidR="0083434C" w:rsidRPr="00D861B9" w14:paraId="5FFA9C73" w14:textId="77777777" w:rsidTr="008E4229">
        <w:trPr>
          <w:jc w:val="center"/>
        </w:trPr>
        <w:tc>
          <w:tcPr>
            <w:tcW w:w="1309" w:type="pct"/>
            <w:tcBorders>
              <w:top w:val="nil"/>
              <w:left w:val="nil"/>
              <w:bottom w:val="nil"/>
              <w:right w:val="nil"/>
            </w:tcBorders>
            <w:vAlign w:val="bottom"/>
          </w:tcPr>
          <w:p w14:paraId="2A0C89F1"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d</w:t>
            </w:r>
            <w:r>
              <w:rPr>
                <w:rStyle w:val="kursiv"/>
                <w:sz w:val="20"/>
              </w:rPr>
              <w:t>.</w:t>
            </w:r>
            <w:r w:rsidRPr="00D861B9">
              <w:rPr>
                <w:rStyle w:val="kursiv"/>
                <w:sz w:val="20"/>
              </w:rPr>
              <w:t xml:space="preserve"> Maksimale marginale skattesatser</w:t>
            </w:r>
          </w:p>
        </w:tc>
        <w:tc>
          <w:tcPr>
            <w:tcW w:w="511" w:type="pct"/>
            <w:tcBorders>
              <w:top w:val="nil"/>
              <w:left w:val="nil"/>
              <w:bottom w:val="nil"/>
              <w:right w:val="nil"/>
            </w:tcBorders>
            <w:vAlign w:val="bottom"/>
          </w:tcPr>
          <w:p w14:paraId="3E14B7B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BD9E20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30C0A62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69B39CF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2A9A2F7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781B996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5D8246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52CA739" w14:textId="77777777" w:rsidTr="008E4229">
        <w:trPr>
          <w:jc w:val="center"/>
        </w:trPr>
        <w:tc>
          <w:tcPr>
            <w:tcW w:w="1309" w:type="pct"/>
            <w:tcBorders>
              <w:top w:val="nil"/>
              <w:left w:val="nil"/>
              <w:bottom w:val="nil"/>
              <w:right w:val="nil"/>
            </w:tcBorders>
            <w:vAlign w:val="bottom"/>
          </w:tcPr>
          <w:p w14:paraId="2C50D7B9"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L</w:t>
            </w:r>
            <w:r w:rsidRPr="00D861B9">
              <w:rPr>
                <w:noProof/>
                <w:sz w:val="20"/>
              </w:rPr>
              <w:t>ønn</w:t>
            </w:r>
            <w:r>
              <w:rPr>
                <w:noProof/>
                <w:sz w:val="20"/>
              </w:rPr>
              <w:t>sinntekt</w:t>
            </w:r>
            <w:r w:rsidRPr="00D861B9">
              <w:rPr>
                <w:noProof/>
                <w:sz w:val="20"/>
              </w:rPr>
              <w:t xml:space="preserve"> </w:t>
            </w:r>
            <w:r>
              <w:rPr>
                <w:noProof/>
                <w:sz w:val="20"/>
              </w:rPr>
              <w:t>(ekskl. arbeidsgiveravgift), pst.</w:t>
            </w:r>
          </w:p>
        </w:tc>
        <w:tc>
          <w:tcPr>
            <w:tcW w:w="511" w:type="pct"/>
            <w:tcBorders>
              <w:top w:val="nil"/>
              <w:left w:val="nil"/>
              <w:bottom w:val="nil"/>
              <w:right w:val="nil"/>
            </w:tcBorders>
            <w:vAlign w:val="bottom"/>
          </w:tcPr>
          <w:p w14:paraId="347095E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47" w:type="pct"/>
            <w:tcBorders>
              <w:top w:val="nil"/>
              <w:left w:val="nil"/>
              <w:bottom w:val="nil"/>
              <w:right w:val="nil"/>
            </w:tcBorders>
            <w:vAlign w:val="bottom"/>
          </w:tcPr>
          <w:p w14:paraId="5E343DA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03" w:type="pct"/>
            <w:tcBorders>
              <w:top w:val="nil"/>
              <w:left w:val="nil"/>
              <w:bottom w:val="nil"/>
              <w:right w:val="nil"/>
            </w:tcBorders>
            <w:vAlign w:val="bottom"/>
          </w:tcPr>
          <w:p w14:paraId="152EDF81"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35" w:type="pct"/>
            <w:tcBorders>
              <w:top w:val="nil"/>
              <w:left w:val="nil"/>
              <w:bottom w:val="nil"/>
              <w:right w:val="nil"/>
            </w:tcBorders>
            <w:vAlign w:val="bottom"/>
          </w:tcPr>
          <w:p w14:paraId="4241208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33" w:type="pct"/>
            <w:tcBorders>
              <w:top w:val="nil"/>
              <w:left w:val="nil"/>
              <w:bottom w:val="nil"/>
              <w:right w:val="nil"/>
            </w:tcBorders>
            <w:vAlign w:val="bottom"/>
          </w:tcPr>
          <w:p w14:paraId="578A55AD"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47,2</w:t>
            </w:r>
          </w:p>
        </w:tc>
        <w:tc>
          <w:tcPr>
            <w:tcW w:w="531" w:type="pct"/>
            <w:tcBorders>
              <w:top w:val="nil"/>
              <w:left w:val="nil"/>
              <w:bottom w:val="nil"/>
              <w:right w:val="nil"/>
            </w:tcBorders>
            <w:vAlign w:val="bottom"/>
          </w:tcPr>
          <w:p w14:paraId="7105BE3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47,2</w:t>
            </w:r>
          </w:p>
        </w:tc>
        <w:tc>
          <w:tcPr>
            <w:tcW w:w="531" w:type="pct"/>
            <w:tcBorders>
              <w:top w:val="nil"/>
              <w:left w:val="nil"/>
              <w:bottom w:val="nil"/>
              <w:right w:val="nil"/>
            </w:tcBorders>
            <w:vAlign w:val="bottom"/>
          </w:tcPr>
          <w:p w14:paraId="046015B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46,9</w:t>
            </w:r>
          </w:p>
        </w:tc>
      </w:tr>
      <w:tr w:rsidR="0083434C" w:rsidRPr="00D861B9" w14:paraId="0FC2F9FB" w14:textId="77777777" w:rsidTr="008E4229">
        <w:trPr>
          <w:jc w:val="center"/>
        </w:trPr>
        <w:tc>
          <w:tcPr>
            <w:tcW w:w="1309" w:type="pct"/>
            <w:tcBorders>
              <w:top w:val="nil"/>
              <w:left w:val="nil"/>
              <w:bottom w:val="nil"/>
              <w:right w:val="nil"/>
            </w:tcBorders>
            <w:vAlign w:val="bottom"/>
          </w:tcPr>
          <w:p w14:paraId="4D182EF1" w14:textId="77777777" w:rsidR="0083434C" w:rsidRPr="001E57DB" w:rsidRDefault="0083434C" w:rsidP="00083940">
            <w:pPr>
              <w:autoSpaceDE w:val="0"/>
              <w:autoSpaceDN w:val="0"/>
              <w:adjustRightInd w:val="0"/>
              <w:spacing w:before="80" w:after="0" w:line="220" w:lineRule="exact"/>
              <w:ind w:right="80"/>
              <w:rPr>
                <w:noProof/>
                <w:sz w:val="20"/>
              </w:rPr>
            </w:pPr>
            <w:r>
              <w:rPr>
                <w:noProof/>
                <w:sz w:val="20"/>
              </w:rPr>
              <w:t>Primær</w:t>
            </w:r>
            <w:r w:rsidRPr="00D861B9">
              <w:rPr>
                <w:noProof/>
                <w:sz w:val="20"/>
              </w:rPr>
              <w:t>nærings</w:t>
            </w:r>
            <w:r>
              <w:rPr>
                <w:noProof/>
                <w:sz w:val="20"/>
              </w:rPr>
              <w:t>inntekt</w:t>
            </w:r>
            <w:r>
              <w:rPr>
                <w:noProof/>
                <w:sz w:val="20"/>
                <w:vertAlign w:val="superscript"/>
              </w:rPr>
              <w:t>1</w:t>
            </w:r>
            <w:r>
              <w:rPr>
                <w:noProof/>
                <w:sz w:val="20"/>
              </w:rPr>
              <w:t>, pst.</w:t>
            </w:r>
          </w:p>
        </w:tc>
        <w:tc>
          <w:tcPr>
            <w:tcW w:w="511" w:type="pct"/>
            <w:tcBorders>
              <w:top w:val="nil"/>
              <w:left w:val="nil"/>
              <w:bottom w:val="nil"/>
              <w:right w:val="nil"/>
            </w:tcBorders>
            <w:vAlign w:val="bottom"/>
          </w:tcPr>
          <w:p w14:paraId="33CDA97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47" w:type="pct"/>
            <w:tcBorders>
              <w:top w:val="nil"/>
              <w:left w:val="nil"/>
              <w:bottom w:val="nil"/>
              <w:right w:val="nil"/>
            </w:tcBorders>
            <w:vAlign w:val="bottom"/>
          </w:tcPr>
          <w:p w14:paraId="73EC2DB9"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47,8</w:t>
            </w:r>
          </w:p>
        </w:tc>
        <w:tc>
          <w:tcPr>
            <w:tcW w:w="503" w:type="pct"/>
            <w:tcBorders>
              <w:top w:val="nil"/>
              <w:left w:val="nil"/>
              <w:bottom w:val="nil"/>
              <w:right w:val="nil"/>
            </w:tcBorders>
            <w:vAlign w:val="bottom"/>
          </w:tcPr>
          <w:p w14:paraId="46A3021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51,0</w:t>
            </w:r>
          </w:p>
        </w:tc>
        <w:tc>
          <w:tcPr>
            <w:tcW w:w="535" w:type="pct"/>
            <w:tcBorders>
              <w:top w:val="nil"/>
              <w:left w:val="nil"/>
              <w:bottom w:val="nil"/>
              <w:right w:val="nil"/>
            </w:tcBorders>
            <w:vAlign w:val="bottom"/>
          </w:tcPr>
          <w:p w14:paraId="76937415"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51,0</w:t>
            </w:r>
          </w:p>
        </w:tc>
        <w:tc>
          <w:tcPr>
            <w:tcW w:w="533" w:type="pct"/>
            <w:tcBorders>
              <w:top w:val="nil"/>
              <w:left w:val="nil"/>
              <w:bottom w:val="nil"/>
              <w:right w:val="nil"/>
            </w:tcBorders>
            <w:vAlign w:val="bottom"/>
          </w:tcPr>
          <w:p w14:paraId="11D93A06"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50,4</w:t>
            </w:r>
          </w:p>
        </w:tc>
        <w:tc>
          <w:tcPr>
            <w:tcW w:w="531" w:type="pct"/>
            <w:tcBorders>
              <w:top w:val="nil"/>
              <w:left w:val="nil"/>
              <w:bottom w:val="nil"/>
              <w:right w:val="nil"/>
            </w:tcBorders>
            <w:vAlign w:val="bottom"/>
          </w:tcPr>
          <w:p w14:paraId="5593BD5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50,4</w:t>
            </w:r>
          </w:p>
        </w:tc>
        <w:tc>
          <w:tcPr>
            <w:tcW w:w="531" w:type="pct"/>
            <w:tcBorders>
              <w:top w:val="nil"/>
              <w:left w:val="nil"/>
              <w:bottom w:val="nil"/>
              <w:right w:val="nil"/>
            </w:tcBorders>
            <w:vAlign w:val="bottom"/>
          </w:tcPr>
          <w:p w14:paraId="1FD37F2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50,1</w:t>
            </w:r>
          </w:p>
        </w:tc>
      </w:tr>
      <w:tr w:rsidR="0083434C" w:rsidRPr="00D861B9" w14:paraId="7FE79181" w14:textId="77777777" w:rsidTr="008E4229">
        <w:trPr>
          <w:jc w:val="center"/>
        </w:trPr>
        <w:tc>
          <w:tcPr>
            <w:tcW w:w="1309" w:type="pct"/>
            <w:tcBorders>
              <w:top w:val="nil"/>
              <w:left w:val="nil"/>
              <w:bottom w:val="nil"/>
              <w:right w:val="nil"/>
            </w:tcBorders>
            <w:vAlign w:val="bottom"/>
          </w:tcPr>
          <w:p w14:paraId="45FCC5BC"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A</w:t>
            </w:r>
            <w:r w:rsidRPr="00D861B9">
              <w:rPr>
                <w:noProof/>
                <w:sz w:val="20"/>
              </w:rPr>
              <w:t>nnen nærings</w:t>
            </w:r>
            <w:r>
              <w:rPr>
                <w:noProof/>
                <w:sz w:val="20"/>
              </w:rPr>
              <w:t>inntekt, pst.</w:t>
            </w:r>
          </w:p>
        </w:tc>
        <w:tc>
          <w:tcPr>
            <w:tcW w:w="511" w:type="pct"/>
            <w:tcBorders>
              <w:top w:val="nil"/>
              <w:left w:val="nil"/>
              <w:bottom w:val="nil"/>
              <w:right w:val="nil"/>
            </w:tcBorders>
            <w:vAlign w:val="bottom"/>
          </w:tcPr>
          <w:p w14:paraId="0D3A95F1" w14:textId="77777777" w:rsidR="0083434C" w:rsidRPr="00D861B9" w:rsidRDefault="0083434C" w:rsidP="00083940">
            <w:pPr>
              <w:autoSpaceDE w:val="0"/>
              <w:autoSpaceDN w:val="0"/>
              <w:adjustRightInd w:val="0"/>
              <w:spacing w:before="80" w:after="0" w:line="220" w:lineRule="exact"/>
              <w:ind w:right="80"/>
              <w:jc w:val="right"/>
              <w:rPr>
                <w:noProof/>
                <w:sz w:val="20"/>
              </w:rPr>
            </w:pPr>
            <w:r>
              <w:rPr>
                <w:noProof/>
                <w:sz w:val="20"/>
              </w:rPr>
              <w:t>51,0</w:t>
            </w:r>
          </w:p>
        </w:tc>
        <w:tc>
          <w:tcPr>
            <w:tcW w:w="547" w:type="pct"/>
            <w:tcBorders>
              <w:top w:val="nil"/>
              <w:left w:val="nil"/>
              <w:bottom w:val="nil"/>
              <w:right w:val="nil"/>
            </w:tcBorders>
            <w:vAlign w:val="bottom"/>
          </w:tcPr>
          <w:p w14:paraId="1B96ED75" w14:textId="77777777" w:rsidR="0083434C" w:rsidRPr="00D861B9" w:rsidRDefault="0083434C" w:rsidP="00083940">
            <w:pPr>
              <w:autoSpaceDE w:val="0"/>
              <w:autoSpaceDN w:val="0"/>
              <w:adjustRightInd w:val="0"/>
              <w:spacing w:before="80" w:after="0" w:line="220" w:lineRule="exact"/>
              <w:ind w:right="80"/>
              <w:jc w:val="right"/>
              <w:rPr>
                <w:noProof/>
                <w:sz w:val="20"/>
              </w:rPr>
            </w:pPr>
            <w:r>
              <w:rPr>
                <w:noProof/>
                <w:sz w:val="20"/>
              </w:rPr>
              <w:t>51,0</w:t>
            </w:r>
          </w:p>
        </w:tc>
        <w:tc>
          <w:tcPr>
            <w:tcW w:w="503" w:type="pct"/>
            <w:tcBorders>
              <w:top w:val="nil"/>
              <w:left w:val="nil"/>
              <w:bottom w:val="nil"/>
              <w:right w:val="nil"/>
            </w:tcBorders>
            <w:vAlign w:val="bottom"/>
          </w:tcPr>
          <w:p w14:paraId="0820701B" w14:textId="77777777" w:rsidR="0083434C" w:rsidRPr="00D861B9" w:rsidRDefault="0083434C" w:rsidP="00083940">
            <w:pPr>
              <w:autoSpaceDE w:val="0"/>
              <w:autoSpaceDN w:val="0"/>
              <w:adjustRightInd w:val="0"/>
              <w:spacing w:before="80" w:after="0" w:line="220" w:lineRule="exact"/>
              <w:ind w:right="80"/>
              <w:jc w:val="right"/>
              <w:rPr>
                <w:noProof/>
                <w:sz w:val="20"/>
              </w:rPr>
            </w:pPr>
            <w:r>
              <w:rPr>
                <w:noProof/>
                <w:sz w:val="20"/>
              </w:rPr>
              <w:t>51,0</w:t>
            </w:r>
          </w:p>
        </w:tc>
        <w:tc>
          <w:tcPr>
            <w:tcW w:w="535" w:type="pct"/>
            <w:tcBorders>
              <w:top w:val="nil"/>
              <w:left w:val="nil"/>
              <w:bottom w:val="nil"/>
              <w:right w:val="nil"/>
            </w:tcBorders>
            <w:vAlign w:val="bottom"/>
          </w:tcPr>
          <w:p w14:paraId="5F79840A" w14:textId="77777777" w:rsidR="0083434C" w:rsidRPr="00D861B9" w:rsidRDefault="0083434C" w:rsidP="00083940">
            <w:pPr>
              <w:autoSpaceDE w:val="0"/>
              <w:autoSpaceDN w:val="0"/>
              <w:adjustRightInd w:val="0"/>
              <w:spacing w:before="80" w:after="0" w:line="220" w:lineRule="exact"/>
              <w:ind w:right="80"/>
              <w:jc w:val="right"/>
              <w:rPr>
                <w:noProof/>
                <w:sz w:val="20"/>
              </w:rPr>
            </w:pPr>
            <w:r>
              <w:rPr>
                <w:noProof/>
                <w:sz w:val="20"/>
              </w:rPr>
              <w:t>51,0</w:t>
            </w:r>
          </w:p>
        </w:tc>
        <w:tc>
          <w:tcPr>
            <w:tcW w:w="533" w:type="pct"/>
            <w:tcBorders>
              <w:top w:val="nil"/>
              <w:left w:val="nil"/>
              <w:bottom w:val="nil"/>
              <w:right w:val="nil"/>
            </w:tcBorders>
            <w:vAlign w:val="bottom"/>
          </w:tcPr>
          <w:p w14:paraId="53CB515E" w14:textId="77777777" w:rsidR="0083434C" w:rsidRPr="00D861B9" w:rsidRDefault="0083434C" w:rsidP="00083940">
            <w:pPr>
              <w:autoSpaceDE w:val="0"/>
              <w:autoSpaceDN w:val="0"/>
              <w:adjustRightInd w:val="0"/>
              <w:spacing w:before="80" w:after="0" w:line="220" w:lineRule="exact"/>
              <w:ind w:right="80"/>
              <w:jc w:val="right"/>
              <w:rPr>
                <w:noProof/>
                <w:sz w:val="20"/>
              </w:rPr>
            </w:pPr>
            <w:r>
              <w:rPr>
                <w:noProof/>
                <w:sz w:val="20"/>
              </w:rPr>
              <w:t>50,4</w:t>
            </w:r>
          </w:p>
        </w:tc>
        <w:tc>
          <w:tcPr>
            <w:tcW w:w="531" w:type="pct"/>
            <w:tcBorders>
              <w:top w:val="nil"/>
              <w:left w:val="nil"/>
              <w:bottom w:val="nil"/>
              <w:right w:val="nil"/>
            </w:tcBorders>
            <w:vAlign w:val="bottom"/>
          </w:tcPr>
          <w:p w14:paraId="39FD65E8" w14:textId="77777777" w:rsidR="0083434C" w:rsidRDefault="0083434C" w:rsidP="00083940">
            <w:pPr>
              <w:autoSpaceDE w:val="0"/>
              <w:autoSpaceDN w:val="0"/>
              <w:adjustRightInd w:val="0"/>
              <w:spacing w:before="80" w:after="0" w:line="220" w:lineRule="exact"/>
              <w:ind w:right="80"/>
              <w:jc w:val="right"/>
              <w:rPr>
                <w:noProof/>
                <w:sz w:val="20"/>
              </w:rPr>
            </w:pPr>
            <w:r>
              <w:rPr>
                <w:noProof/>
                <w:sz w:val="20"/>
              </w:rPr>
              <w:t>50,4</w:t>
            </w:r>
          </w:p>
        </w:tc>
        <w:tc>
          <w:tcPr>
            <w:tcW w:w="531" w:type="pct"/>
            <w:tcBorders>
              <w:top w:val="nil"/>
              <w:left w:val="nil"/>
              <w:bottom w:val="nil"/>
              <w:right w:val="nil"/>
            </w:tcBorders>
            <w:vAlign w:val="bottom"/>
          </w:tcPr>
          <w:p w14:paraId="493B3831" w14:textId="77777777" w:rsidR="0083434C" w:rsidRDefault="0083434C" w:rsidP="00083940">
            <w:pPr>
              <w:autoSpaceDE w:val="0"/>
              <w:autoSpaceDN w:val="0"/>
              <w:adjustRightInd w:val="0"/>
              <w:spacing w:before="80" w:after="0" w:line="220" w:lineRule="exact"/>
              <w:ind w:right="80"/>
              <w:jc w:val="right"/>
              <w:rPr>
                <w:noProof/>
                <w:sz w:val="20"/>
              </w:rPr>
            </w:pPr>
            <w:r>
              <w:rPr>
                <w:noProof/>
                <w:sz w:val="20"/>
              </w:rPr>
              <w:t>50,1</w:t>
            </w:r>
          </w:p>
        </w:tc>
      </w:tr>
      <w:tr w:rsidR="0083434C" w:rsidRPr="00D861B9" w14:paraId="403D404A" w14:textId="77777777" w:rsidTr="008E4229">
        <w:trPr>
          <w:jc w:val="center"/>
        </w:trPr>
        <w:tc>
          <w:tcPr>
            <w:tcW w:w="1309" w:type="pct"/>
            <w:tcBorders>
              <w:top w:val="nil"/>
              <w:left w:val="nil"/>
              <w:bottom w:val="nil"/>
              <w:right w:val="nil"/>
            </w:tcBorders>
            <w:vAlign w:val="bottom"/>
          </w:tcPr>
          <w:p w14:paraId="71C5FCAB"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Standardfradrag mv.</w:t>
            </w:r>
          </w:p>
        </w:tc>
        <w:tc>
          <w:tcPr>
            <w:tcW w:w="511" w:type="pct"/>
            <w:tcBorders>
              <w:top w:val="nil"/>
              <w:left w:val="nil"/>
              <w:bottom w:val="nil"/>
              <w:right w:val="nil"/>
            </w:tcBorders>
            <w:vAlign w:val="bottom"/>
          </w:tcPr>
          <w:p w14:paraId="537B213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5B6D10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417E491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24C6FD1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00E8B10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79DD1B0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3263F86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2D6490B9" w14:textId="77777777" w:rsidTr="008E4229">
        <w:trPr>
          <w:jc w:val="center"/>
        </w:trPr>
        <w:tc>
          <w:tcPr>
            <w:tcW w:w="1309" w:type="pct"/>
            <w:tcBorders>
              <w:top w:val="nil"/>
              <w:left w:val="nil"/>
              <w:bottom w:val="nil"/>
              <w:right w:val="nil"/>
            </w:tcBorders>
            <w:vAlign w:val="bottom"/>
          </w:tcPr>
          <w:p w14:paraId="08D82B8E"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e</w:t>
            </w:r>
            <w:r>
              <w:rPr>
                <w:rStyle w:val="kursiv"/>
                <w:sz w:val="20"/>
              </w:rPr>
              <w:t>.</w:t>
            </w:r>
            <w:r w:rsidRPr="00D861B9">
              <w:rPr>
                <w:rStyle w:val="kursiv"/>
                <w:sz w:val="20"/>
              </w:rPr>
              <w:t xml:space="preserve"> </w:t>
            </w:r>
            <w:r>
              <w:rPr>
                <w:rStyle w:val="kursiv"/>
                <w:sz w:val="20"/>
              </w:rPr>
              <w:t>Person</w:t>
            </w:r>
            <w:r w:rsidRPr="00D861B9">
              <w:rPr>
                <w:rStyle w:val="kursiv"/>
                <w:sz w:val="20"/>
              </w:rPr>
              <w:t>fradrag</w:t>
            </w:r>
          </w:p>
        </w:tc>
        <w:tc>
          <w:tcPr>
            <w:tcW w:w="511" w:type="pct"/>
            <w:tcBorders>
              <w:top w:val="nil"/>
              <w:left w:val="nil"/>
              <w:bottom w:val="nil"/>
              <w:right w:val="nil"/>
            </w:tcBorders>
            <w:vAlign w:val="bottom"/>
          </w:tcPr>
          <w:p w14:paraId="680BA3C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2197D8A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5960193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56B4784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6476E3B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400B4FA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0CFBA7E4"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2695C2D4" w14:textId="77777777" w:rsidTr="008E4229">
        <w:trPr>
          <w:jc w:val="center"/>
        </w:trPr>
        <w:tc>
          <w:tcPr>
            <w:tcW w:w="1309" w:type="pct"/>
            <w:tcBorders>
              <w:top w:val="nil"/>
              <w:left w:val="nil"/>
              <w:bottom w:val="nil"/>
              <w:right w:val="nil"/>
            </w:tcBorders>
            <w:vAlign w:val="bottom"/>
          </w:tcPr>
          <w:p w14:paraId="0610DA35"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Klasse 1</w:t>
            </w:r>
            <w:r>
              <w:rPr>
                <w:noProof/>
                <w:sz w:val="20"/>
              </w:rPr>
              <w:t>, kr</w:t>
            </w:r>
          </w:p>
        </w:tc>
        <w:tc>
          <w:tcPr>
            <w:tcW w:w="511" w:type="pct"/>
            <w:tcBorders>
              <w:top w:val="nil"/>
              <w:left w:val="nil"/>
              <w:bottom w:val="nil"/>
              <w:right w:val="nil"/>
            </w:tcBorders>
            <w:vAlign w:val="bottom"/>
          </w:tcPr>
          <w:p w14:paraId="4F8FE44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42 210</w:t>
            </w:r>
          </w:p>
        </w:tc>
        <w:tc>
          <w:tcPr>
            <w:tcW w:w="547" w:type="pct"/>
            <w:tcBorders>
              <w:top w:val="nil"/>
              <w:left w:val="nil"/>
              <w:bottom w:val="nil"/>
              <w:right w:val="nil"/>
            </w:tcBorders>
            <w:vAlign w:val="bottom"/>
          </w:tcPr>
          <w:p w14:paraId="5E35DE3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43 600</w:t>
            </w:r>
          </w:p>
        </w:tc>
        <w:tc>
          <w:tcPr>
            <w:tcW w:w="503" w:type="pct"/>
            <w:tcBorders>
              <w:top w:val="nil"/>
              <w:left w:val="nil"/>
              <w:bottom w:val="nil"/>
              <w:right w:val="nil"/>
            </w:tcBorders>
            <w:vAlign w:val="bottom"/>
          </w:tcPr>
          <w:p w14:paraId="539A12E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45 350</w:t>
            </w:r>
          </w:p>
        </w:tc>
        <w:tc>
          <w:tcPr>
            <w:tcW w:w="535" w:type="pct"/>
            <w:tcBorders>
              <w:top w:val="nil"/>
              <w:left w:val="nil"/>
              <w:bottom w:val="nil"/>
              <w:right w:val="nil"/>
            </w:tcBorders>
            <w:vAlign w:val="bottom"/>
          </w:tcPr>
          <w:p w14:paraId="58D439F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47 150</w:t>
            </w:r>
          </w:p>
        </w:tc>
        <w:tc>
          <w:tcPr>
            <w:tcW w:w="533" w:type="pct"/>
            <w:tcBorders>
              <w:top w:val="nil"/>
              <w:left w:val="nil"/>
              <w:bottom w:val="nil"/>
              <w:right w:val="nil"/>
            </w:tcBorders>
            <w:vAlign w:val="bottom"/>
          </w:tcPr>
          <w:p w14:paraId="60C0202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48 800</w:t>
            </w:r>
          </w:p>
        </w:tc>
        <w:tc>
          <w:tcPr>
            <w:tcW w:w="531" w:type="pct"/>
            <w:tcBorders>
              <w:top w:val="nil"/>
              <w:left w:val="nil"/>
              <w:bottom w:val="nil"/>
              <w:right w:val="nil"/>
            </w:tcBorders>
            <w:vAlign w:val="bottom"/>
          </w:tcPr>
          <w:p w14:paraId="459E6231"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50 400</w:t>
            </w:r>
          </w:p>
        </w:tc>
        <w:tc>
          <w:tcPr>
            <w:tcW w:w="531" w:type="pct"/>
            <w:tcBorders>
              <w:top w:val="nil"/>
              <w:left w:val="nil"/>
              <w:bottom w:val="nil"/>
              <w:right w:val="nil"/>
            </w:tcBorders>
            <w:vAlign w:val="bottom"/>
          </w:tcPr>
          <w:p w14:paraId="6829CC7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51 750</w:t>
            </w:r>
          </w:p>
        </w:tc>
      </w:tr>
      <w:tr w:rsidR="0083434C" w:rsidRPr="00D861B9" w14:paraId="1D4A278B" w14:textId="77777777" w:rsidTr="008E4229">
        <w:trPr>
          <w:jc w:val="center"/>
        </w:trPr>
        <w:tc>
          <w:tcPr>
            <w:tcW w:w="1309" w:type="pct"/>
            <w:tcBorders>
              <w:top w:val="nil"/>
              <w:left w:val="nil"/>
              <w:bottom w:val="nil"/>
              <w:right w:val="nil"/>
            </w:tcBorders>
            <w:vAlign w:val="bottom"/>
          </w:tcPr>
          <w:p w14:paraId="5A60116F" w14:textId="77777777" w:rsidR="0083434C" w:rsidRPr="0020594E" w:rsidRDefault="0083434C" w:rsidP="00083940">
            <w:pPr>
              <w:autoSpaceDE w:val="0"/>
              <w:autoSpaceDN w:val="0"/>
              <w:adjustRightInd w:val="0"/>
              <w:spacing w:before="80" w:after="0" w:line="220" w:lineRule="exact"/>
              <w:ind w:right="80"/>
              <w:rPr>
                <w:noProof/>
                <w:sz w:val="20"/>
                <w:vertAlign w:val="superscript"/>
              </w:rPr>
            </w:pPr>
            <w:r w:rsidRPr="00D861B9">
              <w:rPr>
                <w:noProof/>
                <w:sz w:val="20"/>
              </w:rPr>
              <w:t>Klasse 2</w:t>
            </w:r>
            <w:r>
              <w:rPr>
                <w:noProof/>
                <w:sz w:val="20"/>
              </w:rPr>
              <w:t>, kr</w:t>
            </w:r>
            <w:r>
              <w:rPr>
                <w:noProof/>
                <w:sz w:val="20"/>
                <w:vertAlign w:val="superscript"/>
              </w:rPr>
              <w:t>3</w:t>
            </w:r>
          </w:p>
        </w:tc>
        <w:tc>
          <w:tcPr>
            <w:tcW w:w="511" w:type="pct"/>
            <w:tcBorders>
              <w:top w:val="nil"/>
              <w:left w:val="nil"/>
              <w:bottom w:val="nil"/>
              <w:right w:val="nil"/>
            </w:tcBorders>
            <w:vAlign w:val="bottom"/>
          </w:tcPr>
          <w:p w14:paraId="3289C80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84 420</w:t>
            </w:r>
          </w:p>
        </w:tc>
        <w:tc>
          <w:tcPr>
            <w:tcW w:w="547" w:type="pct"/>
            <w:tcBorders>
              <w:top w:val="nil"/>
              <w:left w:val="nil"/>
              <w:bottom w:val="nil"/>
              <w:right w:val="nil"/>
            </w:tcBorders>
            <w:vAlign w:val="bottom"/>
          </w:tcPr>
          <w:p w14:paraId="6ACBCCA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87 200</w:t>
            </w:r>
          </w:p>
        </w:tc>
        <w:tc>
          <w:tcPr>
            <w:tcW w:w="503" w:type="pct"/>
            <w:tcBorders>
              <w:top w:val="nil"/>
              <w:left w:val="nil"/>
              <w:bottom w:val="nil"/>
              <w:right w:val="nil"/>
            </w:tcBorders>
            <w:vAlign w:val="bottom"/>
          </w:tcPr>
          <w:p w14:paraId="2776CBC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90 700</w:t>
            </w:r>
          </w:p>
        </w:tc>
        <w:tc>
          <w:tcPr>
            <w:tcW w:w="535" w:type="pct"/>
            <w:tcBorders>
              <w:top w:val="nil"/>
              <w:left w:val="nil"/>
              <w:bottom w:val="nil"/>
              <w:right w:val="nil"/>
            </w:tcBorders>
            <w:vAlign w:val="bottom"/>
          </w:tcPr>
          <w:p w14:paraId="13756D0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94 300</w:t>
            </w:r>
          </w:p>
        </w:tc>
        <w:tc>
          <w:tcPr>
            <w:tcW w:w="533" w:type="pct"/>
            <w:tcBorders>
              <w:top w:val="nil"/>
              <w:left w:val="nil"/>
              <w:bottom w:val="nil"/>
              <w:right w:val="nil"/>
            </w:tcBorders>
            <w:vAlign w:val="bottom"/>
          </w:tcPr>
          <w:p w14:paraId="1AE4CBE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72 000</w:t>
            </w:r>
          </w:p>
        </w:tc>
        <w:tc>
          <w:tcPr>
            <w:tcW w:w="531" w:type="pct"/>
            <w:tcBorders>
              <w:top w:val="nil"/>
              <w:left w:val="nil"/>
              <w:bottom w:val="nil"/>
              <w:right w:val="nil"/>
            </w:tcBorders>
            <w:vAlign w:val="bottom"/>
          </w:tcPr>
          <w:p w14:paraId="566E803B"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74 250</w:t>
            </w:r>
          </w:p>
        </w:tc>
        <w:tc>
          <w:tcPr>
            <w:tcW w:w="531" w:type="pct"/>
            <w:tcBorders>
              <w:top w:val="nil"/>
              <w:left w:val="nil"/>
              <w:bottom w:val="nil"/>
              <w:right w:val="nil"/>
            </w:tcBorders>
            <w:vAlign w:val="bottom"/>
          </w:tcPr>
          <w:p w14:paraId="683A3D2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76 250</w:t>
            </w:r>
          </w:p>
        </w:tc>
      </w:tr>
      <w:tr w:rsidR="0083434C" w:rsidRPr="00D861B9" w14:paraId="6C01A46A" w14:textId="77777777" w:rsidTr="008E4229">
        <w:trPr>
          <w:jc w:val="center"/>
        </w:trPr>
        <w:tc>
          <w:tcPr>
            <w:tcW w:w="1309" w:type="pct"/>
            <w:tcBorders>
              <w:top w:val="nil"/>
              <w:left w:val="nil"/>
              <w:bottom w:val="nil"/>
              <w:right w:val="nil"/>
            </w:tcBorders>
            <w:vAlign w:val="bottom"/>
          </w:tcPr>
          <w:p w14:paraId="40DBAF73"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f</w:t>
            </w:r>
            <w:r>
              <w:rPr>
                <w:rStyle w:val="kursiv"/>
                <w:sz w:val="20"/>
              </w:rPr>
              <w:t xml:space="preserve">. </w:t>
            </w:r>
            <w:r w:rsidRPr="00D861B9">
              <w:rPr>
                <w:rStyle w:val="kursiv"/>
                <w:sz w:val="20"/>
              </w:rPr>
              <w:t>Minstefradrag for lønns</w:t>
            </w:r>
            <w:r>
              <w:rPr>
                <w:rStyle w:val="kursiv"/>
                <w:sz w:val="20"/>
              </w:rPr>
              <w:t>-</w:t>
            </w:r>
            <w:r w:rsidRPr="00D861B9">
              <w:rPr>
                <w:rStyle w:val="kursiv"/>
                <w:sz w:val="20"/>
              </w:rPr>
              <w:t>inntekt</w:t>
            </w:r>
          </w:p>
        </w:tc>
        <w:tc>
          <w:tcPr>
            <w:tcW w:w="511" w:type="pct"/>
            <w:tcBorders>
              <w:top w:val="nil"/>
              <w:left w:val="nil"/>
              <w:bottom w:val="nil"/>
              <w:right w:val="nil"/>
            </w:tcBorders>
            <w:vAlign w:val="bottom"/>
          </w:tcPr>
          <w:p w14:paraId="46E6B23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1B4F768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528288E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4CC10A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53A738E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13F8B6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0DD2D352"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21782D5" w14:textId="77777777" w:rsidTr="008E4229">
        <w:trPr>
          <w:jc w:val="center"/>
        </w:trPr>
        <w:tc>
          <w:tcPr>
            <w:tcW w:w="1309" w:type="pct"/>
            <w:tcBorders>
              <w:top w:val="nil"/>
              <w:left w:val="nil"/>
              <w:bottom w:val="nil"/>
              <w:right w:val="nil"/>
            </w:tcBorders>
            <w:vAlign w:val="bottom"/>
          </w:tcPr>
          <w:p w14:paraId="160D561F"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14:paraId="18AD8E0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36,0</w:t>
            </w:r>
          </w:p>
        </w:tc>
        <w:tc>
          <w:tcPr>
            <w:tcW w:w="547" w:type="pct"/>
            <w:tcBorders>
              <w:top w:val="nil"/>
              <w:left w:val="nil"/>
              <w:bottom w:val="nil"/>
              <w:right w:val="nil"/>
            </w:tcBorders>
            <w:vAlign w:val="bottom"/>
          </w:tcPr>
          <w:p w14:paraId="552F315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36,0</w:t>
            </w:r>
          </w:p>
        </w:tc>
        <w:tc>
          <w:tcPr>
            <w:tcW w:w="503" w:type="pct"/>
            <w:tcBorders>
              <w:top w:val="nil"/>
              <w:left w:val="nil"/>
              <w:bottom w:val="nil"/>
              <w:right w:val="nil"/>
            </w:tcBorders>
            <w:vAlign w:val="bottom"/>
          </w:tcPr>
          <w:p w14:paraId="0E8474F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38,0</w:t>
            </w:r>
          </w:p>
        </w:tc>
        <w:tc>
          <w:tcPr>
            <w:tcW w:w="535" w:type="pct"/>
            <w:tcBorders>
              <w:top w:val="nil"/>
              <w:left w:val="nil"/>
              <w:bottom w:val="nil"/>
              <w:right w:val="nil"/>
            </w:tcBorders>
            <w:vAlign w:val="bottom"/>
          </w:tcPr>
          <w:p w14:paraId="0A877DC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40,0</w:t>
            </w:r>
          </w:p>
        </w:tc>
        <w:tc>
          <w:tcPr>
            <w:tcW w:w="533" w:type="pct"/>
            <w:tcBorders>
              <w:top w:val="nil"/>
              <w:left w:val="nil"/>
              <w:bottom w:val="nil"/>
              <w:right w:val="nil"/>
            </w:tcBorders>
            <w:vAlign w:val="bottom"/>
          </w:tcPr>
          <w:p w14:paraId="0AF0D33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43,0</w:t>
            </w:r>
          </w:p>
        </w:tc>
        <w:tc>
          <w:tcPr>
            <w:tcW w:w="531" w:type="pct"/>
            <w:tcBorders>
              <w:top w:val="nil"/>
              <w:left w:val="nil"/>
              <w:bottom w:val="nil"/>
              <w:right w:val="nil"/>
            </w:tcBorders>
            <w:vAlign w:val="bottom"/>
          </w:tcPr>
          <w:p w14:paraId="53E2FCD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43,0</w:t>
            </w:r>
          </w:p>
        </w:tc>
        <w:tc>
          <w:tcPr>
            <w:tcW w:w="531" w:type="pct"/>
            <w:tcBorders>
              <w:top w:val="nil"/>
              <w:left w:val="nil"/>
              <w:bottom w:val="nil"/>
              <w:right w:val="nil"/>
            </w:tcBorders>
            <w:vAlign w:val="bottom"/>
          </w:tcPr>
          <w:p w14:paraId="460A3EC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43,0</w:t>
            </w:r>
          </w:p>
        </w:tc>
      </w:tr>
      <w:tr w:rsidR="0083434C" w:rsidRPr="00D861B9" w14:paraId="546C0F13" w14:textId="77777777" w:rsidTr="008E4229">
        <w:trPr>
          <w:jc w:val="center"/>
        </w:trPr>
        <w:tc>
          <w:tcPr>
            <w:tcW w:w="1309" w:type="pct"/>
            <w:tcBorders>
              <w:top w:val="nil"/>
              <w:left w:val="nil"/>
              <w:bottom w:val="nil"/>
              <w:right w:val="nil"/>
            </w:tcBorders>
            <w:vAlign w:val="bottom"/>
          </w:tcPr>
          <w:p w14:paraId="2B02E8BE"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14:paraId="29A77FD1"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72 800</w:t>
            </w:r>
          </w:p>
        </w:tc>
        <w:tc>
          <w:tcPr>
            <w:tcW w:w="547" w:type="pct"/>
            <w:tcBorders>
              <w:top w:val="nil"/>
              <w:left w:val="nil"/>
              <w:bottom w:val="nil"/>
              <w:right w:val="nil"/>
            </w:tcBorders>
            <w:vAlign w:val="bottom"/>
          </w:tcPr>
          <w:p w14:paraId="19DF30A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75 150</w:t>
            </w:r>
          </w:p>
        </w:tc>
        <w:tc>
          <w:tcPr>
            <w:tcW w:w="503" w:type="pct"/>
            <w:tcBorders>
              <w:top w:val="nil"/>
              <w:left w:val="nil"/>
              <w:bottom w:val="nil"/>
              <w:right w:val="nil"/>
            </w:tcBorders>
            <w:vAlign w:val="bottom"/>
          </w:tcPr>
          <w:p w14:paraId="2259FAD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78 150</w:t>
            </w:r>
          </w:p>
        </w:tc>
        <w:tc>
          <w:tcPr>
            <w:tcW w:w="535" w:type="pct"/>
            <w:tcBorders>
              <w:top w:val="nil"/>
              <w:left w:val="nil"/>
              <w:bottom w:val="nil"/>
              <w:right w:val="nil"/>
            </w:tcBorders>
            <w:vAlign w:val="bottom"/>
          </w:tcPr>
          <w:p w14:paraId="70F9D0B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81 300</w:t>
            </w:r>
          </w:p>
        </w:tc>
        <w:tc>
          <w:tcPr>
            <w:tcW w:w="533" w:type="pct"/>
            <w:tcBorders>
              <w:top w:val="nil"/>
              <w:left w:val="nil"/>
              <w:bottom w:val="nil"/>
              <w:right w:val="nil"/>
            </w:tcBorders>
            <w:vAlign w:val="bottom"/>
          </w:tcPr>
          <w:p w14:paraId="3AC8F3E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84 150</w:t>
            </w:r>
          </w:p>
        </w:tc>
        <w:tc>
          <w:tcPr>
            <w:tcW w:w="531" w:type="pct"/>
            <w:tcBorders>
              <w:top w:val="nil"/>
              <w:left w:val="nil"/>
              <w:bottom w:val="nil"/>
              <w:right w:val="nil"/>
            </w:tcBorders>
            <w:vAlign w:val="bottom"/>
          </w:tcPr>
          <w:p w14:paraId="4A424687"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89 050</w:t>
            </w:r>
          </w:p>
        </w:tc>
        <w:tc>
          <w:tcPr>
            <w:tcW w:w="531" w:type="pct"/>
            <w:tcBorders>
              <w:top w:val="nil"/>
              <w:left w:val="nil"/>
              <w:bottom w:val="nil"/>
              <w:right w:val="nil"/>
            </w:tcBorders>
            <w:vAlign w:val="bottom"/>
          </w:tcPr>
          <w:p w14:paraId="6B987FC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91 450</w:t>
            </w:r>
          </w:p>
        </w:tc>
      </w:tr>
      <w:tr w:rsidR="0083434C" w:rsidRPr="00D861B9" w14:paraId="57C12414" w14:textId="77777777" w:rsidTr="008E4229">
        <w:trPr>
          <w:jc w:val="center"/>
        </w:trPr>
        <w:tc>
          <w:tcPr>
            <w:tcW w:w="1309" w:type="pct"/>
            <w:tcBorders>
              <w:top w:val="nil"/>
              <w:left w:val="nil"/>
              <w:bottom w:val="nil"/>
              <w:right w:val="nil"/>
            </w:tcBorders>
            <w:vAlign w:val="bottom"/>
          </w:tcPr>
          <w:p w14:paraId="508B34E0"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14:paraId="0778619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47" w:type="pct"/>
            <w:tcBorders>
              <w:top w:val="nil"/>
              <w:left w:val="nil"/>
              <w:bottom w:val="nil"/>
              <w:right w:val="nil"/>
            </w:tcBorders>
            <w:vAlign w:val="bottom"/>
          </w:tcPr>
          <w:p w14:paraId="304402F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03" w:type="pct"/>
            <w:tcBorders>
              <w:top w:val="nil"/>
              <w:left w:val="nil"/>
              <w:bottom w:val="nil"/>
              <w:right w:val="nil"/>
            </w:tcBorders>
            <w:vAlign w:val="bottom"/>
          </w:tcPr>
          <w:p w14:paraId="3C32B14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14:paraId="7FC7815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14:paraId="23BA390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14:paraId="3A29B70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14:paraId="6D5E5A7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r>
      <w:tr w:rsidR="0083434C" w:rsidRPr="00D861B9" w14:paraId="51BAA7CC" w14:textId="77777777" w:rsidTr="008E4229">
        <w:trPr>
          <w:jc w:val="center"/>
        </w:trPr>
        <w:tc>
          <w:tcPr>
            <w:tcW w:w="1309" w:type="pct"/>
            <w:tcBorders>
              <w:top w:val="nil"/>
              <w:left w:val="nil"/>
              <w:bottom w:val="nil"/>
              <w:right w:val="nil"/>
            </w:tcBorders>
            <w:vAlign w:val="bottom"/>
          </w:tcPr>
          <w:p w14:paraId="2791EA8F"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g</w:t>
            </w:r>
            <w:r>
              <w:rPr>
                <w:rStyle w:val="kursiv"/>
                <w:sz w:val="20"/>
              </w:rPr>
              <w:t>.</w:t>
            </w:r>
            <w:r w:rsidRPr="00D861B9">
              <w:rPr>
                <w:rStyle w:val="kursiv"/>
                <w:sz w:val="20"/>
              </w:rPr>
              <w:t xml:space="preserve"> Minstefradrag for pensjonsinntekt</w:t>
            </w:r>
          </w:p>
        </w:tc>
        <w:tc>
          <w:tcPr>
            <w:tcW w:w="511" w:type="pct"/>
            <w:tcBorders>
              <w:top w:val="nil"/>
              <w:left w:val="nil"/>
              <w:bottom w:val="nil"/>
              <w:right w:val="nil"/>
            </w:tcBorders>
            <w:vAlign w:val="bottom"/>
          </w:tcPr>
          <w:p w14:paraId="23E03AE1"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6C3F95C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5E624E3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C60245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0F5F27E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08B6E9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101D5E6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9FCDDF3" w14:textId="77777777" w:rsidTr="008E4229">
        <w:trPr>
          <w:jc w:val="center"/>
        </w:trPr>
        <w:tc>
          <w:tcPr>
            <w:tcW w:w="1309" w:type="pct"/>
            <w:tcBorders>
              <w:top w:val="nil"/>
              <w:left w:val="nil"/>
              <w:bottom w:val="nil"/>
              <w:right w:val="nil"/>
            </w:tcBorders>
            <w:vAlign w:val="bottom"/>
          </w:tcPr>
          <w:p w14:paraId="00C420EB"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Sats</w:t>
            </w:r>
            <w:r>
              <w:rPr>
                <w:noProof/>
                <w:sz w:val="20"/>
              </w:rPr>
              <w:t>, pst,</w:t>
            </w:r>
          </w:p>
        </w:tc>
        <w:tc>
          <w:tcPr>
            <w:tcW w:w="511" w:type="pct"/>
            <w:tcBorders>
              <w:top w:val="nil"/>
              <w:left w:val="nil"/>
              <w:bottom w:val="nil"/>
              <w:right w:val="nil"/>
            </w:tcBorders>
            <w:vAlign w:val="bottom"/>
          </w:tcPr>
          <w:p w14:paraId="7F2F88B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26,0</w:t>
            </w:r>
          </w:p>
        </w:tc>
        <w:tc>
          <w:tcPr>
            <w:tcW w:w="547" w:type="pct"/>
            <w:tcBorders>
              <w:top w:val="nil"/>
              <w:left w:val="nil"/>
              <w:bottom w:val="nil"/>
              <w:right w:val="nil"/>
            </w:tcBorders>
            <w:vAlign w:val="bottom"/>
          </w:tcPr>
          <w:p w14:paraId="5D9DFC2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26,0</w:t>
            </w:r>
          </w:p>
        </w:tc>
        <w:tc>
          <w:tcPr>
            <w:tcW w:w="503" w:type="pct"/>
            <w:tcBorders>
              <w:top w:val="nil"/>
              <w:left w:val="nil"/>
              <w:bottom w:val="nil"/>
              <w:right w:val="nil"/>
            </w:tcBorders>
            <w:vAlign w:val="bottom"/>
          </w:tcPr>
          <w:p w14:paraId="10DE3CD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26,0</w:t>
            </w:r>
          </w:p>
        </w:tc>
        <w:tc>
          <w:tcPr>
            <w:tcW w:w="535" w:type="pct"/>
            <w:tcBorders>
              <w:top w:val="nil"/>
              <w:left w:val="nil"/>
              <w:bottom w:val="nil"/>
              <w:right w:val="nil"/>
            </w:tcBorders>
            <w:vAlign w:val="bottom"/>
          </w:tcPr>
          <w:p w14:paraId="38D1603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26,0</w:t>
            </w:r>
          </w:p>
        </w:tc>
        <w:tc>
          <w:tcPr>
            <w:tcW w:w="533" w:type="pct"/>
            <w:tcBorders>
              <w:top w:val="nil"/>
              <w:left w:val="nil"/>
              <w:bottom w:val="nil"/>
              <w:right w:val="nil"/>
            </w:tcBorders>
            <w:vAlign w:val="bottom"/>
          </w:tcPr>
          <w:p w14:paraId="53661DB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27,0</w:t>
            </w:r>
          </w:p>
        </w:tc>
        <w:tc>
          <w:tcPr>
            <w:tcW w:w="531" w:type="pct"/>
            <w:tcBorders>
              <w:top w:val="nil"/>
              <w:left w:val="nil"/>
              <w:bottom w:val="nil"/>
              <w:right w:val="nil"/>
            </w:tcBorders>
            <w:vAlign w:val="bottom"/>
          </w:tcPr>
          <w:p w14:paraId="0F8DC9C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29,0</w:t>
            </w:r>
          </w:p>
        </w:tc>
        <w:tc>
          <w:tcPr>
            <w:tcW w:w="531" w:type="pct"/>
            <w:tcBorders>
              <w:top w:val="nil"/>
              <w:left w:val="nil"/>
              <w:bottom w:val="nil"/>
              <w:right w:val="nil"/>
            </w:tcBorders>
            <w:vAlign w:val="bottom"/>
          </w:tcPr>
          <w:p w14:paraId="4D8171F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29,0</w:t>
            </w:r>
          </w:p>
        </w:tc>
      </w:tr>
      <w:tr w:rsidR="0083434C" w:rsidRPr="00D861B9" w14:paraId="234086B3" w14:textId="77777777" w:rsidTr="008E4229">
        <w:trPr>
          <w:jc w:val="center"/>
        </w:trPr>
        <w:tc>
          <w:tcPr>
            <w:tcW w:w="1309" w:type="pct"/>
            <w:tcBorders>
              <w:top w:val="nil"/>
              <w:left w:val="nil"/>
              <w:bottom w:val="nil"/>
              <w:right w:val="nil"/>
            </w:tcBorders>
            <w:vAlign w:val="bottom"/>
          </w:tcPr>
          <w:p w14:paraId="74DBA457"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w:t>
            </w:r>
            <w:r>
              <w:rPr>
                <w:noProof/>
                <w:sz w:val="20"/>
              </w:rPr>
              <w:t>, kr</w:t>
            </w:r>
          </w:p>
        </w:tc>
        <w:tc>
          <w:tcPr>
            <w:tcW w:w="511" w:type="pct"/>
            <w:tcBorders>
              <w:top w:val="nil"/>
              <w:left w:val="nil"/>
              <w:bottom w:val="nil"/>
              <w:right w:val="nil"/>
            </w:tcBorders>
            <w:vAlign w:val="bottom"/>
          </w:tcPr>
          <w:p w14:paraId="293CA18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60 950</w:t>
            </w:r>
          </w:p>
        </w:tc>
        <w:tc>
          <w:tcPr>
            <w:tcW w:w="547" w:type="pct"/>
            <w:tcBorders>
              <w:top w:val="nil"/>
              <w:left w:val="nil"/>
              <w:bottom w:val="nil"/>
              <w:right w:val="nil"/>
            </w:tcBorders>
            <w:vAlign w:val="bottom"/>
          </w:tcPr>
          <w:p w14:paraId="160E997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62 950</w:t>
            </w:r>
          </w:p>
        </w:tc>
        <w:tc>
          <w:tcPr>
            <w:tcW w:w="503" w:type="pct"/>
            <w:tcBorders>
              <w:top w:val="nil"/>
              <w:left w:val="nil"/>
              <w:bottom w:val="nil"/>
              <w:right w:val="nil"/>
            </w:tcBorders>
            <w:vAlign w:val="bottom"/>
          </w:tcPr>
          <w:p w14:paraId="4922D5C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65 450</w:t>
            </w:r>
          </w:p>
        </w:tc>
        <w:tc>
          <w:tcPr>
            <w:tcW w:w="535" w:type="pct"/>
            <w:tcBorders>
              <w:top w:val="nil"/>
              <w:left w:val="nil"/>
              <w:bottom w:val="nil"/>
              <w:right w:val="nil"/>
            </w:tcBorders>
            <w:vAlign w:val="bottom"/>
          </w:tcPr>
          <w:p w14:paraId="58711CA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68 050</w:t>
            </w:r>
          </w:p>
        </w:tc>
        <w:tc>
          <w:tcPr>
            <w:tcW w:w="533" w:type="pct"/>
            <w:tcBorders>
              <w:top w:val="nil"/>
              <w:left w:val="nil"/>
              <w:bottom w:val="nil"/>
              <w:right w:val="nil"/>
            </w:tcBorders>
            <w:vAlign w:val="bottom"/>
          </w:tcPr>
          <w:p w14:paraId="0665CE5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70 400</w:t>
            </w:r>
          </w:p>
        </w:tc>
        <w:tc>
          <w:tcPr>
            <w:tcW w:w="531" w:type="pct"/>
            <w:tcBorders>
              <w:top w:val="nil"/>
              <w:left w:val="nil"/>
              <w:bottom w:val="nil"/>
              <w:right w:val="nil"/>
            </w:tcBorders>
            <w:vAlign w:val="bottom"/>
          </w:tcPr>
          <w:p w14:paraId="0AA9FA56" w14:textId="77777777" w:rsidR="0083434C" w:rsidDel="008A413B" w:rsidRDefault="0083434C" w:rsidP="00083940">
            <w:pPr>
              <w:autoSpaceDE w:val="0"/>
              <w:autoSpaceDN w:val="0"/>
              <w:adjustRightInd w:val="0"/>
              <w:spacing w:before="80" w:after="0" w:line="220" w:lineRule="exact"/>
              <w:ind w:left="80" w:right="80"/>
              <w:jc w:val="right"/>
              <w:rPr>
                <w:noProof/>
                <w:sz w:val="20"/>
              </w:rPr>
            </w:pPr>
            <w:r>
              <w:rPr>
                <w:noProof/>
                <w:sz w:val="20"/>
              </w:rPr>
              <w:t>72 200</w:t>
            </w:r>
          </w:p>
        </w:tc>
        <w:tc>
          <w:tcPr>
            <w:tcW w:w="531" w:type="pct"/>
            <w:tcBorders>
              <w:top w:val="nil"/>
              <w:left w:val="nil"/>
              <w:bottom w:val="nil"/>
              <w:right w:val="nil"/>
            </w:tcBorders>
            <w:vAlign w:val="bottom"/>
          </w:tcPr>
          <w:p w14:paraId="35F56C1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73 600</w:t>
            </w:r>
          </w:p>
        </w:tc>
      </w:tr>
      <w:tr w:rsidR="0083434C" w:rsidRPr="00D861B9" w14:paraId="619A1FAA" w14:textId="77777777" w:rsidTr="008E4229">
        <w:trPr>
          <w:jc w:val="center"/>
        </w:trPr>
        <w:tc>
          <w:tcPr>
            <w:tcW w:w="1309" w:type="pct"/>
            <w:tcBorders>
              <w:top w:val="nil"/>
              <w:left w:val="nil"/>
              <w:bottom w:val="nil"/>
              <w:right w:val="nil"/>
            </w:tcBorders>
            <w:vAlign w:val="bottom"/>
          </w:tcPr>
          <w:p w14:paraId="7D7C3A6B"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Nedre grense</w:t>
            </w:r>
            <w:r>
              <w:rPr>
                <w:noProof/>
                <w:sz w:val="20"/>
              </w:rPr>
              <w:t>, kr</w:t>
            </w:r>
          </w:p>
        </w:tc>
        <w:tc>
          <w:tcPr>
            <w:tcW w:w="511" w:type="pct"/>
            <w:tcBorders>
              <w:top w:val="nil"/>
              <w:left w:val="nil"/>
              <w:bottom w:val="nil"/>
              <w:right w:val="nil"/>
            </w:tcBorders>
            <w:vAlign w:val="bottom"/>
          </w:tcPr>
          <w:p w14:paraId="21DA205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47" w:type="pct"/>
            <w:tcBorders>
              <w:top w:val="nil"/>
              <w:left w:val="nil"/>
              <w:bottom w:val="nil"/>
              <w:right w:val="nil"/>
            </w:tcBorders>
            <w:vAlign w:val="bottom"/>
          </w:tcPr>
          <w:p w14:paraId="4816B09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03" w:type="pct"/>
            <w:tcBorders>
              <w:top w:val="nil"/>
              <w:left w:val="nil"/>
              <w:bottom w:val="nil"/>
              <w:right w:val="nil"/>
            </w:tcBorders>
            <w:vAlign w:val="bottom"/>
          </w:tcPr>
          <w:p w14:paraId="2981AA0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5" w:type="pct"/>
            <w:tcBorders>
              <w:top w:val="nil"/>
              <w:left w:val="nil"/>
              <w:bottom w:val="nil"/>
              <w:right w:val="nil"/>
            </w:tcBorders>
            <w:vAlign w:val="bottom"/>
          </w:tcPr>
          <w:p w14:paraId="6E63F30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3" w:type="pct"/>
            <w:tcBorders>
              <w:top w:val="nil"/>
              <w:left w:val="nil"/>
              <w:bottom w:val="nil"/>
              <w:right w:val="nil"/>
            </w:tcBorders>
            <w:vAlign w:val="bottom"/>
          </w:tcPr>
          <w:p w14:paraId="0B70423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14:paraId="6CAA1C9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c>
          <w:tcPr>
            <w:tcW w:w="531" w:type="pct"/>
            <w:tcBorders>
              <w:top w:val="nil"/>
              <w:left w:val="nil"/>
              <w:bottom w:val="nil"/>
              <w:right w:val="nil"/>
            </w:tcBorders>
            <w:vAlign w:val="bottom"/>
          </w:tcPr>
          <w:p w14:paraId="5516AA8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4 000</w:t>
            </w:r>
          </w:p>
        </w:tc>
      </w:tr>
      <w:tr w:rsidR="0083434C" w:rsidRPr="00D861B9" w14:paraId="6B1D0748" w14:textId="77777777" w:rsidTr="008E4229">
        <w:trPr>
          <w:jc w:val="center"/>
        </w:trPr>
        <w:tc>
          <w:tcPr>
            <w:tcW w:w="1309" w:type="pct"/>
            <w:tcBorders>
              <w:top w:val="nil"/>
              <w:left w:val="nil"/>
              <w:right w:val="nil"/>
            </w:tcBorders>
            <w:vAlign w:val="bottom"/>
          </w:tcPr>
          <w:p w14:paraId="70BDB64A" w14:textId="77777777" w:rsidR="0083434C" w:rsidRPr="00CC5CFE" w:rsidRDefault="0083434C" w:rsidP="00083940">
            <w:pPr>
              <w:autoSpaceDE w:val="0"/>
              <w:autoSpaceDN w:val="0"/>
              <w:adjustRightInd w:val="0"/>
              <w:spacing w:before="80" w:after="0" w:line="220" w:lineRule="exact"/>
              <w:ind w:right="80"/>
            </w:pPr>
            <w:r w:rsidRPr="00CC5CFE">
              <w:rPr>
                <w:rStyle w:val="kursiv"/>
                <w:sz w:val="20"/>
              </w:rPr>
              <w:t>h. Lønnsfradrag</w:t>
            </w:r>
            <w:r>
              <w:rPr>
                <w:rStyle w:val="kursiv"/>
                <w:sz w:val="20"/>
                <w:vertAlign w:val="superscript"/>
              </w:rPr>
              <w:t>4</w:t>
            </w:r>
            <w:r w:rsidRPr="00CC5CFE">
              <w:rPr>
                <w:rStyle w:val="kursiv"/>
                <w:sz w:val="20"/>
              </w:rPr>
              <w:t>, kr</w:t>
            </w:r>
          </w:p>
        </w:tc>
        <w:tc>
          <w:tcPr>
            <w:tcW w:w="511" w:type="pct"/>
            <w:tcBorders>
              <w:top w:val="nil"/>
              <w:left w:val="nil"/>
              <w:right w:val="nil"/>
            </w:tcBorders>
            <w:vAlign w:val="bottom"/>
          </w:tcPr>
          <w:p w14:paraId="3907268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47" w:type="pct"/>
            <w:tcBorders>
              <w:top w:val="nil"/>
              <w:left w:val="nil"/>
              <w:right w:val="nil"/>
            </w:tcBorders>
            <w:vAlign w:val="bottom"/>
          </w:tcPr>
          <w:p w14:paraId="625EB7D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03" w:type="pct"/>
            <w:tcBorders>
              <w:top w:val="nil"/>
              <w:left w:val="nil"/>
              <w:right w:val="nil"/>
            </w:tcBorders>
            <w:vAlign w:val="bottom"/>
          </w:tcPr>
          <w:p w14:paraId="66BF1A3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35" w:type="pct"/>
            <w:tcBorders>
              <w:top w:val="nil"/>
              <w:left w:val="nil"/>
              <w:right w:val="nil"/>
            </w:tcBorders>
            <w:vAlign w:val="bottom"/>
          </w:tcPr>
          <w:p w14:paraId="4C5E179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33" w:type="pct"/>
            <w:tcBorders>
              <w:top w:val="nil"/>
              <w:left w:val="nil"/>
              <w:right w:val="nil"/>
            </w:tcBorders>
            <w:vAlign w:val="bottom"/>
          </w:tcPr>
          <w:p w14:paraId="50BB9A4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14:paraId="481A65E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c>
          <w:tcPr>
            <w:tcW w:w="531" w:type="pct"/>
            <w:tcBorders>
              <w:top w:val="nil"/>
              <w:left w:val="nil"/>
              <w:right w:val="nil"/>
            </w:tcBorders>
            <w:vAlign w:val="bottom"/>
          </w:tcPr>
          <w:p w14:paraId="37C3BC5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31 800</w:t>
            </w:r>
          </w:p>
        </w:tc>
      </w:tr>
      <w:tr w:rsidR="0083434C" w:rsidRPr="00D861B9" w14:paraId="52DB6A5E" w14:textId="77777777" w:rsidTr="008E4229">
        <w:trPr>
          <w:jc w:val="center"/>
        </w:trPr>
        <w:tc>
          <w:tcPr>
            <w:tcW w:w="1309" w:type="pct"/>
            <w:tcBorders>
              <w:top w:val="nil"/>
              <w:left w:val="nil"/>
              <w:right w:val="nil"/>
            </w:tcBorders>
            <w:vAlign w:val="bottom"/>
          </w:tcPr>
          <w:p w14:paraId="53AD3F67" w14:textId="77777777" w:rsidR="0083434C" w:rsidRPr="00D861B9" w:rsidRDefault="0083434C" w:rsidP="00083940">
            <w:pPr>
              <w:autoSpaceDE w:val="0"/>
              <w:autoSpaceDN w:val="0"/>
              <w:adjustRightInd w:val="0"/>
              <w:spacing w:before="80" w:after="0" w:line="220" w:lineRule="exact"/>
              <w:ind w:right="80"/>
              <w:rPr>
                <w:noProof/>
                <w:sz w:val="20"/>
              </w:rPr>
            </w:pPr>
            <w:r>
              <w:rPr>
                <w:rStyle w:val="kursiv"/>
                <w:sz w:val="20"/>
              </w:rPr>
              <w:t>i. S</w:t>
            </w:r>
            <w:r w:rsidRPr="00D861B9">
              <w:rPr>
                <w:rStyle w:val="kursiv"/>
                <w:sz w:val="20"/>
              </w:rPr>
              <w:t>ærfradrag for alder</w:t>
            </w:r>
            <w:r>
              <w:rPr>
                <w:rStyle w:val="kursiv"/>
                <w:sz w:val="20"/>
              </w:rPr>
              <w:t>, kr</w:t>
            </w:r>
          </w:p>
        </w:tc>
        <w:tc>
          <w:tcPr>
            <w:tcW w:w="511" w:type="pct"/>
            <w:tcBorders>
              <w:top w:val="nil"/>
              <w:left w:val="nil"/>
              <w:right w:val="nil"/>
            </w:tcBorders>
            <w:vAlign w:val="bottom"/>
          </w:tcPr>
          <w:p w14:paraId="3866422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19 368</w:t>
            </w:r>
          </w:p>
        </w:tc>
        <w:tc>
          <w:tcPr>
            <w:tcW w:w="547" w:type="pct"/>
            <w:tcBorders>
              <w:top w:val="nil"/>
              <w:left w:val="nil"/>
              <w:right w:val="nil"/>
            </w:tcBorders>
            <w:vAlign w:val="bottom"/>
          </w:tcPr>
          <w:p w14:paraId="46040BE3"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14:paraId="2448CEC5"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14:paraId="1831241A"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14:paraId="3042A654"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07F3B6CA" w14:textId="77777777" w:rsidR="0083434C" w:rsidDel="008A413B"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2BB827CB" w14:textId="77777777" w:rsidR="0083434C"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ACC1275" w14:textId="77777777" w:rsidTr="008E4229">
        <w:trPr>
          <w:jc w:val="center"/>
        </w:trPr>
        <w:tc>
          <w:tcPr>
            <w:tcW w:w="1309" w:type="pct"/>
            <w:tcBorders>
              <w:top w:val="nil"/>
              <w:left w:val="nil"/>
              <w:right w:val="nil"/>
            </w:tcBorders>
            <w:vAlign w:val="bottom"/>
          </w:tcPr>
          <w:p w14:paraId="468C66E6" w14:textId="77777777" w:rsidR="0083434C" w:rsidRDefault="0083434C" w:rsidP="00083940">
            <w:pPr>
              <w:autoSpaceDE w:val="0"/>
              <w:autoSpaceDN w:val="0"/>
              <w:adjustRightInd w:val="0"/>
              <w:spacing w:before="80" w:after="0" w:line="220" w:lineRule="exact"/>
              <w:ind w:right="80"/>
              <w:rPr>
                <w:rStyle w:val="kursiv"/>
                <w:sz w:val="20"/>
              </w:rPr>
            </w:pPr>
            <w:r>
              <w:rPr>
                <w:rStyle w:val="kursiv"/>
                <w:sz w:val="20"/>
              </w:rPr>
              <w:t>j. S</w:t>
            </w:r>
            <w:r w:rsidRPr="00D861B9">
              <w:rPr>
                <w:rStyle w:val="kursiv"/>
                <w:sz w:val="20"/>
              </w:rPr>
              <w:t xml:space="preserve">ærfradrag for </w:t>
            </w:r>
            <w:r>
              <w:rPr>
                <w:rStyle w:val="kursiv"/>
                <w:sz w:val="20"/>
              </w:rPr>
              <w:t>uførhet, kr</w:t>
            </w:r>
          </w:p>
        </w:tc>
        <w:tc>
          <w:tcPr>
            <w:tcW w:w="511" w:type="pct"/>
            <w:tcBorders>
              <w:top w:val="nil"/>
              <w:left w:val="nil"/>
              <w:right w:val="nil"/>
            </w:tcBorders>
            <w:vAlign w:val="bottom"/>
          </w:tcPr>
          <w:p w14:paraId="13545BB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19 368</w:t>
            </w:r>
          </w:p>
        </w:tc>
        <w:tc>
          <w:tcPr>
            <w:tcW w:w="547" w:type="pct"/>
            <w:tcBorders>
              <w:top w:val="nil"/>
              <w:left w:val="nil"/>
              <w:right w:val="nil"/>
            </w:tcBorders>
            <w:vAlign w:val="bottom"/>
          </w:tcPr>
          <w:p w14:paraId="264F9DB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32 000</w:t>
            </w:r>
          </w:p>
        </w:tc>
        <w:tc>
          <w:tcPr>
            <w:tcW w:w="503" w:type="pct"/>
            <w:tcBorders>
              <w:top w:val="nil"/>
              <w:left w:val="nil"/>
              <w:right w:val="nil"/>
            </w:tcBorders>
            <w:vAlign w:val="bottom"/>
          </w:tcPr>
          <w:p w14:paraId="5761BF8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32 000</w:t>
            </w:r>
          </w:p>
        </w:tc>
        <w:tc>
          <w:tcPr>
            <w:tcW w:w="535" w:type="pct"/>
            <w:tcBorders>
              <w:top w:val="nil"/>
              <w:left w:val="nil"/>
              <w:right w:val="nil"/>
            </w:tcBorders>
            <w:vAlign w:val="bottom"/>
          </w:tcPr>
          <w:p w14:paraId="5BFDA6A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32 000</w:t>
            </w:r>
          </w:p>
        </w:tc>
        <w:tc>
          <w:tcPr>
            <w:tcW w:w="533" w:type="pct"/>
            <w:tcBorders>
              <w:top w:val="nil"/>
              <w:left w:val="nil"/>
              <w:right w:val="nil"/>
            </w:tcBorders>
            <w:vAlign w:val="bottom"/>
          </w:tcPr>
          <w:p w14:paraId="2CEE9A1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32 000</w:t>
            </w:r>
          </w:p>
        </w:tc>
        <w:tc>
          <w:tcPr>
            <w:tcW w:w="531" w:type="pct"/>
            <w:tcBorders>
              <w:top w:val="nil"/>
              <w:left w:val="nil"/>
              <w:right w:val="nil"/>
            </w:tcBorders>
            <w:vAlign w:val="bottom"/>
          </w:tcPr>
          <w:p w14:paraId="5899A317"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1912A18B" w14:textId="77777777" w:rsidR="0083434C"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F1DA2C0" w14:textId="77777777" w:rsidTr="008E4229">
        <w:trPr>
          <w:jc w:val="center"/>
        </w:trPr>
        <w:tc>
          <w:tcPr>
            <w:tcW w:w="1309" w:type="pct"/>
            <w:tcBorders>
              <w:top w:val="nil"/>
              <w:left w:val="nil"/>
              <w:right w:val="nil"/>
            </w:tcBorders>
            <w:vAlign w:val="bottom"/>
          </w:tcPr>
          <w:p w14:paraId="01ECFEDB" w14:textId="77777777" w:rsidR="0083434C" w:rsidRPr="004952B9" w:rsidRDefault="0083434C" w:rsidP="00083940">
            <w:pPr>
              <w:autoSpaceDE w:val="0"/>
              <w:autoSpaceDN w:val="0"/>
              <w:adjustRightInd w:val="0"/>
              <w:spacing w:before="80" w:after="0" w:line="220" w:lineRule="exact"/>
              <w:ind w:right="80"/>
              <w:rPr>
                <w:rStyle w:val="kursiv"/>
                <w:sz w:val="20"/>
                <w:vertAlign w:val="superscript"/>
              </w:rPr>
            </w:pPr>
            <w:r>
              <w:rPr>
                <w:rStyle w:val="kursiv"/>
                <w:sz w:val="20"/>
              </w:rPr>
              <w:t>k. Særskilt skattefradrag for pensjonister</w:t>
            </w:r>
          </w:p>
        </w:tc>
        <w:tc>
          <w:tcPr>
            <w:tcW w:w="511" w:type="pct"/>
            <w:tcBorders>
              <w:top w:val="nil"/>
              <w:left w:val="nil"/>
              <w:right w:val="nil"/>
            </w:tcBorders>
            <w:vAlign w:val="bottom"/>
          </w:tcPr>
          <w:p w14:paraId="7BF9BDD8"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36F500B5"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14:paraId="7028E642"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14:paraId="6C166F41"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14:paraId="33B7056D"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0F580755"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3F1E0E76" w14:textId="77777777" w:rsidR="0083434C"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3554419" w14:textId="77777777" w:rsidTr="008E4229">
        <w:trPr>
          <w:jc w:val="center"/>
        </w:trPr>
        <w:tc>
          <w:tcPr>
            <w:tcW w:w="1309" w:type="pct"/>
            <w:tcBorders>
              <w:top w:val="nil"/>
              <w:left w:val="nil"/>
              <w:right w:val="nil"/>
            </w:tcBorders>
            <w:vAlign w:val="bottom"/>
          </w:tcPr>
          <w:p w14:paraId="2EF99072" w14:textId="77777777" w:rsidR="0083434C" w:rsidRPr="00DF1644" w:rsidRDefault="0083434C" w:rsidP="00083940">
            <w:pPr>
              <w:autoSpaceDE w:val="0"/>
              <w:autoSpaceDN w:val="0"/>
              <w:adjustRightInd w:val="0"/>
              <w:spacing w:before="80" w:after="0" w:line="220" w:lineRule="exact"/>
              <w:ind w:right="80"/>
              <w:rPr>
                <w:rStyle w:val="kursiv"/>
                <w:i w:val="0"/>
                <w:sz w:val="20"/>
              </w:rPr>
            </w:pPr>
            <w:r w:rsidRPr="00DF1644">
              <w:rPr>
                <w:rStyle w:val="kursiv"/>
                <w:sz w:val="20"/>
              </w:rPr>
              <w:t>Maksimalt beløp, kr</w:t>
            </w:r>
          </w:p>
        </w:tc>
        <w:tc>
          <w:tcPr>
            <w:tcW w:w="511" w:type="pct"/>
            <w:tcBorders>
              <w:top w:val="nil"/>
              <w:left w:val="nil"/>
              <w:right w:val="nil"/>
            </w:tcBorders>
            <w:vAlign w:val="bottom"/>
          </w:tcPr>
          <w:p w14:paraId="37272015"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7306A815"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28 150</w:t>
            </w:r>
          </w:p>
        </w:tc>
        <w:tc>
          <w:tcPr>
            <w:tcW w:w="503" w:type="pct"/>
            <w:tcBorders>
              <w:top w:val="nil"/>
              <w:left w:val="nil"/>
              <w:right w:val="nil"/>
            </w:tcBorders>
            <w:vAlign w:val="bottom"/>
          </w:tcPr>
          <w:p w14:paraId="616B216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29 300</w:t>
            </w:r>
          </w:p>
        </w:tc>
        <w:tc>
          <w:tcPr>
            <w:tcW w:w="535" w:type="pct"/>
            <w:tcBorders>
              <w:top w:val="nil"/>
              <w:left w:val="nil"/>
              <w:right w:val="nil"/>
            </w:tcBorders>
            <w:vAlign w:val="bottom"/>
          </w:tcPr>
          <w:p w14:paraId="65ECEB9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30 300</w:t>
            </w:r>
          </w:p>
        </w:tc>
        <w:tc>
          <w:tcPr>
            <w:tcW w:w="533" w:type="pct"/>
            <w:tcBorders>
              <w:top w:val="nil"/>
              <w:left w:val="nil"/>
              <w:right w:val="nil"/>
            </w:tcBorders>
            <w:vAlign w:val="bottom"/>
          </w:tcPr>
          <w:p w14:paraId="4D17002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30 000</w:t>
            </w:r>
          </w:p>
        </w:tc>
        <w:tc>
          <w:tcPr>
            <w:tcW w:w="531" w:type="pct"/>
            <w:tcBorders>
              <w:top w:val="nil"/>
              <w:left w:val="nil"/>
              <w:right w:val="nil"/>
            </w:tcBorders>
            <w:vAlign w:val="bottom"/>
          </w:tcPr>
          <w:p w14:paraId="066CF0F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30 800</w:t>
            </w:r>
          </w:p>
        </w:tc>
        <w:tc>
          <w:tcPr>
            <w:tcW w:w="531" w:type="pct"/>
            <w:tcBorders>
              <w:top w:val="nil"/>
              <w:left w:val="nil"/>
              <w:right w:val="nil"/>
            </w:tcBorders>
            <w:vAlign w:val="bottom"/>
          </w:tcPr>
          <w:p w14:paraId="1C66158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29 880</w:t>
            </w:r>
          </w:p>
        </w:tc>
      </w:tr>
      <w:tr w:rsidR="0083434C" w:rsidRPr="00D861B9" w14:paraId="52495DD2" w14:textId="77777777" w:rsidTr="008E4229">
        <w:trPr>
          <w:jc w:val="center"/>
        </w:trPr>
        <w:tc>
          <w:tcPr>
            <w:tcW w:w="1309" w:type="pct"/>
            <w:tcBorders>
              <w:top w:val="nil"/>
              <w:left w:val="nil"/>
              <w:right w:val="nil"/>
            </w:tcBorders>
            <w:vAlign w:val="bottom"/>
          </w:tcPr>
          <w:p w14:paraId="49223B50" w14:textId="77777777" w:rsidR="0083434C" w:rsidRPr="00DF1644" w:rsidRDefault="0083434C" w:rsidP="00083940">
            <w:pPr>
              <w:autoSpaceDE w:val="0"/>
              <w:autoSpaceDN w:val="0"/>
              <w:adjustRightInd w:val="0"/>
              <w:spacing w:before="80" w:after="0" w:line="220" w:lineRule="exact"/>
              <w:ind w:right="80"/>
              <w:rPr>
                <w:rStyle w:val="kursiv"/>
                <w:i w:val="0"/>
                <w:sz w:val="20"/>
              </w:rPr>
            </w:pPr>
            <w:r w:rsidRPr="00DF1644">
              <w:rPr>
                <w:rStyle w:val="kursiv"/>
                <w:sz w:val="20"/>
              </w:rPr>
              <w:t>Innslagspunkt trinn 1, kr</w:t>
            </w:r>
          </w:p>
        </w:tc>
        <w:tc>
          <w:tcPr>
            <w:tcW w:w="511" w:type="pct"/>
            <w:tcBorders>
              <w:top w:val="nil"/>
              <w:left w:val="nil"/>
              <w:right w:val="nil"/>
            </w:tcBorders>
            <w:vAlign w:val="bottom"/>
          </w:tcPr>
          <w:p w14:paraId="414A49CC"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59FDF9D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158 650</w:t>
            </w:r>
          </w:p>
        </w:tc>
        <w:tc>
          <w:tcPr>
            <w:tcW w:w="503" w:type="pct"/>
            <w:tcBorders>
              <w:top w:val="nil"/>
              <w:left w:val="nil"/>
              <w:right w:val="nil"/>
            </w:tcBorders>
            <w:vAlign w:val="bottom"/>
          </w:tcPr>
          <w:p w14:paraId="7F677C8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165 000</w:t>
            </w:r>
          </w:p>
        </w:tc>
        <w:tc>
          <w:tcPr>
            <w:tcW w:w="535" w:type="pct"/>
            <w:tcBorders>
              <w:top w:val="nil"/>
              <w:left w:val="nil"/>
              <w:right w:val="nil"/>
            </w:tcBorders>
            <w:vAlign w:val="bottom"/>
          </w:tcPr>
          <w:p w14:paraId="40225BA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170 750</w:t>
            </w:r>
          </w:p>
        </w:tc>
        <w:tc>
          <w:tcPr>
            <w:tcW w:w="533" w:type="pct"/>
            <w:tcBorders>
              <w:top w:val="nil"/>
              <w:left w:val="nil"/>
              <w:right w:val="nil"/>
            </w:tcBorders>
            <w:vAlign w:val="bottom"/>
          </w:tcPr>
          <w:p w14:paraId="0123107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175 900</w:t>
            </w:r>
          </w:p>
        </w:tc>
        <w:tc>
          <w:tcPr>
            <w:tcW w:w="531" w:type="pct"/>
            <w:tcBorders>
              <w:top w:val="nil"/>
              <w:left w:val="nil"/>
              <w:right w:val="nil"/>
            </w:tcBorders>
            <w:vAlign w:val="bottom"/>
          </w:tcPr>
          <w:p w14:paraId="393BE6F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180 800</w:t>
            </w:r>
          </w:p>
        </w:tc>
        <w:tc>
          <w:tcPr>
            <w:tcW w:w="531" w:type="pct"/>
            <w:tcBorders>
              <w:top w:val="nil"/>
              <w:left w:val="nil"/>
              <w:right w:val="nil"/>
            </w:tcBorders>
            <w:vAlign w:val="bottom"/>
          </w:tcPr>
          <w:p w14:paraId="4A1993D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184 800</w:t>
            </w:r>
          </w:p>
        </w:tc>
      </w:tr>
      <w:tr w:rsidR="0083434C" w:rsidRPr="00D861B9" w14:paraId="10E4EEBF" w14:textId="77777777" w:rsidTr="008E4229">
        <w:trPr>
          <w:jc w:val="center"/>
        </w:trPr>
        <w:tc>
          <w:tcPr>
            <w:tcW w:w="1309" w:type="pct"/>
            <w:tcBorders>
              <w:top w:val="nil"/>
              <w:left w:val="nil"/>
              <w:right w:val="nil"/>
            </w:tcBorders>
            <w:vAlign w:val="bottom"/>
          </w:tcPr>
          <w:p w14:paraId="63A11C66" w14:textId="77777777" w:rsidR="0083434C" w:rsidRPr="00DF1644" w:rsidRDefault="0083434C" w:rsidP="00083940">
            <w:pPr>
              <w:autoSpaceDE w:val="0"/>
              <w:autoSpaceDN w:val="0"/>
              <w:adjustRightInd w:val="0"/>
              <w:spacing w:before="80" w:after="0" w:line="220" w:lineRule="exact"/>
              <w:ind w:right="80"/>
              <w:rPr>
                <w:rStyle w:val="kursiv"/>
                <w:i w:val="0"/>
                <w:sz w:val="20"/>
              </w:rPr>
            </w:pPr>
            <w:r w:rsidRPr="00DF1644">
              <w:rPr>
                <w:rStyle w:val="kursiv"/>
                <w:sz w:val="20"/>
              </w:rPr>
              <w:t>Nedtrappingssats trinn 1, pst.</w:t>
            </w:r>
          </w:p>
        </w:tc>
        <w:tc>
          <w:tcPr>
            <w:tcW w:w="511" w:type="pct"/>
            <w:tcBorders>
              <w:top w:val="nil"/>
              <w:left w:val="nil"/>
              <w:right w:val="nil"/>
            </w:tcBorders>
            <w:vAlign w:val="bottom"/>
          </w:tcPr>
          <w:p w14:paraId="36CB7076"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35A63EE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c>
          <w:tcPr>
            <w:tcW w:w="503" w:type="pct"/>
            <w:tcBorders>
              <w:top w:val="nil"/>
              <w:left w:val="nil"/>
              <w:right w:val="nil"/>
            </w:tcBorders>
            <w:vAlign w:val="bottom"/>
          </w:tcPr>
          <w:p w14:paraId="45C8DEB1"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c>
          <w:tcPr>
            <w:tcW w:w="535" w:type="pct"/>
            <w:tcBorders>
              <w:top w:val="nil"/>
              <w:left w:val="nil"/>
              <w:right w:val="nil"/>
            </w:tcBorders>
            <w:vAlign w:val="bottom"/>
          </w:tcPr>
          <w:p w14:paraId="461408E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c>
          <w:tcPr>
            <w:tcW w:w="533" w:type="pct"/>
            <w:tcBorders>
              <w:top w:val="nil"/>
              <w:left w:val="nil"/>
              <w:right w:val="nil"/>
            </w:tcBorders>
            <w:vAlign w:val="bottom"/>
          </w:tcPr>
          <w:p w14:paraId="09A6BFF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14:paraId="5D1F411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c>
          <w:tcPr>
            <w:tcW w:w="531" w:type="pct"/>
            <w:tcBorders>
              <w:top w:val="nil"/>
              <w:left w:val="nil"/>
              <w:right w:val="nil"/>
            </w:tcBorders>
            <w:vAlign w:val="bottom"/>
          </w:tcPr>
          <w:p w14:paraId="131111C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15,3</w:t>
            </w:r>
          </w:p>
        </w:tc>
      </w:tr>
      <w:tr w:rsidR="0083434C" w:rsidRPr="00D861B9" w14:paraId="3D5AF1F3" w14:textId="77777777" w:rsidTr="008E4229">
        <w:trPr>
          <w:jc w:val="center"/>
        </w:trPr>
        <w:tc>
          <w:tcPr>
            <w:tcW w:w="1309" w:type="pct"/>
            <w:tcBorders>
              <w:top w:val="nil"/>
              <w:left w:val="nil"/>
              <w:right w:val="nil"/>
            </w:tcBorders>
            <w:vAlign w:val="bottom"/>
          </w:tcPr>
          <w:p w14:paraId="39A7BFDF" w14:textId="77777777" w:rsidR="0083434C" w:rsidRPr="00DF1644" w:rsidRDefault="0083434C" w:rsidP="00083940">
            <w:pPr>
              <w:autoSpaceDE w:val="0"/>
              <w:autoSpaceDN w:val="0"/>
              <w:adjustRightInd w:val="0"/>
              <w:spacing w:before="80" w:after="0" w:line="220" w:lineRule="exact"/>
              <w:ind w:right="80"/>
              <w:rPr>
                <w:rStyle w:val="kursiv"/>
                <w:i w:val="0"/>
                <w:sz w:val="20"/>
              </w:rPr>
            </w:pPr>
            <w:r w:rsidRPr="00DF1644">
              <w:rPr>
                <w:rStyle w:val="kursiv"/>
                <w:sz w:val="20"/>
              </w:rPr>
              <w:t>Innslagspunkt trinn 2, kr</w:t>
            </w:r>
          </w:p>
        </w:tc>
        <w:tc>
          <w:tcPr>
            <w:tcW w:w="511" w:type="pct"/>
            <w:tcBorders>
              <w:top w:val="nil"/>
              <w:left w:val="nil"/>
              <w:right w:val="nil"/>
            </w:tcBorders>
            <w:vAlign w:val="bottom"/>
          </w:tcPr>
          <w:p w14:paraId="7378A779"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76BDC88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242 000</w:t>
            </w:r>
          </w:p>
        </w:tc>
        <w:tc>
          <w:tcPr>
            <w:tcW w:w="503" w:type="pct"/>
            <w:tcBorders>
              <w:top w:val="nil"/>
              <w:left w:val="nil"/>
              <w:right w:val="nil"/>
            </w:tcBorders>
            <w:vAlign w:val="bottom"/>
          </w:tcPr>
          <w:p w14:paraId="69C237A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251 700</w:t>
            </w:r>
          </w:p>
        </w:tc>
        <w:tc>
          <w:tcPr>
            <w:tcW w:w="535" w:type="pct"/>
            <w:tcBorders>
              <w:top w:val="nil"/>
              <w:left w:val="nil"/>
              <w:right w:val="nil"/>
            </w:tcBorders>
            <w:vAlign w:val="bottom"/>
          </w:tcPr>
          <w:p w14:paraId="5ADE21C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259 800</w:t>
            </w:r>
          </w:p>
        </w:tc>
        <w:tc>
          <w:tcPr>
            <w:tcW w:w="533" w:type="pct"/>
            <w:tcBorders>
              <w:top w:val="nil"/>
              <w:left w:val="nil"/>
              <w:right w:val="nil"/>
            </w:tcBorders>
            <w:vAlign w:val="bottom"/>
          </w:tcPr>
          <w:p w14:paraId="16C3229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266 900</w:t>
            </w:r>
          </w:p>
        </w:tc>
        <w:tc>
          <w:tcPr>
            <w:tcW w:w="531" w:type="pct"/>
            <w:tcBorders>
              <w:top w:val="nil"/>
              <w:left w:val="nil"/>
              <w:right w:val="nil"/>
            </w:tcBorders>
            <w:vAlign w:val="bottom"/>
          </w:tcPr>
          <w:p w14:paraId="5712DD63"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273 650</w:t>
            </w:r>
          </w:p>
        </w:tc>
        <w:tc>
          <w:tcPr>
            <w:tcW w:w="531" w:type="pct"/>
            <w:tcBorders>
              <w:top w:val="nil"/>
              <w:left w:val="nil"/>
              <w:right w:val="nil"/>
            </w:tcBorders>
            <w:vAlign w:val="bottom"/>
          </w:tcPr>
          <w:p w14:paraId="09C3F35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278 950</w:t>
            </w:r>
          </w:p>
        </w:tc>
      </w:tr>
      <w:tr w:rsidR="0083434C" w:rsidRPr="00D861B9" w14:paraId="31DB7FF5" w14:textId="77777777" w:rsidTr="008E4229">
        <w:trPr>
          <w:jc w:val="center"/>
        </w:trPr>
        <w:tc>
          <w:tcPr>
            <w:tcW w:w="1309" w:type="pct"/>
            <w:tcBorders>
              <w:top w:val="nil"/>
              <w:left w:val="nil"/>
              <w:right w:val="nil"/>
            </w:tcBorders>
            <w:vAlign w:val="bottom"/>
          </w:tcPr>
          <w:p w14:paraId="6500CA98" w14:textId="77777777" w:rsidR="0083434C" w:rsidRPr="00DF1644" w:rsidRDefault="0083434C" w:rsidP="00083940">
            <w:pPr>
              <w:autoSpaceDE w:val="0"/>
              <w:autoSpaceDN w:val="0"/>
              <w:adjustRightInd w:val="0"/>
              <w:spacing w:before="80" w:after="0" w:line="220" w:lineRule="exact"/>
              <w:ind w:right="80"/>
              <w:rPr>
                <w:rStyle w:val="kursiv"/>
                <w:i w:val="0"/>
                <w:sz w:val="20"/>
              </w:rPr>
            </w:pPr>
            <w:r w:rsidRPr="00DF1644">
              <w:rPr>
                <w:rStyle w:val="kursiv"/>
                <w:sz w:val="20"/>
              </w:rPr>
              <w:t>Nedtrappingssats trinn 2, pst.</w:t>
            </w:r>
          </w:p>
        </w:tc>
        <w:tc>
          <w:tcPr>
            <w:tcW w:w="511" w:type="pct"/>
            <w:tcBorders>
              <w:top w:val="nil"/>
              <w:left w:val="nil"/>
              <w:right w:val="nil"/>
            </w:tcBorders>
            <w:vAlign w:val="bottom"/>
          </w:tcPr>
          <w:p w14:paraId="6A6928D2"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5F4FE6F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c>
          <w:tcPr>
            <w:tcW w:w="503" w:type="pct"/>
            <w:tcBorders>
              <w:top w:val="nil"/>
              <w:left w:val="nil"/>
              <w:right w:val="nil"/>
            </w:tcBorders>
            <w:vAlign w:val="bottom"/>
          </w:tcPr>
          <w:p w14:paraId="175B7F8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c>
          <w:tcPr>
            <w:tcW w:w="535" w:type="pct"/>
            <w:tcBorders>
              <w:top w:val="nil"/>
              <w:left w:val="nil"/>
              <w:right w:val="nil"/>
            </w:tcBorders>
            <w:vAlign w:val="bottom"/>
          </w:tcPr>
          <w:p w14:paraId="2C38E91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c>
          <w:tcPr>
            <w:tcW w:w="533" w:type="pct"/>
            <w:tcBorders>
              <w:top w:val="nil"/>
              <w:left w:val="nil"/>
              <w:right w:val="nil"/>
            </w:tcBorders>
            <w:vAlign w:val="bottom"/>
          </w:tcPr>
          <w:p w14:paraId="1E52D8E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14:paraId="6B5886B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c>
          <w:tcPr>
            <w:tcW w:w="531" w:type="pct"/>
            <w:tcBorders>
              <w:top w:val="nil"/>
              <w:left w:val="nil"/>
              <w:right w:val="nil"/>
            </w:tcBorders>
            <w:vAlign w:val="bottom"/>
          </w:tcPr>
          <w:p w14:paraId="3E35D28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6,0</w:t>
            </w:r>
          </w:p>
        </w:tc>
      </w:tr>
      <w:tr w:rsidR="0083434C" w:rsidRPr="00D861B9" w14:paraId="23BA5B2A" w14:textId="77777777" w:rsidTr="008E4229">
        <w:trPr>
          <w:jc w:val="center"/>
        </w:trPr>
        <w:tc>
          <w:tcPr>
            <w:tcW w:w="1309" w:type="pct"/>
            <w:tcBorders>
              <w:top w:val="nil"/>
              <w:left w:val="nil"/>
              <w:right w:val="nil"/>
            </w:tcBorders>
            <w:vAlign w:val="bottom"/>
          </w:tcPr>
          <w:p w14:paraId="4CC8A2D5" w14:textId="221663D5" w:rsidR="0083434C" w:rsidRPr="004952B9" w:rsidRDefault="0083434C" w:rsidP="008E4229">
            <w:pPr>
              <w:autoSpaceDE w:val="0"/>
              <w:autoSpaceDN w:val="0"/>
              <w:adjustRightInd w:val="0"/>
              <w:spacing w:before="80" w:after="0" w:line="220" w:lineRule="exact"/>
              <w:ind w:right="80"/>
              <w:rPr>
                <w:rStyle w:val="kursiv"/>
                <w:sz w:val="20"/>
                <w:vertAlign w:val="superscript"/>
              </w:rPr>
            </w:pPr>
            <w:r w:rsidRPr="00D861B9">
              <w:rPr>
                <w:rStyle w:val="kursiv"/>
                <w:sz w:val="20"/>
              </w:rPr>
              <w:t>j</w:t>
            </w:r>
            <w:r>
              <w:rPr>
                <w:rStyle w:val="kursiv"/>
                <w:sz w:val="20"/>
              </w:rPr>
              <w:t>.Skattebegrensningsregelen</w:t>
            </w:r>
            <w:r>
              <w:rPr>
                <w:rStyle w:val="kursiv"/>
                <w:sz w:val="20"/>
                <w:vertAlign w:val="superscript"/>
              </w:rPr>
              <w:t>5</w:t>
            </w:r>
          </w:p>
        </w:tc>
        <w:tc>
          <w:tcPr>
            <w:tcW w:w="511" w:type="pct"/>
            <w:tcBorders>
              <w:top w:val="nil"/>
              <w:left w:val="nil"/>
              <w:right w:val="nil"/>
            </w:tcBorders>
            <w:vAlign w:val="bottom"/>
          </w:tcPr>
          <w:p w14:paraId="481BB47F"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right w:val="nil"/>
            </w:tcBorders>
            <w:vAlign w:val="bottom"/>
          </w:tcPr>
          <w:p w14:paraId="69E85449"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right w:val="nil"/>
            </w:tcBorders>
            <w:vAlign w:val="bottom"/>
          </w:tcPr>
          <w:p w14:paraId="10F660CB"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right w:val="nil"/>
            </w:tcBorders>
            <w:vAlign w:val="bottom"/>
          </w:tcPr>
          <w:p w14:paraId="56EC1147"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right w:val="nil"/>
            </w:tcBorders>
            <w:vAlign w:val="bottom"/>
          </w:tcPr>
          <w:p w14:paraId="395FC036"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295DB547"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right w:val="nil"/>
            </w:tcBorders>
            <w:vAlign w:val="bottom"/>
          </w:tcPr>
          <w:p w14:paraId="0B004095" w14:textId="77777777" w:rsidR="0083434C"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497CB72" w14:textId="77777777" w:rsidTr="008E4229">
        <w:trPr>
          <w:jc w:val="center"/>
        </w:trPr>
        <w:tc>
          <w:tcPr>
            <w:tcW w:w="1309" w:type="pct"/>
            <w:tcBorders>
              <w:top w:val="nil"/>
              <w:left w:val="nil"/>
              <w:bottom w:val="nil"/>
              <w:right w:val="nil"/>
            </w:tcBorders>
            <w:vAlign w:val="bottom"/>
          </w:tcPr>
          <w:p w14:paraId="3F48153A" w14:textId="77777777" w:rsidR="0083434C" w:rsidRPr="00DF1644" w:rsidRDefault="0083434C" w:rsidP="00083940">
            <w:pPr>
              <w:autoSpaceDE w:val="0"/>
              <w:autoSpaceDN w:val="0"/>
              <w:adjustRightInd w:val="0"/>
              <w:spacing w:before="80" w:after="0" w:line="220" w:lineRule="exact"/>
              <w:ind w:right="80"/>
              <w:rPr>
                <w:i/>
                <w:noProof/>
                <w:sz w:val="20"/>
              </w:rPr>
            </w:pPr>
            <w:r w:rsidRPr="00DF1644">
              <w:rPr>
                <w:rStyle w:val="kursiv"/>
                <w:sz w:val="20"/>
              </w:rPr>
              <w:t>Avtrappingssats, pst.</w:t>
            </w:r>
          </w:p>
        </w:tc>
        <w:tc>
          <w:tcPr>
            <w:tcW w:w="511" w:type="pct"/>
            <w:tcBorders>
              <w:top w:val="nil"/>
              <w:left w:val="nil"/>
              <w:bottom w:val="nil"/>
              <w:right w:val="nil"/>
            </w:tcBorders>
            <w:vAlign w:val="bottom"/>
          </w:tcPr>
          <w:p w14:paraId="4B632A09"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47" w:type="pct"/>
            <w:tcBorders>
              <w:top w:val="nil"/>
              <w:left w:val="nil"/>
              <w:bottom w:val="nil"/>
              <w:right w:val="nil"/>
            </w:tcBorders>
            <w:vAlign w:val="bottom"/>
          </w:tcPr>
          <w:p w14:paraId="36507E8D"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03" w:type="pct"/>
            <w:tcBorders>
              <w:top w:val="nil"/>
              <w:left w:val="nil"/>
              <w:bottom w:val="nil"/>
              <w:right w:val="nil"/>
            </w:tcBorders>
            <w:vAlign w:val="bottom"/>
          </w:tcPr>
          <w:p w14:paraId="4913B48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35" w:type="pct"/>
            <w:tcBorders>
              <w:top w:val="nil"/>
              <w:left w:val="nil"/>
              <w:bottom w:val="nil"/>
              <w:right w:val="nil"/>
            </w:tcBorders>
            <w:vAlign w:val="bottom"/>
          </w:tcPr>
          <w:p w14:paraId="14024A1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33" w:type="pct"/>
            <w:tcBorders>
              <w:top w:val="nil"/>
              <w:left w:val="nil"/>
              <w:bottom w:val="nil"/>
              <w:right w:val="nil"/>
            </w:tcBorders>
            <w:vAlign w:val="bottom"/>
          </w:tcPr>
          <w:p w14:paraId="36E0DEB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14:paraId="6BCC2F0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c>
          <w:tcPr>
            <w:tcW w:w="531" w:type="pct"/>
            <w:tcBorders>
              <w:top w:val="nil"/>
              <w:left w:val="nil"/>
              <w:bottom w:val="nil"/>
              <w:right w:val="nil"/>
            </w:tcBorders>
            <w:vAlign w:val="bottom"/>
          </w:tcPr>
          <w:p w14:paraId="1335DE2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55,0</w:t>
            </w:r>
          </w:p>
        </w:tc>
      </w:tr>
      <w:tr w:rsidR="0083434C" w:rsidRPr="00D861B9" w14:paraId="25A211C9" w14:textId="77777777" w:rsidTr="008E4229">
        <w:trPr>
          <w:trHeight w:val="249"/>
          <w:jc w:val="center"/>
        </w:trPr>
        <w:tc>
          <w:tcPr>
            <w:tcW w:w="1309" w:type="pct"/>
            <w:tcBorders>
              <w:top w:val="nil"/>
              <w:left w:val="nil"/>
              <w:bottom w:val="nil"/>
              <w:right w:val="nil"/>
            </w:tcBorders>
            <w:vAlign w:val="bottom"/>
          </w:tcPr>
          <w:p w14:paraId="1E648904" w14:textId="77777777" w:rsidR="0083434C" w:rsidRPr="00DF1644" w:rsidRDefault="0083434C" w:rsidP="00083940">
            <w:pPr>
              <w:autoSpaceDE w:val="0"/>
              <w:autoSpaceDN w:val="0"/>
              <w:adjustRightInd w:val="0"/>
              <w:spacing w:before="80" w:after="0" w:line="220" w:lineRule="exact"/>
              <w:ind w:right="80"/>
              <w:rPr>
                <w:i/>
                <w:noProof/>
                <w:sz w:val="20"/>
              </w:rPr>
            </w:pPr>
            <w:r w:rsidRPr="00DF1644">
              <w:rPr>
                <w:rStyle w:val="kursiv"/>
                <w:sz w:val="20"/>
              </w:rPr>
              <w:t>Skattefri nettoinntekt</w:t>
            </w:r>
          </w:p>
        </w:tc>
        <w:tc>
          <w:tcPr>
            <w:tcW w:w="511" w:type="pct"/>
            <w:tcBorders>
              <w:top w:val="nil"/>
              <w:left w:val="nil"/>
              <w:bottom w:val="nil"/>
              <w:right w:val="nil"/>
            </w:tcBorders>
            <w:vAlign w:val="bottom"/>
          </w:tcPr>
          <w:p w14:paraId="11E9259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852C74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5AB2B61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15009A6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532F1EAE"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1B8CFD4"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3A09D0F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4D7D1296" w14:textId="77777777" w:rsidTr="008E4229">
        <w:trPr>
          <w:jc w:val="center"/>
        </w:trPr>
        <w:tc>
          <w:tcPr>
            <w:tcW w:w="1309" w:type="pct"/>
            <w:tcBorders>
              <w:top w:val="nil"/>
              <w:left w:val="nil"/>
              <w:bottom w:val="nil"/>
              <w:right w:val="nil"/>
            </w:tcBorders>
            <w:vAlign w:val="bottom"/>
          </w:tcPr>
          <w:p w14:paraId="55910A22"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Enslige</w:t>
            </w:r>
            <w:r>
              <w:rPr>
                <w:noProof/>
                <w:sz w:val="20"/>
              </w:rPr>
              <w:t>, kr</w:t>
            </w:r>
          </w:p>
        </w:tc>
        <w:tc>
          <w:tcPr>
            <w:tcW w:w="511" w:type="pct"/>
            <w:tcBorders>
              <w:top w:val="nil"/>
              <w:left w:val="nil"/>
              <w:bottom w:val="nil"/>
              <w:right w:val="nil"/>
            </w:tcBorders>
            <w:vAlign w:val="bottom"/>
          </w:tcPr>
          <w:p w14:paraId="383EAA7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113 700</w:t>
            </w:r>
          </w:p>
        </w:tc>
        <w:tc>
          <w:tcPr>
            <w:tcW w:w="547" w:type="pct"/>
            <w:tcBorders>
              <w:top w:val="nil"/>
              <w:left w:val="nil"/>
              <w:bottom w:val="nil"/>
              <w:right w:val="nil"/>
            </w:tcBorders>
            <w:vAlign w:val="bottom"/>
          </w:tcPr>
          <w:p w14:paraId="571DA71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117 400</w:t>
            </w:r>
          </w:p>
        </w:tc>
        <w:tc>
          <w:tcPr>
            <w:tcW w:w="503" w:type="pct"/>
            <w:tcBorders>
              <w:top w:val="nil"/>
              <w:left w:val="nil"/>
              <w:bottom w:val="nil"/>
              <w:right w:val="nil"/>
            </w:tcBorders>
            <w:vAlign w:val="bottom"/>
          </w:tcPr>
          <w:p w14:paraId="279EEDE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122 100</w:t>
            </w:r>
          </w:p>
        </w:tc>
        <w:tc>
          <w:tcPr>
            <w:tcW w:w="535" w:type="pct"/>
            <w:tcBorders>
              <w:top w:val="nil"/>
              <w:left w:val="nil"/>
              <w:bottom w:val="nil"/>
              <w:right w:val="nil"/>
            </w:tcBorders>
            <w:vAlign w:val="bottom"/>
          </w:tcPr>
          <w:p w14:paraId="171874C8"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127 000</w:t>
            </w:r>
          </w:p>
        </w:tc>
        <w:tc>
          <w:tcPr>
            <w:tcW w:w="533" w:type="pct"/>
            <w:tcBorders>
              <w:top w:val="nil"/>
              <w:left w:val="nil"/>
              <w:bottom w:val="nil"/>
              <w:right w:val="nil"/>
            </w:tcBorders>
            <w:vAlign w:val="bottom"/>
          </w:tcPr>
          <w:p w14:paraId="2044DE4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131 400</w:t>
            </w:r>
          </w:p>
        </w:tc>
        <w:tc>
          <w:tcPr>
            <w:tcW w:w="531" w:type="pct"/>
            <w:tcBorders>
              <w:top w:val="nil"/>
              <w:left w:val="nil"/>
              <w:bottom w:val="nil"/>
              <w:right w:val="nil"/>
            </w:tcBorders>
            <w:vAlign w:val="bottom"/>
          </w:tcPr>
          <w:p w14:paraId="0D10C196"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135 700</w:t>
            </w:r>
          </w:p>
        </w:tc>
        <w:tc>
          <w:tcPr>
            <w:tcW w:w="531" w:type="pct"/>
            <w:tcBorders>
              <w:top w:val="nil"/>
              <w:left w:val="nil"/>
              <w:bottom w:val="nil"/>
              <w:right w:val="nil"/>
            </w:tcBorders>
            <w:vAlign w:val="bottom"/>
          </w:tcPr>
          <w:p w14:paraId="56DF3EE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139 400</w:t>
            </w:r>
          </w:p>
        </w:tc>
      </w:tr>
      <w:tr w:rsidR="0083434C" w:rsidRPr="00D861B9" w14:paraId="16577892" w14:textId="77777777" w:rsidTr="008E4229">
        <w:trPr>
          <w:jc w:val="center"/>
        </w:trPr>
        <w:tc>
          <w:tcPr>
            <w:tcW w:w="1309" w:type="pct"/>
            <w:tcBorders>
              <w:top w:val="nil"/>
              <w:left w:val="nil"/>
              <w:bottom w:val="nil"/>
              <w:right w:val="nil"/>
            </w:tcBorders>
            <w:vAlign w:val="bottom"/>
          </w:tcPr>
          <w:p w14:paraId="523EE932"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Ektepar</w:t>
            </w:r>
            <w:r>
              <w:rPr>
                <w:noProof/>
                <w:sz w:val="20"/>
              </w:rPr>
              <w:t>, kr</w:t>
            </w:r>
          </w:p>
        </w:tc>
        <w:tc>
          <w:tcPr>
            <w:tcW w:w="511" w:type="pct"/>
            <w:tcBorders>
              <w:top w:val="nil"/>
              <w:left w:val="nil"/>
              <w:bottom w:val="nil"/>
              <w:right w:val="nil"/>
            </w:tcBorders>
            <w:vAlign w:val="bottom"/>
          </w:tcPr>
          <w:p w14:paraId="528501C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206 700</w:t>
            </w:r>
          </w:p>
        </w:tc>
        <w:tc>
          <w:tcPr>
            <w:tcW w:w="547" w:type="pct"/>
            <w:tcBorders>
              <w:top w:val="nil"/>
              <w:left w:val="nil"/>
              <w:bottom w:val="nil"/>
              <w:right w:val="nil"/>
            </w:tcBorders>
            <w:vAlign w:val="bottom"/>
          </w:tcPr>
          <w:p w14:paraId="53A2D8C2"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296268AA"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3F560199"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61881B21"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3D85A4F1" w14:textId="77777777" w:rsidR="0083434C" w:rsidDel="00603617"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4B15973A" w14:textId="77777777" w:rsidR="0083434C"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0CDA51D3" w14:textId="77777777" w:rsidTr="008E4229">
        <w:trPr>
          <w:jc w:val="center"/>
        </w:trPr>
        <w:tc>
          <w:tcPr>
            <w:tcW w:w="1309" w:type="pct"/>
            <w:tcBorders>
              <w:top w:val="nil"/>
              <w:left w:val="nil"/>
              <w:bottom w:val="nil"/>
              <w:right w:val="nil"/>
            </w:tcBorders>
            <w:vAlign w:val="bottom"/>
          </w:tcPr>
          <w:p w14:paraId="34B92D1E" w14:textId="77777777" w:rsidR="0083434C" w:rsidRPr="00D861B9" w:rsidRDefault="0083434C" w:rsidP="00083940">
            <w:pPr>
              <w:autoSpaceDE w:val="0"/>
              <w:autoSpaceDN w:val="0"/>
              <w:adjustRightInd w:val="0"/>
              <w:spacing w:before="80" w:after="0" w:line="220" w:lineRule="exact"/>
              <w:ind w:right="80"/>
              <w:rPr>
                <w:noProof/>
                <w:sz w:val="20"/>
              </w:rPr>
            </w:pPr>
            <w:r>
              <w:rPr>
                <w:noProof/>
                <w:sz w:val="20"/>
              </w:rPr>
              <w:t>Gifte</w:t>
            </w:r>
            <w:r>
              <w:rPr>
                <w:noProof/>
                <w:sz w:val="20"/>
                <w:vertAlign w:val="superscript"/>
              </w:rPr>
              <w:t>6</w:t>
            </w:r>
            <w:r>
              <w:rPr>
                <w:noProof/>
                <w:sz w:val="20"/>
              </w:rPr>
              <w:t>, kr</w:t>
            </w:r>
          </w:p>
        </w:tc>
        <w:tc>
          <w:tcPr>
            <w:tcW w:w="511" w:type="pct"/>
            <w:tcBorders>
              <w:top w:val="nil"/>
              <w:left w:val="nil"/>
              <w:bottom w:val="nil"/>
              <w:right w:val="nil"/>
            </w:tcBorders>
            <w:vAlign w:val="bottom"/>
          </w:tcPr>
          <w:p w14:paraId="3F049497"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2DC543A4"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107 600</w:t>
            </w:r>
          </w:p>
        </w:tc>
        <w:tc>
          <w:tcPr>
            <w:tcW w:w="503" w:type="pct"/>
            <w:tcBorders>
              <w:top w:val="nil"/>
              <w:left w:val="nil"/>
              <w:bottom w:val="nil"/>
              <w:right w:val="nil"/>
            </w:tcBorders>
            <w:vAlign w:val="bottom"/>
          </w:tcPr>
          <w:p w14:paraId="03C0BBCE"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112 200</w:t>
            </w:r>
          </w:p>
        </w:tc>
        <w:tc>
          <w:tcPr>
            <w:tcW w:w="535" w:type="pct"/>
            <w:tcBorders>
              <w:top w:val="nil"/>
              <w:left w:val="nil"/>
              <w:bottom w:val="nil"/>
              <w:right w:val="nil"/>
            </w:tcBorders>
            <w:vAlign w:val="bottom"/>
          </w:tcPr>
          <w:p w14:paraId="13F17D6B"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116 700</w:t>
            </w:r>
          </w:p>
        </w:tc>
        <w:tc>
          <w:tcPr>
            <w:tcW w:w="533" w:type="pct"/>
            <w:tcBorders>
              <w:top w:val="nil"/>
              <w:left w:val="nil"/>
              <w:bottom w:val="nil"/>
              <w:right w:val="nil"/>
            </w:tcBorders>
            <w:vAlign w:val="bottom"/>
          </w:tcPr>
          <w:p w14:paraId="32653276" w14:textId="77777777" w:rsidR="0083434C" w:rsidRPr="008B4289" w:rsidRDefault="0083434C" w:rsidP="00083940">
            <w:pPr>
              <w:autoSpaceDE w:val="0"/>
              <w:autoSpaceDN w:val="0"/>
              <w:adjustRightInd w:val="0"/>
              <w:spacing w:before="80" w:after="0" w:line="220" w:lineRule="exact"/>
              <w:ind w:left="80" w:right="80"/>
              <w:jc w:val="right"/>
              <w:rPr>
                <w:noProof/>
                <w:sz w:val="20"/>
                <w:vertAlign w:val="superscript"/>
              </w:rPr>
            </w:pPr>
            <w:r>
              <w:rPr>
                <w:noProof/>
                <w:sz w:val="20"/>
              </w:rPr>
              <w:t>120 800</w:t>
            </w:r>
          </w:p>
        </w:tc>
        <w:tc>
          <w:tcPr>
            <w:tcW w:w="531" w:type="pct"/>
            <w:tcBorders>
              <w:top w:val="nil"/>
              <w:left w:val="nil"/>
              <w:bottom w:val="nil"/>
              <w:right w:val="nil"/>
            </w:tcBorders>
            <w:vAlign w:val="bottom"/>
          </w:tcPr>
          <w:p w14:paraId="6F4DA25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124 800</w:t>
            </w:r>
          </w:p>
        </w:tc>
        <w:tc>
          <w:tcPr>
            <w:tcW w:w="531" w:type="pct"/>
            <w:tcBorders>
              <w:top w:val="nil"/>
              <w:left w:val="nil"/>
              <w:bottom w:val="nil"/>
              <w:right w:val="nil"/>
            </w:tcBorders>
            <w:vAlign w:val="bottom"/>
          </w:tcPr>
          <w:p w14:paraId="105AF79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128 150</w:t>
            </w:r>
          </w:p>
        </w:tc>
      </w:tr>
      <w:tr w:rsidR="0083434C" w:rsidRPr="00D861B9" w14:paraId="5092A7C0" w14:textId="77777777" w:rsidTr="008E4229">
        <w:trPr>
          <w:jc w:val="center"/>
        </w:trPr>
        <w:tc>
          <w:tcPr>
            <w:tcW w:w="1309" w:type="pct"/>
            <w:tcBorders>
              <w:top w:val="nil"/>
              <w:left w:val="nil"/>
              <w:bottom w:val="nil"/>
              <w:right w:val="nil"/>
            </w:tcBorders>
            <w:vAlign w:val="bottom"/>
          </w:tcPr>
          <w:p w14:paraId="2E81D4EF"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l</w:t>
            </w:r>
            <w:r>
              <w:rPr>
                <w:rStyle w:val="kursiv"/>
                <w:sz w:val="20"/>
              </w:rPr>
              <w:t>.</w:t>
            </w:r>
            <w:r w:rsidRPr="00D861B9">
              <w:rPr>
                <w:rStyle w:val="kursiv"/>
                <w:sz w:val="20"/>
              </w:rPr>
              <w:t xml:space="preserve"> </w:t>
            </w:r>
            <w:r>
              <w:rPr>
                <w:rStyle w:val="kursiv"/>
                <w:sz w:val="20"/>
              </w:rPr>
              <w:t>F</w:t>
            </w:r>
            <w:r w:rsidRPr="00D861B9">
              <w:rPr>
                <w:rStyle w:val="kursiv"/>
                <w:sz w:val="20"/>
              </w:rPr>
              <w:t>oreldrefradrag (for barn under 12 år)</w:t>
            </w:r>
          </w:p>
        </w:tc>
        <w:tc>
          <w:tcPr>
            <w:tcW w:w="511" w:type="pct"/>
            <w:tcBorders>
              <w:top w:val="nil"/>
              <w:left w:val="nil"/>
              <w:bottom w:val="nil"/>
              <w:right w:val="nil"/>
            </w:tcBorders>
            <w:vAlign w:val="bottom"/>
          </w:tcPr>
          <w:p w14:paraId="45D2A107"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C7858F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6FF9EA3F"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619C7004"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4982307B"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228AAF2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3D6E6E8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6AD1C0E" w14:textId="77777777" w:rsidTr="008E4229">
        <w:trPr>
          <w:jc w:val="center"/>
        </w:trPr>
        <w:tc>
          <w:tcPr>
            <w:tcW w:w="1309" w:type="pct"/>
            <w:tcBorders>
              <w:top w:val="nil"/>
              <w:left w:val="nil"/>
              <w:bottom w:val="nil"/>
              <w:right w:val="nil"/>
            </w:tcBorders>
            <w:vAlign w:val="bottom"/>
          </w:tcPr>
          <w:p w14:paraId="253A5CE0"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 ett barn</w:t>
            </w:r>
            <w:r>
              <w:rPr>
                <w:noProof/>
                <w:sz w:val="20"/>
              </w:rPr>
              <w:t>, kr</w:t>
            </w:r>
          </w:p>
        </w:tc>
        <w:tc>
          <w:tcPr>
            <w:tcW w:w="511" w:type="pct"/>
            <w:tcBorders>
              <w:top w:val="nil"/>
              <w:left w:val="nil"/>
              <w:bottom w:val="nil"/>
              <w:right w:val="nil"/>
            </w:tcBorders>
            <w:vAlign w:val="bottom"/>
          </w:tcPr>
          <w:p w14:paraId="4B09B4F9"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47" w:type="pct"/>
            <w:tcBorders>
              <w:top w:val="nil"/>
              <w:left w:val="nil"/>
              <w:bottom w:val="nil"/>
              <w:right w:val="nil"/>
            </w:tcBorders>
            <w:vAlign w:val="bottom"/>
          </w:tcPr>
          <w:p w14:paraId="4E7085C1"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03" w:type="pct"/>
            <w:tcBorders>
              <w:top w:val="nil"/>
              <w:left w:val="nil"/>
              <w:bottom w:val="nil"/>
              <w:right w:val="nil"/>
            </w:tcBorders>
            <w:vAlign w:val="bottom"/>
          </w:tcPr>
          <w:p w14:paraId="4DC81A06"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35" w:type="pct"/>
            <w:tcBorders>
              <w:top w:val="nil"/>
              <w:left w:val="nil"/>
              <w:bottom w:val="nil"/>
              <w:right w:val="nil"/>
            </w:tcBorders>
            <w:vAlign w:val="bottom"/>
          </w:tcPr>
          <w:p w14:paraId="109B3B0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33" w:type="pct"/>
            <w:tcBorders>
              <w:top w:val="nil"/>
              <w:left w:val="nil"/>
              <w:bottom w:val="nil"/>
              <w:right w:val="nil"/>
            </w:tcBorders>
            <w:vAlign w:val="bottom"/>
          </w:tcPr>
          <w:p w14:paraId="2E33ABF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14:paraId="0F5926A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c>
          <w:tcPr>
            <w:tcW w:w="531" w:type="pct"/>
            <w:tcBorders>
              <w:top w:val="nil"/>
              <w:left w:val="nil"/>
              <w:bottom w:val="nil"/>
              <w:right w:val="nil"/>
            </w:tcBorders>
            <w:vAlign w:val="bottom"/>
          </w:tcPr>
          <w:p w14:paraId="6A2DB607"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25 000</w:t>
            </w:r>
          </w:p>
        </w:tc>
      </w:tr>
      <w:tr w:rsidR="0083434C" w:rsidRPr="00D861B9" w14:paraId="0059689C" w14:textId="77777777" w:rsidTr="008E4229">
        <w:trPr>
          <w:jc w:val="center"/>
        </w:trPr>
        <w:tc>
          <w:tcPr>
            <w:tcW w:w="1309" w:type="pct"/>
            <w:tcBorders>
              <w:top w:val="nil"/>
              <w:left w:val="nil"/>
              <w:bottom w:val="nil"/>
              <w:right w:val="nil"/>
            </w:tcBorders>
            <w:vAlign w:val="bottom"/>
          </w:tcPr>
          <w:p w14:paraId="6A1A4C67"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 to barn</w:t>
            </w:r>
            <w:r>
              <w:rPr>
                <w:noProof/>
                <w:sz w:val="20"/>
              </w:rPr>
              <w:t>, kr</w:t>
            </w:r>
          </w:p>
        </w:tc>
        <w:tc>
          <w:tcPr>
            <w:tcW w:w="511" w:type="pct"/>
            <w:tcBorders>
              <w:top w:val="nil"/>
              <w:left w:val="nil"/>
              <w:bottom w:val="nil"/>
              <w:right w:val="nil"/>
            </w:tcBorders>
            <w:vAlign w:val="bottom"/>
          </w:tcPr>
          <w:p w14:paraId="0DF20D6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47" w:type="pct"/>
            <w:tcBorders>
              <w:top w:val="nil"/>
              <w:left w:val="nil"/>
              <w:bottom w:val="nil"/>
              <w:right w:val="nil"/>
            </w:tcBorders>
            <w:vAlign w:val="bottom"/>
          </w:tcPr>
          <w:p w14:paraId="19F9A155"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03" w:type="pct"/>
            <w:tcBorders>
              <w:top w:val="nil"/>
              <w:left w:val="nil"/>
              <w:bottom w:val="nil"/>
              <w:right w:val="nil"/>
            </w:tcBorders>
            <w:vAlign w:val="bottom"/>
          </w:tcPr>
          <w:p w14:paraId="18AEFD1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35" w:type="pct"/>
            <w:tcBorders>
              <w:top w:val="nil"/>
              <w:left w:val="nil"/>
              <w:bottom w:val="nil"/>
              <w:right w:val="nil"/>
            </w:tcBorders>
            <w:vAlign w:val="bottom"/>
          </w:tcPr>
          <w:p w14:paraId="0C30329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33" w:type="pct"/>
            <w:tcBorders>
              <w:top w:val="nil"/>
              <w:left w:val="nil"/>
              <w:bottom w:val="nil"/>
              <w:right w:val="nil"/>
            </w:tcBorders>
            <w:vAlign w:val="bottom"/>
          </w:tcPr>
          <w:p w14:paraId="3010F55D"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14:paraId="15A1C0F6"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c>
          <w:tcPr>
            <w:tcW w:w="531" w:type="pct"/>
            <w:tcBorders>
              <w:top w:val="nil"/>
              <w:left w:val="nil"/>
              <w:bottom w:val="nil"/>
              <w:right w:val="nil"/>
            </w:tcBorders>
            <w:vAlign w:val="bottom"/>
          </w:tcPr>
          <w:p w14:paraId="79745E7A"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40 000</w:t>
            </w:r>
          </w:p>
        </w:tc>
      </w:tr>
      <w:tr w:rsidR="0083434C" w:rsidRPr="00D861B9" w14:paraId="4D6FC613" w14:textId="77777777" w:rsidTr="008E4229">
        <w:trPr>
          <w:jc w:val="center"/>
        </w:trPr>
        <w:tc>
          <w:tcPr>
            <w:tcW w:w="1309" w:type="pct"/>
            <w:tcBorders>
              <w:top w:val="nil"/>
              <w:left w:val="nil"/>
              <w:bottom w:val="nil"/>
              <w:right w:val="nil"/>
            </w:tcBorders>
            <w:vAlign w:val="bottom"/>
          </w:tcPr>
          <w:p w14:paraId="010EC693"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 tre barn</w:t>
            </w:r>
            <w:r>
              <w:rPr>
                <w:noProof/>
                <w:sz w:val="20"/>
              </w:rPr>
              <w:t>, kr</w:t>
            </w:r>
          </w:p>
        </w:tc>
        <w:tc>
          <w:tcPr>
            <w:tcW w:w="511" w:type="pct"/>
            <w:tcBorders>
              <w:top w:val="nil"/>
              <w:left w:val="nil"/>
              <w:bottom w:val="nil"/>
              <w:right w:val="nil"/>
            </w:tcBorders>
            <w:vAlign w:val="bottom"/>
          </w:tcPr>
          <w:p w14:paraId="2EE494BA"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47" w:type="pct"/>
            <w:tcBorders>
              <w:top w:val="nil"/>
              <w:left w:val="nil"/>
              <w:bottom w:val="nil"/>
              <w:right w:val="nil"/>
            </w:tcBorders>
            <w:vAlign w:val="bottom"/>
          </w:tcPr>
          <w:p w14:paraId="122A629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03" w:type="pct"/>
            <w:tcBorders>
              <w:top w:val="nil"/>
              <w:left w:val="nil"/>
              <w:bottom w:val="nil"/>
              <w:right w:val="nil"/>
            </w:tcBorders>
            <w:vAlign w:val="bottom"/>
          </w:tcPr>
          <w:p w14:paraId="7F1466A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35" w:type="pct"/>
            <w:tcBorders>
              <w:top w:val="nil"/>
              <w:left w:val="nil"/>
              <w:bottom w:val="nil"/>
              <w:right w:val="nil"/>
            </w:tcBorders>
            <w:vAlign w:val="bottom"/>
          </w:tcPr>
          <w:p w14:paraId="4CB24EC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33" w:type="pct"/>
            <w:tcBorders>
              <w:top w:val="nil"/>
              <w:left w:val="nil"/>
              <w:bottom w:val="nil"/>
              <w:right w:val="nil"/>
            </w:tcBorders>
            <w:vAlign w:val="bottom"/>
          </w:tcPr>
          <w:p w14:paraId="6F8456B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14:paraId="42FECBEC"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c>
          <w:tcPr>
            <w:tcW w:w="531" w:type="pct"/>
            <w:tcBorders>
              <w:top w:val="nil"/>
              <w:left w:val="nil"/>
              <w:bottom w:val="nil"/>
              <w:right w:val="nil"/>
            </w:tcBorders>
            <w:vAlign w:val="bottom"/>
          </w:tcPr>
          <w:p w14:paraId="43E1EDE2"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55 000</w:t>
            </w:r>
          </w:p>
        </w:tc>
      </w:tr>
      <w:tr w:rsidR="0083434C" w:rsidRPr="00D861B9" w14:paraId="6A658149" w14:textId="77777777" w:rsidTr="008E4229">
        <w:trPr>
          <w:jc w:val="center"/>
        </w:trPr>
        <w:tc>
          <w:tcPr>
            <w:tcW w:w="1309" w:type="pct"/>
            <w:tcBorders>
              <w:top w:val="nil"/>
              <w:left w:val="nil"/>
              <w:bottom w:val="nil"/>
              <w:right w:val="nil"/>
            </w:tcBorders>
            <w:vAlign w:val="bottom"/>
          </w:tcPr>
          <w:p w14:paraId="540EB1F9"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Øvre grense, fire barn</w:t>
            </w:r>
            <w:r>
              <w:rPr>
                <w:noProof/>
                <w:sz w:val="20"/>
              </w:rPr>
              <w:t>, kr</w:t>
            </w:r>
          </w:p>
        </w:tc>
        <w:tc>
          <w:tcPr>
            <w:tcW w:w="511" w:type="pct"/>
            <w:tcBorders>
              <w:top w:val="nil"/>
              <w:left w:val="nil"/>
              <w:bottom w:val="nil"/>
              <w:right w:val="nil"/>
            </w:tcBorders>
            <w:vAlign w:val="bottom"/>
          </w:tcPr>
          <w:p w14:paraId="52CE8CF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47" w:type="pct"/>
            <w:tcBorders>
              <w:top w:val="nil"/>
              <w:left w:val="nil"/>
              <w:bottom w:val="nil"/>
              <w:right w:val="nil"/>
            </w:tcBorders>
            <w:vAlign w:val="bottom"/>
          </w:tcPr>
          <w:p w14:paraId="59022AE8"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03" w:type="pct"/>
            <w:tcBorders>
              <w:top w:val="nil"/>
              <w:left w:val="nil"/>
              <w:bottom w:val="nil"/>
              <w:right w:val="nil"/>
            </w:tcBorders>
            <w:vAlign w:val="bottom"/>
          </w:tcPr>
          <w:p w14:paraId="4334DDF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35" w:type="pct"/>
            <w:tcBorders>
              <w:top w:val="nil"/>
              <w:left w:val="nil"/>
              <w:bottom w:val="nil"/>
              <w:right w:val="nil"/>
            </w:tcBorders>
            <w:vAlign w:val="bottom"/>
          </w:tcPr>
          <w:p w14:paraId="5E337AAF"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33" w:type="pct"/>
            <w:tcBorders>
              <w:top w:val="nil"/>
              <w:left w:val="nil"/>
              <w:bottom w:val="nil"/>
              <w:right w:val="nil"/>
            </w:tcBorders>
            <w:vAlign w:val="bottom"/>
          </w:tcPr>
          <w:p w14:paraId="77F6696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14:paraId="4335BE53"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 xml:space="preserve">70 000                               </w:t>
            </w:r>
          </w:p>
        </w:tc>
        <w:tc>
          <w:tcPr>
            <w:tcW w:w="531" w:type="pct"/>
            <w:tcBorders>
              <w:top w:val="nil"/>
              <w:left w:val="nil"/>
              <w:bottom w:val="nil"/>
              <w:right w:val="nil"/>
            </w:tcBorders>
            <w:vAlign w:val="bottom"/>
          </w:tcPr>
          <w:p w14:paraId="7FD35B60"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70 000</w:t>
            </w:r>
          </w:p>
        </w:tc>
      </w:tr>
      <w:tr w:rsidR="0083434C" w:rsidRPr="00D861B9" w14:paraId="43D0AC54" w14:textId="77777777" w:rsidTr="008E4229">
        <w:trPr>
          <w:jc w:val="center"/>
        </w:trPr>
        <w:tc>
          <w:tcPr>
            <w:tcW w:w="1309" w:type="pct"/>
            <w:tcBorders>
              <w:top w:val="nil"/>
              <w:left w:val="nil"/>
              <w:bottom w:val="nil"/>
              <w:right w:val="nil"/>
            </w:tcBorders>
            <w:vAlign w:val="bottom"/>
          </w:tcPr>
          <w:p w14:paraId="531DC0D5" w14:textId="77777777" w:rsidR="0083434C" w:rsidRPr="00D861B9" w:rsidRDefault="0083434C" w:rsidP="00083940">
            <w:pPr>
              <w:autoSpaceDE w:val="0"/>
              <w:autoSpaceDN w:val="0"/>
              <w:adjustRightInd w:val="0"/>
              <w:spacing w:before="80" w:after="0" w:line="220" w:lineRule="exact"/>
              <w:ind w:right="80"/>
              <w:rPr>
                <w:noProof/>
                <w:sz w:val="20"/>
              </w:rPr>
            </w:pPr>
            <w:r w:rsidRPr="00D861B9">
              <w:rPr>
                <w:noProof/>
                <w:sz w:val="20"/>
              </w:rPr>
              <w:t>Osv.</w:t>
            </w:r>
          </w:p>
        </w:tc>
        <w:tc>
          <w:tcPr>
            <w:tcW w:w="511" w:type="pct"/>
            <w:tcBorders>
              <w:top w:val="nil"/>
              <w:left w:val="nil"/>
              <w:bottom w:val="nil"/>
              <w:right w:val="nil"/>
            </w:tcBorders>
            <w:vAlign w:val="bottom"/>
          </w:tcPr>
          <w:p w14:paraId="377B9A2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1BD482F0"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42AFE55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0FDFE43"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5B10515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1C0E54E6"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6CDBB58C"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1972D274" w14:textId="77777777" w:rsidTr="008E4229">
        <w:trPr>
          <w:jc w:val="center"/>
        </w:trPr>
        <w:tc>
          <w:tcPr>
            <w:tcW w:w="1309" w:type="pct"/>
            <w:tcBorders>
              <w:top w:val="nil"/>
              <w:left w:val="nil"/>
              <w:bottom w:val="nil"/>
              <w:right w:val="nil"/>
            </w:tcBorders>
            <w:vAlign w:val="bottom"/>
          </w:tcPr>
          <w:p w14:paraId="376FDEB8" w14:textId="77777777" w:rsidR="0083434C" w:rsidRPr="00D861B9" w:rsidRDefault="0083434C" w:rsidP="00083940">
            <w:pPr>
              <w:autoSpaceDE w:val="0"/>
              <w:autoSpaceDN w:val="0"/>
              <w:adjustRightInd w:val="0"/>
              <w:spacing w:before="80" w:after="0" w:line="220" w:lineRule="exact"/>
              <w:ind w:right="80"/>
              <w:rPr>
                <w:noProof/>
                <w:sz w:val="20"/>
              </w:rPr>
            </w:pPr>
            <w:r w:rsidRPr="00D861B9">
              <w:rPr>
                <w:rStyle w:val="kursiv"/>
                <w:sz w:val="20"/>
              </w:rPr>
              <w:t>n</w:t>
            </w:r>
            <w:r>
              <w:rPr>
                <w:rStyle w:val="kursiv"/>
                <w:sz w:val="20"/>
              </w:rPr>
              <w:t>.</w:t>
            </w:r>
            <w:r w:rsidRPr="00D861B9">
              <w:rPr>
                <w:rStyle w:val="kursiv"/>
                <w:sz w:val="20"/>
              </w:rPr>
              <w:t xml:space="preserve"> </w:t>
            </w:r>
            <w:r>
              <w:rPr>
                <w:rStyle w:val="kursiv"/>
                <w:sz w:val="20"/>
              </w:rPr>
              <w:t>B</w:t>
            </w:r>
            <w:r w:rsidRPr="00D861B9">
              <w:rPr>
                <w:rStyle w:val="kursiv"/>
                <w:sz w:val="20"/>
              </w:rPr>
              <w:t>arnetrygd</w:t>
            </w:r>
            <w:r>
              <w:rPr>
                <w:rStyle w:val="skrift-hevet"/>
                <w:sz w:val="20"/>
              </w:rPr>
              <w:t>7</w:t>
            </w:r>
          </w:p>
        </w:tc>
        <w:tc>
          <w:tcPr>
            <w:tcW w:w="511" w:type="pct"/>
            <w:tcBorders>
              <w:top w:val="nil"/>
              <w:left w:val="nil"/>
              <w:bottom w:val="nil"/>
              <w:right w:val="nil"/>
            </w:tcBorders>
            <w:vAlign w:val="bottom"/>
          </w:tcPr>
          <w:p w14:paraId="59C00844"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47" w:type="pct"/>
            <w:tcBorders>
              <w:top w:val="nil"/>
              <w:left w:val="nil"/>
              <w:bottom w:val="nil"/>
              <w:right w:val="nil"/>
            </w:tcBorders>
            <w:vAlign w:val="bottom"/>
          </w:tcPr>
          <w:p w14:paraId="370A0739"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03" w:type="pct"/>
            <w:tcBorders>
              <w:top w:val="nil"/>
              <w:left w:val="nil"/>
              <w:bottom w:val="nil"/>
              <w:right w:val="nil"/>
            </w:tcBorders>
            <w:vAlign w:val="bottom"/>
          </w:tcPr>
          <w:p w14:paraId="16C3EC7A"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5" w:type="pct"/>
            <w:tcBorders>
              <w:top w:val="nil"/>
              <w:left w:val="nil"/>
              <w:bottom w:val="nil"/>
              <w:right w:val="nil"/>
            </w:tcBorders>
            <w:vAlign w:val="bottom"/>
          </w:tcPr>
          <w:p w14:paraId="7553C4D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3" w:type="pct"/>
            <w:tcBorders>
              <w:top w:val="nil"/>
              <w:left w:val="nil"/>
              <w:bottom w:val="nil"/>
              <w:right w:val="nil"/>
            </w:tcBorders>
            <w:vAlign w:val="bottom"/>
          </w:tcPr>
          <w:p w14:paraId="29B30848"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4517105"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nil"/>
              <w:right w:val="nil"/>
            </w:tcBorders>
            <w:vAlign w:val="bottom"/>
          </w:tcPr>
          <w:p w14:paraId="5369B5DD" w14:textId="77777777" w:rsidR="0083434C" w:rsidRPr="00D861B9" w:rsidRDefault="0083434C" w:rsidP="00083940">
            <w:pPr>
              <w:autoSpaceDE w:val="0"/>
              <w:autoSpaceDN w:val="0"/>
              <w:adjustRightInd w:val="0"/>
              <w:spacing w:before="80" w:after="0" w:line="220" w:lineRule="exact"/>
              <w:ind w:left="80" w:right="80"/>
              <w:jc w:val="right"/>
              <w:rPr>
                <w:noProof/>
                <w:sz w:val="20"/>
              </w:rPr>
            </w:pPr>
          </w:p>
        </w:tc>
      </w:tr>
      <w:tr w:rsidR="0083434C" w:rsidRPr="00D861B9" w14:paraId="7DA1B1FC" w14:textId="77777777" w:rsidTr="008E4229">
        <w:trPr>
          <w:jc w:val="center"/>
        </w:trPr>
        <w:tc>
          <w:tcPr>
            <w:tcW w:w="1309" w:type="pct"/>
            <w:tcBorders>
              <w:top w:val="nil"/>
              <w:left w:val="nil"/>
              <w:bottom w:val="nil"/>
              <w:right w:val="nil"/>
            </w:tcBorders>
            <w:vAlign w:val="bottom"/>
          </w:tcPr>
          <w:p w14:paraId="65006695" w14:textId="233D7205" w:rsidR="0083434C" w:rsidRPr="00D861B9" w:rsidRDefault="0083434C" w:rsidP="008E4229">
            <w:pPr>
              <w:autoSpaceDE w:val="0"/>
              <w:autoSpaceDN w:val="0"/>
              <w:adjustRightInd w:val="0"/>
              <w:spacing w:before="80" w:after="0" w:line="220" w:lineRule="exact"/>
              <w:ind w:right="80"/>
              <w:rPr>
                <w:noProof/>
                <w:sz w:val="20"/>
              </w:rPr>
            </w:pPr>
            <w:r>
              <w:rPr>
                <w:noProof/>
                <w:sz w:val="20"/>
              </w:rPr>
              <w:t xml:space="preserve">Generell sats per </w:t>
            </w:r>
            <w:r w:rsidRPr="00D861B9">
              <w:rPr>
                <w:noProof/>
                <w:sz w:val="20"/>
              </w:rPr>
              <w:t>barn</w:t>
            </w:r>
            <w:r>
              <w:rPr>
                <w:noProof/>
                <w:sz w:val="20"/>
              </w:rPr>
              <w:t>, kr</w:t>
            </w:r>
          </w:p>
        </w:tc>
        <w:tc>
          <w:tcPr>
            <w:tcW w:w="511" w:type="pct"/>
            <w:tcBorders>
              <w:top w:val="nil"/>
              <w:left w:val="nil"/>
              <w:bottom w:val="nil"/>
              <w:right w:val="nil"/>
            </w:tcBorders>
            <w:vAlign w:val="bottom"/>
          </w:tcPr>
          <w:p w14:paraId="5B6C560B"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11 640</w:t>
            </w:r>
          </w:p>
        </w:tc>
        <w:tc>
          <w:tcPr>
            <w:tcW w:w="547" w:type="pct"/>
            <w:tcBorders>
              <w:top w:val="nil"/>
              <w:left w:val="nil"/>
              <w:bottom w:val="nil"/>
              <w:right w:val="nil"/>
            </w:tcBorders>
            <w:vAlign w:val="bottom"/>
          </w:tcPr>
          <w:p w14:paraId="662DBDC2"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11 640</w:t>
            </w:r>
          </w:p>
        </w:tc>
        <w:tc>
          <w:tcPr>
            <w:tcW w:w="503" w:type="pct"/>
            <w:tcBorders>
              <w:top w:val="nil"/>
              <w:left w:val="nil"/>
              <w:bottom w:val="nil"/>
              <w:right w:val="nil"/>
            </w:tcBorders>
            <w:vAlign w:val="bottom"/>
          </w:tcPr>
          <w:p w14:paraId="03D5AC8C"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11 640</w:t>
            </w:r>
          </w:p>
        </w:tc>
        <w:tc>
          <w:tcPr>
            <w:tcW w:w="535" w:type="pct"/>
            <w:tcBorders>
              <w:top w:val="nil"/>
              <w:left w:val="nil"/>
              <w:bottom w:val="nil"/>
              <w:right w:val="nil"/>
            </w:tcBorders>
            <w:vAlign w:val="bottom"/>
          </w:tcPr>
          <w:p w14:paraId="37492E02" w14:textId="77777777" w:rsidR="0083434C" w:rsidRDefault="0083434C" w:rsidP="00083940">
            <w:pPr>
              <w:autoSpaceDE w:val="0"/>
              <w:autoSpaceDN w:val="0"/>
              <w:adjustRightInd w:val="0"/>
              <w:spacing w:before="80" w:after="0" w:line="220" w:lineRule="exact"/>
              <w:ind w:left="80" w:right="80"/>
              <w:jc w:val="right"/>
              <w:rPr>
                <w:noProof/>
                <w:sz w:val="20"/>
              </w:rPr>
            </w:pPr>
            <w:r w:rsidRPr="00553F39">
              <w:rPr>
                <w:noProof/>
                <w:sz w:val="20"/>
              </w:rPr>
              <w:t>11 640</w:t>
            </w:r>
          </w:p>
        </w:tc>
        <w:tc>
          <w:tcPr>
            <w:tcW w:w="533" w:type="pct"/>
            <w:tcBorders>
              <w:top w:val="nil"/>
              <w:left w:val="nil"/>
              <w:bottom w:val="nil"/>
              <w:right w:val="nil"/>
            </w:tcBorders>
            <w:vAlign w:val="bottom"/>
          </w:tcPr>
          <w:p w14:paraId="0D76D095" w14:textId="77777777" w:rsidR="0083434C" w:rsidRDefault="0083434C" w:rsidP="00083940">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14:paraId="222C8D0B" w14:textId="77777777" w:rsidR="0083434C" w:rsidRDefault="0083434C" w:rsidP="00083940">
            <w:pPr>
              <w:autoSpaceDE w:val="0"/>
              <w:autoSpaceDN w:val="0"/>
              <w:adjustRightInd w:val="0"/>
              <w:spacing w:before="80" w:after="0" w:line="220" w:lineRule="exact"/>
              <w:ind w:left="80" w:right="80"/>
              <w:jc w:val="right"/>
              <w:rPr>
                <w:noProof/>
                <w:sz w:val="20"/>
              </w:rPr>
            </w:pPr>
            <w:r w:rsidRPr="00553F39">
              <w:rPr>
                <w:noProof/>
                <w:sz w:val="20"/>
              </w:rPr>
              <w:t>11 640</w:t>
            </w:r>
          </w:p>
        </w:tc>
        <w:tc>
          <w:tcPr>
            <w:tcW w:w="531" w:type="pct"/>
            <w:tcBorders>
              <w:top w:val="nil"/>
              <w:left w:val="nil"/>
              <w:bottom w:val="nil"/>
              <w:right w:val="nil"/>
            </w:tcBorders>
            <w:vAlign w:val="bottom"/>
          </w:tcPr>
          <w:p w14:paraId="222B9938" w14:textId="77777777" w:rsidR="0083434C" w:rsidRPr="00553F39" w:rsidRDefault="0083434C" w:rsidP="00083940">
            <w:pPr>
              <w:autoSpaceDE w:val="0"/>
              <w:autoSpaceDN w:val="0"/>
              <w:adjustRightInd w:val="0"/>
              <w:spacing w:before="80" w:after="0" w:line="220" w:lineRule="exact"/>
              <w:ind w:left="80" w:right="80"/>
              <w:jc w:val="right"/>
              <w:rPr>
                <w:noProof/>
                <w:sz w:val="20"/>
              </w:rPr>
            </w:pPr>
            <w:r>
              <w:rPr>
                <w:noProof/>
                <w:sz w:val="20"/>
              </w:rPr>
              <w:t>11 640</w:t>
            </w:r>
          </w:p>
        </w:tc>
      </w:tr>
      <w:tr w:rsidR="0083434C" w:rsidRPr="00D861B9" w14:paraId="468030F1" w14:textId="77777777" w:rsidTr="008E4229">
        <w:trPr>
          <w:jc w:val="center"/>
        </w:trPr>
        <w:tc>
          <w:tcPr>
            <w:tcW w:w="1309" w:type="pct"/>
            <w:tcBorders>
              <w:top w:val="nil"/>
              <w:left w:val="nil"/>
              <w:bottom w:val="single" w:sz="8" w:space="0" w:color="auto"/>
              <w:right w:val="nil"/>
            </w:tcBorders>
            <w:vAlign w:val="bottom"/>
          </w:tcPr>
          <w:p w14:paraId="3F361D0A" w14:textId="77777777" w:rsidR="0083434C" w:rsidRPr="00DF1644" w:rsidRDefault="0083434C" w:rsidP="00083940">
            <w:pPr>
              <w:autoSpaceDE w:val="0"/>
              <w:autoSpaceDN w:val="0"/>
              <w:adjustRightInd w:val="0"/>
              <w:spacing w:before="80" w:after="0" w:line="220" w:lineRule="exact"/>
              <w:ind w:right="80"/>
              <w:rPr>
                <w:i/>
                <w:noProof/>
                <w:sz w:val="20"/>
              </w:rPr>
            </w:pPr>
            <w:r w:rsidRPr="00DF1644">
              <w:rPr>
                <w:rStyle w:val="kursiv"/>
                <w:sz w:val="20"/>
              </w:rPr>
              <w:t xml:space="preserve">Ekstra barnetrygd i </w:t>
            </w:r>
            <w:r>
              <w:rPr>
                <w:rStyle w:val="kursiv"/>
                <w:sz w:val="20"/>
              </w:rPr>
              <w:t>Finn</w:t>
            </w:r>
            <w:r w:rsidRPr="00DF1644">
              <w:rPr>
                <w:rStyle w:val="kursiv"/>
                <w:sz w:val="20"/>
              </w:rPr>
              <w:t>mark og Nord-Troms, kr</w:t>
            </w:r>
            <w:r w:rsidRPr="00FE07B6">
              <w:rPr>
                <w:rStyle w:val="kursiv"/>
                <w:sz w:val="20"/>
                <w:vertAlign w:val="superscript"/>
              </w:rPr>
              <w:t>8</w:t>
            </w:r>
          </w:p>
        </w:tc>
        <w:tc>
          <w:tcPr>
            <w:tcW w:w="511" w:type="pct"/>
            <w:tcBorders>
              <w:top w:val="nil"/>
              <w:left w:val="nil"/>
              <w:bottom w:val="single" w:sz="8" w:space="0" w:color="auto"/>
              <w:right w:val="nil"/>
            </w:tcBorders>
            <w:vAlign w:val="bottom"/>
          </w:tcPr>
          <w:p w14:paraId="1A04D24A"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3 840</w:t>
            </w:r>
          </w:p>
        </w:tc>
        <w:tc>
          <w:tcPr>
            <w:tcW w:w="547" w:type="pct"/>
            <w:tcBorders>
              <w:top w:val="nil"/>
              <w:left w:val="nil"/>
              <w:bottom w:val="single" w:sz="8" w:space="0" w:color="auto"/>
              <w:right w:val="nil"/>
            </w:tcBorders>
            <w:vAlign w:val="bottom"/>
          </w:tcPr>
          <w:p w14:paraId="46042990" w14:textId="77777777" w:rsidR="0083434C" w:rsidRPr="00D861B9" w:rsidRDefault="0083434C" w:rsidP="00083940">
            <w:pPr>
              <w:autoSpaceDE w:val="0"/>
              <w:autoSpaceDN w:val="0"/>
              <w:adjustRightInd w:val="0"/>
              <w:spacing w:before="80" w:after="0" w:line="220" w:lineRule="exact"/>
              <w:ind w:left="80" w:right="80"/>
              <w:jc w:val="right"/>
              <w:rPr>
                <w:noProof/>
                <w:sz w:val="20"/>
              </w:rPr>
            </w:pPr>
            <w:r>
              <w:rPr>
                <w:noProof/>
                <w:sz w:val="20"/>
              </w:rPr>
              <w:t>3 840</w:t>
            </w:r>
          </w:p>
        </w:tc>
        <w:tc>
          <w:tcPr>
            <w:tcW w:w="503" w:type="pct"/>
            <w:tcBorders>
              <w:top w:val="nil"/>
              <w:left w:val="nil"/>
              <w:bottom w:val="single" w:sz="8" w:space="0" w:color="auto"/>
              <w:right w:val="nil"/>
            </w:tcBorders>
            <w:vAlign w:val="bottom"/>
          </w:tcPr>
          <w:p w14:paraId="28BB5A7F" w14:textId="77777777" w:rsidR="0083434C" w:rsidRDefault="0083434C" w:rsidP="00083940">
            <w:pPr>
              <w:autoSpaceDE w:val="0"/>
              <w:autoSpaceDN w:val="0"/>
              <w:adjustRightInd w:val="0"/>
              <w:spacing w:before="80" w:after="0" w:line="220" w:lineRule="exact"/>
              <w:ind w:left="80" w:right="80"/>
              <w:jc w:val="right"/>
              <w:rPr>
                <w:noProof/>
                <w:sz w:val="20"/>
              </w:rPr>
            </w:pPr>
            <w:r>
              <w:rPr>
                <w:noProof/>
                <w:sz w:val="20"/>
              </w:rPr>
              <w:t>3 840</w:t>
            </w:r>
          </w:p>
        </w:tc>
        <w:tc>
          <w:tcPr>
            <w:tcW w:w="535" w:type="pct"/>
            <w:tcBorders>
              <w:top w:val="nil"/>
              <w:left w:val="nil"/>
              <w:bottom w:val="single" w:sz="8" w:space="0" w:color="auto"/>
              <w:right w:val="nil"/>
            </w:tcBorders>
            <w:vAlign w:val="bottom"/>
          </w:tcPr>
          <w:p w14:paraId="368B842B" w14:textId="77777777" w:rsidR="0083434C" w:rsidRDefault="0083434C" w:rsidP="00083940">
            <w:pPr>
              <w:autoSpaceDE w:val="0"/>
              <w:autoSpaceDN w:val="0"/>
              <w:adjustRightInd w:val="0"/>
              <w:spacing w:before="80" w:after="0" w:line="220" w:lineRule="exact"/>
              <w:ind w:left="80" w:right="80"/>
              <w:jc w:val="right"/>
              <w:rPr>
                <w:noProof/>
                <w:sz w:val="20"/>
              </w:rPr>
            </w:pPr>
            <w:r w:rsidRPr="00553F39">
              <w:rPr>
                <w:noProof/>
                <w:sz w:val="20"/>
              </w:rPr>
              <w:t>3 840</w:t>
            </w:r>
          </w:p>
        </w:tc>
        <w:tc>
          <w:tcPr>
            <w:tcW w:w="533" w:type="pct"/>
            <w:tcBorders>
              <w:top w:val="nil"/>
              <w:left w:val="nil"/>
              <w:bottom w:val="single" w:sz="8" w:space="0" w:color="auto"/>
              <w:right w:val="nil"/>
            </w:tcBorders>
            <w:vAlign w:val="bottom"/>
          </w:tcPr>
          <w:p w14:paraId="215A2AC8"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single" w:sz="8" w:space="0" w:color="auto"/>
              <w:right w:val="nil"/>
            </w:tcBorders>
            <w:vAlign w:val="bottom"/>
          </w:tcPr>
          <w:p w14:paraId="1B28073C" w14:textId="77777777" w:rsidR="0083434C" w:rsidRDefault="0083434C" w:rsidP="00083940">
            <w:pPr>
              <w:autoSpaceDE w:val="0"/>
              <w:autoSpaceDN w:val="0"/>
              <w:adjustRightInd w:val="0"/>
              <w:spacing w:before="80" w:after="0" w:line="220" w:lineRule="exact"/>
              <w:ind w:left="80" w:right="80"/>
              <w:jc w:val="right"/>
              <w:rPr>
                <w:noProof/>
                <w:sz w:val="20"/>
              </w:rPr>
            </w:pPr>
          </w:p>
        </w:tc>
        <w:tc>
          <w:tcPr>
            <w:tcW w:w="531" w:type="pct"/>
            <w:tcBorders>
              <w:top w:val="nil"/>
              <w:left w:val="nil"/>
              <w:bottom w:val="single" w:sz="8" w:space="0" w:color="auto"/>
              <w:right w:val="nil"/>
            </w:tcBorders>
            <w:vAlign w:val="bottom"/>
          </w:tcPr>
          <w:p w14:paraId="69AA54B2" w14:textId="77777777" w:rsidR="0083434C" w:rsidRPr="00553F39" w:rsidRDefault="0083434C" w:rsidP="00083940">
            <w:pPr>
              <w:autoSpaceDE w:val="0"/>
              <w:autoSpaceDN w:val="0"/>
              <w:adjustRightInd w:val="0"/>
              <w:spacing w:before="80" w:after="0" w:line="220" w:lineRule="exact"/>
              <w:ind w:left="80" w:right="80"/>
              <w:jc w:val="right"/>
              <w:rPr>
                <w:noProof/>
                <w:sz w:val="20"/>
              </w:rPr>
            </w:pPr>
          </w:p>
        </w:tc>
      </w:tr>
    </w:tbl>
    <w:p w14:paraId="3EE26631" w14:textId="77777777" w:rsidR="0083434C" w:rsidRDefault="0083434C" w:rsidP="0083434C">
      <w:pPr>
        <w:suppressAutoHyphens/>
        <w:autoSpaceDE w:val="0"/>
        <w:autoSpaceDN w:val="0"/>
        <w:adjustRightInd w:val="0"/>
        <w:spacing w:line="1" w:lineRule="exact"/>
        <w:rPr>
          <w:noProof/>
          <w:sz w:val="20"/>
        </w:rPr>
      </w:pPr>
    </w:p>
    <w:p w14:paraId="0E773B13" w14:textId="468E39DA" w:rsidR="0083434C" w:rsidRPr="00216858"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Næringsdrivende innenfor fiske og fangst samt barnepass i eget hjem (barn under 12 år eller med særlig behov for omsorg og pleie) ha</w:t>
      </w:r>
      <w:r>
        <w:rPr>
          <w:noProof/>
        </w:rPr>
        <w:t>r</w:t>
      </w:r>
      <w:r w:rsidRPr="00216858">
        <w:rPr>
          <w:noProof/>
        </w:rPr>
        <w:t xml:space="preserve"> </w:t>
      </w:r>
      <w:r>
        <w:rPr>
          <w:noProof/>
        </w:rPr>
        <w:t>8</w:t>
      </w:r>
      <w:r w:rsidRPr="00216858">
        <w:rPr>
          <w:noProof/>
        </w:rPr>
        <w:t>,</w:t>
      </w:r>
      <w:r>
        <w:rPr>
          <w:noProof/>
        </w:rPr>
        <w:t>2</w:t>
      </w:r>
      <w:r w:rsidRPr="00216858">
        <w:rPr>
          <w:noProof/>
        </w:rPr>
        <w:t xml:space="preserve"> pst. trygdeavgift på næringsinntekten. Lavere trygdeavgiftssats for fiske og fangst har sammenheng med at disse næringene betaler produktavgift som blant annet skal dekke differansen mellom </w:t>
      </w:r>
      <w:r>
        <w:rPr>
          <w:noProof/>
        </w:rPr>
        <w:t>8</w:t>
      </w:r>
      <w:r w:rsidRPr="00216858">
        <w:rPr>
          <w:noProof/>
        </w:rPr>
        <w:t>,</w:t>
      </w:r>
      <w:r>
        <w:rPr>
          <w:noProof/>
        </w:rPr>
        <w:t>2</w:t>
      </w:r>
      <w:r w:rsidRPr="00216858">
        <w:rPr>
          <w:noProof/>
        </w:rPr>
        <w:t xml:space="preserve"> pst. og 11</w:t>
      </w:r>
      <w:r>
        <w:rPr>
          <w:noProof/>
        </w:rPr>
        <w:t>,4</w:t>
      </w:r>
      <w:r w:rsidRPr="00216858">
        <w:rPr>
          <w:noProof/>
        </w:rPr>
        <w:t xml:space="preserve"> pst. trygdeavgift.</w:t>
      </w:r>
    </w:p>
    <w:p w14:paraId="0F21F024" w14:textId="2B8AC09F" w:rsidR="0083434C" w:rsidRPr="00216858"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For skattytere i Nord-Troms</w:t>
      </w:r>
      <w:r>
        <w:rPr>
          <w:noProof/>
        </w:rPr>
        <w:t xml:space="preserve"> og Finnmark</w:t>
      </w:r>
      <w:r w:rsidRPr="00216858">
        <w:rPr>
          <w:noProof/>
        </w:rPr>
        <w:t xml:space="preserve"> </w:t>
      </w:r>
      <w:r>
        <w:rPr>
          <w:noProof/>
        </w:rPr>
        <w:t>er</w:t>
      </w:r>
      <w:r w:rsidRPr="00216858">
        <w:rPr>
          <w:noProof/>
        </w:rPr>
        <w:t xml:space="preserve"> satsen </w:t>
      </w:r>
      <w:r>
        <w:rPr>
          <w:noProof/>
        </w:rPr>
        <w:t>8,</w:t>
      </w:r>
      <w:r w:rsidRPr="00216858">
        <w:rPr>
          <w:noProof/>
        </w:rPr>
        <w:t>7 pst.</w:t>
      </w:r>
    </w:p>
    <w:p w14:paraId="24065D50" w14:textId="45BF022F" w:rsidR="0083434C" w:rsidRPr="00216858"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Skattytere med forsørgeransvar for ektefelle skattlegges i klasse 2.</w:t>
      </w:r>
    </w:p>
    <w:p w14:paraId="23367D70" w14:textId="27FF87D9" w:rsidR="0083434C" w:rsidRPr="00216858"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Skattyter må velge mellom minstefradrag og lønnsfradrag.</w:t>
      </w:r>
    </w:p>
    <w:p w14:paraId="7C76EE14" w14:textId="7D2CA54D" w:rsidR="0083434C" w:rsidRPr="00216858"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Fra 201</w:t>
      </w:r>
      <w:r>
        <w:rPr>
          <w:noProof/>
        </w:rPr>
        <w:t>5</w:t>
      </w:r>
      <w:r w:rsidRPr="00216858">
        <w:rPr>
          <w:noProof/>
        </w:rPr>
        <w:t xml:space="preserve"> gjelder skattebegresnin</w:t>
      </w:r>
      <w:r>
        <w:rPr>
          <w:noProof/>
        </w:rPr>
        <w:t>gsregelen kun pensjon eller overgangsstønad til en tidligere familiepleier eller gjenlevende ektefelle.</w:t>
      </w:r>
    </w:p>
    <w:p w14:paraId="67FD010D" w14:textId="28BE2FD3" w:rsidR="008E4229" w:rsidRPr="008E4229" w:rsidRDefault="0083434C" w:rsidP="008E4229">
      <w:pPr>
        <w:pStyle w:val="tabell-noter"/>
        <w:numPr>
          <w:ilvl w:val="0"/>
          <w:numId w:val="53"/>
        </w:numPr>
        <w:tabs>
          <w:tab w:val="clear" w:pos="284"/>
          <w:tab w:val="clear" w:pos="360"/>
          <w:tab w:val="num" w:pos="142"/>
        </w:tabs>
        <w:spacing w:before="0" w:after="0"/>
        <w:ind w:left="142" w:hanging="142"/>
        <w:rPr>
          <w:noProof/>
        </w:rPr>
      </w:pPr>
      <w:r w:rsidRPr="00216858">
        <w:rPr>
          <w:noProof/>
        </w:rPr>
        <w:t>Gifte uføre som mottar ektefelletillegg, har en skattefri nettoinntekt som tilsvarer det dobbelte av den skattefrie nettoinntekten for øvrige gifte, dvs. 2</w:t>
      </w:r>
      <w:r>
        <w:rPr>
          <w:noProof/>
        </w:rPr>
        <w:t>41</w:t>
      </w:r>
      <w:r w:rsidRPr="00216858">
        <w:rPr>
          <w:noProof/>
        </w:rPr>
        <w:t> </w:t>
      </w:r>
      <w:r>
        <w:rPr>
          <w:noProof/>
        </w:rPr>
        <w:t>6</w:t>
      </w:r>
      <w:r w:rsidRPr="00216858">
        <w:rPr>
          <w:noProof/>
        </w:rPr>
        <w:t>00 kroner i 201</w:t>
      </w:r>
      <w:r>
        <w:rPr>
          <w:noProof/>
        </w:rPr>
        <w:t>4.</w:t>
      </w:r>
    </w:p>
    <w:p w14:paraId="656FB5EA" w14:textId="10D17611" w:rsidR="0083434C" w:rsidRDefault="0083434C" w:rsidP="006944CC">
      <w:pPr>
        <w:pStyle w:val="tabell-noter"/>
        <w:numPr>
          <w:ilvl w:val="0"/>
          <w:numId w:val="53"/>
        </w:numPr>
        <w:tabs>
          <w:tab w:val="clear" w:pos="284"/>
          <w:tab w:val="clear" w:pos="360"/>
          <w:tab w:val="num" w:pos="142"/>
        </w:tabs>
        <w:spacing w:before="0" w:after="0"/>
        <w:ind w:left="142" w:hanging="142"/>
        <w:rPr>
          <w:noProof/>
        </w:rPr>
      </w:pPr>
      <w:r w:rsidRPr="00216858">
        <w:rPr>
          <w:noProof/>
        </w:rPr>
        <w:t>Enslige forsørgere får barnetrygd for et barn mer enn det de har. Enslige forsørgere med full overgangsstønad får dessuten 7 920 kroner ekstra for barn 0-3 år.</w:t>
      </w:r>
    </w:p>
    <w:p w14:paraId="09A2AD80" w14:textId="4EAB3075" w:rsidR="0083434C" w:rsidRPr="00FE07B6" w:rsidRDefault="0083434C" w:rsidP="006944CC">
      <w:pPr>
        <w:pStyle w:val="tabell-noter"/>
        <w:numPr>
          <w:ilvl w:val="0"/>
          <w:numId w:val="53"/>
        </w:numPr>
        <w:tabs>
          <w:tab w:val="clear" w:pos="284"/>
          <w:tab w:val="clear" w:pos="360"/>
          <w:tab w:val="num" w:pos="142"/>
        </w:tabs>
        <w:spacing w:before="0" w:after="0"/>
        <w:ind w:left="142" w:hanging="142"/>
        <w:rPr>
          <w:noProof/>
        </w:rPr>
      </w:pPr>
      <w:r w:rsidRPr="00FE07B6">
        <w:rPr>
          <w:noProof/>
        </w:rPr>
        <w:t>Avviklet fra 1. april 2014.</w:t>
      </w:r>
    </w:p>
    <w:p w14:paraId="40E6B2A9" w14:textId="77777777" w:rsidR="0083434C" w:rsidRPr="007C463B" w:rsidRDefault="0083434C" w:rsidP="006944CC">
      <w:pPr>
        <w:pStyle w:val="Kilde"/>
        <w:spacing w:before="120"/>
        <w:rPr>
          <w:noProof/>
          <w:sz w:val="22"/>
          <w:szCs w:val="22"/>
        </w:rPr>
      </w:pPr>
      <w:r>
        <w:rPr>
          <w:noProof/>
        </w:rPr>
        <w:t>Kilde: Finansdepartementet.</w:t>
      </w:r>
    </w:p>
    <w:p w14:paraId="42B96C20" w14:textId="77777777" w:rsidR="0083434C" w:rsidRPr="00616643" w:rsidRDefault="0083434C" w:rsidP="0083434C">
      <w:pPr>
        <w:pStyle w:val="tabell-tittel"/>
        <w:numPr>
          <w:ilvl w:val="0"/>
          <w:numId w:val="0"/>
        </w:numPr>
        <w:rPr>
          <w:b/>
          <w:szCs w:val="24"/>
        </w:rPr>
      </w:pPr>
      <w:r w:rsidRPr="00616643">
        <w:rPr>
          <w:b/>
          <w:szCs w:val="24"/>
        </w:rPr>
        <w:t>Tabell 4.2 Utvikling i grunnbeløpet, minstepensjonene for enslige og ektepar og pensjonen til enslige unge uføre i perioden 1.1.1995-30.4.2016. Kr</w:t>
      </w:r>
      <w:r>
        <w:rPr>
          <w:b/>
          <w:szCs w:val="24"/>
        </w:rPr>
        <w:t>oner</w:t>
      </w:r>
      <w:r w:rsidRPr="00616643">
        <w:rPr>
          <w:b/>
          <w:szCs w:val="24"/>
        </w:rPr>
        <w:t>.</w:t>
      </w:r>
    </w:p>
    <w:tbl>
      <w:tblPr>
        <w:tblW w:w="4947" w:type="pct"/>
        <w:jc w:val="center"/>
        <w:tblCellMar>
          <w:left w:w="0" w:type="dxa"/>
          <w:right w:w="0" w:type="dxa"/>
        </w:tblCellMar>
        <w:tblLook w:val="0000" w:firstRow="0" w:lastRow="0" w:firstColumn="0" w:lastColumn="0" w:noHBand="0" w:noVBand="0"/>
      </w:tblPr>
      <w:tblGrid>
        <w:gridCol w:w="1990"/>
        <w:gridCol w:w="1413"/>
        <w:gridCol w:w="1881"/>
        <w:gridCol w:w="1977"/>
        <w:gridCol w:w="1670"/>
      </w:tblGrid>
      <w:tr w:rsidR="0083434C" w:rsidRPr="000D160C" w14:paraId="35E8C828" w14:textId="77777777" w:rsidTr="00083940">
        <w:trPr>
          <w:trHeight w:val="479"/>
          <w:tblHeader/>
          <w:jc w:val="center"/>
        </w:trPr>
        <w:tc>
          <w:tcPr>
            <w:tcW w:w="1114" w:type="pct"/>
            <w:tcBorders>
              <w:top w:val="single" w:sz="8" w:space="0" w:color="auto"/>
              <w:left w:val="nil"/>
              <w:bottom w:val="nil"/>
              <w:right w:val="nil"/>
            </w:tcBorders>
            <w:vAlign w:val="bottom"/>
          </w:tcPr>
          <w:p w14:paraId="5E75E895" w14:textId="77777777" w:rsidR="0083434C" w:rsidRPr="000D160C" w:rsidRDefault="0083434C" w:rsidP="00083940">
            <w:pPr>
              <w:autoSpaceDE w:val="0"/>
              <w:autoSpaceDN w:val="0"/>
              <w:adjustRightInd w:val="0"/>
              <w:spacing w:after="0" w:line="360" w:lineRule="auto"/>
              <w:rPr>
                <w:noProof/>
                <w:sz w:val="19"/>
                <w:szCs w:val="19"/>
              </w:rPr>
            </w:pPr>
          </w:p>
        </w:tc>
        <w:tc>
          <w:tcPr>
            <w:tcW w:w="791" w:type="pct"/>
            <w:tcBorders>
              <w:top w:val="single" w:sz="8" w:space="0" w:color="auto"/>
              <w:left w:val="nil"/>
              <w:bottom w:val="nil"/>
              <w:right w:val="nil"/>
            </w:tcBorders>
            <w:vAlign w:val="bottom"/>
          </w:tcPr>
          <w:p w14:paraId="6C68779D" w14:textId="77777777" w:rsidR="0083434C" w:rsidRPr="000D160C" w:rsidRDefault="0083434C" w:rsidP="00083940">
            <w:pPr>
              <w:autoSpaceDE w:val="0"/>
              <w:autoSpaceDN w:val="0"/>
              <w:adjustRightInd w:val="0"/>
              <w:spacing w:after="0" w:line="360" w:lineRule="auto"/>
              <w:rPr>
                <w:noProof/>
                <w:sz w:val="19"/>
                <w:szCs w:val="19"/>
              </w:rPr>
            </w:pPr>
          </w:p>
        </w:tc>
        <w:tc>
          <w:tcPr>
            <w:tcW w:w="1053" w:type="pct"/>
            <w:tcBorders>
              <w:top w:val="single" w:sz="8" w:space="0" w:color="auto"/>
              <w:left w:val="nil"/>
              <w:bottom w:val="nil"/>
              <w:right w:val="nil"/>
            </w:tcBorders>
            <w:vAlign w:val="bottom"/>
          </w:tcPr>
          <w:p w14:paraId="7EC1B9EB" w14:textId="77777777" w:rsidR="0083434C" w:rsidRPr="000D160C" w:rsidRDefault="0083434C" w:rsidP="00083940">
            <w:pPr>
              <w:autoSpaceDE w:val="0"/>
              <w:autoSpaceDN w:val="0"/>
              <w:adjustRightInd w:val="0"/>
              <w:spacing w:after="0" w:line="360" w:lineRule="auto"/>
              <w:rPr>
                <w:noProof/>
                <w:sz w:val="19"/>
                <w:szCs w:val="19"/>
              </w:rPr>
            </w:pPr>
          </w:p>
        </w:tc>
        <w:tc>
          <w:tcPr>
            <w:tcW w:w="1107" w:type="pct"/>
            <w:tcBorders>
              <w:top w:val="single" w:sz="8" w:space="0" w:color="auto"/>
              <w:left w:val="nil"/>
              <w:bottom w:val="nil"/>
              <w:right w:val="nil"/>
            </w:tcBorders>
            <w:vAlign w:val="bottom"/>
          </w:tcPr>
          <w:p w14:paraId="69065E2F" w14:textId="77777777" w:rsidR="0083434C" w:rsidRPr="000D160C" w:rsidRDefault="0083434C" w:rsidP="00083940">
            <w:pPr>
              <w:autoSpaceDE w:val="0"/>
              <w:autoSpaceDN w:val="0"/>
              <w:adjustRightInd w:val="0"/>
              <w:spacing w:after="0" w:line="360" w:lineRule="auto"/>
              <w:rPr>
                <w:noProof/>
                <w:sz w:val="19"/>
                <w:szCs w:val="19"/>
              </w:rPr>
            </w:pPr>
          </w:p>
        </w:tc>
        <w:tc>
          <w:tcPr>
            <w:tcW w:w="936" w:type="pct"/>
            <w:tcBorders>
              <w:top w:val="single" w:sz="8" w:space="0" w:color="auto"/>
              <w:left w:val="nil"/>
              <w:bottom w:val="nil"/>
              <w:right w:val="nil"/>
            </w:tcBorders>
            <w:vAlign w:val="bottom"/>
          </w:tcPr>
          <w:p w14:paraId="34582DFB" w14:textId="77777777" w:rsidR="0083434C" w:rsidRPr="000D160C" w:rsidRDefault="0083434C" w:rsidP="00083940">
            <w:pPr>
              <w:pBdr>
                <w:bottom w:val="single" w:sz="4" w:space="1" w:color="auto"/>
              </w:pBdr>
              <w:autoSpaceDE w:val="0"/>
              <w:autoSpaceDN w:val="0"/>
              <w:adjustRightInd w:val="0"/>
              <w:spacing w:after="0"/>
              <w:ind w:left="79" w:right="79"/>
              <w:jc w:val="center"/>
              <w:rPr>
                <w:noProof/>
                <w:sz w:val="19"/>
                <w:szCs w:val="19"/>
              </w:rPr>
            </w:pPr>
            <w:r w:rsidRPr="000D160C">
              <w:rPr>
                <w:noProof/>
                <w:sz w:val="19"/>
                <w:szCs w:val="19"/>
              </w:rPr>
              <w:t>Årlig pensjon til enslige unge uføre</w:t>
            </w:r>
            <w:r w:rsidRPr="000D160C">
              <w:rPr>
                <w:rStyle w:val="skrift-hevet"/>
                <w:sz w:val="19"/>
                <w:szCs w:val="19"/>
              </w:rPr>
              <w:t>1</w:t>
            </w:r>
          </w:p>
        </w:tc>
      </w:tr>
      <w:tr w:rsidR="0083434C" w:rsidRPr="000D160C" w14:paraId="4DCD2AF9" w14:textId="77777777" w:rsidTr="00083940">
        <w:trPr>
          <w:tblHeader/>
          <w:jc w:val="center"/>
        </w:trPr>
        <w:tc>
          <w:tcPr>
            <w:tcW w:w="1114" w:type="pct"/>
            <w:tcBorders>
              <w:top w:val="nil"/>
              <w:left w:val="nil"/>
              <w:bottom w:val="single" w:sz="8" w:space="0" w:color="auto"/>
              <w:right w:val="nil"/>
            </w:tcBorders>
            <w:vAlign w:val="bottom"/>
          </w:tcPr>
          <w:p w14:paraId="3E53756E" w14:textId="77777777" w:rsidR="0083434C" w:rsidRPr="000D160C" w:rsidRDefault="0083434C" w:rsidP="00083940">
            <w:pPr>
              <w:autoSpaceDE w:val="0"/>
              <w:autoSpaceDN w:val="0"/>
              <w:adjustRightInd w:val="0"/>
              <w:spacing w:after="0"/>
              <w:rPr>
                <w:noProof/>
                <w:sz w:val="19"/>
                <w:szCs w:val="19"/>
              </w:rPr>
            </w:pPr>
          </w:p>
          <w:p w14:paraId="22CCE111" w14:textId="77777777" w:rsidR="0083434C" w:rsidRPr="000D160C" w:rsidRDefault="0083434C" w:rsidP="00083940">
            <w:pPr>
              <w:autoSpaceDE w:val="0"/>
              <w:autoSpaceDN w:val="0"/>
              <w:adjustRightInd w:val="0"/>
              <w:spacing w:after="0"/>
              <w:rPr>
                <w:noProof/>
                <w:sz w:val="19"/>
                <w:szCs w:val="19"/>
              </w:rPr>
            </w:pPr>
          </w:p>
        </w:tc>
        <w:tc>
          <w:tcPr>
            <w:tcW w:w="791" w:type="pct"/>
            <w:tcBorders>
              <w:top w:val="nil"/>
              <w:left w:val="nil"/>
              <w:bottom w:val="single" w:sz="8" w:space="0" w:color="auto"/>
              <w:right w:val="nil"/>
            </w:tcBorders>
            <w:vAlign w:val="bottom"/>
          </w:tcPr>
          <w:p w14:paraId="28E3166E" w14:textId="77777777" w:rsidR="0083434C" w:rsidRPr="000D160C" w:rsidRDefault="0083434C" w:rsidP="00083940">
            <w:pPr>
              <w:autoSpaceDE w:val="0"/>
              <w:autoSpaceDN w:val="0"/>
              <w:adjustRightInd w:val="0"/>
              <w:spacing w:after="0"/>
              <w:ind w:left="80" w:right="80"/>
              <w:jc w:val="center"/>
              <w:rPr>
                <w:noProof/>
                <w:sz w:val="19"/>
                <w:szCs w:val="19"/>
              </w:rPr>
            </w:pPr>
            <w:r w:rsidRPr="000D160C">
              <w:rPr>
                <w:noProof/>
                <w:sz w:val="19"/>
                <w:szCs w:val="19"/>
              </w:rPr>
              <w:t>Grunnbeløpet</w:t>
            </w:r>
          </w:p>
        </w:tc>
        <w:tc>
          <w:tcPr>
            <w:tcW w:w="1053" w:type="pct"/>
            <w:tcBorders>
              <w:top w:val="nil"/>
              <w:left w:val="nil"/>
              <w:bottom w:val="single" w:sz="8" w:space="0" w:color="auto"/>
              <w:right w:val="nil"/>
            </w:tcBorders>
            <w:vAlign w:val="bottom"/>
          </w:tcPr>
          <w:p w14:paraId="2AE037DA" w14:textId="77777777" w:rsidR="0083434C" w:rsidRPr="000D160C" w:rsidRDefault="0083434C" w:rsidP="00083940">
            <w:pPr>
              <w:autoSpaceDE w:val="0"/>
              <w:autoSpaceDN w:val="0"/>
              <w:adjustRightInd w:val="0"/>
              <w:spacing w:after="0"/>
              <w:ind w:left="80" w:right="80"/>
              <w:jc w:val="center"/>
              <w:rPr>
                <w:noProof/>
                <w:sz w:val="19"/>
                <w:szCs w:val="19"/>
              </w:rPr>
            </w:pPr>
            <w:r w:rsidRPr="000D160C">
              <w:rPr>
                <w:noProof/>
                <w:sz w:val="19"/>
                <w:szCs w:val="19"/>
              </w:rPr>
              <w:t>Årlig minstepensjon for enslig</w:t>
            </w:r>
          </w:p>
        </w:tc>
        <w:tc>
          <w:tcPr>
            <w:tcW w:w="1107" w:type="pct"/>
            <w:tcBorders>
              <w:top w:val="nil"/>
              <w:left w:val="nil"/>
              <w:bottom w:val="single" w:sz="8" w:space="0" w:color="auto"/>
              <w:right w:val="nil"/>
            </w:tcBorders>
            <w:vAlign w:val="bottom"/>
          </w:tcPr>
          <w:p w14:paraId="76CB8161" w14:textId="77777777" w:rsidR="0083434C" w:rsidRPr="000D160C" w:rsidRDefault="0083434C" w:rsidP="00083940">
            <w:pPr>
              <w:autoSpaceDE w:val="0"/>
              <w:autoSpaceDN w:val="0"/>
              <w:adjustRightInd w:val="0"/>
              <w:spacing w:after="0"/>
              <w:ind w:left="80" w:right="80"/>
              <w:jc w:val="center"/>
              <w:rPr>
                <w:noProof/>
                <w:sz w:val="19"/>
                <w:szCs w:val="19"/>
              </w:rPr>
            </w:pPr>
            <w:r w:rsidRPr="000D160C">
              <w:rPr>
                <w:noProof/>
                <w:sz w:val="19"/>
                <w:szCs w:val="19"/>
              </w:rPr>
              <w:t>Årlig minstepensjon for ektepar</w:t>
            </w:r>
          </w:p>
        </w:tc>
        <w:tc>
          <w:tcPr>
            <w:tcW w:w="936" w:type="pct"/>
            <w:tcBorders>
              <w:top w:val="nil"/>
              <w:left w:val="nil"/>
              <w:bottom w:val="single" w:sz="8" w:space="0" w:color="auto"/>
              <w:right w:val="nil"/>
            </w:tcBorders>
            <w:vAlign w:val="bottom"/>
          </w:tcPr>
          <w:p w14:paraId="782F689C" w14:textId="77777777" w:rsidR="0083434C" w:rsidRPr="000D160C" w:rsidRDefault="0083434C" w:rsidP="00083940">
            <w:pPr>
              <w:autoSpaceDE w:val="0"/>
              <w:autoSpaceDN w:val="0"/>
              <w:adjustRightInd w:val="0"/>
              <w:spacing w:after="0"/>
              <w:ind w:left="80" w:right="80"/>
              <w:jc w:val="center"/>
              <w:rPr>
                <w:noProof/>
                <w:sz w:val="19"/>
                <w:szCs w:val="19"/>
              </w:rPr>
            </w:pPr>
            <w:r w:rsidRPr="000D160C">
              <w:rPr>
                <w:noProof/>
                <w:sz w:val="19"/>
                <w:szCs w:val="19"/>
              </w:rPr>
              <w:t>Pensjon tidligst fra 1.1.92</w:t>
            </w:r>
            <w:r>
              <w:rPr>
                <w:rStyle w:val="skrift-hevet"/>
              </w:rPr>
              <w:t>2</w:t>
            </w:r>
          </w:p>
        </w:tc>
      </w:tr>
      <w:tr w:rsidR="0083434C" w:rsidRPr="000D160C" w14:paraId="711D4D6D" w14:textId="77777777" w:rsidTr="00083940">
        <w:trPr>
          <w:jc w:val="center"/>
        </w:trPr>
        <w:tc>
          <w:tcPr>
            <w:tcW w:w="1114" w:type="pct"/>
            <w:tcBorders>
              <w:top w:val="nil"/>
              <w:left w:val="nil"/>
              <w:bottom w:val="nil"/>
              <w:right w:val="nil"/>
            </w:tcBorders>
            <w:vAlign w:val="bottom"/>
          </w:tcPr>
          <w:p w14:paraId="52F66780"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1.01.95-30.04.95</w:t>
            </w:r>
            <w:r>
              <w:rPr>
                <w:rStyle w:val="skrift-hevet"/>
              </w:rPr>
              <w:t>3</w:t>
            </w:r>
          </w:p>
        </w:tc>
        <w:tc>
          <w:tcPr>
            <w:tcW w:w="791" w:type="pct"/>
            <w:tcBorders>
              <w:top w:val="nil"/>
              <w:left w:val="nil"/>
              <w:bottom w:val="nil"/>
              <w:right w:val="nil"/>
            </w:tcBorders>
            <w:vAlign w:val="bottom"/>
          </w:tcPr>
          <w:p w14:paraId="51ED798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38 080</w:t>
            </w:r>
          </w:p>
        </w:tc>
        <w:tc>
          <w:tcPr>
            <w:tcW w:w="1053" w:type="pct"/>
            <w:tcBorders>
              <w:top w:val="nil"/>
              <w:left w:val="nil"/>
              <w:bottom w:val="nil"/>
              <w:right w:val="nil"/>
            </w:tcBorders>
            <w:vAlign w:val="bottom"/>
          </w:tcPr>
          <w:p w14:paraId="1E5D378C"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61 512</w:t>
            </w:r>
          </w:p>
        </w:tc>
        <w:tc>
          <w:tcPr>
            <w:tcW w:w="1107" w:type="pct"/>
            <w:tcBorders>
              <w:top w:val="nil"/>
              <w:left w:val="nil"/>
              <w:bottom w:val="nil"/>
              <w:right w:val="nil"/>
            </w:tcBorders>
            <w:vAlign w:val="bottom"/>
          </w:tcPr>
          <w:p w14:paraId="7928AC1B"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103 992</w:t>
            </w:r>
          </w:p>
        </w:tc>
        <w:tc>
          <w:tcPr>
            <w:tcW w:w="936" w:type="pct"/>
            <w:tcBorders>
              <w:top w:val="nil"/>
              <w:left w:val="nil"/>
              <w:bottom w:val="nil"/>
              <w:right w:val="nil"/>
            </w:tcBorders>
            <w:vAlign w:val="bottom"/>
          </w:tcPr>
          <w:p w14:paraId="285F752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90 852</w:t>
            </w:r>
          </w:p>
        </w:tc>
      </w:tr>
      <w:tr w:rsidR="0083434C" w:rsidRPr="000D160C" w14:paraId="462778EC" w14:textId="77777777" w:rsidTr="00083940">
        <w:trPr>
          <w:jc w:val="center"/>
        </w:trPr>
        <w:tc>
          <w:tcPr>
            <w:tcW w:w="1114" w:type="pct"/>
            <w:tcBorders>
              <w:top w:val="nil"/>
              <w:left w:val="nil"/>
              <w:bottom w:val="nil"/>
              <w:right w:val="nil"/>
            </w:tcBorders>
            <w:vAlign w:val="bottom"/>
          </w:tcPr>
          <w:p w14:paraId="0C3031A8"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1.05.95-30.04.96</w:t>
            </w:r>
          </w:p>
        </w:tc>
        <w:tc>
          <w:tcPr>
            <w:tcW w:w="791" w:type="pct"/>
            <w:tcBorders>
              <w:top w:val="nil"/>
              <w:left w:val="nil"/>
              <w:bottom w:val="nil"/>
              <w:right w:val="nil"/>
            </w:tcBorders>
            <w:vAlign w:val="bottom"/>
          </w:tcPr>
          <w:p w14:paraId="2FEDB29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39 230</w:t>
            </w:r>
          </w:p>
        </w:tc>
        <w:tc>
          <w:tcPr>
            <w:tcW w:w="1053" w:type="pct"/>
            <w:tcBorders>
              <w:top w:val="nil"/>
              <w:left w:val="nil"/>
              <w:bottom w:val="nil"/>
              <w:right w:val="nil"/>
            </w:tcBorders>
            <w:vAlign w:val="bottom"/>
          </w:tcPr>
          <w:p w14:paraId="4CE99D1B"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63 372</w:t>
            </w:r>
          </w:p>
        </w:tc>
        <w:tc>
          <w:tcPr>
            <w:tcW w:w="1107" w:type="pct"/>
            <w:tcBorders>
              <w:top w:val="nil"/>
              <w:left w:val="nil"/>
              <w:bottom w:val="nil"/>
              <w:right w:val="nil"/>
            </w:tcBorders>
            <w:vAlign w:val="bottom"/>
          </w:tcPr>
          <w:p w14:paraId="393CE28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107 136</w:t>
            </w:r>
          </w:p>
        </w:tc>
        <w:tc>
          <w:tcPr>
            <w:tcW w:w="936" w:type="pct"/>
            <w:tcBorders>
              <w:top w:val="nil"/>
              <w:left w:val="nil"/>
              <w:bottom w:val="nil"/>
              <w:right w:val="nil"/>
            </w:tcBorders>
            <w:vAlign w:val="bottom"/>
          </w:tcPr>
          <w:p w14:paraId="6FCA7CED"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93 600</w:t>
            </w:r>
          </w:p>
        </w:tc>
      </w:tr>
      <w:tr w:rsidR="0083434C" w:rsidRPr="000D160C" w14:paraId="4CA462E3" w14:textId="77777777" w:rsidTr="00083940">
        <w:trPr>
          <w:jc w:val="center"/>
        </w:trPr>
        <w:tc>
          <w:tcPr>
            <w:tcW w:w="1114" w:type="pct"/>
            <w:tcBorders>
              <w:top w:val="nil"/>
              <w:left w:val="nil"/>
              <w:bottom w:val="nil"/>
              <w:right w:val="nil"/>
            </w:tcBorders>
            <w:vAlign w:val="bottom"/>
          </w:tcPr>
          <w:p w14:paraId="7356D411"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1.05.96-30.04.97</w:t>
            </w:r>
          </w:p>
        </w:tc>
        <w:tc>
          <w:tcPr>
            <w:tcW w:w="791" w:type="pct"/>
            <w:tcBorders>
              <w:top w:val="nil"/>
              <w:left w:val="nil"/>
              <w:bottom w:val="nil"/>
              <w:right w:val="nil"/>
            </w:tcBorders>
            <w:vAlign w:val="bottom"/>
          </w:tcPr>
          <w:p w14:paraId="6512845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41 000</w:t>
            </w:r>
          </w:p>
        </w:tc>
        <w:tc>
          <w:tcPr>
            <w:tcW w:w="1053" w:type="pct"/>
            <w:tcBorders>
              <w:top w:val="nil"/>
              <w:left w:val="nil"/>
              <w:bottom w:val="nil"/>
              <w:right w:val="nil"/>
            </w:tcBorders>
            <w:vAlign w:val="bottom"/>
          </w:tcPr>
          <w:p w14:paraId="126ADFE2"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66 240</w:t>
            </w:r>
          </w:p>
        </w:tc>
        <w:tc>
          <w:tcPr>
            <w:tcW w:w="1107" w:type="pct"/>
            <w:tcBorders>
              <w:top w:val="nil"/>
              <w:left w:val="nil"/>
              <w:bottom w:val="nil"/>
              <w:right w:val="nil"/>
            </w:tcBorders>
            <w:vAlign w:val="bottom"/>
          </w:tcPr>
          <w:p w14:paraId="291BAD6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111 984</w:t>
            </w:r>
          </w:p>
        </w:tc>
        <w:tc>
          <w:tcPr>
            <w:tcW w:w="936" w:type="pct"/>
            <w:tcBorders>
              <w:top w:val="nil"/>
              <w:left w:val="nil"/>
              <w:bottom w:val="nil"/>
              <w:right w:val="nil"/>
            </w:tcBorders>
            <w:vAlign w:val="bottom"/>
          </w:tcPr>
          <w:p w14:paraId="25D738A2"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97 836</w:t>
            </w:r>
          </w:p>
        </w:tc>
      </w:tr>
      <w:tr w:rsidR="0083434C" w:rsidRPr="000D160C" w14:paraId="21513496" w14:textId="77777777" w:rsidTr="00083940">
        <w:trPr>
          <w:jc w:val="center"/>
        </w:trPr>
        <w:tc>
          <w:tcPr>
            <w:tcW w:w="1114" w:type="pct"/>
            <w:tcBorders>
              <w:top w:val="nil"/>
              <w:left w:val="nil"/>
              <w:bottom w:val="nil"/>
              <w:right w:val="nil"/>
            </w:tcBorders>
            <w:vAlign w:val="bottom"/>
          </w:tcPr>
          <w:p w14:paraId="5972759B"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1.05.97-30.04.98</w:t>
            </w:r>
            <w:r>
              <w:rPr>
                <w:rStyle w:val="skrift-hevet"/>
                <w:sz w:val="19"/>
                <w:szCs w:val="19"/>
              </w:rPr>
              <w:t>4</w:t>
            </w:r>
          </w:p>
        </w:tc>
        <w:tc>
          <w:tcPr>
            <w:tcW w:w="791" w:type="pct"/>
            <w:tcBorders>
              <w:top w:val="nil"/>
              <w:left w:val="nil"/>
              <w:bottom w:val="nil"/>
              <w:right w:val="nil"/>
            </w:tcBorders>
            <w:vAlign w:val="bottom"/>
          </w:tcPr>
          <w:p w14:paraId="17169EAB"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42 500</w:t>
            </w:r>
          </w:p>
        </w:tc>
        <w:tc>
          <w:tcPr>
            <w:tcW w:w="1053" w:type="pct"/>
            <w:tcBorders>
              <w:top w:val="nil"/>
              <w:left w:val="nil"/>
              <w:bottom w:val="nil"/>
              <w:right w:val="nil"/>
            </w:tcBorders>
            <w:vAlign w:val="bottom"/>
          </w:tcPr>
          <w:p w14:paraId="59D1B40D"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69 360</w:t>
            </w:r>
          </w:p>
        </w:tc>
        <w:tc>
          <w:tcPr>
            <w:tcW w:w="1107" w:type="pct"/>
            <w:tcBorders>
              <w:top w:val="nil"/>
              <w:left w:val="nil"/>
              <w:bottom w:val="nil"/>
              <w:right w:val="nil"/>
            </w:tcBorders>
            <w:vAlign w:val="bottom"/>
          </w:tcPr>
          <w:p w14:paraId="5CF53DD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117 456</w:t>
            </w:r>
          </w:p>
        </w:tc>
        <w:tc>
          <w:tcPr>
            <w:tcW w:w="936" w:type="pct"/>
            <w:tcBorders>
              <w:top w:val="nil"/>
              <w:left w:val="nil"/>
              <w:bottom w:val="nil"/>
              <w:right w:val="nil"/>
            </w:tcBorders>
            <w:vAlign w:val="bottom"/>
          </w:tcPr>
          <w:p w14:paraId="47519F1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101 412</w:t>
            </w:r>
          </w:p>
        </w:tc>
      </w:tr>
      <w:tr w:rsidR="0083434C" w:rsidRPr="000D160C" w14:paraId="6F82B133" w14:textId="77777777" w:rsidTr="00083940">
        <w:trPr>
          <w:jc w:val="center"/>
        </w:trPr>
        <w:tc>
          <w:tcPr>
            <w:tcW w:w="1114" w:type="pct"/>
            <w:tcBorders>
              <w:top w:val="nil"/>
              <w:left w:val="nil"/>
              <w:bottom w:val="nil"/>
              <w:right w:val="nil"/>
            </w:tcBorders>
            <w:vAlign w:val="bottom"/>
          </w:tcPr>
          <w:p w14:paraId="435B224D"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1.05.98-30.04.99</w:t>
            </w:r>
            <w:r>
              <w:rPr>
                <w:rStyle w:val="skrift-hevet"/>
                <w:sz w:val="19"/>
                <w:szCs w:val="19"/>
              </w:rPr>
              <w:t>5</w:t>
            </w:r>
          </w:p>
        </w:tc>
        <w:tc>
          <w:tcPr>
            <w:tcW w:w="791" w:type="pct"/>
            <w:tcBorders>
              <w:top w:val="nil"/>
              <w:left w:val="nil"/>
              <w:bottom w:val="nil"/>
              <w:right w:val="nil"/>
            </w:tcBorders>
            <w:vAlign w:val="bottom"/>
          </w:tcPr>
          <w:p w14:paraId="1A3FCC9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45 370</w:t>
            </w:r>
          </w:p>
        </w:tc>
        <w:tc>
          <w:tcPr>
            <w:tcW w:w="1053" w:type="pct"/>
            <w:tcBorders>
              <w:top w:val="nil"/>
              <w:left w:val="nil"/>
              <w:bottom w:val="nil"/>
              <w:right w:val="nil"/>
            </w:tcBorders>
            <w:vAlign w:val="bottom"/>
          </w:tcPr>
          <w:p w14:paraId="1C97ECC2"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81 360</w:t>
            </w:r>
          </w:p>
        </w:tc>
        <w:tc>
          <w:tcPr>
            <w:tcW w:w="1107" w:type="pct"/>
            <w:tcBorders>
              <w:top w:val="nil"/>
              <w:left w:val="nil"/>
              <w:bottom w:val="nil"/>
              <w:right w:val="nil"/>
            </w:tcBorders>
            <w:vAlign w:val="bottom"/>
          </w:tcPr>
          <w:p w14:paraId="0B62A1A7"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140 040</w:t>
            </w:r>
          </w:p>
        </w:tc>
        <w:tc>
          <w:tcPr>
            <w:tcW w:w="936" w:type="pct"/>
            <w:tcBorders>
              <w:top w:val="nil"/>
              <w:left w:val="nil"/>
              <w:bottom w:val="nil"/>
              <w:right w:val="nil"/>
            </w:tcBorders>
            <w:vAlign w:val="bottom"/>
          </w:tcPr>
          <w:p w14:paraId="61E0289B"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108 252</w:t>
            </w:r>
          </w:p>
        </w:tc>
      </w:tr>
      <w:tr w:rsidR="0083434C" w:rsidRPr="000D160C" w14:paraId="3698EABB" w14:textId="77777777" w:rsidTr="00083940">
        <w:trPr>
          <w:jc w:val="center"/>
        </w:trPr>
        <w:tc>
          <w:tcPr>
            <w:tcW w:w="1114" w:type="pct"/>
            <w:tcBorders>
              <w:top w:val="nil"/>
              <w:left w:val="nil"/>
              <w:bottom w:val="nil"/>
              <w:right w:val="nil"/>
            </w:tcBorders>
            <w:vAlign w:val="bottom"/>
          </w:tcPr>
          <w:p w14:paraId="03D4EB24"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1.05.99-30.04.00</w:t>
            </w:r>
          </w:p>
        </w:tc>
        <w:tc>
          <w:tcPr>
            <w:tcW w:w="791" w:type="pct"/>
            <w:tcBorders>
              <w:top w:val="nil"/>
              <w:left w:val="nil"/>
              <w:bottom w:val="nil"/>
              <w:right w:val="nil"/>
            </w:tcBorders>
            <w:vAlign w:val="bottom"/>
          </w:tcPr>
          <w:p w14:paraId="1A4D701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46 950</w:t>
            </w:r>
          </w:p>
        </w:tc>
        <w:tc>
          <w:tcPr>
            <w:tcW w:w="1053" w:type="pct"/>
            <w:tcBorders>
              <w:top w:val="nil"/>
              <w:left w:val="nil"/>
              <w:bottom w:val="nil"/>
              <w:right w:val="nil"/>
            </w:tcBorders>
            <w:vAlign w:val="bottom"/>
          </w:tcPr>
          <w:p w14:paraId="27D0E13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84 204</w:t>
            </w:r>
          </w:p>
        </w:tc>
        <w:tc>
          <w:tcPr>
            <w:tcW w:w="1107" w:type="pct"/>
            <w:tcBorders>
              <w:top w:val="nil"/>
              <w:left w:val="nil"/>
              <w:bottom w:val="nil"/>
              <w:right w:val="nil"/>
            </w:tcBorders>
            <w:vAlign w:val="bottom"/>
          </w:tcPr>
          <w:p w14:paraId="135BE44E"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144 912</w:t>
            </w:r>
          </w:p>
        </w:tc>
        <w:tc>
          <w:tcPr>
            <w:tcW w:w="936" w:type="pct"/>
            <w:tcBorders>
              <w:top w:val="nil"/>
              <w:left w:val="nil"/>
              <w:bottom w:val="nil"/>
              <w:right w:val="nil"/>
            </w:tcBorders>
            <w:vAlign w:val="bottom"/>
          </w:tcPr>
          <w:p w14:paraId="47522D19"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112 032</w:t>
            </w:r>
          </w:p>
        </w:tc>
      </w:tr>
      <w:tr w:rsidR="0083434C" w:rsidRPr="000D160C" w14:paraId="5D265977" w14:textId="77777777" w:rsidTr="00083940">
        <w:trPr>
          <w:jc w:val="center"/>
        </w:trPr>
        <w:tc>
          <w:tcPr>
            <w:tcW w:w="1114" w:type="pct"/>
            <w:tcBorders>
              <w:top w:val="nil"/>
              <w:left w:val="nil"/>
              <w:bottom w:val="nil"/>
              <w:right w:val="nil"/>
            </w:tcBorders>
            <w:vAlign w:val="bottom"/>
          </w:tcPr>
          <w:p w14:paraId="2371C8D3"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1.05.00-30.04.01</w:t>
            </w:r>
          </w:p>
        </w:tc>
        <w:tc>
          <w:tcPr>
            <w:tcW w:w="791" w:type="pct"/>
            <w:tcBorders>
              <w:top w:val="nil"/>
              <w:left w:val="nil"/>
              <w:bottom w:val="nil"/>
              <w:right w:val="nil"/>
            </w:tcBorders>
            <w:vAlign w:val="bottom"/>
          </w:tcPr>
          <w:p w14:paraId="5F3205A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49 090</w:t>
            </w:r>
          </w:p>
        </w:tc>
        <w:tc>
          <w:tcPr>
            <w:tcW w:w="1053" w:type="pct"/>
            <w:tcBorders>
              <w:top w:val="nil"/>
              <w:left w:val="nil"/>
              <w:bottom w:val="nil"/>
              <w:right w:val="nil"/>
            </w:tcBorders>
            <w:vAlign w:val="bottom"/>
          </w:tcPr>
          <w:p w14:paraId="1D1041B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88 032</w:t>
            </w:r>
          </w:p>
        </w:tc>
        <w:tc>
          <w:tcPr>
            <w:tcW w:w="1107" w:type="pct"/>
            <w:tcBorders>
              <w:top w:val="nil"/>
              <w:left w:val="nil"/>
              <w:bottom w:val="nil"/>
              <w:right w:val="nil"/>
            </w:tcBorders>
            <w:vAlign w:val="bottom"/>
          </w:tcPr>
          <w:p w14:paraId="13B700F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151 512</w:t>
            </w:r>
          </w:p>
        </w:tc>
        <w:tc>
          <w:tcPr>
            <w:tcW w:w="936" w:type="pct"/>
            <w:tcBorders>
              <w:top w:val="nil"/>
              <w:left w:val="nil"/>
              <w:bottom w:val="nil"/>
              <w:right w:val="nil"/>
            </w:tcBorders>
            <w:vAlign w:val="bottom"/>
          </w:tcPr>
          <w:p w14:paraId="6EAC257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117 132</w:t>
            </w:r>
          </w:p>
        </w:tc>
      </w:tr>
      <w:tr w:rsidR="0083434C" w:rsidRPr="000D160C" w14:paraId="50720339" w14:textId="77777777" w:rsidTr="00083940">
        <w:trPr>
          <w:jc w:val="center"/>
        </w:trPr>
        <w:tc>
          <w:tcPr>
            <w:tcW w:w="1114" w:type="pct"/>
            <w:tcBorders>
              <w:top w:val="nil"/>
              <w:left w:val="nil"/>
              <w:bottom w:val="nil"/>
              <w:right w:val="nil"/>
            </w:tcBorders>
            <w:vAlign w:val="bottom"/>
          </w:tcPr>
          <w:p w14:paraId="23430139"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1.05.01-30.04.02</w:t>
            </w:r>
          </w:p>
        </w:tc>
        <w:tc>
          <w:tcPr>
            <w:tcW w:w="791" w:type="pct"/>
            <w:tcBorders>
              <w:top w:val="nil"/>
              <w:left w:val="nil"/>
              <w:bottom w:val="nil"/>
              <w:right w:val="nil"/>
            </w:tcBorders>
            <w:vAlign w:val="bottom"/>
          </w:tcPr>
          <w:p w14:paraId="5C92BD2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51 360</w:t>
            </w:r>
          </w:p>
        </w:tc>
        <w:tc>
          <w:tcPr>
            <w:tcW w:w="1053" w:type="pct"/>
            <w:tcBorders>
              <w:top w:val="nil"/>
              <w:left w:val="nil"/>
              <w:bottom w:val="nil"/>
              <w:right w:val="nil"/>
            </w:tcBorders>
            <w:vAlign w:val="bottom"/>
          </w:tcPr>
          <w:p w14:paraId="046E512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92 100</w:t>
            </w:r>
          </w:p>
        </w:tc>
        <w:tc>
          <w:tcPr>
            <w:tcW w:w="1107" w:type="pct"/>
            <w:tcBorders>
              <w:top w:val="nil"/>
              <w:left w:val="nil"/>
              <w:bottom w:val="nil"/>
              <w:right w:val="nil"/>
            </w:tcBorders>
            <w:vAlign w:val="bottom"/>
          </w:tcPr>
          <w:p w14:paraId="172C784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158 532</w:t>
            </w:r>
          </w:p>
        </w:tc>
        <w:tc>
          <w:tcPr>
            <w:tcW w:w="936" w:type="pct"/>
            <w:tcBorders>
              <w:top w:val="nil"/>
              <w:left w:val="nil"/>
              <w:bottom w:val="nil"/>
              <w:right w:val="nil"/>
            </w:tcBorders>
            <w:vAlign w:val="bottom"/>
          </w:tcPr>
          <w:p w14:paraId="200DE76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122 544</w:t>
            </w:r>
          </w:p>
        </w:tc>
      </w:tr>
      <w:tr w:rsidR="0083434C" w:rsidRPr="000D160C" w14:paraId="18D70DE6" w14:textId="77777777" w:rsidTr="00083940">
        <w:trPr>
          <w:jc w:val="center"/>
        </w:trPr>
        <w:tc>
          <w:tcPr>
            <w:tcW w:w="1114" w:type="pct"/>
            <w:tcBorders>
              <w:top w:val="nil"/>
              <w:left w:val="nil"/>
              <w:bottom w:val="nil"/>
              <w:right w:val="nil"/>
            </w:tcBorders>
            <w:vAlign w:val="bottom"/>
          </w:tcPr>
          <w:p w14:paraId="40F28822"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1.05.02-30.04.03</w:t>
            </w:r>
          </w:p>
        </w:tc>
        <w:tc>
          <w:tcPr>
            <w:tcW w:w="791" w:type="pct"/>
            <w:tcBorders>
              <w:top w:val="nil"/>
              <w:left w:val="nil"/>
              <w:bottom w:val="nil"/>
              <w:right w:val="nil"/>
            </w:tcBorders>
            <w:vAlign w:val="bottom"/>
          </w:tcPr>
          <w:p w14:paraId="335D65CE"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54 170</w:t>
            </w:r>
          </w:p>
        </w:tc>
        <w:tc>
          <w:tcPr>
            <w:tcW w:w="1053" w:type="pct"/>
            <w:tcBorders>
              <w:top w:val="nil"/>
              <w:left w:val="nil"/>
              <w:bottom w:val="nil"/>
              <w:right w:val="nil"/>
            </w:tcBorders>
            <w:vAlign w:val="bottom"/>
          </w:tcPr>
          <w:p w14:paraId="2117676E"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97 140</w:t>
            </w:r>
          </w:p>
        </w:tc>
        <w:tc>
          <w:tcPr>
            <w:tcW w:w="1107" w:type="pct"/>
            <w:tcBorders>
              <w:top w:val="nil"/>
              <w:left w:val="nil"/>
              <w:bottom w:val="nil"/>
              <w:right w:val="nil"/>
            </w:tcBorders>
            <w:vAlign w:val="bottom"/>
          </w:tcPr>
          <w:p w14:paraId="19E7A767"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167 208</w:t>
            </w:r>
          </w:p>
        </w:tc>
        <w:tc>
          <w:tcPr>
            <w:tcW w:w="936" w:type="pct"/>
            <w:tcBorders>
              <w:top w:val="nil"/>
              <w:left w:val="nil"/>
              <w:bottom w:val="nil"/>
              <w:right w:val="nil"/>
            </w:tcBorders>
            <w:vAlign w:val="bottom"/>
          </w:tcPr>
          <w:p w14:paraId="670DD5FC"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129 252</w:t>
            </w:r>
          </w:p>
        </w:tc>
      </w:tr>
      <w:tr w:rsidR="0083434C" w:rsidRPr="000D160C" w14:paraId="48FF19C7" w14:textId="77777777" w:rsidTr="00083940">
        <w:trPr>
          <w:jc w:val="center"/>
        </w:trPr>
        <w:tc>
          <w:tcPr>
            <w:tcW w:w="1114" w:type="pct"/>
            <w:tcBorders>
              <w:top w:val="nil"/>
              <w:left w:val="nil"/>
              <w:right w:val="nil"/>
            </w:tcBorders>
            <w:vAlign w:val="bottom"/>
          </w:tcPr>
          <w:p w14:paraId="0D3CF2DF"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1.05.03-30.04.04</w:t>
            </w:r>
          </w:p>
        </w:tc>
        <w:tc>
          <w:tcPr>
            <w:tcW w:w="791" w:type="pct"/>
            <w:tcBorders>
              <w:top w:val="nil"/>
              <w:left w:val="nil"/>
              <w:right w:val="nil"/>
            </w:tcBorders>
            <w:vAlign w:val="bottom"/>
          </w:tcPr>
          <w:p w14:paraId="763DFEF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56 861</w:t>
            </w:r>
          </w:p>
        </w:tc>
        <w:tc>
          <w:tcPr>
            <w:tcW w:w="1053" w:type="pct"/>
            <w:tcBorders>
              <w:top w:val="nil"/>
              <w:left w:val="nil"/>
              <w:right w:val="nil"/>
            </w:tcBorders>
            <w:vAlign w:val="bottom"/>
          </w:tcPr>
          <w:p w14:paraId="436B6582"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101 964</w:t>
            </w:r>
          </w:p>
        </w:tc>
        <w:tc>
          <w:tcPr>
            <w:tcW w:w="1107" w:type="pct"/>
            <w:tcBorders>
              <w:top w:val="nil"/>
              <w:left w:val="nil"/>
              <w:right w:val="nil"/>
            </w:tcBorders>
            <w:vAlign w:val="bottom"/>
          </w:tcPr>
          <w:p w14:paraId="0A21F7FC"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181</w:t>
            </w:r>
            <w:r>
              <w:rPr>
                <w:noProof/>
                <w:sz w:val="19"/>
                <w:szCs w:val="19"/>
              </w:rPr>
              <w:t> </w:t>
            </w:r>
            <w:r w:rsidRPr="000D160C">
              <w:rPr>
                <w:noProof/>
                <w:sz w:val="19"/>
                <w:szCs w:val="19"/>
              </w:rPr>
              <w:t>200</w:t>
            </w:r>
            <w:r>
              <w:rPr>
                <w:rStyle w:val="skrift-hevet"/>
                <w:sz w:val="19"/>
                <w:szCs w:val="19"/>
              </w:rPr>
              <w:t>6</w:t>
            </w:r>
          </w:p>
        </w:tc>
        <w:tc>
          <w:tcPr>
            <w:tcW w:w="936" w:type="pct"/>
            <w:tcBorders>
              <w:top w:val="nil"/>
              <w:left w:val="nil"/>
              <w:right w:val="nil"/>
            </w:tcBorders>
            <w:vAlign w:val="bottom"/>
          </w:tcPr>
          <w:p w14:paraId="54332429"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135 660</w:t>
            </w:r>
          </w:p>
        </w:tc>
      </w:tr>
      <w:tr w:rsidR="0083434C" w:rsidRPr="000D160C" w14:paraId="4C8B86D4" w14:textId="77777777" w:rsidTr="00083940">
        <w:trPr>
          <w:jc w:val="center"/>
        </w:trPr>
        <w:tc>
          <w:tcPr>
            <w:tcW w:w="1114" w:type="pct"/>
            <w:tcBorders>
              <w:top w:val="nil"/>
              <w:left w:val="nil"/>
              <w:bottom w:val="nil"/>
              <w:right w:val="nil"/>
            </w:tcBorders>
            <w:vAlign w:val="bottom"/>
          </w:tcPr>
          <w:p w14:paraId="7D8CBBCF"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1.05.04-30.04.05</w:t>
            </w:r>
          </w:p>
        </w:tc>
        <w:tc>
          <w:tcPr>
            <w:tcW w:w="791" w:type="pct"/>
            <w:tcBorders>
              <w:top w:val="nil"/>
              <w:left w:val="nil"/>
              <w:bottom w:val="nil"/>
              <w:right w:val="nil"/>
            </w:tcBorders>
            <w:vAlign w:val="bottom"/>
          </w:tcPr>
          <w:p w14:paraId="1B0DF035"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58 778</w:t>
            </w:r>
          </w:p>
        </w:tc>
        <w:tc>
          <w:tcPr>
            <w:tcW w:w="1053" w:type="pct"/>
            <w:tcBorders>
              <w:top w:val="nil"/>
              <w:left w:val="nil"/>
              <w:bottom w:val="nil"/>
              <w:right w:val="nil"/>
            </w:tcBorders>
            <w:vAlign w:val="bottom"/>
          </w:tcPr>
          <w:p w14:paraId="00C4EC69"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105 408</w:t>
            </w:r>
          </w:p>
        </w:tc>
        <w:tc>
          <w:tcPr>
            <w:tcW w:w="1107" w:type="pct"/>
            <w:tcBorders>
              <w:top w:val="nil"/>
              <w:left w:val="nil"/>
              <w:bottom w:val="nil"/>
              <w:right w:val="nil"/>
            </w:tcBorders>
            <w:vAlign w:val="bottom"/>
          </w:tcPr>
          <w:p w14:paraId="1DAE32BE"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190</w:t>
            </w:r>
            <w:r>
              <w:rPr>
                <w:noProof/>
                <w:sz w:val="19"/>
                <w:szCs w:val="19"/>
              </w:rPr>
              <w:t> </w:t>
            </w:r>
            <w:r w:rsidRPr="000D160C">
              <w:rPr>
                <w:noProof/>
                <w:sz w:val="19"/>
                <w:szCs w:val="19"/>
              </w:rPr>
              <w:t>240</w:t>
            </w:r>
            <w:r>
              <w:rPr>
                <w:rStyle w:val="skrift-hevet"/>
                <w:sz w:val="19"/>
                <w:szCs w:val="19"/>
              </w:rPr>
              <w:t>7</w:t>
            </w:r>
          </w:p>
        </w:tc>
        <w:tc>
          <w:tcPr>
            <w:tcW w:w="936" w:type="pct"/>
            <w:tcBorders>
              <w:top w:val="nil"/>
              <w:left w:val="nil"/>
              <w:bottom w:val="nil"/>
              <w:right w:val="nil"/>
            </w:tcBorders>
            <w:vAlign w:val="bottom"/>
          </w:tcPr>
          <w:p w14:paraId="3EDD5826"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140 244</w:t>
            </w:r>
          </w:p>
        </w:tc>
      </w:tr>
      <w:tr w:rsidR="0083434C" w:rsidRPr="000D160C" w14:paraId="2BE0B879" w14:textId="77777777" w:rsidTr="00083940">
        <w:trPr>
          <w:jc w:val="center"/>
        </w:trPr>
        <w:tc>
          <w:tcPr>
            <w:tcW w:w="1114" w:type="pct"/>
            <w:tcBorders>
              <w:top w:val="nil"/>
              <w:left w:val="nil"/>
              <w:bottom w:val="nil"/>
              <w:right w:val="nil"/>
            </w:tcBorders>
            <w:vAlign w:val="bottom"/>
          </w:tcPr>
          <w:p w14:paraId="1FC04D15"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1.05.05-30.04.06</w:t>
            </w:r>
          </w:p>
        </w:tc>
        <w:tc>
          <w:tcPr>
            <w:tcW w:w="791" w:type="pct"/>
            <w:tcBorders>
              <w:top w:val="nil"/>
              <w:left w:val="nil"/>
              <w:bottom w:val="nil"/>
              <w:right w:val="nil"/>
            </w:tcBorders>
            <w:vAlign w:val="bottom"/>
          </w:tcPr>
          <w:p w14:paraId="2F59DED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60 699</w:t>
            </w:r>
          </w:p>
        </w:tc>
        <w:tc>
          <w:tcPr>
            <w:tcW w:w="1053" w:type="pct"/>
            <w:tcBorders>
              <w:top w:val="nil"/>
              <w:left w:val="nil"/>
              <w:bottom w:val="nil"/>
              <w:right w:val="nil"/>
            </w:tcBorders>
            <w:vAlign w:val="bottom"/>
          </w:tcPr>
          <w:p w14:paraId="25C6D17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108 852</w:t>
            </w:r>
          </w:p>
        </w:tc>
        <w:tc>
          <w:tcPr>
            <w:tcW w:w="1107" w:type="pct"/>
            <w:tcBorders>
              <w:top w:val="nil"/>
              <w:left w:val="nil"/>
              <w:bottom w:val="nil"/>
              <w:right w:val="nil"/>
            </w:tcBorders>
            <w:vAlign w:val="bottom"/>
          </w:tcPr>
          <w:p w14:paraId="575FC47C" w14:textId="77777777" w:rsidR="0083434C" w:rsidRPr="000D160C" w:rsidRDefault="0083434C" w:rsidP="00083940">
            <w:pPr>
              <w:autoSpaceDE w:val="0"/>
              <w:autoSpaceDN w:val="0"/>
              <w:adjustRightInd w:val="0"/>
              <w:spacing w:after="0" w:line="360" w:lineRule="auto"/>
              <w:ind w:left="79" w:right="79"/>
              <w:jc w:val="center"/>
              <w:rPr>
                <w:noProof/>
                <w:sz w:val="19"/>
                <w:szCs w:val="19"/>
                <w:vertAlign w:val="superscript"/>
              </w:rPr>
            </w:pPr>
            <w:r w:rsidRPr="000D160C">
              <w:rPr>
                <w:noProof/>
                <w:sz w:val="19"/>
                <w:szCs w:val="19"/>
              </w:rPr>
              <w:t>199</w:t>
            </w:r>
            <w:r>
              <w:rPr>
                <w:noProof/>
                <w:sz w:val="19"/>
                <w:szCs w:val="19"/>
              </w:rPr>
              <w:t> </w:t>
            </w:r>
            <w:r w:rsidRPr="000D160C">
              <w:rPr>
                <w:noProof/>
                <w:sz w:val="19"/>
                <w:szCs w:val="19"/>
              </w:rPr>
              <w:t>512</w:t>
            </w:r>
            <w:r>
              <w:rPr>
                <w:noProof/>
                <w:sz w:val="19"/>
                <w:szCs w:val="19"/>
                <w:vertAlign w:val="superscript"/>
              </w:rPr>
              <w:t>8</w:t>
            </w:r>
          </w:p>
        </w:tc>
        <w:tc>
          <w:tcPr>
            <w:tcW w:w="936" w:type="pct"/>
            <w:tcBorders>
              <w:top w:val="nil"/>
              <w:left w:val="nil"/>
              <w:bottom w:val="nil"/>
              <w:right w:val="nil"/>
            </w:tcBorders>
            <w:vAlign w:val="bottom"/>
          </w:tcPr>
          <w:p w14:paraId="1001B09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144 828</w:t>
            </w:r>
          </w:p>
        </w:tc>
      </w:tr>
      <w:tr w:rsidR="0083434C" w:rsidRPr="000D160C" w14:paraId="200B33F5" w14:textId="77777777" w:rsidTr="00083940">
        <w:trPr>
          <w:jc w:val="center"/>
        </w:trPr>
        <w:tc>
          <w:tcPr>
            <w:tcW w:w="1114" w:type="pct"/>
            <w:tcBorders>
              <w:top w:val="nil"/>
              <w:left w:val="nil"/>
              <w:bottom w:val="nil"/>
              <w:right w:val="nil"/>
            </w:tcBorders>
            <w:vAlign w:val="bottom"/>
          </w:tcPr>
          <w:p w14:paraId="6711BA18"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1.05.06-30.04.07</w:t>
            </w:r>
          </w:p>
        </w:tc>
        <w:tc>
          <w:tcPr>
            <w:tcW w:w="791" w:type="pct"/>
            <w:tcBorders>
              <w:top w:val="nil"/>
              <w:left w:val="nil"/>
              <w:bottom w:val="nil"/>
              <w:right w:val="nil"/>
            </w:tcBorders>
            <w:vAlign w:val="bottom"/>
          </w:tcPr>
          <w:p w14:paraId="2E1D1724"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62 892</w:t>
            </w:r>
          </w:p>
        </w:tc>
        <w:tc>
          <w:tcPr>
            <w:tcW w:w="1053" w:type="pct"/>
            <w:tcBorders>
              <w:top w:val="nil"/>
              <w:left w:val="nil"/>
              <w:bottom w:val="nil"/>
              <w:right w:val="nil"/>
            </w:tcBorders>
            <w:vAlign w:val="bottom"/>
          </w:tcPr>
          <w:p w14:paraId="2D0D938D"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112 788</w:t>
            </w:r>
          </w:p>
        </w:tc>
        <w:tc>
          <w:tcPr>
            <w:tcW w:w="1107" w:type="pct"/>
            <w:tcBorders>
              <w:top w:val="nil"/>
              <w:left w:val="nil"/>
              <w:bottom w:val="nil"/>
              <w:right w:val="nil"/>
            </w:tcBorders>
            <w:vAlign w:val="bottom"/>
          </w:tcPr>
          <w:p w14:paraId="7CE2490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206 712</w:t>
            </w:r>
          </w:p>
        </w:tc>
        <w:tc>
          <w:tcPr>
            <w:tcW w:w="936" w:type="pct"/>
            <w:tcBorders>
              <w:top w:val="nil"/>
              <w:left w:val="nil"/>
              <w:bottom w:val="nil"/>
              <w:right w:val="nil"/>
            </w:tcBorders>
            <w:vAlign w:val="bottom"/>
          </w:tcPr>
          <w:p w14:paraId="1018BCA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150 060</w:t>
            </w:r>
          </w:p>
        </w:tc>
      </w:tr>
      <w:tr w:rsidR="0083434C" w:rsidRPr="000D160C" w14:paraId="3986FFF5" w14:textId="77777777" w:rsidTr="00083940">
        <w:trPr>
          <w:jc w:val="center"/>
        </w:trPr>
        <w:tc>
          <w:tcPr>
            <w:tcW w:w="1114" w:type="pct"/>
            <w:tcBorders>
              <w:top w:val="nil"/>
              <w:left w:val="nil"/>
              <w:bottom w:val="nil"/>
              <w:right w:val="nil"/>
            </w:tcBorders>
            <w:vAlign w:val="bottom"/>
          </w:tcPr>
          <w:p w14:paraId="68D50230" w14:textId="77777777"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1.05.07-30.04.08</w:t>
            </w:r>
          </w:p>
        </w:tc>
        <w:tc>
          <w:tcPr>
            <w:tcW w:w="791" w:type="pct"/>
            <w:tcBorders>
              <w:top w:val="nil"/>
              <w:left w:val="nil"/>
              <w:bottom w:val="nil"/>
              <w:right w:val="nil"/>
            </w:tcBorders>
            <w:vAlign w:val="bottom"/>
          </w:tcPr>
          <w:p w14:paraId="4EC1D084"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66 812</w:t>
            </w:r>
          </w:p>
        </w:tc>
        <w:tc>
          <w:tcPr>
            <w:tcW w:w="1053" w:type="pct"/>
            <w:tcBorders>
              <w:top w:val="nil"/>
              <w:left w:val="nil"/>
              <w:bottom w:val="nil"/>
              <w:right w:val="nil"/>
            </w:tcBorders>
            <w:vAlign w:val="bottom"/>
          </w:tcPr>
          <w:p w14:paraId="7C69331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119 820</w:t>
            </w:r>
          </w:p>
        </w:tc>
        <w:tc>
          <w:tcPr>
            <w:tcW w:w="1107" w:type="pct"/>
            <w:tcBorders>
              <w:top w:val="nil"/>
              <w:left w:val="nil"/>
              <w:bottom w:val="nil"/>
              <w:right w:val="nil"/>
            </w:tcBorders>
            <w:vAlign w:val="bottom"/>
          </w:tcPr>
          <w:p w14:paraId="6AD8E83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219 600</w:t>
            </w:r>
          </w:p>
        </w:tc>
        <w:tc>
          <w:tcPr>
            <w:tcW w:w="936" w:type="pct"/>
            <w:tcBorders>
              <w:top w:val="nil"/>
              <w:left w:val="nil"/>
              <w:bottom w:val="nil"/>
              <w:right w:val="nil"/>
            </w:tcBorders>
            <w:vAlign w:val="bottom"/>
          </w:tcPr>
          <w:p w14:paraId="1E518C7B"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159 420</w:t>
            </w:r>
          </w:p>
        </w:tc>
      </w:tr>
      <w:tr w:rsidR="0083434C" w:rsidRPr="000D160C" w14:paraId="39C22DF5" w14:textId="77777777" w:rsidTr="00083940">
        <w:trPr>
          <w:jc w:val="center"/>
        </w:trPr>
        <w:tc>
          <w:tcPr>
            <w:tcW w:w="1114" w:type="pct"/>
            <w:tcBorders>
              <w:top w:val="nil"/>
              <w:left w:val="nil"/>
              <w:bottom w:val="nil"/>
              <w:right w:val="nil"/>
            </w:tcBorders>
            <w:vAlign w:val="bottom"/>
          </w:tcPr>
          <w:p w14:paraId="0B163977" w14:textId="2F3085C3"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1.05.08-30.04.09</w:t>
            </w:r>
            <w:r>
              <w:rPr>
                <w:noProof/>
                <w:sz w:val="19"/>
                <w:szCs w:val="19"/>
                <w:vertAlign w:val="superscript"/>
              </w:rPr>
              <w:t>9</w:t>
            </w:r>
          </w:p>
        </w:tc>
        <w:tc>
          <w:tcPr>
            <w:tcW w:w="791" w:type="pct"/>
            <w:tcBorders>
              <w:top w:val="nil"/>
              <w:left w:val="nil"/>
              <w:bottom w:val="nil"/>
              <w:right w:val="nil"/>
            </w:tcBorders>
            <w:vAlign w:val="bottom"/>
          </w:tcPr>
          <w:p w14:paraId="6EA74D7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70 256</w:t>
            </w:r>
          </w:p>
        </w:tc>
        <w:tc>
          <w:tcPr>
            <w:tcW w:w="1053" w:type="pct"/>
            <w:tcBorders>
              <w:top w:val="nil"/>
              <w:left w:val="nil"/>
              <w:bottom w:val="nil"/>
              <w:right w:val="nil"/>
            </w:tcBorders>
            <w:vAlign w:val="bottom"/>
          </w:tcPr>
          <w:p w14:paraId="2352BF45"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136 296</w:t>
            </w:r>
          </w:p>
        </w:tc>
        <w:tc>
          <w:tcPr>
            <w:tcW w:w="1107" w:type="pct"/>
            <w:tcBorders>
              <w:top w:val="nil"/>
              <w:left w:val="nil"/>
              <w:bottom w:val="nil"/>
              <w:right w:val="nil"/>
            </w:tcBorders>
            <w:vAlign w:val="bottom"/>
          </w:tcPr>
          <w:p w14:paraId="38807E07"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251 496</w:t>
            </w:r>
          </w:p>
        </w:tc>
        <w:tc>
          <w:tcPr>
            <w:tcW w:w="936" w:type="pct"/>
            <w:tcBorders>
              <w:top w:val="nil"/>
              <w:left w:val="nil"/>
              <w:bottom w:val="nil"/>
              <w:right w:val="nil"/>
            </w:tcBorders>
            <w:vAlign w:val="bottom"/>
          </w:tcPr>
          <w:p w14:paraId="346FA2B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 xml:space="preserve">   173 532</w:t>
            </w:r>
            <w:r w:rsidRPr="000D160C">
              <w:rPr>
                <w:noProof/>
                <w:sz w:val="19"/>
                <w:szCs w:val="19"/>
                <w:vertAlign w:val="superscript"/>
              </w:rPr>
              <w:t>1</w:t>
            </w:r>
            <w:r>
              <w:rPr>
                <w:noProof/>
                <w:sz w:val="19"/>
                <w:szCs w:val="19"/>
                <w:vertAlign w:val="superscript"/>
              </w:rPr>
              <w:t>0</w:t>
            </w:r>
          </w:p>
        </w:tc>
      </w:tr>
      <w:tr w:rsidR="0083434C" w:rsidRPr="000D160C" w14:paraId="2D684C50" w14:textId="77777777" w:rsidTr="00083940">
        <w:trPr>
          <w:jc w:val="center"/>
        </w:trPr>
        <w:tc>
          <w:tcPr>
            <w:tcW w:w="1114" w:type="pct"/>
            <w:tcBorders>
              <w:top w:val="nil"/>
              <w:left w:val="nil"/>
              <w:bottom w:val="nil"/>
              <w:right w:val="nil"/>
            </w:tcBorders>
            <w:vAlign w:val="bottom"/>
          </w:tcPr>
          <w:p w14:paraId="6969E3EC" w14:textId="738851C5"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1.05.09-30.04.10</w:t>
            </w:r>
            <w:r>
              <w:rPr>
                <w:noProof/>
                <w:sz w:val="19"/>
                <w:szCs w:val="19"/>
                <w:vertAlign w:val="superscript"/>
              </w:rPr>
              <w:t>11</w:t>
            </w:r>
          </w:p>
        </w:tc>
        <w:tc>
          <w:tcPr>
            <w:tcW w:w="791" w:type="pct"/>
            <w:tcBorders>
              <w:top w:val="nil"/>
              <w:left w:val="nil"/>
              <w:bottom w:val="nil"/>
              <w:right w:val="nil"/>
            </w:tcBorders>
            <w:vAlign w:val="bottom"/>
          </w:tcPr>
          <w:p w14:paraId="1E59BF5C"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72 881</w:t>
            </w:r>
          </w:p>
        </w:tc>
        <w:tc>
          <w:tcPr>
            <w:tcW w:w="1053" w:type="pct"/>
            <w:tcBorders>
              <w:top w:val="nil"/>
              <w:left w:val="nil"/>
              <w:bottom w:val="nil"/>
              <w:right w:val="nil"/>
            </w:tcBorders>
            <w:vAlign w:val="bottom"/>
          </w:tcPr>
          <w:p w14:paraId="740EF21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143 568</w:t>
            </w:r>
          </w:p>
        </w:tc>
        <w:tc>
          <w:tcPr>
            <w:tcW w:w="1107" w:type="pct"/>
            <w:tcBorders>
              <w:top w:val="nil"/>
              <w:left w:val="nil"/>
              <w:bottom w:val="nil"/>
              <w:right w:val="nil"/>
            </w:tcBorders>
            <w:vAlign w:val="bottom"/>
          </w:tcPr>
          <w:p w14:paraId="7C6ACCCC"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265 272</w:t>
            </w:r>
          </w:p>
        </w:tc>
        <w:tc>
          <w:tcPr>
            <w:tcW w:w="936" w:type="pct"/>
            <w:tcBorders>
              <w:top w:val="nil"/>
              <w:left w:val="nil"/>
              <w:bottom w:val="nil"/>
              <w:right w:val="nil"/>
            </w:tcBorders>
            <w:vAlign w:val="bottom"/>
          </w:tcPr>
          <w:p w14:paraId="283FA9F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180 012</w:t>
            </w:r>
          </w:p>
        </w:tc>
      </w:tr>
      <w:tr w:rsidR="0083434C" w:rsidRPr="000D160C" w14:paraId="1C08905E" w14:textId="77777777" w:rsidTr="00083940">
        <w:trPr>
          <w:jc w:val="center"/>
        </w:trPr>
        <w:tc>
          <w:tcPr>
            <w:tcW w:w="1114" w:type="pct"/>
            <w:tcBorders>
              <w:top w:val="nil"/>
              <w:left w:val="nil"/>
              <w:bottom w:val="nil"/>
              <w:right w:val="nil"/>
            </w:tcBorders>
            <w:vAlign w:val="bottom"/>
          </w:tcPr>
          <w:p w14:paraId="15445BE7" w14:textId="4FB5DACB"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1.05.10-30.04.11</w:t>
            </w:r>
            <w:r w:rsidRPr="000D160C">
              <w:rPr>
                <w:noProof/>
                <w:sz w:val="19"/>
                <w:szCs w:val="19"/>
                <w:vertAlign w:val="superscript"/>
              </w:rPr>
              <w:t>1</w:t>
            </w:r>
            <w:r>
              <w:rPr>
                <w:noProof/>
                <w:sz w:val="19"/>
                <w:szCs w:val="19"/>
                <w:vertAlign w:val="superscript"/>
              </w:rPr>
              <w:t>2</w:t>
            </w:r>
          </w:p>
        </w:tc>
        <w:tc>
          <w:tcPr>
            <w:tcW w:w="791" w:type="pct"/>
            <w:tcBorders>
              <w:top w:val="nil"/>
              <w:left w:val="nil"/>
              <w:bottom w:val="nil"/>
              <w:right w:val="nil"/>
            </w:tcBorders>
            <w:vAlign w:val="bottom"/>
          </w:tcPr>
          <w:p w14:paraId="7A86614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75 641</w:t>
            </w:r>
          </w:p>
        </w:tc>
        <w:tc>
          <w:tcPr>
            <w:tcW w:w="1053" w:type="pct"/>
            <w:tcBorders>
              <w:top w:val="nil"/>
              <w:left w:val="nil"/>
              <w:bottom w:val="nil"/>
              <w:right w:val="nil"/>
            </w:tcBorders>
            <w:vAlign w:val="bottom"/>
          </w:tcPr>
          <w:p w14:paraId="104F52D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151 272</w:t>
            </w:r>
          </w:p>
        </w:tc>
        <w:tc>
          <w:tcPr>
            <w:tcW w:w="1107" w:type="pct"/>
            <w:tcBorders>
              <w:top w:val="nil"/>
              <w:left w:val="nil"/>
              <w:bottom w:val="nil"/>
              <w:right w:val="nil"/>
            </w:tcBorders>
            <w:vAlign w:val="bottom"/>
          </w:tcPr>
          <w:p w14:paraId="4E28C40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279 864</w:t>
            </w:r>
          </w:p>
        </w:tc>
        <w:tc>
          <w:tcPr>
            <w:tcW w:w="936" w:type="pct"/>
            <w:tcBorders>
              <w:top w:val="nil"/>
              <w:left w:val="nil"/>
              <w:bottom w:val="nil"/>
              <w:right w:val="nil"/>
            </w:tcBorders>
            <w:vAlign w:val="bottom"/>
          </w:tcPr>
          <w:p w14:paraId="0CF487C0"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186 828</w:t>
            </w:r>
          </w:p>
        </w:tc>
      </w:tr>
      <w:tr w:rsidR="0083434C" w:rsidRPr="000D160C" w14:paraId="215AAAEF" w14:textId="77777777" w:rsidTr="00083940">
        <w:trPr>
          <w:jc w:val="center"/>
        </w:trPr>
        <w:tc>
          <w:tcPr>
            <w:tcW w:w="1114" w:type="pct"/>
            <w:tcBorders>
              <w:top w:val="nil"/>
              <w:left w:val="nil"/>
              <w:bottom w:val="nil"/>
              <w:right w:val="nil"/>
            </w:tcBorders>
            <w:vAlign w:val="bottom"/>
          </w:tcPr>
          <w:p w14:paraId="0F9721CB" w14:textId="0E976AB3"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1.05.11-30.04.12</w:t>
            </w:r>
            <w:r w:rsidRPr="000D160C">
              <w:rPr>
                <w:noProof/>
                <w:sz w:val="19"/>
                <w:szCs w:val="19"/>
                <w:vertAlign w:val="superscript"/>
              </w:rPr>
              <w:t>1</w:t>
            </w:r>
            <w:r>
              <w:rPr>
                <w:noProof/>
                <w:sz w:val="19"/>
                <w:szCs w:val="19"/>
                <w:vertAlign w:val="superscript"/>
              </w:rPr>
              <w:t>3</w:t>
            </w:r>
          </w:p>
        </w:tc>
        <w:tc>
          <w:tcPr>
            <w:tcW w:w="791" w:type="pct"/>
            <w:tcBorders>
              <w:top w:val="nil"/>
              <w:left w:val="nil"/>
              <w:bottom w:val="nil"/>
              <w:right w:val="nil"/>
            </w:tcBorders>
            <w:vAlign w:val="bottom"/>
          </w:tcPr>
          <w:p w14:paraId="33F832B4"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79 216</w:t>
            </w:r>
          </w:p>
        </w:tc>
        <w:tc>
          <w:tcPr>
            <w:tcW w:w="1053" w:type="pct"/>
            <w:tcBorders>
              <w:top w:val="nil"/>
              <w:left w:val="nil"/>
              <w:bottom w:val="nil"/>
              <w:right w:val="nil"/>
            </w:tcBorders>
            <w:vAlign w:val="bottom"/>
          </w:tcPr>
          <w:p w14:paraId="53BDE195"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 xml:space="preserve">157 639 </w:t>
            </w:r>
          </w:p>
        </w:tc>
        <w:tc>
          <w:tcPr>
            <w:tcW w:w="1107" w:type="pct"/>
            <w:tcBorders>
              <w:top w:val="nil"/>
              <w:left w:val="nil"/>
              <w:bottom w:val="nil"/>
              <w:right w:val="nil"/>
            </w:tcBorders>
            <w:vAlign w:val="bottom"/>
          </w:tcPr>
          <w:p w14:paraId="3683E1D4"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291 644</w:t>
            </w:r>
          </w:p>
        </w:tc>
        <w:tc>
          <w:tcPr>
            <w:tcW w:w="936" w:type="pct"/>
            <w:tcBorders>
              <w:top w:val="nil"/>
              <w:left w:val="nil"/>
              <w:bottom w:val="nil"/>
              <w:right w:val="nil"/>
            </w:tcBorders>
            <w:vAlign w:val="bottom"/>
          </w:tcPr>
          <w:p w14:paraId="7C7B4D8A"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195 660</w:t>
            </w:r>
          </w:p>
        </w:tc>
      </w:tr>
      <w:tr w:rsidR="0083434C" w:rsidRPr="000D160C" w14:paraId="699B89F6" w14:textId="77777777" w:rsidTr="00083940">
        <w:trPr>
          <w:jc w:val="center"/>
        </w:trPr>
        <w:tc>
          <w:tcPr>
            <w:tcW w:w="1114" w:type="pct"/>
            <w:tcBorders>
              <w:top w:val="nil"/>
              <w:left w:val="nil"/>
              <w:right w:val="nil"/>
            </w:tcBorders>
            <w:vAlign w:val="bottom"/>
          </w:tcPr>
          <w:p w14:paraId="2E5C59C8" w14:textId="61E51D68" w:rsidR="0083434C" w:rsidRPr="000D160C" w:rsidRDefault="0083434C" w:rsidP="004703E3">
            <w:pPr>
              <w:autoSpaceDE w:val="0"/>
              <w:autoSpaceDN w:val="0"/>
              <w:adjustRightInd w:val="0"/>
              <w:spacing w:after="0" w:line="360" w:lineRule="auto"/>
              <w:ind w:right="79"/>
              <w:rPr>
                <w:noProof/>
                <w:sz w:val="19"/>
                <w:szCs w:val="19"/>
              </w:rPr>
            </w:pPr>
            <w:r w:rsidRPr="000D160C">
              <w:rPr>
                <w:noProof/>
                <w:sz w:val="19"/>
                <w:szCs w:val="19"/>
              </w:rPr>
              <w:t>1.05.12-30.04.13</w:t>
            </w:r>
          </w:p>
        </w:tc>
        <w:tc>
          <w:tcPr>
            <w:tcW w:w="791" w:type="pct"/>
            <w:tcBorders>
              <w:top w:val="nil"/>
              <w:left w:val="nil"/>
              <w:right w:val="nil"/>
            </w:tcBorders>
            <w:vAlign w:val="bottom"/>
          </w:tcPr>
          <w:p w14:paraId="27ED2806"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82 122</w:t>
            </w:r>
          </w:p>
        </w:tc>
        <w:tc>
          <w:tcPr>
            <w:tcW w:w="1053" w:type="pct"/>
            <w:tcBorders>
              <w:top w:val="nil"/>
              <w:left w:val="nil"/>
              <w:right w:val="nil"/>
            </w:tcBorders>
            <w:vAlign w:val="bottom"/>
          </w:tcPr>
          <w:p w14:paraId="502523E7"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162 615</w:t>
            </w:r>
          </w:p>
        </w:tc>
        <w:tc>
          <w:tcPr>
            <w:tcW w:w="1107" w:type="pct"/>
            <w:tcBorders>
              <w:top w:val="nil"/>
              <w:left w:val="nil"/>
              <w:right w:val="nil"/>
            </w:tcBorders>
            <w:vAlign w:val="bottom"/>
          </w:tcPr>
          <w:p w14:paraId="3BDF37D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300 850</w:t>
            </w:r>
          </w:p>
        </w:tc>
        <w:tc>
          <w:tcPr>
            <w:tcW w:w="936" w:type="pct"/>
            <w:tcBorders>
              <w:top w:val="nil"/>
              <w:left w:val="nil"/>
              <w:right w:val="nil"/>
            </w:tcBorders>
            <w:vAlign w:val="bottom"/>
          </w:tcPr>
          <w:p w14:paraId="7D6D6A7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202 848</w:t>
            </w:r>
          </w:p>
        </w:tc>
      </w:tr>
      <w:tr w:rsidR="0083434C" w:rsidRPr="000D160C" w14:paraId="3901FFDC" w14:textId="77777777" w:rsidTr="00083940">
        <w:trPr>
          <w:jc w:val="center"/>
        </w:trPr>
        <w:tc>
          <w:tcPr>
            <w:tcW w:w="1114" w:type="pct"/>
            <w:tcBorders>
              <w:top w:val="nil"/>
              <w:left w:val="nil"/>
              <w:bottom w:val="nil"/>
              <w:right w:val="nil"/>
            </w:tcBorders>
            <w:vAlign w:val="bottom"/>
          </w:tcPr>
          <w:p w14:paraId="0F089E14" w14:textId="2DA60A74" w:rsidR="0083434C" w:rsidRPr="000D160C" w:rsidRDefault="0083434C" w:rsidP="004703E3">
            <w:pPr>
              <w:autoSpaceDE w:val="0"/>
              <w:autoSpaceDN w:val="0"/>
              <w:adjustRightInd w:val="0"/>
              <w:spacing w:after="0" w:line="360" w:lineRule="auto"/>
              <w:ind w:left="79" w:right="79" w:hanging="79"/>
              <w:rPr>
                <w:noProof/>
                <w:sz w:val="19"/>
                <w:szCs w:val="19"/>
              </w:rPr>
            </w:pPr>
            <w:r w:rsidRPr="000D160C">
              <w:rPr>
                <w:noProof/>
                <w:sz w:val="19"/>
                <w:szCs w:val="19"/>
              </w:rPr>
              <w:t>1.05.13-30.04.14</w:t>
            </w:r>
          </w:p>
        </w:tc>
        <w:tc>
          <w:tcPr>
            <w:tcW w:w="791" w:type="pct"/>
            <w:tcBorders>
              <w:top w:val="nil"/>
              <w:left w:val="nil"/>
              <w:bottom w:val="nil"/>
              <w:right w:val="nil"/>
            </w:tcBorders>
            <w:vAlign w:val="bottom"/>
          </w:tcPr>
          <w:p w14:paraId="58A5147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85 245</w:t>
            </w:r>
          </w:p>
        </w:tc>
        <w:tc>
          <w:tcPr>
            <w:tcW w:w="1053" w:type="pct"/>
            <w:tcBorders>
              <w:top w:val="nil"/>
              <w:left w:val="nil"/>
              <w:bottom w:val="nil"/>
              <w:right w:val="nil"/>
            </w:tcBorders>
            <w:vAlign w:val="bottom"/>
          </w:tcPr>
          <w:p w14:paraId="500F2A1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167 963</w:t>
            </w:r>
          </w:p>
        </w:tc>
        <w:tc>
          <w:tcPr>
            <w:tcW w:w="1107" w:type="pct"/>
            <w:tcBorders>
              <w:top w:val="nil"/>
              <w:left w:val="nil"/>
              <w:bottom w:val="nil"/>
              <w:right w:val="nil"/>
            </w:tcBorders>
            <w:vAlign w:val="bottom"/>
          </w:tcPr>
          <w:p w14:paraId="70CDAC48"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310 744</w:t>
            </w:r>
          </w:p>
        </w:tc>
        <w:tc>
          <w:tcPr>
            <w:tcW w:w="936" w:type="pct"/>
            <w:tcBorders>
              <w:top w:val="nil"/>
              <w:left w:val="nil"/>
              <w:bottom w:val="nil"/>
              <w:right w:val="nil"/>
            </w:tcBorders>
            <w:vAlign w:val="bottom"/>
          </w:tcPr>
          <w:p w14:paraId="1D574BC1"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sidRPr="000D160C">
              <w:rPr>
                <w:noProof/>
                <w:sz w:val="19"/>
                <w:szCs w:val="19"/>
              </w:rPr>
              <w:t>210 564</w:t>
            </w:r>
          </w:p>
        </w:tc>
      </w:tr>
      <w:tr w:rsidR="0083434C" w:rsidRPr="000D160C" w14:paraId="324CB992" w14:textId="77777777" w:rsidTr="00083940">
        <w:trPr>
          <w:jc w:val="center"/>
        </w:trPr>
        <w:tc>
          <w:tcPr>
            <w:tcW w:w="1114" w:type="pct"/>
            <w:tcBorders>
              <w:top w:val="nil"/>
              <w:left w:val="nil"/>
              <w:bottom w:val="nil"/>
              <w:right w:val="nil"/>
            </w:tcBorders>
            <w:vAlign w:val="bottom"/>
          </w:tcPr>
          <w:p w14:paraId="1CC15F1C" w14:textId="55EBDEA7" w:rsidR="0083434C" w:rsidRPr="000D160C" w:rsidRDefault="0083434C" w:rsidP="004703E3">
            <w:pPr>
              <w:autoSpaceDE w:val="0"/>
              <w:autoSpaceDN w:val="0"/>
              <w:adjustRightInd w:val="0"/>
              <w:spacing w:after="0" w:line="360" w:lineRule="auto"/>
              <w:ind w:left="79" w:right="79" w:hanging="79"/>
              <w:rPr>
                <w:noProof/>
                <w:sz w:val="19"/>
                <w:szCs w:val="19"/>
              </w:rPr>
            </w:pPr>
            <w:r>
              <w:rPr>
                <w:noProof/>
                <w:sz w:val="19"/>
                <w:szCs w:val="19"/>
              </w:rPr>
              <w:t>1.05.14-31.12.14</w:t>
            </w:r>
          </w:p>
        </w:tc>
        <w:tc>
          <w:tcPr>
            <w:tcW w:w="791" w:type="pct"/>
            <w:tcBorders>
              <w:top w:val="nil"/>
              <w:left w:val="nil"/>
              <w:bottom w:val="nil"/>
              <w:right w:val="nil"/>
            </w:tcBorders>
            <w:vAlign w:val="bottom"/>
          </w:tcPr>
          <w:p w14:paraId="416A73E3"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Pr>
                <w:noProof/>
                <w:sz w:val="19"/>
                <w:szCs w:val="19"/>
              </w:rPr>
              <w:t>88 370</w:t>
            </w:r>
          </w:p>
        </w:tc>
        <w:tc>
          <w:tcPr>
            <w:tcW w:w="1053" w:type="pct"/>
            <w:tcBorders>
              <w:top w:val="nil"/>
              <w:left w:val="nil"/>
              <w:bottom w:val="nil"/>
              <w:right w:val="nil"/>
            </w:tcBorders>
            <w:vAlign w:val="bottom"/>
          </w:tcPr>
          <w:p w14:paraId="2BECA694"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Pr>
                <w:noProof/>
                <w:sz w:val="19"/>
                <w:szCs w:val="19"/>
              </w:rPr>
              <w:t>173 274</w:t>
            </w:r>
          </w:p>
        </w:tc>
        <w:tc>
          <w:tcPr>
            <w:tcW w:w="1107" w:type="pct"/>
            <w:tcBorders>
              <w:top w:val="nil"/>
              <w:left w:val="nil"/>
              <w:bottom w:val="nil"/>
              <w:right w:val="nil"/>
            </w:tcBorders>
            <w:vAlign w:val="bottom"/>
          </w:tcPr>
          <w:p w14:paraId="30BF50CF"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Pr>
                <w:noProof/>
                <w:sz w:val="19"/>
                <w:szCs w:val="19"/>
              </w:rPr>
              <w:t>320 570</w:t>
            </w:r>
          </w:p>
        </w:tc>
        <w:tc>
          <w:tcPr>
            <w:tcW w:w="936" w:type="pct"/>
            <w:tcBorders>
              <w:top w:val="nil"/>
              <w:left w:val="nil"/>
              <w:bottom w:val="nil"/>
              <w:right w:val="nil"/>
            </w:tcBorders>
            <w:vAlign w:val="bottom"/>
          </w:tcPr>
          <w:p w14:paraId="368BF542" w14:textId="77777777" w:rsidR="0083434C" w:rsidRPr="000D160C" w:rsidRDefault="0083434C" w:rsidP="00083940">
            <w:pPr>
              <w:autoSpaceDE w:val="0"/>
              <w:autoSpaceDN w:val="0"/>
              <w:adjustRightInd w:val="0"/>
              <w:spacing w:after="0" w:line="360" w:lineRule="auto"/>
              <w:ind w:left="79" w:right="79"/>
              <w:jc w:val="center"/>
              <w:rPr>
                <w:noProof/>
                <w:sz w:val="19"/>
                <w:szCs w:val="19"/>
              </w:rPr>
            </w:pPr>
            <w:r>
              <w:rPr>
                <w:noProof/>
                <w:sz w:val="19"/>
                <w:szCs w:val="19"/>
              </w:rPr>
              <w:t>218 268</w:t>
            </w:r>
          </w:p>
        </w:tc>
      </w:tr>
      <w:tr w:rsidR="0083434C" w:rsidRPr="000D160C" w14:paraId="7746CFB6" w14:textId="77777777" w:rsidTr="00083940">
        <w:trPr>
          <w:jc w:val="center"/>
        </w:trPr>
        <w:tc>
          <w:tcPr>
            <w:tcW w:w="1114" w:type="pct"/>
            <w:tcBorders>
              <w:top w:val="nil"/>
              <w:left w:val="nil"/>
              <w:bottom w:val="nil"/>
              <w:right w:val="nil"/>
            </w:tcBorders>
            <w:vAlign w:val="bottom"/>
          </w:tcPr>
          <w:p w14:paraId="4477F2A7" w14:textId="54C996B1" w:rsidR="0083434C" w:rsidRDefault="0083434C" w:rsidP="004703E3">
            <w:pPr>
              <w:autoSpaceDE w:val="0"/>
              <w:autoSpaceDN w:val="0"/>
              <w:adjustRightInd w:val="0"/>
              <w:spacing w:after="0" w:line="360" w:lineRule="auto"/>
              <w:ind w:left="79" w:right="79" w:hanging="79"/>
              <w:rPr>
                <w:noProof/>
                <w:sz w:val="19"/>
                <w:szCs w:val="19"/>
              </w:rPr>
            </w:pPr>
            <w:r>
              <w:rPr>
                <w:noProof/>
                <w:sz w:val="19"/>
                <w:szCs w:val="19"/>
              </w:rPr>
              <w:t>1.01.15-30.04.15</w:t>
            </w:r>
          </w:p>
        </w:tc>
        <w:tc>
          <w:tcPr>
            <w:tcW w:w="791" w:type="pct"/>
            <w:tcBorders>
              <w:top w:val="nil"/>
              <w:left w:val="nil"/>
              <w:bottom w:val="nil"/>
              <w:right w:val="nil"/>
            </w:tcBorders>
            <w:vAlign w:val="bottom"/>
          </w:tcPr>
          <w:p w14:paraId="48A4B7A0"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88 370</w:t>
            </w:r>
          </w:p>
        </w:tc>
        <w:tc>
          <w:tcPr>
            <w:tcW w:w="1053" w:type="pct"/>
            <w:tcBorders>
              <w:top w:val="nil"/>
              <w:left w:val="nil"/>
              <w:bottom w:val="nil"/>
              <w:right w:val="nil"/>
            </w:tcBorders>
            <w:vAlign w:val="bottom"/>
          </w:tcPr>
          <w:p w14:paraId="72254F7C"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173 274</w:t>
            </w:r>
          </w:p>
        </w:tc>
        <w:tc>
          <w:tcPr>
            <w:tcW w:w="1107" w:type="pct"/>
            <w:tcBorders>
              <w:top w:val="nil"/>
              <w:left w:val="nil"/>
              <w:bottom w:val="nil"/>
              <w:right w:val="nil"/>
            </w:tcBorders>
            <w:vAlign w:val="bottom"/>
          </w:tcPr>
          <w:p w14:paraId="1C674A80"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320 570</w:t>
            </w:r>
          </w:p>
        </w:tc>
        <w:tc>
          <w:tcPr>
            <w:tcW w:w="936" w:type="pct"/>
            <w:tcBorders>
              <w:top w:val="nil"/>
              <w:left w:val="nil"/>
              <w:bottom w:val="nil"/>
              <w:right w:val="nil"/>
            </w:tcBorders>
            <w:vAlign w:val="bottom"/>
          </w:tcPr>
          <w:p w14:paraId="41A1CD1E"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257 157</w:t>
            </w:r>
            <w:r w:rsidRPr="000D160C">
              <w:rPr>
                <w:noProof/>
                <w:sz w:val="19"/>
                <w:szCs w:val="19"/>
                <w:vertAlign w:val="superscript"/>
              </w:rPr>
              <w:t>1</w:t>
            </w:r>
            <w:r>
              <w:rPr>
                <w:noProof/>
                <w:sz w:val="19"/>
                <w:szCs w:val="19"/>
                <w:vertAlign w:val="superscript"/>
              </w:rPr>
              <w:t>4</w:t>
            </w:r>
          </w:p>
        </w:tc>
      </w:tr>
      <w:tr w:rsidR="0083434C" w:rsidRPr="000D160C" w14:paraId="7E14F71A" w14:textId="77777777" w:rsidTr="00083940">
        <w:trPr>
          <w:jc w:val="center"/>
        </w:trPr>
        <w:tc>
          <w:tcPr>
            <w:tcW w:w="1114" w:type="pct"/>
            <w:tcBorders>
              <w:top w:val="nil"/>
              <w:left w:val="nil"/>
              <w:bottom w:val="single" w:sz="4" w:space="0" w:color="auto"/>
              <w:right w:val="nil"/>
            </w:tcBorders>
            <w:vAlign w:val="bottom"/>
          </w:tcPr>
          <w:p w14:paraId="729B74D2" w14:textId="54A6DEF7" w:rsidR="0083434C" w:rsidRDefault="0083434C" w:rsidP="004703E3">
            <w:pPr>
              <w:autoSpaceDE w:val="0"/>
              <w:autoSpaceDN w:val="0"/>
              <w:adjustRightInd w:val="0"/>
              <w:spacing w:after="0" w:line="360" w:lineRule="auto"/>
              <w:ind w:left="79" w:right="79" w:hanging="79"/>
              <w:rPr>
                <w:noProof/>
                <w:sz w:val="19"/>
                <w:szCs w:val="19"/>
              </w:rPr>
            </w:pPr>
            <w:r>
              <w:rPr>
                <w:noProof/>
                <w:sz w:val="19"/>
                <w:szCs w:val="19"/>
              </w:rPr>
              <w:t>1.05.15-30.04.16</w:t>
            </w:r>
          </w:p>
        </w:tc>
        <w:tc>
          <w:tcPr>
            <w:tcW w:w="791" w:type="pct"/>
            <w:tcBorders>
              <w:top w:val="nil"/>
              <w:left w:val="nil"/>
              <w:bottom w:val="single" w:sz="4" w:space="0" w:color="auto"/>
              <w:right w:val="nil"/>
            </w:tcBorders>
            <w:vAlign w:val="bottom"/>
          </w:tcPr>
          <w:p w14:paraId="50DD984B"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90 068</w:t>
            </w:r>
          </w:p>
        </w:tc>
        <w:tc>
          <w:tcPr>
            <w:tcW w:w="1053" w:type="pct"/>
            <w:tcBorders>
              <w:top w:val="nil"/>
              <w:left w:val="nil"/>
              <w:bottom w:val="single" w:sz="4" w:space="0" w:color="auto"/>
              <w:right w:val="nil"/>
            </w:tcBorders>
            <w:vAlign w:val="bottom"/>
          </w:tcPr>
          <w:p w14:paraId="602866C3"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175 739</w:t>
            </w:r>
          </w:p>
        </w:tc>
        <w:tc>
          <w:tcPr>
            <w:tcW w:w="1107" w:type="pct"/>
            <w:tcBorders>
              <w:top w:val="nil"/>
              <w:left w:val="nil"/>
              <w:bottom w:val="single" w:sz="4" w:space="0" w:color="auto"/>
              <w:right w:val="nil"/>
            </w:tcBorders>
            <w:vAlign w:val="bottom"/>
          </w:tcPr>
          <w:p w14:paraId="08FB27CD"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325 132</w:t>
            </w:r>
          </w:p>
        </w:tc>
        <w:tc>
          <w:tcPr>
            <w:tcW w:w="936" w:type="pct"/>
            <w:tcBorders>
              <w:top w:val="nil"/>
              <w:left w:val="nil"/>
              <w:bottom w:val="single" w:sz="4" w:space="0" w:color="auto"/>
              <w:right w:val="nil"/>
            </w:tcBorders>
            <w:vAlign w:val="bottom"/>
          </w:tcPr>
          <w:p w14:paraId="26329899" w14:textId="77777777" w:rsidR="0083434C" w:rsidRDefault="0083434C" w:rsidP="00083940">
            <w:pPr>
              <w:autoSpaceDE w:val="0"/>
              <w:autoSpaceDN w:val="0"/>
              <w:adjustRightInd w:val="0"/>
              <w:spacing w:after="0" w:line="360" w:lineRule="auto"/>
              <w:ind w:left="79" w:right="79"/>
              <w:jc w:val="center"/>
              <w:rPr>
                <w:noProof/>
                <w:sz w:val="19"/>
                <w:szCs w:val="19"/>
              </w:rPr>
            </w:pPr>
            <w:r>
              <w:rPr>
                <w:noProof/>
                <w:sz w:val="19"/>
                <w:szCs w:val="19"/>
              </w:rPr>
              <w:t>262 098</w:t>
            </w:r>
          </w:p>
        </w:tc>
      </w:tr>
    </w:tbl>
    <w:p w14:paraId="05589244" w14:textId="77777777" w:rsidR="0083434C" w:rsidRPr="000A148B" w:rsidRDefault="0083434C" w:rsidP="003F5F82">
      <w:pPr>
        <w:pStyle w:val="tabell-noter"/>
        <w:numPr>
          <w:ilvl w:val="0"/>
          <w:numId w:val="96"/>
        </w:numPr>
        <w:tabs>
          <w:tab w:val="clear" w:pos="284"/>
          <w:tab w:val="clear" w:pos="360"/>
          <w:tab w:val="num" w:pos="142"/>
        </w:tabs>
        <w:spacing w:before="0" w:after="0"/>
        <w:ind w:left="142" w:hanging="142"/>
        <w:rPr>
          <w:noProof/>
        </w:rPr>
      </w:pPr>
      <w:r w:rsidRPr="000A148B">
        <w:rPr>
          <w:noProof/>
        </w:rPr>
        <w:t>Personer som er født uføre eller har blitt uføre før fylte 26 år har rett til en garantert minstetilleggspensjon fra folketrygden.</w:t>
      </w:r>
    </w:p>
    <w:p w14:paraId="31EFEAE2"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Uførepensjonen er beregnet ut i fra 3,</w:t>
      </w:r>
      <w:r>
        <w:rPr>
          <w:noProof/>
        </w:rPr>
        <w:t>3</w:t>
      </w:r>
      <w:r w:rsidRPr="000A148B">
        <w:rPr>
          <w:noProof/>
        </w:rPr>
        <w:t xml:space="preserve"> i sluttpoengtall og en pensjonsprosent på 42 pst.</w:t>
      </w:r>
    </w:p>
    <w:p w14:paraId="5C12B212"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Heving av særtilleggssatsen fra 1.1.95. Ordinær sats utgjør 61,55 pst. av grunnbeløpet.</w:t>
      </w:r>
    </w:p>
    <w:p w14:paraId="544651CD"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Heving av særtilleggssatsen fra 1.5.97. Ordinær sats utgjør 63,2 pst. av grunnbeløpet.</w:t>
      </w:r>
    </w:p>
    <w:p w14:paraId="28BD0994"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Heving av særtilleggssatsen fra 1.5.98. Ordinær sats utgjør 79,33 pst. av grunnbeløpet.</w:t>
      </w:r>
    </w:p>
    <w:p w14:paraId="77254003"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 xml:space="preserve">Heving av grunnpensjon for ektepar fra 1.5. 2003. Hver ektefelle mottar en grunnpensjon på </w:t>
      </w:r>
      <w:smartTag w:uri="urn:schemas-microsoft-com:office:smarttags" w:element="metricconverter">
        <w:smartTagPr>
          <w:attr w:name="ProductID" w:val="0,8 G"/>
        </w:smartTagPr>
        <w:r w:rsidRPr="000A148B">
          <w:rPr>
            <w:noProof/>
          </w:rPr>
          <w:t>0,8 G</w:t>
        </w:r>
      </w:smartTag>
      <w:r w:rsidRPr="000A148B">
        <w:rPr>
          <w:noProof/>
        </w:rPr>
        <w:t>.</w:t>
      </w:r>
    </w:p>
    <w:p w14:paraId="6B15BDB4" w14:textId="77777777" w:rsidR="0083434C" w:rsidRPr="000A148B" w:rsidRDefault="0083434C" w:rsidP="003F5F82">
      <w:pPr>
        <w:pStyle w:val="tabell-noter"/>
        <w:numPr>
          <w:ilvl w:val="0"/>
          <w:numId w:val="96"/>
        </w:numPr>
        <w:tabs>
          <w:tab w:val="clear" w:pos="284"/>
          <w:tab w:val="clear" w:pos="360"/>
          <w:tab w:val="num" w:pos="142"/>
        </w:tabs>
        <w:spacing w:after="0"/>
        <w:ind w:left="142" w:hanging="142"/>
        <w:rPr>
          <w:noProof/>
        </w:rPr>
      </w:pPr>
      <w:r w:rsidRPr="000A148B">
        <w:rPr>
          <w:noProof/>
        </w:rPr>
        <w:t xml:space="preserve">Heving av grunnpensjon for ektepar fra 1.5. 2004. Hver ektefelle mottar en grunnpensjon på </w:t>
      </w:r>
      <w:smartTag w:uri="urn:schemas-microsoft-com:office:smarttags" w:element="metricconverter">
        <w:smartTagPr>
          <w:attr w:name="ProductID" w:val="0,825 G"/>
        </w:smartTagPr>
        <w:r w:rsidRPr="000A148B">
          <w:rPr>
            <w:noProof/>
          </w:rPr>
          <w:t>0,825 G</w:t>
        </w:r>
      </w:smartTag>
      <w:r w:rsidRPr="000A148B">
        <w:rPr>
          <w:noProof/>
        </w:rPr>
        <w:t>.</w:t>
      </w:r>
    </w:p>
    <w:p w14:paraId="3C1BA418" w14:textId="77777777" w:rsidR="0083434C" w:rsidRPr="000A148B" w:rsidRDefault="0083434C" w:rsidP="003F5F82">
      <w:pPr>
        <w:numPr>
          <w:ilvl w:val="0"/>
          <w:numId w:val="96"/>
        </w:numPr>
        <w:tabs>
          <w:tab w:val="clear" w:pos="360"/>
          <w:tab w:val="num" w:pos="142"/>
        </w:tabs>
        <w:spacing w:after="0"/>
        <w:ind w:left="142" w:hanging="142"/>
        <w:rPr>
          <w:sz w:val="20"/>
        </w:rPr>
      </w:pPr>
      <w:r w:rsidRPr="000A148B">
        <w:rPr>
          <w:noProof/>
          <w:sz w:val="20"/>
        </w:rPr>
        <w:t>Heving av grunnpensjon for ektepar fra 1.5. 2005. Hver ektefelle mottar en grunnpensjon på 0,85 G</w:t>
      </w:r>
    </w:p>
    <w:p w14:paraId="0B72F062" w14:textId="77777777" w:rsidR="0083434C" w:rsidRPr="000A148B" w:rsidRDefault="0083434C" w:rsidP="003F5F82">
      <w:pPr>
        <w:numPr>
          <w:ilvl w:val="0"/>
          <w:numId w:val="96"/>
        </w:numPr>
        <w:tabs>
          <w:tab w:val="clear" w:pos="360"/>
          <w:tab w:val="num" w:pos="142"/>
        </w:tabs>
        <w:spacing w:after="0"/>
        <w:ind w:left="142" w:hanging="142"/>
        <w:rPr>
          <w:sz w:val="20"/>
        </w:rPr>
      </w:pPr>
      <w:r w:rsidRPr="000A148B">
        <w:rPr>
          <w:noProof/>
          <w:sz w:val="20"/>
        </w:rPr>
        <w:t>Heving av særtilleggssatsen fra 1.5.2008. Ordinær sats utgjør 94 pst. av grunnbeløpet.</w:t>
      </w:r>
    </w:p>
    <w:p w14:paraId="537C93E7" w14:textId="77777777" w:rsidR="0083434C" w:rsidRPr="000A148B" w:rsidRDefault="0083434C" w:rsidP="003F5F82">
      <w:pPr>
        <w:numPr>
          <w:ilvl w:val="0"/>
          <w:numId w:val="96"/>
        </w:numPr>
        <w:tabs>
          <w:tab w:val="clear" w:pos="360"/>
          <w:tab w:val="num" w:pos="142"/>
        </w:tabs>
        <w:spacing w:after="0"/>
        <w:ind w:left="142" w:hanging="142"/>
        <w:rPr>
          <w:sz w:val="20"/>
        </w:rPr>
      </w:pPr>
      <w:r w:rsidRPr="000A148B">
        <w:rPr>
          <w:noProof/>
          <w:sz w:val="20"/>
        </w:rPr>
        <w:t>Antatt framtidig pensjonspoeng hevet fra 3,3 til 3,5  fra 1.5.2008.</w:t>
      </w:r>
    </w:p>
    <w:p w14:paraId="6D42D683" w14:textId="77777777" w:rsidR="0083434C" w:rsidRPr="000A148B" w:rsidRDefault="0083434C" w:rsidP="003F5F82">
      <w:pPr>
        <w:numPr>
          <w:ilvl w:val="0"/>
          <w:numId w:val="96"/>
        </w:numPr>
        <w:tabs>
          <w:tab w:val="clear" w:pos="360"/>
          <w:tab w:val="num" w:pos="142"/>
        </w:tabs>
        <w:spacing w:after="0"/>
        <w:ind w:left="142" w:hanging="142"/>
        <w:rPr>
          <w:sz w:val="20"/>
        </w:rPr>
      </w:pPr>
      <w:r w:rsidRPr="000A148B">
        <w:rPr>
          <w:noProof/>
          <w:sz w:val="20"/>
        </w:rPr>
        <w:t>Heving av særtilleggssatsen fra 1.5.09. Ordinær sats utgjør 97 pst. av grunnbeløpet.</w:t>
      </w:r>
    </w:p>
    <w:p w14:paraId="382C5860" w14:textId="77777777" w:rsidR="0083434C" w:rsidRPr="000A148B" w:rsidRDefault="0083434C" w:rsidP="003F5F82">
      <w:pPr>
        <w:numPr>
          <w:ilvl w:val="0"/>
          <w:numId w:val="96"/>
        </w:numPr>
        <w:tabs>
          <w:tab w:val="clear" w:pos="360"/>
          <w:tab w:val="num" w:pos="142"/>
        </w:tabs>
        <w:spacing w:after="0"/>
        <w:ind w:left="142" w:hanging="142"/>
        <w:rPr>
          <w:i/>
          <w:sz w:val="20"/>
        </w:rPr>
      </w:pPr>
      <w:r w:rsidRPr="000A148B">
        <w:rPr>
          <w:noProof/>
          <w:sz w:val="20"/>
        </w:rPr>
        <w:t>Heving av særtilleggssatsen fra 1.5.10. Ordinær sats utgjør 100 pst. av grunnbeløpet.</w:t>
      </w:r>
    </w:p>
    <w:p w14:paraId="18472D39" w14:textId="77777777" w:rsidR="0083434C" w:rsidRDefault="0083434C" w:rsidP="003F5F82">
      <w:pPr>
        <w:numPr>
          <w:ilvl w:val="0"/>
          <w:numId w:val="96"/>
        </w:numPr>
        <w:tabs>
          <w:tab w:val="clear" w:pos="360"/>
          <w:tab w:val="num" w:pos="142"/>
        </w:tabs>
        <w:spacing w:after="0"/>
        <w:ind w:left="142" w:hanging="142"/>
        <w:rPr>
          <w:noProof/>
          <w:sz w:val="20"/>
        </w:rPr>
      </w:pPr>
      <w:r w:rsidRPr="000A148B">
        <w:rPr>
          <w:sz w:val="20"/>
        </w:rPr>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7D9EAF15" w14:textId="77777777" w:rsidR="0083434C" w:rsidRPr="000A148B" w:rsidRDefault="0083434C" w:rsidP="003F5F82">
      <w:pPr>
        <w:numPr>
          <w:ilvl w:val="0"/>
          <w:numId w:val="96"/>
        </w:numPr>
        <w:tabs>
          <w:tab w:val="clear" w:pos="360"/>
          <w:tab w:val="num" w:pos="142"/>
        </w:tabs>
        <w:spacing w:after="0"/>
        <w:ind w:left="142" w:hanging="142"/>
        <w:rPr>
          <w:noProof/>
          <w:sz w:val="20"/>
        </w:rPr>
      </w:pPr>
      <w:r>
        <w:rPr>
          <w:noProof/>
          <w:sz w:val="20"/>
        </w:rPr>
        <w:t>Fra 1.01.2015 er uførepensjon endret til uføretrygd og blir skattlagt som lønn. For å føre videre nivået etter skatt, er minstesatsene økt.</w:t>
      </w:r>
    </w:p>
    <w:p w14:paraId="4BAFAE7E" w14:textId="77777777" w:rsidR="0083434C" w:rsidRDefault="0083434C" w:rsidP="003F5F82">
      <w:pPr>
        <w:spacing w:before="120"/>
        <w:rPr>
          <w:noProof/>
          <w:sz w:val="20"/>
        </w:rPr>
      </w:pPr>
      <w:r w:rsidRPr="000A148B">
        <w:rPr>
          <w:noProof/>
          <w:sz w:val="20"/>
        </w:rPr>
        <w:t>Kilde: Arbeids- og sosialdepartementet</w:t>
      </w:r>
    </w:p>
    <w:p w14:paraId="2DC5E6F9" w14:textId="59E013FA" w:rsidR="0083434C" w:rsidRDefault="0083434C" w:rsidP="0083434C">
      <w:pPr>
        <w:rPr>
          <w:noProof/>
        </w:rPr>
      </w:pPr>
    </w:p>
    <w:p w14:paraId="1C3AB813" w14:textId="77777777" w:rsidR="0083434C" w:rsidRDefault="0083434C" w:rsidP="0083434C">
      <w:r>
        <w:rPr>
          <w:noProof/>
        </w:rPr>
        <w:drawing>
          <wp:inline distT="0" distB="0" distL="0" distR="0" wp14:anchorId="402CC7B3" wp14:editId="10F5EEBA">
            <wp:extent cx="5433060" cy="5379720"/>
            <wp:effectExtent l="0" t="0" r="0"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3060" cy="5379720"/>
                    </a:xfrm>
                    <a:prstGeom prst="rect">
                      <a:avLst/>
                    </a:prstGeom>
                    <a:noFill/>
                  </pic:spPr>
                </pic:pic>
              </a:graphicData>
            </a:graphic>
          </wp:inline>
        </w:drawing>
      </w:r>
    </w:p>
    <w:p w14:paraId="13B46DAC" w14:textId="77777777" w:rsidR="0083434C" w:rsidRDefault="0083434C" w:rsidP="0083434C">
      <w:pPr>
        <w:spacing w:after="0"/>
      </w:pPr>
      <w:r>
        <w:br w:type="page"/>
      </w:r>
    </w:p>
    <w:p w14:paraId="0BE01EE1" w14:textId="77777777" w:rsidR="0083434C" w:rsidRDefault="0083434C" w:rsidP="0083434C">
      <w:r w:rsidRPr="00A95B06">
        <w:rPr>
          <w:noProof/>
        </w:rPr>
        <w:drawing>
          <wp:inline distT="0" distB="0" distL="0" distR="0" wp14:anchorId="45D42119" wp14:editId="76069984">
            <wp:extent cx="5760720" cy="5621020"/>
            <wp:effectExtent l="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5621020"/>
                    </a:xfrm>
                    <a:prstGeom prst="rect">
                      <a:avLst/>
                    </a:prstGeom>
                    <a:noFill/>
                    <a:ln>
                      <a:noFill/>
                    </a:ln>
                  </pic:spPr>
                </pic:pic>
              </a:graphicData>
            </a:graphic>
          </wp:inline>
        </w:drawing>
      </w:r>
    </w:p>
    <w:p w14:paraId="300D447A" w14:textId="77777777" w:rsidR="0083434C" w:rsidRDefault="0083434C" w:rsidP="0083434C">
      <w:pPr>
        <w:spacing w:after="0"/>
      </w:pPr>
      <w:r>
        <w:br w:type="page"/>
      </w:r>
    </w:p>
    <w:p w14:paraId="0808D2A4" w14:textId="77777777" w:rsidR="0083434C" w:rsidRDefault="0083434C" w:rsidP="0083434C">
      <w:r>
        <w:rPr>
          <w:noProof/>
        </w:rPr>
        <w:drawing>
          <wp:inline distT="0" distB="0" distL="0" distR="0" wp14:anchorId="763C4A32" wp14:editId="01F75A14">
            <wp:extent cx="5158740" cy="4411980"/>
            <wp:effectExtent l="0" t="0" r="0"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8740" cy="4411980"/>
                    </a:xfrm>
                    <a:prstGeom prst="rect">
                      <a:avLst/>
                    </a:prstGeom>
                    <a:noFill/>
                  </pic:spPr>
                </pic:pic>
              </a:graphicData>
            </a:graphic>
          </wp:inline>
        </w:drawing>
      </w:r>
    </w:p>
    <w:p w14:paraId="55859AA5" w14:textId="77777777" w:rsidR="0083434C" w:rsidRDefault="0083434C" w:rsidP="0083434C">
      <w:pPr>
        <w:spacing w:after="0"/>
        <w:rPr>
          <w:rFonts w:ascii="Times New Roman" w:eastAsia="Times New Roman" w:hAnsi="Times New Roman" w:cstheme="minorBidi"/>
          <w:szCs w:val="22"/>
        </w:rPr>
      </w:pPr>
      <w:r>
        <w:br w:type="page"/>
      </w:r>
    </w:p>
    <w:p w14:paraId="018A8735" w14:textId="77777777" w:rsidR="0083434C" w:rsidRDefault="0083434C" w:rsidP="0083434C">
      <w:pPr>
        <w:pStyle w:val="Listeavsnitt"/>
        <w:spacing w:before="0" w:after="120"/>
        <w:ind w:left="0"/>
      </w:pPr>
      <w:r w:rsidRPr="001248B9">
        <w:rPr>
          <w:noProof/>
        </w:rPr>
        <w:drawing>
          <wp:inline distT="0" distB="0" distL="0" distR="0" wp14:anchorId="094752C3" wp14:editId="103EBDBD">
            <wp:extent cx="4925695" cy="669417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5695" cy="6694170"/>
                    </a:xfrm>
                    <a:prstGeom prst="rect">
                      <a:avLst/>
                    </a:prstGeom>
                    <a:noFill/>
                    <a:ln>
                      <a:noFill/>
                    </a:ln>
                  </pic:spPr>
                </pic:pic>
              </a:graphicData>
            </a:graphic>
          </wp:inline>
        </w:drawing>
      </w:r>
    </w:p>
    <w:p w14:paraId="3A71B8DF" w14:textId="77777777" w:rsidR="0083434C" w:rsidRDefault="0083434C" w:rsidP="0083434C">
      <w:pPr>
        <w:spacing w:after="0"/>
        <w:rPr>
          <w:rFonts w:ascii="Times New Roman" w:eastAsia="Times New Roman" w:hAnsi="Times New Roman" w:cstheme="minorBidi"/>
          <w:szCs w:val="22"/>
        </w:rPr>
      </w:pPr>
      <w:r>
        <w:br w:type="page"/>
      </w:r>
    </w:p>
    <w:p w14:paraId="37CE1AD4" w14:textId="7AC85547" w:rsidR="0083434C" w:rsidRDefault="0083434C" w:rsidP="003F5F82">
      <w:pPr>
        <w:pStyle w:val="Listeavsnitt"/>
        <w:spacing w:before="0"/>
        <w:ind w:left="0"/>
        <w:rPr>
          <w:noProof/>
        </w:rPr>
      </w:pPr>
      <w:r w:rsidRPr="009A2CD7">
        <w:rPr>
          <w:rFonts w:ascii="Arial" w:hAnsi="Arial" w:cs="Arial"/>
          <w:b/>
          <w:szCs w:val="24"/>
        </w:rPr>
        <w:t xml:space="preserve">Tabell 4.7 Husholdninger og </w:t>
      </w:r>
      <w:r w:rsidR="0022390E" w:rsidRPr="009A2CD7">
        <w:rPr>
          <w:rFonts w:ascii="Arial" w:hAnsi="Arial" w:cs="Arial"/>
          <w:b/>
          <w:szCs w:val="24"/>
        </w:rPr>
        <w:t>ideelle</w:t>
      </w:r>
      <w:r w:rsidRPr="009A2CD7">
        <w:rPr>
          <w:rFonts w:ascii="Arial" w:hAnsi="Arial" w:cs="Arial"/>
          <w:b/>
          <w:szCs w:val="24"/>
        </w:rPr>
        <w:t xml:space="preserve"> organisasjoner. Inntekter og utgifter. 2006-2015</w:t>
      </w:r>
      <w:r w:rsidRPr="004708BF">
        <w:rPr>
          <w:rFonts w:ascii="Arial" w:hAnsi="Arial" w:cs="Arial"/>
        </w:rPr>
        <w:t xml:space="preserve"> </w:t>
      </w:r>
    </w:p>
    <w:tbl>
      <w:tblPr>
        <w:tblW w:w="9653" w:type="dxa"/>
        <w:tblInd w:w="70" w:type="dxa"/>
        <w:tblCellMar>
          <w:left w:w="70" w:type="dxa"/>
          <w:right w:w="70" w:type="dxa"/>
        </w:tblCellMar>
        <w:tblLook w:val="04A0" w:firstRow="1" w:lastRow="0" w:firstColumn="1" w:lastColumn="0" w:noHBand="0" w:noVBand="1"/>
      </w:tblPr>
      <w:tblGrid>
        <w:gridCol w:w="2895"/>
        <w:gridCol w:w="660"/>
        <w:gridCol w:w="660"/>
        <w:gridCol w:w="659"/>
        <w:gridCol w:w="659"/>
        <w:gridCol w:w="659"/>
        <w:gridCol w:w="659"/>
        <w:gridCol w:w="742"/>
        <w:gridCol w:w="742"/>
        <w:gridCol w:w="659"/>
        <w:gridCol w:w="659"/>
      </w:tblGrid>
      <w:tr w:rsidR="0008288A" w:rsidRPr="0008288A" w14:paraId="759920CA" w14:textId="77777777" w:rsidTr="0008288A">
        <w:trPr>
          <w:trHeight w:val="254"/>
        </w:trPr>
        <w:tc>
          <w:tcPr>
            <w:tcW w:w="2895" w:type="dxa"/>
            <w:tcBorders>
              <w:top w:val="single" w:sz="4" w:space="0" w:color="auto"/>
              <w:left w:val="nil"/>
              <w:bottom w:val="single" w:sz="4" w:space="0" w:color="auto"/>
              <w:right w:val="nil"/>
            </w:tcBorders>
            <w:shd w:val="clear" w:color="000000" w:fill="FFFFFF"/>
            <w:noWrap/>
            <w:vAlign w:val="bottom"/>
            <w:hideMark/>
          </w:tcPr>
          <w:p w14:paraId="4ED09784"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60" w:type="dxa"/>
            <w:tcBorders>
              <w:top w:val="single" w:sz="4" w:space="0" w:color="auto"/>
              <w:left w:val="nil"/>
              <w:bottom w:val="single" w:sz="4" w:space="0" w:color="auto"/>
              <w:right w:val="nil"/>
            </w:tcBorders>
            <w:shd w:val="clear" w:color="000000" w:fill="FFFFFF"/>
            <w:noWrap/>
            <w:vAlign w:val="bottom"/>
            <w:hideMark/>
          </w:tcPr>
          <w:p w14:paraId="3351869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2006</w:t>
            </w:r>
          </w:p>
        </w:tc>
        <w:tc>
          <w:tcPr>
            <w:tcW w:w="660" w:type="dxa"/>
            <w:tcBorders>
              <w:top w:val="single" w:sz="4" w:space="0" w:color="auto"/>
              <w:left w:val="nil"/>
              <w:bottom w:val="single" w:sz="4" w:space="0" w:color="auto"/>
              <w:right w:val="nil"/>
            </w:tcBorders>
            <w:shd w:val="clear" w:color="000000" w:fill="FFFFFF"/>
            <w:noWrap/>
            <w:vAlign w:val="bottom"/>
            <w:hideMark/>
          </w:tcPr>
          <w:p w14:paraId="59A5D87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2007</w:t>
            </w:r>
          </w:p>
        </w:tc>
        <w:tc>
          <w:tcPr>
            <w:tcW w:w="659" w:type="dxa"/>
            <w:tcBorders>
              <w:top w:val="single" w:sz="4" w:space="0" w:color="auto"/>
              <w:left w:val="nil"/>
              <w:bottom w:val="single" w:sz="4" w:space="0" w:color="auto"/>
              <w:right w:val="nil"/>
            </w:tcBorders>
            <w:shd w:val="clear" w:color="000000" w:fill="FFFFFF"/>
            <w:noWrap/>
            <w:vAlign w:val="bottom"/>
            <w:hideMark/>
          </w:tcPr>
          <w:p w14:paraId="4A6E96F0"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2008</w:t>
            </w:r>
          </w:p>
        </w:tc>
        <w:tc>
          <w:tcPr>
            <w:tcW w:w="659" w:type="dxa"/>
            <w:tcBorders>
              <w:top w:val="single" w:sz="4" w:space="0" w:color="auto"/>
              <w:left w:val="nil"/>
              <w:bottom w:val="single" w:sz="4" w:space="0" w:color="auto"/>
              <w:right w:val="nil"/>
            </w:tcBorders>
            <w:shd w:val="clear" w:color="000000" w:fill="FFFFFF"/>
            <w:noWrap/>
            <w:vAlign w:val="bottom"/>
            <w:hideMark/>
          </w:tcPr>
          <w:p w14:paraId="0FA14E2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2009</w:t>
            </w:r>
          </w:p>
        </w:tc>
        <w:tc>
          <w:tcPr>
            <w:tcW w:w="659" w:type="dxa"/>
            <w:tcBorders>
              <w:top w:val="single" w:sz="4" w:space="0" w:color="auto"/>
              <w:left w:val="nil"/>
              <w:bottom w:val="single" w:sz="4" w:space="0" w:color="auto"/>
              <w:right w:val="nil"/>
            </w:tcBorders>
            <w:shd w:val="clear" w:color="000000" w:fill="FFFFFF"/>
            <w:noWrap/>
            <w:vAlign w:val="bottom"/>
            <w:hideMark/>
          </w:tcPr>
          <w:p w14:paraId="3A3F12C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2010</w:t>
            </w:r>
          </w:p>
        </w:tc>
        <w:tc>
          <w:tcPr>
            <w:tcW w:w="659" w:type="dxa"/>
            <w:tcBorders>
              <w:top w:val="single" w:sz="4" w:space="0" w:color="auto"/>
              <w:left w:val="nil"/>
              <w:bottom w:val="single" w:sz="4" w:space="0" w:color="auto"/>
              <w:right w:val="nil"/>
            </w:tcBorders>
            <w:shd w:val="clear" w:color="000000" w:fill="FFFFFF"/>
            <w:noWrap/>
            <w:vAlign w:val="bottom"/>
            <w:hideMark/>
          </w:tcPr>
          <w:p w14:paraId="20BFCDA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2011</w:t>
            </w:r>
          </w:p>
        </w:tc>
        <w:tc>
          <w:tcPr>
            <w:tcW w:w="742" w:type="dxa"/>
            <w:tcBorders>
              <w:top w:val="single" w:sz="4" w:space="0" w:color="auto"/>
              <w:left w:val="nil"/>
              <w:bottom w:val="single" w:sz="4" w:space="0" w:color="auto"/>
              <w:right w:val="nil"/>
            </w:tcBorders>
            <w:shd w:val="clear" w:color="000000" w:fill="FFFFFF"/>
            <w:noWrap/>
            <w:vAlign w:val="bottom"/>
            <w:hideMark/>
          </w:tcPr>
          <w:p w14:paraId="79427C4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2012</w:t>
            </w:r>
          </w:p>
        </w:tc>
        <w:tc>
          <w:tcPr>
            <w:tcW w:w="742" w:type="dxa"/>
            <w:tcBorders>
              <w:top w:val="single" w:sz="4" w:space="0" w:color="auto"/>
              <w:left w:val="nil"/>
              <w:bottom w:val="single" w:sz="4" w:space="0" w:color="auto"/>
              <w:right w:val="nil"/>
            </w:tcBorders>
            <w:shd w:val="clear" w:color="000000" w:fill="FFFFFF"/>
            <w:noWrap/>
            <w:vAlign w:val="bottom"/>
            <w:hideMark/>
          </w:tcPr>
          <w:p w14:paraId="06A78BF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2013</w:t>
            </w:r>
          </w:p>
        </w:tc>
        <w:tc>
          <w:tcPr>
            <w:tcW w:w="659" w:type="dxa"/>
            <w:tcBorders>
              <w:top w:val="single" w:sz="4" w:space="0" w:color="auto"/>
              <w:left w:val="nil"/>
              <w:bottom w:val="single" w:sz="4" w:space="0" w:color="auto"/>
              <w:right w:val="nil"/>
            </w:tcBorders>
            <w:shd w:val="clear" w:color="000000" w:fill="FFFFFF"/>
            <w:noWrap/>
            <w:vAlign w:val="bottom"/>
            <w:hideMark/>
          </w:tcPr>
          <w:p w14:paraId="64B21FA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2014*</w:t>
            </w:r>
          </w:p>
        </w:tc>
        <w:tc>
          <w:tcPr>
            <w:tcW w:w="659" w:type="dxa"/>
            <w:tcBorders>
              <w:top w:val="single" w:sz="4" w:space="0" w:color="auto"/>
              <w:left w:val="nil"/>
              <w:bottom w:val="single" w:sz="4" w:space="0" w:color="auto"/>
              <w:right w:val="nil"/>
            </w:tcBorders>
            <w:shd w:val="clear" w:color="000000" w:fill="FFFFFF"/>
            <w:noWrap/>
            <w:vAlign w:val="bottom"/>
            <w:hideMark/>
          </w:tcPr>
          <w:p w14:paraId="20764DF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2015*</w:t>
            </w:r>
          </w:p>
        </w:tc>
      </w:tr>
      <w:tr w:rsidR="0008288A" w:rsidRPr="0008288A" w14:paraId="6D66912B" w14:textId="77777777" w:rsidTr="0008288A">
        <w:trPr>
          <w:trHeight w:val="254"/>
        </w:trPr>
        <w:tc>
          <w:tcPr>
            <w:tcW w:w="2895" w:type="dxa"/>
            <w:tcBorders>
              <w:top w:val="nil"/>
              <w:left w:val="nil"/>
              <w:bottom w:val="nil"/>
              <w:right w:val="nil"/>
            </w:tcBorders>
            <w:shd w:val="clear" w:color="000000" w:fill="FFFFFF"/>
            <w:noWrap/>
            <w:vAlign w:val="bottom"/>
            <w:hideMark/>
          </w:tcPr>
          <w:p w14:paraId="3229BF6B"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Inntekter:</w:t>
            </w:r>
          </w:p>
        </w:tc>
        <w:tc>
          <w:tcPr>
            <w:tcW w:w="660" w:type="dxa"/>
            <w:tcBorders>
              <w:top w:val="nil"/>
              <w:left w:val="nil"/>
              <w:bottom w:val="nil"/>
              <w:right w:val="nil"/>
            </w:tcBorders>
            <w:shd w:val="clear" w:color="000000" w:fill="FFFFFF"/>
            <w:noWrap/>
            <w:vAlign w:val="bottom"/>
            <w:hideMark/>
          </w:tcPr>
          <w:p w14:paraId="06A1297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1236,7</w:t>
            </w:r>
          </w:p>
        </w:tc>
        <w:tc>
          <w:tcPr>
            <w:tcW w:w="660" w:type="dxa"/>
            <w:tcBorders>
              <w:top w:val="nil"/>
              <w:left w:val="nil"/>
              <w:bottom w:val="nil"/>
              <w:right w:val="nil"/>
            </w:tcBorders>
            <w:shd w:val="clear" w:color="000000" w:fill="FFFFFF"/>
            <w:noWrap/>
            <w:vAlign w:val="bottom"/>
            <w:hideMark/>
          </w:tcPr>
          <w:p w14:paraId="6FC0798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1368,8</w:t>
            </w:r>
          </w:p>
        </w:tc>
        <w:tc>
          <w:tcPr>
            <w:tcW w:w="659" w:type="dxa"/>
            <w:tcBorders>
              <w:top w:val="nil"/>
              <w:left w:val="nil"/>
              <w:bottom w:val="nil"/>
              <w:right w:val="nil"/>
            </w:tcBorders>
            <w:shd w:val="clear" w:color="000000" w:fill="FFFFFF"/>
            <w:noWrap/>
            <w:vAlign w:val="bottom"/>
            <w:hideMark/>
          </w:tcPr>
          <w:p w14:paraId="4603B5F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1487,3</w:t>
            </w:r>
          </w:p>
        </w:tc>
        <w:tc>
          <w:tcPr>
            <w:tcW w:w="659" w:type="dxa"/>
            <w:tcBorders>
              <w:top w:val="nil"/>
              <w:left w:val="nil"/>
              <w:bottom w:val="nil"/>
              <w:right w:val="nil"/>
            </w:tcBorders>
            <w:shd w:val="clear" w:color="000000" w:fill="FFFFFF"/>
            <w:noWrap/>
            <w:vAlign w:val="bottom"/>
            <w:hideMark/>
          </w:tcPr>
          <w:p w14:paraId="1769ABB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1515,5</w:t>
            </w:r>
          </w:p>
        </w:tc>
        <w:tc>
          <w:tcPr>
            <w:tcW w:w="659" w:type="dxa"/>
            <w:tcBorders>
              <w:top w:val="nil"/>
              <w:left w:val="nil"/>
              <w:bottom w:val="nil"/>
              <w:right w:val="nil"/>
            </w:tcBorders>
            <w:shd w:val="clear" w:color="000000" w:fill="FFFFFF"/>
            <w:noWrap/>
            <w:vAlign w:val="bottom"/>
            <w:hideMark/>
          </w:tcPr>
          <w:p w14:paraId="4BED482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1581,3</w:t>
            </w:r>
          </w:p>
        </w:tc>
        <w:tc>
          <w:tcPr>
            <w:tcW w:w="659" w:type="dxa"/>
            <w:tcBorders>
              <w:top w:val="nil"/>
              <w:left w:val="nil"/>
              <w:bottom w:val="nil"/>
              <w:right w:val="nil"/>
            </w:tcBorders>
            <w:shd w:val="clear" w:color="000000" w:fill="FFFFFF"/>
            <w:noWrap/>
            <w:vAlign w:val="bottom"/>
            <w:hideMark/>
          </w:tcPr>
          <w:p w14:paraId="68F69EC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1675,5</w:t>
            </w:r>
          </w:p>
        </w:tc>
        <w:tc>
          <w:tcPr>
            <w:tcW w:w="742" w:type="dxa"/>
            <w:tcBorders>
              <w:top w:val="nil"/>
              <w:left w:val="nil"/>
              <w:bottom w:val="nil"/>
              <w:right w:val="nil"/>
            </w:tcBorders>
            <w:shd w:val="clear" w:color="000000" w:fill="FFFFFF"/>
            <w:noWrap/>
            <w:vAlign w:val="bottom"/>
            <w:hideMark/>
          </w:tcPr>
          <w:p w14:paraId="5835BCC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1769,5</w:t>
            </w:r>
          </w:p>
        </w:tc>
        <w:tc>
          <w:tcPr>
            <w:tcW w:w="742" w:type="dxa"/>
            <w:tcBorders>
              <w:top w:val="nil"/>
              <w:left w:val="nil"/>
              <w:bottom w:val="nil"/>
              <w:right w:val="nil"/>
            </w:tcBorders>
            <w:shd w:val="clear" w:color="000000" w:fill="FFFFFF"/>
            <w:noWrap/>
            <w:vAlign w:val="bottom"/>
            <w:hideMark/>
          </w:tcPr>
          <w:p w14:paraId="2098675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1864,4</w:t>
            </w:r>
          </w:p>
        </w:tc>
        <w:tc>
          <w:tcPr>
            <w:tcW w:w="659" w:type="dxa"/>
            <w:tcBorders>
              <w:top w:val="nil"/>
              <w:left w:val="nil"/>
              <w:bottom w:val="nil"/>
              <w:right w:val="nil"/>
            </w:tcBorders>
            <w:shd w:val="clear" w:color="000000" w:fill="FFFFFF"/>
            <w:noWrap/>
            <w:vAlign w:val="bottom"/>
            <w:hideMark/>
          </w:tcPr>
          <w:p w14:paraId="11C0C21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1952,6</w:t>
            </w:r>
          </w:p>
        </w:tc>
        <w:tc>
          <w:tcPr>
            <w:tcW w:w="659" w:type="dxa"/>
            <w:tcBorders>
              <w:top w:val="nil"/>
              <w:left w:val="nil"/>
              <w:bottom w:val="nil"/>
              <w:right w:val="nil"/>
            </w:tcBorders>
            <w:shd w:val="clear" w:color="000000" w:fill="FFFFFF"/>
            <w:noWrap/>
            <w:vAlign w:val="bottom"/>
            <w:hideMark/>
          </w:tcPr>
          <w:p w14:paraId="2AE34F5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2026,1</w:t>
            </w:r>
          </w:p>
        </w:tc>
      </w:tr>
      <w:tr w:rsidR="0008288A" w:rsidRPr="0008288A" w14:paraId="2E748968" w14:textId="77777777" w:rsidTr="0008288A">
        <w:trPr>
          <w:trHeight w:val="254"/>
        </w:trPr>
        <w:tc>
          <w:tcPr>
            <w:tcW w:w="2895" w:type="dxa"/>
            <w:tcBorders>
              <w:top w:val="nil"/>
              <w:left w:val="nil"/>
              <w:bottom w:val="nil"/>
              <w:right w:val="nil"/>
            </w:tcBorders>
            <w:shd w:val="clear" w:color="000000" w:fill="FFFFFF"/>
            <w:noWrap/>
            <w:vAlign w:val="bottom"/>
            <w:hideMark/>
          </w:tcPr>
          <w:p w14:paraId="12DC080C"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Lønn</w:t>
            </w:r>
          </w:p>
        </w:tc>
        <w:tc>
          <w:tcPr>
            <w:tcW w:w="660" w:type="dxa"/>
            <w:tcBorders>
              <w:top w:val="nil"/>
              <w:left w:val="nil"/>
              <w:bottom w:val="nil"/>
              <w:right w:val="nil"/>
            </w:tcBorders>
            <w:shd w:val="clear" w:color="000000" w:fill="FFFFFF"/>
            <w:noWrap/>
            <w:vAlign w:val="bottom"/>
            <w:hideMark/>
          </w:tcPr>
          <w:p w14:paraId="1E2D7DB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715,7</w:t>
            </w:r>
          </w:p>
        </w:tc>
        <w:tc>
          <w:tcPr>
            <w:tcW w:w="660" w:type="dxa"/>
            <w:tcBorders>
              <w:top w:val="nil"/>
              <w:left w:val="nil"/>
              <w:bottom w:val="nil"/>
              <w:right w:val="nil"/>
            </w:tcBorders>
            <w:shd w:val="clear" w:color="000000" w:fill="FFFFFF"/>
            <w:noWrap/>
            <w:vAlign w:val="bottom"/>
            <w:hideMark/>
          </w:tcPr>
          <w:p w14:paraId="523CA8A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790,8</w:t>
            </w:r>
          </w:p>
        </w:tc>
        <w:tc>
          <w:tcPr>
            <w:tcW w:w="659" w:type="dxa"/>
            <w:tcBorders>
              <w:top w:val="nil"/>
              <w:left w:val="nil"/>
              <w:bottom w:val="nil"/>
              <w:right w:val="nil"/>
            </w:tcBorders>
            <w:shd w:val="clear" w:color="000000" w:fill="FFFFFF"/>
            <w:noWrap/>
            <w:vAlign w:val="bottom"/>
            <w:hideMark/>
          </w:tcPr>
          <w:p w14:paraId="7C1ED9F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864,7</w:t>
            </w:r>
          </w:p>
        </w:tc>
        <w:tc>
          <w:tcPr>
            <w:tcW w:w="659" w:type="dxa"/>
            <w:tcBorders>
              <w:top w:val="nil"/>
              <w:left w:val="nil"/>
              <w:bottom w:val="nil"/>
              <w:right w:val="nil"/>
            </w:tcBorders>
            <w:shd w:val="clear" w:color="000000" w:fill="FFFFFF"/>
            <w:noWrap/>
            <w:vAlign w:val="bottom"/>
            <w:hideMark/>
          </w:tcPr>
          <w:p w14:paraId="469CEDF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893,0</w:t>
            </w:r>
          </w:p>
        </w:tc>
        <w:tc>
          <w:tcPr>
            <w:tcW w:w="659" w:type="dxa"/>
            <w:tcBorders>
              <w:top w:val="nil"/>
              <w:left w:val="nil"/>
              <w:bottom w:val="nil"/>
              <w:right w:val="nil"/>
            </w:tcBorders>
            <w:shd w:val="clear" w:color="000000" w:fill="FFFFFF"/>
            <w:noWrap/>
            <w:vAlign w:val="bottom"/>
            <w:hideMark/>
          </w:tcPr>
          <w:p w14:paraId="0D62D629"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923,6</w:t>
            </w:r>
          </w:p>
        </w:tc>
        <w:tc>
          <w:tcPr>
            <w:tcW w:w="659" w:type="dxa"/>
            <w:tcBorders>
              <w:top w:val="nil"/>
              <w:left w:val="nil"/>
              <w:bottom w:val="nil"/>
              <w:right w:val="nil"/>
            </w:tcBorders>
            <w:shd w:val="clear" w:color="000000" w:fill="FFFFFF"/>
            <w:noWrap/>
            <w:vAlign w:val="bottom"/>
            <w:hideMark/>
          </w:tcPr>
          <w:p w14:paraId="23BE8EC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982,0</w:t>
            </w:r>
          </w:p>
        </w:tc>
        <w:tc>
          <w:tcPr>
            <w:tcW w:w="742" w:type="dxa"/>
            <w:tcBorders>
              <w:top w:val="nil"/>
              <w:left w:val="nil"/>
              <w:bottom w:val="nil"/>
              <w:right w:val="nil"/>
            </w:tcBorders>
            <w:shd w:val="clear" w:color="000000" w:fill="FFFFFF"/>
            <w:noWrap/>
            <w:vAlign w:val="bottom"/>
            <w:hideMark/>
          </w:tcPr>
          <w:p w14:paraId="6079393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1041,5</w:t>
            </w:r>
          </w:p>
        </w:tc>
        <w:tc>
          <w:tcPr>
            <w:tcW w:w="742" w:type="dxa"/>
            <w:tcBorders>
              <w:top w:val="nil"/>
              <w:left w:val="nil"/>
              <w:bottom w:val="nil"/>
              <w:right w:val="nil"/>
            </w:tcBorders>
            <w:shd w:val="clear" w:color="000000" w:fill="FFFFFF"/>
            <w:noWrap/>
            <w:vAlign w:val="bottom"/>
            <w:hideMark/>
          </w:tcPr>
          <w:p w14:paraId="2595F98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1097,5</w:t>
            </w:r>
          </w:p>
        </w:tc>
        <w:tc>
          <w:tcPr>
            <w:tcW w:w="659" w:type="dxa"/>
            <w:tcBorders>
              <w:top w:val="nil"/>
              <w:left w:val="nil"/>
              <w:bottom w:val="nil"/>
              <w:right w:val="nil"/>
            </w:tcBorders>
            <w:shd w:val="clear" w:color="000000" w:fill="FFFFFF"/>
            <w:noWrap/>
            <w:vAlign w:val="bottom"/>
            <w:hideMark/>
          </w:tcPr>
          <w:p w14:paraId="0591BEF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1143,6</w:t>
            </w:r>
          </w:p>
        </w:tc>
        <w:tc>
          <w:tcPr>
            <w:tcW w:w="659" w:type="dxa"/>
            <w:tcBorders>
              <w:top w:val="nil"/>
              <w:left w:val="nil"/>
              <w:bottom w:val="nil"/>
              <w:right w:val="nil"/>
            </w:tcBorders>
            <w:shd w:val="clear" w:color="000000" w:fill="FFFFFF"/>
            <w:noWrap/>
            <w:vAlign w:val="bottom"/>
            <w:hideMark/>
          </w:tcPr>
          <w:p w14:paraId="435852F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1178,4</w:t>
            </w:r>
          </w:p>
        </w:tc>
      </w:tr>
      <w:tr w:rsidR="0008288A" w:rsidRPr="0008288A" w14:paraId="3919E2D1" w14:textId="77777777" w:rsidTr="0008288A">
        <w:trPr>
          <w:trHeight w:val="254"/>
        </w:trPr>
        <w:tc>
          <w:tcPr>
            <w:tcW w:w="2895" w:type="dxa"/>
            <w:tcBorders>
              <w:top w:val="nil"/>
              <w:left w:val="nil"/>
              <w:bottom w:val="nil"/>
              <w:right w:val="nil"/>
            </w:tcBorders>
            <w:shd w:val="clear" w:color="000000" w:fill="FFFFFF"/>
            <w:noWrap/>
            <w:vAlign w:val="bottom"/>
            <w:hideMark/>
          </w:tcPr>
          <w:p w14:paraId="47C817EC"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Blandet inntekt</w:t>
            </w:r>
            <w:r w:rsidRPr="0008288A">
              <w:rPr>
                <w:rFonts w:ascii="Times New Roman" w:eastAsia="Times New Roman" w:hAnsi="Times New Roman"/>
                <w:sz w:val="18"/>
                <w:szCs w:val="18"/>
                <w:vertAlign w:val="superscript"/>
              </w:rPr>
              <w:t>(1)/</w:t>
            </w:r>
            <w:r w:rsidRPr="0008288A">
              <w:rPr>
                <w:rFonts w:ascii="Times New Roman" w:eastAsia="Times New Roman" w:hAnsi="Times New Roman"/>
                <w:sz w:val="18"/>
                <w:szCs w:val="18"/>
              </w:rPr>
              <w:t>driftsresultat</w:t>
            </w:r>
          </w:p>
        </w:tc>
        <w:tc>
          <w:tcPr>
            <w:tcW w:w="660" w:type="dxa"/>
            <w:tcBorders>
              <w:top w:val="nil"/>
              <w:left w:val="nil"/>
              <w:bottom w:val="nil"/>
              <w:right w:val="nil"/>
            </w:tcBorders>
            <w:shd w:val="clear" w:color="000000" w:fill="FFFFFF"/>
            <w:noWrap/>
            <w:vAlign w:val="bottom"/>
            <w:hideMark/>
          </w:tcPr>
          <w:p w14:paraId="624A9AF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106,1</w:t>
            </w:r>
          </w:p>
        </w:tc>
        <w:tc>
          <w:tcPr>
            <w:tcW w:w="660" w:type="dxa"/>
            <w:tcBorders>
              <w:top w:val="nil"/>
              <w:left w:val="nil"/>
              <w:bottom w:val="nil"/>
              <w:right w:val="nil"/>
            </w:tcBorders>
            <w:shd w:val="clear" w:color="000000" w:fill="FFFFFF"/>
            <w:noWrap/>
            <w:vAlign w:val="bottom"/>
            <w:hideMark/>
          </w:tcPr>
          <w:p w14:paraId="6327D49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110,2</w:t>
            </w:r>
          </w:p>
        </w:tc>
        <w:tc>
          <w:tcPr>
            <w:tcW w:w="659" w:type="dxa"/>
            <w:tcBorders>
              <w:top w:val="nil"/>
              <w:left w:val="nil"/>
              <w:bottom w:val="nil"/>
              <w:right w:val="nil"/>
            </w:tcBorders>
            <w:shd w:val="clear" w:color="000000" w:fill="FFFFFF"/>
            <w:noWrap/>
            <w:vAlign w:val="bottom"/>
            <w:hideMark/>
          </w:tcPr>
          <w:p w14:paraId="0A137D0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112,2</w:t>
            </w:r>
          </w:p>
        </w:tc>
        <w:tc>
          <w:tcPr>
            <w:tcW w:w="659" w:type="dxa"/>
            <w:tcBorders>
              <w:top w:val="nil"/>
              <w:left w:val="nil"/>
              <w:bottom w:val="nil"/>
              <w:right w:val="nil"/>
            </w:tcBorders>
            <w:shd w:val="clear" w:color="000000" w:fill="FFFFFF"/>
            <w:noWrap/>
            <w:vAlign w:val="bottom"/>
            <w:hideMark/>
          </w:tcPr>
          <w:p w14:paraId="28B1072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91,0</w:t>
            </w:r>
          </w:p>
        </w:tc>
        <w:tc>
          <w:tcPr>
            <w:tcW w:w="659" w:type="dxa"/>
            <w:tcBorders>
              <w:top w:val="nil"/>
              <w:left w:val="nil"/>
              <w:bottom w:val="nil"/>
              <w:right w:val="nil"/>
            </w:tcBorders>
            <w:shd w:val="clear" w:color="000000" w:fill="FFFFFF"/>
            <w:noWrap/>
            <w:vAlign w:val="bottom"/>
            <w:hideMark/>
          </w:tcPr>
          <w:p w14:paraId="2A6D570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103,8</w:t>
            </w:r>
          </w:p>
        </w:tc>
        <w:tc>
          <w:tcPr>
            <w:tcW w:w="659" w:type="dxa"/>
            <w:tcBorders>
              <w:top w:val="nil"/>
              <w:left w:val="nil"/>
              <w:bottom w:val="nil"/>
              <w:right w:val="nil"/>
            </w:tcBorders>
            <w:shd w:val="clear" w:color="000000" w:fill="FFFFFF"/>
            <w:noWrap/>
            <w:vAlign w:val="bottom"/>
            <w:hideMark/>
          </w:tcPr>
          <w:p w14:paraId="3FB0E09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108,2</w:t>
            </w:r>
          </w:p>
        </w:tc>
        <w:tc>
          <w:tcPr>
            <w:tcW w:w="742" w:type="dxa"/>
            <w:tcBorders>
              <w:top w:val="nil"/>
              <w:left w:val="nil"/>
              <w:bottom w:val="nil"/>
              <w:right w:val="nil"/>
            </w:tcBorders>
            <w:shd w:val="clear" w:color="000000" w:fill="FFFFFF"/>
            <w:noWrap/>
            <w:vAlign w:val="bottom"/>
            <w:hideMark/>
          </w:tcPr>
          <w:p w14:paraId="7FA5D9E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104,8</w:t>
            </w:r>
          </w:p>
        </w:tc>
        <w:tc>
          <w:tcPr>
            <w:tcW w:w="742" w:type="dxa"/>
            <w:tcBorders>
              <w:top w:val="nil"/>
              <w:left w:val="nil"/>
              <w:bottom w:val="nil"/>
              <w:right w:val="nil"/>
            </w:tcBorders>
            <w:shd w:val="clear" w:color="000000" w:fill="FFFFFF"/>
            <w:noWrap/>
            <w:vAlign w:val="bottom"/>
            <w:hideMark/>
          </w:tcPr>
          <w:p w14:paraId="18A537D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106,0</w:t>
            </w:r>
          </w:p>
        </w:tc>
        <w:tc>
          <w:tcPr>
            <w:tcW w:w="659" w:type="dxa"/>
            <w:tcBorders>
              <w:top w:val="nil"/>
              <w:left w:val="nil"/>
              <w:bottom w:val="nil"/>
              <w:right w:val="nil"/>
            </w:tcBorders>
            <w:shd w:val="clear" w:color="000000" w:fill="FFFFFF"/>
            <w:noWrap/>
            <w:vAlign w:val="bottom"/>
            <w:hideMark/>
          </w:tcPr>
          <w:p w14:paraId="155C843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114,8</w:t>
            </w:r>
          </w:p>
        </w:tc>
        <w:tc>
          <w:tcPr>
            <w:tcW w:w="659" w:type="dxa"/>
            <w:tcBorders>
              <w:top w:val="nil"/>
              <w:left w:val="nil"/>
              <w:bottom w:val="nil"/>
              <w:right w:val="nil"/>
            </w:tcBorders>
            <w:shd w:val="clear" w:color="000000" w:fill="FFFFFF"/>
            <w:noWrap/>
            <w:vAlign w:val="bottom"/>
            <w:hideMark/>
          </w:tcPr>
          <w:p w14:paraId="1949A3B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123,0</w:t>
            </w:r>
          </w:p>
        </w:tc>
      </w:tr>
      <w:tr w:rsidR="0008288A" w:rsidRPr="0008288A" w14:paraId="69492956" w14:textId="77777777" w:rsidTr="0008288A">
        <w:trPr>
          <w:trHeight w:val="254"/>
        </w:trPr>
        <w:tc>
          <w:tcPr>
            <w:tcW w:w="2895" w:type="dxa"/>
            <w:tcBorders>
              <w:top w:val="nil"/>
              <w:left w:val="nil"/>
              <w:bottom w:val="nil"/>
              <w:right w:val="nil"/>
            </w:tcBorders>
            <w:shd w:val="clear" w:color="000000" w:fill="FFFFFF"/>
            <w:noWrap/>
            <w:vAlign w:val="bottom"/>
            <w:hideMark/>
          </w:tcPr>
          <w:p w14:paraId="311F4F22"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 xml:space="preserve">  Herav: Tjenester fra egen bolig</w:t>
            </w:r>
          </w:p>
        </w:tc>
        <w:tc>
          <w:tcPr>
            <w:tcW w:w="660" w:type="dxa"/>
            <w:tcBorders>
              <w:top w:val="nil"/>
              <w:left w:val="nil"/>
              <w:bottom w:val="nil"/>
              <w:right w:val="nil"/>
            </w:tcBorders>
            <w:shd w:val="clear" w:color="000000" w:fill="FFFFFF"/>
            <w:noWrap/>
            <w:vAlign w:val="bottom"/>
            <w:hideMark/>
          </w:tcPr>
          <w:p w14:paraId="192B91B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46,3</w:t>
            </w:r>
          </w:p>
        </w:tc>
        <w:tc>
          <w:tcPr>
            <w:tcW w:w="660" w:type="dxa"/>
            <w:tcBorders>
              <w:top w:val="nil"/>
              <w:left w:val="nil"/>
              <w:bottom w:val="nil"/>
              <w:right w:val="nil"/>
            </w:tcBorders>
            <w:shd w:val="clear" w:color="000000" w:fill="FFFFFF"/>
            <w:noWrap/>
            <w:vAlign w:val="bottom"/>
            <w:hideMark/>
          </w:tcPr>
          <w:p w14:paraId="3781BC19"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45,2</w:t>
            </w:r>
          </w:p>
        </w:tc>
        <w:tc>
          <w:tcPr>
            <w:tcW w:w="659" w:type="dxa"/>
            <w:tcBorders>
              <w:top w:val="nil"/>
              <w:left w:val="nil"/>
              <w:bottom w:val="nil"/>
              <w:right w:val="nil"/>
            </w:tcBorders>
            <w:shd w:val="clear" w:color="000000" w:fill="FFFFFF"/>
            <w:noWrap/>
            <w:vAlign w:val="bottom"/>
            <w:hideMark/>
          </w:tcPr>
          <w:p w14:paraId="0719E1C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43,6</w:t>
            </w:r>
          </w:p>
        </w:tc>
        <w:tc>
          <w:tcPr>
            <w:tcW w:w="659" w:type="dxa"/>
            <w:tcBorders>
              <w:top w:val="nil"/>
              <w:left w:val="nil"/>
              <w:bottom w:val="nil"/>
              <w:right w:val="nil"/>
            </w:tcBorders>
            <w:shd w:val="clear" w:color="000000" w:fill="FFFFFF"/>
            <w:noWrap/>
            <w:vAlign w:val="bottom"/>
            <w:hideMark/>
          </w:tcPr>
          <w:p w14:paraId="06F748D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37,3</w:t>
            </w:r>
          </w:p>
        </w:tc>
        <w:tc>
          <w:tcPr>
            <w:tcW w:w="659" w:type="dxa"/>
            <w:tcBorders>
              <w:top w:val="nil"/>
              <w:left w:val="nil"/>
              <w:bottom w:val="nil"/>
              <w:right w:val="nil"/>
            </w:tcBorders>
            <w:shd w:val="clear" w:color="000000" w:fill="FFFFFF"/>
            <w:noWrap/>
            <w:vAlign w:val="bottom"/>
            <w:hideMark/>
          </w:tcPr>
          <w:p w14:paraId="57B226C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40,3</w:t>
            </w:r>
          </w:p>
        </w:tc>
        <w:tc>
          <w:tcPr>
            <w:tcW w:w="659" w:type="dxa"/>
            <w:tcBorders>
              <w:top w:val="nil"/>
              <w:left w:val="nil"/>
              <w:bottom w:val="nil"/>
              <w:right w:val="nil"/>
            </w:tcBorders>
            <w:shd w:val="clear" w:color="000000" w:fill="FFFFFF"/>
            <w:noWrap/>
            <w:vAlign w:val="bottom"/>
            <w:hideMark/>
          </w:tcPr>
          <w:p w14:paraId="6885EBB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41,0</w:t>
            </w:r>
          </w:p>
        </w:tc>
        <w:tc>
          <w:tcPr>
            <w:tcW w:w="742" w:type="dxa"/>
            <w:tcBorders>
              <w:top w:val="nil"/>
              <w:left w:val="nil"/>
              <w:bottom w:val="nil"/>
              <w:right w:val="nil"/>
            </w:tcBorders>
            <w:shd w:val="clear" w:color="000000" w:fill="FFFFFF"/>
            <w:noWrap/>
            <w:vAlign w:val="bottom"/>
            <w:hideMark/>
          </w:tcPr>
          <w:p w14:paraId="74AFD1D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35,5</w:t>
            </w:r>
          </w:p>
        </w:tc>
        <w:tc>
          <w:tcPr>
            <w:tcW w:w="742" w:type="dxa"/>
            <w:tcBorders>
              <w:top w:val="nil"/>
              <w:left w:val="nil"/>
              <w:bottom w:val="nil"/>
              <w:right w:val="nil"/>
            </w:tcBorders>
            <w:shd w:val="clear" w:color="000000" w:fill="FFFFFF"/>
            <w:noWrap/>
            <w:vAlign w:val="bottom"/>
            <w:hideMark/>
          </w:tcPr>
          <w:p w14:paraId="1813396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35,6</w:t>
            </w:r>
          </w:p>
        </w:tc>
        <w:tc>
          <w:tcPr>
            <w:tcW w:w="659" w:type="dxa"/>
            <w:tcBorders>
              <w:top w:val="nil"/>
              <w:left w:val="nil"/>
              <w:bottom w:val="nil"/>
              <w:right w:val="nil"/>
            </w:tcBorders>
            <w:shd w:val="clear" w:color="000000" w:fill="FFFFFF"/>
            <w:noWrap/>
            <w:vAlign w:val="bottom"/>
            <w:hideMark/>
          </w:tcPr>
          <w:p w14:paraId="348E9CC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39,0</w:t>
            </w:r>
          </w:p>
        </w:tc>
        <w:tc>
          <w:tcPr>
            <w:tcW w:w="659" w:type="dxa"/>
            <w:tcBorders>
              <w:top w:val="nil"/>
              <w:left w:val="nil"/>
              <w:bottom w:val="nil"/>
              <w:right w:val="nil"/>
            </w:tcBorders>
            <w:shd w:val="clear" w:color="000000" w:fill="FFFFFF"/>
            <w:noWrap/>
            <w:vAlign w:val="bottom"/>
            <w:hideMark/>
          </w:tcPr>
          <w:p w14:paraId="5E2269F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42,6</w:t>
            </w:r>
          </w:p>
        </w:tc>
      </w:tr>
      <w:tr w:rsidR="0008288A" w:rsidRPr="0008288A" w14:paraId="616262F3" w14:textId="77777777" w:rsidTr="0008288A">
        <w:trPr>
          <w:trHeight w:val="254"/>
        </w:trPr>
        <w:tc>
          <w:tcPr>
            <w:tcW w:w="2895" w:type="dxa"/>
            <w:tcBorders>
              <w:top w:val="nil"/>
              <w:left w:val="nil"/>
              <w:bottom w:val="nil"/>
              <w:right w:val="nil"/>
            </w:tcBorders>
            <w:shd w:val="clear" w:color="000000" w:fill="FFFFFF"/>
            <w:noWrap/>
            <w:vAlign w:val="bottom"/>
            <w:hideMark/>
          </w:tcPr>
          <w:p w14:paraId="36C3AFF2"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Formuesinntekter</w:t>
            </w:r>
          </w:p>
        </w:tc>
        <w:tc>
          <w:tcPr>
            <w:tcW w:w="660" w:type="dxa"/>
            <w:tcBorders>
              <w:top w:val="nil"/>
              <w:left w:val="nil"/>
              <w:bottom w:val="nil"/>
              <w:right w:val="nil"/>
            </w:tcBorders>
            <w:shd w:val="clear" w:color="000000" w:fill="FFFFFF"/>
            <w:noWrap/>
            <w:vAlign w:val="bottom"/>
            <w:hideMark/>
          </w:tcPr>
          <w:p w14:paraId="0C41996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49,5</w:t>
            </w:r>
          </w:p>
        </w:tc>
        <w:tc>
          <w:tcPr>
            <w:tcW w:w="660" w:type="dxa"/>
            <w:tcBorders>
              <w:top w:val="nil"/>
              <w:left w:val="nil"/>
              <w:bottom w:val="nil"/>
              <w:right w:val="nil"/>
            </w:tcBorders>
            <w:shd w:val="clear" w:color="000000" w:fill="FFFFFF"/>
            <w:noWrap/>
            <w:vAlign w:val="bottom"/>
            <w:hideMark/>
          </w:tcPr>
          <w:p w14:paraId="4BA5D62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77,8</w:t>
            </w:r>
          </w:p>
        </w:tc>
        <w:tc>
          <w:tcPr>
            <w:tcW w:w="659" w:type="dxa"/>
            <w:tcBorders>
              <w:top w:val="nil"/>
              <w:left w:val="nil"/>
              <w:bottom w:val="nil"/>
              <w:right w:val="nil"/>
            </w:tcBorders>
            <w:shd w:val="clear" w:color="000000" w:fill="FFFFFF"/>
            <w:noWrap/>
            <w:vAlign w:val="bottom"/>
            <w:hideMark/>
          </w:tcPr>
          <w:p w14:paraId="3414C38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101,7</w:t>
            </w:r>
          </w:p>
        </w:tc>
        <w:tc>
          <w:tcPr>
            <w:tcW w:w="659" w:type="dxa"/>
            <w:tcBorders>
              <w:top w:val="nil"/>
              <w:left w:val="nil"/>
              <w:bottom w:val="nil"/>
              <w:right w:val="nil"/>
            </w:tcBorders>
            <w:shd w:val="clear" w:color="000000" w:fill="FFFFFF"/>
            <w:noWrap/>
            <w:vAlign w:val="bottom"/>
            <w:hideMark/>
          </w:tcPr>
          <w:p w14:paraId="1B9DB81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79,6</w:t>
            </w:r>
          </w:p>
        </w:tc>
        <w:tc>
          <w:tcPr>
            <w:tcW w:w="659" w:type="dxa"/>
            <w:tcBorders>
              <w:top w:val="nil"/>
              <w:left w:val="nil"/>
              <w:bottom w:val="nil"/>
              <w:right w:val="nil"/>
            </w:tcBorders>
            <w:shd w:val="clear" w:color="000000" w:fill="FFFFFF"/>
            <w:noWrap/>
            <w:vAlign w:val="bottom"/>
            <w:hideMark/>
          </w:tcPr>
          <w:p w14:paraId="0CACC82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89,4</w:t>
            </w:r>
          </w:p>
        </w:tc>
        <w:tc>
          <w:tcPr>
            <w:tcW w:w="659" w:type="dxa"/>
            <w:tcBorders>
              <w:top w:val="nil"/>
              <w:left w:val="nil"/>
              <w:bottom w:val="nil"/>
              <w:right w:val="nil"/>
            </w:tcBorders>
            <w:shd w:val="clear" w:color="000000" w:fill="FFFFFF"/>
            <w:noWrap/>
            <w:vAlign w:val="bottom"/>
            <w:hideMark/>
          </w:tcPr>
          <w:p w14:paraId="5B86C8D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97,4</w:t>
            </w:r>
          </w:p>
        </w:tc>
        <w:tc>
          <w:tcPr>
            <w:tcW w:w="742" w:type="dxa"/>
            <w:tcBorders>
              <w:top w:val="nil"/>
              <w:left w:val="nil"/>
              <w:bottom w:val="nil"/>
              <w:right w:val="nil"/>
            </w:tcBorders>
            <w:shd w:val="clear" w:color="000000" w:fill="FFFFFF"/>
            <w:noWrap/>
            <w:vAlign w:val="bottom"/>
            <w:hideMark/>
          </w:tcPr>
          <w:p w14:paraId="5CD4EAE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106,4</w:t>
            </w:r>
          </w:p>
        </w:tc>
        <w:tc>
          <w:tcPr>
            <w:tcW w:w="742" w:type="dxa"/>
            <w:tcBorders>
              <w:top w:val="nil"/>
              <w:left w:val="nil"/>
              <w:bottom w:val="nil"/>
              <w:right w:val="nil"/>
            </w:tcBorders>
            <w:shd w:val="clear" w:color="000000" w:fill="FFFFFF"/>
            <w:noWrap/>
            <w:vAlign w:val="bottom"/>
            <w:hideMark/>
          </w:tcPr>
          <w:p w14:paraId="6F447C3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109,3</w:t>
            </w:r>
          </w:p>
        </w:tc>
        <w:tc>
          <w:tcPr>
            <w:tcW w:w="659" w:type="dxa"/>
            <w:tcBorders>
              <w:top w:val="nil"/>
              <w:left w:val="nil"/>
              <w:bottom w:val="nil"/>
              <w:right w:val="nil"/>
            </w:tcBorders>
            <w:shd w:val="clear" w:color="000000" w:fill="FFFFFF"/>
            <w:noWrap/>
            <w:vAlign w:val="bottom"/>
            <w:hideMark/>
          </w:tcPr>
          <w:p w14:paraId="315EB4E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114,2</w:t>
            </w:r>
          </w:p>
        </w:tc>
        <w:tc>
          <w:tcPr>
            <w:tcW w:w="659" w:type="dxa"/>
            <w:tcBorders>
              <w:top w:val="nil"/>
              <w:left w:val="nil"/>
              <w:bottom w:val="nil"/>
              <w:right w:val="nil"/>
            </w:tcBorders>
            <w:shd w:val="clear" w:color="000000" w:fill="FFFFFF"/>
            <w:noWrap/>
            <w:vAlign w:val="bottom"/>
            <w:hideMark/>
          </w:tcPr>
          <w:p w14:paraId="194E06A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112,2</w:t>
            </w:r>
          </w:p>
        </w:tc>
      </w:tr>
      <w:tr w:rsidR="0008288A" w:rsidRPr="0008288A" w14:paraId="26CFE02A" w14:textId="77777777" w:rsidTr="0008288A">
        <w:trPr>
          <w:trHeight w:val="448"/>
        </w:trPr>
        <w:tc>
          <w:tcPr>
            <w:tcW w:w="2895" w:type="dxa"/>
            <w:tcBorders>
              <w:top w:val="nil"/>
              <w:left w:val="nil"/>
              <w:bottom w:val="nil"/>
              <w:right w:val="nil"/>
            </w:tcBorders>
            <w:shd w:val="clear" w:color="000000" w:fill="FFFFFF"/>
            <w:vAlign w:val="bottom"/>
            <w:hideMark/>
          </w:tcPr>
          <w:p w14:paraId="167AF127"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 xml:space="preserve">  Herav:avkastning på forsikringskrav</w:t>
            </w:r>
          </w:p>
        </w:tc>
        <w:tc>
          <w:tcPr>
            <w:tcW w:w="660" w:type="dxa"/>
            <w:tcBorders>
              <w:top w:val="nil"/>
              <w:left w:val="nil"/>
              <w:bottom w:val="nil"/>
              <w:right w:val="nil"/>
            </w:tcBorders>
            <w:shd w:val="clear" w:color="000000" w:fill="FFFFFF"/>
            <w:noWrap/>
            <w:vAlign w:val="bottom"/>
            <w:hideMark/>
          </w:tcPr>
          <w:p w14:paraId="058215B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26,3</w:t>
            </w:r>
          </w:p>
        </w:tc>
        <w:tc>
          <w:tcPr>
            <w:tcW w:w="660" w:type="dxa"/>
            <w:tcBorders>
              <w:top w:val="nil"/>
              <w:left w:val="nil"/>
              <w:bottom w:val="nil"/>
              <w:right w:val="nil"/>
            </w:tcBorders>
            <w:shd w:val="clear" w:color="000000" w:fill="FFFFFF"/>
            <w:noWrap/>
            <w:vAlign w:val="bottom"/>
            <w:hideMark/>
          </w:tcPr>
          <w:p w14:paraId="6A8828A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31,1</w:t>
            </w:r>
          </w:p>
        </w:tc>
        <w:tc>
          <w:tcPr>
            <w:tcW w:w="659" w:type="dxa"/>
            <w:tcBorders>
              <w:top w:val="nil"/>
              <w:left w:val="nil"/>
              <w:bottom w:val="nil"/>
              <w:right w:val="nil"/>
            </w:tcBorders>
            <w:shd w:val="clear" w:color="000000" w:fill="FFFFFF"/>
            <w:noWrap/>
            <w:vAlign w:val="bottom"/>
            <w:hideMark/>
          </w:tcPr>
          <w:p w14:paraId="048C95B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36,0</w:t>
            </w:r>
          </w:p>
        </w:tc>
        <w:tc>
          <w:tcPr>
            <w:tcW w:w="659" w:type="dxa"/>
            <w:tcBorders>
              <w:top w:val="nil"/>
              <w:left w:val="nil"/>
              <w:bottom w:val="nil"/>
              <w:right w:val="nil"/>
            </w:tcBorders>
            <w:shd w:val="clear" w:color="000000" w:fill="FFFFFF"/>
            <w:noWrap/>
            <w:vAlign w:val="bottom"/>
            <w:hideMark/>
          </w:tcPr>
          <w:p w14:paraId="205766E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32,7</w:t>
            </w:r>
          </w:p>
        </w:tc>
        <w:tc>
          <w:tcPr>
            <w:tcW w:w="659" w:type="dxa"/>
            <w:tcBorders>
              <w:top w:val="nil"/>
              <w:left w:val="nil"/>
              <w:bottom w:val="nil"/>
              <w:right w:val="nil"/>
            </w:tcBorders>
            <w:shd w:val="clear" w:color="000000" w:fill="FFFFFF"/>
            <w:noWrap/>
            <w:vAlign w:val="bottom"/>
            <w:hideMark/>
          </w:tcPr>
          <w:p w14:paraId="5414010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38,0</w:t>
            </w:r>
          </w:p>
        </w:tc>
        <w:tc>
          <w:tcPr>
            <w:tcW w:w="659" w:type="dxa"/>
            <w:tcBorders>
              <w:top w:val="nil"/>
              <w:left w:val="nil"/>
              <w:bottom w:val="nil"/>
              <w:right w:val="nil"/>
            </w:tcBorders>
            <w:shd w:val="clear" w:color="000000" w:fill="FFFFFF"/>
            <w:noWrap/>
            <w:vAlign w:val="bottom"/>
            <w:hideMark/>
          </w:tcPr>
          <w:p w14:paraId="1E77C069"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40,9</w:t>
            </w:r>
          </w:p>
        </w:tc>
        <w:tc>
          <w:tcPr>
            <w:tcW w:w="742" w:type="dxa"/>
            <w:tcBorders>
              <w:top w:val="nil"/>
              <w:left w:val="nil"/>
              <w:bottom w:val="nil"/>
              <w:right w:val="nil"/>
            </w:tcBorders>
            <w:shd w:val="clear" w:color="000000" w:fill="FFFFFF"/>
            <w:noWrap/>
            <w:vAlign w:val="bottom"/>
            <w:hideMark/>
          </w:tcPr>
          <w:p w14:paraId="731D3A5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42,5</w:t>
            </w:r>
          </w:p>
        </w:tc>
        <w:tc>
          <w:tcPr>
            <w:tcW w:w="742" w:type="dxa"/>
            <w:tcBorders>
              <w:top w:val="nil"/>
              <w:left w:val="nil"/>
              <w:bottom w:val="nil"/>
              <w:right w:val="nil"/>
            </w:tcBorders>
            <w:shd w:val="clear" w:color="000000" w:fill="FFFFFF"/>
            <w:noWrap/>
            <w:vAlign w:val="bottom"/>
            <w:hideMark/>
          </w:tcPr>
          <w:p w14:paraId="4353C5F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41,9</w:t>
            </w:r>
          </w:p>
        </w:tc>
        <w:tc>
          <w:tcPr>
            <w:tcW w:w="659" w:type="dxa"/>
            <w:tcBorders>
              <w:top w:val="nil"/>
              <w:left w:val="nil"/>
              <w:bottom w:val="nil"/>
              <w:right w:val="nil"/>
            </w:tcBorders>
            <w:shd w:val="clear" w:color="000000" w:fill="FFFFFF"/>
            <w:noWrap/>
            <w:vAlign w:val="bottom"/>
            <w:hideMark/>
          </w:tcPr>
          <w:p w14:paraId="7FDD7A2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43,9</w:t>
            </w:r>
          </w:p>
        </w:tc>
        <w:tc>
          <w:tcPr>
            <w:tcW w:w="659" w:type="dxa"/>
            <w:tcBorders>
              <w:top w:val="nil"/>
              <w:left w:val="nil"/>
              <w:bottom w:val="nil"/>
              <w:right w:val="nil"/>
            </w:tcBorders>
            <w:shd w:val="clear" w:color="000000" w:fill="FFFFFF"/>
            <w:noWrap/>
            <w:vAlign w:val="bottom"/>
            <w:hideMark/>
          </w:tcPr>
          <w:p w14:paraId="6EA40E9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51,2</w:t>
            </w:r>
          </w:p>
        </w:tc>
      </w:tr>
      <w:tr w:rsidR="0008288A" w:rsidRPr="0008288A" w14:paraId="56421927" w14:textId="77777777" w:rsidTr="0008288A">
        <w:trPr>
          <w:trHeight w:val="254"/>
        </w:trPr>
        <w:tc>
          <w:tcPr>
            <w:tcW w:w="2895" w:type="dxa"/>
            <w:tcBorders>
              <w:top w:val="nil"/>
              <w:left w:val="nil"/>
              <w:bottom w:val="nil"/>
              <w:right w:val="nil"/>
            </w:tcBorders>
            <w:shd w:val="clear" w:color="000000" w:fill="FFFFFF"/>
            <w:noWrap/>
            <w:vAlign w:val="bottom"/>
            <w:hideMark/>
          </w:tcPr>
          <w:p w14:paraId="0FD77F1B"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 xml:space="preserve">  Herav: Mottatt aksjeutbytte</w:t>
            </w:r>
          </w:p>
        </w:tc>
        <w:tc>
          <w:tcPr>
            <w:tcW w:w="660" w:type="dxa"/>
            <w:tcBorders>
              <w:top w:val="nil"/>
              <w:left w:val="nil"/>
              <w:bottom w:val="nil"/>
              <w:right w:val="nil"/>
            </w:tcBorders>
            <w:shd w:val="clear" w:color="000000" w:fill="FFFFFF"/>
            <w:noWrap/>
            <w:vAlign w:val="bottom"/>
            <w:hideMark/>
          </w:tcPr>
          <w:p w14:paraId="5933EC19"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7,5</w:t>
            </w:r>
          </w:p>
        </w:tc>
        <w:tc>
          <w:tcPr>
            <w:tcW w:w="660" w:type="dxa"/>
            <w:tcBorders>
              <w:top w:val="nil"/>
              <w:left w:val="nil"/>
              <w:bottom w:val="nil"/>
              <w:right w:val="nil"/>
            </w:tcBorders>
            <w:shd w:val="clear" w:color="000000" w:fill="FFFFFF"/>
            <w:noWrap/>
            <w:vAlign w:val="bottom"/>
            <w:hideMark/>
          </w:tcPr>
          <w:p w14:paraId="37F56B40"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17,5</w:t>
            </w:r>
          </w:p>
        </w:tc>
        <w:tc>
          <w:tcPr>
            <w:tcW w:w="659" w:type="dxa"/>
            <w:tcBorders>
              <w:top w:val="nil"/>
              <w:left w:val="nil"/>
              <w:bottom w:val="nil"/>
              <w:right w:val="nil"/>
            </w:tcBorders>
            <w:shd w:val="clear" w:color="000000" w:fill="FFFFFF"/>
            <w:noWrap/>
            <w:vAlign w:val="bottom"/>
            <w:hideMark/>
          </w:tcPr>
          <w:p w14:paraId="5D204CD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25,3</w:t>
            </w:r>
          </w:p>
        </w:tc>
        <w:tc>
          <w:tcPr>
            <w:tcW w:w="659" w:type="dxa"/>
            <w:tcBorders>
              <w:top w:val="nil"/>
              <w:left w:val="nil"/>
              <w:bottom w:val="nil"/>
              <w:right w:val="nil"/>
            </w:tcBorders>
            <w:shd w:val="clear" w:color="000000" w:fill="FFFFFF"/>
            <w:noWrap/>
            <w:vAlign w:val="bottom"/>
            <w:hideMark/>
          </w:tcPr>
          <w:p w14:paraId="3B31B99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24,9</w:t>
            </w:r>
          </w:p>
        </w:tc>
        <w:tc>
          <w:tcPr>
            <w:tcW w:w="659" w:type="dxa"/>
            <w:tcBorders>
              <w:top w:val="nil"/>
              <w:left w:val="nil"/>
              <w:bottom w:val="nil"/>
              <w:right w:val="nil"/>
            </w:tcBorders>
            <w:shd w:val="clear" w:color="000000" w:fill="FFFFFF"/>
            <w:noWrap/>
            <w:vAlign w:val="bottom"/>
            <w:hideMark/>
          </w:tcPr>
          <w:p w14:paraId="7DA9A0A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30,6</w:t>
            </w:r>
          </w:p>
        </w:tc>
        <w:tc>
          <w:tcPr>
            <w:tcW w:w="659" w:type="dxa"/>
            <w:tcBorders>
              <w:top w:val="nil"/>
              <w:left w:val="nil"/>
              <w:bottom w:val="nil"/>
              <w:right w:val="nil"/>
            </w:tcBorders>
            <w:shd w:val="clear" w:color="000000" w:fill="FFFFFF"/>
            <w:noWrap/>
            <w:vAlign w:val="bottom"/>
            <w:hideMark/>
          </w:tcPr>
          <w:p w14:paraId="6F844B5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32,1</w:t>
            </w:r>
          </w:p>
        </w:tc>
        <w:tc>
          <w:tcPr>
            <w:tcW w:w="742" w:type="dxa"/>
            <w:tcBorders>
              <w:top w:val="nil"/>
              <w:left w:val="nil"/>
              <w:bottom w:val="nil"/>
              <w:right w:val="nil"/>
            </w:tcBorders>
            <w:shd w:val="clear" w:color="000000" w:fill="FFFFFF"/>
            <w:noWrap/>
            <w:vAlign w:val="bottom"/>
            <w:hideMark/>
          </w:tcPr>
          <w:p w14:paraId="414AC5A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34,5</w:t>
            </w:r>
          </w:p>
        </w:tc>
        <w:tc>
          <w:tcPr>
            <w:tcW w:w="742" w:type="dxa"/>
            <w:tcBorders>
              <w:top w:val="nil"/>
              <w:left w:val="nil"/>
              <w:bottom w:val="nil"/>
              <w:right w:val="nil"/>
            </w:tcBorders>
            <w:shd w:val="clear" w:color="000000" w:fill="FFFFFF"/>
            <w:noWrap/>
            <w:vAlign w:val="bottom"/>
            <w:hideMark/>
          </w:tcPr>
          <w:p w14:paraId="6C8EA14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38,1</w:t>
            </w:r>
          </w:p>
        </w:tc>
        <w:tc>
          <w:tcPr>
            <w:tcW w:w="659" w:type="dxa"/>
            <w:tcBorders>
              <w:top w:val="nil"/>
              <w:left w:val="nil"/>
              <w:bottom w:val="nil"/>
              <w:right w:val="nil"/>
            </w:tcBorders>
            <w:shd w:val="clear" w:color="000000" w:fill="FFFFFF"/>
            <w:noWrap/>
            <w:vAlign w:val="bottom"/>
            <w:hideMark/>
          </w:tcPr>
          <w:p w14:paraId="36CD8D9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41,2</w:t>
            </w:r>
          </w:p>
        </w:tc>
        <w:tc>
          <w:tcPr>
            <w:tcW w:w="659" w:type="dxa"/>
            <w:tcBorders>
              <w:top w:val="nil"/>
              <w:left w:val="nil"/>
              <w:bottom w:val="nil"/>
              <w:right w:val="nil"/>
            </w:tcBorders>
            <w:shd w:val="clear" w:color="000000" w:fill="FFFFFF"/>
            <w:noWrap/>
            <w:vAlign w:val="bottom"/>
            <w:hideMark/>
          </w:tcPr>
          <w:p w14:paraId="06BE86B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41,9</w:t>
            </w:r>
          </w:p>
        </w:tc>
      </w:tr>
      <w:tr w:rsidR="0008288A" w:rsidRPr="0008288A" w14:paraId="22A85D55" w14:textId="77777777" w:rsidTr="0008288A">
        <w:trPr>
          <w:trHeight w:val="254"/>
        </w:trPr>
        <w:tc>
          <w:tcPr>
            <w:tcW w:w="2895" w:type="dxa"/>
            <w:tcBorders>
              <w:top w:val="nil"/>
              <w:left w:val="nil"/>
              <w:bottom w:val="nil"/>
              <w:right w:val="nil"/>
            </w:tcBorders>
            <w:shd w:val="clear" w:color="000000" w:fill="FFFFFF"/>
            <w:noWrap/>
            <w:vAlign w:val="bottom"/>
            <w:hideMark/>
          </w:tcPr>
          <w:p w14:paraId="40CBD9BD"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Offentlige stønader</w:t>
            </w:r>
          </w:p>
        </w:tc>
        <w:tc>
          <w:tcPr>
            <w:tcW w:w="660" w:type="dxa"/>
            <w:tcBorders>
              <w:top w:val="nil"/>
              <w:left w:val="nil"/>
              <w:bottom w:val="nil"/>
              <w:right w:val="nil"/>
            </w:tcBorders>
            <w:shd w:val="clear" w:color="000000" w:fill="FFFFFF"/>
            <w:noWrap/>
            <w:vAlign w:val="bottom"/>
            <w:hideMark/>
          </w:tcPr>
          <w:p w14:paraId="676D091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266,9</w:t>
            </w:r>
          </w:p>
        </w:tc>
        <w:tc>
          <w:tcPr>
            <w:tcW w:w="660" w:type="dxa"/>
            <w:tcBorders>
              <w:top w:val="nil"/>
              <w:left w:val="nil"/>
              <w:bottom w:val="nil"/>
              <w:right w:val="nil"/>
            </w:tcBorders>
            <w:shd w:val="clear" w:color="000000" w:fill="FFFFFF"/>
            <w:noWrap/>
            <w:vAlign w:val="bottom"/>
            <w:hideMark/>
          </w:tcPr>
          <w:p w14:paraId="5D01B01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278,5</w:t>
            </w:r>
          </w:p>
        </w:tc>
        <w:tc>
          <w:tcPr>
            <w:tcW w:w="659" w:type="dxa"/>
            <w:tcBorders>
              <w:top w:val="nil"/>
              <w:left w:val="nil"/>
              <w:bottom w:val="nil"/>
              <w:right w:val="nil"/>
            </w:tcBorders>
            <w:shd w:val="clear" w:color="000000" w:fill="FFFFFF"/>
            <w:noWrap/>
            <w:vAlign w:val="bottom"/>
            <w:hideMark/>
          </w:tcPr>
          <w:p w14:paraId="24CE015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298,5</w:t>
            </w:r>
          </w:p>
        </w:tc>
        <w:tc>
          <w:tcPr>
            <w:tcW w:w="659" w:type="dxa"/>
            <w:tcBorders>
              <w:top w:val="nil"/>
              <w:left w:val="nil"/>
              <w:bottom w:val="nil"/>
              <w:right w:val="nil"/>
            </w:tcBorders>
            <w:shd w:val="clear" w:color="000000" w:fill="FFFFFF"/>
            <w:noWrap/>
            <w:vAlign w:val="bottom"/>
            <w:hideMark/>
          </w:tcPr>
          <w:p w14:paraId="0E15E79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324,5</w:t>
            </w:r>
          </w:p>
        </w:tc>
        <w:tc>
          <w:tcPr>
            <w:tcW w:w="659" w:type="dxa"/>
            <w:tcBorders>
              <w:top w:val="nil"/>
              <w:left w:val="nil"/>
              <w:bottom w:val="nil"/>
              <w:right w:val="nil"/>
            </w:tcBorders>
            <w:shd w:val="clear" w:color="000000" w:fill="FFFFFF"/>
            <w:noWrap/>
            <w:vAlign w:val="bottom"/>
            <w:hideMark/>
          </w:tcPr>
          <w:p w14:paraId="7962007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341,6</w:t>
            </w:r>
          </w:p>
        </w:tc>
        <w:tc>
          <w:tcPr>
            <w:tcW w:w="659" w:type="dxa"/>
            <w:tcBorders>
              <w:top w:val="nil"/>
              <w:left w:val="nil"/>
              <w:bottom w:val="nil"/>
              <w:right w:val="nil"/>
            </w:tcBorders>
            <w:shd w:val="clear" w:color="000000" w:fill="FFFFFF"/>
            <w:noWrap/>
            <w:vAlign w:val="bottom"/>
            <w:hideMark/>
          </w:tcPr>
          <w:p w14:paraId="3FB8BE0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359,6</w:t>
            </w:r>
          </w:p>
        </w:tc>
        <w:tc>
          <w:tcPr>
            <w:tcW w:w="742" w:type="dxa"/>
            <w:tcBorders>
              <w:top w:val="nil"/>
              <w:left w:val="nil"/>
              <w:bottom w:val="nil"/>
              <w:right w:val="nil"/>
            </w:tcBorders>
            <w:shd w:val="clear" w:color="000000" w:fill="FFFFFF"/>
            <w:noWrap/>
            <w:vAlign w:val="bottom"/>
            <w:hideMark/>
          </w:tcPr>
          <w:p w14:paraId="2D5FFD6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380,7</w:t>
            </w:r>
          </w:p>
        </w:tc>
        <w:tc>
          <w:tcPr>
            <w:tcW w:w="742" w:type="dxa"/>
            <w:tcBorders>
              <w:top w:val="nil"/>
              <w:left w:val="nil"/>
              <w:bottom w:val="nil"/>
              <w:right w:val="nil"/>
            </w:tcBorders>
            <w:shd w:val="clear" w:color="000000" w:fill="FFFFFF"/>
            <w:noWrap/>
            <w:vAlign w:val="bottom"/>
            <w:hideMark/>
          </w:tcPr>
          <w:p w14:paraId="5689E60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397,6</w:t>
            </w:r>
          </w:p>
        </w:tc>
        <w:tc>
          <w:tcPr>
            <w:tcW w:w="659" w:type="dxa"/>
            <w:tcBorders>
              <w:top w:val="nil"/>
              <w:left w:val="nil"/>
              <w:bottom w:val="nil"/>
              <w:right w:val="nil"/>
            </w:tcBorders>
            <w:shd w:val="clear" w:color="000000" w:fill="FFFFFF"/>
            <w:noWrap/>
            <w:vAlign w:val="bottom"/>
            <w:hideMark/>
          </w:tcPr>
          <w:p w14:paraId="0349C96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422,0</w:t>
            </w:r>
          </w:p>
        </w:tc>
        <w:tc>
          <w:tcPr>
            <w:tcW w:w="659" w:type="dxa"/>
            <w:tcBorders>
              <w:top w:val="nil"/>
              <w:left w:val="nil"/>
              <w:bottom w:val="nil"/>
              <w:right w:val="nil"/>
            </w:tcBorders>
            <w:shd w:val="clear" w:color="000000" w:fill="FFFFFF"/>
            <w:noWrap/>
            <w:vAlign w:val="bottom"/>
            <w:hideMark/>
          </w:tcPr>
          <w:p w14:paraId="40C00C6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451,9</w:t>
            </w:r>
          </w:p>
        </w:tc>
      </w:tr>
      <w:tr w:rsidR="0008288A" w:rsidRPr="0008288A" w14:paraId="0C3AF042" w14:textId="77777777" w:rsidTr="0008288A">
        <w:trPr>
          <w:trHeight w:val="254"/>
        </w:trPr>
        <w:tc>
          <w:tcPr>
            <w:tcW w:w="2895" w:type="dxa"/>
            <w:tcBorders>
              <w:top w:val="nil"/>
              <w:left w:val="nil"/>
              <w:bottom w:val="nil"/>
              <w:right w:val="nil"/>
            </w:tcBorders>
            <w:shd w:val="clear" w:color="000000" w:fill="FFFFFF"/>
            <w:noWrap/>
            <w:vAlign w:val="bottom"/>
            <w:hideMark/>
          </w:tcPr>
          <w:p w14:paraId="301139CE"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Andre inntekter (netto)</w:t>
            </w:r>
          </w:p>
        </w:tc>
        <w:tc>
          <w:tcPr>
            <w:tcW w:w="660" w:type="dxa"/>
            <w:tcBorders>
              <w:top w:val="nil"/>
              <w:left w:val="nil"/>
              <w:bottom w:val="nil"/>
              <w:right w:val="nil"/>
            </w:tcBorders>
            <w:shd w:val="clear" w:color="000000" w:fill="FFFFFF"/>
            <w:noWrap/>
            <w:vAlign w:val="bottom"/>
            <w:hideMark/>
          </w:tcPr>
          <w:p w14:paraId="1FE368F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98,5</w:t>
            </w:r>
          </w:p>
        </w:tc>
        <w:tc>
          <w:tcPr>
            <w:tcW w:w="660" w:type="dxa"/>
            <w:tcBorders>
              <w:top w:val="nil"/>
              <w:left w:val="nil"/>
              <w:bottom w:val="nil"/>
              <w:right w:val="nil"/>
            </w:tcBorders>
            <w:shd w:val="clear" w:color="000000" w:fill="FFFFFF"/>
            <w:noWrap/>
            <w:vAlign w:val="bottom"/>
            <w:hideMark/>
          </w:tcPr>
          <w:p w14:paraId="723E3FA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111,6</w:t>
            </w:r>
          </w:p>
        </w:tc>
        <w:tc>
          <w:tcPr>
            <w:tcW w:w="659" w:type="dxa"/>
            <w:tcBorders>
              <w:top w:val="nil"/>
              <w:left w:val="nil"/>
              <w:bottom w:val="nil"/>
              <w:right w:val="nil"/>
            </w:tcBorders>
            <w:shd w:val="clear" w:color="000000" w:fill="FFFFFF"/>
            <w:noWrap/>
            <w:vAlign w:val="bottom"/>
            <w:hideMark/>
          </w:tcPr>
          <w:p w14:paraId="591D539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110,2</w:t>
            </w:r>
          </w:p>
        </w:tc>
        <w:tc>
          <w:tcPr>
            <w:tcW w:w="659" w:type="dxa"/>
            <w:tcBorders>
              <w:top w:val="nil"/>
              <w:left w:val="nil"/>
              <w:bottom w:val="nil"/>
              <w:right w:val="nil"/>
            </w:tcBorders>
            <w:shd w:val="clear" w:color="000000" w:fill="FFFFFF"/>
            <w:noWrap/>
            <w:vAlign w:val="bottom"/>
            <w:hideMark/>
          </w:tcPr>
          <w:p w14:paraId="551CCB5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127,4</w:t>
            </w:r>
          </w:p>
        </w:tc>
        <w:tc>
          <w:tcPr>
            <w:tcW w:w="659" w:type="dxa"/>
            <w:tcBorders>
              <w:top w:val="nil"/>
              <w:left w:val="nil"/>
              <w:bottom w:val="nil"/>
              <w:right w:val="nil"/>
            </w:tcBorders>
            <w:shd w:val="clear" w:color="000000" w:fill="FFFFFF"/>
            <w:noWrap/>
            <w:vAlign w:val="bottom"/>
            <w:hideMark/>
          </w:tcPr>
          <w:p w14:paraId="4CB2336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122,9</w:t>
            </w:r>
          </w:p>
        </w:tc>
        <w:tc>
          <w:tcPr>
            <w:tcW w:w="659" w:type="dxa"/>
            <w:tcBorders>
              <w:top w:val="nil"/>
              <w:left w:val="nil"/>
              <w:bottom w:val="nil"/>
              <w:right w:val="nil"/>
            </w:tcBorders>
            <w:shd w:val="clear" w:color="000000" w:fill="FFFFFF"/>
            <w:noWrap/>
            <w:vAlign w:val="bottom"/>
            <w:hideMark/>
          </w:tcPr>
          <w:p w14:paraId="6B6BE6D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128,3</w:t>
            </w:r>
          </w:p>
        </w:tc>
        <w:tc>
          <w:tcPr>
            <w:tcW w:w="742" w:type="dxa"/>
            <w:tcBorders>
              <w:top w:val="nil"/>
              <w:left w:val="nil"/>
              <w:bottom w:val="nil"/>
              <w:right w:val="nil"/>
            </w:tcBorders>
            <w:shd w:val="clear" w:color="000000" w:fill="FFFFFF"/>
            <w:noWrap/>
            <w:vAlign w:val="bottom"/>
            <w:hideMark/>
          </w:tcPr>
          <w:p w14:paraId="2583A4D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136,1</w:t>
            </w:r>
          </w:p>
        </w:tc>
        <w:tc>
          <w:tcPr>
            <w:tcW w:w="742" w:type="dxa"/>
            <w:tcBorders>
              <w:top w:val="nil"/>
              <w:left w:val="nil"/>
              <w:bottom w:val="nil"/>
              <w:right w:val="nil"/>
            </w:tcBorders>
            <w:shd w:val="clear" w:color="000000" w:fill="FFFFFF"/>
            <w:noWrap/>
            <w:vAlign w:val="bottom"/>
            <w:hideMark/>
          </w:tcPr>
          <w:p w14:paraId="4656B02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154,0</w:t>
            </w:r>
          </w:p>
        </w:tc>
        <w:tc>
          <w:tcPr>
            <w:tcW w:w="659" w:type="dxa"/>
            <w:tcBorders>
              <w:top w:val="nil"/>
              <w:left w:val="nil"/>
              <w:bottom w:val="nil"/>
              <w:right w:val="nil"/>
            </w:tcBorders>
            <w:shd w:val="clear" w:color="000000" w:fill="FFFFFF"/>
            <w:noWrap/>
            <w:vAlign w:val="bottom"/>
            <w:hideMark/>
          </w:tcPr>
          <w:p w14:paraId="06B1AEC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157,9</w:t>
            </w:r>
          </w:p>
        </w:tc>
        <w:tc>
          <w:tcPr>
            <w:tcW w:w="659" w:type="dxa"/>
            <w:tcBorders>
              <w:top w:val="nil"/>
              <w:left w:val="nil"/>
              <w:bottom w:val="nil"/>
              <w:right w:val="nil"/>
            </w:tcBorders>
            <w:shd w:val="clear" w:color="000000" w:fill="FFFFFF"/>
            <w:noWrap/>
            <w:vAlign w:val="bottom"/>
            <w:hideMark/>
          </w:tcPr>
          <w:p w14:paraId="698AC88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160,5</w:t>
            </w:r>
          </w:p>
        </w:tc>
      </w:tr>
      <w:tr w:rsidR="0008288A" w:rsidRPr="0008288A" w14:paraId="2E4D7015" w14:textId="77777777" w:rsidTr="0008288A">
        <w:trPr>
          <w:trHeight w:val="254"/>
        </w:trPr>
        <w:tc>
          <w:tcPr>
            <w:tcW w:w="2895" w:type="dxa"/>
            <w:tcBorders>
              <w:top w:val="nil"/>
              <w:left w:val="nil"/>
              <w:bottom w:val="nil"/>
              <w:right w:val="nil"/>
            </w:tcBorders>
            <w:shd w:val="clear" w:color="000000" w:fill="FFFFFF"/>
            <w:noWrap/>
            <w:vAlign w:val="bottom"/>
            <w:hideMark/>
          </w:tcPr>
          <w:p w14:paraId="2BF756DA"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60" w:type="dxa"/>
            <w:tcBorders>
              <w:top w:val="nil"/>
              <w:left w:val="nil"/>
              <w:bottom w:val="nil"/>
              <w:right w:val="nil"/>
            </w:tcBorders>
            <w:shd w:val="clear" w:color="000000" w:fill="FFFFFF"/>
            <w:noWrap/>
            <w:vAlign w:val="bottom"/>
            <w:hideMark/>
          </w:tcPr>
          <w:p w14:paraId="4ACBBA44"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60" w:type="dxa"/>
            <w:tcBorders>
              <w:top w:val="nil"/>
              <w:left w:val="nil"/>
              <w:bottom w:val="nil"/>
              <w:right w:val="nil"/>
            </w:tcBorders>
            <w:shd w:val="clear" w:color="000000" w:fill="FFFFFF"/>
            <w:noWrap/>
            <w:vAlign w:val="bottom"/>
            <w:hideMark/>
          </w:tcPr>
          <w:p w14:paraId="04B5B114"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4956EEBB"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27116B0E"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6244B9DF"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019B8C4A"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742" w:type="dxa"/>
            <w:tcBorders>
              <w:top w:val="nil"/>
              <w:left w:val="nil"/>
              <w:bottom w:val="nil"/>
              <w:right w:val="nil"/>
            </w:tcBorders>
            <w:shd w:val="clear" w:color="000000" w:fill="FFFFFF"/>
            <w:noWrap/>
            <w:vAlign w:val="bottom"/>
            <w:hideMark/>
          </w:tcPr>
          <w:p w14:paraId="4761920E"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742" w:type="dxa"/>
            <w:tcBorders>
              <w:top w:val="nil"/>
              <w:left w:val="nil"/>
              <w:bottom w:val="nil"/>
              <w:right w:val="nil"/>
            </w:tcBorders>
            <w:shd w:val="clear" w:color="000000" w:fill="FFFFFF"/>
            <w:noWrap/>
            <w:vAlign w:val="bottom"/>
            <w:hideMark/>
          </w:tcPr>
          <w:p w14:paraId="052CEC25"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276C0A34"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76D040A8"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r>
      <w:tr w:rsidR="0008288A" w:rsidRPr="0008288A" w14:paraId="1BBC0192" w14:textId="77777777" w:rsidTr="0008288A">
        <w:trPr>
          <w:trHeight w:val="254"/>
        </w:trPr>
        <w:tc>
          <w:tcPr>
            <w:tcW w:w="2895" w:type="dxa"/>
            <w:tcBorders>
              <w:top w:val="nil"/>
              <w:left w:val="nil"/>
              <w:bottom w:val="nil"/>
              <w:right w:val="nil"/>
            </w:tcBorders>
            <w:shd w:val="clear" w:color="000000" w:fill="FFFFFF"/>
            <w:noWrap/>
            <w:vAlign w:val="bottom"/>
            <w:hideMark/>
          </w:tcPr>
          <w:p w14:paraId="6BD1A3A0"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Utgifter:</w:t>
            </w:r>
          </w:p>
        </w:tc>
        <w:tc>
          <w:tcPr>
            <w:tcW w:w="660" w:type="dxa"/>
            <w:tcBorders>
              <w:top w:val="nil"/>
              <w:left w:val="nil"/>
              <w:bottom w:val="nil"/>
              <w:right w:val="nil"/>
            </w:tcBorders>
            <w:shd w:val="clear" w:color="000000" w:fill="FFFFFF"/>
            <w:noWrap/>
            <w:vAlign w:val="bottom"/>
            <w:hideMark/>
          </w:tcPr>
          <w:p w14:paraId="647F34B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466,0</w:t>
            </w:r>
          </w:p>
        </w:tc>
        <w:tc>
          <w:tcPr>
            <w:tcW w:w="660" w:type="dxa"/>
            <w:tcBorders>
              <w:top w:val="nil"/>
              <w:left w:val="nil"/>
              <w:bottom w:val="nil"/>
              <w:right w:val="nil"/>
            </w:tcBorders>
            <w:shd w:val="clear" w:color="000000" w:fill="FFFFFF"/>
            <w:noWrap/>
            <w:vAlign w:val="bottom"/>
            <w:hideMark/>
          </w:tcPr>
          <w:p w14:paraId="7F158F5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536,6</w:t>
            </w:r>
          </w:p>
        </w:tc>
        <w:tc>
          <w:tcPr>
            <w:tcW w:w="659" w:type="dxa"/>
            <w:tcBorders>
              <w:top w:val="nil"/>
              <w:left w:val="nil"/>
              <w:bottom w:val="nil"/>
              <w:right w:val="nil"/>
            </w:tcBorders>
            <w:shd w:val="clear" w:color="000000" w:fill="FFFFFF"/>
            <w:noWrap/>
            <w:vAlign w:val="bottom"/>
            <w:hideMark/>
          </w:tcPr>
          <w:p w14:paraId="7929E8E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603,3</w:t>
            </w:r>
          </w:p>
        </w:tc>
        <w:tc>
          <w:tcPr>
            <w:tcW w:w="659" w:type="dxa"/>
            <w:tcBorders>
              <w:top w:val="nil"/>
              <w:left w:val="nil"/>
              <w:bottom w:val="nil"/>
              <w:right w:val="nil"/>
            </w:tcBorders>
            <w:shd w:val="clear" w:color="000000" w:fill="FFFFFF"/>
            <w:noWrap/>
            <w:vAlign w:val="bottom"/>
            <w:hideMark/>
          </w:tcPr>
          <w:p w14:paraId="57D8EB8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587,6</w:t>
            </w:r>
          </w:p>
        </w:tc>
        <w:tc>
          <w:tcPr>
            <w:tcW w:w="659" w:type="dxa"/>
            <w:tcBorders>
              <w:top w:val="nil"/>
              <w:left w:val="nil"/>
              <w:bottom w:val="nil"/>
              <w:right w:val="nil"/>
            </w:tcBorders>
            <w:shd w:val="clear" w:color="000000" w:fill="FFFFFF"/>
            <w:noWrap/>
            <w:vAlign w:val="bottom"/>
            <w:hideMark/>
          </w:tcPr>
          <w:p w14:paraId="37CFFBB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608,2</w:t>
            </w:r>
          </w:p>
        </w:tc>
        <w:tc>
          <w:tcPr>
            <w:tcW w:w="659" w:type="dxa"/>
            <w:tcBorders>
              <w:top w:val="nil"/>
              <w:left w:val="nil"/>
              <w:bottom w:val="nil"/>
              <w:right w:val="nil"/>
            </w:tcBorders>
            <w:shd w:val="clear" w:color="000000" w:fill="FFFFFF"/>
            <w:noWrap/>
            <w:vAlign w:val="bottom"/>
            <w:hideMark/>
          </w:tcPr>
          <w:p w14:paraId="40F7C63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648,9</w:t>
            </w:r>
          </w:p>
        </w:tc>
        <w:tc>
          <w:tcPr>
            <w:tcW w:w="742" w:type="dxa"/>
            <w:tcBorders>
              <w:top w:val="nil"/>
              <w:left w:val="nil"/>
              <w:bottom w:val="nil"/>
              <w:right w:val="nil"/>
            </w:tcBorders>
            <w:shd w:val="clear" w:color="000000" w:fill="FFFFFF"/>
            <w:noWrap/>
            <w:vAlign w:val="bottom"/>
            <w:hideMark/>
          </w:tcPr>
          <w:p w14:paraId="7C7BEAB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696,0</w:t>
            </w:r>
          </w:p>
        </w:tc>
        <w:tc>
          <w:tcPr>
            <w:tcW w:w="742" w:type="dxa"/>
            <w:tcBorders>
              <w:top w:val="nil"/>
              <w:left w:val="nil"/>
              <w:bottom w:val="nil"/>
              <w:right w:val="nil"/>
            </w:tcBorders>
            <w:shd w:val="clear" w:color="000000" w:fill="FFFFFF"/>
            <w:noWrap/>
            <w:vAlign w:val="bottom"/>
            <w:hideMark/>
          </w:tcPr>
          <w:p w14:paraId="38E789C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733,0</w:t>
            </w:r>
          </w:p>
        </w:tc>
        <w:tc>
          <w:tcPr>
            <w:tcW w:w="659" w:type="dxa"/>
            <w:tcBorders>
              <w:top w:val="nil"/>
              <w:left w:val="nil"/>
              <w:bottom w:val="nil"/>
              <w:right w:val="nil"/>
            </w:tcBorders>
            <w:shd w:val="clear" w:color="000000" w:fill="FFFFFF"/>
            <w:noWrap/>
            <w:vAlign w:val="bottom"/>
            <w:hideMark/>
          </w:tcPr>
          <w:p w14:paraId="259D6C57"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760,3</w:t>
            </w:r>
          </w:p>
        </w:tc>
        <w:tc>
          <w:tcPr>
            <w:tcW w:w="659" w:type="dxa"/>
            <w:tcBorders>
              <w:top w:val="nil"/>
              <w:left w:val="nil"/>
              <w:bottom w:val="nil"/>
              <w:right w:val="nil"/>
            </w:tcBorders>
            <w:shd w:val="clear" w:color="000000" w:fill="FFFFFF"/>
            <w:noWrap/>
            <w:vAlign w:val="bottom"/>
            <w:hideMark/>
          </w:tcPr>
          <w:p w14:paraId="2351FF4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776,3</w:t>
            </w:r>
          </w:p>
        </w:tc>
      </w:tr>
      <w:tr w:rsidR="0008288A" w:rsidRPr="0008288A" w14:paraId="00EAE78D" w14:textId="77777777" w:rsidTr="0008288A">
        <w:trPr>
          <w:trHeight w:val="254"/>
        </w:trPr>
        <w:tc>
          <w:tcPr>
            <w:tcW w:w="2895" w:type="dxa"/>
            <w:tcBorders>
              <w:top w:val="nil"/>
              <w:left w:val="nil"/>
              <w:bottom w:val="nil"/>
              <w:right w:val="nil"/>
            </w:tcBorders>
            <w:shd w:val="clear" w:color="000000" w:fill="FFFFFF"/>
            <w:noWrap/>
            <w:vAlign w:val="bottom"/>
            <w:hideMark/>
          </w:tcPr>
          <w:p w14:paraId="1694F44A"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Skatt på inntekt og formue</w:t>
            </w:r>
          </w:p>
        </w:tc>
        <w:tc>
          <w:tcPr>
            <w:tcW w:w="660" w:type="dxa"/>
            <w:tcBorders>
              <w:top w:val="nil"/>
              <w:left w:val="nil"/>
              <w:bottom w:val="nil"/>
              <w:right w:val="nil"/>
            </w:tcBorders>
            <w:shd w:val="clear" w:color="000000" w:fill="FFFFFF"/>
            <w:noWrap/>
            <w:vAlign w:val="bottom"/>
            <w:hideMark/>
          </w:tcPr>
          <w:p w14:paraId="6B6C81D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400,9</w:t>
            </w:r>
          </w:p>
        </w:tc>
        <w:tc>
          <w:tcPr>
            <w:tcW w:w="660" w:type="dxa"/>
            <w:tcBorders>
              <w:top w:val="nil"/>
              <w:left w:val="nil"/>
              <w:bottom w:val="nil"/>
              <w:right w:val="nil"/>
            </w:tcBorders>
            <w:shd w:val="clear" w:color="000000" w:fill="FFFFFF"/>
            <w:noWrap/>
            <w:vAlign w:val="bottom"/>
            <w:hideMark/>
          </w:tcPr>
          <w:p w14:paraId="3CBDEF7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442,6</w:t>
            </w:r>
          </w:p>
        </w:tc>
        <w:tc>
          <w:tcPr>
            <w:tcW w:w="659" w:type="dxa"/>
            <w:tcBorders>
              <w:top w:val="nil"/>
              <w:left w:val="nil"/>
              <w:bottom w:val="nil"/>
              <w:right w:val="nil"/>
            </w:tcBorders>
            <w:shd w:val="clear" w:color="000000" w:fill="FFFFFF"/>
            <w:noWrap/>
            <w:vAlign w:val="bottom"/>
            <w:hideMark/>
          </w:tcPr>
          <w:p w14:paraId="5D98AAD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474,3</w:t>
            </w:r>
          </w:p>
        </w:tc>
        <w:tc>
          <w:tcPr>
            <w:tcW w:w="659" w:type="dxa"/>
            <w:tcBorders>
              <w:top w:val="nil"/>
              <w:left w:val="nil"/>
              <w:bottom w:val="nil"/>
              <w:right w:val="nil"/>
            </w:tcBorders>
            <w:shd w:val="clear" w:color="000000" w:fill="FFFFFF"/>
            <w:noWrap/>
            <w:vAlign w:val="bottom"/>
            <w:hideMark/>
          </w:tcPr>
          <w:p w14:paraId="44DE77D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493,9</w:t>
            </w:r>
          </w:p>
        </w:tc>
        <w:tc>
          <w:tcPr>
            <w:tcW w:w="659" w:type="dxa"/>
            <w:tcBorders>
              <w:top w:val="nil"/>
              <w:left w:val="nil"/>
              <w:bottom w:val="nil"/>
              <w:right w:val="nil"/>
            </w:tcBorders>
            <w:shd w:val="clear" w:color="000000" w:fill="FFFFFF"/>
            <w:noWrap/>
            <w:vAlign w:val="bottom"/>
            <w:hideMark/>
          </w:tcPr>
          <w:p w14:paraId="25A8FB8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519,5</w:t>
            </w:r>
          </w:p>
        </w:tc>
        <w:tc>
          <w:tcPr>
            <w:tcW w:w="659" w:type="dxa"/>
            <w:tcBorders>
              <w:top w:val="nil"/>
              <w:left w:val="nil"/>
              <w:bottom w:val="nil"/>
              <w:right w:val="nil"/>
            </w:tcBorders>
            <w:shd w:val="clear" w:color="000000" w:fill="FFFFFF"/>
            <w:noWrap/>
            <w:vAlign w:val="bottom"/>
            <w:hideMark/>
          </w:tcPr>
          <w:p w14:paraId="5EC6444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551,3</w:t>
            </w:r>
          </w:p>
        </w:tc>
        <w:tc>
          <w:tcPr>
            <w:tcW w:w="742" w:type="dxa"/>
            <w:tcBorders>
              <w:top w:val="nil"/>
              <w:left w:val="nil"/>
              <w:bottom w:val="nil"/>
              <w:right w:val="nil"/>
            </w:tcBorders>
            <w:shd w:val="clear" w:color="000000" w:fill="FFFFFF"/>
            <w:noWrap/>
            <w:vAlign w:val="bottom"/>
            <w:hideMark/>
          </w:tcPr>
          <w:p w14:paraId="77356620"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586,7</w:t>
            </w:r>
          </w:p>
        </w:tc>
        <w:tc>
          <w:tcPr>
            <w:tcW w:w="742" w:type="dxa"/>
            <w:tcBorders>
              <w:top w:val="nil"/>
              <w:left w:val="nil"/>
              <w:bottom w:val="nil"/>
              <w:right w:val="nil"/>
            </w:tcBorders>
            <w:shd w:val="clear" w:color="000000" w:fill="FFFFFF"/>
            <w:noWrap/>
            <w:vAlign w:val="bottom"/>
            <w:hideMark/>
          </w:tcPr>
          <w:p w14:paraId="569BC4C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619,2</w:t>
            </w:r>
          </w:p>
        </w:tc>
        <w:tc>
          <w:tcPr>
            <w:tcW w:w="659" w:type="dxa"/>
            <w:tcBorders>
              <w:top w:val="nil"/>
              <w:left w:val="nil"/>
              <w:bottom w:val="nil"/>
              <w:right w:val="nil"/>
            </w:tcBorders>
            <w:shd w:val="clear" w:color="000000" w:fill="FFFFFF"/>
            <w:noWrap/>
            <w:vAlign w:val="bottom"/>
            <w:hideMark/>
          </w:tcPr>
          <w:p w14:paraId="30D8B02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644,8</w:t>
            </w:r>
          </w:p>
        </w:tc>
        <w:tc>
          <w:tcPr>
            <w:tcW w:w="659" w:type="dxa"/>
            <w:tcBorders>
              <w:top w:val="nil"/>
              <w:left w:val="nil"/>
              <w:bottom w:val="nil"/>
              <w:right w:val="nil"/>
            </w:tcBorders>
            <w:shd w:val="clear" w:color="000000" w:fill="FFFFFF"/>
            <w:noWrap/>
            <w:vAlign w:val="bottom"/>
            <w:hideMark/>
          </w:tcPr>
          <w:p w14:paraId="03EB9CC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674,6</w:t>
            </w:r>
          </w:p>
        </w:tc>
      </w:tr>
      <w:tr w:rsidR="0008288A" w:rsidRPr="0008288A" w14:paraId="1A70E77C" w14:textId="77777777" w:rsidTr="0008288A">
        <w:trPr>
          <w:trHeight w:val="254"/>
        </w:trPr>
        <w:tc>
          <w:tcPr>
            <w:tcW w:w="2895" w:type="dxa"/>
            <w:tcBorders>
              <w:top w:val="nil"/>
              <w:left w:val="nil"/>
              <w:bottom w:val="nil"/>
              <w:right w:val="nil"/>
            </w:tcBorders>
            <w:shd w:val="clear" w:color="000000" w:fill="FFFFFF"/>
            <w:noWrap/>
            <w:vAlign w:val="bottom"/>
            <w:hideMark/>
          </w:tcPr>
          <w:p w14:paraId="4EC1AA7E"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xml:space="preserve"> Formuesutgifter</w:t>
            </w:r>
          </w:p>
        </w:tc>
        <w:tc>
          <w:tcPr>
            <w:tcW w:w="660" w:type="dxa"/>
            <w:tcBorders>
              <w:top w:val="nil"/>
              <w:left w:val="nil"/>
              <w:bottom w:val="nil"/>
              <w:right w:val="nil"/>
            </w:tcBorders>
            <w:shd w:val="clear" w:color="000000" w:fill="FFFFFF"/>
            <w:noWrap/>
            <w:vAlign w:val="bottom"/>
            <w:hideMark/>
          </w:tcPr>
          <w:p w14:paraId="76B68C4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65,1</w:t>
            </w:r>
          </w:p>
        </w:tc>
        <w:tc>
          <w:tcPr>
            <w:tcW w:w="660" w:type="dxa"/>
            <w:tcBorders>
              <w:top w:val="nil"/>
              <w:left w:val="nil"/>
              <w:bottom w:val="nil"/>
              <w:right w:val="nil"/>
            </w:tcBorders>
            <w:shd w:val="clear" w:color="000000" w:fill="FFFFFF"/>
            <w:noWrap/>
            <w:vAlign w:val="bottom"/>
            <w:hideMark/>
          </w:tcPr>
          <w:p w14:paraId="543133D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94,0</w:t>
            </w:r>
          </w:p>
        </w:tc>
        <w:tc>
          <w:tcPr>
            <w:tcW w:w="659" w:type="dxa"/>
            <w:tcBorders>
              <w:top w:val="nil"/>
              <w:left w:val="nil"/>
              <w:bottom w:val="nil"/>
              <w:right w:val="nil"/>
            </w:tcBorders>
            <w:shd w:val="clear" w:color="000000" w:fill="FFFFFF"/>
            <w:noWrap/>
            <w:vAlign w:val="bottom"/>
            <w:hideMark/>
          </w:tcPr>
          <w:p w14:paraId="7E9DF4F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129,0</w:t>
            </w:r>
          </w:p>
        </w:tc>
        <w:tc>
          <w:tcPr>
            <w:tcW w:w="659" w:type="dxa"/>
            <w:tcBorders>
              <w:top w:val="nil"/>
              <w:left w:val="nil"/>
              <w:bottom w:val="nil"/>
              <w:right w:val="nil"/>
            </w:tcBorders>
            <w:shd w:val="clear" w:color="000000" w:fill="FFFFFF"/>
            <w:noWrap/>
            <w:vAlign w:val="bottom"/>
            <w:hideMark/>
          </w:tcPr>
          <w:p w14:paraId="0CCCE88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93,8</w:t>
            </w:r>
          </w:p>
        </w:tc>
        <w:tc>
          <w:tcPr>
            <w:tcW w:w="659" w:type="dxa"/>
            <w:tcBorders>
              <w:top w:val="nil"/>
              <w:left w:val="nil"/>
              <w:bottom w:val="nil"/>
              <w:right w:val="nil"/>
            </w:tcBorders>
            <w:shd w:val="clear" w:color="000000" w:fill="FFFFFF"/>
            <w:noWrap/>
            <w:vAlign w:val="bottom"/>
            <w:hideMark/>
          </w:tcPr>
          <w:p w14:paraId="2C02444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88,6</w:t>
            </w:r>
          </w:p>
        </w:tc>
        <w:tc>
          <w:tcPr>
            <w:tcW w:w="659" w:type="dxa"/>
            <w:tcBorders>
              <w:top w:val="nil"/>
              <w:left w:val="nil"/>
              <w:bottom w:val="nil"/>
              <w:right w:val="nil"/>
            </w:tcBorders>
            <w:shd w:val="clear" w:color="000000" w:fill="FFFFFF"/>
            <w:noWrap/>
            <w:vAlign w:val="bottom"/>
            <w:hideMark/>
          </w:tcPr>
          <w:p w14:paraId="6E018C6A"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97,6</w:t>
            </w:r>
          </w:p>
        </w:tc>
        <w:tc>
          <w:tcPr>
            <w:tcW w:w="742" w:type="dxa"/>
            <w:tcBorders>
              <w:top w:val="nil"/>
              <w:left w:val="nil"/>
              <w:bottom w:val="nil"/>
              <w:right w:val="nil"/>
            </w:tcBorders>
            <w:shd w:val="clear" w:color="000000" w:fill="FFFFFF"/>
            <w:noWrap/>
            <w:vAlign w:val="bottom"/>
            <w:hideMark/>
          </w:tcPr>
          <w:p w14:paraId="4C74A2B0"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109,3</w:t>
            </w:r>
          </w:p>
        </w:tc>
        <w:tc>
          <w:tcPr>
            <w:tcW w:w="742" w:type="dxa"/>
            <w:tcBorders>
              <w:top w:val="nil"/>
              <w:left w:val="nil"/>
              <w:bottom w:val="nil"/>
              <w:right w:val="nil"/>
            </w:tcBorders>
            <w:shd w:val="clear" w:color="000000" w:fill="FFFFFF"/>
            <w:noWrap/>
            <w:vAlign w:val="bottom"/>
            <w:hideMark/>
          </w:tcPr>
          <w:p w14:paraId="31920E3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113,8</w:t>
            </w:r>
          </w:p>
        </w:tc>
        <w:tc>
          <w:tcPr>
            <w:tcW w:w="659" w:type="dxa"/>
            <w:tcBorders>
              <w:top w:val="nil"/>
              <w:left w:val="nil"/>
              <w:bottom w:val="nil"/>
              <w:right w:val="nil"/>
            </w:tcBorders>
            <w:shd w:val="clear" w:color="000000" w:fill="FFFFFF"/>
            <w:noWrap/>
            <w:vAlign w:val="bottom"/>
            <w:hideMark/>
          </w:tcPr>
          <w:p w14:paraId="4B38D489"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115,5</w:t>
            </w:r>
          </w:p>
        </w:tc>
        <w:tc>
          <w:tcPr>
            <w:tcW w:w="659" w:type="dxa"/>
            <w:tcBorders>
              <w:top w:val="nil"/>
              <w:left w:val="nil"/>
              <w:bottom w:val="nil"/>
              <w:right w:val="nil"/>
            </w:tcBorders>
            <w:shd w:val="clear" w:color="000000" w:fill="FFFFFF"/>
            <w:noWrap/>
            <w:vAlign w:val="bottom"/>
            <w:hideMark/>
          </w:tcPr>
          <w:p w14:paraId="5E3E633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101,8</w:t>
            </w:r>
          </w:p>
        </w:tc>
      </w:tr>
      <w:tr w:rsidR="0008288A" w:rsidRPr="0008288A" w14:paraId="10D6F0BB" w14:textId="77777777" w:rsidTr="0008288A">
        <w:trPr>
          <w:trHeight w:val="254"/>
        </w:trPr>
        <w:tc>
          <w:tcPr>
            <w:tcW w:w="2895" w:type="dxa"/>
            <w:tcBorders>
              <w:top w:val="nil"/>
              <w:left w:val="nil"/>
              <w:bottom w:val="nil"/>
              <w:right w:val="nil"/>
            </w:tcBorders>
            <w:shd w:val="clear" w:color="000000" w:fill="FFFFFF"/>
            <w:noWrap/>
            <w:vAlign w:val="bottom"/>
            <w:hideMark/>
          </w:tcPr>
          <w:p w14:paraId="786D43DB"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60" w:type="dxa"/>
            <w:tcBorders>
              <w:top w:val="nil"/>
              <w:left w:val="nil"/>
              <w:bottom w:val="nil"/>
              <w:right w:val="nil"/>
            </w:tcBorders>
            <w:shd w:val="clear" w:color="000000" w:fill="FFFFFF"/>
            <w:noWrap/>
            <w:vAlign w:val="bottom"/>
            <w:hideMark/>
          </w:tcPr>
          <w:p w14:paraId="12D11129"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60" w:type="dxa"/>
            <w:tcBorders>
              <w:top w:val="nil"/>
              <w:left w:val="nil"/>
              <w:bottom w:val="nil"/>
              <w:right w:val="nil"/>
            </w:tcBorders>
            <w:shd w:val="clear" w:color="000000" w:fill="FFFFFF"/>
            <w:noWrap/>
            <w:vAlign w:val="bottom"/>
            <w:hideMark/>
          </w:tcPr>
          <w:p w14:paraId="798C1B3F"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0EFE396C"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49EDAFB0"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3E79C968"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613065C8"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742" w:type="dxa"/>
            <w:tcBorders>
              <w:top w:val="nil"/>
              <w:left w:val="nil"/>
              <w:bottom w:val="nil"/>
              <w:right w:val="nil"/>
            </w:tcBorders>
            <w:shd w:val="clear" w:color="000000" w:fill="FFFFFF"/>
            <w:noWrap/>
            <w:vAlign w:val="bottom"/>
            <w:hideMark/>
          </w:tcPr>
          <w:p w14:paraId="18BDA30B"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742" w:type="dxa"/>
            <w:tcBorders>
              <w:top w:val="nil"/>
              <w:left w:val="nil"/>
              <w:bottom w:val="nil"/>
              <w:right w:val="nil"/>
            </w:tcBorders>
            <w:shd w:val="clear" w:color="000000" w:fill="FFFFFF"/>
            <w:noWrap/>
            <w:vAlign w:val="bottom"/>
            <w:hideMark/>
          </w:tcPr>
          <w:p w14:paraId="3E249A5D"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1D42B28F"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c>
          <w:tcPr>
            <w:tcW w:w="659" w:type="dxa"/>
            <w:tcBorders>
              <w:top w:val="nil"/>
              <w:left w:val="nil"/>
              <w:bottom w:val="nil"/>
              <w:right w:val="nil"/>
            </w:tcBorders>
            <w:shd w:val="clear" w:color="000000" w:fill="FFFFFF"/>
            <w:noWrap/>
            <w:vAlign w:val="bottom"/>
            <w:hideMark/>
          </w:tcPr>
          <w:p w14:paraId="22C8EA73"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 </w:t>
            </w:r>
          </w:p>
        </w:tc>
      </w:tr>
      <w:tr w:rsidR="0008288A" w:rsidRPr="0008288A" w14:paraId="57268C15" w14:textId="77777777" w:rsidTr="00BE5BD6">
        <w:trPr>
          <w:trHeight w:val="448"/>
        </w:trPr>
        <w:tc>
          <w:tcPr>
            <w:tcW w:w="2895" w:type="dxa"/>
            <w:tcBorders>
              <w:top w:val="nil"/>
              <w:left w:val="nil"/>
              <w:right w:val="nil"/>
            </w:tcBorders>
            <w:shd w:val="clear" w:color="000000" w:fill="FFFFFF"/>
            <w:vAlign w:val="bottom"/>
            <w:hideMark/>
          </w:tcPr>
          <w:p w14:paraId="20DDFD31" w14:textId="77777777" w:rsidR="0008288A" w:rsidRPr="0008288A" w:rsidRDefault="0008288A" w:rsidP="0008288A">
            <w:pPr>
              <w:spacing w:after="0"/>
              <w:rPr>
                <w:rFonts w:ascii="Times New Roman" w:eastAsia="Times New Roman" w:hAnsi="Times New Roman"/>
                <w:i/>
                <w:iCs/>
                <w:sz w:val="18"/>
                <w:szCs w:val="18"/>
              </w:rPr>
            </w:pPr>
            <w:r w:rsidRPr="0008288A">
              <w:rPr>
                <w:rFonts w:ascii="Times New Roman" w:eastAsia="Times New Roman" w:hAnsi="Times New Roman"/>
                <w:i/>
                <w:iCs/>
                <w:sz w:val="18"/>
                <w:szCs w:val="18"/>
              </w:rPr>
              <w:t>Korreksjon for indirekte målte banktjenester</w:t>
            </w:r>
          </w:p>
        </w:tc>
        <w:tc>
          <w:tcPr>
            <w:tcW w:w="660" w:type="dxa"/>
            <w:tcBorders>
              <w:top w:val="nil"/>
              <w:left w:val="nil"/>
              <w:right w:val="nil"/>
            </w:tcBorders>
            <w:shd w:val="clear" w:color="000000" w:fill="FFFFFF"/>
            <w:noWrap/>
            <w:vAlign w:val="bottom"/>
            <w:hideMark/>
          </w:tcPr>
          <w:p w14:paraId="7F4710AC"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31,9</w:t>
            </w:r>
          </w:p>
        </w:tc>
        <w:tc>
          <w:tcPr>
            <w:tcW w:w="660" w:type="dxa"/>
            <w:tcBorders>
              <w:top w:val="nil"/>
              <w:left w:val="nil"/>
              <w:right w:val="nil"/>
            </w:tcBorders>
            <w:shd w:val="clear" w:color="000000" w:fill="FFFFFF"/>
            <w:noWrap/>
            <w:vAlign w:val="bottom"/>
            <w:hideMark/>
          </w:tcPr>
          <w:p w14:paraId="64578873"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31,8</w:t>
            </w:r>
          </w:p>
        </w:tc>
        <w:tc>
          <w:tcPr>
            <w:tcW w:w="659" w:type="dxa"/>
            <w:tcBorders>
              <w:top w:val="nil"/>
              <w:left w:val="nil"/>
              <w:right w:val="nil"/>
            </w:tcBorders>
            <w:shd w:val="clear" w:color="000000" w:fill="FFFFFF"/>
            <w:noWrap/>
            <w:vAlign w:val="bottom"/>
            <w:hideMark/>
          </w:tcPr>
          <w:p w14:paraId="0D1A884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35,8</w:t>
            </w:r>
          </w:p>
        </w:tc>
        <w:tc>
          <w:tcPr>
            <w:tcW w:w="659" w:type="dxa"/>
            <w:tcBorders>
              <w:top w:val="nil"/>
              <w:left w:val="nil"/>
              <w:right w:val="nil"/>
            </w:tcBorders>
            <w:shd w:val="clear" w:color="000000" w:fill="FFFFFF"/>
            <w:noWrap/>
            <w:vAlign w:val="bottom"/>
            <w:hideMark/>
          </w:tcPr>
          <w:p w14:paraId="4DEA15B5"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44,3</w:t>
            </w:r>
          </w:p>
        </w:tc>
        <w:tc>
          <w:tcPr>
            <w:tcW w:w="659" w:type="dxa"/>
            <w:tcBorders>
              <w:top w:val="nil"/>
              <w:left w:val="nil"/>
              <w:right w:val="nil"/>
            </w:tcBorders>
            <w:shd w:val="clear" w:color="000000" w:fill="FFFFFF"/>
            <w:noWrap/>
            <w:vAlign w:val="bottom"/>
            <w:hideMark/>
          </w:tcPr>
          <w:p w14:paraId="284F906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43,8</w:t>
            </w:r>
          </w:p>
        </w:tc>
        <w:tc>
          <w:tcPr>
            <w:tcW w:w="659" w:type="dxa"/>
            <w:tcBorders>
              <w:top w:val="nil"/>
              <w:left w:val="nil"/>
              <w:right w:val="nil"/>
            </w:tcBorders>
            <w:shd w:val="clear" w:color="000000" w:fill="FFFFFF"/>
            <w:noWrap/>
            <w:vAlign w:val="bottom"/>
            <w:hideMark/>
          </w:tcPr>
          <w:p w14:paraId="0F639C7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42,2</w:t>
            </w:r>
          </w:p>
        </w:tc>
        <w:tc>
          <w:tcPr>
            <w:tcW w:w="742" w:type="dxa"/>
            <w:tcBorders>
              <w:top w:val="nil"/>
              <w:left w:val="nil"/>
              <w:right w:val="nil"/>
            </w:tcBorders>
            <w:shd w:val="clear" w:color="000000" w:fill="FFFFFF"/>
            <w:noWrap/>
            <w:vAlign w:val="bottom"/>
            <w:hideMark/>
          </w:tcPr>
          <w:p w14:paraId="7B76E51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53,7</w:t>
            </w:r>
          </w:p>
        </w:tc>
        <w:tc>
          <w:tcPr>
            <w:tcW w:w="742" w:type="dxa"/>
            <w:tcBorders>
              <w:top w:val="nil"/>
              <w:left w:val="nil"/>
              <w:right w:val="nil"/>
            </w:tcBorders>
            <w:shd w:val="clear" w:color="000000" w:fill="FFFFFF"/>
            <w:noWrap/>
            <w:vAlign w:val="bottom"/>
            <w:hideMark/>
          </w:tcPr>
          <w:p w14:paraId="1B3F64FF"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63,1</w:t>
            </w:r>
          </w:p>
        </w:tc>
        <w:tc>
          <w:tcPr>
            <w:tcW w:w="659" w:type="dxa"/>
            <w:tcBorders>
              <w:top w:val="nil"/>
              <w:left w:val="nil"/>
              <w:right w:val="nil"/>
            </w:tcBorders>
            <w:shd w:val="clear" w:color="000000" w:fill="FFFFFF"/>
            <w:noWrap/>
            <w:vAlign w:val="bottom"/>
            <w:hideMark/>
          </w:tcPr>
          <w:p w14:paraId="6A12429B"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63,4</w:t>
            </w:r>
          </w:p>
        </w:tc>
        <w:tc>
          <w:tcPr>
            <w:tcW w:w="659" w:type="dxa"/>
            <w:tcBorders>
              <w:top w:val="nil"/>
              <w:left w:val="nil"/>
              <w:right w:val="nil"/>
            </w:tcBorders>
            <w:shd w:val="clear" w:color="000000" w:fill="FFFFFF"/>
            <w:noWrap/>
            <w:vAlign w:val="bottom"/>
            <w:hideMark/>
          </w:tcPr>
          <w:p w14:paraId="5992287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61,7</w:t>
            </w:r>
          </w:p>
        </w:tc>
      </w:tr>
      <w:tr w:rsidR="00BE5BD6" w:rsidRPr="0008288A" w14:paraId="28D8B5AA" w14:textId="77777777" w:rsidTr="00BE5BD6">
        <w:trPr>
          <w:trHeight w:val="271"/>
        </w:trPr>
        <w:tc>
          <w:tcPr>
            <w:tcW w:w="2895" w:type="dxa"/>
            <w:tcBorders>
              <w:top w:val="nil"/>
              <w:left w:val="nil"/>
              <w:right w:val="nil"/>
            </w:tcBorders>
            <w:shd w:val="clear" w:color="000000" w:fill="FFFFFF"/>
            <w:vAlign w:val="bottom"/>
          </w:tcPr>
          <w:p w14:paraId="026BE77E" w14:textId="77777777" w:rsidR="00BE5BD6" w:rsidRPr="0008288A" w:rsidRDefault="00BE5BD6" w:rsidP="0008288A">
            <w:pPr>
              <w:spacing w:after="0"/>
              <w:rPr>
                <w:rFonts w:ascii="Times New Roman" w:eastAsia="Times New Roman" w:hAnsi="Times New Roman"/>
                <w:i/>
                <w:iCs/>
                <w:sz w:val="18"/>
                <w:szCs w:val="18"/>
              </w:rPr>
            </w:pPr>
          </w:p>
        </w:tc>
        <w:tc>
          <w:tcPr>
            <w:tcW w:w="660" w:type="dxa"/>
            <w:tcBorders>
              <w:top w:val="nil"/>
              <w:left w:val="nil"/>
              <w:right w:val="nil"/>
            </w:tcBorders>
            <w:shd w:val="clear" w:color="000000" w:fill="FFFFFF"/>
            <w:noWrap/>
            <w:vAlign w:val="bottom"/>
          </w:tcPr>
          <w:p w14:paraId="009C72D7" w14:textId="77777777" w:rsidR="00BE5BD6" w:rsidRPr="0008288A" w:rsidRDefault="00BE5BD6" w:rsidP="0008288A">
            <w:pPr>
              <w:spacing w:after="0"/>
              <w:jc w:val="right"/>
              <w:rPr>
                <w:rFonts w:ascii="Times New Roman" w:eastAsia="Times New Roman" w:hAnsi="Times New Roman"/>
                <w:sz w:val="18"/>
                <w:szCs w:val="18"/>
              </w:rPr>
            </w:pPr>
          </w:p>
        </w:tc>
        <w:tc>
          <w:tcPr>
            <w:tcW w:w="660" w:type="dxa"/>
            <w:tcBorders>
              <w:top w:val="nil"/>
              <w:left w:val="nil"/>
              <w:right w:val="nil"/>
            </w:tcBorders>
            <w:shd w:val="clear" w:color="000000" w:fill="FFFFFF"/>
            <w:noWrap/>
            <w:vAlign w:val="bottom"/>
          </w:tcPr>
          <w:p w14:paraId="0CEE6014"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2FE88BB2"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0743E75E"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530FB393"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1C68F19C" w14:textId="77777777" w:rsidR="00BE5BD6" w:rsidRPr="0008288A" w:rsidRDefault="00BE5BD6" w:rsidP="0008288A">
            <w:pPr>
              <w:spacing w:after="0"/>
              <w:jc w:val="right"/>
              <w:rPr>
                <w:rFonts w:ascii="Times New Roman" w:eastAsia="Times New Roman" w:hAnsi="Times New Roman"/>
                <w:sz w:val="18"/>
                <w:szCs w:val="18"/>
              </w:rPr>
            </w:pPr>
          </w:p>
        </w:tc>
        <w:tc>
          <w:tcPr>
            <w:tcW w:w="742" w:type="dxa"/>
            <w:tcBorders>
              <w:top w:val="nil"/>
              <w:left w:val="nil"/>
              <w:right w:val="nil"/>
            </w:tcBorders>
            <w:shd w:val="clear" w:color="000000" w:fill="FFFFFF"/>
            <w:noWrap/>
            <w:vAlign w:val="bottom"/>
          </w:tcPr>
          <w:p w14:paraId="0109B409" w14:textId="77777777" w:rsidR="00BE5BD6" w:rsidRPr="0008288A" w:rsidRDefault="00BE5BD6" w:rsidP="0008288A">
            <w:pPr>
              <w:spacing w:after="0"/>
              <w:jc w:val="right"/>
              <w:rPr>
                <w:rFonts w:ascii="Times New Roman" w:eastAsia="Times New Roman" w:hAnsi="Times New Roman"/>
                <w:sz w:val="18"/>
                <w:szCs w:val="18"/>
              </w:rPr>
            </w:pPr>
          </w:p>
        </w:tc>
        <w:tc>
          <w:tcPr>
            <w:tcW w:w="742" w:type="dxa"/>
            <w:tcBorders>
              <w:top w:val="nil"/>
              <w:left w:val="nil"/>
              <w:right w:val="nil"/>
            </w:tcBorders>
            <w:shd w:val="clear" w:color="000000" w:fill="FFFFFF"/>
            <w:noWrap/>
            <w:vAlign w:val="bottom"/>
          </w:tcPr>
          <w:p w14:paraId="6C4C5FE2"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49075E28" w14:textId="77777777" w:rsidR="00BE5BD6" w:rsidRPr="0008288A" w:rsidRDefault="00BE5BD6" w:rsidP="0008288A">
            <w:pPr>
              <w:spacing w:after="0"/>
              <w:jc w:val="right"/>
              <w:rPr>
                <w:rFonts w:ascii="Times New Roman" w:eastAsia="Times New Roman" w:hAnsi="Times New Roman"/>
                <w:sz w:val="18"/>
                <w:szCs w:val="18"/>
              </w:rPr>
            </w:pPr>
          </w:p>
        </w:tc>
        <w:tc>
          <w:tcPr>
            <w:tcW w:w="659" w:type="dxa"/>
            <w:tcBorders>
              <w:top w:val="nil"/>
              <w:left w:val="nil"/>
              <w:right w:val="nil"/>
            </w:tcBorders>
            <w:shd w:val="clear" w:color="000000" w:fill="FFFFFF"/>
            <w:noWrap/>
            <w:vAlign w:val="bottom"/>
          </w:tcPr>
          <w:p w14:paraId="3AB4100E" w14:textId="77777777" w:rsidR="00BE5BD6" w:rsidRPr="0008288A" w:rsidRDefault="00BE5BD6" w:rsidP="0008288A">
            <w:pPr>
              <w:spacing w:after="0"/>
              <w:jc w:val="right"/>
              <w:rPr>
                <w:rFonts w:ascii="Times New Roman" w:eastAsia="Times New Roman" w:hAnsi="Times New Roman"/>
                <w:sz w:val="18"/>
                <w:szCs w:val="18"/>
              </w:rPr>
            </w:pPr>
          </w:p>
        </w:tc>
      </w:tr>
      <w:tr w:rsidR="0008288A" w:rsidRPr="0008288A" w14:paraId="5CD426F6" w14:textId="77777777" w:rsidTr="00BE5BD6">
        <w:trPr>
          <w:trHeight w:val="254"/>
        </w:trPr>
        <w:tc>
          <w:tcPr>
            <w:tcW w:w="2895" w:type="dxa"/>
            <w:tcBorders>
              <w:left w:val="nil"/>
              <w:bottom w:val="single" w:sz="4" w:space="0" w:color="auto"/>
              <w:right w:val="nil"/>
            </w:tcBorders>
            <w:shd w:val="clear" w:color="000000" w:fill="FFFFFF"/>
            <w:noWrap/>
            <w:vAlign w:val="bottom"/>
            <w:hideMark/>
          </w:tcPr>
          <w:p w14:paraId="7CD8E654" w14:textId="77777777" w:rsidR="0008288A" w:rsidRPr="0008288A" w:rsidRDefault="0008288A" w:rsidP="0008288A">
            <w:pPr>
              <w:spacing w:after="0"/>
              <w:rPr>
                <w:rFonts w:ascii="Times New Roman" w:eastAsia="Times New Roman" w:hAnsi="Times New Roman"/>
                <w:sz w:val="18"/>
                <w:szCs w:val="18"/>
              </w:rPr>
            </w:pPr>
            <w:r w:rsidRPr="0008288A">
              <w:rPr>
                <w:rFonts w:ascii="Times New Roman" w:eastAsia="Times New Roman" w:hAnsi="Times New Roman"/>
                <w:sz w:val="18"/>
                <w:szCs w:val="18"/>
              </w:rPr>
              <w:t>Disponibel inntekt</w:t>
            </w:r>
          </w:p>
        </w:tc>
        <w:tc>
          <w:tcPr>
            <w:tcW w:w="660" w:type="dxa"/>
            <w:tcBorders>
              <w:left w:val="nil"/>
              <w:bottom w:val="single" w:sz="4" w:space="0" w:color="auto"/>
              <w:right w:val="nil"/>
            </w:tcBorders>
            <w:shd w:val="clear" w:color="000000" w:fill="FFFFFF"/>
            <w:noWrap/>
            <w:vAlign w:val="bottom"/>
            <w:hideMark/>
          </w:tcPr>
          <w:p w14:paraId="28092984"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802,6</w:t>
            </w:r>
          </w:p>
        </w:tc>
        <w:tc>
          <w:tcPr>
            <w:tcW w:w="660" w:type="dxa"/>
            <w:tcBorders>
              <w:left w:val="nil"/>
              <w:bottom w:val="single" w:sz="4" w:space="0" w:color="auto"/>
              <w:right w:val="nil"/>
            </w:tcBorders>
            <w:shd w:val="clear" w:color="000000" w:fill="FFFFFF"/>
            <w:noWrap/>
            <w:vAlign w:val="bottom"/>
            <w:hideMark/>
          </w:tcPr>
          <w:p w14:paraId="028A7051"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864,0</w:t>
            </w:r>
          </w:p>
        </w:tc>
        <w:tc>
          <w:tcPr>
            <w:tcW w:w="659" w:type="dxa"/>
            <w:tcBorders>
              <w:left w:val="nil"/>
              <w:bottom w:val="single" w:sz="4" w:space="0" w:color="auto"/>
              <w:right w:val="nil"/>
            </w:tcBorders>
            <w:shd w:val="clear" w:color="000000" w:fill="FFFFFF"/>
            <w:noWrap/>
            <w:vAlign w:val="bottom"/>
            <w:hideMark/>
          </w:tcPr>
          <w:p w14:paraId="1403923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919,8</w:t>
            </w:r>
          </w:p>
        </w:tc>
        <w:tc>
          <w:tcPr>
            <w:tcW w:w="659" w:type="dxa"/>
            <w:tcBorders>
              <w:left w:val="nil"/>
              <w:bottom w:val="single" w:sz="4" w:space="0" w:color="auto"/>
              <w:right w:val="nil"/>
            </w:tcBorders>
            <w:shd w:val="clear" w:color="000000" w:fill="FFFFFF"/>
            <w:noWrap/>
            <w:vAlign w:val="bottom"/>
            <w:hideMark/>
          </w:tcPr>
          <w:p w14:paraId="680D2A10"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972,2</w:t>
            </w:r>
          </w:p>
        </w:tc>
        <w:tc>
          <w:tcPr>
            <w:tcW w:w="659" w:type="dxa"/>
            <w:tcBorders>
              <w:left w:val="nil"/>
              <w:bottom w:val="single" w:sz="4" w:space="0" w:color="auto"/>
              <w:right w:val="nil"/>
            </w:tcBorders>
            <w:shd w:val="clear" w:color="000000" w:fill="FFFFFF"/>
            <w:noWrap/>
            <w:vAlign w:val="bottom"/>
            <w:hideMark/>
          </w:tcPr>
          <w:p w14:paraId="5C138FBD"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1017,0</w:t>
            </w:r>
          </w:p>
        </w:tc>
        <w:tc>
          <w:tcPr>
            <w:tcW w:w="659" w:type="dxa"/>
            <w:tcBorders>
              <w:left w:val="nil"/>
              <w:bottom w:val="single" w:sz="4" w:space="0" w:color="auto"/>
              <w:right w:val="nil"/>
            </w:tcBorders>
            <w:shd w:val="clear" w:color="000000" w:fill="FFFFFF"/>
            <w:noWrap/>
            <w:vAlign w:val="bottom"/>
            <w:hideMark/>
          </w:tcPr>
          <w:p w14:paraId="757E1D06"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1068,8</w:t>
            </w:r>
          </w:p>
        </w:tc>
        <w:tc>
          <w:tcPr>
            <w:tcW w:w="742" w:type="dxa"/>
            <w:tcBorders>
              <w:left w:val="nil"/>
              <w:bottom w:val="single" w:sz="4" w:space="0" w:color="auto"/>
              <w:right w:val="nil"/>
            </w:tcBorders>
            <w:shd w:val="clear" w:color="000000" w:fill="FFFFFF"/>
            <w:noWrap/>
            <w:vAlign w:val="bottom"/>
            <w:hideMark/>
          </w:tcPr>
          <w:p w14:paraId="022C6772"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1127,2</w:t>
            </w:r>
          </w:p>
        </w:tc>
        <w:tc>
          <w:tcPr>
            <w:tcW w:w="742" w:type="dxa"/>
            <w:tcBorders>
              <w:left w:val="nil"/>
              <w:bottom w:val="single" w:sz="4" w:space="0" w:color="auto"/>
              <w:right w:val="nil"/>
            </w:tcBorders>
            <w:shd w:val="clear" w:color="000000" w:fill="FFFFFF"/>
            <w:noWrap/>
            <w:vAlign w:val="bottom"/>
            <w:hideMark/>
          </w:tcPr>
          <w:p w14:paraId="7C89220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1194,4</w:t>
            </w:r>
          </w:p>
        </w:tc>
        <w:tc>
          <w:tcPr>
            <w:tcW w:w="659" w:type="dxa"/>
            <w:tcBorders>
              <w:left w:val="nil"/>
              <w:bottom w:val="single" w:sz="4" w:space="0" w:color="auto"/>
              <w:right w:val="nil"/>
            </w:tcBorders>
            <w:shd w:val="clear" w:color="000000" w:fill="FFFFFF"/>
            <w:noWrap/>
            <w:vAlign w:val="bottom"/>
            <w:hideMark/>
          </w:tcPr>
          <w:p w14:paraId="33EC6248"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1255,7</w:t>
            </w:r>
          </w:p>
        </w:tc>
        <w:tc>
          <w:tcPr>
            <w:tcW w:w="659" w:type="dxa"/>
            <w:tcBorders>
              <w:left w:val="nil"/>
              <w:bottom w:val="single" w:sz="4" w:space="0" w:color="auto"/>
              <w:right w:val="nil"/>
            </w:tcBorders>
            <w:shd w:val="clear" w:color="000000" w:fill="FFFFFF"/>
            <w:noWrap/>
            <w:vAlign w:val="bottom"/>
            <w:hideMark/>
          </w:tcPr>
          <w:p w14:paraId="0E8343FE" w14:textId="77777777" w:rsidR="0008288A" w:rsidRPr="0008288A" w:rsidRDefault="0008288A" w:rsidP="0008288A">
            <w:pPr>
              <w:spacing w:after="0"/>
              <w:jc w:val="right"/>
              <w:rPr>
                <w:rFonts w:ascii="Times New Roman" w:eastAsia="Times New Roman" w:hAnsi="Times New Roman"/>
                <w:sz w:val="18"/>
                <w:szCs w:val="18"/>
              </w:rPr>
            </w:pPr>
            <w:r w:rsidRPr="0008288A">
              <w:rPr>
                <w:rFonts w:ascii="Times New Roman" w:eastAsia="Times New Roman" w:hAnsi="Times New Roman"/>
                <w:sz w:val="18"/>
                <w:szCs w:val="18"/>
              </w:rPr>
              <w:t>1311,4</w:t>
            </w:r>
          </w:p>
        </w:tc>
      </w:tr>
    </w:tbl>
    <w:p w14:paraId="78E817D2" w14:textId="77777777" w:rsidR="0083434C" w:rsidRDefault="0083434C" w:rsidP="003F5F82">
      <w:pPr>
        <w:spacing w:after="0"/>
        <w:rPr>
          <w:sz w:val="20"/>
        </w:rPr>
      </w:pPr>
      <w:r w:rsidRPr="0041484A">
        <w:rPr>
          <w:sz w:val="20"/>
          <w:vertAlign w:val="superscript"/>
        </w:rPr>
        <w:t>*</w:t>
      </w:r>
      <w:r>
        <w:rPr>
          <w:sz w:val="20"/>
        </w:rPr>
        <w:t xml:space="preserve"> </w:t>
      </w:r>
      <w:r w:rsidRPr="0041484A">
        <w:rPr>
          <w:sz w:val="20"/>
        </w:rPr>
        <w:t>Foreløpig årgang</w:t>
      </w:r>
    </w:p>
    <w:p w14:paraId="7AE6C733" w14:textId="77777777" w:rsidR="0083434C" w:rsidRPr="0041484A" w:rsidRDefault="0083434C" w:rsidP="0083434C">
      <w:pPr>
        <w:rPr>
          <w:sz w:val="20"/>
        </w:rPr>
      </w:pPr>
      <w:r w:rsidRPr="0041484A">
        <w:rPr>
          <w:sz w:val="20"/>
          <w:vertAlign w:val="superscript"/>
        </w:rPr>
        <w:t>1</w:t>
      </w:r>
      <w:r w:rsidRPr="0041484A">
        <w:rPr>
          <w:sz w:val="20"/>
        </w:rPr>
        <w:t xml:space="preserve"> Blandet inntekt er den delen av driftsresultatet som tilfaller husholdningssektoren. Dette inkluderer også beregnet avkastning av boligkapitalen.</w:t>
      </w:r>
    </w:p>
    <w:p w14:paraId="0274EFBC" w14:textId="77777777" w:rsidR="0083434C" w:rsidRPr="0041484A" w:rsidRDefault="0083434C" w:rsidP="0083434C">
      <w:pPr>
        <w:rPr>
          <w:sz w:val="20"/>
        </w:rPr>
      </w:pPr>
      <w:r w:rsidRPr="0041484A">
        <w:rPr>
          <w:sz w:val="20"/>
        </w:rPr>
        <w:t>Kilde: Statistisk sentralbyrå</w:t>
      </w:r>
    </w:p>
    <w:p w14:paraId="5B1DAAAE" w14:textId="77777777" w:rsidR="0083434C" w:rsidRDefault="0083434C" w:rsidP="0083434C">
      <w:pPr>
        <w:pStyle w:val="Listeavsnitt"/>
        <w:spacing w:before="0" w:after="120"/>
        <w:ind w:left="0"/>
      </w:pPr>
    </w:p>
    <w:p w14:paraId="07278326" w14:textId="4A4B925D" w:rsidR="0083434C" w:rsidRPr="009A2CD7" w:rsidRDefault="0083434C" w:rsidP="00922154">
      <w:pPr>
        <w:rPr>
          <w:rFonts w:ascii="Arial" w:eastAsia="Times New Roman" w:hAnsi="Arial" w:cs="Arial"/>
          <w:b/>
        </w:rPr>
      </w:pPr>
      <w:r w:rsidRPr="009A2CD7">
        <w:rPr>
          <w:rFonts w:ascii="Arial" w:eastAsia="Times New Roman" w:hAnsi="Arial" w:cs="Arial"/>
          <w:b/>
        </w:rPr>
        <w:t>Tabell 4.8 Nettonasjonalprodukt og faktorinntekt. Milliarder kroner</w:t>
      </w:r>
    </w:p>
    <w:tbl>
      <w:tblPr>
        <w:tblW w:w="5280" w:type="pct"/>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524"/>
        <w:gridCol w:w="681"/>
        <w:gridCol w:w="681"/>
        <w:gridCol w:w="681"/>
        <w:gridCol w:w="681"/>
        <w:gridCol w:w="681"/>
        <w:gridCol w:w="681"/>
        <w:gridCol w:w="681"/>
        <w:gridCol w:w="681"/>
        <w:gridCol w:w="789"/>
        <w:gridCol w:w="772"/>
      </w:tblGrid>
      <w:tr w:rsidR="0083434C" w:rsidRPr="00922154" w14:paraId="3FC033C0" w14:textId="77777777" w:rsidTr="00D56E2A">
        <w:trPr>
          <w:trHeight w:val="284"/>
        </w:trPr>
        <w:tc>
          <w:tcPr>
            <w:tcW w:w="1323" w:type="pct"/>
            <w:tcBorders>
              <w:bottom w:val="single" w:sz="4" w:space="0" w:color="auto"/>
            </w:tcBorders>
            <w:noWrap/>
          </w:tcPr>
          <w:p w14:paraId="11DF0BDE"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p>
        </w:tc>
        <w:tc>
          <w:tcPr>
            <w:tcW w:w="357" w:type="pct"/>
            <w:tcBorders>
              <w:bottom w:val="single" w:sz="4" w:space="0" w:color="auto"/>
            </w:tcBorders>
            <w:noWrap/>
          </w:tcPr>
          <w:p w14:paraId="34D70CE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2006</w:t>
            </w:r>
          </w:p>
        </w:tc>
        <w:tc>
          <w:tcPr>
            <w:tcW w:w="357" w:type="pct"/>
            <w:tcBorders>
              <w:bottom w:val="single" w:sz="4" w:space="0" w:color="auto"/>
            </w:tcBorders>
            <w:noWrap/>
          </w:tcPr>
          <w:p w14:paraId="3917D2A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2007</w:t>
            </w:r>
          </w:p>
        </w:tc>
        <w:tc>
          <w:tcPr>
            <w:tcW w:w="357" w:type="pct"/>
            <w:tcBorders>
              <w:bottom w:val="single" w:sz="4" w:space="0" w:color="auto"/>
            </w:tcBorders>
            <w:noWrap/>
          </w:tcPr>
          <w:p w14:paraId="61F9932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2008</w:t>
            </w:r>
          </w:p>
        </w:tc>
        <w:tc>
          <w:tcPr>
            <w:tcW w:w="357" w:type="pct"/>
            <w:tcBorders>
              <w:bottom w:val="single" w:sz="4" w:space="0" w:color="auto"/>
            </w:tcBorders>
            <w:noWrap/>
          </w:tcPr>
          <w:p w14:paraId="3E903A3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2009</w:t>
            </w:r>
          </w:p>
        </w:tc>
        <w:tc>
          <w:tcPr>
            <w:tcW w:w="357" w:type="pct"/>
            <w:tcBorders>
              <w:bottom w:val="single" w:sz="4" w:space="0" w:color="auto"/>
            </w:tcBorders>
            <w:noWrap/>
          </w:tcPr>
          <w:p w14:paraId="3E16C03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2010</w:t>
            </w:r>
          </w:p>
        </w:tc>
        <w:tc>
          <w:tcPr>
            <w:tcW w:w="357" w:type="pct"/>
            <w:tcBorders>
              <w:bottom w:val="single" w:sz="4" w:space="0" w:color="auto"/>
            </w:tcBorders>
            <w:noWrap/>
          </w:tcPr>
          <w:p w14:paraId="09D84B6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2011</w:t>
            </w:r>
          </w:p>
        </w:tc>
        <w:tc>
          <w:tcPr>
            <w:tcW w:w="357" w:type="pct"/>
            <w:tcBorders>
              <w:bottom w:val="single" w:sz="4" w:space="0" w:color="auto"/>
            </w:tcBorders>
            <w:noWrap/>
          </w:tcPr>
          <w:p w14:paraId="49D1975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2012</w:t>
            </w:r>
          </w:p>
        </w:tc>
        <w:tc>
          <w:tcPr>
            <w:tcW w:w="357" w:type="pct"/>
            <w:tcBorders>
              <w:bottom w:val="single" w:sz="4" w:space="0" w:color="auto"/>
            </w:tcBorders>
            <w:noWrap/>
          </w:tcPr>
          <w:p w14:paraId="08A6E3A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2013</w:t>
            </w:r>
          </w:p>
        </w:tc>
        <w:tc>
          <w:tcPr>
            <w:tcW w:w="414" w:type="pct"/>
            <w:tcBorders>
              <w:bottom w:val="single" w:sz="4" w:space="0" w:color="auto"/>
            </w:tcBorders>
          </w:tcPr>
          <w:p w14:paraId="057866B9" w14:textId="77777777" w:rsidR="0083434C" w:rsidRPr="00922154" w:rsidRDefault="0083434C" w:rsidP="00D56E2A">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2014*</w:t>
            </w:r>
          </w:p>
        </w:tc>
        <w:tc>
          <w:tcPr>
            <w:tcW w:w="405" w:type="pct"/>
            <w:tcBorders>
              <w:bottom w:val="single" w:sz="4" w:space="0" w:color="auto"/>
            </w:tcBorders>
            <w:noWrap/>
          </w:tcPr>
          <w:p w14:paraId="77096DA4" w14:textId="77777777" w:rsidR="0083434C" w:rsidRPr="00922154" w:rsidRDefault="0083434C" w:rsidP="00D56E2A">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2015*</w:t>
            </w:r>
          </w:p>
        </w:tc>
      </w:tr>
      <w:tr w:rsidR="0083434C" w:rsidRPr="00922154" w14:paraId="168CD3E3" w14:textId="77777777" w:rsidTr="00D56E2A">
        <w:trPr>
          <w:trHeight w:val="340"/>
        </w:trPr>
        <w:tc>
          <w:tcPr>
            <w:tcW w:w="1323" w:type="pct"/>
            <w:tcBorders>
              <w:top w:val="single" w:sz="4" w:space="0" w:color="auto"/>
              <w:bottom w:val="nil"/>
            </w:tcBorders>
            <w:noWrap/>
          </w:tcPr>
          <w:p w14:paraId="4B8E1A4D" w14:textId="77777777" w:rsidR="0083434C" w:rsidRPr="00922154" w:rsidRDefault="0083434C" w:rsidP="00D56E2A">
            <w:pPr>
              <w:spacing w:after="0"/>
              <w:rPr>
                <w:rFonts w:ascii="Times New Roman" w:hAnsi="Times New Roman"/>
                <w:color w:val="000000"/>
                <w:sz w:val="18"/>
                <w:szCs w:val="18"/>
              </w:rPr>
            </w:pPr>
            <w:r w:rsidRPr="00D56E2A">
              <w:rPr>
                <w:rFonts w:ascii="Times New Roman" w:eastAsia="Times New Roman" w:hAnsi="Times New Roman"/>
                <w:sz w:val="18"/>
                <w:szCs w:val="18"/>
              </w:rPr>
              <w:t>Nettonasjonalprodukt</w:t>
            </w:r>
          </w:p>
        </w:tc>
        <w:tc>
          <w:tcPr>
            <w:tcW w:w="357" w:type="pct"/>
            <w:tcBorders>
              <w:top w:val="single" w:sz="4" w:space="0" w:color="auto"/>
              <w:bottom w:val="nil"/>
            </w:tcBorders>
            <w:noWrap/>
          </w:tcPr>
          <w:p w14:paraId="2593D5B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1917,2</w:t>
            </w:r>
          </w:p>
        </w:tc>
        <w:tc>
          <w:tcPr>
            <w:tcW w:w="357" w:type="pct"/>
            <w:tcBorders>
              <w:top w:val="single" w:sz="4" w:space="0" w:color="auto"/>
              <w:bottom w:val="nil"/>
            </w:tcBorders>
            <w:noWrap/>
          </w:tcPr>
          <w:p w14:paraId="337B7E5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2018,6</w:t>
            </w:r>
          </w:p>
        </w:tc>
        <w:tc>
          <w:tcPr>
            <w:tcW w:w="357" w:type="pct"/>
            <w:tcBorders>
              <w:top w:val="single" w:sz="4" w:space="0" w:color="auto"/>
              <w:bottom w:val="nil"/>
            </w:tcBorders>
            <w:noWrap/>
          </w:tcPr>
          <w:p w14:paraId="23AB934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2238,8</w:t>
            </w:r>
          </w:p>
        </w:tc>
        <w:tc>
          <w:tcPr>
            <w:tcW w:w="357" w:type="pct"/>
            <w:tcBorders>
              <w:top w:val="single" w:sz="4" w:space="0" w:color="auto"/>
              <w:bottom w:val="nil"/>
            </w:tcBorders>
            <w:noWrap/>
          </w:tcPr>
          <w:p w14:paraId="083E987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2033,9</w:t>
            </w:r>
          </w:p>
        </w:tc>
        <w:tc>
          <w:tcPr>
            <w:tcW w:w="357" w:type="pct"/>
            <w:tcBorders>
              <w:top w:val="single" w:sz="4" w:space="0" w:color="auto"/>
              <w:bottom w:val="nil"/>
            </w:tcBorders>
            <w:noWrap/>
          </w:tcPr>
          <w:p w14:paraId="646BB62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2177,3</w:t>
            </w:r>
          </w:p>
        </w:tc>
        <w:tc>
          <w:tcPr>
            <w:tcW w:w="357" w:type="pct"/>
            <w:tcBorders>
              <w:top w:val="single" w:sz="4" w:space="0" w:color="auto"/>
              <w:bottom w:val="nil"/>
            </w:tcBorders>
            <w:noWrap/>
          </w:tcPr>
          <w:p w14:paraId="133763A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2356,3</w:t>
            </w:r>
          </w:p>
        </w:tc>
        <w:tc>
          <w:tcPr>
            <w:tcW w:w="357" w:type="pct"/>
            <w:tcBorders>
              <w:top w:val="single" w:sz="4" w:space="0" w:color="auto"/>
              <w:bottom w:val="nil"/>
            </w:tcBorders>
            <w:noWrap/>
          </w:tcPr>
          <w:p w14:paraId="4EF7296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2506,2</w:t>
            </w:r>
          </w:p>
        </w:tc>
        <w:tc>
          <w:tcPr>
            <w:tcW w:w="357" w:type="pct"/>
            <w:tcBorders>
              <w:top w:val="single" w:sz="4" w:space="0" w:color="auto"/>
              <w:bottom w:val="nil"/>
            </w:tcBorders>
            <w:noWrap/>
          </w:tcPr>
          <w:p w14:paraId="7AFC3A8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2588,8</w:t>
            </w:r>
          </w:p>
        </w:tc>
        <w:tc>
          <w:tcPr>
            <w:tcW w:w="414" w:type="pct"/>
            <w:tcBorders>
              <w:top w:val="single" w:sz="4" w:space="0" w:color="auto"/>
              <w:bottom w:val="nil"/>
            </w:tcBorders>
          </w:tcPr>
          <w:p w14:paraId="395ED67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2639,9</w:t>
            </w:r>
          </w:p>
        </w:tc>
        <w:tc>
          <w:tcPr>
            <w:tcW w:w="405" w:type="pct"/>
            <w:tcBorders>
              <w:top w:val="single" w:sz="4" w:space="0" w:color="auto"/>
              <w:bottom w:val="nil"/>
            </w:tcBorders>
            <w:noWrap/>
          </w:tcPr>
          <w:p w14:paraId="06556EE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2595,6</w:t>
            </w:r>
          </w:p>
        </w:tc>
      </w:tr>
      <w:tr w:rsidR="0083434C" w:rsidRPr="00922154" w14:paraId="63E65E15" w14:textId="77777777" w:rsidTr="00D56E2A">
        <w:trPr>
          <w:trHeight w:val="340"/>
        </w:trPr>
        <w:tc>
          <w:tcPr>
            <w:tcW w:w="1323" w:type="pct"/>
            <w:tcBorders>
              <w:top w:val="nil"/>
              <w:bottom w:val="nil"/>
            </w:tcBorders>
            <w:noWrap/>
          </w:tcPr>
          <w:p w14:paraId="33A96CE1"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Netto produksjonskatter</w:t>
            </w:r>
          </w:p>
        </w:tc>
        <w:tc>
          <w:tcPr>
            <w:tcW w:w="357" w:type="pct"/>
            <w:tcBorders>
              <w:top w:val="nil"/>
              <w:bottom w:val="nil"/>
            </w:tcBorders>
            <w:noWrap/>
          </w:tcPr>
          <w:p w14:paraId="05C2BD2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225,2</w:t>
            </w:r>
          </w:p>
        </w:tc>
        <w:tc>
          <w:tcPr>
            <w:tcW w:w="357" w:type="pct"/>
            <w:tcBorders>
              <w:top w:val="nil"/>
              <w:bottom w:val="nil"/>
            </w:tcBorders>
            <w:noWrap/>
          </w:tcPr>
          <w:p w14:paraId="1ADFF4C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247,3</w:t>
            </w:r>
          </w:p>
        </w:tc>
        <w:tc>
          <w:tcPr>
            <w:tcW w:w="357" w:type="pct"/>
            <w:tcBorders>
              <w:top w:val="nil"/>
              <w:bottom w:val="nil"/>
            </w:tcBorders>
            <w:noWrap/>
          </w:tcPr>
          <w:p w14:paraId="1CBDA40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242,5</w:t>
            </w:r>
          </w:p>
        </w:tc>
        <w:tc>
          <w:tcPr>
            <w:tcW w:w="357" w:type="pct"/>
            <w:tcBorders>
              <w:top w:val="nil"/>
              <w:bottom w:val="nil"/>
            </w:tcBorders>
            <w:noWrap/>
          </w:tcPr>
          <w:p w14:paraId="324A431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237,1</w:t>
            </w:r>
          </w:p>
        </w:tc>
        <w:tc>
          <w:tcPr>
            <w:tcW w:w="357" w:type="pct"/>
            <w:tcBorders>
              <w:top w:val="nil"/>
              <w:bottom w:val="nil"/>
            </w:tcBorders>
            <w:noWrap/>
          </w:tcPr>
          <w:p w14:paraId="65FC72B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255,2</w:t>
            </w:r>
          </w:p>
        </w:tc>
        <w:tc>
          <w:tcPr>
            <w:tcW w:w="357" w:type="pct"/>
            <w:tcBorders>
              <w:top w:val="nil"/>
              <w:bottom w:val="nil"/>
            </w:tcBorders>
            <w:noWrap/>
          </w:tcPr>
          <w:p w14:paraId="20C9BA8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266,2</w:t>
            </w:r>
          </w:p>
        </w:tc>
        <w:tc>
          <w:tcPr>
            <w:tcW w:w="357" w:type="pct"/>
            <w:tcBorders>
              <w:top w:val="nil"/>
              <w:bottom w:val="nil"/>
            </w:tcBorders>
            <w:noWrap/>
          </w:tcPr>
          <w:p w14:paraId="7604F9D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277,1</w:t>
            </w:r>
          </w:p>
        </w:tc>
        <w:tc>
          <w:tcPr>
            <w:tcW w:w="357" w:type="pct"/>
            <w:tcBorders>
              <w:top w:val="nil"/>
              <w:bottom w:val="nil"/>
            </w:tcBorders>
            <w:noWrap/>
          </w:tcPr>
          <w:p w14:paraId="37F2C86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290,9</w:t>
            </w:r>
          </w:p>
        </w:tc>
        <w:tc>
          <w:tcPr>
            <w:tcW w:w="414" w:type="pct"/>
            <w:tcBorders>
              <w:top w:val="nil"/>
              <w:bottom w:val="nil"/>
            </w:tcBorders>
          </w:tcPr>
          <w:p w14:paraId="77FE58D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301,8</w:t>
            </w:r>
          </w:p>
        </w:tc>
        <w:tc>
          <w:tcPr>
            <w:tcW w:w="405" w:type="pct"/>
            <w:tcBorders>
              <w:top w:val="nil"/>
              <w:bottom w:val="nil"/>
            </w:tcBorders>
            <w:noWrap/>
          </w:tcPr>
          <w:p w14:paraId="73A389B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311,9</w:t>
            </w:r>
          </w:p>
        </w:tc>
      </w:tr>
      <w:tr w:rsidR="0083434C" w:rsidRPr="00922154" w14:paraId="41307F49" w14:textId="77777777" w:rsidTr="00D56E2A">
        <w:trPr>
          <w:trHeight w:val="340"/>
        </w:trPr>
        <w:tc>
          <w:tcPr>
            <w:tcW w:w="1323" w:type="pct"/>
            <w:tcBorders>
              <w:top w:val="nil"/>
              <w:bottom w:val="nil"/>
            </w:tcBorders>
            <w:noWrap/>
          </w:tcPr>
          <w:p w14:paraId="17B4458A"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Faktorinntekt</w:t>
            </w:r>
          </w:p>
        </w:tc>
        <w:tc>
          <w:tcPr>
            <w:tcW w:w="357" w:type="pct"/>
            <w:tcBorders>
              <w:top w:val="nil"/>
              <w:bottom w:val="nil"/>
            </w:tcBorders>
            <w:noWrap/>
          </w:tcPr>
          <w:p w14:paraId="79DC86E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1692,1</w:t>
            </w:r>
          </w:p>
        </w:tc>
        <w:tc>
          <w:tcPr>
            <w:tcW w:w="357" w:type="pct"/>
            <w:tcBorders>
              <w:top w:val="nil"/>
              <w:bottom w:val="nil"/>
            </w:tcBorders>
            <w:noWrap/>
          </w:tcPr>
          <w:p w14:paraId="1C30994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1771,3</w:t>
            </w:r>
          </w:p>
        </w:tc>
        <w:tc>
          <w:tcPr>
            <w:tcW w:w="357" w:type="pct"/>
            <w:tcBorders>
              <w:top w:val="nil"/>
              <w:bottom w:val="nil"/>
            </w:tcBorders>
            <w:noWrap/>
          </w:tcPr>
          <w:p w14:paraId="0F75CDC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1996,4</w:t>
            </w:r>
          </w:p>
        </w:tc>
        <w:tc>
          <w:tcPr>
            <w:tcW w:w="357" w:type="pct"/>
            <w:tcBorders>
              <w:top w:val="nil"/>
              <w:bottom w:val="nil"/>
            </w:tcBorders>
            <w:noWrap/>
          </w:tcPr>
          <w:p w14:paraId="35651F7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1796,8</w:t>
            </w:r>
          </w:p>
        </w:tc>
        <w:tc>
          <w:tcPr>
            <w:tcW w:w="357" w:type="pct"/>
            <w:tcBorders>
              <w:top w:val="nil"/>
              <w:bottom w:val="nil"/>
            </w:tcBorders>
            <w:noWrap/>
          </w:tcPr>
          <w:p w14:paraId="03750AF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1922,1</w:t>
            </w:r>
          </w:p>
        </w:tc>
        <w:tc>
          <w:tcPr>
            <w:tcW w:w="357" w:type="pct"/>
            <w:tcBorders>
              <w:top w:val="nil"/>
              <w:bottom w:val="nil"/>
            </w:tcBorders>
            <w:noWrap/>
          </w:tcPr>
          <w:p w14:paraId="3C31C34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2090,1</w:t>
            </w:r>
          </w:p>
        </w:tc>
        <w:tc>
          <w:tcPr>
            <w:tcW w:w="357" w:type="pct"/>
            <w:tcBorders>
              <w:top w:val="nil"/>
              <w:bottom w:val="nil"/>
            </w:tcBorders>
            <w:noWrap/>
          </w:tcPr>
          <w:p w14:paraId="5C1D3AB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2229,1</w:t>
            </w:r>
          </w:p>
        </w:tc>
        <w:tc>
          <w:tcPr>
            <w:tcW w:w="357" w:type="pct"/>
            <w:tcBorders>
              <w:top w:val="nil"/>
              <w:bottom w:val="nil"/>
            </w:tcBorders>
            <w:noWrap/>
          </w:tcPr>
          <w:p w14:paraId="6862094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2297,9</w:t>
            </w:r>
          </w:p>
        </w:tc>
        <w:tc>
          <w:tcPr>
            <w:tcW w:w="414" w:type="pct"/>
            <w:tcBorders>
              <w:top w:val="nil"/>
              <w:bottom w:val="nil"/>
            </w:tcBorders>
          </w:tcPr>
          <w:p w14:paraId="140A7BE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2338,1</w:t>
            </w:r>
          </w:p>
        </w:tc>
        <w:tc>
          <w:tcPr>
            <w:tcW w:w="405" w:type="pct"/>
            <w:tcBorders>
              <w:top w:val="nil"/>
              <w:bottom w:val="nil"/>
            </w:tcBorders>
            <w:noWrap/>
          </w:tcPr>
          <w:p w14:paraId="71400C9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2283,6</w:t>
            </w:r>
          </w:p>
        </w:tc>
      </w:tr>
      <w:tr w:rsidR="0083434C" w:rsidRPr="00922154" w14:paraId="63CF3741" w14:textId="77777777" w:rsidTr="00D56E2A">
        <w:trPr>
          <w:trHeight w:val="340"/>
        </w:trPr>
        <w:tc>
          <w:tcPr>
            <w:tcW w:w="1323" w:type="pct"/>
            <w:tcBorders>
              <w:top w:val="nil"/>
              <w:bottom w:val="nil"/>
            </w:tcBorders>
            <w:noWrap/>
          </w:tcPr>
          <w:p w14:paraId="7C8FD96D"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Lønnskostnader</w:t>
            </w:r>
          </w:p>
        </w:tc>
        <w:tc>
          <w:tcPr>
            <w:tcW w:w="357" w:type="pct"/>
            <w:tcBorders>
              <w:top w:val="nil"/>
              <w:bottom w:val="nil"/>
            </w:tcBorders>
            <w:noWrap/>
          </w:tcPr>
          <w:p w14:paraId="3595167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889,6</w:t>
            </w:r>
          </w:p>
        </w:tc>
        <w:tc>
          <w:tcPr>
            <w:tcW w:w="357" w:type="pct"/>
            <w:tcBorders>
              <w:top w:val="nil"/>
              <w:bottom w:val="nil"/>
            </w:tcBorders>
            <w:noWrap/>
          </w:tcPr>
          <w:p w14:paraId="338CCF3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988,5</w:t>
            </w:r>
          </w:p>
        </w:tc>
        <w:tc>
          <w:tcPr>
            <w:tcW w:w="357" w:type="pct"/>
            <w:tcBorders>
              <w:top w:val="nil"/>
              <w:bottom w:val="nil"/>
            </w:tcBorders>
            <w:noWrap/>
          </w:tcPr>
          <w:p w14:paraId="3BF5687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1087,0</w:t>
            </w:r>
          </w:p>
        </w:tc>
        <w:tc>
          <w:tcPr>
            <w:tcW w:w="357" w:type="pct"/>
            <w:tcBorders>
              <w:top w:val="nil"/>
              <w:bottom w:val="nil"/>
            </w:tcBorders>
            <w:noWrap/>
          </w:tcPr>
          <w:p w14:paraId="50B552A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1119,4</w:t>
            </w:r>
          </w:p>
        </w:tc>
        <w:tc>
          <w:tcPr>
            <w:tcW w:w="357" w:type="pct"/>
            <w:tcBorders>
              <w:top w:val="nil"/>
              <w:bottom w:val="nil"/>
            </w:tcBorders>
            <w:noWrap/>
          </w:tcPr>
          <w:p w14:paraId="5730BE1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1151,1</w:t>
            </w:r>
          </w:p>
        </w:tc>
        <w:tc>
          <w:tcPr>
            <w:tcW w:w="357" w:type="pct"/>
            <w:tcBorders>
              <w:top w:val="nil"/>
              <w:bottom w:val="nil"/>
            </w:tcBorders>
            <w:noWrap/>
          </w:tcPr>
          <w:p w14:paraId="03F84D2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1225,1</w:t>
            </w:r>
          </w:p>
        </w:tc>
        <w:tc>
          <w:tcPr>
            <w:tcW w:w="357" w:type="pct"/>
            <w:tcBorders>
              <w:top w:val="nil"/>
              <w:bottom w:val="nil"/>
            </w:tcBorders>
            <w:noWrap/>
          </w:tcPr>
          <w:p w14:paraId="67B45C6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1308,8</w:t>
            </w:r>
          </w:p>
        </w:tc>
        <w:tc>
          <w:tcPr>
            <w:tcW w:w="357" w:type="pct"/>
            <w:tcBorders>
              <w:top w:val="nil"/>
              <w:bottom w:val="nil"/>
            </w:tcBorders>
            <w:noWrap/>
          </w:tcPr>
          <w:p w14:paraId="0D49E51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1384,6</w:t>
            </w:r>
          </w:p>
        </w:tc>
        <w:tc>
          <w:tcPr>
            <w:tcW w:w="414" w:type="pct"/>
            <w:tcBorders>
              <w:top w:val="nil"/>
              <w:bottom w:val="nil"/>
            </w:tcBorders>
          </w:tcPr>
          <w:p w14:paraId="66E5642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1447,7</w:t>
            </w:r>
          </w:p>
        </w:tc>
        <w:tc>
          <w:tcPr>
            <w:tcW w:w="405" w:type="pct"/>
            <w:tcBorders>
              <w:top w:val="nil"/>
              <w:bottom w:val="nil"/>
            </w:tcBorders>
            <w:noWrap/>
          </w:tcPr>
          <w:p w14:paraId="093F7DF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1497,8</w:t>
            </w:r>
          </w:p>
        </w:tc>
      </w:tr>
      <w:tr w:rsidR="0083434C" w:rsidRPr="00922154" w14:paraId="5E813AD6" w14:textId="77777777" w:rsidTr="00D56E2A">
        <w:trPr>
          <w:trHeight w:val="340"/>
        </w:trPr>
        <w:tc>
          <w:tcPr>
            <w:tcW w:w="1323" w:type="pct"/>
            <w:tcBorders>
              <w:top w:val="nil"/>
              <w:bottom w:val="nil"/>
            </w:tcBorders>
            <w:noWrap/>
          </w:tcPr>
          <w:p w14:paraId="1F879501"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Driftsresultat</w:t>
            </w:r>
          </w:p>
        </w:tc>
        <w:tc>
          <w:tcPr>
            <w:tcW w:w="357" w:type="pct"/>
            <w:tcBorders>
              <w:top w:val="nil"/>
              <w:bottom w:val="nil"/>
            </w:tcBorders>
            <w:noWrap/>
          </w:tcPr>
          <w:p w14:paraId="2F6BF96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802,4</w:t>
            </w:r>
          </w:p>
        </w:tc>
        <w:tc>
          <w:tcPr>
            <w:tcW w:w="357" w:type="pct"/>
            <w:tcBorders>
              <w:top w:val="nil"/>
              <w:bottom w:val="nil"/>
            </w:tcBorders>
            <w:noWrap/>
          </w:tcPr>
          <w:p w14:paraId="5C4C3E3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782,8</w:t>
            </w:r>
          </w:p>
        </w:tc>
        <w:tc>
          <w:tcPr>
            <w:tcW w:w="357" w:type="pct"/>
            <w:tcBorders>
              <w:top w:val="nil"/>
              <w:bottom w:val="nil"/>
            </w:tcBorders>
            <w:noWrap/>
          </w:tcPr>
          <w:p w14:paraId="73FC5EC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909,4</w:t>
            </w:r>
          </w:p>
        </w:tc>
        <w:tc>
          <w:tcPr>
            <w:tcW w:w="357" w:type="pct"/>
            <w:tcBorders>
              <w:top w:val="nil"/>
              <w:bottom w:val="nil"/>
            </w:tcBorders>
            <w:noWrap/>
          </w:tcPr>
          <w:p w14:paraId="33CC25F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677,4</w:t>
            </w:r>
          </w:p>
        </w:tc>
        <w:tc>
          <w:tcPr>
            <w:tcW w:w="357" w:type="pct"/>
            <w:tcBorders>
              <w:top w:val="nil"/>
              <w:bottom w:val="nil"/>
            </w:tcBorders>
            <w:noWrap/>
          </w:tcPr>
          <w:p w14:paraId="39D89D4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770,9</w:t>
            </w:r>
          </w:p>
        </w:tc>
        <w:tc>
          <w:tcPr>
            <w:tcW w:w="357" w:type="pct"/>
            <w:tcBorders>
              <w:top w:val="nil"/>
              <w:bottom w:val="nil"/>
            </w:tcBorders>
            <w:noWrap/>
          </w:tcPr>
          <w:p w14:paraId="4616FAB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865,0</w:t>
            </w:r>
          </w:p>
        </w:tc>
        <w:tc>
          <w:tcPr>
            <w:tcW w:w="357" w:type="pct"/>
            <w:tcBorders>
              <w:top w:val="nil"/>
              <w:bottom w:val="nil"/>
            </w:tcBorders>
            <w:noWrap/>
          </w:tcPr>
          <w:p w14:paraId="7A9C5E3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920,3</w:t>
            </w:r>
          </w:p>
        </w:tc>
        <w:tc>
          <w:tcPr>
            <w:tcW w:w="357" w:type="pct"/>
            <w:tcBorders>
              <w:top w:val="nil"/>
              <w:bottom w:val="nil"/>
            </w:tcBorders>
            <w:noWrap/>
          </w:tcPr>
          <w:p w14:paraId="5BD694B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913,4</w:t>
            </w:r>
          </w:p>
        </w:tc>
        <w:tc>
          <w:tcPr>
            <w:tcW w:w="414" w:type="pct"/>
            <w:tcBorders>
              <w:top w:val="nil"/>
              <w:bottom w:val="nil"/>
            </w:tcBorders>
          </w:tcPr>
          <w:p w14:paraId="5213B70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890,4</w:t>
            </w:r>
          </w:p>
        </w:tc>
        <w:tc>
          <w:tcPr>
            <w:tcW w:w="405" w:type="pct"/>
            <w:tcBorders>
              <w:top w:val="nil"/>
              <w:bottom w:val="nil"/>
            </w:tcBorders>
            <w:noWrap/>
          </w:tcPr>
          <w:p w14:paraId="59604D4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785,8</w:t>
            </w:r>
          </w:p>
        </w:tc>
      </w:tr>
      <w:tr w:rsidR="0083434C" w:rsidRPr="00922154" w14:paraId="3B706AEB" w14:textId="77777777" w:rsidTr="00D56E2A">
        <w:trPr>
          <w:trHeight w:val="340"/>
        </w:trPr>
        <w:tc>
          <w:tcPr>
            <w:tcW w:w="1323" w:type="pct"/>
            <w:tcBorders>
              <w:top w:val="nil"/>
              <w:bottom w:val="nil"/>
            </w:tcBorders>
            <w:noWrap/>
          </w:tcPr>
          <w:p w14:paraId="1835EE08" w14:textId="77777777" w:rsidR="0083434C"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Driftsresultat i olje- og gassutvinning inkl. rørtransport</w:t>
            </w:r>
          </w:p>
          <w:p w14:paraId="1EBB1DBA" w14:textId="77777777" w:rsidR="00D56E2A" w:rsidRPr="00922154" w:rsidRDefault="00D56E2A" w:rsidP="00083940">
            <w:pPr>
              <w:autoSpaceDE w:val="0"/>
              <w:autoSpaceDN w:val="0"/>
              <w:adjustRightInd w:val="0"/>
              <w:spacing w:after="0"/>
              <w:rPr>
                <w:rFonts w:ascii="Times New Roman" w:hAnsi="Times New Roman"/>
                <w:color w:val="000000"/>
                <w:sz w:val="18"/>
                <w:szCs w:val="18"/>
              </w:rPr>
            </w:pPr>
          </w:p>
        </w:tc>
        <w:tc>
          <w:tcPr>
            <w:tcW w:w="357" w:type="pct"/>
            <w:tcBorders>
              <w:top w:val="nil"/>
              <w:bottom w:val="nil"/>
            </w:tcBorders>
            <w:noWrap/>
          </w:tcPr>
          <w:p w14:paraId="0B70375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440,6</w:t>
            </w:r>
          </w:p>
        </w:tc>
        <w:tc>
          <w:tcPr>
            <w:tcW w:w="357" w:type="pct"/>
            <w:tcBorders>
              <w:top w:val="nil"/>
              <w:bottom w:val="nil"/>
            </w:tcBorders>
            <w:noWrap/>
          </w:tcPr>
          <w:p w14:paraId="6B071AF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398,3</w:t>
            </w:r>
          </w:p>
        </w:tc>
        <w:tc>
          <w:tcPr>
            <w:tcW w:w="357" w:type="pct"/>
            <w:tcBorders>
              <w:top w:val="nil"/>
              <w:bottom w:val="nil"/>
            </w:tcBorders>
            <w:noWrap/>
          </w:tcPr>
          <w:p w14:paraId="0AA1FE8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521,9</w:t>
            </w:r>
          </w:p>
        </w:tc>
        <w:tc>
          <w:tcPr>
            <w:tcW w:w="357" w:type="pct"/>
            <w:tcBorders>
              <w:top w:val="nil"/>
              <w:bottom w:val="nil"/>
            </w:tcBorders>
            <w:noWrap/>
          </w:tcPr>
          <w:p w14:paraId="03AD31B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318,5</w:t>
            </w:r>
          </w:p>
        </w:tc>
        <w:tc>
          <w:tcPr>
            <w:tcW w:w="357" w:type="pct"/>
            <w:tcBorders>
              <w:top w:val="nil"/>
              <w:bottom w:val="nil"/>
            </w:tcBorders>
            <w:noWrap/>
          </w:tcPr>
          <w:p w14:paraId="265922A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359,9</w:t>
            </w:r>
          </w:p>
        </w:tc>
        <w:tc>
          <w:tcPr>
            <w:tcW w:w="357" w:type="pct"/>
            <w:tcBorders>
              <w:top w:val="nil"/>
              <w:bottom w:val="nil"/>
            </w:tcBorders>
            <w:noWrap/>
          </w:tcPr>
          <w:p w14:paraId="449447F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467,1</w:t>
            </w:r>
          </w:p>
        </w:tc>
        <w:tc>
          <w:tcPr>
            <w:tcW w:w="357" w:type="pct"/>
            <w:tcBorders>
              <w:top w:val="nil"/>
              <w:bottom w:val="nil"/>
            </w:tcBorders>
            <w:noWrap/>
          </w:tcPr>
          <w:p w14:paraId="07990DD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491,6</w:t>
            </w:r>
          </w:p>
        </w:tc>
        <w:tc>
          <w:tcPr>
            <w:tcW w:w="357" w:type="pct"/>
            <w:tcBorders>
              <w:top w:val="nil"/>
              <w:bottom w:val="nil"/>
            </w:tcBorders>
            <w:noWrap/>
          </w:tcPr>
          <w:p w14:paraId="15B4E5C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456,7</w:t>
            </w:r>
          </w:p>
        </w:tc>
        <w:tc>
          <w:tcPr>
            <w:tcW w:w="414" w:type="pct"/>
            <w:tcBorders>
              <w:top w:val="nil"/>
              <w:bottom w:val="nil"/>
            </w:tcBorders>
          </w:tcPr>
          <w:p w14:paraId="57DF894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401,9</w:t>
            </w:r>
          </w:p>
        </w:tc>
        <w:tc>
          <w:tcPr>
            <w:tcW w:w="405" w:type="pct"/>
            <w:tcBorders>
              <w:top w:val="nil"/>
              <w:bottom w:val="nil"/>
            </w:tcBorders>
            <w:noWrap/>
          </w:tcPr>
          <w:p w14:paraId="35A2A3B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288,9</w:t>
            </w:r>
          </w:p>
        </w:tc>
      </w:tr>
      <w:tr w:rsidR="0083434C" w:rsidRPr="00922154" w14:paraId="1EBEC0B8" w14:textId="77777777" w:rsidTr="00D56E2A">
        <w:trPr>
          <w:trHeight w:val="284"/>
        </w:trPr>
        <w:tc>
          <w:tcPr>
            <w:tcW w:w="1323" w:type="pct"/>
            <w:tcBorders>
              <w:top w:val="nil"/>
              <w:bottom w:val="single" w:sz="4" w:space="0" w:color="auto"/>
            </w:tcBorders>
            <w:noWrap/>
          </w:tcPr>
          <w:p w14:paraId="62C28A5E"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xml:space="preserve"> Driftsresultat i øvrige næringer</w:t>
            </w:r>
          </w:p>
        </w:tc>
        <w:tc>
          <w:tcPr>
            <w:tcW w:w="357" w:type="pct"/>
            <w:tcBorders>
              <w:top w:val="nil"/>
              <w:bottom w:val="single" w:sz="4" w:space="0" w:color="auto"/>
            </w:tcBorders>
            <w:noWrap/>
          </w:tcPr>
          <w:p w14:paraId="5C431F8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361,8</w:t>
            </w:r>
          </w:p>
        </w:tc>
        <w:tc>
          <w:tcPr>
            <w:tcW w:w="357" w:type="pct"/>
            <w:tcBorders>
              <w:top w:val="nil"/>
              <w:bottom w:val="single" w:sz="4" w:space="0" w:color="auto"/>
            </w:tcBorders>
            <w:noWrap/>
          </w:tcPr>
          <w:p w14:paraId="161E312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384,5</w:t>
            </w:r>
          </w:p>
        </w:tc>
        <w:tc>
          <w:tcPr>
            <w:tcW w:w="357" w:type="pct"/>
            <w:tcBorders>
              <w:top w:val="nil"/>
              <w:bottom w:val="single" w:sz="4" w:space="0" w:color="auto"/>
            </w:tcBorders>
            <w:noWrap/>
          </w:tcPr>
          <w:p w14:paraId="1F5153B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387,5</w:t>
            </w:r>
          </w:p>
        </w:tc>
        <w:tc>
          <w:tcPr>
            <w:tcW w:w="357" w:type="pct"/>
            <w:tcBorders>
              <w:top w:val="nil"/>
              <w:bottom w:val="single" w:sz="4" w:space="0" w:color="auto"/>
            </w:tcBorders>
            <w:noWrap/>
          </w:tcPr>
          <w:p w14:paraId="0E05F23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359,0</w:t>
            </w:r>
          </w:p>
        </w:tc>
        <w:tc>
          <w:tcPr>
            <w:tcW w:w="357" w:type="pct"/>
            <w:tcBorders>
              <w:top w:val="nil"/>
              <w:bottom w:val="single" w:sz="4" w:space="0" w:color="auto"/>
            </w:tcBorders>
            <w:noWrap/>
          </w:tcPr>
          <w:p w14:paraId="152B0F0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411,1</w:t>
            </w:r>
          </w:p>
        </w:tc>
        <w:tc>
          <w:tcPr>
            <w:tcW w:w="357" w:type="pct"/>
            <w:tcBorders>
              <w:top w:val="nil"/>
              <w:bottom w:val="single" w:sz="4" w:space="0" w:color="auto"/>
            </w:tcBorders>
            <w:noWrap/>
          </w:tcPr>
          <w:p w14:paraId="2FECB64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397,9</w:t>
            </w:r>
          </w:p>
        </w:tc>
        <w:tc>
          <w:tcPr>
            <w:tcW w:w="357" w:type="pct"/>
            <w:tcBorders>
              <w:top w:val="nil"/>
              <w:bottom w:val="single" w:sz="4" w:space="0" w:color="auto"/>
            </w:tcBorders>
            <w:noWrap/>
          </w:tcPr>
          <w:p w14:paraId="271A35E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428,7</w:t>
            </w:r>
          </w:p>
        </w:tc>
        <w:tc>
          <w:tcPr>
            <w:tcW w:w="357" w:type="pct"/>
            <w:tcBorders>
              <w:top w:val="nil"/>
              <w:bottom w:val="single" w:sz="4" w:space="0" w:color="auto"/>
            </w:tcBorders>
            <w:noWrap/>
          </w:tcPr>
          <w:p w14:paraId="3392FD3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456,6</w:t>
            </w:r>
          </w:p>
        </w:tc>
        <w:tc>
          <w:tcPr>
            <w:tcW w:w="414" w:type="pct"/>
            <w:tcBorders>
              <w:top w:val="nil"/>
              <w:bottom w:val="single" w:sz="4" w:space="0" w:color="auto"/>
            </w:tcBorders>
          </w:tcPr>
          <w:p w14:paraId="290A05F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488,5</w:t>
            </w:r>
          </w:p>
        </w:tc>
        <w:tc>
          <w:tcPr>
            <w:tcW w:w="405" w:type="pct"/>
            <w:tcBorders>
              <w:top w:val="nil"/>
              <w:bottom w:val="single" w:sz="4" w:space="0" w:color="auto"/>
            </w:tcBorders>
            <w:noWrap/>
          </w:tcPr>
          <w:p w14:paraId="0092E74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496,9</w:t>
            </w:r>
          </w:p>
        </w:tc>
      </w:tr>
    </w:tbl>
    <w:p w14:paraId="16F42259" w14:textId="77777777" w:rsidR="0083434C" w:rsidRPr="004E73CD" w:rsidRDefault="0083434C" w:rsidP="0083434C">
      <w:pPr>
        <w:spacing w:after="0"/>
        <w:rPr>
          <w:rFonts w:ascii="Times New Roman" w:eastAsia="Times New Roman" w:hAnsi="Times New Roman"/>
          <w:noProof/>
          <w:sz w:val="20"/>
        </w:rPr>
      </w:pPr>
      <w:r w:rsidRPr="004E73CD">
        <w:rPr>
          <w:rFonts w:ascii="Times New Roman" w:eastAsia="Times New Roman" w:hAnsi="Times New Roman"/>
          <w:noProof/>
          <w:sz w:val="20"/>
        </w:rPr>
        <w:t>* Foreløpige tall.</w:t>
      </w:r>
    </w:p>
    <w:p w14:paraId="2ED66499" w14:textId="77777777" w:rsidR="0083434C" w:rsidRPr="004E73CD" w:rsidRDefault="0083434C" w:rsidP="0083434C">
      <w:pPr>
        <w:spacing w:after="0"/>
        <w:rPr>
          <w:rFonts w:ascii="Times New Roman" w:eastAsia="Times New Roman" w:hAnsi="Times New Roman"/>
          <w:noProof/>
          <w:sz w:val="20"/>
        </w:rPr>
      </w:pPr>
      <w:r w:rsidRPr="004E73CD">
        <w:rPr>
          <w:rFonts w:ascii="Times New Roman" w:eastAsia="Times New Roman" w:hAnsi="Times New Roman"/>
          <w:noProof/>
          <w:sz w:val="20"/>
        </w:rPr>
        <w:t>Kilde: Statistisk sentralbyrå</w:t>
      </w:r>
    </w:p>
    <w:p w14:paraId="71DDFC83" w14:textId="77777777" w:rsidR="0083434C" w:rsidRPr="0055770A" w:rsidRDefault="0083434C" w:rsidP="0083434C">
      <w:pPr>
        <w:spacing w:after="0"/>
        <w:rPr>
          <w:rFonts w:ascii="Times New Roman" w:eastAsia="Times New Roman" w:hAnsi="Times New Roman"/>
          <w:noProof/>
        </w:rPr>
      </w:pPr>
    </w:p>
    <w:p w14:paraId="7BE3D226" w14:textId="77777777" w:rsidR="003A24C5" w:rsidRDefault="003A24C5">
      <w:pPr>
        <w:spacing w:after="0"/>
        <w:rPr>
          <w:rFonts w:ascii="Arial" w:eastAsia="Times New Roman" w:hAnsi="Arial" w:cs="Arial"/>
          <w:b/>
          <w:iCs/>
        </w:rPr>
      </w:pPr>
      <w:r>
        <w:rPr>
          <w:rFonts w:ascii="Arial" w:eastAsia="Times New Roman" w:hAnsi="Arial" w:cs="Arial"/>
          <w:b/>
          <w:iCs/>
        </w:rPr>
        <w:br w:type="page"/>
      </w:r>
    </w:p>
    <w:p w14:paraId="2E7E5914" w14:textId="503AD400" w:rsidR="0083434C" w:rsidRPr="004E73CD" w:rsidRDefault="0083434C" w:rsidP="00922154">
      <w:pPr>
        <w:tabs>
          <w:tab w:val="left" w:pos="8400"/>
        </w:tabs>
        <w:suppressAutoHyphens/>
        <w:autoSpaceDE w:val="0"/>
        <w:autoSpaceDN w:val="0"/>
        <w:adjustRightInd w:val="0"/>
        <w:rPr>
          <w:rFonts w:ascii="Arial" w:eastAsia="Times New Roman" w:hAnsi="Arial" w:cs="Arial"/>
          <w:b/>
          <w:iCs/>
        </w:rPr>
      </w:pPr>
      <w:r w:rsidRPr="004E73CD">
        <w:rPr>
          <w:rFonts w:ascii="Arial" w:eastAsia="Times New Roman" w:hAnsi="Arial" w:cs="Arial"/>
          <w:b/>
          <w:iCs/>
        </w:rPr>
        <w:t>Tabell 4.9 Lønnskostnader for noen hovedgrupper av næringer. Milliarder kroner</w:t>
      </w:r>
    </w:p>
    <w:tbl>
      <w:tblPr>
        <w:tblW w:w="5633" w:type="pct"/>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709"/>
        <w:gridCol w:w="834"/>
        <w:gridCol w:w="842"/>
        <w:gridCol w:w="826"/>
        <w:gridCol w:w="692"/>
        <w:gridCol w:w="783"/>
        <w:gridCol w:w="588"/>
        <w:gridCol w:w="112"/>
        <w:gridCol w:w="590"/>
        <w:gridCol w:w="112"/>
        <w:gridCol w:w="476"/>
        <w:gridCol w:w="118"/>
        <w:gridCol w:w="108"/>
        <w:gridCol w:w="443"/>
        <w:gridCol w:w="138"/>
        <w:gridCol w:w="122"/>
        <w:gridCol w:w="358"/>
        <w:gridCol w:w="234"/>
        <w:gridCol w:w="85"/>
      </w:tblGrid>
      <w:tr w:rsidR="0083434C" w:rsidRPr="00922154" w14:paraId="60297F78" w14:textId="77777777" w:rsidTr="00C46569">
        <w:trPr>
          <w:gridAfter w:val="2"/>
          <w:wAfter w:w="157" w:type="pct"/>
          <w:trHeight w:val="240"/>
        </w:trPr>
        <w:tc>
          <w:tcPr>
            <w:tcW w:w="1332" w:type="pct"/>
            <w:noWrap/>
          </w:tcPr>
          <w:p w14:paraId="402C32F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p>
        </w:tc>
        <w:tc>
          <w:tcPr>
            <w:tcW w:w="410" w:type="pct"/>
            <w:noWrap/>
          </w:tcPr>
          <w:p w14:paraId="7AAC6B1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2006</w:t>
            </w:r>
          </w:p>
        </w:tc>
        <w:tc>
          <w:tcPr>
            <w:tcW w:w="414" w:type="pct"/>
            <w:noWrap/>
          </w:tcPr>
          <w:p w14:paraId="439491F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2007</w:t>
            </w:r>
          </w:p>
        </w:tc>
        <w:tc>
          <w:tcPr>
            <w:tcW w:w="406" w:type="pct"/>
            <w:noWrap/>
          </w:tcPr>
          <w:p w14:paraId="35B0977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2008</w:t>
            </w:r>
          </w:p>
        </w:tc>
        <w:tc>
          <w:tcPr>
            <w:tcW w:w="340" w:type="pct"/>
            <w:noWrap/>
          </w:tcPr>
          <w:p w14:paraId="52AF3E7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2009</w:t>
            </w:r>
          </w:p>
        </w:tc>
        <w:tc>
          <w:tcPr>
            <w:tcW w:w="385" w:type="pct"/>
            <w:noWrap/>
          </w:tcPr>
          <w:p w14:paraId="27FC48B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2010</w:t>
            </w:r>
          </w:p>
        </w:tc>
        <w:tc>
          <w:tcPr>
            <w:tcW w:w="289" w:type="pct"/>
            <w:noWrap/>
          </w:tcPr>
          <w:p w14:paraId="147DE35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2011</w:t>
            </w:r>
          </w:p>
        </w:tc>
        <w:tc>
          <w:tcPr>
            <w:tcW w:w="345" w:type="pct"/>
            <w:gridSpan w:val="2"/>
            <w:noWrap/>
          </w:tcPr>
          <w:p w14:paraId="3C86E15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2012</w:t>
            </w:r>
          </w:p>
        </w:tc>
        <w:tc>
          <w:tcPr>
            <w:tcW w:w="289" w:type="pct"/>
            <w:gridSpan w:val="2"/>
            <w:noWrap/>
          </w:tcPr>
          <w:p w14:paraId="1D806A1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2013</w:t>
            </w:r>
          </w:p>
        </w:tc>
        <w:tc>
          <w:tcPr>
            <w:tcW w:w="329" w:type="pct"/>
            <w:gridSpan w:val="3"/>
          </w:tcPr>
          <w:p w14:paraId="62724B11" w14:textId="77777777" w:rsidR="0083434C" w:rsidRPr="00922154" w:rsidRDefault="0083434C" w:rsidP="00C46569">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2014*</w:t>
            </w:r>
          </w:p>
        </w:tc>
        <w:tc>
          <w:tcPr>
            <w:tcW w:w="304" w:type="pct"/>
            <w:gridSpan w:val="3"/>
            <w:noWrap/>
          </w:tcPr>
          <w:p w14:paraId="55B6C828" w14:textId="77777777" w:rsidR="0083434C" w:rsidRPr="00922154" w:rsidRDefault="0083434C" w:rsidP="00C46569">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2015*</w:t>
            </w:r>
          </w:p>
        </w:tc>
      </w:tr>
      <w:tr w:rsidR="0083434C" w:rsidRPr="00922154" w14:paraId="4FC4E257" w14:textId="77777777" w:rsidTr="00C46569">
        <w:trPr>
          <w:trHeight w:val="340"/>
        </w:trPr>
        <w:tc>
          <w:tcPr>
            <w:tcW w:w="1332" w:type="pct"/>
            <w:tcBorders>
              <w:top w:val="nil"/>
              <w:bottom w:val="nil"/>
            </w:tcBorders>
            <w:noWrap/>
          </w:tcPr>
          <w:p w14:paraId="330C0FBD" w14:textId="77777777" w:rsidR="0083434C" w:rsidRPr="00922154" w:rsidRDefault="0083434C" w:rsidP="00083940">
            <w:pPr>
              <w:autoSpaceDE w:val="0"/>
              <w:autoSpaceDN w:val="0"/>
              <w:adjustRightInd w:val="0"/>
              <w:spacing w:after="0"/>
              <w:rPr>
                <w:rFonts w:ascii="Times New Roman" w:hAnsi="Times New Roman"/>
                <w:b/>
                <w:bCs/>
                <w:color w:val="000000"/>
                <w:sz w:val="18"/>
                <w:szCs w:val="18"/>
              </w:rPr>
            </w:pPr>
            <w:r w:rsidRPr="00922154">
              <w:rPr>
                <w:rFonts w:ascii="Times New Roman" w:hAnsi="Times New Roman"/>
                <w:b/>
                <w:bCs/>
                <w:color w:val="000000"/>
                <w:sz w:val="18"/>
                <w:szCs w:val="18"/>
              </w:rPr>
              <w:t>Alle næringer</w:t>
            </w:r>
          </w:p>
        </w:tc>
        <w:tc>
          <w:tcPr>
            <w:tcW w:w="410" w:type="pct"/>
            <w:tcBorders>
              <w:top w:val="nil"/>
              <w:bottom w:val="nil"/>
            </w:tcBorders>
            <w:noWrap/>
          </w:tcPr>
          <w:p w14:paraId="70C483C6"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889,6</w:t>
            </w:r>
          </w:p>
        </w:tc>
        <w:tc>
          <w:tcPr>
            <w:tcW w:w="414" w:type="pct"/>
            <w:tcBorders>
              <w:top w:val="nil"/>
              <w:bottom w:val="nil"/>
            </w:tcBorders>
            <w:noWrap/>
          </w:tcPr>
          <w:p w14:paraId="3E003306"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988,5</w:t>
            </w:r>
          </w:p>
        </w:tc>
        <w:tc>
          <w:tcPr>
            <w:tcW w:w="406" w:type="pct"/>
            <w:tcBorders>
              <w:top w:val="nil"/>
              <w:bottom w:val="nil"/>
            </w:tcBorders>
            <w:noWrap/>
          </w:tcPr>
          <w:p w14:paraId="28B23CD5"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1087,0</w:t>
            </w:r>
          </w:p>
        </w:tc>
        <w:tc>
          <w:tcPr>
            <w:tcW w:w="340" w:type="pct"/>
            <w:tcBorders>
              <w:top w:val="nil"/>
              <w:bottom w:val="nil"/>
            </w:tcBorders>
            <w:noWrap/>
          </w:tcPr>
          <w:p w14:paraId="58D46E13"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1119,4</w:t>
            </w:r>
          </w:p>
        </w:tc>
        <w:tc>
          <w:tcPr>
            <w:tcW w:w="385" w:type="pct"/>
            <w:tcBorders>
              <w:top w:val="nil"/>
              <w:bottom w:val="nil"/>
            </w:tcBorders>
            <w:noWrap/>
          </w:tcPr>
          <w:p w14:paraId="688FBFAB"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1151,1</w:t>
            </w:r>
          </w:p>
        </w:tc>
        <w:tc>
          <w:tcPr>
            <w:tcW w:w="344" w:type="pct"/>
            <w:gridSpan w:val="2"/>
            <w:tcBorders>
              <w:top w:val="nil"/>
              <w:bottom w:val="nil"/>
            </w:tcBorders>
            <w:noWrap/>
          </w:tcPr>
          <w:p w14:paraId="6DB8EB1E"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1225,1</w:t>
            </w:r>
          </w:p>
        </w:tc>
        <w:tc>
          <w:tcPr>
            <w:tcW w:w="345" w:type="pct"/>
            <w:gridSpan w:val="2"/>
            <w:tcBorders>
              <w:top w:val="nil"/>
              <w:bottom w:val="nil"/>
            </w:tcBorders>
            <w:noWrap/>
          </w:tcPr>
          <w:p w14:paraId="6A20E298"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1308,8</w:t>
            </w:r>
          </w:p>
        </w:tc>
        <w:tc>
          <w:tcPr>
            <w:tcW w:w="345" w:type="pct"/>
            <w:gridSpan w:val="3"/>
            <w:tcBorders>
              <w:top w:val="nil"/>
              <w:bottom w:val="nil"/>
            </w:tcBorders>
            <w:noWrap/>
          </w:tcPr>
          <w:p w14:paraId="0AA1D570" w14:textId="77777777" w:rsidR="0083434C" w:rsidRPr="00922154" w:rsidRDefault="0083434C" w:rsidP="00C46569">
            <w:pPr>
              <w:autoSpaceDE w:val="0"/>
              <w:autoSpaceDN w:val="0"/>
              <w:adjustRightInd w:val="0"/>
              <w:spacing w:after="0"/>
              <w:ind w:left="-229"/>
              <w:jc w:val="right"/>
              <w:rPr>
                <w:rFonts w:ascii="Times New Roman" w:hAnsi="Times New Roman"/>
                <w:b/>
                <w:bCs/>
                <w:color w:val="000000"/>
                <w:sz w:val="18"/>
                <w:szCs w:val="18"/>
              </w:rPr>
            </w:pPr>
            <w:r w:rsidRPr="00922154">
              <w:rPr>
                <w:rFonts w:ascii="Times New Roman" w:hAnsi="Times New Roman"/>
                <w:b/>
                <w:bCs/>
                <w:color w:val="000000"/>
                <w:sz w:val="18"/>
                <w:szCs w:val="18"/>
              </w:rPr>
              <w:t>1384,6</w:t>
            </w:r>
          </w:p>
        </w:tc>
        <w:tc>
          <w:tcPr>
            <w:tcW w:w="346" w:type="pct"/>
            <w:gridSpan w:val="3"/>
            <w:tcBorders>
              <w:top w:val="nil"/>
              <w:bottom w:val="nil"/>
            </w:tcBorders>
          </w:tcPr>
          <w:p w14:paraId="7D85D298"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1447,7</w:t>
            </w:r>
          </w:p>
        </w:tc>
        <w:tc>
          <w:tcPr>
            <w:tcW w:w="333" w:type="pct"/>
            <w:gridSpan w:val="3"/>
            <w:tcBorders>
              <w:top w:val="nil"/>
              <w:bottom w:val="nil"/>
            </w:tcBorders>
            <w:noWrap/>
          </w:tcPr>
          <w:p w14:paraId="11ED182B"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1497,8</w:t>
            </w:r>
          </w:p>
        </w:tc>
      </w:tr>
      <w:tr w:rsidR="0083434C" w:rsidRPr="00922154" w14:paraId="2411CB06" w14:textId="77777777" w:rsidTr="00C46569">
        <w:trPr>
          <w:gridAfter w:val="1"/>
          <w:wAfter w:w="42" w:type="pct"/>
          <w:trHeight w:val="340"/>
        </w:trPr>
        <w:tc>
          <w:tcPr>
            <w:tcW w:w="1332" w:type="pct"/>
            <w:tcBorders>
              <w:top w:val="nil"/>
              <w:bottom w:val="nil"/>
            </w:tcBorders>
            <w:noWrap/>
          </w:tcPr>
          <w:p w14:paraId="4F2C10B3" w14:textId="5DF154A9" w:rsidR="0083434C" w:rsidRPr="00922154" w:rsidRDefault="00695630" w:rsidP="00083940">
            <w:pPr>
              <w:autoSpaceDE w:val="0"/>
              <w:autoSpaceDN w:val="0"/>
              <w:adjustRightInd w:val="0"/>
              <w:spacing w:after="0"/>
              <w:rPr>
                <w:rFonts w:ascii="Times New Roman" w:hAnsi="Times New Roman"/>
                <w:color w:val="000000"/>
                <w:sz w:val="18"/>
                <w:szCs w:val="18"/>
              </w:rPr>
            </w:pPr>
            <w:r>
              <w:rPr>
                <w:rFonts w:ascii="Times New Roman" w:hAnsi="Times New Roman"/>
                <w:color w:val="000000"/>
                <w:sz w:val="18"/>
                <w:szCs w:val="18"/>
              </w:rPr>
              <w:t>Offentlig forvaltning</w:t>
            </w:r>
            <w:r w:rsidR="0083434C" w:rsidRPr="00922154">
              <w:rPr>
                <w:rFonts w:ascii="Times New Roman" w:hAnsi="Times New Roman"/>
                <w:color w:val="000000"/>
                <w:sz w:val="18"/>
                <w:szCs w:val="18"/>
              </w:rPr>
              <w:t>*</w:t>
            </w:r>
          </w:p>
        </w:tc>
        <w:tc>
          <w:tcPr>
            <w:tcW w:w="410" w:type="pct"/>
            <w:tcBorders>
              <w:top w:val="nil"/>
              <w:bottom w:val="nil"/>
            </w:tcBorders>
            <w:noWrap/>
          </w:tcPr>
          <w:p w14:paraId="68898ED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260,2</w:t>
            </w:r>
          </w:p>
        </w:tc>
        <w:tc>
          <w:tcPr>
            <w:tcW w:w="414" w:type="pct"/>
            <w:tcBorders>
              <w:top w:val="nil"/>
              <w:bottom w:val="nil"/>
            </w:tcBorders>
            <w:noWrap/>
          </w:tcPr>
          <w:p w14:paraId="003A034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283,4</w:t>
            </w:r>
          </w:p>
        </w:tc>
        <w:tc>
          <w:tcPr>
            <w:tcW w:w="406" w:type="pct"/>
            <w:tcBorders>
              <w:top w:val="nil"/>
              <w:bottom w:val="nil"/>
            </w:tcBorders>
            <w:noWrap/>
          </w:tcPr>
          <w:p w14:paraId="4C9CC2F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309,9</w:t>
            </w:r>
          </w:p>
        </w:tc>
        <w:tc>
          <w:tcPr>
            <w:tcW w:w="340" w:type="pct"/>
            <w:tcBorders>
              <w:top w:val="nil"/>
              <w:bottom w:val="nil"/>
            </w:tcBorders>
            <w:noWrap/>
          </w:tcPr>
          <w:p w14:paraId="34EF4C9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331,9</w:t>
            </w:r>
          </w:p>
        </w:tc>
        <w:tc>
          <w:tcPr>
            <w:tcW w:w="385" w:type="pct"/>
            <w:tcBorders>
              <w:top w:val="nil"/>
              <w:bottom w:val="nil"/>
            </w:tcBorders>
            <w:noWrap/>
          </w:tcPr>
          <w:p w14:paraId="5B5A88E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350,0</w:t>
            </w:r>
          </w:p>
        </w:tc>
        <w:tc>
          <w:tcPr>
            <w:tcW w:w="289" w:type="pct"/>
            <w:tcBorders>
              <w:top w:val="nil"/>
              <w:bottom w:val="nil"/>
            </w:tcBorders>
            <w:noWrap/>
          </w:tcPr>
          <w:p w14:paraId="3B42373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372,4</w:t>
            </w:r>
          </w:p>
        </w:tc>
        <w:tc>
          <w:tcPr>
            <w:tcW w:w="345" w:type="pct"/>
            <w:gridSpan w:val="2"/>
            <w:tcBorders>
              <w:top w:val="nil"/>
              <w:bottom w:val="nil"/>
            </w:tcBorders>
            <w:noWrap/>
          </w:tcPr>
          <w:p w14:paraId="764E2A0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395,5</w:t>
            </w:r>
          </w:p>
        </w:tc>
        <w:tc>
          <w:tcPr>
            <w:tcW w:w="347" w:type="pct"/>
            <w:gridSpan w:val="3"/>
            <w:tcBorders>
              <w:top w:val="nil"/>
              <w:bottom w:val="nil"/>
            </w:tcBorders>
            <w:noWrap/>
          </w:tcPr>
          <w:p w14:paraId="2FAE321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418,1</w:t>
            </w:r>
          </w:p>
        </w:tc>
        <w:tc>
          <w:tcPr>
            <w:tcW w:w="339" w:type="pct"/>
            <w:gridSpan w:val="3"/>
            <w:tcBorders>
              <w:top w:val="nil"/>
              <w:bottom w:val="nil"/>
            </w:tcBorders>
          </w:tcPr>
          <w:p w14:paraId="48C4925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441,2</w:t>
            </w:r>
          </w:p>
        </w:tc>
        <w:tc>
          <w:tcPr>
            <w:tcW w:w="351" w:type="pct"/>
            <w:gridSpan w:val="3"/>
            <w:tcBorders>
              <w:top w:val="nil"/>
              <w:bottom w:val="nil"/>
            </w:tcBorders>
            <w:noWrap/>
          </w:tcPr>
          <w:p w14:paraId="382FFD3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463,9</w:t>
            </w:r>
          </w:p>
        </w:tc>
      </w:tr>
      <w:tr w:rsidR="0083434C" w:rsidRPr="00922154" w14:paraId="0BF3E499" w14:textId="77777777" w:rsidTr="00C46569">
        <w:trPr>
          <w:gridAfter w:val="1"/>
          <w:wAfter w:w="42" w:type="pct"/>
          <w:trHeight w:val="340"/>
        </w:trPr>
        <w:tc>
          <w:tcPr>
            <w:tcW w:w="1332" w:type="pct"/>
            <w:tcBorders>
              <w:top w:val="nil"/>
              <w:bottom w:val="nil"/>
            </w:tcBorders>
            <w:noWrap/>
          </w:tcPr>
          <w:p w14:paraId="6EB36B28" w14:textId="7422D0FE" w:rsidR="0083434C"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Ideelle organisasj</w:t>
            </w:r>
            <w:r w:rsidR="00961AD6">
              <w:rPr>
                <w:rFonts w:ascii="Times New Roman" w:hAnsi="Times New Roman"/>
                <w:color w:val="000000"/>
                <w:sz w:val="18"/>
                <w:szCs w:val="18"/>
              </w:rPr>
              <w:t>oner, boligtjenester, eget bruk</w:t>
            </w:r>
          </w:p>
          <w:p w14:paraId="59A666D1" w14:textId="47F07488" w:rsidR="00961AD6" w:rsidRPr="00922154" w:rsidRDefault="00961AD6" w:rsidP="00083940">
            <w:pPr>
              <w:autoSpaceDE w:val="0"/>
              <w:autoSpaceDN w:val="0"/>
              <w:adjustRightInd w:val="0"/>
              <w:spacing w:after="0"/>
              <w:rPr>
                <w:rFonts w:ascii="Times New Roman" w:hAnsi="Times New Roman"/>
                <w:color w:val="000000"/>
                <w:sz w:val="18"/>
                <w:szCs w:val="18"/>
              </w:rPr>
            </w:pPr>
          </w:p>
        </w:tc>
        <w:tc>
          <w:tcPr>
            <w:tcW w:w="410" w:type="pct"/>
            <w:tcBorders>
              <w:top w:val="nil"/>
              <w:bottom w:val="nil"/>
            </w:tcBorders>
            <w:noWrap/>
          </w:tcPr>
          <w:p w14:paraId="5FC33E4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21,6</w:t>
            </w:r>
          </w:p>
        </w:tc>
        <w:tc>
          <w:tcPr>
            <w:tcW w:w="414" w:type="pct"/>
            <w:tcBorders>
              <w:top w:val="nil"/>
              <w:bottom w:val="nil"/>
            </w:tcBorders>
            <w:noWrap/>
          </w:tcPr>
          <w:p w14:paraId="60385E1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23,7</w:t>
            </w:r>
          </w:p>
        </w:tc>
        <w:tc>
          <w:tcPr>
            <w:tcW w:w="406" w:type="pct"/>
            <w:tcBorders>
              <w:top w:val="nil"/>
              <w:bottom w:val="nil"/>
            </w:tcBorders>
            <w:noWrap/>
          </w:tcPr>
          <w:p w14:paraId="6D7F6D3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26,0</w:t>
            </w:r>
          </w:p>
        </w:tc>
        <w:tc>
          <w:tcPr>
            <w:tcW w:w="340" w:type="pct"/>
            <w:tcBorders>
              <w:top w:val="nil"/>
              <w:bottom w:val="nil"/>
            </w:tcBorders>
            <w:noWrap/>
          </w:tcPr>
          <w:p w14:paraId="4C8D489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28,3</w:t>
            </w:r>
          </w:p>
        </w:tc>
        <w:tc>
          <w:tcPr>
            <w:tcW w:w="385" w:type="pct"/>
            <w:tcBorders>
              <w:top w:val="nil"/>
              <w:bottom w:val="nil"/>
            </w:tcBorders>
            <w:noWrap/>
          </w:tcPr>
          <w:p w14:paraId="6326CDD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28,9</w:t>
            </w:r>
          </w:p>
        </w:tc>
        <w:tc>
          <w:tcPr>
            <w:tcW w:w="289" w:type="pct"/>
            <w:tcBorders>
              <w:top w:val="nil"/>
              <w:bottom w:val="nil"/>
            </w:tcBorders>
            <w:noWrap/>
          </w:tcPr>
          <w:p w14:paraId="62B40DD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31,4</w:t>
            </w:r>
          </w:p>
        </w:tc>
        <w:tc>
          <w:tcPr>
            <w:tcW w:w="345" w:type="pct"/>
            <w:gridSpan w:val="2"/>
            <w:tcBorders>
              <w:top w:val="nil"/>
              <w:bottom w:val="nil"/>
            </w:tcBorders>
            <w:noWrap/>
          </w:tcPr>
          <w:p w14:paraId="3083F5A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32,8</w:t>
            </w:r>
          </w:p>
        </w:tc>
        <w:tc>
          <w:tcPr>
            <w:tcW w:w="347" w:type="pct"/>
            <w:gridSpan w:val="3"/>
            <w:tcBorders>
              <w:top w:val="nil"/>
              <w:bottom w:val="nil"/>
            </w:tcBorders>
            <w:noWrap/>
          </w:tcPr>
          <w:p w14:paraId="5173EDD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34,7</w:t>
            </w:r>
          </w:p>
        </w:tc>
        <w:tc>
          <w:tcPr>
            <w:tcW w:w="339" w:type="pct"/>
            <w:gridSpan w:val="3"/>
            <w:tcBorders>
              <w:top w:val="nil"/>
              <w:bottom w:val="nil"/>
            </w:tcBorders>
          </w:tcPr>
          <w:p w14:paraId="6779548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36,2</w:t>
            </w:r>
          </w:p>
        </w:tc>
        <w:tc>
          <w:tcPr>
            <w:tcW w:w="351" w:type="pct"/>
            <w:gridSpan w:val="3"/>
            <w:tcBorders>
              <w:top w:val="nil"/>
              <w:bottom w:val="nil"/>
            </w:tcBorders>
            <w:noWrap/>
          </w:tcPr>
          <w:p w14:paraId="34ADD5E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37,9</w:t>
            </w:r>
          </w:p>
        </w:tc>
      </w:tr>
      <w:tr w:rsidR="0083434C" w:rsidRPr="00922154" w14:paraId="05645A86" w14:textId="77777777" w:rsidTr="00C46569">
        <w:trPr>
          <w:gridAfter w:val="1"/>
          <w:wAfter w:w="42" w:type="pct"/>
          <w:trHeight w:val="340"/>
        </w:trPr>
        <w:tc>
          <w:tcPr>
            <w:tcW w:w="1332" w:type="pct"/>
            <w:tcBorders>
              <w:top w:val="nil"/>
              <w:bottom w:val="nil"/>
            </w:tcBorders>
          </w:tcPr>
          <w:p w14:paraId="269587B7" w14:textId="77777777" w:rsidR="0083434C" w:rsidRPr="00922154" w:rsidRDefault="0083434C" w:rsidP="00083940">
            <w:pPr>
              <w:autoSpaceDE w:val="0"/>
              <w:autoSpaceDN w:val="0"/>
              <w:adjustRightInd w:val="0"/>
              <w:spacing w:after="0"/>
              <w:rPr>
                <w:rFonts w:ascii="Times New Roman" w:hAnsi="Times New Roman"/>
                <w:b/>
                <w:bCs/>
                <w:color w:val="000000"/>
                <w:sz w:val="18"/>
                <w:szCs w:val="18"/>
              </w:rPr>
            </w:pPr>
            <w:r w:rsidRPr="00922154">
              <w:rPr>
                <w:rFonts w:ascii="Times New Roman" w:hAnsi="Times New Roman"/>
                <w:b/>
                <w:bCs/>
                <w:color w:val="000000"/>
                <w:sz w:val="18"/>
                <w:szCs w:val="18"/>
              </w:rPr>
              <w:t xml:space="preserve">Markedsrettet virksomhet </w:t>
            </w:r>
          </w:p>
        </w:tc>
        <w:tc>
          <w:tcPr>
            <w:tcW w:w="410" w:type="pct"/>
            <w:tcBorders>
              <w:top w:val="nil"/>
              <w:bottom w:val="nil"/>
            </w:tcBorders>
          </w:tcPr>
          <w:p w14:paraId="518451EB"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607,8</w:t>
            </w:r>
          </w:p>
        </w:tc>
        <w:tc>
          <w:tcPr>
            <w:tcW w:w="414" w:type="pct"/>
            <w:tcBorders>
              <w:top w:val="nil"/>
              <w:bottom w:val="nil"/>
            </w:tcBorders>
          </w:tcPr>
          <w:p w14:paraId="5C47876D"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681,4</w:t>
            </w:r>
          </w:p>
        </w:tc>
        <w:tc>
          <w:tcPr>
            <w:tcW w:w="406" w:type="pct"/>
            <w:tcBorders>
              <w:top w:val="nil"/>
              <w:bottom w:val="nil"/>
            </w:tcBorders>
          </w:tcPr>
          <w:p w14:paraId="3F233F62"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751,1</w:t>
            </w:r>
          </w:p>
        </w:tc>
        <w:tc>
          <w:tcPr>
            <w:tcW w:w="340" w:type="pct"/>
            <w:tcBorders>
              <w:top w:val="nil"/>
              <w:bottom w:val="nil"/>
            </w:tcBorders>
          </w:tcPr>
          <w:p w14:paraId="464363D3"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759,2</w:t>
            </w:r>
          </w:p>
        </w:tc>
        <w:tc>
          <w:tcPr>
            <w:tcW w:w="385" w:type="pct"/>
            <w:tcBorders>
              <w:top w:val="nil"/>
              <w:bottom w:val="nil"/>
            </w:tcBorders>
          </w:tcPr>
          <w:p w14:paraId="22596B99"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772,2</w:t>
            </w:r>
          </w:p>
        </w:tc>
        <w:tc>
          <w:tcPr>
            <w:tcW w:w="289" w:type="pct"/>
            <w:tcBorders>
              <w:top w:val="nil"/>
              <w:bottom w:val="nil"/>
            </w:tcBorders>
          </w:tcPr>
          <w:p w14:paraId="5B818D2B"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821,3</w:t>
            </w:r>
          </w:p>
        </w:tc>
        <w:tc>
          <w:tcPr>
            <w:tcW w:w="345" w:type="pct"/>
            <w:gridSpan w:val="2"/>
            <w:tcBorders>
              <w:top w:val="nil"/>
              <w:bottom w:val="nil"/>
            </w:tcBorders>
          </w:tcPr>
          <w:p w14:paraId="14119A7E"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880,5</w:t>
            </w:r>
          </w:p>
        </w:tc>
        <w:tc>
          <w:tcPr>
            <w:tcW w:w="347" w:type="pct"/>
            <w:gridSpan w:val="3"/>
            <w:tcBorders>
              <w:top w:val="nil"/>
              <w:bottom w:val="nil"/>
            </w:tcBorders>
          </w:tcPr>
          <w:p w14:paraId="02608E85"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931,8</w:t>
            </w:r>
          </w:p>
        </w:tc>
        <w:tc>
          <w:tcPr>
            <w:tcW w:w="339" w:type="pct"/>
            <w:gridSpan w:val="3"/>
            <w:tcBorders>
              <w:top w:val="nil"/>
              <w:bottom w:val="nil"/>
            </w:tcBorders>
          </w:tcPr>
          <w:p w14:paraId="4D484760"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970,3</w:t>
            </w:r>
          </w:p>
        </w:tc>
        <w:tc>
          <w:tcPr>
            <w:tcW w:w="351" w:type="pct"/>
            <w:gridSpan w:val="3"/>
            <w:tcBorders>
              <w:top w:val="nil"/>
              <w:bottom w:val="nil"/>
            </w:tcBorders>
          </w:tcPr>
          <w:p w14:paraId="68E71D85" w14:textId="77777777" w:rsidR="0083434C" w:rsidRPr="00922154" w:rsidRDefault="0083434C" w:rsidP="00083940">
            <w:pPr>
              <w:autoSpaceDE w:val="0"/>
              <w:autoSpaceDN w:val="0"/>
              <w:adjustRightInd w:val="0"/>
              <w:spacing w:after="0"/>
              <w:jc w:val="right"/>
              <w:rPr>
                <w:rFonts w:ascii="Times New Roman" w:hAnsi="Times New Roman"/>
                <w:b/>
                <w:bCs/>
                <w:color w:val="000000"/>
                <w:sz w:val="18"/>
                <w:szCs w:val="18"/>
              </w:rPr>
            </w:pPr>
            <w:r w:rsidRPr="00922154">
              <w:rPr>
                <w:rFonts w:ascii="Times New Roman" w:hAnsi="Times New Roman"/>
                <w:b/>
                <w:bCs/>
                <w:color w:val="000000"/>
                <w:sz w:val="18"/>
                <w:szCs w:val="18"/>
              </w:rPr>
              <w:t>995,9</w:t>
            </w:r>
          </w:p>
        </w:tc>
      </w:tr>
      <w:tr w:rsidR="0083434C" w:rsidRPr="00922154" w14:paraId="6651A254" w14:textId="77777777" w:rsidTr="00C46569">
        <w:trPr>
          <w:gridAfter w:val="1"/>
          <w:wAfter w:w="42" w:type="pct"/>
          <w:trHeight w:val="340"/>
        </w:trPr>
        <w:tc>
          <w:tcPr>
            <w:tcW w:w="1332" w:type="pct"/>
            <w:tcBorders>
              <w:top w:val="nil"/>
              <w:bottom w:val="nil"/>
            </w:tcBorders>
            <w:noWrap/>
          </w:tcPr>
          <w:p w14:paraId="76B89D07" w14:textId="77777777" w:rsidR="0083434C"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Olje- og gassutvinning inkl. rørtransport</w:t>
            </w:r>
          </w:p>
          <w:p w14:paraId="75F18D09" w14:textId="77777777" w:rsidR="00961AD6" w:rsidRPr="00922154" w:rsidRDefault="00961AD6" w:rsidP="00083940">
            <w:pPr>
              <w:autoSpaceDE w:val="0"/>
              <w:autoSpaceDN w:val="0"/>
              <w:adjustRightInd w:val="0"/>
              <w:spacing w:after="0"/>
              <w:rPr>
                <w:rFonts w:ascii="Times New Roman" w:hAnsi="Times New Roman"/>
                <w:color w:val="000000"/>
                <w:sz w:val="18"/>
                <w:szCs w:val="18"/>
              </w:rPr>
            </w:pPr>
          </w:p>
        </w:tc>
        <w:tc>
          <w:tcPr>
            <w:tcW w:w="410" w:type="pct"/>
            <w:tcBorders>
              <w:top w:val="nil"/>
              <w:bottom w:val="nil"/>
            </w:tcBorders>
            <w:noWrap/>
          </w:tcPr>
          <w:p w14:paraId="4EBC819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16,7</w:t>
            </w:r>
          </w:p>
        </w:tc>
        <w:tc>
          <w:tcPr>
            <w:tcW w:w="414" w:type="pct"/>
            <w:tcBorders>
              <w:top w:val="nil"/>
              <w:bottom w:val="nil"/>
            </w:tcBorders>
            <w:noWrap/>
          </w:tcPr>
          <w:p w14:paraId="30C53AE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19,0</w:t>
            </w:r>
          </w:p>
        </w:tc>
        <w:tc>
          <w:tcPr>
            <w:tcW w:w="406" w:type="pct"/>
            <w:tcBorders>
              <w:top w:val="nil"/>
              <w:bottom w:val="nil"/>
            </w:tcBorders>
            <w:noWrap/>
          </w:tcPr>
          <w:p w14:paraId="1970913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24,2</w:t>
            </w:r>
          </w:p>
        </w:tc>
        <w:tc>
          <w:tcPr>
            <w:tcW w:w="340" w:type="pct"/>
            <w:tcBorders>
              <w:top w:val="nil"/>
              <w:bottom w:val="nil"/>
            </w:tcBorders>
            <w:noWrap/>
          </w:tcPr>
          <w:p w14:paraId="0E7FF62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28,1</w:t>
            </w:r>
          </w:p>
        </w:tc>
        <w:tc>
          <w:tcPr>
            <w:tcW w:w="385" w:type="pct"/>
            <w:tcBorders>
              <w:top w:val="nil"/>
              <w:bottom w:val="nil"/>
            </w:tcBorders>
            <w:noWrap/>
          </w:tcPr>
          <w:p w14:paraId="5E11E8D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29,9</w:t>
            </w:r>
          </w:p>
        </w:tc>
        <w:tc>
          <w:tcPr>
            <w:tcW w:w="289" w:type="pct"/>
            <w:tcBorders>
              <w:top w:val="nil"/>
              <w:bottom w:val="nil"/>
            </w:tcBorders>
            <w:noWrap/>
          </w:tcPr>
          <w:p w14:paraId="701F4BCF"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33,9</w:t>
            </w:r>
          </w:p>
        </w:tc>
        <w:tc>
          <w:tcPr>
            <w:tcW w:w="345" w:type="pct"/>
            <w:gridSpan w:val="2"/>
            <w:tcBorders>
              <w:top w:val="nil"/>
              <w:bottom w:val="nil"/>
            </w:tcBorders>
            <w:noWrap/>
          </w:tcPr>
          <w:p w14:paraId="7BAC491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37,7</w:t>
            </w:r>
          </w:p>
        </w:tc>
        <w:tc>
          <w:tcPr>
            <w:tcW w:w="347" w:type="pct"/>
            <w:gridSpan w:val="3"/>
            <w:tcBorders>
              <w:top w:val="nil"/>
              <w:bottom w:val="nil"/>
            </w:tcBorders>
            <w:noWrap/>
          </w:tcPr>
          <w:p w14:paraId="1B7E0D1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41,4</w:t>
            </w:r>
          </w:p>
        </w:tc>
        <w:tc>
          <w:tcPr>
            <w:tcW w:w="339" w:type="pct"/>
            <w:gridSpan w:val="3"/>
            <w:tcBorders>
              <w:top w:val="nil"/>
              <w:bottom w:val="nil"/>
            </w:tcBorders>
          </w:tcPr>
          <w:p w14:paraId="4DC91BAC"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42,3</w:t>
            </w:r>
          </w:p>
        </w:tc>
        <w:tc>
          <w:tcPr>
            <w:tcW w:w="351" w:type="pct"/>
            <w:gridSpan w:val="3"/>
            <w:tcBorders>
              <w:top w:val="nil"/>
              <w:bottom w:val="nil"/>
            </w:tcBorders>
            <w:noWrap/>
          </w:tcPr>
          <w:p w14:paraId="37377A0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40,2</w:t>
            </w:r>
          </w:p>
        </w:tc>
      </w:tr>
      <w:tr w:rsidR="0083434C" w:rsidRPr="00922154" w14:paraId="6021BA4A" w14:textId="77777777" w:rsidTr="00C46569">
        <w:trPr>
          <w:gridAfter w:val="1"/>
          <w:wAfter w:w="42" w:type="pct"/>
          <w:trHeight w:val="340"/>
        </w:trPr>
        <w:tc>
          <w:tcPr>
            <w:tcW w:w="1332" w:type="pct"/>
            <w:tcBorders>
              <w:top w:val="nil"/>
              <w:bottom w:val="nil"/>
            </w:tcBorders>
          </w:tcPr>
          <w:p w14:paraId="236D0005" w14:textId="77777777" w:rsidR="0083434C"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Markedsrettet virksomhet Fastlands-Norge</w:t>
            </w:r>
          </w:p>
          <w:p w14:paraId="64CD6268" w14:textId="77777777" w:rsidR="00961AD6" w:rsidRPr="00922154" w:rsidRDefault="00961AD6" w:rsidP="00083940">
            <w:pPr>
              <w:autoSpaceDE w:val="0"/>
              <w:autoSpaceDN w:val="0"/>
              <w:adjustRightInd w:val="0"/>
              <w:spacing w:after="0"/>
              <w:rPr>
                <w:rFonts w:ascii="Times New Roman" w:hAnsi="Times New Roman"/>
                <w:color w:val="000000"/>
                <w:sz w:val="18"/>
                <w:szCs w:val="18"/>
              </w:rPr>
            </w:pPr>
          </w:p>
        </w:tc>
        <w:tc>
          <w:tcPr>
            <w:tcW w:w="410" w:type="pct"/>
            <w:tcBorders>
              <w:top w:val="nil"/>
              <w:bottom w:val="nil"/>
            </w:tcBorders>
          </w:tcPr>
          <w:p w14:paraId="36450D3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580,0</w:t>
            </w:r>
          </w:p>
        </w:tc>
        <w:tc>
          <w:tcPr>
            <w:tcW w:w="414" w:type="pct"/>
            <w:tcBorders>
              <w:top w:val="nil"/>
              <w:bottom w:val="nil"/>
            </w:tcBorders>
          </w:tcPr>
          <w:p w14:paraId="1218E43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650,1</w:t>
            </w:r>
          </w:p>
        </w:tc>
        <w:tc>
          <w:tcPr>
            <w:tcW w:w="406" w:type="pct"/>
            <w:tcBorders>
              <w:top w:val="nil"/>
              <w:bottom w:val="nil"/>
            </w:tcBorders>
          </w:tcPr>
          <w:p w14:paraId="5FF8587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715,3</w:t>
            </w:r>
          </w:p>
        </w:tc>
        <w:tc>
          <w:tcPr>
            <w:tcW w:w="340" w:type="pct"/>
            <w:tcBorders>
              <w:top w:val="nil"/>
              <w:bottom w:val="nil"/>
            </w:tcBorders>
          </w:tcPr>
          <w:p w14:paraId="5566AD7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720,6</w:t>
            </w:r>
          </w:p>
        </w:tc>
        <w:tc>
          <w:tcPr>
            <w:tcW w:w="385" w:type="pct"/>
            <w:tcBorders>
              <w:top w:val="nil"/>
              <w:bottom w:val="nil"/>
            </w:tcBorders>
          </w:tcPr>
          <w:p w14:paraId="5F18843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732,7</w:t>
            </w:r>
          </w:p>
        </w:tc>
        <w:tc>
          <w:tcPr>
            <w:tcW w:w="289" w:type="pct"/>
            <w:tcBorders>
              <w:top w:val="nil"/>
              <w:bottom w:val="nil"/>
            </w:tcBorders>
          </w:tcPr>
          <w:p w14:paraId="4A952CB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777,4</w:t>
            </w:r>
          </w:p>
        </w:tc>
        <w:tc>
          <w:tcPr>
            <w:tcW w:w="345" w:type="pct"/>
            <w:gridSpan w:val="2"/>
            <w:tcBorders>
              <w:top w:val="nil"/>
              <w:bottom w:val="nil"/>
            </w:tcBorders>
          </w:tcPr>
          <w:p w14:paraId="57E1303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831,3</w:t>
            </w:r>
          </w:p>
        </w:tc>
        <w:tc>
          <w:tcPr>
            <w:tcW w:w="347" w:type="pct"/>
            <w:gridSpan w:val="3"/>
            <w:tcBorders>
              <w:top w:val="nil"/>
              <w:bottom w:val="nil"/>
            </w:tcBorders>
          </w:tcPr>
          <w:p w14:paraId="750274C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878,5</w:t>
            </w:r>
          </w:p>
        </w:tc>
        <w:tc>
          <w:tcPr>
            <w:tcW w:w="339" w:type="pct"/>
            <w:gridSpan w:val="3"/>
            <w:tcBorders>
              <w:top w:val="nil"/>
              <w:bottom w:val="nil"/>
            </w:tcBorders>
          </w:tcPr>
          <w:p w14:paraId="7A460FB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915,9</w:t>
            </w:r>
          </w:p>
        </w:tc>
        <w:tc>
          <w:tcPr>
            <w:tcW w:w="351" w:type="pct"/>
            <w:gridSpan w:val="3"/>
            <w:tcBorders>
              <w:top w:val="nil"/>
              <w:bottom w:val="nil"/>
            </w:tcBorders>
          </w:tcPr>
          <w:p w14:paraId="6CD5C63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943,0</w:t>
            </w:r>
          </w:p>
        </w:tc>
      </w:tr>
      <w:tr w:rsidR="0083434C" w:rsidRPr="00922154" w14:paraId="6719F81C" w14:textId="77777777" w:rsidTr="00C46569">
        <w:trPr>
          <w:gridAfter w:val="1"/>
          <w:wAfter w:w="42" w:type="pct"/>
          <w:trHeight w:val="340"/>
        </w:trPr>
        <w:tc>
          <w:tcPr>
            <w:tcW w:w="1332" w:type="pct"/>
            <w:tcBorders>
              <w:top w:val="nil"/>
              <w:bottom w:val="nil"/>
            </w:tcBorders>
            <w:noWrap/>
          </w:tcPr>
          <w:p w14:paraId="08F49D66"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Industri</w:t>
            </w:r>
          </w:p>
        </w:tc>
        <w:tc>
          <w:tcPr>
            <w:tcW w:w="410" w:type="pct"/>
            <w:tcBorders>
              <w:top w:val="nil"/>
              <w:bottom w:val="nil"/>
            </w:tcBorders>
            <w:noWrap/>
          </w:tcPr>
          <w:p w14:paraId="2B4716D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115,0</w:t>
            </w:r>
          </w:p>
        </w:tc>
        <w:tc>
          <w:tcPr>
            <w:tcW w:w="414" w:type="pct"/>
            <w:tcBorders>
              <w:top w:val="nil"/>
              <w:bottom w:val="nil"/>
            </w:tcBorders>
            <w:noWrap/>
          </w:tcPr>
          <w:p w14:paraId="6144063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123,6</w:t>
            </w:r>
          </w:p>
        </w:tc>
        <w:tc>
          <w:tcPr>
            <w:tcW w:w="406" w:type="pct"/>
            <w:tcBorders>
              <w:top w:val="nil"/>
              <w:bottom w:val="nil"/>
            </w:tcBorders>
            <w:noWrap/>
          </w:tcPr>
          <w:p w14:paraId="09AED96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131,2</w:t>
            </w:r>
          </w:p>
        </w:tc>
        <w:tc>
          <w:tcPr>
            <w:tcW w:w="340" w:type="pct"/>
            <w:tcBorders>
              <w:top w:val="nil"/>
              <w:bottom w:val="nil"/>
            </w:tcBorders>
            <w:noWrap/>
          </w:tcPr>
          <w:p w14:paraId="13D6F61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125,8</w:t>
            </w:r>
          </w:p>
        </w:tc>
        <w:tc>
          <w:tcPr>
            <w:tcW w:w="385" w:type="pct"/>
            <w:tcBorders>
              <w:top w:val="nil"/>
              <w:bottom w:val="nil"/>
            </w:tcBorders>
            <w:noWrap/>
          </w:tcPr>
          <w:p w14:paraId="38ABE0F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123,5</w:t>
            </w:r>
          </w:p>
        </w:tc>
        <w:tc>
          <w:tcPr>
            <w:tcW w:w="289" w:type="pct"/>
            <w:tcBorders>
              <w:top w:val="nil"/>
              <w:bottom w:val="nil"/>
            </w:tcBorders>
            <w:noWrap/>
          </w:tcPr>
          <w:p w14:paraId="34E2534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128,6</w:t>
            </w:r>
          </w:p>
        </w:tc>
        <w:tc>
          <w:tcPr>
            <w:tcW w:w="345" w:type="pct"/>
            <w:gridSpan w:val="2"/>
            <w:tcBorders>
              <w:top w:val="nil"/>
              <w:bottom w:val="nil"/>
            </w:tcBorders>
            <w:noWrap/>
          </w:tcPr>
          <w:p w14:paraId="69A2763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136,5</w:t>
            </w:r>
          </w:p>
        </w:tc>
        <w:tc>
          <w:tcPr>
            <w:tcW w:w="347" w:type="pct"/>
            <w:gridSpan w:val="3"/>
            <w:tcBorders>
              <w:top w:val="nil"/>
              <w:bottom w:val="nil"/>
            </w:tcBorders>
            <w:noWrap/>
          </w:tcPr>
          <w:p w14:paraId="189DA2C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143,5</w:t>
            </w:r>
          </w:p>
        </w:tc>
        <w:tc>
          <w:tcPr>
            <w:tcW w:w="339" w:type="pct"/>
            <w:gridSpan w:val="3"/>
            <w:tcBorders>
              <w:top w:val="nil"/>
              <w:bottom w:val="nil"/>
            </w:tcBorders>
          </w:tcPr>
          <w:p w14:paraId="727B5A4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149,2</w:t>
            </w:r>
          </w:p>
        </w:tc>
        <w:tc>
          <w:tcPr>
            <w:tcW w:w="351" w:type="pct"/>
            <w:gridSpan w:val="3"/>
            <w:tcBorders>
              <w:top w:val="nil"/>
              <w:bottom w:val="nil"/>
            </w:tcBorders>
            <w:noWrap/>
          </w:tcPr>
          <w:p w14:paraId="014249E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148,9</w:t>
            </w:r>
          </w:p>
        </w:tc>
      </w:tr>
      <w:tr w:rsidR="0083434C" w:rsidRPr="00922154" w14:paraId="0C13F513" w14:textId="77777777" w:rsidTr="00C46569">
        <w:trPr>
          <w:gridAfter w:val="1"/>
          <w:wAfter w:w="42" w:type="pct"/>
          <w:trHeight w:val="340"/>
        </w:trPr>
        <w:tc>
          <w:tcPr>
            <w:tcW w:w="1332" w:type="pct"/>
            <w:tcBorders>
              <w:top w:val="nil"/>
              <w:bottom w:val="nil"/>
            </w:tcBorders>
            <w:noWrap/>
          </w:tcPr>
          <w:p w14:paraId="27A677A4" w14:textId="77777777" w:rsidR="0083434C"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xml:space="preserve">  Verkstedindustri og skipsbyggingsindustri mv.</w:t>
            </w:r>
          </w:p>
          <w:p w14:paraId="6A50382A" w14:textId="77777777" w:rsidR="00961AD6" w:rsidRPr="00922154" w:rsidRDefault="00961AD6" w:rsidP="00083940">
            <w:pPr>
              <w:autoSpaceDE w:val="0"/>
              <w:autoSpaceDN w:val="0"/>
              <w:adjustRightInd w:val="0"/>
              <w:spacing w:after="0"/>
              <w:rPr>
                <w:rFonts w:ascii="Times New Roman" w:hAnsi="Times New Roman"/>
                <w:color w:val="000000"/>
                <w:sz w:val="18"/>
                <w:szCs w:val="18"/>
              </w:rPr>
            </w:pPr>
          </w:p>
        </w:tc>
        <w:tc>
          <w:tcPr>
            <w:tcW w:w="410" w:type="pct"/>
            <w:tcBorders>
              <w:top w:val="nil"/>
              <w:bottom w:val="nil"/>
            </w:tcBorders>
            <w:noWrap/>
          </w:tcPr>
          <w:p w14:paraId="2287A17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54,2</w:t>
            </w:r>
          </w:p>
        </w:tc>
        <w:tc>
          <w:tcPr>
            <w:tcW w:w="414" w:type="pct"/>
            <w:tcBorders>
              <w:top w:val="nil"/>
              <w:bottom w:val="nil"/>
            </w:tcBorders>
            <w:noWrap/>
          </w:tcPr>
          <w:p w14:paraId="48491B0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59,3</w:t>
            </w:r>
          </w:p>
        </w:tc>
        <w:tc>
          <w:tcPr>
            <w:tcW w:w="406" w:type="pct"/>
            <w:tcBorders>
              <w:top w:val="nil"/>
              <w:bottom w:val="nil"/>
            </w:tcBorders>
            <w:noWrap/>
          </w:tcPr>
          <w:p w14:paraId="379ED77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64,8</w:t>
            </w:r>
          </w:p>
        </w:tc>
        <w:tc>
          <w:tcPr>
            <w:tcW w:w="340" w:type="pct"/>
            <w:tcBorders>
              <w:top w:val="nil"/>
              <w:bottom w:val="nil"/>
            </w:tcBorders>
            <w:noWrap/>
          </w:tcPr>
          <w:p w14:paraId="63BD276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62,6</w:t>
            </w:r>
          </w:p>
        </w:tc>
        <w:tc>
          <w:tcPr>
            <w:tcW w:w="385" w:type="pct"/>
            <w:tcBorders>
              <w:top w:val="nil"/>
              <w:bottom w:val="nil"/>
            </w:tcBorders>
            <w:noWrap/>
          </w:tcPr>
          <w:p w14:paraId="6A9E851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60,7</w:t>
            </w:r>
          </w:p>
        </w:tc>
        <w:tc>
          <w:tcPr>
            <w:tcW w:w="289" w:type="pct"/>
            <w:tcBorders>
              <w:top w:val="nil"/>
              <w:bottom w:val="nil"/>
            </w:tcBorders>
            <w:noWrap/>
          </w:tcPr>
          <w:p w14:paraId="5E63E2C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63,7</w:t>
            </w:r>
          </w:p>
        </w:tc>
        <w:tc>
          <w:tcPr>
            <w:tcW w:w="345" w:type="pct"/>
            <w:gridSpan w:val="2"/>
            <w:tcBorders>
              <w:top w:val="nil"/>
              <w:bottom w:val="nil"/>
            </w:tcBorders>
            <w:noWrap/>
          </w:tcPr>
          <w:p w14:paraId="38FF9A9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70,4</w:t>
            </w:r>
          </w:p>
        </w:tc>
        <w:tc>
          <w:tcPr>
            <w:tcW w:w="347" w:type="pct"/>
            <w:gridSpan w:val="3"/>
            <w:tcBorders>
              <w:top w:val="nil"/>
              <w:bottom w:val="nil"/>
            </w:tcBorders>
            <w:noWrap/>
          </w:tcPr>
          <w:p w14:paraId="40DAC32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76,1</w:t>
            </w:r>
          </w:p>
        </w:tc>
        <w:tc>
          <w:tcPr>
            <w:tcW w:w="339" w:type="pct"/>
            <w:gridSpan w:val="3"/>
            <w:tcBorders>
              <w:top w:val="nil"/>
              <w:bottom w:val="nil"/>
            </w:tcBorders>
          </w:tcPr>
          <w:p w14:paraId="237DE51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80,2</w:t>
            </w:r>
          </w:p>
        </w:tc>
        <w:tc>
          <w:tcPr>
            <w:tcW w:w="351" w:type="pct"/>
            <w:gridSpan w:val="3"/>
            <w:tcBorders>
              <w:top w:val="nil"/>
              <w:bottom w:val="nil"/>
            </w:tcBorders>
            <w:noWrap/>
          </w:tcPr>
          <w:p w14:paraId="2FCAA47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77,4</w:t>
            </w:r>
          </w:p>
        </w:tc>
      </w:tr>
      <w:tr w:rsidR="0083434C" w:rsidRPr="00922154" w14:paraId="73FFC967" w14:textId="77777777" w:rsidTr="00C46569">
        <w:trPr>
          <w:gridAfter w:val="1"/>
          <w:wAfter w:w="42" w:type="pct"/>
          <w:trHeight w:val="340"/>
        </w:trPr>
        <w:tc>
          <w:tcPr>
            <w:tcW w:w="1332" w:type="pct"/>
            <w:tcBorders>
              <w:top w:val="nil"/>
              <w:bottom w:val="nil"/>
            </w:tcBorders>
            <w:noWrap/>
          </w:tcPr>
          <w:p w14:paraId="74AD81D6"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xml:space="preserve">  Råvarebasert industri</w:t>
            </w:r>
          </w:p>
        </w:tc>
        <w:tc>
          <w:tcPr>
            <w:tcW w:w="410" w:type="pct"/>
            <w:tcBorders>
              <w:top w:val="nil"/>
              <w:bottom w:val="nil"/>
            </w:tcBorders>
            <w:noWrap/>
          </w:tcPr>
          <w:p w14:paraId="3F5AE7D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26,4</w:t>
            </w:r>
          </w:p>
        </w:tc>
        <w:tc>
          <w:tcPr>
            <w:tcW w:w="414" w:type="pct"/>
            <w:tcBorders>
              <w:top w:val="nil"/>
              <w:bottom w:val="nil"/>
            </w:tcBorders>
            <w:noWrap/>
          </w:tcPr>
          <w:p w14:paraId="1D7C77E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27,4</w:t>
            </w:r>
          </w:p>
        </w:tc>
        <w:tc>
          <w:tcPr>
            <w:tcW w:w="406" w:type="pct"/>
            <w:tcBorders>
              <w:top w:val="nil"/>
              <w:bottom w:val="nil"/>
            </w:tcBorders>
            <w:noWrap/>
          </w:tcPr>
          <w:p w14:paraId="4B0F8745"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28,5</w:t>
            </w:r>
          </w:p>
        </w:tc>
        <w:tc>
          <w:tcPr>
            <w:tcW w:w="340" w:type="pct"/>
            <w:tcBorders>
              <w:top w:val="nil"/>
              <w:bottom w:val="nil"/>
            </w:tcBorders>
            <w:noWrap/>
          </w:tcPr>
          <w:p w14:paraId="2DC5331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26,3</w:t>
            </w:r>
          </w:p>
        </w:tc>
        <w:tc>
          <w:tcPr>
            <w:tcW w:w="385" w:type="pct"/>
            <w:tcBorders>
              <w:top w:val="nil"/>
              <w:bottom w:val="nil"/>
            </w:tcBorders>
            <w:noWrap/>
          </w:tcPr>
          <w:p w14:paraId="0144D438"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25,9</w:t>
            </w:r>
          </w:p>
        </w:tc>
        <w:tc>
          <w:tcPr>
            <w:tcW w:w="289" w:type="pct"/>
            <w:tcBorders>
              <w:top w:val="nil"/>
              <w:bottom w:val="nil"/>
            </w:tcBorders>
            <w:noWrap/>
          </w:tcPr>
          <w:p w14:paraId="488E0EE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26,8</w:t>
            </w:r>
          </w:p>
        </w:tc>
        <w:tc>
          <w:tcPr>
            <w:tcW w:w="345" w:type="pct"/>
            <w:gridSpan w:val="2"/>
            <w:tcBorders>
              <w:top w:val="nil"/>
              <w:bottom w:val="nil"/>
            </w:tcBorders>
            <w:noWrap/>
          </w:tcPr>
          <w:p w14:paraId="0CDFAF3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26,3</w:t>
            </w:r>
          </w:p>
        </w:tc>
        <w:tc>
          <w:tcPr>
            <w:tcW w:w="347" w:type="pct"/>
            <w:gridSpan w:val="3"/>
            <w:tcBorders>
              <w:top w:val="nil"/>
              <w:bottom w:val="nil"/>
            </w:tcBorders>
            <w:noWrap/>
          </w:tcPr>
          <w:p w14:paraId="7C51550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27,0</w:t>
            </w:r>
          </w:p>
        </w:tc>
        <w:tc>
          <w:tcPr>
            <w:tcW w:w="339" w:type="pct"/>
            <w:gridSpan w:val="3"/>
            <w:tcBorders>
              <w:top w:val="nil"/>
              <w:bottom w:val="nil"/>
            </w:tcBorders>
          </w:tcPr>
          <w:p w14:paraId="5737C00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27,6</w:t>
            </w:r>
          </w:p>
        </w:tc>
        <w:tc>
          <w:tcPr>
            <w:tcW w:w="351" w:type="pct"/>
            <w:gridSpan w:val="3"/>
            <w:tcBorders>
              <w:top w:val="nil"/>
              <w:bottom w:val="nil"/>
            </w:tcBorders>
            <w:noWrap/>
          </w:tcPr>
          <w:p w14:paraId="10CF190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28,5</w:t>
            </w:r>
          </w:p>
        </w:tc>
      </w:tr>
      <w:tr w:rsidR="0083434C" w:rsidRPr="00922154" w14:paraId="71567CE4" w14:textId="77777777" w:rsidTr="00C46569">
        <w:trPr>
          <w:gridAfter w:val="1"/>
          <w:wAfter w:w="42" w:type="pct"/>
          <w:trHeight w:val="340"/>
        </w:trPr>
        <w:tc>
          <w:tcPr>
            <w:tcW w:w="1332" w:type="pct"/>
            <w:tcBorders>
              <w:top w:val="nil"/>
              <w:bottom w:val="nil"/>
            </w:tcBorders>
            <w:noWrap/>
          </w:tcPr>
          <w:p w14:paraId="36DE6689"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 xml:space="preserve">  Øvrige industrinæringer</w:t>
            </w:r>
          </w:p>
        </w:tc>
        <w:tc>
          <w:tcPr>
            <w:tcW w:w="410" w:type="pct"/>
            <w:tcBorders>
              <w:top w:val="nil"/>
              <w:bottom w:val="nil"/>
            </w:tcBorders>
            <w:noWrap/>
          </w:tcPr>
          <w:p w14:paraId="0D1061D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34,4</w:t>
            </w:r>
          </w:p>
        </w:tc>
        <w:tc>
          <w:tcPr>
            <w:tcW w:w="414" w:type="pct"/>
            <w:tcBorders>
              <w:top w:val="nil"/>
              <w:bottom w:val="nil"/>
            </w:tcBorders>
            <w:noWrap/>
          </w:tcPr>
          <w:p w14:paraId="48859D2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37,0</w:t>
            </w:r>
          </w:p>
        </w:tc>
        <w:tc>
          <w:tcPr>
            <w:tcW w:w="406" w:type="pct"/>
            <w:tcBorders>
              <w:top w:val="nil"/>
              <w:bottom w:val="nil"/>
            </w:tcBorders>
            <w:noWrap/>
          </w:tcPr>
          <w:p w14:paraId="48EA3E7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37,9</w:t>
            </w:r>
          </w:p>
        </w:tc>
        <w:tc>
          <w:tcPr>
            <w:tcW w:w="340" w:type="pct"/>
            <w:tcBorders>
              <w:top w:val="nil"/>
              <w:bottom w:val="nil"/>
            </w:tcBorders>
            <w:noWrap/>
          </w:tcPr>
          <w:p w14:paraId="5D6BA45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36,9</w:t>
            </w:r>
          </w:p>
        </w:tc>
        <w:tc>
          <w:tcPr>
            <w:tcW w:w="385" w:type="pct"/>
            <w:tcBorders>
              <w:top w:val="nil"/>
              <w:bottom w:val="nil"/>
            </w:tcBorders>
            <w:noWrap/>
          </w:tcPr>
          <w:p w14:paraId="058C652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36,9</w:t>
            </w:r>
          </w:p>
        </w:tc>
        <w:tc>
          <w:tcPr>
            <w:tcW w:w="289" w:type="pct"/>
            <w:tcBorders>
              <w:top w:val="nil"/>
              <w:bottom w:val="nil"/>
            </w:tcBorders>
            <w:noWrap/>
          </w:tcPr>
          <w:p w14:paraId="7611C1A3"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38,1</w:t>
            </w:r>
          </w:p>
        </w:tc>
        <w:tc>
          <w:tcPr>
            <w:tcW w:w="345" w:type="pct"/>
            <w:gridSpan w:val="2"/>
            <w:tcBorders>
              <w:top w:val="nil"/>
              <w:bottom w:val="nil"/>
            </w:tcBorders>
            <w:noWrap/>
          </w:tcPr>
          <w:p w14:paraId="223E9210"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39,8</w:t>
            </w:r>
          </w:p>
        </w:tc>
        <w:tc>
          <w:tcPr>
            <w:tcW w:w="347" w:type="pct"/>
            <w:gridSpan w:val="3"/>
            <w:tcBorders>
              <w:top w:val="nil"/>
              <w:bottom w:val="nil"/>
            </w:tcBorders>
            <w:noWrap/>
          </w:tcPr>
          <w:p w14:paraId="55762F6D"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40,5</w:t>
            </w:r>
          </w:p>
        </w:tc>
        <w:tc>
          <w:tcPr>
            <w:tcW w:w="339" w:type="pct"/>
            <w:gridSpan w:val="3"/>
            <w:tcBorders>
              <w:top w:val="nil"/>
              <w:bottom w:val="nil"/>
            </w:tcBorders>
          </w:tcPr>
          <w:p w14:paraId="32064A9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41,4</w:t>
            </w:r>
          </w:p>
        </w:tc>
        <w:tc>
          <w:tcPr>
            <w:tcW w:w="351" w:type="pct"/>
            <w:gridSpan w:val="3"/>
            <w:tcBorders>
              <w:top w:val="nil"/>
              <w:bottom w:val="nil"/>
            </w:tcBorders>
            <w:noWrap/>
          </w:tcPr>
          <w:p w14:paraId="3668E644"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42,9</w:t>
            </w:r>
          </w:p>
        </w:tc>
      </w:tr>
      <w:tr w:rsidR="0083434C" w:rsidRPr="00922154" w14:paraId="3AA4F418" w14:textId="77777777" w:rsidTr="00C46569">
        <w:trPr>
          <w:gridAfter w:val="1"/>
          <w:wAfter w:w="42" w:type="pct"/>
          <w:trHeight w:val="240"/>
        </w:trPr>
        <w:tc>
          <w:tcPr>
            <w:tcW w:w="1332" w:type="pct"/>
            <w:tcBorders>
              <w:top w:val="nil"/>
            </w:tcBorders>
            <w:noWrap/>
          </w:tcPr>
          <w:p w14:paraId="1E022DE4" w14:textId="77777777" w:rsidR="0083434C" w:rsidRPr="00922154" w:rsidRDefault="0083434C" w:rsidP="00083940">
            <w:pPr>
              <w:autoSpaceDE w:val="0"/>
              <w:autoSpaceDN w:val="0"/>
              <w:adjustRightInd w:val="0"/>
              <w:spacing w:after="0"/>
              <w:rPr>
                <w:rFonts w:ascii="Times New Roman" w:hAnsi="Times New Roman"/>
                <w:color w:val="000000"/>
                <w:sz w:val="18"/>
                <w:szCs w:val="18"/>
              </w:rPr>
            </w:pPr>
            <w:r w:rsidRPr="00922154">
              <w:rPr>
                <w:rFonts w:ascii="Times New Roman" w:hAnsi="Times New Roman"/>
                <w:color w:val="000000"/>
                <w:sz w:val="18"/>
                <w:szCs w:val="18"/>
              </w:rPr>
              <w:t>Øvrig markedsrettet virksomhet i Fastlands-Norge</w:t>
            </w:r>
          </w:p>
        </w:tc>
        <w:tc>
          <w:tcPr>
            <w:tcW w:w="410" w:type="pct"/>
            <w:tcBorders>
              <w:top w:val="nil"/>
            </w:tcBorders>
            <w:noWrap/>
          </w:tcPr>
          <w:p w14:paraId="54A74F6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465,0</w:t>
            </w:r>
          </w:p>
        </w:tc>
        <w:tc>
          <w:tcPr>
            <w:tcW w:w="414" w:type="pct"/>
            <w:tcBorders>
              <w:top w:val="nil"/>
            </w:tcBorders>
            <w:noWrap/>
          </w:tcPr>
          <w:p w14:paraId="319F135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526,5</w:t>
            </w:r>
          </w:p>
        </w:tc>
        <w:tc>
          <w:tcPr>
            <w:tcW w:w="406" w:type="pct"/>
            <w:tcBorders>
              <w:top w:val="nil"/>
            </w:tcBorders>
            <w:noWrap/>
          </w:tcPr>
          <w:p w14:paraId="3EB6BFE9"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584,0</w:t>
            </w:r>
          </w:p>
        </w:tc>
        <w:tc>
          <w:tcPr>
            <w:tcW w:w="340" w:type="pct"/>
            <w:tcBorders>
              <w:top w:val="nil"/>
            </w:tcBorders>
            <w:noWrap/>
          </w:tcPr>
          <w:p w14:paraId="03ED216B"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594,7</w:t>
            </w:r>
          </w:p>
        </w:tc>
        <w:tc>
          <w:tcPr>
            <w:tcW w:w="385" w:type="pct"/>
            <w:tcBorders>
              <w:top w:val="nil"/>
            </w:tcBorders>
            <w:noWrap/>
          </w:tcPr>
          <w:p w14:paraId="3B27BC32"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609,2</w:t>
            </w:r>
          </w:p>
        </w:tc>
        <w:tc>
          <w:tcPr>
            <w:tcW w:w="289" w:type="pct"/>
            <w:tcBorders>
              <w:top w:val="nil"/>
            </w:tcBorders>
            <w:noWrap/>
          </w:tcPr>
          <w:p w14:paraId="7E6B9816"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648,8</w:t>
            </w:r>
          </w:p>
        </w:tc>
        <w:tc>
          <w:tcPr>
            <w:tcW w:w="345" w:type="pct"/>
            <w:gridSpan w:val="2"/>
            <w:tcBorders>
              <w:top w:val="nil"/>
            </w:tcBorders>
            <w:noWrap/>
          </w:tcPr>
          <w:p w14:paraId="00B6809A"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694,8</w:t>
            </w:r>
          </w:p>
        </w:tc>
        <w:tc>
          <w:tcPr>
            <w:tcW w:w="347" w:type="pct"/>
            <w:gridSpan w:val="3"/>
            <w:tcBorders>
              <w:top w:val="nil"/>
            </w:tcBorders>
            <w:noWrap/>
          </w:tcPr>
          <w:p w14:paraId="74704A1E"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735,0</w:t>
            </w:r>
          </w:p>
        </w:tc>
        <w:tc>
          <w:tcPr>
            <w:tcW w:w="339" w:type="pct"/>
            <w:gridSpan w:val="3"/>
            <w:tcBorders>
              <w:top w:val="nil"/>
            </w:tcBorders>
          </w:tcPr>
          <w:p w14:paraId="12D84741"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766,7</w:t>
            </w:r>
          </w:p>
        </w:tc>
        <w:tc>
          <w:tcPr>
            <w:tcW w:w="351" w:type="pct"/>
            <w:gridSpan w:val="3"/>
            <w:tcBorders>
              <w:top w:val="nil"/>
            </w:tcBorders>
            <w:noWrap/>
          </w:tcPr>
          <w:p w14:paraId="0E324C47" w14:textId="77777777" w:rsidR="0083434C" w:rsidRPr="00922154" w:rsidRDefault="0083434C" w:rsidP="00083940">
            <w:pPr>
              <w:autoSpaceDE w:val="0"/>
              <w:autoSpaceDN w:val="0"/>
              <w:adjustRightInd w:val="0"/>
              <w:spacing w:after="0"/>
              <w:jc w:val="right"/>
              <w:rPr>
                <w:rFonts w:ascii="Times New Roman" w:hAnsi="Times New Roman"/>
                <w:color w:val="000000"/>
                <w:sz w:val="18"/>
                <w:szCs w:val="18"/>
              </w:rPr>
            </w:pPr>
            <w:r w:rsidRPr="00922154">
              <w:rPr>
                <w:rFonts w:ascii="Times New Roman" w:hAnsi="Times New Roman"/>
                <w:color w:val="000000"/>
                <w:sz w:val="18"/>
                <w:szCs w:val="18"/>
              </w:rPr>
              <w:t>794,1</w:t>
            </w:r>
          </w:p>
        </w:tc>
      </w:tr>
    </w:tbl>
    <w:p w14:paraId="65350E50" w14:textId="77777777" w:rsidR="0083434C" w:rsidRPr="004E73CD" w:rsidRDefault="0083434C" w:rsidP="0083434C">
      <w:pPr>
        <w:spacing w:after="0"/>
        <w:rPr>
          <w:rFonts w:ascii="Times New Roman" w:eastAsia="Times New Roman" w:hAnsi="Times New Roman"/>
          <w:noProof/>
          <w:sz w:val="20"/>
        </w:rPr>
      </w:pPr>
      <w:r w:rsidRPr="004E73CD">
        <w:rPr>
          <w:rFonts w:ascii="Times New Roman" w:eastAsia="Times New Roman" w:hAnsi="Times New Roman"/>
          <w:noProof/>
          <w:sz w:val="20"/>
        </w:rPr>
        <w:t>* Foreløpige tall.</w:t>
      </w:r>
    </w:p>
    <w:p w14:paraId="3F730BD9" w14:textId="77777777" w:rsidR="0083434C" w:rsidRPr="004E73CD" w:rsidRDefault="0083434C" w:rsidP="003F5F82">
      <w:pPr>
        <w:numPr>
          <w:ilvl w:val="0"/>
          <w:numId w:val="54"/>
        </w:numPr>
        <w:tabs>
          <w:tab w:val="clear" w:pos="720"/>
          <w:tab w:val="num" w:pos="142"/>
        </w:tabs>
        <w:spacing w:after="0"/>
        <w:ind w:left="142" w:hanging="142"/>
        <w:rPr>
          <w:rFonts w:ascii="Times New Roman" w:eastAsia="Times New Roman" w:hAnsi="Times New Roman"/>
          <w:noProof/>
          <w:sz w:val="20"/>
        </w:rPr>
      </w:pPr>
      <w:r w:rsidRPr="004E73CD">
        <w:rPr>
          <w:rFonts w:ascii="Times New Roman" w:eastAsia="Times New Roman" w:hAnsi="Times New Roman"/>
          <w:noProof/>
          <w:sz w:val="20"/>
        </w:rPr>
        <w:t>Markedsrettet virksomhet er samlingen av produksjonsenheter som henter mer enn 50 prosent av sine inntekter fra salg i markedet.</w:t>
      </w:r>
    </w:p>
    <w:p w14:paraId="3B9A562E" w14:textId="77777777" w:rsidR="0083434C" w:rsidRPr="004E73CD" w:rsidRDefault="0083434C" w:rsidP="0083434C">
      <w:pPr>
        <w:spacing w:after="0"/>
        <w:rPr>
          <w:rFonts w:ascii="Times New Roman" w:eastAsia="Times New Roman" w:hAnsi="Times New Roman"/>
          <w:noProof/>
          <w:sz w:val="20"/>
        </w:rPr>
      </w:pPr>
      <w:r w:rsidRPr="004E73CD">
        <w:rPr>
          <w:rFonts w:ascii="Times New Roman" w:eastAsia="Times New Roman" w:hAnsi="Times New Roman"/>
          <w:noProof/>
          <w:sz w:val="20"/>
        </w:rPr>
        <w:t>Kilde: Statistisk sentralbyrå</w:t>
      </w:r>
    </w:p>
    <w:p w14:paraId="2AE8EE17" w14:textId="77777777" w:rsidR="0083434C" w:rsidRPr="0055770A" w:rsidRDefault="0083434C" w:rsidP="0083434C">
      <w:pPr>
        <w:spacing w:after="0"/>
        <w:rPr>
          <w:rFonts w:ascii="Times New Roman" w:eastAsia="Times New Roman" w:hAnsi="Times New Roman"/>
          <w:noProof/>
        </w:rPr>
      </w:pPr>
    </w:p>
    <w:p w14:paraId="4502B7DB" w14:textId="77777777" w:rsidR="0083434C" w:rsidRDefault="0083434C" w:rsidP="0083434C">
      <w:pPr>
        <w:spacing w:after="0"/>
      </w:pPr>
    </w:p>
    <w:p w14:paraId="14541BB0" w14:textId="77777777" w:rsidR="0083434C" w:rsidRDefault="0083434C" w:rsidP="0083434C">
      <w:pPr>
        <w:spacing w:after="0"/>
        <w:sectPr w:rsidR="0083434C" w:rsidSect="00324551">
          <w:footerReference w:type="even" r:id="rId77"/>
          <w:footerReference w:type="default" r:id="rId78"/>
          <w:pgSz w:w="11907" w:h="16840" w:code="9"/>
          <w:pgMar w:top="1440" w:right="1440" w:bottom="1440" w:left="1440" w:header="709" w:footer="709" w:gutter="0"/>
          <w:cols w:space="708"/>
          <w:docGrid w:linePitch="360"/>
        </w:sectPr>
      </w:pPr>
    </w:p>
    <w:p w14:paraId="79B6DB38" w14:textId="77777777" w:rsidR="0083434C" w:rsidRPr="00B25700" w:rsidRDefault="0083434C" w:rsidP="0083434C">
      <w:pPr>
        <w:spacing w:after="0"/>
        <w:rPr>
          <w:rFonts w:ascii="Arial" w:hAnsi="Arial" w:cs="Arial"/>
          <w:b/>
          <w:sz w:val="18"/>
          <w:szCs w:val="18"/>
          <w:lang w:eastAsia="en-US"/>
        </w:rPr>
      </w:pPr>
      <w:r w:rsidRPr="00B25700">
        <w:rPr>
          <w:rFonts w:ascii="Arial" w:hAnsi="Arial" w:cs="Arial"/>
          <w:b/>
        </w:rPr>
        <w:t>Tabell 4.10 Beregnet årslønnsvekst</w:t>
      </w:r>
      <w:r w:rsidRPr="00B25700">
        <w:rPr>
          <w:rFonts w:ascii="Arial" w:hAnsi="Arial" w:cs="Arial"/>
          <w:b/>
          <w:vertAlign w:val="superscript"/>
        </w:rPr>
        <w:t>1</w:t>
      </w:r>
      <w:r w:rsidRPr="00B25700">
        <w:rPr>
          <w:rFonts w:ascii="Arial" w:hAnsi="Arial" w:cs="Arial"/>
          <w:b/>
        </w:rPr>
        <w:t xml:space="preserve"> fra året før. Supplement til tabell 1.1 i kapittel 1</w:t>
      </w:r>
      <w:r w:rsidRPr="00B25700">
        <w:rPr>
          <w:rFonts w:ascii="Arial" w:hAnsi="Arial" w:cs="Arial"/>
          <w:b/>
        </w:rPr>
        <w:tab/>
      </w:r>
      <w:r w:rsidRPr="00B25700">
        <w:rPr>
          <w:rFonts w:ascii="Arial" w:hAnsi="Arial" w:cs="Arial"/>
          <w:b/>
          <w:sz w:val="18"/>
          <w:szCs w:val="18"/>
          <w:lang w:eastAsia="en-US"/>
        </w:rPr>
        <w:tab/>
      </w:r>
      <w:r w:rsidRPr="00B25700">
        <w:rPr>
          <w:rFonts w:ascii="Arial" w:hAnsi="Arial" w:cs="Arial"/>
          <w:b/>
          <w:sz w:val="18"/>
          <w:szCs w:val="18"/>
          <w:lang w:eastAsia="en-US"/>
        </w:rPr>
        <w:tab/>
      </w:r>
      <w:r w:rsidRPr="00B25700">
        <w:rPr>
          <w:rFonts w:ascii="Arial" w:hAnsi="Arial" w:cs="Arial"/>
          <w:b/>
          <w:sz w:val="18"/>
          <w:szCs w:val="18"/>
          <w:lang w:eastAsia="en-US"/>
        </w:rPr>
        <w:tab/>
      </w:r>
      <w:r w:rsidRPr="00B25700">
        <w:rPr>
          <w:rFonts w:ascii="Arial" w:hAnsi="Arial" w:cs="Arial"/>
          <w:b/>
          <w:sz w:val="18"/>
          <w:szCs w:val="18"/>
          <w:lang w:eastAsia="en-US"/>
        </w:rPr>
        <w:tab/>
      </w:r>
    </w:p>
    <w:tbl>
      <w:tblPr>
        <w:tblStyle w:val="TrykketTabell"/>
        <w:tblW w:w="5213" w:type="pct"/>
        <w:tblLook w:val="04A0" w:firstRow="1" w:lastRow="0" w:firstColumn="1" w:lastColumn="0" w:noHBand="0" w:noVBand="1"/>
      </w:tblPr>
      <w:tblGrid>
        <w:gridCol w:w="1748"/>
        <w:gridCol w:w="1389"/>
        <w:gridCol w:w="1356"/>
        <w:gridCol w:w="1358"/>
        <w:gridCol w:w="1223"/>
        <w:gridCol w:w="1536"/>
        <w:gridCol w:w="1492"/>
        <w:gridCol w:w="1222"/>
        <w:gridCol w:w="1676"/>
        <w:gridCol w:w="1820"/>
      </w:tblGrid>
      <w:tr w:rsidR="00324854" w:rsidRPr="00D210DE" w14:paraId="5D12D32C" w14:textId="77777777" w:rsidTr="0019189B">
        <w:trPr>
          <w:cnfStyle w:val="100000000000" w:firstRow="1" w:lastRow="0" w:firstColumn="0" w:lastColumn="0" w:oddVBand="0" w:evenVBand="0" w:oddHBand="0" w:evenHBand="0" w:firstRowFirstColumn="0" w:firstRowLastColumn="0" w:lastRowFirstColumn="0" w:lastRowLastColumn="0"/>
          <w:trHeight w:val="215"/>
        </w:trPr>
        <w:tc>
          <w:tcPr>
            <w:tcW w:w="1748" w:type="dxa"/>
            <w:noWrap/>
            <w:hideMark/>
          </w:tcPr>
          <w:p w14:paraId="2797C092" w14:textId="77777777" w:rsidR="00324854" w:rsidRPr="00D210DE" w:rsidRDefault="00324854" w:rsidP="0019189B">
            <w:pPr>
              <w:spacing w:after="0"/>
              <w:ind w:firstLine="180"/>
              <w:rPr>
                <w:rFonts w:ascii="Times New Roman" w:hAnsi="Times New Roman"/>
                <w:sz w:val="18"/>
                <w:szCs w:val="18"/>
              </w:rPr>
            </w:pPr>
          </w:p>
        </w:tc>
        <w:tc>
          <w:tcPr>
            <w:tcW w:w="2745" w:type="dxa"/>
            <w:gridSpan w:val="2"/>
            <w:noWrap/>
            <w:hideMark/>
          </w:tcPr>
          <w:p w14:paraId="03C362C1"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xml:space="preserve">Arbeidere i NHO-bedrifter </w:t>
            </w:r>
            <w:r w:rsidRPr="00D210DE">
              <w:rPr>
                <w:rFonts w:ascii="Times New Roman" w:hAnsi="Times New Roman"/>
                <w:sz w:val="18"/>
                <w:szCs w:val="18"/>
                <w:vertAlign w:val="superscript"/>
              </w:rPr>
              <w:t>2,7</w:t>
            </w:r>
            <w:r w:rsidRPr="00D210DE">
              <w:rPr>
                <w:rFonts w:ascii="Times New Roman" w:hAnsi="Times New Roman"/>
                <w:sz w:val="18"/>
                <w:szCs w:val="18"/>
              </w:rPr>
              <w:t>:</w:t>
            </w:r>
          </w:p>
        </w:tc>
        <w:tc>
          <w:tcPr>
            <w:tcW w:w="1358" w:type="dxa"/>
            <w:noWrap/>
            <w:hideMark/>
          </w:tcPr>
          <w:p w14:paraId="79B0450D"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223" w:type="dxa"/>
            <w:noWrap/>
            <w:hideMark/>
          </w:tcPr>
          <w:p w14:paraId="7A55F3BD"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492" w:type="dxa"/>
            <w:noWrap/>
            <w:hideMark/>
          </w:tcPr>
          <w:p w14:paraId="4E7488C7"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492" w:type="dxa"/>
            <w:noWrap/>
            <w:hideMark/>
          </w:tcPr>
          <w:p w14:paraId="67B02284"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222" w:type="dxa"/>
            <w:noWrap/>
            <w:hideMark/>
          </w:tcPr>
          <w:p w14:paraId="6B291531"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501" w:type="dxa"/>
            <w:noWrap/>
            <w:hideMark/>
          </w:tcPr>
          <w:p w14:paraId="221EE094"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 </w:t>
            </w:r>
          </w:p>
        </w:tc>
        <w:tc>
          <w:tcPr>
            <w:tcW w:w="1820" w:type="dxa"/>
            <w:noWrap/>
            <w:hideMark/>
          </w:tcPr>
          <w:p w14:paraId="159A5746" w14:textId="77777777" w:rsidR="00324854" w:rsidRPr="00D210DE" w:rsidRDefault="00324854" w:rsidP="0019189B">
            <w:pPr>
              <w:spacing w:after="40"/>
              <w:ind w:firstLine="180"/>
              <w:rPr>
                <w:rFonts w:ascii="Times New Roman" w:hAnsi="Times New Roman"/>
                <w:sz w:val="18"/>
                <w:szCs w:val="18"/>
              </w:rPr>
            </w:pPr>
          </w:p>
        </w:tc>
      </w:tr>
      <w:tr w:rsidR="00324854" w:rsidRPr="00D210DE" w14:paraId="1361487B" w14:textId="77777777" w:rsidTr="0019189B">
        <w:trPr>
          <w:trHeight w:val="215"/>
        </w:trPr>
        <w:tc>
          <w:tcPr>
            <w:tcW w:w="1748" w:type="dxa"/>
            <w:tcBorders>
              <w:bottom w:val="nil"/>
            </w:tcBorders>
            <w:noWrap/>
            <w:hideMark/>
          </w:tcPr>
          <w:p w14:paraId="363C2869" w14:textId="77777777" w:rsidR="00324854" w:rsidRPr="00D210DE" w:rsidRDefault="00324854" w:rsidP="0019189B">
            <w:pPr>
              <w:spacing w:after="40"/>
              <w:ind w:firstLine="180"/>
              <w:rPr>
                <w:rFonts w:ascii="Times New Roman" w:hAnsi="Times New Roman"/>
                <w:sz w:val="18"/>
                <w:szCs w:val="18"/>
              </w:rPr>
            </w:pPr>
          </w:p>
        </w:tc>
        <w:tc>
          <w:tcPr>
            <w:tcW w:w="1389" w:type="dxa"/>
            <w:tcBorders>
              <w:bottom w:val="nil"/>
            </w:tcBorders>
            <w:noWrap/>
            <w:hideMark/>
          </w:tcPr>
          <w:p w14:paraId="3CE70D6D"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 xml:space="preserve">Arbeidere </w:t>
            </w:r>
          </w:p>
        </w:tc>
        <w:tc>
          <w:tcPr>
            <w:tcW w:w="1356" w:type="dxa"/>
            <w:tcBorders>
              <w:bottom w:val="nil"/>
            </w:tcBorders>
            <w:noWrap/>
            <w:hideMark/>
          </w:tcPr>
          <w:p w14:paraId="06FADACE"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Industri-</w:t>
            </w:r>
          </w:p>
        </w:tc>
        <w:tc>
          <w:tcPr>
            <w:tcW w:w="1358" w:type="dxa"/>
            <w:tcBorders>
              <w:bottom w:val="nil"/>
            </w:tcBorders>
            <w:noWrap/>
            <w:hideMark/>
          </w:tcPr>
          <w:p w14:paraId="60A8B9E5"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 xml:space="preserve">Nærings- og </w:t>
            </w:r>
          </w:p>
        </w:tc>
        <w:tc>
          <w:tcPr>
            <w:tcW w:w="1223" w:type="dxa"/>
            <w:tcBorders>
              <w:bottom w:val="nil"/>
            </w:tcBorders>
            <w:noWrap/>
            <w:hideMark/>
          </w:tcPr>
          <w:p w14:paraId="43F074B6" w14:textId="77777777" w:rsidR="00324854" w:rsidRPr="00D210DE" w:rsidRDefault="00324854" w:rsidP="0019189B">
            <w:pPr>
              <w:spacing w:after="40"/>
              <w:ind w:firstLine="180"/>
              <w:rPr>
                <w:rFonts w:ascii="Times New Roman" w:hAnsi="Times New Roman"/>
                <w:sz w:val="18"/>
                <w:szCs w:val="18"/>
              </w:rPr>
            </w:pPr>
          </w:p>
        </w:tc>
        <w:tc>
          <w:tcPr>
            <w:tcW w:w="1492" w:type="dxa"/>
            <w:tcBorders>
              <w:bottom w:val="nil"/>
            </w:tcBorders>
            <w:noWrap/>
            <w:hideMark/>
          </w:tcPr>
          <w:p w14:paraId="7ABA40E2"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Kjemisk</w:t>
            </w:r>
          </w:p>
        </w:tc>
        <w:tc>
          <w:tcPr>
            <w:tcW w:w="1492" w:type="dxa"/>
            <w:tcBorders>
              <w:bottom w:val="nil"/>
            </w:tcBorders>
            <w:noWrap/>
            <w:hideMark/>
          </w:tcPr>
          <w:p w14:paraId="565804FA"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 xml:space="preserve">Verksted- og </w:t>
            </w:r>
          </w:p>
        </w:tc>
        <w:tc>
          <w:tcPr>
            <w:tcW w:w="2723" w:type="dxa"/>
            <w:gridSpan w:val="2"/>
            <w:tcBorders>
              <w:bottom w:val="nil"/>
            </w:tcBorders>
            <w:noWrap/>
            <w:hideMark/>
          </w:tcPr>
          <w:p w14:paraId="09C3D3CC" w14:textId="77777777" w:rsidR="00324854" w:rsidRPr="00D210DE" w:rsidRDefault="00324854" w:rsidP="0019189B">
            <w:pPr>
              <w:spacing w:after="40"/>
              <w:ind w:firstLine="180"/>
              <w:jc w:val="center"/>
              <w:rPr>
                <w:rFonts w:ascii="Times New Roman" w:hAnsi="Times New Roman"/>
                <w:sz w:val="18"/>
                <w:szCs w:val="18"/>
              </w:rPr>
            </w:pPr>
            <w:r w:rsidRPr="00D210DE">
              <w:rPr>
                <w:rFonts w:ascii="Times New Roman" w:hAnsi="Times New Roman"/>
                <w:sz w:val="18"/>
                <w:szCs w:val="18"/>
              </w:rPr>
              <w:t>Bygg- og anleggsvirksomhet</w:t>
            </w:r>
          </w:p>
        </w:tc>
        <w:tc>
          <w:tcPr>
            <w:tcW w:w="1820" w:type="dxa"/>
            <w:tcBorders>
              <w:bottom w:val="nil"/>
            </w:tcBorders>
            <w:noWrap/>
            <w:hideMark/>
          </w:tcPr>
          <w:p w14:paraId="38A0FEF1"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Transport-</w:t>
            </w:r>
          </w:p>
        </w:tc>
      </w:tr>
      <w:tr w:rsidR="00324854" w:rsidRPr="00D210DE" w14:paraId="27E0E1C3" w14:textId="77777777" w:rsidTr="0019189B">
        <w:trPr>
          <w:trHeight w:val="215"/>
        </w:trPr>
        <w:tc>
          <w:tcPr>
            <w:tcW w:w="1748" w:type="dxa"/>
            <w:tcBorders>
              <w:bottom w:val="single" w:sz="4" w:space="0" w:color="auto"/>
            </w:tcBorders>
            <w:noWrap/>
            <w:hideMark/>
          </w:tcPr>
          <w:p w14:paraId="162663DD" w14:textId="77777777" w:rsidR="00324854" w:rsidRPr="00D210DE" w:rsidRDefault="00324854" w:rsidP="0019189B">
            <w:pPr>
              <w:spacing w:after="40"/>
              <w:ind w:firstLine="180"/>
              <w:rPr>
                <w:rFonts w:ascii="Times New Roman" w:hAnsi="Times New Roman"/>
                <w:sz w:val="18"/>
                <w:szCs w:val="18"/>
              </w:rPr>
            </w:pPr>
            <w:r w:rsidRPr="00D210DE">
              <w:rPr>
                <w:rFonts w:ascii="Times New Roman" w:hAnsi="Times New Roman"/>
                <w:sz w:val="18"/>
                <w:szCs w:val="18"/>
              </w:rPr>
              <w:t>År</w:t>
            </w:r>
          </w:p>
        </w:tc>
        <w:tc>
          <w:tcPr>
            <w:tcW w:w="1389" w:type="dxa"/>
            <w:tcBorders>
              <w:bottom w:val="single" w:sz="4" w:space="0" w:color="auto"/>
            </w:tcBorders>
            <w:noWrap/>
            <w:hideMark/>
          </w:tcPr>
          <w:p w14:paraId="59D1CC35"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i alt</w:t>
            </w:r>
          </w:p>
        </w:tc>
        <w:tc>
          <w:tcPr>
            <w:tcW w:w="1356" w:type="dxa"/>
            <w:tcBorders>
              <w:bottom w:val="single" w:sz="4" w:space="0" w:color="auto"/>
            </w:tcBorders>
            <w:noWrap/>
            <w:hideMark/>
          </w:tcPr>
          <w:p w14:paraId="6093EC90"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arbeidere</w:t>
            </w:r>
          </w:p>
        </w:tc>
        <w:tc>
          <w:tcPr>
            <w:tcW w:w="1358" w:type="dxa"/>
            <w:tcBorders>
              <w:bottom w:val="single" w:sz="4" w:space="0" w:color="auto"/>
            </w:tcBorders>
            <w:noWrap/>
            <w:hideMark/>
          </w:tcPr>
          <w:p w14:paraId="25E72BF4"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nytelse</w:t>
            </w:r>
          </w:p>
        </w:tc>
        <w:tc>
          <w:tcPr>
            <w:tcW w:w="1223" w:type="dxa"/>
            <w:tcBorders>
              <w:bottom w:val="single" w:sz="4" w:space="0" w:color="auto"/>
            </w:tcBorders>
            <w:noWrap/>
            <w:hideMark/>
          </w:tcPr>
          <w:p w14:paraId="308DE8BD"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Treindustri</w:t>
            </w:r>
          </w:p>
        </w:tc>
        <w:tc>
          <w:tcPr>
            <w:tcW w:w="1492" w:type="dxa"/>
            <w:tcBorders>
              <w:bottom w:val="single" w:sz="4" w:space="0" w:color="auto"/>
            </w:tcBorders>
            <w:noWrap/>
            <w:hideMark/>
          </w:tcPr>
          <w:p w14:paraId="4F265DDF"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prosessindustri</w:t>
            </w:r>
            <w:r w:rsidRPr="00D210DE">
              <w:rPr>
                <w:rFonts w:ascii="Times New Roman" w:hAnsi="Times New Roman"/>
                <w:sz w:val="18"/>
                <w:szCs w:val="18"/>
                <w:vertAlign w:val="superscript"/>
              </w:rPr>
              <w:t>8</w:t>
            </w:r>
          </w:p>
        </w:tc>
        <w:tc>
          <w:tcPr>
            <w:tcW w:w="1492" w:type="dxa"/>
            <w:tcBorders>
              <w:bottom w:val="single" w:sz="4" w:space="0" w:color="auto"/>
            </w:tcBorders>
            <w:noWrap/>
            <w:hideMark/>
          </w:tcPr>
          <w:p w14:paraId="0DEC0B3B"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metallindustri</w:t>
            </w:r>
          </w:p>
        </w:tc>
        <w:tc>
          <w:tcPr>
            <w:tcW w:w="1222" w:type="dxa"/>
            <w:tcBorders>
              <w:bottom w:val="single" w:sz="4" w:space="0" w:color="auto"/>
            </w:tcBorders>
            <w:noWrap/>
            <w:hideMark/>
          </w:tcPr>
          <w:p w14:paraId="33779A65"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I alt</w:t>
            </w:r>
          </w:p>
        </w:tc>
        <w:tc>
          <w:tcPr>
            <w:tcW w:w="1501" w:type="dxa"/>
            <w:tcBorders>
              <w:bottom w:val="single" w:sz="4" w:space="0" w:color="auto"/>
            </w:tcBorders>
            <w:noWrap/>
            <w:hideMark/>
          </w:tcPr>
          <w:p w14:paraId="0E6AE4DE"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Byggevirksomhet</w:t>
            </w:r>
          </w:p>
        </w:tc>
        <w:tc>
          <w:tcPr>
            <w:tcW w:w="1820" w:type="dxa"/>
            <w:tcBorders>
              <w:bottom w:val="single" w:sz="4" w:space="0" w:color="auto"/>
            </w:tcBorders>
            <w:noWrap/>
            <w:hideMark/>
          </w:tcPr>
          <w:p w14:paraId="35DAD9C3" w14:textId="77777777" w:rsidR="00324854" w:rsidRPr="00D210DE" w:rsidRDefault="00324854" w:rsidP="0019189B">
            <w:pPr>
              <w:spacing w:after="40"/>
              <w:ind w:firstLine="180"/>
              <w:jc w:val="right"/>
              <w:rPr>
                <w:rFonts w:ascii="Times New Roman" w:hAnsi="Times New Roman"/>
                <w:sz w:val="18"/>
                <w:szCs w:val="18"/>
              </w:rPr>
            </w:pPr>
            <w:r w:rsidRPr="00D210DE">
              <w:rPr>
                <w:rFonts w:ascii="Times New Roman" w:hAnsi="Times New Roman"/>
                <w:sz w:val="18"/>
                <w:szCs w:val="18"/>
              </w:rPr>
              <w:t>sektoren i alt</w:t>
            </w:r>
          </w:p>
        </w:tc>
      </w:tr>
      <w:tr w:rsidR="00324854" w:rsidRPr="00D210DE" w14:paraId="590C2CE6" w14:textId="77777777" w:rsidTr="0019189B">
        <w:trPr>
          <w:trHeight w:val="227"/>
        </w:trPr>
        <w:tc>
          <w:tcPr>
            <w:tcW w:w="1748" w:type="dxa"/>
            <w:tcBorders>
              <w:top w:val="single" w:sz="4" w:space="0" w:color="auto"/>
            </w:tcBorders>
            <w:noWrap/>
            <w:hideMark/>
          </w:tcPr>
          <w:p w14:paraId="7941BA19" w14:textId="77777777" w:rsidR="00324854" w:rsidRPr="00CE2F05" w:rsidRDefault="00324854" w:rsidP="0019189B">
            <w:pPr>
              <w:spacing w:after="40"/>
              <w:ind w:firstLine="180"/>
              <w:rPr>
                <w:sz w:val="18"/>
                <w:szCs w:val="18"/>
              </w:rPr>
            </w:pPr>
            <w:r w:rsidRPr="00CE2F05">
              <w:rPr>
                <w:sz w:val="18"/>
                <w:szCs w:val="18"/>
              </w:rPr>
              <w:t>2005</w:t>
            </w:r>
          </w:p>
        </w:tc>
        <w:tc>
          <w:tcPr>
            <w:tcW w:w="1389" w:type="dxa"/>
            <w:tcBorders>
              <w:top w:val="single" w:sz="4" w:space="0" w:color="auto"/>
            </w:tcBorders>
            <w:noWrap/>
            <w:hideMark/>
          </w:tcPr>
          <w:p w14:paraId="698D3D20" w14:textId="77777777" w:rsidR="00324854" w:rsidRPr="000F5029" w:rsidRDefault="00324854" w:rsidP="0019189B">
            <w:pPr>
              <w:spacing w:after="40"/>
              <w:ind w:firstLine="180"/>
              <w:jc w:val="right"/>
              <w:rPr>
                <w:sz w:val="18"/>
                <w:szCs w:val="18"/>
              </w:rPr>
            </w:pPr>
            <w:r w:rsidRPr="000F5029">
              <w:rPr>
                <w:sz w:val="18"/>
                <w:szCs w:val="18"/>
              </w:rPr>
              <w:t xml:space="preserve"> 3,2 </w:t>
            </w:r>
          </w:p>
        </w:tc>
        <w:tc>
          <w:tcPr>
            <w:tcW w:w="1356" w:type="dxa"/>
            <w:tcBorders>
              <w:top w:val="single" w:sz="4" w:space="0" w:color="auto"/>
            </w:tcBorders>
            <w:noWrap/>
            <w:hideMark/>
          </w:tcPr>
          <w:p w14:paraId="6A6EF221" w14:textId="77777777" w:rsidR="00324854" w:rsidRPr="000F5029" w:rsidRDefault="00324854" w:rsidP="0019189B">
            <w:pPr>
              <w:spacing w:after="40"/>
              <w:ind w:firstLine="180"/>
              <w:jc w:val="right"/>
              <w:rPr>
                <w:sz w:val="18"/>
                <w:szCs w:val="18"/>
              </w:rPr>
            </w:pPr>
            <w:r w:rsidRPr="000F5029">
              <w:rPr>
                <w:sz w:val="18"/>
                <w:szCs w:val="18"/>
              </w:rPr>
              <w:t xml:space="preserve"> 3,4 </w:t>
            </w:r>
          </w:p>
        </w:tc>
        <w:tc>
          <w:tcPr>
            <w:tcW w:w="1358" w:type="dxa"/>
            <w:tcBorders>
              <w:top w:val="single" w:sz="4" w:space="0" w:color="auto"/>
            </w:tcBorders>
            <w:noWrap/>
            <w:hideMark/>
          </w:tcPr>
          <w:p w14:paraId="3D4BBF58"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223" w:type="dxa"/>
            <w:tcBorders>
              <w:top w:val="single" w:sz="4" w:space="0" w:color="auto"/>
            </w:tcBorders>
            <w:noWrap/>
            <w:hideMark/>
          </w:tcPr>
          <w:p w14:paraId="1DF86744" w14:textId="77777777" w:rsidR="00324854" w:rsidRPr="000F5029" w:rsidRDefault="00324854" w:rsidP="0019189B">
            <w:pPr>
              <w:spacing w:after="40"/>
              <w:ind w:firstLine="180"/>
              <w:jc w:val="right"/>
              <w:rPr>
                <w:sz w:val="18"/>
                <w:szCs w:val="18"/>
              </w:rPr>
            </w:pPr>
            <w:r w:rsidRPr="000F5029">
              <w:rPr>
                <w:sz w:val="18"/>
                <w:szCs w:val="18"/>
              </w:rPr>
              <w:t xml:space="preserve"> 3,1 </w:t>
            </w:r>
          </w:p>
        </w:tc>
        <w:tc>
          <w:tcPr>
            <w:tcW w:w="1492" w:type="dxa"/>
            <w:tcBorders>
              <w:top w:val="single" w:sz="4" w:space="0" w:color="auto"/>
            </w:tcBorders>
            <w:noWrap/>
            <w:hideMark/>
          </w:tcPr>
          <w:p w14:paraId="5D9E5C71" w14:textId="77777777" w:rsidR="00324854" w:rsidRPr="000F5029" w:rsidRDefault="00324854" w:rsidP="0019189B">
            <w:pPr>
              <w:spacing w:after="40"/>
              <w:ind w:firstLine="180"/>
              <w:jc w:val="right"/>
              <w:rPr>
                <w:sz w:val="18"/>
                <w:szCs w:val="18"/>
              </w:rPr>
            </w:pPr>
            <w:r w:rsidRPr="000F5029">
              <w:rPr>
                <w:sz w:val="18"/>
                <w:szCs w:val="18"/>
              </w:rPr>
              <w:t xml:space="preserve"> - </w:t>
            </w:r>
          </w:p>
        </w:tc>
        <w:tc>
          <w:tcPr>
            <w:tcW w:w="1492" w:type="dxa"/>
            <w:tcBorders>
              <w:top w:val="single" w:sz="4" w:space="0" w:color="auto"/>
            </w:tcBorders>
            <w:noWrap/>
            <w:hideMark/>
          </w:tcPr>
          <w:p w14:paraId="1F4D327F"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222" w:type="dxa"/>
            <w:tcBorders>
              <w:top w:val="single" w:sz="4" w:space="0" w:color="auto"/>
            </w:tcBorders>
            <w:noWrap/>
            <w:hideMark/>
          </w:tcPr>
          <w:p w14:paraId="6F96E4A3" w14:textId="77777777" w:rsidR="00324854" w:rsidRPr="000F5029" w:rsidRDefault="00324854" w:rsidP="0019189B">
            <w:pPr>
              <w:spacing w:after="40"/>
              <w:ind w:firstLine="180"/>
              <w:jc w:val="right"/>
              <w:rPr>
                <w:sz w:val="18"/>
                <w:szCs w:val="18"/>
              </w:rPr>
            </w:pPr>
            <w:r w:rsidRPr="000F5029">
              <w:rPr>
                <w:sz w:val="18"/>
                <w:szCs w:val="18"/>
              </w:rPr>
              <w:t xml:space="preserve"> 2,7 </w:t>
            </w:r>
          </w:p>
        </w:tc>
        <w:tc>
          <w:tcPr>
            <w:tcW w:w="1501" w:type="dxa"/>
            <w:tcBorders>
              <w:top w:val="single" w:sz="4" w:space="0" w:color="auto"/>
            </w:tcBorders>
            <w:noWrap/>
            <w:hideMark/>
          </w:tcPr>
          <w:p w14:paraId="0ACE2B64" w14:textId="77777777" w:rsidR="00324854" w:rsidRPr="000F5029" w:rsidRDefault="00324854" w:rsidP="0019189B">
            <w:pPr>
              <w:spacing w:after="40"/>
              <w:ind w:firstLine="180"/>
              <w:jc w:val="right"/>
              <w:rPr>
                <w:sz w:val="18"/>
                <w:szCs w:val="18"/>
              </w:rPr>
            </w:pPr>
            <w:r w:rsidRPr="000F5029">
              <w:rPr>
                <w:sz w:val="18"/>
                <w:szCs w:val="18"/>
              </w:rPr>
              <w:t xml:space="preserve"> 2,9 </w:t>
            </w:r>
          </w:p>
        </w:tc>
        <w:tc>
          <w:tcPr>
            <w:tcW w:w="1820" w:type="dxa"/>
            <w:tcBorders>
              <w:top w:val="single" w:sz="4" w:space="0" w:color="auto"/>
            </w:tcBorders>
            <w:noWrap/>
            <w:hideMark/>
          </w:tcPr>
          <w:p w14:paraId="22635DA4" w14:textId="77777777" w:rsidR="00324854" w:rsidRPr="000F5029" w:rsidRDefault="00324854" w:rsidP="0019189B">
            <w:pPr>
              <w:spacing w:after="40"/>
              <w:ind w:firstLine="180"/>
              <w:jc w:val="right"/>
              <w:rPr>
                <w:sz w:val="18"/>
                <w:szCs w:val="18"/>
              </w:rPr>
            </w:pPr>
            <w:r w:rsidRPr="000F5029">
              <w:rPr>
                <w:sz w:val="18"/>
                <w:szCs w:val="18"/>
              </w:rPr>
              <w:t xml:space="preserve"> 3,8 </w:t>
            </w:r>
          </w:p>
        </w:tc>
      </w:tr>
      <w:tr w:rsidR="00324854" w:rsidRPr="00D210DE" w14:paraId="264A2B8D" w14:textId="77777777" w:rsidTr="0019189B">
        <w:trPr>
          <w:trHeight w:val="227"/>
        </w:trPr>
        <w:tc>
          <w:tcPr>
            <w:tcW w:w="1748" w:type="dxa"/>
            <w:noWrap/>
            <w:hideMark/>
          </w:tcPr>
          <w:p w14:paraId="432368F8" w14:textId="77777777" w:rsidR="00324854" w:rsidRPr="00CE2F05" w:rsidRDefault="00324854" w:rsidP="0019189B">
            <w:pPr>
              <w:spacing w:after="40"/>
              <w:ind w:firstLine="180"/>
              <w:rPr>
                <w:sz w:val="18"/>
                <w:szCs w:val="18"/>
              </w:rPr>
            </w:pPr>
            <w:r w:rsidRPr="00CE2F05">
              <w:rPr>
                <w:sz w:val="18"/>
                <w:szCs w:val="18"/>
              </w:rPr>
              <w:t>2006</w:t>
            </w:r>
          </w:p>
        </w:tc>
        <w:tc>
          <w:tcPr>
            <w:tcW w:w="1389" w:type="dxa"/>
            <w:noWrap/>
            <w:hideMark/>
          </w:tcPr>
          <w:p w14:paraId="407EBDC6" w14:textId="77777777" w:rsidR="00324854" w:rsidRPr="000F5029" w:rsidRDefault="00324854" w:rsidP="0019189B">
            <w:pPr>
              <w:spacing w:after="40"/>
              <w:ind w:firstLine="180"/>
              <w:jc w:val="right"/>
              <w:rPr>
                <w:sz w:val="18"/>
                <w:szCs w:val="18"/>
              </w:rPr>
            </w:pPr>
            <w:r w:rsidRPr="000F5029">
              <w:rPr>
                <w:sz w:val="18"/>
                <w:szCs w:val="18"/>
              </w:rPr>
              <w:t xml:space="preserve"> 4,2 </w:t>
            </w:r>
          </w:p>
        </w:tc>
        <w:tc>
          <w:tcPr>
            <w:tcW w:w="1356" w:type="dxa"/>
            <w:noWrap/>
            <w:hideMark/>
          </w:tcPr>
          <w:p w14:paraId="594319F0"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358" w:type="dxa"/>
            <w:noWrap/>
            <w:hideMark/>
          </w:tcPr>
          <w:p w14:paraId="7E46F130" w14:textId="77777777" w:rsidR="00324854" w:rsidRPr="000F5029" w:rsidRDefault="00324854" w:rsidP="0019189B">
            <w:pPr>
              <w:spacing w:after="40"/>
              <w:ind w:firstLine="180"/>
              <w:jc w:val="right"/>
              <w:rPr>
                <w:sz w:val="18"/>
                <w:szCs w:val="18"/>
              </w:rPr>
            </w:pPr>
            <w:r w:rsidRPr="000F5029">
              <w:rPr>
                <w:sz w:val="18"/>
                <w:szCs w:val="18"/>
              </w:rPr>
              <w:t xml:space="preserve"> 3,3 </w:t>
            </w:r>
          </w:p>
        </w:tc>
        <w:tc>
          <w:tcPr>
            <w:tcW w:w="1223" w:type="dxa"/>
            <w:noWrap/>
            <w:hideMark/>
          </w:tcPr>
          <w:p w14:paraId="029FB8F3"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492" w:type="dxa"/>
            <w:noWrap/>
            <w:hideMark/>
          </w:tcPr>
          <w:p w14:paraId="4486F527" w14:textId="77777777" w:rsidR="00324854" w:rsidRPr="000F5029" w:rsidRDefault="00324854" w:rsidP="0019189B">
            <w:pPr>
              <w:spacing w:after="40"/>
              <w:ind w:firstLine="180"/>
              <w:jc w:val="right"/>
              <w:rPr>
                <w:sz w:val="18"/>
                <w:szCs w:val="18"/>
              </w:rPr>
            </w:pPr>
            <w:r w:rsidRPr="000F5029">
              <w:rPr>
                <w:sz w:val="18"/>
                <w:szCs w:val="18"/>
              </w:rPr>
              <w:t xml:space="preserve"> - </w:t>
            </w:r>
          </w:p>
        </w:tc>
        <w:tc>
          <w:tcPr>
            <w:tcW w:w="1492" w:type="dxa"/>
            <w:noWrap/>
            <w:hideMark/>
          </w:tcPr>
          <w:p w14:paraId="0877BFD3" w14:textId="77777777" w:rsidR="00324854" w:rsidRPr="000F5029" w:rsidRDefault="00324854" w:rsidP="0019189B">
            <w:pPr>
              <w:spacing w:after="40"/>
              <w:ind w:firstLine="180"/>
              <w:jc w:val="right"/>
              <w:rPr>
                <w:sz w:val="18"/>
                <w:szCs w:val="18"/>
              </w:rPr>
            </w:pPr>
            <w:r w:rsidRPr="000F5029">
              <w:rPr>
                <w:sz w:val="18"/>
                <w:szCs w:val="18"/>
              </w:rPr>
              <w:t xml:space="preserve"> 3,8 </w:t>
            </w:r>
          </w:p>
        </w:tc>
        <w:tc>
          <w:tcPr>
            <w:tcW w:w="1222" w:type="dxa"/>
            <w:noWrap/>
            <w:hideMark/>
          </w:tcPr>
          <w:p w14:paraId="7506C649"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501" w:type="dxa"/>
            <w:noWrap/>
            <w:hideMark/>
          </w:tcPr>
          <w:p w14:paraId="1FF1C70C" w14:textId="77777777" w:rsidR="00324854" w:rsidRPr="000F5029" w:rsidRDefault="00324854" w:rsidP="0019189B">
            <w:pPr>
              <w:spacing w:after="40"/>
              <w:ind w:firstLine="180"/>
              <w:jc w:val="right"/>
              <w:rPr>
                <w:sz w:val="18"/>
                <w:szCs w:val="18"/>
              </w:rPr>
            </w:pPr>
            <w:r w:rsidRPr="000F5029">
              <w:rPr>
                <w:sz w:val="18"/>
                <w:szCs w:val="18"/>
              </w:rPr>
              <w:t xml:space="preserve"> 4,1 </w:t>
            </w:r>
          </w:p>
        </w:tc>
        <w:tc>
          <w:tcPr>
            <w:tcW w:w="1820" w:type="dxa"/>
            <w:noWrap/>
            <w:hideMark/>
          </w:tcPr>
          <w:p w14:paraId="196DD9D3" w14:textId="77777777" w:rsidR="00324854" w:rsidRPr="000F5029" w:rsidRDefault="00324854" w:rsidP="0019189B">
            <w:pPr>
              <w:spacing w:after="40"/>
              <w:ind w:firstLine="180"/>
              <w:jc w:val="right"/>
              <w:rPr>
                <w:sz w:val="18"/>
                <w:szCs w:val="18"/>
              </w:rPr>
            </w:pPr>
            <w:r w:rsidRPr="000F5029">
              <w:rPr>
                <w:sz w:val="18"/>
                <w:szCs w:val="18"/>
              </w:rPr>
              <w:t xml:space="preserve"> 3,9 </w:t>
            </w:r>
          </w:p>
        </w:tc>
      </w:tr>
      <w:tr w:rsidR="00324854" w:rsidRPr="00D210DE" w14:paraId="28AA5BD7" w14:textId="77777777" w:rsidTr="0019189B">
        <w:trPr>
          <w:trHeight w:val="227"/>
        </w:trPr>
        <w:tc>
          <w:tcPr>
            <w:tcW w:w="1748" w:type="dxa"/>
            <w:noWrap/>
            <w:hideMark/>
          </w:tcPr>
          <w:p w14:paraId="06758709" w14:textId="77777777" w:rsidR="00324854" w:rsidRPr="00CE2F05" w:rsidRDefault="00324854" w:rsidP="0019189B">
            <w:pPr>
              <w:spacing w:after="40"/>
              <w:ind w:firstLine="180"/>
              <w:rPr>
                <w:sz w:val="18"/>
                <w:szCs w:val="18"/>
              </w:rPr>
            </w:pPr>
            <w:r w:rsidRPr="00CE2F05">
              <w:rPr>
                <w:sz w:val="18"/>
                <w:szCs w:val="18"/>
              </w:rPr>
              <w:t>2007</w:t>
            </w:r>
          </w:p>
        </w:tc>
        <w:tc>
          <w:tcPr>
            <w:tcW w:w="1389" w:type="dxa"/>
            <w:noWrap/>
            <w:hideMark/>
          </w:tcPr>
          <w:p w14:paraId="65CA0A55" w14:textId="77777777" w:rsidR="00324854" w:rsidRPr="000F5029" w:rsidRDefault="00324854" w:rsidP="0019189B">
            <w:pPr>
              <w:spacing w:after="40"/>
              <w:ind w:firstLine="180"/>
              <w:jc w:val="right"/>
              <w:rPr>
                <w:sz w:val="18"/>
                <w:szCs w:val="18"/>
              </w:rPr>
            </w:pPr>
            <w:r w:rsidRPr="000F5029">
              <w:rPr>
                <w:sz w:val="18"/>
                <w:szCs w:val="18"/>
              </w:rPr>
              <w:t xml:space="preserve"> 5,4 </w:t>
            </w:r>
          </w:p>
        </w:tc>
        <w:tc>
          <w:tcPr>
            <w:tcW w:w="1356" w:type="dxa"/>
            <w:noWrap/>
            <w:hideMark/>
          </w:tcPr>
          <w:p w14:paraId="12FB4336" w14:textId="77777777" w:rsidR="00324854" w:rsidRPr="000F5029" w:rsidRDefault="00324854" w:rsidP="0019189B">
            <w:pPr>
              <w:spacing w:after="40"/>
              <w:ind w:firstLine="180"/>
              <w:jc w:val="right"/>
              <w:rPr>
                <w:sz w:val="18"/>
                <w:szCs w:val="18"/>
              </w:rPr>
            </w:pPr>
            <w:r w:rsidRPr="000F5029">
              <w:rPr>
                <w:sz w:val="18"/>
                <w:szCs w:val="18"/>
              </w:rPr>
              <w:t xml:space="preserve"> 5,5 </w:t>
            </w:r>
          </w:p>
        </w:tc>
        <w:tc>
          <w:tcPr>
            <w:tcW w:w="1358" w:type="dxa"/>
            <w:noWrap/>
            <w:hideMark/>
          </w:tcPr>
          <w:p w14:paraId="4C4E2A69" w14:textId="77777777" w:rsidR="00324854" w:rsidRPr="000F5029" w:rsidRDefault="00324854" w:rsidP="0019189B">
            <w:pPr>
              <w:spacing w:after="40"/>
              <w:ind w:firstLine="180"/>
              <w:jc w:val="right"/>
              <w:rPr>
                <w:sz w:val="18"/>
                <w:szCs w:val="18"/>
              </w:rPr>
            </w:pPr>
            <w:r w:rsidRPr="000F5029">
              <w:rPr>
                <w:sz w:val="18"/>
                <w:szCs w:val="18"/>
              </w:rPr>
              <w:t xml:space="preserve"> 5,4 </w:t>
            </w:r>
          </w:p>
        </w:tc>
        <w:tc>
          <w:tcPr>
            <w:tcW w:w="1223" w:type="dxa"/>
            <w:noWrap/>
            <w:hideMark/>
          </w:tcPr>
          <w:p w14:paraId="6DBDD608" w14:textId="77777777" w:rsidR="00324854" w:rsidRPr="000F5029" w:rsidRDefault="00324854" w:rsidP="0019189B">
            <w:pPr>
              <w:spacing w:after="40"/>
              <w:ind w:firstLine="180"/>
              <w:jc w:val="right"/>
              <w:rPr>
                <w:sz w:val="18"/>
                <w:szCs w:val="18"/>
              </w:rPr>
            </w:pPr>
            <w:r w:rsidRPr="000F5029">
              <w:rPr>
                <w:sz w:val="18"/>
                <w:szCs w:val="18"/>
              </w:rPr>
              <w:t xml:space="preserve"> 5,8 </w:t>
            </w:r>
          </w:p>
        </w:tc>
        <w:tc>
          <w:tcPr>
            <w:tcW w:w="1492" w:type="dxa"/>
            <w:noWrap/>
            <w:hideMark/>
          </w:tcPr>
          <w:p w14:paraId="26C8F395" w14:textId="77777777" w:rsidR="00324854" w:rsidRPr="000F5029" w:rsidRDefault="00324854" w:rsidP="0019189B">
            <w:pPr>
              <w:spacing w:after="40"/>
              <w:ind w:firstLine="180"/>
              <w:jc w:val="right"/>
              <w:rPr>
                <w:sz w:val="18"/>
                <w:szCs w:val="18"/>
              </w:rPr>
            </w:pPr>
            <w:r w:rsidRPr="000F5029">
              <w:rPr>
                <w:sz w:val="18"/>
                <w:szCs w:val="18"/>
              </w:rPr>
              <w:t xml:space="preserve"> - </w:t>
            </w:r>
          </w:p>
        </w:tc>
        <w:tc>
          <w:tcPr>
            <w:tcW w:w="1492" w:type="dxa"/>
            <w:noWrap/>
            <w:hideMark/>
          </w:tcPr>
          <w:p w14:paraId="06356C94" w14:textId="77777777" w:rsidR="00324854" w:rsidRPr="000F5029" w:rsidRDefault="00324854" w:rsidP="0019189B">
            <w:pPr>
              <w:spacing w:after="40"/>
              <w:ind w:firstLine="180"/>
              <w:jc w:val="right"/>
              <w:rPr>
                <w:sz w:val="18"/>
                <w:szCs w:val="18"/>
              </w:rPr>
            </w:pPr>
            <w:r w:rsidRPr="000F5029">
              <w:rPr>
                <w:sz w:val="18"/>
                <w:szCs w:val="18"/>
              </w:rPr>
              <w:t xml:space="preserve"> 6,4 </w:t>
            </w:r>
          </w:p>
        </w:tc>
        <w:tc>
          <w:tcPr>
            <w:tcW w:w="1222" w:type="dxa"/>
            <w:noWrap/>
            <w:hideMark/>
          </w:tcPr>
          <w:p w14:paraId="4A932E40" w14:textId="77777777" w:rsidR="00324854" w:rsidRPr="000F5029" w:rsidRDefault="00324854" w:rsidP="0019189B">
            <w:pPr>
              <w:spacing w:after="40"/>
              <w:ind w:firstLine="180"/>
              <w:jc w:val="right"/>
              <w:rPr>
                <w:sz w:val="18"/>
                <w:szCs w:val="18"/>
              </w:rPr>
            </w:pPr>
            <w:r w:rsidRPr="000F5029">
              <w:rPr>
                <w:sz w:val="18"/>
                <w:szCs w:val="18"/>
              </w:rPr>
              <w:t xml:space="preserve"> 5,4 </w:t>
            </w:r>
          </w:p>
        </w:tc>
        <w:tc>
          <w:tcPr>
            <w:tcW w:w="1501" w:type="dxa"/>
            <w:noWrap/>
            <w:hideMark/>
          </w:tcPr>
          <w:p w14:paraId="0B6227D8" w14:textId="77777777" w:rsidR="00324854" w:rsidRPr="000F5029" w:rsidRDefault="00324854" w:rsidP="0019189B">
            <w:pPr>
              <w:spacing w:after="40"/>
              <w:ind w:firstLine="180"/>
              <w:jc w:val="right"/>
              <w:rPr>
                <w:sz w:val="18"/>
                <w:szCs w:val="18"/>
              </w:rPr>
            </w:pPr>
            <w:r w:rsidRPr="000F5029">
              <w:rPr>
                <w:sz w:val="18"/>
                <w:szCs w:val="18"/>
              </w:rPr>
              <w:t xml:space="preserve"> 5,5 </w:t>
            </w:r>
          </w:p>
        </w:tc>
        <w:tc>
          <w:tcPr>
            <w:tcW w:w="1820" w:type="dxa"/>
            <w:noWrap/>
            <w:hideMark/>
          </w:tcPr>
          <w:p w14:paraId="4F9F2DBC" w14:textId="77777777" w:rsidR="00324854" w:rsidRPr="000F5029" w:rsidRDefault="00324854" w:rsidP="0019189B">
            <w:pPr>
              <w:spacing w:after="40"/>
              <w:ind w:firstLine="180"/>
              <w:jc w:val="right"/>
              <w:rPr>
                <w:sz w:val="18"/>
                <w:szCs w:val="18"/>
              </w:rPr>
            </w:pPr>
            <w:r w:rsidRPr="000F5029">
              <w:rPr>
                <w:sz w:val="18"/>
                <w:szCs w:val="18"/>
              </w:rPr>
              <w:t xml:space="preserve"> 4,4 </w:t>
            </w:r>
          </w:p>
        </w:tc>
      </w:tr>
      <w:tr w:rsidR="00324854" w:rsidRPr="00D210DE" w14:paraId="12458844" w14:textId="77777777" w:rsidTr="0019189B">
        <w:trPr>
          <w:trHeight w:val="227"/>
        </w:trPr>
        <w:tc>
          <w:tcPr>
            <w:tcW w:w="1748" w:type="dxa"/>
            <w:noWrap/>
            <w:hideMark/>
          </w:tcPr>
          <w:p w14:paraId="2A921914" w14:textId="77777777" w:rsidR="00324854" w:rsidRPr="00CE2F05" w:rsidRDefault="00324854" w:rsidP="0019189B">
            <w:pPr>
              <w:spacing w:after="40"/>
              <w:ind w:firstLine="180"/>
              <w:rPr>
                <w:sz w:val="18"/>
                <w:szCs w:val="18"/>
              </w:rPr>
            </w:pPr>
            <w:r w:rsidRPr="00CE2F05">
              <w:rPr>
                <w:sz w:val="18"/>
                <w:szCs w:val="18"/>
              </w:rPr>
              <w:t>2008</w:t>
            </w:r>
          </w:p>
        </w:tc>
        <w:tc>
          <w:tcPr>
            <w:tcW w:w="1389" w:type="dxa"/>
            <w:noWrap/>
            <w:hideMark/>
          </w:tcPr>
          <w:p w14:paraId="41D8E32A" w14:textId="77777777" w:rsidR="00324854" w:rsidRPr="000F5029" w:rsidRDefault="00324854" w:rsidP="0019189B">
            <w:pPr>
              <w:spacing w:after="40"/>
              <w:ind w:firstLine="180"/>
              <w:jc w:val="right"/>
              <w:rPr>
                <w:sz w:val="18"/>
                <w:szCs w:val="18"/>
              </w:rPr>
            </w:pPr>
            <w:r w:rsidRPr="000F5029">
              <w:rPr>
                <w:sz w:val="18"/>
                <w:szCs w:val="18"/>
              </w:rPr>
              <w:t xml:space="preserve"> 5,7 </w:t>
            </w:r>
          </w:p>
        </w:tc>
        <w:tc>
          <w:tcPr>
            <w:tcW w:w="1356" w:type="dxa"/>
            <w:noWrap/>
            <w:hideMark/>
          </w:tcPr>
          <w:p w14:paraId="388FA65D" w14:textId="77777777" w:rsidR="00324854" w:rsidRPr="000F5029" w:rsidRDefault="00324854" w:rsidP="0019189B">
            <w:pPr>
              <w:spacing w:after="40"/>
              <w:ind w:firstLine="180"/>
              <w:jc w:val="right"/>
              <w:rPr>
                <w:sz w:val="18"/>
                <w:szCs w:val="18"/>
              </w:rPr>
            </w:pPr>
            <w:r w:rsidRPr="000F5029">
              <w:rPr>
                <w:sz w:val="18"/>
                <w:szCs w:val="18"/>
              </w:rPr>
              <w:t xml:space="preserve"> 5,7 </w:t>
            </w:r>
          </w:p>
        </w:tc>
        <w:tc>
          <w:tcPr>
            <w:tcW w:w="1358" w:type="dxa"/>
            <w:noWrap/>
            <w:hideMark/>
          </w:tcPr>
          <w:p w14:paraId="79EE0B08" w14:textId="77777777" w:rsidR="00324854" w:rsidRPr="000F5029" w:rsidRDefault="00324854" w:rsidP="0019189B">
            <w:pPr>
              <w:spacing w:after="40"/>
              <w:ind w:firstLine="180"/>
              <w:jc w:val="right"/>
              <w:rPr>
                <w:sz w:val="18"/>
                <w:szCs w:val="18"/>
              </w:rPr>
            </w:pPr>
            <w:r w:rsidRPr="000F5029">
              <w:rPr>
                <w:sz w:val="18"/>
                <w:szCs w:val="18"/>
              </w:rPr>
              <w:t xml:space="preserve"> 5,7 </w:t>
            </w:r>
          </w:p>
        </w:tc>
        <w:tc>
          <w:tcPr>
            <w:tcW w:w="1223" w:type="dxa"/>
            <w:noWrap/>
            <w:hideMark/>
          </w:tcPr>
          <w:p w14:paraId="3C2A3C86" w14:textId="77777777" w:rsidR="00324854" w:rsidRPr="000F5029" w:rsidRDefault="00324854" w:rsidP="0019189B">
            <w:pPr>
              <w:spacing w:after="40"/>
              <w:ind w:firstLine="180"/>
              <w:jc w:val="right"/>
              <w:rPr>
                <w:sz w:val="18"/>
                <w:szCs w:val="18"/>
              </w:rPr>
            </w:pPr>
            <w:r w:rsidRPr="000F5029">
              <w:rPr>
                <w:sz w:val="18"/>
                <w:szCs w:val="18"/>
              </w:rPr>
              <w:t xml:space="preserve"> 5,8 </w:t>
            </w:r>
          </w:p>
        </w:tc>
        <w:tc>
          <w:tcPr>
            <w:tcW w:w="1492" w:type="dxa"/>
            <w:noWrap/>
            <w:hideMark/>
          </w:tcPr>
          <w:p w14:paraId="3B60BC05" w14:textId="77777777" w:rsidR="00324854" w:rsidRPr="000F5029" w:rsidRDefault="00324854" w:rsidP="0019189B">
            <w:pPr>
              <w:spacing w:after="40"/>
              <w:ind w:firstLine="180"/>
              <w:jc w:val="right"/>
              <w:rPr>
                <w:sz w:val="18"/>
                <w:szCs w:val="18"/>
              </w:rPr>
            </w:pPr>
            <w:r w:rsidRPr="000F5029">
              <w:rPr>
                <w:sz w:val="18"/>
                <w:szCs w:val="18"/>
              </w:rPr>
              <w:t xml:space="preserve"> - </w:t>
            </w:r>
          </w:p>
        </w:tc>
        <w:tc>
          <w:tcPr>
            <w:tcW w:w="1492" w:type="dxa"/>
            <w:noWrap/>
            <w:hideMark/>
          </w:tcPr>
          <w:p w14:paraId="0919CF68" w14:textId="77777777" w:rsidR="00324854" w:rsidRPr="000F5029" w:rsidRDefault="00324854" w:rsidP="0019189B">
            <w:pPr>
              <w:spacing w:after="40"/>
              <w:ind w:firstLine="180"/>
              <w:jc w:val="right"/>
              <w:rPr>
                <w:sz w:val="18"/>
                <w:szCs w:val="18"/>
              </w:rPr>
            </w:pPr>
            <w:r w:rsidRPr="000F5029">
              <w:rPr>
                <w:sz w:val="18"/>
                <w:szCs w:val="18"/>
              </w:rPr>
              <w:t xml:space="preserve"> 5,9 </w:t>
            </w:r>
          </w:p>
        </w:tc>
        <w:tc>
          <w:tcPr>
            <w:tcW w:w="1222" w:type="dxa"/>
            <w:noWrap/>
            <w:hideMark/>
          </w:tcPr>
          <w:p w14:paraId="3E36761D" w14:textId="77777777" w:rsidR="00324854" w:rsidRPr="000F5029" w:rsidRDefault="00324854" w:rsidP="0019189B">
            <w:pPr>
              <w:spacing w:after="40"/>
              <w:ind w:firstLine="180"/>
              <w:jc w:val="right"/>
              <w:rPr>
                <w:sz w:val="18"/>
                <w:szCs w:val="18"/>
              </w:rPr>
            </w:pPr>
            <w:r w:rsidRPr="000F5029">
              <w:rPr>
                <w:sz w:val="18"/>
                <w:szCs w:val="18"/>
              </w:rPr>
              <w:t xml:space="preserve"> 5,4 </w:t>
            </w:r>
          </w:p>
        </w:tc>
        <w:tc>
          <w:tcPr>
            <w:tcW w:w="1501" w:type="dxa"/>
            <w:noWrap/>
            <w:hideMark/>
          </w:tcPr>
          <w:p w14:paraId="4A5E0C41" w14:textId="77777777" w:rsidR="00324854" w:rsidRPr="000F5029" w:rsidRDefault="00324854" w:rsidP="0019189B">
            <w:pPr>
              <w:spacing w:after="40"/>
              <w:ind w:firstLine="180"/>
              <w:jc w:val="right"/>
              <w:rPr>
                <w:sz w:val="18"/>
                <w:szCs w:val="18"/>
              </w:rPr>
            </w:pPr>
            <w:r w:rsidRPr="000F5029">
              <w:rPr>
                <w:sz w:val="18"/>
                <w:szCs w:val="18"/>
              </w:rPr>
              <w:t xml:space="preserve"> 5,5 </w:t>
            </w:r>
          </w:p>
        </w:tc>
        <w:tc>
          <w:tcPr>
            <w:tcW w:w="1820" w:type="dxa"/>
            <w:noWrap/>
            <w:hideMark/>
          </w:tcPr>
          <w:p w14:paraId="1508EBAA" w14:textId="77777777" w:rsidR="00324854" w:rsidRPr="000F5029" w:rsidRDefault="00324854" w:rsidP="0019189B">
            <w:pPr>
              <w:spacing w:after="40"/>
              <w:ind w:firstLine="180"/>
              <w:jc w:val="right"/>
              <w:rPr>
                <w:sz w:val="18"/>
                <w:szCs w:val="18"/>
              </w:rPr>
            </w:pPr>
            <w:r w:rsidRPr="000F5029">
              <w:rPr>
                <w:sz w:val="18"/>
                <w:szCs w:val="18"/>
              </w:rPr>
              <w:t xml:space="preserve"> 6,6 </w:t>
            </w:r>
          </w:p>
        </w:tc>
      </w:tr>
      <w:tr w:rsidR="00324854" w:rsidRPr="00D210DE" w14:paraId="0357411D" w14:textId="77777777" w:rsidTr="0019189B">
        <w:trPr>
          <w:trHeight w:val="227"/>
        </w:trPr>
        <w:tc>
          <w:tcPr>
            <w:tcW w:w="1748" w:type="dxa"/>
            <w:noWrap/>
            <w:hideMark/>
          </w:tcPr>
          <w:p w14:paraId="10895254" w14:textId="77777777" w:rsidR="00324854" w:rsidRPr="00CE2F05" w:rsidRDefault="00324854" w:rsidP="0019189B">
            <w:pPr>
              <w:spacing w:after="40"/>
              <w:ind w:firstLine="180"/>
              <w:rPr>
                <w:sz w:val="18"/>
                <w:szCs w:val="18"/>
              </w:rPr>
            </w:pPr>
            <w:r w:rsidRPr="00CE2F05">
              <w:rPr>
                <w:sz w:val="18"/>
                <w:szCs w:val="18"/>
              </w:rPr>
              <w:t>2009</w:t>
            </w:r>
          </w:p>
        </w:tc>
        <w:tc>
          <w:tcPr>
            <w:tcW w:w="1389" w:type="dxa"/>
            <w:noWrap/>
            <w:hideMark/>
          </w:tcPr>
          <w:p w14:paraId="7F2807C6" w14:textId="77777777" w:rsidR="00324854" w:rsidRPr="000F5029" w:rsidRDefault="00324854" w:rsidP="0019189B">
            <w:pPr>
              <w:spacing w:after="40"/>
              <w:ind w:firstLine="180"/>
              <w:jc w:val="right"/>
              <w:rPr>
                <w:sz w:val="18"/>
                <w:szCs w:val="18"/>
              </w:rPr>
            </w:pPr>
            <w:r w:rsidRPr="000F5029">
              <w:rPr>
                <w:sz w:val="18"/>
                <w:szCs w:val="18"/>
              </w:rPr>
              <w:t xml:space="preserve"> 4,3 </w:t>
            </w:r>
          </w:p>
        </w:tc>
        <w:tc>
          <w:tcPr>
            <w:tcW w:w="1356" w:type="dxa"/>
            <w:noWrap/>
            <w:hideMark/>
          </w:tcPr>
          <w:p w14:paraId="3DBF3E07"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358" w:type="dxa"/>
            <w:noWrap/>
            <w:hideMark/>
          </w:tcPr>
          <w:p w14:paraId="6CBB5933" w14:textId="77777777" w:rsidR="00324854" w:rsidRPr="000F5029" w:rsidRDefault="00324854" w:rsidP="0019189B">
            <w:pPr>
              <w:spacing w:after="40"/>
              <w:ind w:firstLine="180"/>
              <w:jc w:val="right"/>
              <w:rPr>
                <w:sz w:val="18"/>
                <w:szCs w:val="18"/>
              </w:rPr>
            </w:pPr>
            <w:r w:rsidRPr="000F5029">
              <w:rPr>
                <w:sz w:val="18"/>
                <w:szCs w:val="18"/>
              </w:rPr>
              <w:t xml:space="preserve"> 3,4 </w:t>
            </w:r>
          </w:p>
        </w:tc>
        <w:tc>
          <w:tcPr>
            <w:tcW w:w="1223" w:type="dxa"/>
            <w:noWrap/>
            <w:hideMark/>
          </w:tcPr>
          <w:p w14:paraId="6A59DE61"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492" w:type="dxa"/>
            <w:noWrap/>
            <w:hideMark/>
          </w:tcPr>
          <w:p w14:paraId="14B51BF6" w14:textId="77777777" w:rsidR="00324854" w:rsidRPr="000F5029" w:rsidRDefault="00324854" w:rsidP="0019189B">
            <w:pPr>
              <w:spacing w:after="40"/>
              <w:ind w:firstLine="180"/>
              <w:jc w:val="right"/>
              <w:rPr>
                <w:sz w:val="18"/>
                <w:szCs w:val="18"/>
              </w:rPr>
            </w:pPr>
            <w:r w:rsidRPr="000F5029">
              <w:rPr>
                <w:sz w:val="18"/>
                <w:szCs w:val="18"/>
              </w:rPr>
              <w:t xml:space="preserve"> 4,2 </w:t>
            </w:r>
          </w:p>
        </w:tc>
        <w:tc>
          <w:tcPr>
            <w:tcW w:w="1492" w:type="dxa"/>
            <w:noWrap/>
            <w:hideMark/>
          </w:tcPr>
          <w:p w14:paraId="02FE755A" w14:textId="77777777" w:rsidR="00324854" w:rsidRPr="000F5029" w:rsidRDefault="00324854" w:rsidP="0019189B">
            <w:pPr>
              <w:spacing w:after="40"/>
              <w:ind w:firstLine="180"/>
              <w:jc w:val="right"/>
              <w:rPr>
                <w:sz w:val="18"/>
                <w:szCs w:val="18"/>
              </w:rPr>
            </w:pPr>
            <w:r w:rsidRPr="000F5029">
              <w:rPr>
                <w:sz w:val="18"/>
                <w:szCs w:val="18"/>
              </w:rPr>
              <w:t xml:space="preserve"> 4,4</w:t>
            </w:r>
            <w:r w:rsidRPr="00DB36A9">
              <w:rPr>
                <w:sz w:val="18"/>
                <w:szCs w:val="18"/>
                <w:vertAlign w:val="superscript"/>
              </w:rPr>
              <w:t>10</w:t>
            </w:r>
          </w:p>
        </w:tc>
        <w:tc>
          <w:tcPr>
            <w:tcW w:w="1222" w:type="dxa"/>
            <w:noWrap/>
            <w:hideMark/>
          </w:tcPr>
          <w:p w14:paraId="76E8AE05"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501" w:type="dxa"/>
            <w:noWrap/>
            <w:hideMark/>
          </w:tcPr>
          <w:p w14:paraId="5768FC17"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820" w:type="dxa"/>
            <w:noWrap/>
            <w:hideMark/>
          </w:tcPr>
          <w:p w14:paraId="719BDC17" w14:textId="77777777" w:rsidR="00324854" w:rsidRPr="000F5029" w:rsidRDefault="00324854" w:rsidP="0019189B">
            <w:pPr>
              <w:spacing w:after="40"/>
              <w:ind w:firstLine="180"/>
              <w:jc w:val="right"/>
              <w:rPr>
                <w:sz w:val="18"/>
                <w:szCs w:val="18"/>
              </w:rPr>
            </w:pPr>
            <w:r w:rsidRPr="000F5029">
              <w:rPr>
                <w:sz w:val="18"/>
                <w:szCs w:val="18"/>
              </w:rPr>
              <w:t xml:space="preserve"> 4,5 </w:t>
            </w:r>
          </w:p>
        </w:tc>
      </w:tr>
      <w:tr w:rsidR="00324854" w:rsidRPr="00D210DE" w14:paraId="78E7C757" w14:textId="77777777" w:rsidTr="0019189B">
        <w:trPr>
          <w:trHeight w:val="227"/>
        </w:trPr>
        <w:tc>
          <w:tcPr>
            <w:tcW w:w="1748" w:type="dxa"/>
            <w:noWrap/>
            <w:hideMark/>
          </w:tcPr>
          <w:p w14:paraId="4569B899" w14:textId="77777777" w:rsidR="00324854" w:rsidRPr="00CE2F05" w:rsidRDefault="00324854" w:rsidP="0019189B">
            <w:pPr>
              <w:spacing w:after="40"/>
              <w:ind w:firstLine="180"/>
              <w:rPr>
                <w:sz w:val="18"/>
                <w:szCs w:val="18"/>
              </w:rPr>
            </w:pPr>
            <w:r w:rsidRPr="00CE2F05">
              <w:rPr>
                <w:sz w:val="18"/>
                <w:szCs w:val="18"/>
              </w:rPr>
              <w:t>2010</w:t>
            </w:r>
          </w:p>
        </w:tc>
        <w:tc>
          <w:tcPr>
            <w:tcW w:w="1389" w:type="dxa"/>
            <w:noWrap/>
            <w:hideMark/>
          </w:tcPr>
          <w:p w14:paraId="03DB8EDE" w14:textId="77777777" w:rsidR="00324854" w:rsidRPr="000F5029" w:rsidRDefault="00324854" w:rsidP="0019189B">
            <w:pPr>
              <w:spacing w:after="40"/>
              <w:ind w:firstLine="180"/>
              <w:jc w:val="right"/>
              <w:rPr>
                <w:sz w:val="18"/>
                <w:szCs w:val="18"/>
              </w:rPr>
            </w:pPr>
            <w:r w:rsidRPr="000F5029">
              <w:rPr>
                <w:sz w:val="18"/>
                <w:szCs w:val="18"/>
              </w:rPr>
              <w:t xml:space="preserve"> 3,7 </w:t>
            </w:r>
          </w:p>
        </w:tc>
        <w:tc>
          <w:tcPr>
            <w:tcW w:w="1356" w:type="dxa"/>
            <w:noWrap/>
            <w:hideMark/>
          </w:tcPr>
          <w:p w14:paraId="1904807D"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358" w:type="dxa"/>
            <w:noWrap/>
            <w:hideMark/>
          </w:tcPr>
          <w:p w14:paraId="5CC20AD5" w14:textId="77777777" w:rsidR="00324854" w:rsidRPr="000F5029" w:rsidRDefault="00324854" w:rsidP="0019189B">
            <w:pPr>
              <w:spacing w:after="40"/>
              <w:ind w:firstLine="180"/>
              <w:jc w:val="right"/>
              <w:rPr>
                <w:sz w:val="18"/>
                <w:szCs w:val="18"/>
              </w:rPr>
            </w:pPr>
            <w:r w:rsidRPr="000F5029">
              <w:rPr>
                <w:sz w:val="18"/>
                <w:szCs w:val="18"/>
              </w:rPr>
              <w:t xml:space="preserve"> 3,8 </w:t>
            </w:r>
          </w:p>
        </w:tc>
        <w:tc>
          <w:tcPr>
            <w:tcW w:w="1223" w:type="dxa"/>
            <w:noWrap/>
            <w:hideMark/>
          </w:tcPr>
          <w:p w14:paraId="1B267BE7" w14:textId="77777777" w:rsidR="00324854" w:rsidRPr="000F5029" w:rsidRDefault="00324854" w:rsidP="0019189B">
            <w:pPr>
              <w:spacing w:after="40"/>
              <w:ind w:firstLine="180"/>
              <w:jc w:val="right"/>
              <w:rPr>
                <w:sz w:val="18"/>
                <w:szCs w:val="18"/>
              </w:rPr>
            </w:pPr>
            <w:r w:rsidRPr="000F5029">
              <w:rPr>
                <w:sz w:val="18"/>
                <w:szCs w:val="18"/>
              </w:rPr>
              <w:t xml:space="preserve"> 4,2 </w:t>
            </w:r>
          </w:p>
        </w:tc>
        <w:tc>
          <w:tcPr>
            <w:tcW w:w="1492" w:type="dxa"/>
            <w:noWrap/>
            <w:hideMark/>
          </w:tcPr>
          <w:p w14:paraId="2E6BFD53"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492" w:type="dxa"/>
            <w:noWrap/>
            <w:hideMark/>
          </w:tcPr>
          <w:p w14:paraId="7FE219A9"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222" w:type="dxa"/>
            <w:noWrap/>
            <w:hideMark/>
          </w:tcPr>
          <w:p w14:paraId="1FFF77A9" w14:textId="77777777" w:rsidR="00324854" w:rsidRPr="000F5029" w:rsidRDefault="00324854" w:rsidP="0019189B">
            <w:pPr>
              <w:spacing w:after="40"/>
              <w:ind w:firstLine="180"/>
              <w:jc w:val="right"/>
              <w:rPr>
                <w:sz w:val="18"/>
                <w:szCs w:val="18"/>
              </w:rPr>
            </w:pPr>
            <w:r w:rsidRPr="000F5029">
              <w:rPr>
                <w:sz w:val="18"/>
                <w:szCs w:val="18"/>
              </w:rPr>
              <w:t xml:space="preserve"> 3,8 </w:t>
            </w:r>
          </w:p>
        </w:tc>
        <w:tc>
          <w:tcPr>
            <w:tcW w:w="1501" w:type="dxa"/>
            <w:noWrap/>
            <w:hideMark/>
          </w:tcPr>
          <w:p w14:paraId="269E4D43" w14:textId="77777777" w:rsidR="00324854" w:rsidRPr="000F5029" w:rsidRDefault="00324854" w:rsidP="0019189B">
            <w:pPr>
              <w:spacing w:after="40"/>
              <w:ind w:firstLine="180"/>
              <w:jc w:val="right"/>
              <w:rPr>
                <w:sz w:val="18"/>
                <w:szCs w:val="18"/>
              </w:rPr>
            </w:pPr>
            <w:r w:rsidRPr="000F5029">
              <w:rPr>
                <w:sz w:val="18"/>
                <w:szCs w:val="18"/>
              </w:rPr>
              <w:t xml:space="preserve"> 4,0 </w:t>
            </w:r>
          </w:p>
        </w:tc>
        <w:tc>
          <w:tcPr>
            <w:tcW w:w="1820" w:type="dxa"/>
            <w:noWrap/>
            <w:hideMark/>
          </w:tcPr>
          <w:p w14:paraId="2206C607" w14:textId="77777777" w:rsidR="00324854" w:rsidRPr="000F5029" w:rsidRDefault="00324854" w:rsidP="0019189B">
            <w:pPr>
              <w:spacing w:after="40"/>
              <w:ind w:firstLine="180"/>
              <w:jc w:val="right"/>
              <w:rPr>
                <w:sz w:val="18"/>
                <w:szCs w:val="18"/>
              </w:rPr>
            </w:pPr>
            <w:r w:rsidRPr="000F5029">
              <w:rPr>
                <w:sz w:val="18"/>
                <w:szCs w:val="18"/>
              </w:rPr>
              <w:t xml:space="preserve"> 3,4 </w:t>
            </w:r>
          </w:p>
        </w:tc>
      </w:tr>
      <w:tr w:rsidR="00324854" w:rsidRPr="00D210DE" w14:paraId="1CA3F195" w14:textId="77777777" w:rsidTr="0019189B">
        <w:trPr>
          <w:trHeight w:val="227"/>
        </w:trPr>
        <w:tc>
          <w:tcPr>
            <w:tcW w:w="1748" w:type="dxa"/>
            <w:noWrap/>
            <w:hideMark/>
          </w:tcPr>
          <w:p w14:paraId="6ED75BC6" w14:textId="77777777" w:rsidR="00324854" w:rsidRPr="00CE2F05" w:rsidRDefault="00324854" w:rsidP="0019189B">
            <w:pPr>
              <w:spacing w:after="40"/>
              <w:ind w:firstLine="180"/>
              <w:rPr>
                <w:sz w:val="18"/>
                <w:szCs w:val="18"/>
              </w:rPr>
            </w:pPr>
            <w:r w:rsidRPr="00CE2F05">
              <w:rPr>
                <w:sz w:val="18"/>
                <w:szCs w:val="18"/>
              </w:rPr>
              <w:t>2011</w:t>
            </w:r>
          </w:p>
        </w:tc>
        <w:tc>
          <w:tcPr>
            <w:tcW w:w="1389" w:type="dxa"/>
            <w:noWrap/>
            <w:hideMark/>
          </w:tcPr>
          <w:p w14:paraId="56E8AED8" w14:textId="77777777" w:rsidR="00324854" w:rsidRPr="000F5029" w:rsidRDefault="00324854" w:rsidP="0019189B">
            <w:pPr>
              <w:spacing w:after="40"/>
              <w:ind w:firstLine="180"/>
              <w:jc w:val="right"/>
              <w:rPr>
                <w:sz w:val="18"/>
                <w:szCs w:val="18"/>
              </w:rPr>
            </w:pPr>
            <w:r w:rsidRPr="000F5029">
              <w:rPr>
                <w:sz w:val="18"/>
                <w:szCs w:val="18"/>
              </w:rPr>
              <w:t xml:space="preserve"> 4,1 </w:t>
            </w:r>
          </w:p>
        </w:tc>
        <w:tc>
          <w:tcPr>
            <w:tcW w:w="1356" w:type="dxa"/>
            <w:noWrap/>
            <w:hideMark/>
          </w:tcPr>
          <w:p w14:paraId="37886E4F" w14:textId="77777777" w:rsidR="00324854" w:rsidRPr="000F5029" w:rsidRDefault="00324854" w:rsidP="0019189B">
            <w:pPr>
              <w:spacing w:after="40"/>
              <w:ind w:firstLine="180"/>
              <w:jc w:val="right"/>
              <w:rPr>
                <w:sz w:val="18"/>
                <w:szCs w:val="18"/>
              </w:rPr>
            </w:pPr>
            <w:r w:rsidRPr="000F5029">
              <w:rPr>
                <w:sz w:val="18"/>
                <w:szCs w:val="18"/>
              </w:rPr>
              <w:t xml:space="preserve"> 4,4 </w:t>
            </w:r>
          </w:p>
        </w:tc>
        <w:tc>
          <w:tcPr>
            <w:tcW w:w="1358" w:type="dxa"/>
            <w:noWrap/>
            <w:hideMark/>
          </w:tcPr>
          <w:p w14:paraId="07FC9E60" w14:textId="77777777" w:rsidR="00324854" w:rsidRPr="000F5029" w:rsidRDefault="00324854" w:rsidP="0019189B">
            <w:pPr>
              <w:spacing w:after="40"/>
              <w:ind w:firstLine="180"/>
              <w:jc w:val="right"/>
              <w:rPr>
                <w:sz w:val="18"/>
                <w:szCs w:val="18"/>
              </w:rPr>
            </w:pPr>
            <w:r w:rsidRPr="000F5029">
              <w:rPr>
                <w:sz w:val="18"/>
                <w:szCs w:val="18"/>
              </w:rPr>
              <w:t xml:space="preserve"> 4,6 </w:t>
            </w:r>
          </w:p>
        </w:tc>
        <w:tc>
          <w:tcPr>
            <w:tcW w:w="1223" w:type="dxa"/>
            <w:noWrap/>
            <w:hideMark/>
          </w:tcPr>
          <w:p w14:paraId="01547BE8" w14:textId="77777777" w:rsidR="00324854" w:rsidRPr="000F5029" w:rsidRDefault="00324854" w:rsidP="0019189B">
            <w:pPr>
              <w:spacing w:after="40"/>
              <w:ind w:firstLine="180"/>
              <w:jc w:val="right"/>
              <w:rPr>
                <w:sz w:val="18"/>
                <w:szCs w:val="18"/>
              </w:rPr>
            </w:pPr>
            <w:r w:rsidRPr="000F5029">
              <w:rPr>
                <w:sz w:val="18"/>
                <w:szCs w:val="18"/>
              </w:rPr>
              <w:t xml:space="preserve"> 4,3 </w:t>
            </w:r>
          </w:p>
        </w:tc>
        <w:tc>
          <w:tcPr>
            <w:tcW w:w="1492" w:type="dxa"/>
            <w:noWrap/>
            <w:hideMark/>
          </w:tcPr>
          <w:p w14:paraId="21221B25" w14:textId="77777777" w:rsidR="00324854" w:rsidRPr="000F5029" w:rsidRDefault="00324854" w:rsidP="0019189B">
            <w:pPr>
              <w:spacing w:after="40"/>
              <w:ind w:firstLine="180"/>
              <w:jc w:val="right"/>
              <w:rPr>
                <w:sz w:val="18"/>
                <w:szCs w:val="18"/>
              </w:rPr>
            </w:pPr>
            <w:r w:rsidRPr="000F5029">
              <w:rPr>
                <w:sz w:val="18"/>
                <w:szCs w:val="18"/>
              </w:rPr>
              <w:t xml:space="preserve"> 4,3 </w:t>
            </w:r>
          </w:p>
        </w:tc>
        <w:tc>
          <w:tcPr>
            <w:tcW w:w="1492" w:type="dxa"/>
            <w:noWrap/>
            <w:hideMark/>
          </w:tcPr>
          <w:p w14:paraId="34782632" w14:textId="77777777" w:rsidR="00324854" w:rsidRPr="000F5029" w:rsidRDefault="00324854" w:rsidP="0019189B">
            <w:pPr>
              <w:spacing w:after="40"/>
              <w:ind w:firstLine="180"/>
              <w:jc w:val="right"/>
              <w:rPr>
                <w:sz w:val="18"/>
                <w:szCs w:val="18"/>
              </w:rPr>
            </w:pPr>
            <w:r w:rsidRPr="000F5029">
              <w:rPr>
                <w:sz w:val="18"/>
                <w:szCs w:val="18"/>
              </w:rPr>
              <w:t xml:space="preserve"> 4,6 </w:t>
            </w:r>
          </w:p>
        </w:tc>
        <w:tc>
          <w:tcPr>
            <w:tcW w:w="1222" w:type="dxa"/>
            <w:noWrap/>
            <w:hideMark/>
          </w:tcPr>
          <w:p w14:paraId="005E23A6" w14:textId="77777777" w:rsidR="00324854" w:rsidRPr="000F5029" w:rsidRDefault="00324854" w:rsidP="0019189B">
            <w:pPr>
              <w:spacing w:after="40"/>
              <w:ind w:firstLine="180"/>
              <w:jc w:val="right"/>
              <w:rPr>
                <w:sz w:val="18"/>
                <w:szCs w:val="18"/>
              </w:rPr>
            </w:pPr>
            <w:r w:rsidRPr="000F5029">
              <w:rPr>
                <w:sz w:val="18"/>
                <w:szCs w:val="18"/>
              </w:rPr>
              <w:t xml:space="preserve"> 4,2 </w:t>
            </w:r>
          </w:p>
        </w:tc>
        <w:tc>
          <w:tcPr>
            <w:tcW w:w="1501" w:type="dxa"/>
            <w:noWrap/>
            <w:hideMark/>
          </w:tcPr>
          <w:p w14:paraId="368A3A1C" w14:textId="77777777" w:rsidR="00324854" w:rsidRPr="000F5029" w:rsidRDefault="00324854" w:rsidP="0019189B">
            <w:pPr>
              <w:spacing w:after="40"/>
              <w:ind w:firstLine="180"/>
              <w:jc w:val="right"/>
              <w:rPr>
                <w:sz w:val="18"/>
                <w:szCs w:val="18"/>
              </w:rPr>
            </w:pPr>
            <w:r w:rsidRPr="000F5029">
              <w:rPr>
                <w:sz w:val="18"/>
                <w:szCs w:val="18"/>
              </w:rPr>
              <w:t xml:space="preserve"> 4,3 </w:t>
            </w:r>
          </w:p>
        </w:tc>
        <w:tc>
          <w:tcPr>
            <w:tcW w:w="1820" w:type="dxa"/>
            <w:noWrap/>
            <w:hideMark/>
          </w:tcPr>
          <w:p w14:paraId="6FE4191A" w14:textId="77777777" w:rsidR="00324854" w:rsidRPr="000F5029" w:rsidRDefault="00324854" w:rsidP="0019189B">
            <w:pPr>
              <w:spacing w:after="40"/>
              <w:ind w:firstLine="180"/>
              <w:jc w:val="right"/>
              <w:rPr>
                <w:sz w:val="18"/>
                <w:szCs w:val="18"/>
              </w:rPr>
            </w:pPr>
            <w:r w:rsidRPr="000F5029">
              <w:rPr>
                <w:sz w:val="18"/>
                <w:szCs w:val="18"/>
              </w:rPr>
              <w:t xml:space="preserve"> 3,4 </w:t>
            </w:r>
          </w:p>
        </w:tc>
      </w:tr>
      <w:tr w:rsidR="00324854" w:rsidRPr="00D210DE" w14:paraId="6C5FDB6C" w14:textId="77777777" w:rsidTr="0019189B">
        <w:trPr>
          <w:trHeight w:val="227"/>
        </w:trPr>
        <w:tc>
          <w:tcPr>
            <w:tcW w:w="1748" w:type="dxa"/>
            <w:noWrap/>
            <w:hideMark/>
          </w:tcPr>
          <w:p w14:paraId="5877B3C6" w14:textId="77777777" w:rsidR="00324854" w:rsidRPr="00CE2F05" w:rsidRDefault="00324854" w:rsidP="0019189B">
            <w:pPr>
              <w:spacing w:after="40"/>
              <w:ind w:firstLine="180"/>
              <w:rPr>
                <w:sz w:val="18"/>
                <w:szCs w:val="18"/>
              </w:rPr>
            </w:pPr>
            <w:r w:rsidRPr="00CE2F05">
              <w:rPr>
                <w:sz w:val="18"/>
                <w:szCs w:val="18"/>
              </w:rPr>
              <w:t>2012</w:t>
            </w:r>
          </w:p>
        </w:tc>
        <w:tc>
          <w:tcPr>
            <w:tcW w:w="1389" w:type="dxa"/>
            <w:noWrap/>
            <w:hideMark/>
          </w:tcPr>
          <w:p w14:paraId="03389A2F" w14:textId="77777777" w:rsidR="00324854" w:rsidRPr="000F5029" w:rsidRDefault="00324854" w:rsidP="0019189B">
            <w:pPr>
              <w:spacing w:after="40"/>
              <w:ind w:firstLine="180"/>
              <w:jc w:val="right"/>
              <w:rPr>
                <w:sz w:val="18"/>
                <w:szCs w:val="18"/>
              </w:rPr>
            </w:pPr>
            <w:r w:rsidRPr="000F5029">
              <w:rPr>
                <w:sz w:val="18"/>
                <w:szCs w:val="18"/>
              </w:rPr>
              <w:t xml:space="preserve"> 3,7 </w:t>
            </w:r>
          </w:p>
        </w:tc>
        <w:tc>
          <w:tcPr>
            <w:tcW w:w="1356" w:type="dxa"/>
            <w:noWrap/>
            <w:hideMark/>
          </w:tcPr>
          <w:p w14:paraId="2D7FBC17" w14:textId="77777777" w:rsidR="00324854" w:rsidRPr="000F5029" w:rsidRDefault="00324854" w:rsidP="0019189B">
            <w:pPr>
              <w:spacing w:after="40"/>
              <w:ind w:firstLine="180"/>
              <w:jc w:val="right"/>
              <w:rPr>
                <w:sz w:val="18"/>
                <w:szCs w:val="18"/>
              </w:rPr>
            </w:pPr>
            <w:r w:rsidRPr="000F5029">
              <w:rPr>
                <w:sz w:val="18"/>
                <w:szCs w:val="18"/>
              </w:rPr>
              <w:t xml:space="preserve"> 4,1 </w:t>
            </w:r>
          </w:p>
        </w:tc>
        <w:tc>
          <w:tcPr>
            <w:tcW w:w="1358" w:type="dxa"/>
            <w:noWrap/>
            <w:hideMark/>
          </w:tcPr>
          <w:p w14:paraId="185F8EFC"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223" w:type="dxa"/>
            <w:noWrap/>
            <w:hideMark/>
          </w:tcPr>
          <w:p w14:paraId="24FD0EBF"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492" w:type="dxa"/>
            <w:noWrap/>
            <w:hideMark/>
          </w:tcPr>
          <w:p w14:paraId="1B2B8DE1" w14:textId="77777777" w:rsidR="00324854" w:rsidRPr="000F5029" w:rsidRDefault="00324854" w:rsidP="0019189B">
            <w:pPr>
              <w:spacing w:after="40"/>
              <w:ind w:firstLine="180"/>
              <w:jc w:val="right"/>
              <w:rPr>
                <w:sz w:val="18"/>
                <w:szCs w:val="18"/>
              </w:rPr>
            </w:pPr>
            <w:r w:rsidRPr="000F5029">
              <w:rPr>
                <w:sz w:val="18"/>
                <w:szCs w:val="18"/>
              </w:rPr>
              <w:t xml:space="preserve"> 4,0 </w:t>
            </w:r>
          </w:p>
        </w:tc>
        <w:tc>
          <w:tcPr>
            <w:tcW w:w="1492" w:type="dxa"/>
            <w:noWrap/>
            <w:hideMark/>
          </w:tcPr>
          <w:p w14:paraId="70EEB811" w14:textId="77777777" w:rsidR="00324854" w:rsidRPr="000F5029" w:rsidRDefault="00324854" w:rsidP="0019189B">
            <w:pPr>
              <w:spacing w:after="40"/>
              <w:ind w:firstLine="180"/>
              <w:jc w:val="right"/>
              <w:rPr>
                <w:sz w:val="18"/>
                <w:szCs w:val="18"/>
              </w:rPr>
            </w:pPr>
            <w:r w:rsidRPr="000F5029">
              <w:rPr>
                <w:sz w:val="18"/>
                <w:szCs w:val="18"/>
              </w:rPr>
              <w:t xml:space="preserve"> 4,5 </w:t>
            </w:r>
          </w:p>
        </w:tc>
        <w:tc>
          <w:tcPr>
            <w:tcW w:w="1222" w:type="dxa"/>
            <w:noWrap/>
            <w:hideMark/>
          </w:tcPr>
          <w:p w14:paraId="11186162" w14:textId="77777777" w:rsidR="00324854" w:rsidRPr="000F5029" w:rsidRDefault="00324854" w:rsidP="0019189B">
            <w:pPr>
              <w:spacing w:after="40"/>
              <w:ind w:firstLine="180"/>
              <w:jc w:val="right"/>
              <w:rPr>
                <w:sz w:val="18"/>
                <w:szCs w:val="18"/>
              </w:rPr>
            </w:pPr>
            <w:r w:rsidRPr="000F5029">
              <w:rPr>
                <w:sz w:val="18"/>
                <w:szCs w:val="18"/>
              </w:rPr>
              <w:t xml:space="preserve"> 2,9 </w:t>
            </w:r>
          </w:p>
        </w:tc>
        <w:tc>
          <w:tcPr>
            <w:tcW w:w="1501" w:type="dxa"/>
            <w:noWrap/>
            <w:hideMark/>
          </w:tcPr>
          <w:p w14:paraId="6F5CB428"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820" w:type="dxa"/>
            <w:noWrap/>
            <w:hideMark/>
          </w:tcPr>
          <w:p w14:paraId="52784E47" w14:textId="77777777" w:rsidR="00324854" w:rsidRPr="000F5029" w:rsidRDefault="00324854" w:rsidP="0019189B">
            <w:pPr>
              <w:spacing w:after="40"/>
              <w:ind w:firstLine="180"/>
              <w:jc w:val="right"/>
              <w:rPr>
                <w:sz w:val="18"/>
                <w:szCs w:val="18"/>
              </w:rPr>
            </w:pPr>
            <w:r w:rsidRPr="000F5029">
              <w:rPr>
                <w:sz w:val="18"/>
                <w:szCs w:val="18"/>
              </w:rPr>
              <w:t xml:space="preserve"> 4,2 </w:t>
            </w:r>
          </w:p>
        </w:tc>
      </w:tr>
      <w:tr w:rsidR="00324854" w:rsidRPr="00D210DE" w14:paraId="03D1A908" w14:textId="77777777" w:rsidTr="0019189B">
        <w:trPr>
          <w:trHeight w:val="227"/>
        </w:trPr>
        <w:tc>
          <w:tcPr>
            <w:tcW w:w="1748" w:type="dxa"/>
            <w:noWrap/>
            <w:hideMark/>
          </w:tcPr>
          <w:p w14:paraId="3471B213" w14:textId="77777777" w:rsidR="00324854" w:rsidRPr="00CE2F05" w:rsidRDefault="00324854" w:rsidP="0019189B">
            <w:pPr>
              <w:spacing w:after="40"/>
              <w:ind w:firstLine="180"/>
              <w:rPr>
                <w:sz w:val="18"/>
                <w:szCs w:val="18"/>
              </w:rPr>
            </w:pPr>
            <w:r w:rsidRPr="00CE2F05">
              <w:rPr>
                <w:sz w:val="18"/>
                <w:szCs w:val="18"/>
              </w:rPr>
              <w:t>2013</w:t>
            </w:r>
          </w:p>
        </w:tc>
        <w:tc>
          <w:tcPr>
            <w:tcW w:w="1389" w:type="dxa"/>
            <w:noWrap/>
            <w:hideMark/>
          </w:tcPr>
          <w:p w14:paraId="08C955DA" w14:textId="77777777" w:rsidR="00324854" w:rsidRPr="000F5029" w:rsidRDefault="00324854" w:rsidP="0019189B">
            <w:pPr>
              <w:spacing w:after="40"/>
              <w:ind w:firstLine="180"/>
              <w:jc w:val="right"/>
              <w:rPr>
                <w:sz w:val="18"/>
                <w:szCs w:val="18"/>
              </w:rPr>
            </w:pPr>
            <w:r w:rsidRPr="000F5029">
              <w:rPr>
                <w:sz w:val="18"/>
                <w:szCs w:val="18"/>
              </w:rPr>
              <w:t xml:space="preserve"> 4,1 </w:t>
            </w:r>
          </w:p>
        </w:tc>
        <w:tc>
          <w:tcPr>
            <w:tcW w:w="1356" w:type="dxa"/>
            <w:noWrap/>
            <w:hideMark/>
          </w:tcPr>
          <w:p w14:paraId="2EEF4298" w14:textId="77777777" w:rsidR="00324854" w:rsidRPr="000F5029" w:rsidRDefault="00324854" w:rsidP="0019189B">
            <w:pPr>
              <w:spacing w:after="40"/>
              <w:ind w:firstLine="180"/>
              <w:jc w:val="right"/>
              <w:rPr>
                <w:sz w:val="18"/>
                <w:szCs w:val="18"/>
              </w:rPr>
            </w:pPr>
            <w:r w:rsidRPr="000F5029">
              <w:rPr>
                <w:sz w:val="18"/>
                <w:szCs w:val="18"/>
              </w:rPr>
              <w:t xml:space="preserve"> 3,5 </w:t>
            </w:r>
          </w:p>
        </w:tc>
        <w:tc>
          <w:tcPr>
            <w:tcW w:w="1358" w:type="dxa"/>
            <w:noWrap/>
            <w:hideMark/>
          </w:tcPr>
          <w:p w14:paraId="2BDA961D"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223" w:type="dxa"/>
            <w:noWrap/>
            <w:hideMark/>
          </w:tcPr>
          <w:p w14:paraId="7BBDA8A7" w14:textId="77777777" w:rsidR="00324854" w:rsidRPr="000F5029" w:rsidRDefault="00324854" w:rsidP="0019189B">
            <w:pPr>
              <w:spacing w:after="40"/>
              <w:ind w:firstLine="180"/>
              <w:jc w:val="right"/>
              <w:rPr>
                <w:sz w:val="18"/>
                <w:szCs w:val="18"/>
              </w:rPr>
            </w:pPr>
            <w:r w:rsidRPr="000F5029">
              <w:rPr>
                <w:sz w:val="18"/>
                <w:szCs w:val="18"/>
              </w:rPr>
              <w:t xml:space="preserve"> 2,3 </w:t>
            </w:r>
          </w:p>
        </w:tc>
        <w:tc>
          <w:tcPr>
            <w:tcW w:w="1492" w:type="dxa"/>
            <w:noWrap/>
            <w:hideMark/>
          </w:tcPr>
          <w:p w14:paraId="35FC11DE" w14:textId="77777777" w:rsidR="00324854" w:rsidRPr="000F5029" w:rsidRDefault="00324854" w:rsidP="0019189B">
            <w:pPr>
              <w:spacing w:after="40"/>
              <w:ind w:firstLine="180"/>
              <w:jc w:val="right"/>
              <w:rPr>
                <w:sz w:val="18"/>
                <w:szCs w:val="18"/>
              </w:rPr>
            </w:pPr>
            <w:r w:rsidRPr="000F5029">
              <w:rPr>
                <w:sz w:val="18"/>
                <w:szCs w:val="18"/>
              </w:rPr>
              <w:t xml:space="preserve"> 2,8 </w:t>
            </w:r>
          </w:p>
        </w:tc>
        <w:tc>
          <w:tcPr>
            <w:tcW w:w="1492" w:type="dxa"/>
            <w:noWrap/>
            <w:hideMark/>
          </w:tcPr>
          <w:p w14:paraId="22464D96" w14:textId="77777777" w:rsidR="00324854" w:rsidRPr="000F5029" w:rsidRDefault="00324854" w:rsidP="0019189B">
            <w:pPr>
              <w:spacing w:after="40"/>
              <w:ind w:firstLine="180"/>
              <w:jc w:val="right"/>
              <w:rPr>
                <w:sz w:val="18"/>
                <w:szCs w:val="18"/>
              </w:rPr>
            </w:pPr>
            <w:r w:rsidRPr="000F5029">
              <w:rPr>
                <w:sz w:val="18"/>
                <w:szCs w:val="18"/>
              </w:rPr>
              <w:t xml:space="preserve"> 4,1 </w:t>
            </w:r>
          </w:p>
        </w:tc>
        <w:tc>
          <w:tcPr>
            <w:tcW w:w="1222" w:type="dxa"/>
            <w:noWrap/>
            <w:hideMark/>
          </w:tcPr>
          <w:p w14:paraId="7E1B4875" w14:textId="77777777" w:rsidR="00324854" w:rsidRPr="000F5029" w:rsidRDefault="00324854" w:rsidP="0019189B">
            <w:pPr>
              <w:spacing w:after="40"/>
              <w:ind w:firstLine="180"/>
              <w:jc w:val="right"/>
              <w:rPr>
                <w:sz w:val="18"/>
                <w:szCs w:val="18"/>
              </w:rPr>
            </w:pPr>
            <w:r w:rsidRPr="000F5029">
              <w:rPr>
                <w:sz w:val="18"/>
                <w:szCs w:val="18"/>
              </w:rPr>
              <w:t xml:space="preserve"> 3,9 </w:t>
            </w:r>
          </w:p>
        </w:tc>
        <w:tc>
          <w:tcPr>
            <w:tcW w:w="1501" w:type="dxa"/>
            <w:noWrap/>
            <w:hideMark/>
          </w:tcPr>
          <w:p w14:paraId="77B7AFF4" w14:textId="77777777" w:rsidR="00324854" w:rsidRPr="000F5029" w:rsidRDefault="00324854" w:rsidP="0019189B">
            <w:pPr>
              <w:spacing w:after="40"/>
              <w:ind w:firstLine="180"/>
              <w:jc w:val="right"/>
              <w:rPr>
                <w:sz w:val="18"/>
                <w:szCs w:val="18"/>
              </w:rPr>
            </w:pPr>
            <w:r w:rsidRPr="000F5029">
              <w:rPr>
                <w:sz w:val="18"/>
                <w:szCs w:val="18"/>
              </w:rPr>
              <w:t xml:space="preserve"> 3,6 </w:t>
            </w:r>
          </w:p>
        </w:tc>
        <w:tc>
          <w:tcPr>
            <w:tcW w:w="1820" w:type="dxa"/>
            <w:noWrap/>
            <w:hideMark/>
          </w:tcPr>
          <w:p w14:paraId="5CE622CB" w14:textId="77777777" w:rsidR="00324854" w:rsidRPr="000F5029" w:rsidRDefault="00324854" w:rsidP="0019189B">
            <w:pPr>
              <w:spacing w:after="40"/>
              <w:ind w:firstLine="180"/>
              <w:jc w:val="right"/>
              <w:rPr>
                <w:sz w:val="18"/>
                <w:szCs w:val="18"/>
              </w:rPr>
            </w:pPr>
            <w:r w:rsidRPr="000F5029">
              <w:rPr>
                <w:sz w:val="18"/>
                <w:szCs w:val="18"/>
              </w:rPr>
              <w:t xml:space="preserve"> 3,8 </w:t>
            </w:r>
          </w:p>
        </w:tc>
      </w:tr>
      <w:tr w:rsidR="00324854" w:rsidRPr="00D210DE" w14:paraId="70FF2C01" w14:textId="77777777" w:rsidTr="0019189B">
        <w:trPr>
          <w:trHeight w:val="227"/>
        </w:trPr>
        <w:tc>
          <w:tcPr>
            <w:tcW w:w="1748" w:type="dxa"/>
            <w:tcBorders>
              <w:bottom w:val="nil"/>
            </w:tcBorders>
            <w:noWrap/>
            <w:hideMark/>
          </w:tcPr>
          <w:p w14:paraId="1D4E3EDF" w14:textId="77777777" w:rsidR="00324854" w:rsidRPr="00CE2F05" w:rsidRDefault="00324854" w:rsidP="0019189B">
            <w:pPr>
              <w:spacing w:after="40"/>
              <w:ind w:firstLine="180"/>
              <w:rPr>
                <w:sz w:val="18"/>
                <w:szCs w:val="18"/>
              </w:rPr>
            </w:pPr>
            <w:r w:rsidRPr="00CE2F05">
              <w:rPr>
                <w:sz w:val="18"/>
                <w:szCs w:val="18"/>
              </w:rPr>
              <w:t>2014</w:t>
            </w:r>
          </w:p>
        </w:tc>
        <w:tc>
          <w:tcPr>
            <w:tcW w:w="1389" w:type="dxa"/>
            <w:tcBorders>
              <w:bottom w:val="nil"/>
            </w:tcBorders>
            <w:noWrap/>
            <w:hideMark/>
          </w:tcPr>
          <w:p w14:paraId="5DCEB5DF"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356" w:type="dxa"/>
            <w:tcBorders>
              <w:bottom w:val="nil"/>
            </w:tcBorders>
            <w:noWrap/>
            <w:hideMark/>
          </w:tcPr>
          <w:p w14:paraId="5E240314"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358" w:type="dxa"/>
            <w:tcBorders>
              <w:bottom w:val="nil"/>
            </w:tcBorders>
            <w:noWrap/>
            <w:hideMark/>
          </w:tcPr>
          <w:p w14:paraId="2696F2A7" w14:textId="77777777" w:rsidR="00324854" w:rsidRPr="000F5029" w:rsidRDefault="00324854" w:rsidP="0019189B">
            <w:pPr>
              <w:spacing w:after="40"/>
              <w:ind w:firstLine="180"/>
              <w:jc w:val="right"/>
              <w:rPr>
                <w:sz w:val="18"/>
                <w:szCs w:val="18"/>
              </w:rPr>
            </w:pPr>
            <w:r w:rsidRPr="000F5029">
              <w:rPr>
                <w:sz w:val="18"/>
                <w:szCs w:val="18"/>
              </w:rPr>
              <w:t xml:space="preserve"> 3,3 </w:t>
            </w:r>
          </w:p>
        </w:tc>
        <w:tc>
          <w:tcPr>
            <w:tcW w:w="1223" w:type="dxa"/>
            <w:tcBorders>
              <w:bottom w:val="nil"/>
            </w:tcBorders>
            <w:noWrap/>
            <w:hideMark/>
          </w:tcPr>
          <w:p w14:paraId="07E7C916" w14:textId="77777777" w:rsidR="00324854" w:rsidRPr="000F5029" w:rsidRDefault="00324854" w:rsidP="0019189B">
            <w:pPr>
              <w:spacing w:after="40"/>
              <w:ind w:firstLine="180"/>
              <w:jc w:val="right"/>
              <w:rPr>
                <w:sz w:val="18"/>
                <w:szCs w:val="18"/>
              </w:rPr>
            </w:pPr>
            <w:r w:rsidRPr="000F5029">
              <w:rPr>
                <w:sz w:val="18"/>
                <w:szCs w:val="18"/>
              </w:rPr>
              <w:t xml:space="preserve"> 2,5 </w:t>
            </w:r>
          </w:p>
        </w:tc>
        <w:tc>
          <w:tcPr>
            <w:tcW w:w="1492" w:type="dxa"/>
            <w:tcBorders>
              <w:bottom w:val="nil"/>
            </w:tcBorders>
            <w:noWrap/>
            <w:hideMark/>
          </w:tcPr>
          <w:p w14:paraId="621A115B" w14:textId="77777777" w:rsidR="00324854" w:rsidRPr="000F5029" w:rsidRDefault="00324854" w:rsidP="0019189B">
            <w:pPr>
              <w:spacing w:after="40"/>
              <w:ind w:firstLine="180"/>
              <w:jc w:val="right"/>
              <w:rPr>
                <w:sz w:val="18"/>
                <w:szCs w:val="18"/>
              </w:rPr>
            </w:pPr>
            <w:r w:rsidRPr="000F5029">
              <w:rPr>
                <w:sz w:val="18"/>
                <w:szCs w:val="18"/>
              </w:rPr>
              <w:t xml:space="preserve"> 3,3 </w:t>
            </w:r>
          </w:p>
        </w:tc>
        <w:tc>
          <w:tcPr>
            <w:tcW w:w="1492" w:type="dxa"/>
            <w:tcBorders>
              <w:bottom w:val="nil"/>
            </w:tcBorders>
            <w:noWrap/>
            <w:hideMark/>
          </w:tcPr>
          <w:p w14:paraId="1D18AB06" w14:textId="77777777" w:rsidR="00324854" w:rsidRPr="000F5029" w:rsidRDefault="00324854" w:rsidP="0019189B">
            <w:pPr>
              <w:spacing w:after="40"/>
              <w:ind w:firstLine="180"/>
              <w:jc w:val="right"/>
              <w:rPr>
                <w:sz w:val="18"/>
                <w:szCs w:val="18"/>
              </w:rPr>
            </w:pPr>
            <w:r w:rsidRPr="000F5029">
              <w:rPr>
                <w:sz w:val="18"/>
                <w:szCs w:val="18"/>
              </w:rPr>
              <w:t xml:space="preserve"> 3,0 </w:t>
            </w:r>
          </w:p>
        </w:tc>
        <w:tc>
          <w:tcPr>
            <w:tcW w:w="1222" w:type="dxa"/>
            <w:tcBorders>
              <w:bottom w:val="nil"/>
            </w:tcBorders>
            <w:noWrap/>
            <w:hideMark/>
          </w:tcPr>
          <w:p w14:paraId="5665CC49" w14:textId="77777777" w:rsidR="00324854" w:rsidRPr="000F5029" w:rsidRDefault="00324854" w:rsidP="0019189B">
            <w:pPr>
              <w:spacing w:after="40"/>
              <w:ind w:firstLine="180"/>
              <w:jc w:val="right"/>
              <w:rPr>
                <w:sz w:val="18"/>
                <w:szCs w:val="18"/>
              </w:rPr>
            </w:pPr>
            <w:r w:rsidRPr="000F5029">
              <w:rPr>
                <w:sz w:val="18"/>
                <w:szCs w:val="18"/>
              </w:rPr>
              <w:t xml:space="preserve"> 3,3 </w:t>
            </w:r>
          </w:p>
        </w:tc>
        <w:tc>
          <w:tcPr>
            <w:tcW w:w="1501" w:type="dxa"/>
            <w:tcBorders>
              <w:bottom w:val="nil"/>
            </w:tcBorders>
            <w:noWrap/>
            <w:hideMark/>
          </w:tcPr>
          <w:p w14:paraId="1A5AF4D3" w14:textId="77777777" w:rsidR="00324854" w:rsidRPr="000F5029" w:rsidRDefault="00324854" w:rsidP="0019189B">
            <w:pPr>
              <w:spacing w:after="40"/>
              <w:ind w:firstLine="180"/>
              <w:jc w:val="right"/>
              <w:rPr>
                <w:sz w:val="18"/>
                <w:szCs w:val="18"/>
              </w:rPr>
            </w:pPr>
            <w:r w:rsidRPr="000F5029">
              <w:rPr>
                <w:sz w:val="18"/>
                <w:szCs w:val="18"/>
              </w:rPr>
              <w:t xml:space="preserve"> 3,4 </w:t>
            </w:r>
          </w:p>
        </w:tc>
        <w:tc>
          <w:tcPr>
            <w:tcW w:w="1820" w:type="dxa"/>
            <w:tcBorders>
              <w:bottom w:val="nil"/>
            </w:tcBorders>
            <w:noWrap/>
            <w:hideMark/>
          </w:tcPr>
          <w:p w14:paraId="2E6EF023" w14:textId="77777777" w:rsidR="00324854" w:rsidRPr="000F5029" w:rsidRDefault="00324854" w:rsidP="0019189B">
            <w:pPr>
              <w:spacing w:after="40"/>
              <w:ind w:firstLine="180"/>
              <w:jc w:val="right"/>
              <w:rPr>
                <w:sz w:val="18"/>
                <w:szCs w:val="18"/>
              </w:rPr>
            </w:pPr>
            <w:r w:rsidRPr="000F5029">
              <w:rPr>
                <w:sz w:val="18"/>
                <w:szCs w:val="18"/>
              </w:rPr>
              <w:t xml:space="preserve"> 3,0 </w:t>
            </w:r>
          </w:p>
        </w:tc>
      </w:tr>
      <w:tr w:rsidR="00324854" w:rsidRPr="00D210DE" w14:paraId="3556EA5D" w14:textId="77777777" w:rsidTr="0019189B">
        <w:trPr>
          <w:trHeight w:val="227"/>
        </w:trPr>
        <w:tc>
          <w:tcPr>
            <w:tcW w:w="1748" w:type="dxa"/>
            <w:tcBorders>
              <w:bottom w:val="single" w:sz="4" w:space="0" w:color="auto"/>
            </w:tcBorders>
            <w:noWrap/>
            <w:hideMark/>
          </w:tcPr>
          <w:p w14:paraId="08481289" w14:textId="77777777" w:rsidR="00324854" w:rsidRPr="00CE2F05" w:rsidRDefault="00324854" w:rsidP="0019189B">
            <w:pPr>
              <w:spacing w:after="40"/>
              <w:ind w:firstLine="180"/>
              <w:rPr>
                <w:sz w:val="18"/>
                <w:szCs w:val="18"/>
              </w:rPr>
            </w:pPr>
            <w:r w:rsidRPr="00CE2F05">
              <w:rPr>
                <w:sz w:val="18"/>
                <w:szCs w:val="18"/>
              </w:rPr>
              <w:t>2015</w:t>
            </w:r>
          </w:p>
        </w:tc>
        <w:tc>
          <w:tcPr>
            <w:tcW w:w="1389" w:type="dxa"/>
            <w:tcBorders>
              <w:bottom w:val="single" w:sz="4" w:space="0" w:color="auto"/>
            </w:tcBorders>
            <w:noWrap/>
            <w:hideMark/>
          </w:tcPr>
          <w:p w14:paraId="4FFBC219" w14:textId="77777777" w:rsidR="00324854" w:rsidRPr="000F5029" w:rsidRDefault="00324854" w:rsidP="0019189B">
            <w:pPr>
              <w:spacing w:after="40"/>
              <w:ind w:firstLine="180"/>
              <w:jc w:val="right"/>
              <w:rPr>
                <w:sz w:val="18"/>
                <w:szCs w:val="18"/>
              </w:rPr>
            </w:pPr>
          </w:p>
        </w:tc>
        <w:tc>
          <w:tcPr>
            <w:tcW w:w="1356" w:type="dxa"/>
            <w:tcBorders>
              <w:bottom w:val="single" w:sz="4" w:space="0" w:color="auto"/>
            </w:tcBorders>
            <w:noWrap/>
            <w:hideMark/>
          </w:tcPr>
          <w:p w14:paraId="085218FE" w14:textId="77777777" w:rsidR="00324854" w:rsidRPr="000F5029" w:rsidRDefault="00324854" w:rsidP="0019189B">
            <w:pPr>
              <w:spacing w:after="40"/>
              <w:ind w:firstLine="180"/>
              <w:jc w:val="right"/>
              <w:rPr>
                <w:sz w:val="18"/>
                <w:szCs w:val="18"/>
              </w:rPr>
            </w:pPr>
            <w:r>
              <w:rPr>
                <w:sz w:val="18"/>
                <w:szCs w:val="18"/>
              </w:rPr>
              <w:t>2 ½</w:t>
            </w:r>
          </w:p>
        </w:tc>
        <w:tc>
          <w:tcPr>
            <w:tcW w:w="1358" w:type="dxa"/>
            <w:tcBorders>
              <w:bottom w:val="single" w:sz="4" w:space="0" w:color="auto"/>
            </w:tcBorders>
            <w:noWrap/>
            <w:hideMark/>
          </w:tcPr>
          <w:p w14:paraId="50958EEE" w14:textId="77777777" w:rsidR="00324854" w:rsidRPr="000F5029" w:rsidRDefault="00324854" w:rsidP="0019189B">
            <w:pPr>
              <w:spacing w:after="40"/>
              <w:ind w:firstLine="180"/>
              <w:jc w:val="right"/>
              <w:rPr>
                <w:sz w:val="18"/>
                <w:szCs w:val="18"/>
              </w:rPr>
            </w:pPr>
          </w:p>
        </w:tc>
        <w:tc>
          <w:tcPr>
            <w:tcW w:w="1223" w:type="dxa"/>
            <w:tcBorders>
              <w:bottom w:val="single" w:sz="4" w:space="0" w:color="auto"/>
            </w:tcBorders>
            <w:noWrap/>
            <w:hideMark/>
          </w:tcPr>
          <w:p w14:paraId="14992551" w14:textId="77777777" w:rsidR="00324854" w:rsidRPr="000F5029" w:rsidRDefault="00324854" w:rsidP="0019189B">
            <w:pPr>
              <w:spacing w:after="40"/>
              <w:ind w:firstLine="180"/>
              <w:jc w:val="right"/>
              <w:rPr>
                <w:sz w:val="18"/>
                <w:szCs w:val="18"/>
              </w:rPr>
            </w:pPr>
          </w:p>
        </w:tc>
        <w:tc>
          <w:tcPr>
            <w:tcW w:w="1492" w:type="dxa"/>
            <w:tcBorders>
              <w:bottom w:val="single" w:sz="4" w:space="0" w:color="auto"/>
            </w:tcBorders>
            <w:noWrap/>
            <w:hideMark/>
          </w:tcPr>
          <w:p w14:paraId="52395AA2" w14:textId="77777777" w:rsidR="00324854" w:rsidRPr="000F5029" w:rsidRDefault="00324854" w:rsidP="0019189B">
            <w:pPr>
              <w:spacing w:after="40"/>
              <w:ind w:firstLine="180"/>
              <w:jc w:val="right"/>
              <w:rPr>
                <w:sz w:val="18"/>
                <w:szCs w:val="18"/>
              </w:rPr>
            </w:pPr>
          </w:p>
        </w:tc>
        <w:tc>
          <w:tcPr>
            <w:tcW w:w="1492" w:type="dxa"/>
            <w:tcBorders>
              <w:bottom w:val="single" w:sz="4" w:space="0" w:color="auto"/>
            </w:tcBorders>
            <w:noWrap/>
            <w:hideMark/>
          </w:tcPr>
          <w:p w14:paraId="7D56DA41" w14:textId="77777777" w:rsidR="00324854" w:rsidRPr="000F5029" w:rsidRDefault="00324854" w:rsidP="0019189B">
            <w:pPr>
              <w:spacing w:after="40"/>
              <w:ind w:firstLine="180"/>
              <w:jc w:val="right"/>
              <w:rPr>
                <w:sz w:val="18"/>
                <w:szCs w:val="18"/>
              </w:rPr>
            </w:pPr>
          </w:p>
        </w:tc>
        <w:tc>
          <w:tcPr>
            <w:tcW w:w="1222" w:type="dxa"/>
            <w:tcBorders>
              <w:bottom w:val="single" w:sz="4" w:space="0" w:color="auto"/>
            </w:tcBorders>
            <w:noWrap/>
            <w:hideMark/>
          </w:tcPr>
          <w:p w14:paraId="07FFF4EA" w14:textId="77777777" w:rsidR="00324854" w:rsidRPr="000F5029" w:rsidRDefault="00324854" w:rsidP="0019189B">
            <w:pPr>
              <w:spacing w:after="40"/>
              <w:ind w:firstLine="180"/>
              <w:jc w:val="right"/>
              <w:rPr>
                <w:sz w:val="18"/>
                <w:szCs w:val="18"/>
              </w:rPr>
            </w:pPr>
          </w:p>
        </w:tc>
        <w:tc>
          <w:tcPr>
            <w:tcW w:w="1501" w:type="dxa"/>
            <w:tcBorders>
              <w:bottom w:val="single" w:sz="4" w:space="0" w:color="auto"/>
            </w:tcBorders>
            <w:noWrap/>
            <w:hideMark/>
          </w:tcPr>
          <w:p w14:paraId="01636DE2" w14:textId="77777777" w:rsidR="00324854" w:rsidRPr="000F5029" w:rsidRDefault="00324854" w:rsidP="0019189B">
            <w:pPr>
              <w:spacing w:after="40"/>
              <w:ind w:firstLine="180"/>
              <w:jc w:val="right"/>
              <w:rPr>
                <w:sz w:val="18"/>
                <w:szCs w:val="18"/>
              </w:rPr>
            </w:pPr>
            <w:r w:rsidRPr="000F5029">
              <w:rPr>
                <w:sz w:val="18"/>
                <w:szCs w:val="18"/>
              </w:rPr>
              <w:t>3</w:t>
            </w:r>
          </w:p>
        </w:tc>
        <w:tc>
          <w:tcPr>
            <w:tcW w:w="1820" w:type="dxa"/>
            <w:tcBorders>
              <w:bottom w:val="single" w:sz="4" w:space="0" w:color="auto"/>
            </w:tcBorders>
            <w:noWrap/>
            <w:hideMark/>
          </w:tcPr>
          <w:p w14:paraId="5E7B2568" w14:textId="77777777" w:rsidR="00324854" w:rsidRPr="000F5029" w:rsidRDefault="00324854" w:rsidP="0019189B">
            <w:pPr>
              <w:spacing w:after="40"/>
              <w:ind w:firstLine="180"/>
              <w:jc w:val="right"/>
              <w:rPr>
                <w:sz w:val="18"/>
                <w:szCs w:val="18"/>
              </w:rPr>
            </w:pPr>
          </w:p>
        </w:tc>
      </w:tr>
      <w:tr w:rsidR="00324854" w:rsidRPr="00D210DE" w14:paraId="4E96A4D3" w14:textId="77777777" w:rsidTr="0019189B">
        <w:trPr>
          <w:trHeight w:val="233"/>
        </w:trPr>
        <w:tc>
          <w:tcPr>
            <w:tcW w:w="1748" w:type="dxa"/>
            <w:tcBorders>
              <w:top w:val="single" w:sz="4" w:space="0" w:color="auto"/>
            </w:tcBorders>
            <w:noWrap/>
            <w:hideMark/>
          </w:tcPr>
          <w:p w14:paraId="6269C015" w14:textId="77777777" w:rsidR="00324854" w:rsidRPr="00CE2F05" w:rsidRDefault="00324854" w:rsidP="0019189B">
            <w:pPr>
              <w:spacing w:after="40"/>
              <w:ind w:firstLine="180"/>
              <w:rPr>
                <w:sz w:val="18"/>
                <w:szCs w:val="18"/>
              </w:rPr>
            </w:pPr>
            <w:r w:rsidRPr="00CE2F05">
              <w:rPr>
                <w:sz w:val="18"/>
                <w:szCs w:val="18"/>
              </w:rPr>
              <w:t>200</w:t>
            </w:r>
            <w:r>
              <w:rPr>
                <w:sz w:val="18"/>
                <w:szCs w:val="18"/>
              </w:rPr>
              <w:t>4</w:t>
            </w:r>
            <w:r w:rsidRPr="00CE2F05">
              <w:rPr>
                <w:sz w:val="18"/>
                <w:szCs w:val="18"/>
              </w:rPr>
              <w:t>-</w:t>
            </w:r>
            <w:r>
              <w:rPr>
                <w:sz w:val="18"/>
                <w:szCs w:val="18"/>
              </w:rPr>
              <w:t>20</w:t>
            </w:r>
            <w:r w:rsidRPr="00CE2F05">
              <w:rPr>
                <w:sz w:val="18"/>
                <w:szCs w:val="18"/>
              </w:rPr>
              <w:t>1</w:t>
            </w:r>
            <w:r>
              <w:rPr>
                <w:sz w:val="18"/>
                <w:szCs w:val="18"/>
              </w:rPr>
              <w:t>4</w:t>
            </w:r>
          </w:p>
        </w:tc>
        <w:tc>
          <w:tcPr>
            <w:tcW w:w="1389" w:type="dxa"/>
            <w:tcBorders>
              <w:top w:val="single" w:sz="4" w:space="0" w:color="auto"/>
            </w:tcBorders>
            <w:noWrap/>
            <w:hideMark/>
          </w:tcPr>
          <w:p w14:paraId="0DFADEB7" w14:textId="77777777" w:rsidR="00324854" w:rsidRPr="000F5029" w:rsidRDefault="00324854" w:rsidP="0019189B">
            <w:pPr>
              <w:spacing w:after="40"/>
              <w:ind w:firstLine="180"/>
              <w:jc w:val="right"/>
              <w:rPr>
                <w:sz w:val="18"/>
                <w:szCs w:val="18"/>
              </w:rPr>
            </w:pPr>
            <w:r w:rsidRPr="000F5029">
              <w:rPr>
                <w:sz w:val="18"/>
                <w:szCs w:val="18"/>
              </w:rPr>
              <w:t>50,0</w:t>
            </w:r>
          </w:p>
        </w:tc>
        <w:tc>
          <w:tcPr>
            <w:tcW w:w="1356" w:type="dxa"/>
            <w:tcBorders>
              <w:top w:val="single" w:sz="4" w:space="0" w:color="auto"/>
            </w:tcBorders>
            <w:noWrap/>
            <w:hideMark/>
          </w:tcPr>
          <w:p w14:paraId="6C3EDA56" w14:textId="77777777" w:rsidR="00324854" w:rsidRPr="000F5029" w:rsidRDefault="00324854" w:rsidP="0019189B">
            <w:pPr>
              <w:spacing w:after="40"/>
              <w:ind w:firstLine="180"/>
              <w:jc w:val="right"/>
              <w:rPr>
                <w:sz w:val="18"/>
                <w:szCs w:val="18"/>
              </w:rPr>
            </w:pPr>
            <w:r w:rsidRPr="000F5029">
              <w:rPr>
                <w:sz w:val="18"/>
                <w:szCs w:val="18"/>
              </w:rPr>
              <w:t>49,0</w:t>
            </w:r>
          </w:p>
        </w:tc>
        <w:tc>
          <w:tcPr>
            <w:tcW w:w="1358" w:type="dxa"/>
            <w:tcBorders>
              <w:top w:val="single" w:sz="4" w:space="0" w:color="auto"/>
            </w:tcBorders>
            <w:noWrap/>
            <w:hideMark/>
          </w:tcPr>
          <w:p w14:paraId="424AF680" w14:textId="77777777" w:rsidR="00324854" w:rsidRPr="000F5029" w:rsidRDefault="00324854" w:rsidP="0019189B">
            <w:pPr>
              <w:spacing w:after="40"/>
              <w:ind w:firstLine="180"/>
              <w:jc w:val="right"/>
              <w:rPr>
                <w:sz w:val="18"/>
                <w:szCs w:val="18"/>
              </w:rPr>
            </w:pPr>
            <w:r w:rsidRPr="000F5029">
              <w:rPr>
                <w:sz w:val="18"/>
                <w:szCs w:val="18"/>
              </w:rPr>
              <w:t>49,3</w:t>
            </w:r>
          </w:p>
        </w:tc>
        <w:tc>
          <w:tcPr>
            <w:tcW w:w="1223" w:type="dxa"/>
            <w:tcBorders>
              <w:top w:val="single" w:sz="4" w:space="0" w:color="auto"/>
            </w:tcBorders>
            <w:noWrap/>
            <w:hideMark/>
          </w:tcPr>
          <w:p w14:paraId="50DF5DA6" w14:textId="77777777" w:rsidR="00324854" w:rsidRPr="000F5029" w:rsidRDefault="00324854" w:rsidP="0019189B">
            <w:pPr>
              <w:spacing w:after="40"/>
              <w:ind w:firstLine="180"/>
              <w:jc w:val="right"/>
              <w:rPr>
                <w:sz w:val="18"/>
                <w:szCs w:val="18"/>
              </w:rPr>
            </w:pPr>
            <w:r w:rsidRPr="000F5029">
              <w:rPr>
                <w:sz w:val="18"/>
                <w:szCs w:val="18"/>
              </w:rPr>
              <w:t>45,8</w:t>
            </w:r>
          </w:p>
        </w:tc>
        <w:tc>
          <w:tcPr>
            <w:tcW w:w="1492" w:type="dxa"/>
            <w:tcBorders>
              <w:top w:val="single" w:sz="4" w:space="0" w:color="auto"/>
            </w:tcBorders>
            <w:noWrap/>
            <w:hideMark/>
          </w:tcPr>
          <w:p w14:paraId="24187848" w14:textId="77777777" w:rsidR="00324854" w:rsidRPr="000F5029" w:rsidRDefault="00324854" w:rsidP="0019189B">
            <w:pPr>
              <w:spacing w:after="40"/>
              <w:ind w:firstLine="180"/>
              <w:jc w:val="right"/>
              <w:rPr>
                <w:sz w:val="18"/>
                <w:szCs w:val="18"/>
              </w:rPr>
            </w:pPr>
          </w:p>
        </w:tc>
        <w:tc>
          <w:tcPr>
            <w:tcW w:w="1492" w:type="dxa"/>
            <w:tcBorders>
              <w:top w:val="single" w:sz="4" w:space="0" w:color="auto"/>
            </w:tcBorders>
            <w:noWrap/>
            <w:hideMark/>
          </w:tcPr>
          <w:p w14:paraId="59CB26DD" w14:textId="77777777" w:rsidR="00324854" w:rsidRPr="000F5029" w:rsidRDefault="00324854" w:rsidP="0019189B">
            <w:pPr>
              <w:spacing w:after="40"/>
              <w:ind w:firstLine="180"/>
              <w:jc w:val="right"/>
              <w:rPr>
                <w:sz w:val="18"/>
                <w:szCs w:val="18"/>
              </w:rPr>
            </w:pPr>
            <w:r w:rsidRPr="000F5029">
              <w:rPr>
                <w:sz w:val="18"/>
                <w:szCs w:val="18"/>
              </w:rPr>
              <w:t>53,6</w:t>
            </w:r>
          </w:p>
        </w:tc>
        <w:tc>
          <w:tcPr>
            <w:tcW w:w="1222" w:type="dxa"/>
            <w:tcBorders>
              <w:top w:val="single" w:sz="4" w:space="0" w:color="auto"/>
            </w:tcBorders>
            <w:noWrap/>
            <w:hideMark/>
          </w:tcPr>
          <w:p w14:paraId="619EDBC7" w14:textId="77777777" w:rsidR="00324854" w:rsidRPr="000F5029" w:rsidRDefault="00324854" w:rsidP="0019189B">
            <w:pPr>
              <w:spacing w:after="40"/>
              <w:ind w:firstLine="180"/>
              <w:jc w:val="right"/>
              <w:rPr>
                <w:sz w:val="18"/>
                <w:szCs w:val="18"/>
              </w:rPr>
            </w:pPr>
            <w:r w:rsidRPr="000F5029">
              <w:rPr>
                <w:sz w:val="18"/>
                <w:szCs w:val="18"/>
              </w:rPr>
              <w:t>47,1</w:t>
            </w:r>
          </w:p>
        </w:tc>
        <w:tc>
          <w:tcPr>
            <w:tcW w:w="1501" w:type="dxa"/>
            <w:tcBorders>
              <w:top w:val="single" w:sz="4" w:space="0" w:color="auto"/>
            </w:tcBorders>
            <w:noWrap/>
            <w:hideMark/>
          </w:tcPr>
          <w:p w14:paraId="266245EC" w14:textId="77777777" w:rsidR="00324854" w:rsidRPr="000F5029" w:rsidRDefault="00324854" w:rsidP="0019189B">
            <w:pPr>
              <w:spacing w:after="40"/>
              <w:ind w:firstLine="180"/>
              <w:jc w:val="right"/>
              <w:rPr>
                <w:sz w:val="18"/>
                <w:szCs w:val="18"/>
              </w:rPr>
            </w:pPr>
            <w:r w:rsidRPr="000F5029">
              <w:rPr>
                <w:sz w:val="18"/>
                <w:szCs w:val="18"/>
              </w:rPr>
              <w:t>48,3</w:t>
            </w:r>
          </w:p>
        </w:tc>
        <w:tc>
          <w:tcPr>
            <w:tcW w:w="1820" w:type="dxa"/>
            <w:tcBorders>
              <w:top w:val="single" w:sz="4" w:space="0" w:color="auto"/>
            </w:tcBorders>
            <w:noWrap/>
            <w:hideMark/>
          </w:tcPr>
          <w:p w14:paraId="23214667" w14:textId="77777777" w:rsidR="00324854" w:rsidRPr="000F5029" w:rsidRDefault="00324854" w:rsidP="0019189B">
            <w:pPr>
              <w:spacing w:after="40"/>
              <w:ind w:firstLine="180"/>
              <w:jc w:val="right"/>
              <w:rPr>
                <w:sz w:val="18"/>
                <w:szCs w:val="18"/>
              </w:rPr>
            </w:pPr>
            <w:r w:rsidRPr="000F5029">
              <w:rPr>
                <w:sz w:val="18"/>
                <w:szCs w:val="18"/>
              </w:rPr>
              <w:t>49,4</w:t>
            </w:r>
          </w:p>
        </w:tc>
      </w:tr>
      <w:tr w:rsidR="00324854" w:rsidRPr="00D210DE" w14:paraId="1A6371D8" w14:textId="77777777" w:rsidTr="0019189B">
        <w:trPr>
          <w:trHeight w:val="177"/>
        </w:trPr>
        <w:tc>
          <w:tcPr>
            <w:tcW w:w="1748" w:type="dxa"/>
            <w:noWrap/>
            <w:hideMark/>
          </w:tcPr>
          <w:p w14:paraId="043E1077" w14:textId="77777777" w:rsidR="00324854" w:rsidRPr="00CE2F05" w:rsidRDefault="00324854" w:rsidP="0019189B">
            <w:pPr>
              <w:spacing w:after="40"/>
              <w:ind w:firstLine="180"/>
              <w:rPr>
                <w:sz w:val="18"/>
                <w:szCs w:val="18"/>
              </w:rPr>
            </w:pPr>
            <w:r w:rsidRPr="00CE2F05">
              <w:rPr>
                <w:sz w:val="18"/>
                <w:szCs w:val="18"/>
              </w:rPr>
              <w:t>Gj. sn. per år</w:t>
            </w:r>
          </w:p>
        </w:tc>
        <w:tc>
          <w:tcPr>
            <w:tcW w:w="1389" w:type="dxa"/>
            <w:noWrap/>
            <w:hideMark/>
          </w:tcPr>
          <w:p w14:paraId="5C0A6897" w14:textId="77777777" w:rsidR="00324854" w:rsidRPr="000F5029" w:rsidRDefault="00324854" w:rsidP="0019189B">
            <w:pPr>
              <w:spacing w:after="40"/>
              <w:ind w:firstLine="180"/>
              <w:jc w:val="right"/>
              <w:rPr>
                <w:sz w:val="18"/>
                <w:szCs w:val="18"/>
              </w:rPr>
            </w:pPr>
            <w:r w:rsidRPr="000F5029">
              <w:rPr>
                <w:sz w:val="18"/>
                <w:szCs w:val="18"/>
              </w:rPr>
              <w:t>4,1</w:t>
            </w:r>
          </w:p>
        </w:tc>
        <w:tc>
          <w:tcPr>
            <w:tcW w:w="1356" w:type="dxa"/>
            <w:noWrap/>
            <w:hideMark/>
          </w:tcPr>
          <w:p w14:paraId="165B4E03" w14:textId="77777777" w:rsidR="00324854" w:rsidRPr="000F5029" w:rsidRDefault="00324854" w:rsidP="0019189B">
            <w:pPr>
              <w:spacing w:after="40"/>
              <w:ind w:firstLine="180"/>
              <w:jc w:val="right"/>
              <w:rPr>
                <w:sz w:val="18"/>
                <w:szCs w:val="18"/>
              </w:rPr>
            </w:pPr>
            <w:r w:rsidRPr="000F5029">
              <w:rPr>
                <w:sz w:val="18"/>
                <w:szCs w:val="18"/>
              </w:rPr>
              <w:t>4,1</w:t>
            </w:r>
          </w:p>
        </w:tc>
        <w:tc>
          <w:tcPr>
            <w:tcW w:w="1358" w:type="dxa"/>
            <w:noWrap/>
            <w:hideMark/>
          </w:tcPr>
          <w:p w14:paraId="47CC84CF" w14:textId="77777777" w:rsidR="00324854" w:rsidRPr="000F5029" w:rsidRDefault="00324854" w:rsidP="0019189B">
            <w:pPr>
              <w:spacing w:after="40"/>
              <w:ind w:firstLine="180"/>
              <w:jc w:val="right"/>
              <w:rPr>
                <w:sz w:val="18"/>
                <w:szCs w:val="18"/>
              </w:rPr>
            </w:pPr>
            <w:r w:rsidRPr="000F5029">
              <w:rPr>
                <w:sz w:val="18"/>
                <w:szCs w:val="18"/>
              </w:rPr>
              <w:t>4,1</w:t>
            </w:r>
          </w:p>
        </w:tc>
        <w:tc>
          <w:tcPr>
            <w:tcW w:w="1223" w:type="dxa"/>
            <w:noWrap/>
            <w:hideMark/>
          </w:tcPr>
          <w:p w14:paraId="0C0FCA20" w14:textId="77777777" w:rsidR="00324854" w:rsidRPr="000F5029" w:rsidRDefault="00324854" w:rsidP="0019189B">
            <w:pPr>
              <w:spacing w:after="40"/>
              <w:ind w:firstLine="180"/>
              <w:jc w:val="right"/>
              <w:rPr>
                <w:sz w:val="18"/>
                <w:szCs w:val="18"/>
              </w:rPr>
            </w:pPr>
            <w:r w:rsidRPr="000F5029">
              <w:rPr>
                <w:sz w:val="18"/>
                <w:szCs w:val="18"/>
              </w:rPr>
              <w:t>3,8</w:t>
            </w:r>
          </w:p>
        </w:tc>
        <w:tc>
          <w:tcPr>
            <w:tcW w:w="1492" w:type="dxa"/>
            <w:noWrap/>
            <w:hideMark/>
          </w:tcPr>
          <w:p w14:paraId="54C9E7B2" w14:textId="77777777" w:rsidR="00324854" w:rsidRPr="000F5029" w:rsidRDefault="00324854" w:rsidP="0019189B">
            <w:pPr>
              <w:spacing w:after="40"/>
              <w:ind w:firstLine="180"/>
              <w:jc w:val="right"/>
              <w:rPr>
                <w:sz w:val="18"/>
                <w:szCs w:val="18"/>
              </w:rPr>
            </w:pPr>
          </w:p>
        </w:tc>
        <w:tc>
          <w:tcPr>
            <w:tcW w:w="1492" w:type="dxa"/>
            <w:noWrap/>
            <w:hideMark/>
          </w:tcPr>
          <w:p w14:paraId="60CA68BC" w14:textId="77777777" w:rsidR="00324854" w:rsidRPr="000F5029" w:rsidRDefault="00324854" w:rsidP="0019189B">
            <w:pPr>
              <w:spacing w:after="40"/>
              <w:ind w:firstLine="180"/>
              <w:jc w:val="right"/>
              <w:rPr>
                <w:sz w:val="18"/>
                <w:szCs w:val="18"/>
              </w:rPr>
            </w:pPr>
            <w:r w:rsidRPr="000F5029">
              <w:rPr>
                <w:sz w:val="18"/>
                <w:szCs w:val="18"/>
              </w:rPr>
              <w:t>4,4</w:t>
            </w:r>
          </w:p>
        </w:tc>
        <w:tc>
          <w:tcPr>
            <w:tcW w:w="1222" w:type="dxa"/>
            <w:noWrap/>
            <w:hideMark/>
          </w:tcPr>
          <w:p w14:paraId="5020E2AA" w14:textId="77777777" w:rsidR="00324854" w:rsidRPr="000F5029" w:rsidRDefault="00324854" w:rsidP="0019189B">
            <w:pPr>
              <w:spacing w:after="40"/>
              <w:ind w:firstLine="180"/>
              <w:jc w:val="right"/>
              <w:rPr>
                <w:sz w:val="18"/>
                <w:szCs w:val="18"/>
              </w:rPr>
            </w:pPr>
            <w:r w:rsidRPr="000F5029">
              <w:rPr>
                <w:sz w:val="18"/>
                <w:szCs w:val="18"/>
              </w:rPr>
              <w:t>3,9</w:t>
            </w:r>
          </w:p>
        </w:tc>
        <w:tc>
          <w:tcPr>
            <w:tcW w:w="1501" w:type="dxa"/>
            <w:noWrap/>
            <w:hideMark/>
          </w:tcPr>
          <w:p w14:paraId="18A482F4" w14:textId="77777777" w:rsidR="00324854" w:rsidRPr="000F5029" w:rsidRDefault="00324854" w:rsidP="0019189B">
            <w:pPr>
              <w:spacing w:after="40"/>
              <w:ind w:firstLine="180"/>
              <w:jc w:val="right"/>
              <w:rPr>
                <w:sz w:val="18"/>
                <w:szCs w:val="18"/>
              </w:rPr>
            </w:pPr>
            <w:r w:rsidRPr="000F5029">
              <w:rPr>
                <w:sz w:val="18"/>
                <w:szCs w:val="18"/>
              </w:rPr>
              <w:t>4,0</w:t>
            </w:r>
          </w:p>
        </w:tc>
        <w:tc>
          <w:tcPr>
            <w:tcW w:w="1820" w:type="dxa"/>
            <w:noWrap/>
            <w:hideMark/>
          </w:tcPr>
          <w:p w14:paraId="7A409365" w14:textId="77777777" w:rsidR="00324854" w:rsidRPr="000F5029" w:rsidRDefault="00324854" w:rsidP="0019189B">
            <w:pPr>
              <w:spacing w:after="40"/>
              <w:ind w:firstLine="180"/>
              <w:jc w:val="right"/>
              <w:rPr>
                <w:sz w:val="18"/>
                <w:szCs w:val="18"/>
              </w:rPr>
            </w:pPr>
            <w:r w:rsidRPr="000F5029">
              <w:rPr>
                <w:sz w:val="18"/>
                <w:szCs w:val="18"/>
              </w:rPr>
              <w:t>4,1</w:t>
            </w:r>
          </w:p>
        </w:tc>
      </w:tr>
      <w:tr w:rsidR="00324854" w:rsidRPr="00D210DE" w14:paraId="6573B3A5" w14:textId="77777777" w:rsidTr="0019189B">
        <w:trPr>
          <w:trHeight w:val="167"/>
        </w:trPr>
        <w:tc>
          <w:tcPr>
            <w:tcW w:w="1748" w:type="dxa"/>
            <w:noWrap/>
            <w:hideMark/>
          </w:tcPr>
          <w:p w14:paraId="74133186" w14:textId="77777777" w:rsidR="00324854" w:rsidRPr="00D210DE" w:rsidRDefault="00324854" w:rsidP="0019189B">
            <w:pPr>
              <w:spacing w:after="0"/>
              <w:ind w:firstLine="180"/>
              <w:rPr>
                <w:rFonts w:ascii="Times New Roman" w:hAnsi="Times New Roman"/>
                <w:sz w:val="18"/>
                <w:szCs w:val="18"/>
              </w:rPr>
            </w:pPr>
            <w:r w:rsidRPr="00D210DE">
              <w:rPr>
                <w:rFonts w:ascii="Times New Roman" w:hAnsi="Times New Roman"/>
                <w:sz w:val="18"/>
                <w:szCs w:val="18"/>
              </w:rPr>
              <w:t>Årslønn 201</w:t>
            </w:r>
            <w:r>
              <w:rPr>
                <w:rFonts w:ascii="Times New Roman" w:hAnsi="Times New Roman"/>
                <w:sz w:val="18"/>
                <w:szCs w:val="18"/>
              </w:rPr>
              <w:t>4</w:t>
            </w:r>
          </w:p>
        </w:tc>
        <w:tc>
          <w:tcPr>
            <w:tcW w:w="1389" w:type="dxa"/>
            <w:noWrap/>
          </w:tcPr>
          <w:p w14:paraId="1F5FDB84" w14:textId="77777777" w:rsidR="00324854" w:rsidRPr="000F5029" w:rsidRDefault="00324854" w:rsidP="0019189B">
            <w:pPr>
              <w:spacing w:after="40"/>
              <w:ind w:firstLine="180"/>
              <w:jc w:val="right"/>
              <w:rPr>
                <w:sz w:val="18"/>
                <w:szCs w:val="18"/>
              </w:rPr>
            </w:pPr>
            <w:r w:rsidRPr="000F5029">
              <w:rPr>
                <w:sz w:val="18"/>
                <w:szCs w:val="18"/>
              </w:rPr>
              <w:t>437 500</w:t>
            </w:r>
          </w:p>
        </w:tc>
        <w:tc>
          <w:tcPr>
            <w:tcW w:w="1356" w:type="dxa"/>
            <w:noWrap/>
          </w:tcPr>
          <w:p w14:paraId="3B7517EB" w14:textId="77777777" w:rsidR="00324854" w:rsidRPr="000F5029" w:rsidRDefault="00324854" w:rsidP="0019189B">
            <w:pPr>
              <w:spacing w:after="40"/>
              <w:ind w:firstLine="180"/>
              <w:jc w:val="right"/>
              <w:rPr>
                <w:sz w:val="18"/>
                <w:szCs w:val="18"/>
              </w:rPr>
            </w:pPr>
            <w:r w:rsidRPr="000F5029">
              <w:rPr>
                <w:sz w:val="18"/>
                <w:szCs w:val="18"/>
              </w:rPr>
              <w:t>431 100</w:t>
            </w:r>
          </w:p>
        </w:tc>
        <w:tc>
          <w:tcPr>
            <w:tcW w:w="1358" w:type="dxa"/>
            <w:noWrap/>
          </w:tcPr>
          <w:p w14:paraId="1623585B" w14:textId="77777777" w:rsidR="00324854" w:rsidRPr="000F5029" w:rsidRDefault="00324854" w:rsidP="0019189B">
            <w:pPr>
              <w:spacing w:after="40"/>
              <w:ind w:firstLine="180"/>
              <w:jc w:val="right"/>
              <w:rPr>
                <w:sz w:val="18"/>
                <w:szCs w:val="18"/>
              </w:rPr>
            </w:pPr>
            <w:r w:rsidRPr="000F5029">
              <w:rPr>
                <w:sz w:val="18"/>
                <w:szCs w:val="18"/>
              </w:rPr>
              <w:t>409 000</w:t>
            </w:r>
          </w:p>
        </w:tc>
        <w:tc>
          <w:tcPr>
            <w:tcW w:w="1223" w:type="dxa"/>
            <w:noWrap/>
          </w:tcPr>
          <w:p w14:paraId="6501678F" w14:textId="77777777" w:rsidR="00324854" w:rsidRPr="000F5029" w:rsidRDefault="00324854" w:rsidP="0019189B">
            <w:pPr>
              <w:spacing w:after="40"/>
              <w:ind w:firstLine="180"/>
              <w:jc w:val="right"/>
              <w:rPr>
                <w:sz w:val="18"/>
                <w:szCs w:val="18"/>
              </w:rPr>
            </w:pPr>
            <w:r w:rsidRPr="000F5029">
              <w:rPr>
                <w:sz w:val="18"/>
                <w:szCs w:val="18"/>
              </w:rPr>
              <w:t>393 000</w:t>
            </w:r>
          </w:p>
        </w:tc>
        <w:tc>
          <w:tcPr>
            <w:tcW w:w="1492" w:type="dxa"/>
            <w:noWrap/>
          </w:tcPr>
          <w:p w14:paraId="01EEC440" w14:textId="77777777" w:rsidR="00324854" w:rsidRPr="000F5029" w:rsidRDefault="00324854" w:rsidP="0019189B">
            <w:pPr>
              <w:spacing w:after="40"/>
              <w:ind w:firstLine="180"/>
              <w:jc w:val="right"/>
              <w:rPr>
                <w:sz w:val="18"/>
                <w:szCs w:val="18"/>
              </w:rPr>
            </w:pPr>
            <w:r w:rsidRPr="000F5029">
              <w:rPr>
                <w:sz w:val="18"/>
                <w:szCs w:val="18"/>
              </w:rPr>
              <w:t>459 000</w:t>
            </w:r>
          </w:p>
        </w:tc>
        <w:tc>
          <w:tcPr>
            <w:tcW w:w="1492" w:type="dxa"/>
            <w:noWrap/>
          </w:tcPr>
          <w:p w14:paraId="3FEB82EC" w14:textId="77777777" w:rsidR="00324854" w:rsidRPr="000F5029" w:rsidRDefault="00324854" w:rsidP="0019189B">
            <w:pPr>
              <w:spacing w:after="40"/>
              <w:ind w:firstLine="180"/>
              <w:jc w:val="right"/>
              <w:rPr>
                <w:sz w:val="18"/>
                <w:szCs w:val="18"/>
              </w:rPr>
            </w:pPr>
            <w:r w:rsidRPr="000F5029">
              <w:rPr>
                <w:sz w:val="18"/>
                <w:szCs w:val="18"/>
              </w:rPr>
              <w:t>447 000</w:t>
            </w:r>
          </w:p>
        </w:tc>
        <w:tc>
          <w:tcPr>
            <w:tcW w:w="1222" w:type="dxa"/>
            <w:noWrap/>
          </w:tcPr>
          <w:p w14:paraId="490A7001" w14:textId="77777777" w:rsidR="00324854" w:rsidRPr="000F5029" w:rsidRDefault="00324854" w:rsidP="0019189B">
            <w:pPr>
              <w:spacing w:after="40"/>
              <w:ind w:firstLine="180"/>
              <w:jc w:val="right"/>
              <w:rPr>
                <w:sz w:val="18"/>
                <w:szCs w:val="18"/>
              </w:rPr>
            </w:pPr>
            <w:r w:rsidRPr="000F5029">
              <w:rPr>
                <w:sz w:val="18"/>
                <w:szCs w:val="18"/>
              </w:rPr>
              <w:t>463 000</w:t>
            </w:r>
          </w:p>
        </w:tc>
        <w:tc>
          <w:tcPr>
            <w:tcW w:w="1501" w:type="dxa"/>
            <w:noWrap/>
          </w:tcPr>
          <w:p w14:paraId="30779FCB" w14:textId="77777777" w:rsidR="00324854" w:rsidRPr="000F5029" w:rsidRDefault="00324854" w:rsidP="0019189B">
            <w:pPr>
              <w:spacing w:after="40"/>
              <w:ind w:firstLine="180"/>
              <w:jc w:val="right"/>
              <w:rPr>
                <w:sz w:val="18"/>
                <w:szCs w:val="18"/>
              </w:rPr>
            </w:pPr>
            <w:r w:rsidRPr="000F5029">
              <w:rPr>
                <w:sz w:val="18"/>
                <w:szCs w:val="18"/>
              </w:rPr>
              <w:t>456 000</w:t>
            </w:r>
          </w:p>
        </w:tc>
        <w:tc>
          <w:tcPr>
            <w:tcW w:w="1820" w:type="dxa"/>
            <w:noWrap/>
          </w:tcPr>
          <w:p w14:paraId="783A08E2" w14:textId="77777777" w:rsidR="00324854" w:rsidRPr="000F5029" w:rsidRDefault="00324854" w:rsidP="0019189B">
            <w:pPr>
              <w:spacing w:after="40"/>
              <w:ind w:firstLine="180"/>
              <w:jc w:val="right"/>
              <w:rPr>
                <w:sz w:val="18"/>
                <w:szCs w:val="18"/>
              </w:rPr>
            </w:pPr>
            <w:r w:rsidRPr="000F5029">
              <w:rPr>
                <w:sz w:val="18"/>
                <w:szCs w:val="18"/>
              </w:rPr>
              <w:t>415 000</w:t>
            </w:r>
          </w:p>
        </w:tc>
      </w:tr>
    </w:tbl>
    <w:p w14:paraId="22BFB05D" w14:textId="77777777" w:rsidR="00324854" w:rsidRDefault="00324854" w:rsidP="00324854">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p>
    <w:tbl>
      <w:tblPr>
        <w:tblStyle w:val="TrykketTabell"/>
        <w:tblW w:w="5263" w:type="pct"/>
        <w:tblLayout w:type="fixed"/>
        <w:tblLook w:val="04A0" w:firstRow="1" w:lastRow="0" w:firstColumn="1" w:lastColumn="0" w:noHBand="0" w:noVBand="1"/>
      </w:tblPr>
      <w:tblGrid>
        <w:gridCol w:w="1910"/>
        <w:gridCol w:w="1610"/>
        <w:gridCol w:w="1866"/>
        <w:gridCol w:w="237"/>
        <w:gridCol w:w="1255"/>
        <w:gridCol w:w="1485"/>
        <w:gridCol w:w="1805"/>
        <w:gridCol w:w="1521"/>
        <w:gridCol w:w="249"/>
        <w:gridCol w:w="1037"/>
        <w:gridCol w:w="249"/>
        <w:gridCol w:w="1517"/>
      </w:tblGrid>
      <w:tr w:rsidR="00324854" w:rsidRPr="00D210DE" w14:paraId="0571B141" w14:textId="77777777" w:rsidTr="00324854">
        <w:trPr>
          <w:cnfStyle w:val="100000000000" w:firstRow="1" w:lastRow="0" w:firstColumn="0" w:lastColumn="0" w:oddVBand="0" w:evenVBand="0" w:oddHBand="0" w:evenHBand="0" w:firstRowFirstColumn="0" w:firstRowLastColumn="0" w:lastRowFirstColumn="0" w:lastRowLastColumn="0"/>
          <w:trHeight w:val="253"/>
        </w:trPr>
        <w:tc>
          <w:tcPr>
            <w:tcW w:w="1911" w:type="dxa"/>
            <w:tcBorders>
              <w:bottom w:val="nil"/>
            </w:tcBorders>
            <w:noWrap/>
            <w:hideMark/>
          </w:tcPr>
          <w:p w14:paraId="2EDD9715" w14:textId="77777777" w:rsidR="00324854" w:rsidRPr="00D210DE" w:rsidRDefault="00324854" w:rsidP="0019189B">
            <w:pPr>
              <w:spacing w:after="40"/>
              <w:ind w:firstLine="180"/>
              <w:rPr>
                <w:sz w:val="18"/>
                <w:szCs w:val="18"/>
              </w:rPr>
            </w:pPr>
          </w:p>
        </w:tc>
        <w:tc>
          <w:tcPr>
            <w:tcW w:w="3476" w:type="dxa"/>
            <w:gridSpan w:val="2"/>
            <w:tcBorders>
              <w:bottom w:val="nil"/>
            </w:tcBorders>
            <w:noWrap/>
            <w:hideMark/>
          </w:tcPr>
          <w:p w14:paraId="05F9DC6C" w14:textId="77777777" w:rsidR="00324854" w:rsidRPr="00D210DE" w:rsidRDefault="00324854" w:rsidP="0019189B">
            <w:pPr>
              <w:spacing w:after="40"/>
              <w:ind w:firstLine="180"/>
              <w:jc w:val="right"/>
              <w:rPr>
                <w:sz w:val="18"/>
                <w:szCs w:val="18"/>
              </w:rPr>
            </w:pPr>
            <w:r w:rsidRPr="00D210DE">
              <w:rPr>
                <w:sz w:val="18"/>
                <w:szCs w:val="18"/>
              </w:rPr>
              <w:t xml:space="preserve">Arbeidere i NHO-bedrifter </w:t>
            </w:r>
            <w:r w:rsidRPr="00D210DE">
              <w:rPr>
                <w:sz w:val="18"/>
                <w:szCs w:val="18"/>
                <w:vertAlign w:val="superscript"/>
              </w:rPr>
              <w:t>2,7</w:t>
            </w:r>
            <w:r w:rsidRPr="00D210DE">
              <w:rPr>
                <w:sz w:val="18"/>
                <w:szCs w:val="18"/>
              </w:rPr>
              <w:t>:</w:t>
            </w:r>
          </w:p>
        </w:tc>
        <w:tc>
          <w:tcPr>
            <w:tcW w:w="237" w:type="dxa"/>
            <w:tcBorders>
              <w:bottom w:val="nil"/>
            </w:tcBorders>
          </w:tcPr>
          <w:p w14:paraId="5D89BBE7" w14:textId="77777777" w:rsidR="00324854" w:rsidRPr="00D210DE" w:rsidRDefault="00324854" w:rsidP="0019189B">
            <w:pPr>
              <w:spacing w:after="40"/>
              <w:ind w:firstLine="180"/>
              <w:rPr>
                <w:sz w:val="18"/>
                <w:szCs w:val="18"/>
              </w:rPr>
            </w:pPr>
          </w:p>
        </w:tc>
        <w:tc>
          <w:tcPr>
            <w:tcW w:w="2740" w:type="dxa"/>
            <w:gridSpan w:val="2"/>
            <w:tcBorders>
              <w:bottom w:val="nil"/>
            </w:tcBorders>
            <w:noWrap/>
            <w:hideMark/>
          </w:tcPr>
          <w:p w14:paraId="07FA6E41" w14:textId="77777777" w:rsidR="00324854" w:rsidRPr="00D210DE" w:rsidRDefault="00324854" w:rsidP="0019189B">
            <w:pPr>
              <w:spacing w:after="40"/>
              <w:ind w:firstLine="180"/>
              <w:rPr>
                <w:sz w:val="18"/>
                <w:szCs w:val="18"/>
              </w:rPr>
            </w:pPr>
            <w:r w:rsidRPr="00D210DE">
              <w:rPr>
                <w:sz w:val="18"/>
                <w:szCs w:val="18"/>
              </w:rPr>
              <w:t>Funksjonærer i NHO-bedrifter</w:t>
            </w:r>
          </w:p>
        </w:tc>
        <w:tc>
          <w:tcPr>
            <w:tcW w:w="1805" w:type="dxa"/>
            <w:vMerge w:val="restart"/>
            <w:tcBorders>
              <w:bottom w:val="nil"/>
            </w:tcBorders>
          </w:tcPr>
          <w:p w14:paraId="2D646538" w14:textId="77777777" w:rsidR="00324854" w:rsidRPr="00D210DE" w:rsidRDefault="00324854" w:rsidP="0019189B">
            <w:pPr>
              <w:spacing w:after="40"/>
              <w:ind w:firstLine="180"/>
              <w:jc w:val="right"/>
              <w:rPr>
                <w:sz w:val="18"/>
                <w:szCs w:val="18"/>
              </w:rPr>
            </w:pPr>
            <w:r w:rsidRPr="00D210DE">
              <w:rPr>
                <w:sz w:val="18"/>
                <w:szCs w:val="18"/>
              </w:rPr>
              <w:t>Industrien i NHO-</w:t>
            </w:r>
          </w:p>
          <w:p w14:paraId="7F8BD242" w14:textId="77777777" w:rsidR="00324854" w:rsidRPr="00D210DE" w:rsidRDefault="00324854" w:rsidP="0019189B">
            <w:pPr>
              <w:spacing w:after="40"/>
              <w:ind w:firstLine="180"/>
              <w:jc w:val="right"/>
              <w:rPr>
                <w:sz w:val="18"/>
                <w:szCs w:val="18"/>
              </w:rPr>
            </w:pPr>
            <w:r w:rsidRPr="00D210DE">
              <w:rPr>
                <w:sz w:val="18"/>
                <w:szCs w:val="18"/>
              </w:rPr>
              <w:t>bedrifter i alt</w:t>
            </w:r>
            <w:r w:rsidRPr="00D210DE">
              <w:rPr>
                <w:sz w:val="18"/>
                <w:szCs w:val="18"/>
                <w:vertAlign w:val="superscript"/>
              </w:rPr>
              <w:t>7</w:t>
            </w:r>
          </w:p>
        </w:tc>
        <w:tc>
          <w:tcPr>
            <w:tcW w:w="1770" w:type="dxa"/>
            <w:gridSpan w:val="2"/>
            <w:vMerge w:val="restart"/>
            <w:tcBorders>
              <w:bottom w:val="nil"/>
            </w:tcBorders>
            <w:noWrap/>
            <w:hideMark/>
          </w:tcPr>
          <w:p w14:paraId="320E21AB" w14:textId="77777777" w:rsidR="00324854" w:rsidRPr="00D210DE" w:rsidRDefault="00324854" w:rsidP="0019189B">
            <w:pPr>
              <w:spacing w:after="40"/>
              <w:ind w:firstLine="180"/>
              <w:jc w:val="right"/>
              <w:rPr>
                <w:sz w:val="18"/>
                <w:szCs w:val="18"/>
              </w:rPr>
            </w:pPr>
            <w:r w:rsidRPr="00D210DE">
              <w:rPr>
                <w:sz w:val="18"/>
                <w:szCs w:val="18"/>
              </w:rPr>
              <w:t>F</w:t>
            </w:r>
            <w:r>
              <w:rPr>
                <w:sz w:val="18"/>
                <w:szCs w:val="18"/>
              </w:rPr>
              <w:t>inanstjenester</w:t>
            </w:r>
            <w:r w:rsidRPr="00D210DE">
              <w:rPr>
                <w:sz w:val="18"/>
                <w:szCs w:val="18"/>
                <w:vertAlign w:val="superscript"/>
              </w:rPr>
              <w:t>4,7</w:t>
            </w:r>
          </w:p>
        </w:tc>
        <w:tc>
          <w:tcPr>
            <w:tcW w:w="2803" w:type="dxa"/>
            <w:gridSpan w:val="3"/>
            <w:tcBorders>
              <w:bottom w:val="nil"/>
            </w:tcBorders>
          </w:tcPr>
          <w:p w14:paraId="632E61FA" w14:textId="77777777" w:rsidR="00324854" w:rsidRPr="00D210DE" w:rsidRDefault="00324854" w:rsidP="0019189B">
            <w:pPr>
              <w:spacing w:after="40"/>
              <w:ind w:firstLine="180"/>
              <w:jc w:val="center"/>
              <w:rPr>
                <w:sz w:val="18"/>
                <w:szCs w:val="18"/>
              </w:rPr>
            </w:pPr>
            <w:r w:rsidRPr="00D210DE">
              <w:rPr>
                <w:sz w:val="18"/>
                <w:szCs w:val="18"/>
              </w:rPr>
              <w:t> Varehandel</w:t>
            </w:r>
            <w:r w:rsidRPr="00D210DE">
              <w:rPr>
                <w:sz w:val="18"/>
                <w:szCs w:val="18"/>
                <w:vertAlign w:val="superscript"/>
              </w:rPr>
              <w:t>7</w:t>
            </w:r>
          </w:p>
        </w:tc>
      </w:tr>
      <w:tr w:rsidR="00324854" w:rsidRPr="00D210DE" w14:paraId="00BBACB3" w14:textId="77777777" w:rsidTr="00324854">
        <w:trPr>
          <w:trHeight w:val="213"/>
        </w:trPr>
        <w:tc>
          <w:tcPr>
            <w:tcW w:w="1911" w:type="dxa"/>
            <w:tcBorders>
              <w:bottom w:val="single" w:sz="4" w:space="0" w:color="auto"/>
            </w:tcBorders>
            <w:noWrap/>
            <w:hideMark/>
          </w:tcPr>
          <w:p w14:paraId="75A9C0A2" w14:textId="77777777" w:rsidR="00324854" w:rsidRPr="00D210DE" w:rsidRDefault="00324854" w:rsidP="0019189B">
            <w:pPr>
              <w:spacing w:after="40"/>
              <w:ind w:firstLine="180"/>
              <w:rPr>
                <w:sz w:val="18"/>
                <w:szCs w:val="18"/>
              </w:rPr>
            </w:pPr>
            <w:r w:rsidRPr="00D210DE">
              <w:rPr>
                <w:sz w:val="18"/>
                <w:szCs w:val="18"/>
              </w:rPr>
              <w:t>År</w:t>
            </w:r>
          </w:p>
        </w:tc>
        <w:tc>
          <w:tcPr>
            <w:tcW w:w="1610" w:type="dxa"/>
            <w:tcBorders>
              <w:bottom w:val="single" w:sz="4" w:space="0" w:color="auto"/>
            </w:tcBorders>
            <w:noWrap/>
            <w:hideMark/>
          </w:tcPr>
          <w:p w14:paraId="0C5005A2" w14:textId="77777777" w:rsidR="00324854" w:rsidRPr="00D210DE" w:rsidRDefault="00324854" w:rsidP="0019189B">
            <w:pPr>
              <w:spacing w:after="40"/>
              <w:ind w:firstLine="180"/>
              <w:jc w:val="right"/>
              <w:rPr>
                <w:sz w:val="18"/>
                <w:szCs w:val="18"/>
              </w:rPr>
            </w:pPr>
            <w:r w:rsidRPr="00D210DE">
              <w:rPr>
                <w:sz w:val="18"/>
                <w:szCs w:val="18"/>
              </w:rPr>
              <w:t>Landtransport</w:t>
            </w:r>
          </w:p>
        </w:tc>
        <w:tc>
          <w:tcPr>
            <w:tcW w:w="1866" w:type="dxa"/>
            <w:tcBorders>
              <w:bottom w:val="single" w:sz="4" w:space="0" w:color="auto"/>
            </w:tcBorders>
            <w:noWrap/>
            <w:hideMark/>
          </w:tcPr>
          <w:p w14:paraId="74F4D836" w14:textId="77777777" w:rsidR="00324854" w:rsidRPr="00D210DE" w:rsidRDefault="00324854" w:rsidP="0019189B">
            <w:pPr>
              <w:spacing w:after="40"/>
              <w:ind w:firstLine="180"/>
              <w:rPr>
                <w:sz w:val="18"/>
                <w:szCs w:val="18"/>
              </w:rPr>
            </w:pPr>
            <w:r w:rsidRPr="00D210DE">
              <w:rPr>
                <w:sz w:val="18"/>
                <w:szCs w:val="18"/>
              </w:rPr>
              <w:t>Hotell- og</w:t>
            </w:r>
            <w:r>
              <w:rPr>
                <w:sz w:val="18"/>
                <w:szCs w:val="18"/>
              </w:rPr>
              <w:t xml:space="preserve"> </w:t>
            </w:r>
            <w:r w:rsidRPr="00D210DE">
              <w:rPr>
                <w:sz w:val="18"/>
                <w:szCs w:val="18"/>
              </w:rPr>
              <w:t>rest.</w:t>
            </w:r>
            <w:r w:rsidRPr="00D210DE">
              <w:rPr>
                <w:sz w:val="18"/>
                <w:szCs w:val="18"/>
                <w:vertAlign w:val="superscript"/>
              </w:rPr>
              <w:t>3</w:t>
            </w:r>
          </w:p>
        </w:tc>
        <w:tc>
          <w:tcPr>
            <w:tcW w:w="237" w:type="dxa"/>
            <w:tcBorders>
              <w:top w:val="nil"/>
              <w:bottom w:val="single" w:sz="4" w:space="0" w:color="auto"/>
            </w:tcBorders>
          </w:tcPr>
          <w:p w14:paraId="701790F1" w14:textId="77777777" w:rsidR="00324854" w:rsidRPr="00D210DE" w:rsidRDefault="00324854" w:rsidP="0019189B">
            <w:pPr>
              <w:spacing w:after="40"/>
              <w:ind w:firstLine="180"/>
              <w:jc w:val="right"/>
              <w:rPr>
                <w:sz w:val="18"/>
                <w:szCs w:val="18"/>
              </w:rPr>
            </w:pPr>
          </w:p>
        </w:tc>
        <w:tc>
          <w:tcPr>
            <w:tcW w:w="1255" w:type="dxa"/>
            <w:tcBorders>
              <w:bottom w:val="single" w:sz="4" w:space="0" w:color="auto"/>
            </w:tcBorders>
            <w:noWrap/>
            <w:hideMark/>
          </w:tcPr>
          <w:p w14:paraId="53205B2C" w14:textId="77777777" w:rsidR="00324854" w:rsidRPr="00D210DE" w:rsidRDefault="00324854" w:rsidP="0019189B">
            <w:pPr>
              <w:spacing w:after="40"/>
              <w:ind w:firstLine="180"/>
              <w:jc w:val="right"/>
              <w:rPr>
                <w:sz w:val="18"/>
                <w:szCs w:val="18"/>
              </w:rPr>
            </w:pPr>
            <w:r w:rsidRPr="00D210DE">
              <w:rPr>
                <w:sz w:val="18"/>
                <w:szCs w:val="18"/>
              </w:rPr>
              <w:t>I alt</w:t>
            </w:r>
          </w:p>
        </w:tc>
        <w:tc>
          <w:tcPr>
            <w:tcW w:w="1485" w:type="dxa"/>
            <w:tcBorders>
              <w:bottom w:val="single" w:sz="4" w:space="0" w:color="auto"/>
            </w:tcBorders>
            <w:noWrap/>
            <w:hideMark/>
          </w:tcPr>
          <w:p w14:paraId="1B5676EF" w14:textId="77777777" w:rsidR="00324854" w:rsidRPr="00D210DE" w:rsidRDefault="00324854" w:rsidP="0019189B">
            <w:pPr>
              <w:spacing w:after="40"/>
              <w:ind w:firstLine="180"/>
              <w:jc w:val="right"/>
              <w:rPr>
                <w:sz w:val="18"/>
                <w:szCs w:val="18"/>
              </w:rPr>
            </w:pPr>
            <w:r w:rsidRPr="00D210DE">
              <w:rPr>
                <w:sz w:val="18"/>
                <w:szCs w:val="18"/>
              </w:rPr>
              <w:t>Industrifunk.</w:t>
            </w:r>
          </w:p>
        </w:tc>
        <w:tc>
          <w:tcPr>
            <w:tcW w:w="1805" w:type="dxa"/>
            <w:vMerge/>
            <w:tcBorders>
              <w:bottom w:val="single" w:sz="4" w:space="0" w:color="auto"/>
            </w:tcBorders>
          </w:tcPr>
          <w:p w14:paraId="5F1D8165" w14:textId="77777777" w:rsidR="00324854" w:rsidRPr="00D210DE" w:rsidRDefault="00324854" w:rsidP="0019189B">
            <w:pPr>
              <w:spacing w:after="40"/>
              <w:ind w:firstLine="180"/>
              <w:jc w:val="right"/>
              <w:rPr>
                <w:sz w:val="18"/>
                <w:szCs w:val="18"/>
              </w:rPr>
            </w:pPr>
          </w:p>
        </w:tc>
        <w:tc>
          <w:tcPr>
            <w:tcW w:w="1770" w:type="dxa"/>
            <w:gridSpan w:val="2"/>
            <w:vMerge/>
            <w:tcBorders>
              <w:bottom w:val="single" w:sz="4" w:space="0" w:color="auto"/>
            </w:tcBorders>
            <w:noWrap/>
            <w:hideMark/>
          </w:tcPr>
          <w:p w14:paraId="09F9DFFA" w14:textId="77777777" w:rsidR="00324854" w:rsidRPr="00D210DE" w:rsidRDefault="00324854" w:rsidP="0019189B">
            <w:pPr>
              <w:spacing w:after="40"/>
              <w:ind w:firstLine="180"/>
              <w:jc w:val="right"/>
              <w:rPr>
                <w:sz w:val="18"/>
                <w:szCs w:val="18"/>
              </w:rPr>
            </w:pPr>
          </w:p>
        </w:tc>
        <w:tc>
          <w:tcPr>
            <w:tcW w:w="1286" w:type="dxa"/>
            <w:gridSpan w:val="2"/>
            <w:tcBorders>
              <w:bottom w:val="single" w:sz="4" w:space="0" w:color="auto"/>
            </w:tcBorders>
            <w:noWrap/>
            <w:hideMark/>
          </w:tcPr>
          <w:p w14:paraId="52123CF5" w14:textId="77777777" w:rsidR="00324854" w:rsidRPr="00D210DE" w:rsidRDefault="00324854" w:rsidP="0019189B">
            <w:pPr>
              <w:spacing w:after="40"/>
              <w:ind w:firstLine="180"/>
              <w:jc w:val="right"/>
              <w:rPr>
                <w:sz w:val="18"/>
                <w:szCs w:val="18"/>
              </w:rPr>
            </w:pPr>
            <w:r w:rsidRPr="00D210DE">
              <w:rPr>
                <w:sz w:val="18"/>
                <w:szCs w:val="18"/>
              </w:rPr>
              <w:t>I alt</w:t>
            </w:r>
          </w:p>
        </w:tc>
        <w:tc>
          <w:tcPr>
            <w:tcW w:w="1517" w:type="dxa"/>
            <w:tcBorders>
              <w:bottom w:val="single" w:sz="4" w:space="0" w:color="auto"/>
            </w:tcBorders>
          </w:tcPr>
          <w:p w14:paraId="20B95341" w14:textId="77777777" w:rsidR="00324854" w:rsidRPr="00D210DE" w:rsidRDefault="00324854" w:rsidP="0019189B">
            <w:pPr>
              <w:spacing w:after="40"/>
              <w:ind w:firstLine="180"/>
              <w:rPr>
                <w:sz w:val="18"/>
                <w:szCs w:val="18"/>
              </w:rPr>
            </w:pPr>
            <w:r>
              <w:rPr>
                <w:sz w:val="18"/>
                <w:szCs w:val="18"/>
              </w:rPr>
              <w:t>Virke</w:t>
            </w:r>
            <w:r w:rsidRPr="00D210DE">
              <w:rPr>
                <w:sz w:val="18"/>
                <w:szCs w:val="18"/>
              </w:rPr>
              <w:t>bedrifter</w:t>
            </w:r>
            <w:r w:rsidRPr="00D210DE">
              <w:rPr>
                <w:sz w:val="18"/>
                <w:szCs w:val="18"/>
                <w:vertAlign w:val="superscript"/>
              </w:rPr>
              <w:t>7</w:t>
            </w:r>
          </w:p>
        </w:tc>
      </w:tr>
      <w:tr w:rsidR="00324854" w:rsidRPr="00D210DE" w14:paraId="08E684FF" w14:textId="77777777" w:rsidTr="00324854">
        <w:trPr>
          <w:trHeight w:val="165"/>
        </w:trPr>
        <w:tc>
          <w:tcPr>
            <w:tcW w:w="1911" w:type="dxa"/>
            <w:tcBorders>
              <w:top w:val="single" w:sz="4" w:space="0" w:color="auto"/>
            </w:tcBorders>
            <w:noWrap/>
            <w:hideMark/>
          </w:tcPr>
          <w:p w14:paraId="3ADCF877" w14:textId="77777777" w:rsidR="00324854" w:rsidRPr="00CE2F05" w:rsidRDefault="00324854" w:rsidP="0019189B">
            <w:pPr>
              <w:spacing w:after="40"/>
              <w:ind w:firstLine="180"/>
              <w:rPr>
                <w:sz w:val="18"/>
                <w:szCs w:val="18"/>
              </w:rPr>
            </w:pPr>
            <w:r w:rsidRPr="00CE2F05">
              <w:rPr>
                <w:sz w:val="18"/>
                <w:szCs w:val="18"/>
              </w:rPr>
              <w:t>2005</w:t>
            </w:r>
          </w:p>
        </w:tc>
        <w:tc>
          <w:tcPr>
            <w:tcW w:w="1610" w:type="dxa"/>
            <w:tcBorders>
              <w:top w:val="single" w:sz="4" w:space="0" w:color="auto"/>
            </w:tcBorders>
            <w:noWrap/>
            <w:hideMark/>
          </w:tcPr>
          <w:p w14:paraId="4A34B1DE" w14:textId="77777777" w:rsidR="00324854" w:rsidRPr="00F539AC" w:rsidRDefault="00324854" w:rsidP="0019189B">
            <w:pPr>
              <w:spacing w:after="40"/>
              <w:ind w:firstLine="180"/>
              <w:jc w:val="right"/>
              <w:rPr>
                <w:sz w:val="18"/>
                <w:szCs w:val="18"/>
              </w:rPr>
            </w:pPr>
            <w:r w:rsidRPr="00F539AC">
              <w:rPr>
                <w:sz w:val="18"/>
                <w:szCs w:val="18"/>
              </w:rPr>
              <w:t xml:space="preserve"> - </w:t>
            </w:r>
          </w:p>
        </w:tc>
        <w:tc>
          <w:tcPr>
            <w:tcW w:w="1866" w:type="dxa"/>
            <w:tcBorders>
              <w:top w:val="single" w:sz="4" w:space="0" w:color="auto"/>
            </w:tcBorders>
            <w:noWrap/>
            <w:hideMark/>
          </w:tcPr>
          <w:p w14:paraId="62985F46" w14:textId="77777777" w:rsidR="00324854" w:rsidRPr="00F539AC" w:rsidRDefault="00324854" w:rsidP="0019189B">
            <w:pPr>
              <w:spacing w:after="40"/>
              <w:ind w:firstLine="180"/>
              <w:jc w:val="right"/>
              <w:rPr>
                <w:sz w:val="18"/>
                <w:szCs w:val="18"/>
              </w:rPr>
            </w:pPr>
            <w:r w:rsidRPr="00F539AC">
              <w:rPr>
                <w:sz w:val="18"/>
                <w:szCs w:val="18"/>
              </w:rPr>
              <w:t xml:space="preserve"> 2,5 </w:t>
            </w:r>
          </w:p>
        </w:tc>
        <w:tc>
          <w:tcPr>
            <w:tcW w:w="237" w:type="dxa"/>
            <w:tcBorders>
              <w:top w:val="single" w:sz="4" w:space="0" w:color="auto"/>
            </w:tcBorders>
          </w:tcPr>
          <w:p w14:paraId="0A8BE12A" w14:textId="77777777" w:rsidR="00324854" w:rsidRPr="00D210DE" w:rsidRDefault="00324854" w:rsidP="0019189B">
            <w:pPr>
              <w:spacing w:after="40"/>
              <w:ind w:firstLine="180"/>
              <w:jc w:val="right"/>
              <w:rPr>
                <w:sz w:val="18"/>
                <w:szCs w:val="18"/>
              </w:rPr>
            </w:pPr>
          </w:p>
        </w:tc>
        <w:tc>
          <w:tcPr>
            <w:tcW w:w="1255" w:type="dxa"/>
            <w:tcBorders>
              <w:top w:val="single" w:sz="4" w:space="0" w:color="auto"/>
            </w:tcBorders>
            <w:noWrap/>
            <w:hideMark/>
          </w:tcPr>
          <w:p w14:paraId="3349CED7"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485" w:type="dxa"/>
            <w:tcBorders>
              <w:top w:val="single" w:sz="4" w:space="0" w:color="auto"/>
            </w:tcBorders>
            <w:noWrap/>
            <w:hideMark/>
          </w:tcPr>
          <w:p w14:paraId="3190EBFE"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805" w:type="dxa"/>
            <w:tcBorders>
              <w:top w:val="single" w:sz="4" w:space="0" w:color="auto"/>
            </w:tcBorders>
          </w:tcPr>
          <w:p w14:paraId="1FBA399B" w14:textId="77777777" w:rsidR="00324854" w:rsidRPr="00F539AC" w:rsidRDefault="00324854" w:rsidP="0019189B">
            <w:pPr>
              <w:spacing w:after="40"/>
              <w:ind w:firstLine="180"/>
              <w:jc w:val="right"/>
              <w:rPr>
                <w:sz w:val="18"/>
                <w:szCs w:val="18"/>
              </w:rPr>
            </w:pPr>
            <w:r w:rsidRPr="00F539AC">
              <w:rPr>
                <w:sz w:val="18"/>
                <w:szCs w:val="18"/>
              </w:rPr>
              <w:t xml:space="preserve"> 4,0 </w:t>
            </w:r>
          </w:p>
        </w:tc>
        <w:tc>
          <w:tcPr>
            <w:tcW w:w="1521" w:type="dxa"/>
            <w:tcBorders>
              <w:top w:val="single" w:sz="4" w:space="0" w:color="auto"/>
            </w:tcBorders>
            <w:noWrap/>
            <w:hideMark/>
          </w:tcPr>
          <w:p w14:paraId="4640A9FA" w14:textId="77777777" w:rsidR="00324854" w:rsidRPr="00F539AC" w:rsidRDefault="00324854" w:rsidP="0019189B">
            <w:pPr>
              <w:spacing w:after="40"/>
              <w:ind w:firstLine="180"/>
              <w:jc w:val="right"/>
              <w:rPr>
                <w:sz w:val="18"/>
                <w:szCs w:val="18"/>
              </w:rPr>
            </w:pPr>
            <w:r w:rsidRPr="00F539AC">
              <w:rPr>
                <w:sz w:val="18"/>
                <w:szCs w:val="18"/>
              </w:rPr>
              <w:t xml:space="preserve"> 7,7 </w:t>
            </w:r>
          </w:p>
        </w:tc>
        <w:tc>
          <w:tcPr>
            <w:tcW w:w="1286" w:type="dxa"/>
            <w:gridSpan w:val="2"/>
            <w:tcBorders>
              <w:top w:val="single" w:sz="4" w:space="0" w:color="auto"/>
            </w:tcBorders>
            <w:noWrap/>
            <w:hideMark/>
          </w:tcPr>
          <w:p w14:paraId="39C5BE47"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766" w:type="dxa"/>
            <w:gridSpan w:val="2"/>
            <w:tcBorders>
              <w:top w:val="single" w:sz="4" w:space="0" w:color="auto"/>
            </w:tcBorders>
          </w:tcPr>
          <w:p w14:paraId="72217731" w14:textId="77777777" w:rsidR="00324854" w:rsidRPr="00F539AC" w:rsidRDefault="00324854" w:rsidP="0019189B">
            <w:pPr>
              <w:spacing w:after="40"/>
              <w:ind w:firstLine="180"/>
              <w:jc w:val="right"/>
              <w:rPr>
                <w:sz w:val="18"/>
                <w:szCs w:val="18"/>
              </w:rPr>
            </w:pPr>
            <w:r w:rsidRPr="00F539AC">
              <w:rPr>
                <w:sz w:val="18"/>
                <w:szCs w:val="18"/>
              </w:rPr>
              <w:t xml:space="preserve"> 3,9 </w:t>
            </w:r>
          </w:p>
        </w:tc>
      </w:tr>
      <w:tr w:rsidR="00324854" w:rsidRPr="00D210DE" w14:paraId="435FFAAB" w14:textId="77777777" w:rsidTr="00324854">
        <w:trPr>
          <w:trHeight w:val="165"/>
        </w:trPr>
        <w:tc>
          <w:tcPr>
            <w:tcW w:w="1911" w:type="dxa"/>
            <w:noWrap/>
            <w:hideMark/>
          </w:tcPr>
          <w:p w14:paraId="0E88D739" w14:textId="77777777" w:rsidR="00324854" w:rsidRPr="00CE2F05" w:rsidRDefault="00324854" w:rsidP="0019189B">
            <w:pPr>
              <w:spacing w:after="40"/>
              <w:ind w:firstLine="180"/>
              <w:rPr>
                <w:sz w:val="18"/>
                <w:szCs w:val="18"/>
              </w:rPr>
            </w:pPr>
            <w:r w:rsidRPr="00CE2F05">
              <w:rPr>
                <w:sz w:val="18"/>
                <w:szCs w:val="18"/>
              </w:rPr>
              <w:t>2006</w:t>
            </w:r>
          </w:p>
        </w:tc>
        <w:tc>
          <w:tcPr>
            <w:tcW w:w="1610" w:type="dxa"/>
            <w:noWrap/>
            <w:hideMark/>
          </w:tcPr>
          <w:p w14:paraId="32B55C1B" w14:textId="77777777" w:rsidR="00324854" w:rsidRPr="00F539AC" w:rsidRDefault="00324854" w:rsidP="0019189B">
            <w:pPr>
              <w:spacing w:after="40"/>
              <w:ind w:firstLine="180"/>
              <w:jc w:val="right"/>
              <w:rPr>
                <w:sz w:val="18"/>
                <w:szCs w:val="18"/>
              </w:rPr>
            </w:pPr>
            <w:r w:rsidRPr="00F539AC">
              <w:rPr>
                <w:sz w:val="18"/>
                <w:szCs w:val="18"/>
              </w:rPr>
              <w:t xml:space="preserve"> - </w:t>
            </w:r>
          </w:p>
        </w:tc>
        <w:tc>
          <w:tcPr>
            <w:tcW w:w="1866" w:type="dxa"/>
            <w:noWrap/>
            <w:hideMark/>
          </w:tcPr>
          <w:p w14:paraId="729B4CB3"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237" w:type="dxa"/>
          </w:tcPr>
          <w:p w14:paraId="4ADA6783" w14:textId="77777777" w:rsidR="00324854" w:rsidRPr="00D210DE" w:rsidRDefault="00324854" w:rsidP="0019189B">
            <w:pPr>
              <w:spacing w:after="40"/>
              <w:ind w:firstLine="180"/>
              <w:jc w:val="right"/>
              <w:rPr>
                <w:sz w:val="18"/>
                <w:szCs w:val="18"/>
              </w:rPr>
            </w:pPr>
          </w:p>
        </w:tc>
        <w:tc>
          <w:tcPr>
            <w:tcW w:w="1255" w:type="dxa"/>
            <w:noWrap/>
            <w:hideMark/>
          </w:tcPr>
          <w:p w14:paraId="37C1E96D" w14:textId="77777777" w:rsidR="00324854" w:rsidRPr="00F539AC" w:rsidRDefault="00324854" w:rsidP="0019189B">
            <w:pPr>
              <w:spacing w:after="40"/>
              <w:ind w:firstLine="180"/>
              <w:jc w:val="right"/>
              <w:rPr>
                <w:sz w:val="18"/>
                <w:szCs w:val="18"/>
              </w:rPr>
            </w:pPr>
            <w:r w:rsidRPr="00F539AC">
              <w:rPr>
                <w:sz w:val="18"/>
                <w:szCs w:val="18"/>
              </w:rPr>
              <w:t xml:space="preserve"> 5,1 </w:t>
            </w:r>
          </w:p>
        </w:tc>
        <w:tc>
          <w:tcPr>
            <w:tcW w:w="1485" w:type="dxa"/>
            <w:noWrap/>
            <w:hideMark/>
          </w:tcPr>
          <w:p w14:paraId="2524D676" w14:textId="77777777" w:rsidR="00324854" w:rsidRPr="00F539AC" w:rsidRDefault="00324854" w:rsidP="0019189B">
            <w:pPr>
              <w:spacing w:after="40"/>
              <w:ind w:firstLine="180"/>
              <w:jc w:val="right"/>
              <w:rPr>
                <w:sz w:val="18"/>
                <w:szCs w:val="18"/>
              </w:rPr>
            </w:pPr>
            <w:r w:rsidRPr="00F539AC">
              <w:rPr>
                <w:sz w:val="18"/>
                <w:szCs w:val="18"/>
              </w:rPr>
              <w:t xml:space="preserve"> 4,6 </w:t>
            </w:r>
          </w:p>
        </w:tc>
        <w:tc>
          <w:tcPr>
            <w:tcW w:w="1805" w:type="dxa"/>
          </w:tcPr>
          <w:p w14:paraId="11443ADF"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521" w:type="dxa"/>
            <w:noWrap/>
            <w:hideMark/>
          </w:tcPr>
          <w:p w14:paraId="019333DD" w14:textId="77777777" w:rsidR="00324854" w:rsidRPr="00F539AC" w:rsidRDefault="00324854" w:rsidP="0019189B">
            <w:pPr>
              <w:spacing w:after="40"/>
              <w:ind w:firstLine="180"/>
              <w:jc w:val="right"/>
              <w:rPr>
                <w:sz w:val="18"/>
                <w:szCs w:val="18"/>
              </w:rPr>
            </w:pPr>
            <w:r w:rsidRPr="00F539AC">
              <w:rPr>
                <w:sz w:val="18"/>
                <w:szCs w:val="18"/>
              </w:rPr>
              <w:t xml:space="preserve"> 5,6 </w:t>
            </w:r>
          </w:p>
        </w:tc>
        <w:tc>
          <w:tcPr>
            <w:tcW w:w="1286" w:type="dxa"/>
            <w:gridSpan w:val="2"/>
            <w:noWrap/>
            <w:hideMark/>
          </w:tcPr>
          <w:p w14:paraId="07395744"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766" w:type="dxa"/>
            <w:gridSpan w:val="2"/>
          </w:tcPr>
          <w:p w14:paraId="3DD5851A" w14:textId="77777777" w:rsidR="00324854" w:rsidRPr="00F539AC" w:rsidRDefault="00324854" w:rsidP="0019189B">
            <w:pPr>
              <w:spacing w:after="40"/>
              <w:ind w:firstLine="180"/>
              <w:jc w:val="right"/>
              <w:rPr>
                <w:sz w:val="18"/>
                <w:szCs w:val="18"/>
              </w:rPr>
            </w:pPr>
            <w:r w:rsidRPr="00F539AC">
              <w:rPr>
                <w:sz w:val="18"/>
                <w:szCs w:val="18"/>
              </w:rPr>
              <w:t xml:space="preserve"> 4,2 </w:t>
            </w:r>
          </w:p>
        </w:tc>
      </w:tr>
      <w:tr w:rsidR="00324854" w:rsidRPr="00D210DE" w14:paraId="0756CB39" w14:textId="77777777" w:rsidTr="00324854">
        <w:trPr>
          <w:trHeight w:val="165"/>
        </w:trPr>
        <w:tc>
          <w:tcPr>
            <w:tcW w:w="1911" w:type="dxa"/>
            <w:noWrap/>
            <w:hideMark/>
          </w:tcPr>
          <w:p w14:paraId="5420478A" w14:textId="77777777" w:rsidR="00324854" w:rsidRPr="00CE2F05" w:rsidRDefault="00324854" w:rsidP="0019189B">
            <w:pPr>
              <w:spacing w:after="40"/>
              <w:ind w:firstLine="180"/>
              <w:rPr>
                <w:sz w:val="18"/>
                <w:szCs w:val="18"/>
              </w:rPr>
            </w:pPr>
            <w:r w:rsidRPr="00CE2F05">
              <w:rPr>
                <w:sz w:val="18"/>
                <w:szCs w:val="18"/>
              </w:rPr>
              <w:t>2007</w:t>
            </w:r>
          </w:p>
        </w:tc>
        <w:tc>
          <w:tcPr>
            <w:tcW w:w="1610" w:type="dxa"/>
            <w:noWrap/>
            <w:hideMark/>
          </w:tcPr>
          <w:p w14:paraId="756555AB" w14:textId="77777777" w:rsidR="00324854" w:rsidRPr="00F539AC" w:rsidRDefault="00324854" w:rsidP="0019189B">
            <w:pPr>
              <w:spacing w:after="40"/>
              <w:ind w:firstLine="180"/>
              <w:jc w:val="right"/>
              <w:rPr>
                <w:sz w:val="18"/>
                <w:szCs w:val="18"/>
              </w:rPr>
            </w:pPr>
            <w:r w:rsidRPr="00F539AC">
              <w:rPr>
                <w:sz w:val="18"/>
                <w:szCs w:val="18"/>
              </w:rPr>
              <w:t xml:space="preserve"> - </w:t>
            </w:r>
          </w:p>
        </w:tc>
        <w:tc>
          <w:tcPr>
            <w:tcW w:w="1866" w:type="dxa"/>
            <w:noWrap/>
            <w:hideMark/>
          </w:tcPr>
          <w:p w14:paraId="4B946779" w14:textId="77777777" w:rsidR="00324854" w:rsidRPr="00F539AC" w:rsidRDefault="00324854" w:rsidP="0019189B">
            <w:pPr>
              <w:spacing w:after="40"/>
              <w:ind w:firstLine="180"/>
              <w:jc w:val="right"/>
              <w:rPr>
                <w:sz w:val="18"/>
                <w:szCs w:val="18"/>
              </w:rPr>
            </w:pPr>
            <w:r w:rsidRPr="00F539AC">
              <w:rPr>
                <w:sz w:val="18"/>
                <w:szCs w:val="18"/>
              </w:rPr>
              <w:t xml:space="preserve"> 4,2 </w:t>
            </w:r>
          </w:p>
        </w:tc>
        <w:tc>
          <w:tcPr>
            <w:tcW w:w="237" w:type="dxa"/>
          </w:tcPr>
          <w:p w14:paraId="17526B98" w14:textId="77777777" w:rsidR="00324854" w:rsidRPr="00D210DE" w:rsidRDefault="00324854" w:rsidP="0019189B">
            <w:pPr>
              <w:spacing w:after="40"/>
              <w:ind w:firstLine="180"/>
              <w:jc w:val="right"/>
              <w:rPr>
                <w:sz w:val="18"/>
                <w:szCs w:val="18"/>
              </w:rPr>
            </w:pPr>
          </w:p>
        </w:tc>
        <w:tc>
          <w:tcPr>
            <w:tcW w:w="1255" w:type="dxa"/>
            <w:noWrap/>
            <w:hideMark/>
          </w:tcPr>
          <w:p w14:paraId="4FF66981" w14:textId="77777777" w:rsidR="00324854" w:rsidRPr="00F539AC" w:rsidRDefault="00324854" w:rsidP="0019189B">
            <w:pPr>
              <w:spacing w:after="40"/>
              <w:ind w:firstLine="180"/>
              <w:jc w:val="right"/>
              <w:rPr>
                <w:sz w:val="18"/>
                <w:szCs w:val="18"/>
              </w:rPr>
            </w:pPr>
            <w:r w:rsidRPr="00F539AC">
              <w:rPr>
                <w:sz w:val="18"/>
                <w:szCs w:val="18"/>
              </w:rPr>
              <w:t xml:space="preserve"> 6,3 </w:t>
            </w:r>
          </w:p>
        </w:tc>
        <w:tc>
          <w:tcPr>
            <w:tcW w:w="1485" w:type="dxa"/>
            <w:noWrap/>
            <w:hideMark/>
          </w:tcPr>
          <w:p w14:paraId="3B3A580C" w14:textId="77777777" w:rsidR="00324854" w:rsidRPr="00F539AC" w:rsidRDefault="00324854" w:rsidP="0019189B">
            <w:pPr>
              <w:spacing w:after="40"/>
              <w:ind w:firstLine="180"/>
              <w:jc w:val="right"/>
              <w:rPr>
                <w:sz w:val="18"/>
                <w:szCs w:val="18"/>
              </w:rPr>
            </w:pPr>
            <w:r w:rsidRPr="00F539AC">
              <w:rPr>
                <w:sz w:val="18"/>
                <w:szCs w:val="18"/>
              </w:rPr>
              <w:t xml:space="preserve"> 5,7 </w:t>
            </w:r>
          </w:p>
        </w:tc>
        <w:tc>
          <w:tcPr>
            <w:tcW w:w="1805" w:type="dxa"/>
          </w:tcPr>
          <w:p w14:paraId="4850AA90" w14:textId="77777777" w:rsidR="00324854" w:rsidRPr="00F539AC" w:rsidRDefault="00324854" w:rsidP="0019189B">
            <w:pPr>
              <w:spacing w:after="40"/>
              <w:ind w:firstLine="180"/>
              <w:jc w:val="right"/>
              <w:rPr>
                <w:sz w:val="18"/>
                <w:szCs w:val="18"/>
              </w:rPr>
            </w:pPr>
            <w:r w:rsidRPr="00F539AC">
              <w:rPr>
                <w:sz w:val="18"/>
                <w:szCs w:val="18"/>
              </w:rPr>
              <w:t xml:space="preserve"> 5,3 </w:t>
            </w:r>
          </w:p>
        </w:tc>
        <w:tc>
          <w:tcPr>
            <w:tcW w:w="1521" w:type="dxa"/>
            <w:noWrap/>
            <w:hideMark/>
          </w:tcPr>
          <w:p w14:paraId="59AC26DC" w14:textId="77777777" w:rsidR="00324854" w:rsidRPr="00F539AC" w:rsidRDefault="00324854" w:rsidP="0019189B">
            <w:pPr>
              <w:spacing w:after="40"/>
              <w:ind w:firstLine="180"/>
              <w:jc w:val="right"/>
              <w:rPr>
                <w:sz w:val="18"/>
                <w:szCs w:val="18"/>
              </w:rPr>
            </w:pPr>
            <w:r w:rsidRPr="00F539AC">
              <w:rPr>
                <w:sz w:val="18"/>
                <w:szCs w:val="18"/>
              </w:rPr>
              <w:t xml:space="preserve"> 5,2 </w:t>
            </w:r>
          </w:p>
        </w:tc>
        <w:tc>
          <w:tcPr>
            <w:tcW w:w="1286" w:type="dxa"/>
            <w:gridSpan w:val="2"/>
            <w:noWrap/>
            <w:hideMark/>
          </w:tcPr>
          <w:p w14:paraId="3C5BA9E0" w14:textId="77777777" w:rsidR="00324854" w:rsidRPr="00F539AC" w:rsidRDefault="00324854" w:rsidP="0019189B">
            <w:pPr>
              <w:spacing w:after="40"/>
              <w:ind w:firstLine="180"/>
              <w:jc w:val="right"/>
              <w:rPr>
                <w:sz w:val="18"/>
                <w:szCs w:val="18"/>
              </w:rPr>
            </w:pPr>
            <w:r w:rsidRPr="00F539AC">
              <w:rPr>
                <w:sz w:val="18"/>
                <w:szCs w:val="18"/>
              </w:rPr>
              <w:t xml:space="preserve"> 5,9 </w:t>
            </w:r>
          </w:p>
        </w:tc>
        <w:tc>
          <w:tcPr>
            <w:tcW w:w="1766" w:type="dxa"/>
            <w:gridSpan w:val="2"/>
          </w:tcPr>
          <w:p w14:paraId="2390DC0E" w14:textId="77777777" w:rsidR="00324854" w:rsidRPr="00F539AC" w:rsidRDefault="00324854" w:rsidP="0019189B">
            <w:pPr>
              <w:spacing w:after="40"/>
              <w:ind w:firstLine="180"/>
              <w:jc w:val="right"/>
              <w:rPr>
                <w:sz w:val="18"/>
                <w:szCs w:val="18"/>
              </w:rPr>
            </w:pPr>
            <w:r w:rsidRPr="00F539AC">
              <w:rPr>
                <w:sz w:val="18"/>
                <w:szCs w:val="18"/>
              </w:rPr>
              <w:t xml:space="preserve"> 5,0 </w:t>
            </w:r>
          </w:p>
        </w:tc>
      </w:tr>
      <w:tr w:rsidR="00324854" w:rsidRPr="00D210DE" w14:paraId="1ACF882A" w14:textId="77777777" w:rsidTr="00324854">
        <w:trPr>
          <w:trHeight w:val="165"/>
        </w:trPr>
        <w:tc>
          <w:tcPr>
            <w:tcW w:w="1911" w:type="dxa"/>
            <w:noWrap/>
            <w:hideMark/>
          </w:tcPr>
          <w:p w14:paraId="27BEFDC9" w14:textId="77777777" w:rsidR="00324854" w:rsidRPr="00CE2F05" w:rsidRDefault="00324854" w:rsidP="0019189B">
            <w:pPr>
              <w:spacing w:after="40"/>
              <w:ind w:firstLine="180"/>
              <w:rPr>
                <w:sz w:val="18"/>
                <w:szCs w:val="18"/>
              </w:rPr>
            </w:pPr>
            <w:r w:rsidRPr="00CE2F05">
              <w:rPr>
                <w:sz w:val="18"/>
                <w:szCs w:val="18"/>
              </w:rPr>
              <w:t>2008</w:t>
            </w:r>
          </w:p>
        </w:tc>
        <w:tc>
          <w:tcPr>
            <w:tcW w:w="1610" w:type="dxa"/>
            <w:noWrap/>
            <w:hideMark/>
          </w:tcPr>
          <w:p w14:paraId="651AC4B6" w14:textId="77777777" w:rsidR="00324854" w:rsidRPr="00F539AC" w:rsidRDefault="00324854" w:rsidP="0019189B">
            <w:pPr>
              <w:spacing w:after="40"/>
              <w:ind w:firstLine="180"/>
              <w:jc w:val="right"/>
              <w:rPr>
                <w:sz w:val="18"/>
                <w:szCs w:val="18"/>
              </w:rPr>
            </w:pPr>
            <w:r w:rsidRPr="00F539AC">
              <w:rPr>
                <w:sz w:val="18"/>
                <w:szCs w:val="18"/>
              </w:rPr>
              <w:t xml:space="preserve"> - </w:t>
            </w:r>
          </w:p>
        </w:tc>
        <w:tc>
          <w:tcPr>
            <w:tcW w:w="1866" w:type="dxa"/>
            <w:noWrap/>
            <w:hideMark/>
          </w:tcPr>
          <w:p w14:paraId="4EF958E7" w14:textId="77777777" w:rsidR="00324854" w:rsidRPr="00F539AC" w:rsidRDefault="00324854" w:rsidP="0019189B">
            <w:pPr>
              <w:spacing w:after="40"/>
              <w:ind w:firstLine="180"/>
              <w:jc w:val="right"/>
              <w:rPr>
                <w:sz w:val="18"/>
                <w:szCs w:val="18"/>
              </w:rPr>
            </w:pPr>
            <w:r w:rsidRPr="00F539AC">
              <w:rPr>
                <w:sz w:val="18"/>
                <w:szCs w:val="18"/>
              </w:rPr>
              <w:t xml:space="preserve"> 4,6 </w:t>
            </w:r>
          </w:p>
        </w:tc>
        <w:tc>
          <w:tcPr>
            <w:tcW w:w="237" w:type="dxa"/>
          </w:tcPr>
          <w:p w14:paraId="4ED46724" w14:textId="77777777" w:rsidR="00324854" w:rsidRPr="00D210DE" w:rsidRDefault="00324854" w:rsidP="0019189B">
            <w:pPr>
              <w:spacing w:after="40"/>
              <w:ind w:firstLine="180"/>
              <w:jc w:val="right"/>
              <w:rPr>
                <w:sz w:val="18"/>
                <w:szCs w:val="18"/>
              </w:rPr>
            </w:pPr>
          </w:p>
        </w:tc>
        <w:tc>
          <w:tcPr>
            <w:tcW w:w="1255" w:type="dxa"/>
            <w:noWrap/>
            <w:hideMark/>
          </w:tcPr>
          <w:p w14:paraId="4585A605" w14:textId="77777777" w:rsidR="00324854" w:rsidRPr="00F539AC" w:rsidRDefault="00324854" w:rsidP="0019189B">
            <w:pPr>
              <w:spacing w:after="40"/>
              <w:ind w:firstLine="180"/>
              <w:jc w:val="right"/>
              <w:rPr>
                <w:sz w:val="18"/>
                <w:szCs w:val="18"/>
              </w:rPr>
            </w:pPr>
            <w:r w:rsidRPr="00F539AC">
              <w:rPr>
                <w:sz w:val="18"/>
                <w:szCs w:val="18"/>
              </w:rPr>
              <w:t xml:space="preserve"> 5,8 </w:t>
            </w:r>
          </w:p>
        </w:tc>
        <w:tc>
          <w:tcPr>
            <w:tcW w:w="1485" w:type="dxa"/>
            <w:noWrap/>
            <w:hideMark/>
          </w:tcPr>
          <w:p w14:paraId="333EF4C5" w14:textId="77777777" w:rsidR="00324854" w:rsidRPr="00F539AC" w:rsidRDefault="00324854" w:rsidP="0019189B">
            <w:pPr>
              <w:spacing w:after="40"/>
              <w:ind w:firstLine="180"/>
              <w:jc w:val="right"/>
              <w:rPr>
                <w:sz w:val="18"/>
                <w:szCs w:val="18"/>
              </w:rPr>
            </w:pPr>
            <w:r w:rsidRPr="00F539AC">
              <w:rPr>
                <w:sz w:val="18"/>
                <w:szCs w:val="18"/>
              </w:rPr>
              <w:t xml:space="preserve"> 6,3 </w:t>
            </w:r>
          </w:p>
        </w:tc>
        <w:tc>
          <w:tcPr>
            <w:tcW w:w="1805" w:type="dxa"/>
          </w:tcPr>
          <w:p w14:paraId="1140F313" w14:textId="77777777" w:rsidR="00324854" w:rsidRPr="00F539AC" w:rsidRDefault="00324854" w:rsidP="0019189B">
            <w:pPr>
              <w:spacing w:after="40"/>
              <w:ind w:firstLine="180"/>
              <w:jc w:val="right"/>
              <w:rPr>
                <w:sz w:val="18"/>
                <w:szCs w:val="18"/>
              </w:rPr>
            </w:pPr>
            <w:r w:rsidRPr="00F539AC">
              <w:rPr>
                <w:sz w:val="18"/>
                <w:szCs w:val="18"/>
              </w:rPr>
              <w:t xml:space="preserve"> 6,1 </w:t>
            </w:r>
          </w:p>
        </w:tc>
        <w:tc>
          <w:tcPr>
            <w:tcW w:w="1521" w:type="dxa"/>
            <w:noWrap/>
            <w:hideMark/>
          </w:tcPr>
          <w:p w14:paraId="03B9DAA6" w14:textId="77777777" w:rsidR="00324854" w:rsidRPr="00F539AC" w:rsidRDefault="00324854" w:rsidP="0019189B">
            <w:pPr>
              <w:spacing w:after="40"/>
              <w:ind w:firstLine="180"/>
              <w:jc w:val="right"/>
              <w:rPr>
                <w:sz w:val="18"/>
                <w:szCs w:val="18"/>
              </w:rPr>
            </w:pPr>
            <w:r w:rsidRPr="00F539AC">
              <w:rPr>
                <w:sz w:val="18"/>
                <w:szCs w:val="18"/>
              </w:rPr>
              <w:t xml:space="preserve"> 9,2 </w:t>
            </w:r>
          </w:p>
        </w:tc>
        <w:tc>
          <w:tcPr>
            <w:tcW w:w="1286" w:type="dxa"/>
            <w:gridSpan w:val="2"/>
            <w:noWrap/>
            <w:hideMark/>
          </w:tcPr>
          <w:p w14:paraId="0C05D55E"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766" w:type="dxa"/>
            <w:gridSpan w:val="2"/>
          </w:tcPr>
          <w:p w14:paraId="56D7406D" w14:textId="77777777" w:rsidR="00324854" w:rsidRPr="00F539AC" w:rsidRDefault="00324854" w:rsidP="0019189B">
            <w:pPr>
              <w:spacing w:after="40"/>
              <w:ind w:firstLine="180"/>
              <w:jc w:val="right"/>
              <w:rPr>
                <w:sz w:val="18"/>
                <w:szCs w:val="18"/>
              </w:rPr>
            </w:pPr>
            <w:r w:rsidRPr="00F539AC">
              <w:rPr>
                <w:sz w:val="18"/>
                <w:szCs w:val="18"/>
              </w:rPr>
              <w:t xml:space="preserve"> 4,4 </w:t>
            </w:r>
          </w:p>
        </w:tc>
      </w:tr>
      <w:tr w:rsidR="00324854" w:rsidRPr="00D210DE" w14:paraId="3926E087" w14:textId="77777777" w:rsidTr="00324854">
        <w:trPr>
          <w:trHeight w:val="165"/>
        </w:trPr>
        <w:tc>
          <w:tcPr>
            <w:tcW w:w="1911" w:type="dxa"/>
            <w:noWrap/>
            <w:hideMark/>
          </w:tcPr>
          <w:p w14:paraId="26A782AF" w14:textId="77777777" w:rsidR="00324854" w:rsidRPr="00CE2F05" w:rsidRDefault="00324854" w:rsidP="0019189B">
            <w:pPr>
              <w:spacing w:after="40"/>
              <w:ind w:firstLine="180"/>
              <w:rPr>
                <w:sz w:val="18"/>
                <w:szCs w:val="18"/>
              </w:rPr>
            </w:pPr>
            <w:r w:rsidRPr="00CE2F05">
              <w:rPr>
                <w:sz w:val="18"/>
                <w:szCs w:val="18"/>
              </w:rPr>
              <w:t>2009</w:t>
            </w:r>
          </w:p>
        </w:tc>
        <w:tc>
          <w:tcPr>
            <w:tcW w:w="1610" w:type="dxa"/>
            <w:noWrap/>
            <w:hideMark/>
          </w:tcPr>
          <w:p w14:paraId="034D3BBC" w14:textId="77777777" w:rsidR="00324854" w:rsidRPr="00F539AC" w:rsidRDefault="00324854" w:rsidP="0019189B">
            <w:pPr>
              <w:spacing w:after="40"/>
              <w:ind w:firstLine="180"/>
              <w:jc w:val="right"/>
              <w:rPr>
                <w:sz w:val="18"/>
                <w:szCs w:val="18"/>
              </w:rPr>
            </w:pPr>
            <w:r w:rsidRPr="00F539AC">
              <w:rPr>
                <w:sz w:val="18"/>
                <w:szCs w:val="18"/>
              </w:rPr>
              <w:t xml:space="preserve"> 4,7 </w:t>
            </w:r>
          </w:p>
        </w:tc>
        <w:tc>
          <w:tcPr>
            <w:tcW w:w="1866" w:type="dxa"/>
            <w:noWrap/>
            <w:hideMark/>
          </w:tcPr>
          <w:p w14:paraId="44F94BB3" w14:textId="77777777" w:rsidR="00324854" w:rsidRPr="00F539AC" w:rsidRDefault="00324854" w:rsidP="0019189B">
            <w:pPr>
              <w:spacing w:after="40"/>
              <w:ind w:firstLine="180"/>
              <w:jc w:val="right"/>
              <w:rPr>
                <w:sz w:val="18"/>
                <w:szCs w:val="18"/>
              </w:rPr>
            </w:pPr>
            <w:r w:rsidRPr="00F539AC">
              <w:rPr>
                <w:sz w:val="18"/>
                <w:szCs w:val="18"/>
              </w:rPr>
              <w:t xml:space="preserve"> 3,1 </w:t>
            </w:r>
          </w:p>
        </w:tc>
        <w:tc>
          <w:tcPr>
            <w:tcW w:w="237" w:type="dxa"/>
          </w:tcPr>
          <w:p w14:paraId="2AD9F8E8" w14:textId="77777777" w:rsidR="00324854" w:rsidRPr="00D210DE" w:rsidRDefault="00324854" w:rsidP="0019189B">
            <w:pPr>
              <w:spacing w:after="40"/>
              <w:ind w:firstLine="180"/>
              <w:jc w:val="right"/>
              <w:rPr>
                <w:sz w:val="18"/>
                <w:szCs w:val="18"/>
              </w:rPr>
            </w:pPr>
          </w:p>
        </w:tc>
        <w:tc>
          <w:tcPr>
            <w:tcW w:w="1255" w:type="dxa"/>
            <w:noWrap/>
            <w:hideMark/>
          </w:tcPr>
          <w:p w14:paraId="072EB5D3" w14:textId="77777777" w:rsidR="00324854" w:rsidRPr="00F539AC" w:rsidRDefault="00324854" w:rsidP="0019189B">
            <w:pPr>
              <w:spacing w:after="40"/>
              <w:ind w:firstLine="180"/>
              <w:jc w:val="right"/>
              <w:rPr>
                <w:sz w:val="18"/>
                <w:szCs w:val="18"/>
              </w:rPr>
            </w:pPr>
            <w:r w:rsidRPr="00F539AC">
              <w:rPr>
                <w:sz w:val="18"/>
                <w:szCs w:val="18"/>
              </w:rPr>
              <w:t xml:space="preserve"> 4,7 </w:t>
            </w:r>
          </w:p>
        </w:tc>
        <w:tc>
          <w:tcPr>
            <w:tcW w:w="1485" w:type="dxa"/>
            <w:noWrap/>
            <w:hideMark/>
          </w:tcPr>
          <w:p w14:paraId="26021574" w14:textId="77777777" w:rsidR="00324854" w:rsidRPr="00F539AC" w:rsidRDefault="00324854" w:rsidP="0019189B">
            <w:pPr>
              <w:spacing w:after="40"/>
              <w:ind w:firstLine="180"/>
              <w:jc w:val="right"/>
              <w:rPr>
                <w:sz w:val="18"/>
                <w:szCs w:val="18"/>
              </w:rPr>
            </w:pPr>
            <w:r w:rsidRPr="00F539AC">
              <w:rPr>
                <w:sz w:val="18"/>
                <w:szCs w:val="18"/>
              </w:rPr>
              <w:t xml:space="preserve"> 4,5</w:t>
            </w:r>
            <w:r w:rsidRPr="00DB36A9">
              <w:rPr>
                <w:sz w:val="18"/>
                <w:szCs w:val="18"/>
                <w:vertAlign w:val="superscript"/>
              </w:rPr>
              <w:t>9</w:t>
            </w:r>
            <w:r w:rsidRPr="00F539AC">
              <w:rPr>
                <w:sz w:val="18"/>
                <w:szCs w:val="18"/>
              </w:rPr>
              <w:t xml:space="preserve"> </w:t>
            </w:r>
          </w:p>
        </w:tc>
        <w:tc>
          <w:tcPr>
            <w:tcW w:w="1805" w:type="dxa"/>
          </w:tcPr>
          <w:p w14:paraId="38FDC6A7" w14:textId="77777777" w:rsidR="00324854" w:rsidRPr="00F539AC" w:rsidRDefault="00324854" w:rsidP="0019189B">
            <w:pPr>
              <w:spacing w:after="40"/>
              <w:ind w:firstLine="180"/>
              <w:jc w:val="right"/>
              <w:rPr>
                <w:sz w:val="18"/>
                <w:szCs w:val="18"/>
              </w:rPr>
            </w:pPr>
            <w:r w:rsidRPr="00F539AC">
              <w:rPr>
                <w:sz w:val="18"/>
                <w:szCs w:val="18"/>
              </w:rPr>
              <w:t xml:space="preserve"> 4,2 </w:t>
            </w:r>
          </w:p>
        </w:tc>
        <w:tc>
          <w:tcPr>
            <w:tcW w:w="1521" w:type="dxa"/>
            <w:noWrap/>
            <w:hideMark/>
          </w:tcPr>
          <w:p w14:paraId="7ABAC164" w14:textId="77777777" w:rsidR="00324854" w:rsidRPr="00F539AC" w:rsidRDefault="00324854" w:rsidP="0019189B">
            <w:pPr>
              <w:spacing w:after="40"/>
              <w:ind w:firstLine="180"/>
              <w:jc w:val="right"/>
              <w:rPr>
                <w:sz w:val="18"/>
                <w:szCs w:val="18"/>
              </w:rPr>
            </w:pPr>
            <w:r w:rsidRPr="00F539AC">
              <w:rPr>
                <w:sz w:val="18"/>
                <w:szCs w:val="18"/>
              </w:rPr>
              <w:t xml:space="preserve"> 0,4 </w:t>
            </w:r>
          </w:p>
        </w:tc>
        <w:tc>
          <w:tcPr>
            <w:tcW w:w="1286" w:type="dxa"/>
            <w:gridSpan w:val="2"/>
            <w:noWrap/>
            <w:hideMark/>
          </w:tcPr>
          <w:p w14:paraId="699A1987"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1766" w:type="dxa"/>
            <w:gridSpan w:val="2"/>
          </w:tcPr>
          <w:p w14:paraId="57D24827" w14:textId="77777777" w:rsidR="00324854" w:rsidRPr="00F539AC" w:rsidRDefault="00324854" w:rsidP="0019189B">
            <w:pPr>
              <w:spacing w:after="40"/>
              <w:ind w:firstLine="180"/>
              <w:jc w:val="right"/>
              <w:rPr>
                <w:sz w:val="18"/>
                <w:szCs w:val="18"/>
              </w:rPr>
            </w:pPr>
            <w:r w:rsidRPr="00F539AC">
              <w:rPr>
                <w:sz w:val="18"/>
                <w:szCs w:val="18"/>
              </w:rPr>
              <w:t xml:space="preserve"> 1,8 </w:t>
            </w:r>
          </w:p>
        </w:tc>
      </w:tr>
      <w:tr w:rsidR="00324854" w:rsidRPr="00D210DE" w14:paraId="0F71C742" w14:textId="77777777" w:rsidTr="00324854">
        <w:trPr>
          <w:trHeight w:val="165"/>
        </w:trPr>
        <w:tc>
          <w:tcPr>
            <w:tcW w:w="1911" w:type="dxa"/>
            <w:noWrap/>
            <w:hideMark/>
          </w:tcPr>
          <w:p w14:paraId="23806526" w14:textId="77777777" w:rsidR="00324854" w:rsidRPr="00CE2F05" w:rsidRDefault="00324854" w:rsidP="0019189B">
            <w:pPr>
              <w:spacing w:after="40"/>
              <w:ind w:firstLine="180"/>
              <w:rPr>
                <w:sz w:val="18"/>
                <w:szCs w:val="18"/>
              </w:rPr>
            </w:pPr>
            <w:r w:rsidRPr="00CE2F05">
              <w:rPr>
                <w:sz w:val="18"/>
                <w:szCs w:val="18"/>
              </w:rPr>
              <w:t>2010</w:t>
            </w:r>
          </w:p>
        </w:tc>
        <w:tc>
          <w:tcPr>
            <w:tcW w:w="1610" w:type="dxa"/>
            <w:noWrap/>
            <w:hideMark/>
          </w:tcPr>
          <w:p w14:paraId="0FB52EEF"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866" w:type="dxa"/>
            <w:noWrap/>
            <w:hideMark/>
          </w:tcPr>
          <w:p w14:paraId="34D64F48" w14:textId="77777777" w:rsidR="00324854" w:rsidRPr="00F539AC" w:rsidRDefault="00324854" w:rsidP="0019189B">
            <w:pPr>
              <w:spacing w:after="40"/>
              <w:ind w:firstLine="180"/>
              <w:jc w:val="right"/>
              <w:rPr>
                <w:sz w:val="18"/>
                <w:szCs w:val="18"/>
              </w:rPr>
            </w:pPr>
            <w:r w:rsidRPr="00F539AC">
              <w:rPr>
                <w:sz w:val="18"/>
                <w:szCs w:val="18"/>
              </w:rPr>
              <w:t xml:space="preserve"> 3,1 </w:t>
            </w:r>
          </w:p>
        </w:tc>
        <w:tc>
          <w:tcPr>
            <w:tcW w:w="237" w:type="dxa"/>
          </w:tcPr>
          <w:p w14:paraId="1CAC4970" w14:textId="77777777" w:rsidR="00324854" w:rsidRPr="00D210DE" w:rsidRDefault="00324854" w:rsidP="0019189B">
            <w:pPr>
              <w:spacing w:after="40"/>
              <w:ind w:firstLine="180"/>
              <w:jc w:val="right"/>
              <w:rPr>
                <w:sz w:val="18"/>
                <w:szCs w:val="18"/>
              </w:rPr>
            </w:pPr>
          </w:p>
        </w:tc>
        <w:tc>
          <w:tcPr>
            <w:tcW w:w="1255" w:type="dxa"/>
            <w:noWrap/>
            <w:hideMark/>
          </w:tcPr>
          <w:p w14:paraId="1889FDB8" w14:textId="77777777" w:rsidR="00324854" w:rsidRPr="00F539AC" w:rsidRDefault="00324854" w:rsidP="0019189B">
            <w:pPr>
              <w:spacing w:after="40"/>
              <w:ind w:firstLine="180"/>
              <w:jc w:val="right"/>
              <w:rPr>
                <w:sz w:val="18"/>
                <w:szCs w:val="18"/>
              </w:rPr>
            </w:pPr>
            <w:r w:rsidRPr="00F539AC">
              <w:rPr>
                <w:sz w:val="18"/>
                <w:szCs w:val="18"/>
              </w:rPr>
              <w:t xml:space="preserve"> 4,4 </w:t>
            </w:r>
          </w:p>
        </w:tc>
        <w:tc>
          <w:tcPr>
            <w:tcW w:w="1485" w:type="dxa"/>
            <w:noWrap/>
            <w:hideMark/>
          </w:tcPr>
          <w:p w14:paraId="00D73FE2"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805" w:type="dxa"/>
          </w:tcPr>
          <w:p w14:paraId="5CBA71E1"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521" w:type="dxa"/>
            <w:noWrap/>
            <w:hideMark/>
          </w:tcPr>
          <w:p w14:paraId="77AFA817" w14:textId="77777777" w:rsidR="00324854" w:rsidRPr="00F539AC" w:rsidRDefault="00324854" w:rsidP="0019189B">
            <w:pPr>
              <w:spacing w:after="40"/>
              <w:ind w:firstLine="180"/>
              <w:jc w:val="right"/>
              <w:rPr>
                <w:sz w:val="18"/>
                <w:szCs w:val="18"/>
              </w:rPr>
            </w:pPr>
            <w:r w:rsidRPr="00F539AC">
              <w:rPr>
                <w:sz w:val="18"/>
                <w:szCs w:val="18"/>
              </w:rPr>
              <w:t xml:space="preserve"> 5,9 </w:t>
            </w:r>
          </w:p>
        </w:tc>
        <w:tc>
          <w:tcPr>
            <w:tcW w:w="1286" w:type="dxa"/>
            <w:gridSpan w:val="2"/>
            <w:noWrap/>
            <w:hideMark/>
          </w:tcPr>
          <w:p w14:paraId="28D0807B" w14:textId="77777777" w:rsidR="00324854" w:rsidRPr="00F539AC" w:rsidRDefault="00324854" w:rsidP="0019189B">
            <w:pPr>
              <w:spacing w:after="40"/>
              <w:ind w:firstLine="180"/>
              <w:jc w:val="right"/>
              <w:rPr>
                <w:sz w:val="18"/>
                <w:szCs w:val="18"/>
              </w:rPr>
            </w:pPr>
            <w:r w:rsidRPr="00F539AC">
              <w:rPr>
                <w:sz w:val="18"/>
                <w:szCs w:val="18"/>
              </w:rPr>
              <w:t xml:space="preserve"> 2,9 </w:t>
            </w:r>
          </w:p>
        </w:tc>
        <w:tc>
          <w:tcPr>
            <w:tcW w:w="1766" w:type="dxa"/>
            <w:gridSpan w:val="2"/>
          </w:tcPr>
          <w:p w14:paraId="61DDA78D" w14:textId="77777777" w:rsidR="00324854" w:rsidRPr="00F539AC" w:rsidRDefault="00324854" w:rsidP="0019189B">
            <w:pPr>
              <w:spacing w:after="40"/>
              <w:ind w:firstLine="180"/>
              <w:jc w:val="right"/>
              <w:rPr>
                <w:sz w:val="18"/>
                <w:szCs w:val="18"/>
              </w:rPr>
            </w:pPr>
            <w:r w:rsidRPr="00F539AC">
              <w:rPr>
                <w:sz w:val="18"/>
                <w:szCs w:val="18"/>
              </w:rPr>
              <w:t xml:space="preserve"> 3,6 </w:t>
            </w:r>
          </w:p>
        </w:tc>
      </w:tr>
      <w:tr w:rsidR="00324854" w:rsidRPr="00D210DE" w14:paraId="1A647B37" w14:textId="77777777" w:rsidTr="00324854">
        <w:trPr>
          <w:trHeight w:val="165"/>
        </w:trPr>
        <w:tc>
          <w:tcPr>
            <w:tcW w:w="1911" w:type="dxa"/>
            <w:noWrap/>
            <w:hideMark/>
          </w:tcPr>
          <w:p w14:paraId="1AF5EC32" w14:textId="77777777" w:rsidR="00324854" w:rsidRPr="00CE2F05" w:rsidRDefault="00324854" w:rsidP="0019189B">
            <w:pPr>
              <w:spacing w:after="40"/>
              <w:ind w:firstLine="180"/>
              <w:rPr>
                <w:sz w:val="18"/>
                <w:szCs w:val="18"/>
              </w:rPr>
            </w:pPr>
            <w:r w:rsidRPr="00CE2F05">
              <w:rPr>
                <w:sz w:val="18"/>
                <w:szCs w:val="18"/>
              </w:rPr>
              <w:t>2011</w:t>
            </w:r>
          </w:p>
        </w:tc>
        <w:tc>
          <w:tcPr>
            <w:tcW w:w="1610" w:type="dxa"/>
            <w:noWrap/>
            <w:hideMark/>
          </w:tcPr>
          <w:p w14:paraId="6772FCFF" w14:textId="77777777" w:rsidR="00324854" w:rsidRPr="00F539AC" w:rsidRDefault="00324854" w:rsidP="0019189B">
            <w:pPr>
              <w:spacing w:after="40"/>
              <w:ind w:firstLine="180"/>
              <w:jc w:val="right"/>
              <w:rPr>
                <w:sz w:val="18"/>
                <w:szCs w:val="18"/>
              </w:rPr>
            </w:pPr>
            <w:r w:rsidRPr="00F539AC">
              <w:rPr>
                <w:sz w:val="18"/>
                <w:szCs w:val="18"/>
              </w:rPr>
              <w:t xml:space="preserve"> 3,5 </w:t>
            </w:r>
          </w:p>
        </w:tc>
        <w:tc>
          <w:tcPr>
            <w:tcW w:w="1866" w:type="dxa"/>
            <w:noWrap/>
            <w:hideMark/>
          </w:tcPr>
          <w:p w14:paraId="4160C3BD"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237" w:type="dxa"/>
          </w:tcPr>
          <w:p w14:paraId="3842023A" w14:textId="77777777" w:rsidR="00324854" w:rsidRPr="00D210DE" w:rsidRDefault="00324854" w:rsidP="0019189B">
            <w:pPr>
              <w:spacing w:after="40"/>
              <w:ind w:firstLine="180"/>
              <w:jc w:val="right"/>
              <w:rPr>
                <w:sz w:val="18"/>
                <w:szCs w:val="18"/>
              </w:rPr>
            </w:pPr>
          </w:p>
        </w:tc>
        <w:tc>
          <w:tcPr>
            <w:tcW w:w="1255" w:type="dxa"/>
            <w:noWrap/>
            <w:hideMark/>
          </w:tcPr>
          <w:p w14:paraId="575C395F" w14:textId="77777777" w:rsidR="00324854" w:rsidRPr="00F539AC" w:rsidRDefault="00324854" w:rsidP="0019189B">
            <w:pPr>
              <w:spacing w:after="40"/>
              <w:ind w:firstLine="180"/>
              <w:jc w:val="right"/>
              <w:rPr>
                <w:sz w:val="18"/>
                <w:szCs w:val="18"/>
              </w:rPr>
            </w:pPr>
            <w:r w:rsidRPr="00F539AC">
              <w:rPr>
                <w:sz w:val="18"/>
                <w:szCs w:val="18"/>
              </w:rPr>
              <w:t xml:space="preserve"> 4,9 </w:t>
            </w:r>
          </w:p>
        </w:tc>
        <w:tc>
          <w:tcPr>
            <w:tcW w:w="1485" w:type="dxa"/>
            <w:noWrap/>
            <w:hideMark/>
          </w:tcPr>
          <w:p w14:paraId="0811C43C" w14:textId="77777777" w:rsidR="00324854" w:rsidRPr="00F539AC" w:rsidRDefault="00324854" w:rsidP="0019189B">
            <w:pPr>
              <w:spacing w:after="40"/>
              <w:ind w:firstLine="180"/>
              <w:jc w:val="right"/>
              <w:rPr>
                <w:sz w:val="18"/>
                <w:szCs w:val="18"/>
              </w:rPr>
            </w:pPr>
            <w:r w:rsidRPr="00F539AC">
              <w:rPr>
                <w:sz w:val="18"/>
                <w:szCs w:val="18"/>
              </w:rPr>
              <w:t xml:space="preserve"> 4,7 </w:t>
            </w:r>
          </w:p>
        </w:tc>
        <w:tc>
          <w:tcPr>
            <w:tcW w:w="1805" w:type="dxa"/>
          </w:tcPr>
          <w:p w14:paraId="2CA1F9A8" w14:textId="77777777" w:rsidR="00324854" w:rsidRPr="00F539AC" w:rsidRDefault="00324854" w:rsidP="0019189B">
            <w:pPr>
              <w:spacing w:after="40"/>
              <w:ind w:firstLine="180"/>
              <w:jc w:val="right"/>
              <w:rPr>
                <w:sz w:val="18"/>
                <w:szCs w:val="18"/>
              </w:rPr>
            </w:pPr>
            <w:r w:rsidRPr="00F539AC">
              <w:rPr>
                <w:sz w:val="18"/>
                <w:szCs w:val="18"/>
              </w:rPr>
              <w:t xml:space="preserve"> 4,6 </w:t>
            </w:r>
          </w:p>
        </w:tc>
        <w:tc>
          <w:tcPr>
            <w:tcW w:w="1521" w:type="dxa"/>
            <w:noWrap/>
            <w:hideMark/>
          </w:tcPr>
          <w:p w14:paraId="5CF35CEC" w14:textId="77777777" w:rsidR="00324854" w:rsidRPr="00F539AC" w:rsidRDefault="00324854" w:rsidP="0019189B">
            <w:pPr>
              <w:spacing w:after="40"/>
              <w:ind w:firstLine="180"/>
              <w:jc w:val="right"/>
              <w:rPr>
                <w:sz w:val="18"/>
                <w:szCs w:val="18"/>
              </w:rPr>
            </w:pPr>
            <w:r w:rsidRPr="00F539AC">
              <w:rPr>
                <w:sz w:val="18"/>
                <w:szCs w:val="18"/>
              </w:rPr>
              <w:t xml:space="preserve"> 4,9 </w:t>
            </w:r>
          </w:p>
        </w:tc>
        <w:tc>
          <w:tcPr>
            <w:tcW w:w="1286" w:type="dxa"/>
            <w:gridSpan w:val="2"/>
            <w:noWrap/>
            <w:hideMark/>
          </w:tcPr>
          <w:p w14:paraId="7F40C117"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766" w:type="dxa"/>
            <w:gridSpan w:val="2"/>
          </w:tcPr>
          <w:p w14:paraId="723C9D1E" w14:textId="77777777" w:rsidR="00324854" w:rsidRPr="00F539AC" w:rsidRDefault="00324854" w:rsidP="0019189B">
            <w:pPr>
              <w:spacing w:after="40"/>
              <w:ind w:firstLine="180"/>
              <w:jc w:val="right"/>
              <w:rPr>
                <w:sz w:val="18"/>
                <w:szCs w:val="18"/>
              </w:rPr>
            </w:pPr>
            <w:r w:rsidRPr="00F539AC">
              <w:rPr>
                <w:sz w:val="18"/>
                <w:szCs w:val="18"/>
              </w:rPr>
              <w:t xml:space="preserve"> 3,6 </w:t>
            </w:r>
          </w:p>
        </w:tc>
      </w:tr>
      <w:tr w:rsidR="00324854" w:rsidRPr="00D210DE" w14:paraId="6C4819FC" w14:textId="77777777" w:rsidTr="00324854">
        <w:trPr>
          <w:trHeight w:val="157"/>
        </w:trPr>
        <w:tc>
          <w:tcPr>
            <w:tcW w:w="1911" w:type="dxa"/>
            <w:noWrap/>
            <w:hideMark/>
          </w:tcPr>
          <w:p w14:paraId="1BD7B570" w14:textId="77777777" w:rsidR="00324854" w:rsidRPr="00CE2F05" w:rsidRDefault="00324854" w:rsidP="0019189B">
            <w:pPr>
              <w:spacing w:after="40"/>
              <w:ind w:firstLine="180"/>
              <w:rPr>
                <w:sz w:val="18"/>
                <w:szCs w:val="18"/>
              </w:rPr>
            </w:pPr>
            <w:r w:rsidRPr="00CE2F05">
              <w:rPr>
                <w:sz w:val="18"/>
                <w:szCs w:val="18"/>
              </w:rPr>
              <w:t>2012</w:t>
            </w:r>
          </w:p>
        </w:tc>
        <w:tc>
          <w:tcPr>
            <w:tcW w:w="1610" w:type="dxa"/>
            <w:noWrap/>
            <w:hideMark/>
          </w:tcPr>
          <w:p w14:paraId="3D5855F7" w14:textId="77777777" w:rsidR="00324854" w:rsidRPr="00F539AC" w:rsidRDefault="00324854" w:rsidP="0019189B">
            <w:pPr>
              <w:spacing w:after="40"/>
              <w:ind w:firstLine="180"/>
              <w:jc w:val="right"/>
              <w:rPr>
                <w:sz w:val="18"/>
                <w:szCs w:val="18"/>
              </w:rPr>
            </w:pPr>
            <w:r w:rsidRPr="00F539AC">
              <w:rPr>
                <w:sz w:val="18"/>
                <w:szCs w:val="18"/>
              </w:rPr>
              <w:t xml:space="preserve"> 5,7 </w:t>
            </w:r>
          </w:p>
        </w:tc>
        <w:tc>
          <w:tcPr>
            <w:tcW w:w="1866" w:type="dxa"/>
            <w:noWrap/>
            <w:hideMark/>
          </w:tcPr>
          <w:p w14:paraId="00E6BB21"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237" w:type="dxa"/>
          </w:tcPr>
          <w:p w14:paraId="2EA57EA9" w14:textId="77777777" w:rsidR="00324854" w:rsidRPr="00D210DE" w:rsidRDefault="00324854" w:rsidP="0019189B">
            <w:pPr>
              <w:spacing w:after="40"/>
              <w:ind w:firstLine="180"/>
              <w:jc w:val="right"/>
              <w:rPr>
                <w:sz w:val="18"/>
                <w:szCs w:val="18"/>
              </w:rPr>
            </w:pPr>
          </w:p>
        </w:tc>
        <w:tc>
          <w:tcPr>
            <w:tcW w:w="1255" w:type="dxa"/>
            <w:noWrap/>
            <w:hideMark/>
          </w:tcPr>
          <w:p w14:paraId="1DF8F08A" w14:textId="77777777" w:rsidR="00324854" w:rsidRPr="00F539AC" w:rsidRDefault="00324854" w:rsidP="0019189B">
            <w:pPr>
              <w:spacing w:after="40"/>
              <w:ind w:firstLine="180"/>
              <w:jc w:val="right"/>
              <w:rPr>
                <w:sz w:val="18"/>
                <w:szCs w:val="18"/>
              </w:rPr>
            </w:pPr>
            <w:r w:rsidRPr="00F539AC">
              <w:rPr>
                <w:sz w:val="18"/>
                <w:szCs w:val="18"/>
              </w:rPr>
              <w:t xml:space="preserve"> 4,2 </w:t>
            </w:r>
          </w:p>
        </w:tc>
        <w:tc>
          <w:tcPr>
            <w:tcW w:w="1485" w:type="dxa"/>
            <w:noWrap/>
            <w:hideMark/>
          </w:tcPr>
          <w:p w14:paraId="7230A6A0"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805" w:type="dxa"/>
          </w:tcPr>
          <w:p w14:paraId="4F752B11" w14:textId="77777777" w:rsidR="00324854" w:rsidRPr="00F539AC" w:rsidRDefault="00324854" w:rsidP="0019189B">
            <w:pPr>
              <w:spacing w:after="40"/>
              <w:ind w:firstLine="180"/>
              <w:jc w:val="right"/>
              <w:rPr>
                <w:sz w:val="18"/>
                <w:szCs w:val="18"/>
              </w:rPr>
            </w:pPr>
            <w:r w:rsidRPr="00F539AC">
              <w:rPr>
                <w:sz w:val="18"/>
                <w:szCs w:val="18"/>
              </w:rPr>
              <w:t xml:space="preserve"> 4,2 </w:t>
            </w:r>
          </w:p>
        </w:tc>
        <w:tc>
          <w:tcPr>
            <w:tcW w:w="1521" w:type="dxa"/>
            <w:noWrap/>
            <w:hideMark/>
          </w:tcPr>
          <w:p w14:paraId="5D0212CD"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1286" w:type="dxa"/>
            <w:gridSpan w:val="2"/>
            <w:noWrap/>
            <w:hideMark/>
          </w:tcPr>
          <w:p w14:paraId="33982455" w14:textId="77777777" w:rsidR="00324854" w:rsidRPr="00F539AC" w:rsidRDefault="00324854" w:rsidP="0019189B">
            <w:pPr>
              <w:spacing w:after="40"/>
              <w:ind w:firstLine="180"/>
              <w:jc w:val="right"/>
              <w:rPr>
                <w:sz w:val="18"/>
                <w:szCs w:val="18"/>
              </w:rPr>
            </w:pPr>
            <w:r w:rsidRPr="00F539AC">
              <w:rPr>
                <w:sz w:val="18"/>
                <w:szCs w:val="18"/>
              </w:rPr>
              <w:t xml:space="preserve"> 3,2 </w:t>
            </w:r>
          </w:p>
        </w:tc>
        <w:tc>
          <w:tcPr>
            <w:tcW w:w="1766" w:type="dxa"/>
            <w:gridSpan w:val="2"/>
          </w:tcPr>
          <w:p w14:paraId="6EB68CE5" w14:textId="77777777" w:rsidR="00324854" w:rsidRPr="00F539AC" w:rsidRDefault="00324854" w:rsidP="0019189B">
            <w:pPr>
              <w:spacing w:after="40"/>
              <w:ind w:firstLine="180"/>
              <w:jc w:val="right"/>
              <w:rPr>
                <w:sz w:val="18"/>
                <w:szCs w:val="18"/>
              </w:rPr>
            </w:pPr>
            <w:r w:rsidRPr="00F539AC">
              <w:rPr>
                <w:sz w:val="18"/>
                <w:szCs w:val="18"/>
              </w:rPr>
              <w:t xml:space="preserve"> 3,3 </w:t>
            </w:r>
          </w:p>
        </w:tc>
      </w:tr>
      <w:tr w:rsidR="00324854" w:rsidRPr="00D210DE" w14:paraId="02F5F9A9" w14:textId="77777777" w:rsidTr="00324854">
        <w:trPr>
          <w:trHeight w:val="157"/>
        </w:trPr>
        <w:tc>
          <w:tcPr>
            <w:tcW w:w="1911" w:type="dxa"/>
            <w:noWrap/>
            <w:hideMark/>
          </w:tcPr>
          <w:p w14:paraId="2519CEDC" w14:textId="77777777" w:rsidR="00324854" w:rsidRPr="00CE2F05" w:rsidRDefault="00324854" w:rsidP="0019189B">
            <w:pPr>
              <w:spacing w:after="40"/>
              <w:ind w:firstLine="180"/>
              <w:rPr>
                <w:sz w:val="18"/>
                <w:szCs w:val="18"/>
              </w:rPr>
            </w:pPr>
            <w:r w:rsidRPr="00CE2F05">
              <w:rPr>
                <w:sz w:val="18"/>
                <w:szCs w:val="18"/>
              </w:rPr>
              <w:t>2013</w:t>
            </w:r>
          </w:p>
        </w:tc>
        <w:tc>
          <w:tcPr>
            <w:tcW w:w="1610" w:type="dxa"/>
            <w:noWrap/>
            <w:hideMark/>
          </w:tcPr>
          <w:p w14:paraId="6A21A091" w14:textId="77777777" w:rsidR="00324854" w:rsidRPr="00F539AC" w:rsidRDefault="00324854" w:rsidP="0019189B">
            <w:pPr>
              <w:spacing w:after="40"/>
              <w:ind w:firstLine="180"/>
              <w:jc w:val="right"/>
              <w:rPr>
                <w:sz w:val="18"/>
                <w:szCs w:val="18"/>
              </w:rPr>
            </w:pPr>
            <w:r w:rsidRPr="00F539AC">
              <w:rPr>
                <w:sz w:val="18"/>
                <w:szCs w:val="18"/>
              </w:rPr>
              <w:t xml:space="preserve"> 5,1 </w:t>
            </w:r>
          </w:p>
        </w:tc>
        <w:tc>
          <w:tcPr>
            <w:tcW w:w="1866" w:type="dxa"/>
            <w:noWrap/>
            <w:hideMark/>
          </w:tcPr>
          <w:p w14:paraId="2719C1EE"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237" w:type="dxa"/>
          </w:tcPr>
          <w:p w14:paraId="2231867A" w14:textId="77777777" w:rsidR="00324854" w:rsidRPr="00D210DE" w:rsidRDefault="00324854" w:rsidP="0019189B">
            <w:pPr>
              <w:spacing w:after="40"/>
              <w:ind w:firstLine="180"/>
              <w:jc w:val="right"/>
              <w:rPr>
                <w:sz w:val="18"/>
                <w:szCs w:val="18"/>
              </w:rPr>
            </w:pPr>
          </w:p>
        </w:tc>
        <w:tc>
          <w:tcPr>
            <w:tcW w:w="1255" w:type="dxa"/>
            <w:noWrap/>
            <w:hideMark/>
          </w:tcPr>
          <w:p w14:paraId="6100C6F1"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485" w:type="dxa"/>
            <w:noWrap/>
            <w:hideMark/>
          </w:tcPr>
          <w:p w14:paraId="75DCF678"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805" w:type="dxa"/>
          </w:tcPr>
          <w:p w14:paraId="38E86184" w14:textId="77777777" w:rsidR="00324854" w:rsidRPr="00F539AC" w:rsidRDefault="00324854" w:rsidP="0019189B">
            <w:pPr>
              <w:spacing w:after="40"/>
              <w:ind w:firstLine="180"/>
              <w:jc w:val="right"/>
              <w:rPr>
                <w:sz w:val="18"/>
                <w:szCs w:val="18"/>
              </w:rPr>
            </w:pPr>
            <w:r w:rsidRPr="00F539AC">
              <w:rPr>
                <w:sz w:val="18"/>
                <w:szCs w:val="18"/>
              </w:rPr>
              <w:t xml:space="preserve"> 3,9 </w:t>
            </w:r>
          </w:p>
        </w:tc>
        <w:tc>
          <w:tcPr>
            <w:tcW w:w="1521" w:type="dxa"/>
            <w:noWrap/>
            <w:hideMark/>
          </w:tcPr>
          <w:p w14:paraId="45F1CB9C" w14:textId="77777777" w:rsidR="00324854" w:rsidRPr="00F539AC" w:rsidRDefault="00324854" w:rsidP="0019189B">
            <w:pPr>
              <w:spacing w:after="40"/>
              <w:ind w:firstLine="180"/>
              <w:jc w:val="right"/>
              <w:rPr>
                <w:sz w:val="18"/>
                <w:szCs w:val="18"/>
              </w:rPr>
            </w:pPr>
            <w:r w:rsidRPr="00F539AC">
              <w:rPr>
                <w:sz w:val="18"/>
                <w:szCs w:val="18"/>
              </w:rPr>
              <w:t xml:space="preserve"> 6,7 </w:t>
            </w:r>
          </w:p>
        </w:tc>
        <w:tc>
          <w:tcPr>
            <w:tcW w:w="1286" w:type="dxa"/>
            <w:gridSpan w:val="2"/>
            <w:noWrap/>
            <w:hideMark/>
          </w:tcPr>
          <w:p w14:paraId="681D0486"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766" w:type="dxa"/>
            <w:gridSpan w:val="2"/>
          </w:tcPr>
          <w:p w14:paraId="3C437540" w14:textId="77777777" w:rsidR="00324854" w:rsidRPr="00F539AC" w:rsidRDefault="00324854" w:rsidP="0019189B">
            <w:pPr>
              <w:spacing w:after="40"/>
              <w:ind w:firstLine="180"/>
              <w:jc w:val="right"/>
              <w:rPr>
                <w:sz w:val="18"/>
                <w:szCs w:val="18"/>
              </w:rPr>
            </w:pPr>
            <w:r w:rsidRPr="00F539AC">
              <w:rPr>
                <w:sz w:val="18"/>
                <w:szCs w:val="18"/>
              </w:rPr>
              <w:t xml:space="preserve"> 4,0 </w:t>
            </w:r>
          </w:p>
        </w:tc>
      </w:tr>
      <w:tr w:rsidR="00324854" w:rsidRPr="00D210DE" w14:paraId="22C1BECF" w14:textId="77777777" w:rsidTr="00324854">
        <w:trPr>
          <w:trHeight w:val="157"/>
        </w:trPr>
        <w:tc>
          <w:tcPr>
            <w:tcW w:w="1911" w:type="dxa"/>
            <w:tcBorders>
              <w:bottom w:val="nil"/>
            </w:tcBorders>
            <w:noWrap/>
            <w:hideMark/>
          </w:tcPr>
          <w:p w14:paraId="317780F7" w14:textId="77777777" w:rsidR="00324854" w:rsidRPr="00CE2F05" w:rsidRDefault="00324854" w:rsidP="0019189B">
            <w:pPr>
              <w:spacing w:after="40"/>
              <w:ind w:firstLine="180"/>
              <w:rPr>
                <w:sz w:val="18"/>
                <w:szCs w:val="18"/>
              </w:rPr>
            </w:pPr>
            <w:r w:rsidRPr="00CE2F05">
              <w:rPr>
                <w:sz w:val="18"/>
                <w:szCs w:val="18"/>
              </w:rPr>
              <w:t>2014</w:t>
            </w:r>
          </w:p>
        </w:tc>
        <w:tc>
          <w:tcPr>
            <w:tcW w:w="1610" w:type="dxa"/>
            <w:tcBorders>
              <w:bottom w:val="nil"/>
            </w:tcBorders>
            <w:noWrap/>
            <w:hideMark/>
          </w:tcPr>
          <w:p w14:paraId="509B62E4"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1866" w:type="dxa"/>
            <w:tcBorders>
              <w:bottom w:val="nil"/>
            </w:tcBorders>
            <w:noWrap/>
            <w:hideMark/>
          </w:tcPr>
          <w:p w14:paraId="742DA987" w14:textId="77777777" w:rsidR="00324854" w:rsidRPr="00F539AC" w:rsidRDefault="00324854" w:rsidP="0019189B">
            <w:pPr>
              <w:spacing w:after="40"/>
              <w:ind w:firstLine="180"/>
              <w:jc w:val="right"/>
              <w:rPr>
                <w:sz w:val="18"/>
                <w:szCs w:val="18"/>
              </w:rPr>
            </w:pPr>
            <w:r w:rsidRPr="00F539AC">
              <w:rPr>
                <w:sz w:val="18"/>
                <w:szCs w:val="18"/>
              </w:rPr>
              <w:t xml:space="preserve"> 3,1 </w:t>
            </w:r>
          </w:p>
        </w:tc>
        <w:tc>
          <w:tcPr>
            <w:tcW w:w="237" w:type="dxa"/>
            <w:tcBorders>
              <w:bottom w:val="nil"/>
            </w:tcBorders>
          </w:tcPr>
          <w:p w14:paraId="16CDA50B" w14:textId="77777777" w:rsidR="00324854" w:rsidRPr="00D210DE" w:rsidRDefault="00324854" w:rsidP="0019189B">
            <w:pPr>
              <w:spacing w:after="40"/>
              <w:ind w:firstLine="180"/>
              <w:jc w:val="right"/>
              <w:rPr>
                <w:sz w:val="18"/>
                <w:szCs w:val="18"/>
              </w:rPr>
            </w:pPr>
          </w:p>
        </w:tc>
        <w:tc>
          <w:tcPr>
            <w:tcW w:w="1255" w:type="dxa"/>
            <w:tcBorders>
              <w:bottom w:val="nil"/>
            </w:tcBorders>
            <w:noWrap/>
            <w:hideMark/>
          </w:tcPr>
          <w:p w14:paraId="6A415A5B"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1485" w:type="dxa"/>
            <w:tcBorders>
              <w:bottom w:val="nil"/>
            </w:tcBorders>
            <w:noWrap/>
            <w:hideMark/>
          </w:tcPr>
          <w:p w14:paraId="68343A36" w14:textId="77777777" w:rsidR="00324854" w:rsidRPr="00F539AC" w:rsidRDefault="00324854" w:rsidP="0019189B">
            <w:pPr>
              <w:spacing w:after="40"/>
              <w:ind w:firstLine="180"/>
              <w:jc w:val="right"/>
              <w:rPr>
                <w:sz w:val="18"/>
                <w:szCs w:val="18"/>
              </w:rPr>
            </w:pPr>
            <w:r w:rsidRPr="00F539AC">
              <w:rPr>
                <w:sz w:val="18"/>
                <w:szCs w:val="18"/>
              </w:rPr>
              <w:t xml:space="preserve"> 3,2 </w:t>
            </w:r>
          </w:p>
        </w:tc>
        <w:tc>
          <w:tcPr>
            <w:tcW w:w="1805" w:type="dxa"/>
            <w:tcBorders>
              <w:bottom w:val="nil"/>
            </w:tcBorders>
          </w:tcPr>
          <w:p w14:paraId="36AA0BB3"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1521" w:type="dxa"/>
            <w:tcBorders>
              <w:bottom w:val="nil"/>
            </w:tcBorders>
            <w:noWrap/>
            <w:hideMark/>
          </w:tcPr>
          <w:p w14:paraId="348FA2F3" w14:textId="77777777" w:rsidR="00324854" w:rsidRPr="00F539AC" w:rsidRDefault="00324854" w:rsidP="0019189B">
            <w:pPr>
              <w:spacing w:after="40"/>
              <w:ind w:firstLine="180"/>
              <w:jc w:val="right"/>
              <w:rPr>
                <w:sz w:val="18"/>
                <w:szCs w:val="18"/>
              </w:rPr>
            </w:pPr>
            <w:r w:rsidRPr="00F539AC">
              <w:rPr>
                <w:sz w:val="18"/>
                <w:szCs w:val="18"/>
              </w:rPr>
              <w:t xml:space="preserve"> 2,9 </w:t>
            </w:r>
          </w:p>
        </w:tc>
        <w:tc>
          <w:tcPr>
            <w:tcW w:w="1286" w:type="dxa"/>
            <w:gridSpan w:val="2"/>
            <w:tcBorders>
              <w:bottom w:val="nil"/>
            </w:tcBorders>
            <w:noWrap/>
            <w:hideMark/>
          </w:tcPr>
          <w:p w14:paraId="056B24B7" w14:textId="77777777" w:rsidR="00324854" w:rsidRPr="00F539AC" w:rsidRDefault="00324854" w:rsidP="0019189B">
            <w:pPr>
              <w:spacing w:after="40"/>
              <w:ind w:firstLine="180"/>
              <w:jc w:val="right"/>
              <w:rPr>
                <w:sz w:val="18"/>
                <w:szCs w:val="18"/>
              </w:rPr>
            </w:pPr>
            <w:r w:rsidRPr="00F539AC">
              <w:rPr>
                <w:sz w:val="18"/>
                <w:szCs w:val="18"/>
              </w:rPr>
              <w:t xml:space="preserve"> 1,6 </w:t>
            </w:r>
          </w:p>
        </w:tc>
        <w:tc>
          <w:tcPr>
            <w:tcW w:w="1766" w:type="dxa"/>
            <w:gridSpan w:val="2"/>
            <w:tcBorders>
              <w:bottom w:val="nil"/>
            </w:tcBorders>
          </w:tcPr>
          <w:p w14:paraId="7A6C2B30" w14:textId="77777777" w:rsidR="00324854" w:rsidRPr="00F539AC" w:rsidRDefault="00324854" w:rsidP="0019189B">
            <w:pPr>
              <w:spacing w:after="40"/>
              <w:ind w:firstLine="180"/>
              <w:jc w:val="right"/>
              <w:rPr>
                <w:sz w:val="18"/>
                <w:szCs w:val="18"/>
              </w:rPr>
            </w:pPr>
            <w:r w:rsidRPr="00F539AC">
              <w:rPr>
                <w:sz w:val="18"/>
                <w:szCs w:val="18"/>
              </w:rPr>
              <w:t xml:space="preserve"> 3,5 </w:t>
            </w:r>
          </w:p>
        </w:tc>
      </w:tr>
      <w:tr w:rsidR="00324854" w:rsidRPr="00D210DE" w14:paraId="7FA3F722" w14:textId="77777777" w:rsidTr="00324854">
        <w:trPr>
          <w:trHeight w:val="157"/>
        </w:trPr>
        <w:tc>
          <w:tcPr>
            <w:tcW w:w="1911" w:type="dxa"/>
            <w:tcBorders>
              <w:bottom w:val="single" w:sz="4" w:space="0" w:color="auto"/>
            </w:tcBorders>
            <w:noWrap/>
            <w:hideMark/>
          </w:tcPr>
          <w:p w14:paraId="7DC1D41A" w14:textId="77777777" w:rsidR="00324854" w:rsidRPr="00CE2F05" w:rsidRDefault="00324854" w:rsidP="0019189B">
            <w:pPr>
              <w:spacing w:after="40"/>
              <w:ind w:firstLine="180"/>
              <w:rPr>
                <w:sz w:val="18"/>
                <w:szCs w:val="18"/>
              </w:rPr>
            </w:pPr>
            <w:r w:rsidRPr="00CE2F05">
              <w:rPr>
                <w:sz w:val="18"/>
                <w:szCs w:val="18"/>
              </w:rPr>
              <w:t>2015</w:t>
            </w:r>
          </w:p>
        </w:tc>
        <w:tc>
          <w:tcPr>
            <w:tcW w:w="1610" w:type="dxa"/>
            <w:tcBorders>
              <w:bottom w:val="single" w:sz="4" w:space="0" w:color="auto"/>
            </w:tcBorders>
            <w:noWrap/>
            <w:hideMark/>
          </w:tcPr>
          <w:p w14:paraId="0FF2DF89" w14:textId="77777777" w:rsidR="00324854" w:rsidRPr="00F539AC" w:rsidRDefault="00324854" w:rsidP="0019189B">
            <w:pPr>
              <w:spacing w:after="40"/>
              <w:ind w:firstLine="180"/>
              <w:jc w:val="right"/>
              <w:rPr>
                <w:sz w:val="18"/>
                <w:szCs w:val="18"/>
              </w:rPr>
            </w:pPr>
          </w:p>
        </w:tc>
        <w:tc>
          <w:tcPr>
            <w:tcW w:w="1866" w:type="dxa"/>
            <w:tcBorders>
              <w:bottom w:val="single" w:sz="4" w:space="0" w:color="auto"/>
            </w:tcBorders>
            <w:noWrap/>
            <w:hideMark/>
          </w:tcPr>
          <w:p w14:paraId="7376486F" w14:textId="77777777" w:rsidR="00324854" w:rsidRPr="00F539AC" w:rsidRDefault="00324854" w:rsidP="0019189B">
            <w:pPr>
              <w:spacing w:after="40"/>
              <w:ind w:firstLine="180"/>
              <w:jc w:val="right"/>
              <w:rPr>
                <w:sz w:val="18"/>
                <w:szCs w:val="18"/>
              </w:rPr>
            </w:pPr>
            <w:r>
              <w:rPr>
                <w:sz w:val="18"/>
                <w:szCs w:val="18"/>
              </w:rPr>
              <w:t xml:space="preserve">2 ½ </w:t>
            </w:r>
          </w:p>
        </w:tc>
        <w:tc>
          <w:tcPr>
            <w:tcW w:w="237" w:type="dxa"/>
            <w:tcBorders>
              <w:bottom w:val="single" w:sz="4" w:space="0" w:color="auto"/>
            </w:tcBorders>
          </w:tcPr>
          <w:p w14:paraId="1BC5B6F9" w14:textId="77777777" w:rsidR="00324854" w:rsidRPr="00D210DE" w:rsidRDefault="00324854" w:rsidP="0019189B">
            <w:pPr>
              <w:spacing w:after="40"/>
              <w:ind w:firstLine="180"/>
              <w:jc w:val="right"/>
              <w:rPr>
                <w:sz w:val="18"/>
                <w:szCs w:val="18"/>
              </w:rPr>
            </w:pPr>
          </w:p>
        </w:tc>
        <w:tc>
          <w:tcPr>
            <w:tcW w:w="1255" w:type="dxa"/>
            <w:tcBorders>
              <w:bottom w:val="single" w:sz="4" w:space="0" w:color="auto"/>
            </w:tcBorders>
            <w:noWrap/>
            <w:hideMark/>
          </w:tcPr>
          <w:p w14:paraId="0B09309F" w14:textId="77777777" w:rsidR="00324854" w:rsidRPr="00F539AC" w:rsidRDefault="00324854" w:rsidP="0019189B">
            <w:pPr>
              <w:spacing w:after="40"/>
              <w:ind w:firstLine="180"/>
              <w:jc w:val="right"/>
              <w:rPr>
                <w:sz w:val="18"/>
                <w:szCs w:val="18"/>
              </w:rPr>
            </w:pPr>
          </w:p>
        </w:tc>
        <w:tc>
          <w:tcPr>
            <w:tcW w:w="1485" w:type="dxa"/>
            <w:tcBorders>
              <w:bottom w:val="single" w:sz="4" w:space="0" w:color="auto"/>
            </w:tcBorders>
            <w:noWrap/>
            <w:hideMark/>
          </w:tcPr>
          <w:p w14:paraId="7A9B0625" w14:textId="77777777" w:rsidR="00324854" w:rsidRPr="00F539AC" w:rsidRDefault="00324854" w:rsidP="0019189B">
            <w:pPr>
              <w:spacing w:after="40"/>
              <w:ind w:firstLine="180"/>
              <w:jc w:val="right"/>
              <w:rPr>
                <w:sz w:val="18"/>
                <w:szCs w:val="18"/>
              </w:rPr>
            </w:pPr>
            <w:r>
              <w:rPr>
                <w:sz w:val="18"/>
                <w:szCs w:val="18"/>
              </w:rPr>
              <w:t>2 ½</w:t>
            </w:r>
          </w:p>
        </w:tc>
        <w:tc>
          <w:tcPr>
            <w:tcW w:w="1805" w:type="dxa"/>
            <w:tcBorders>
              <w:bottom w:val="single" w:sz="4" w:space="0" w:color="auto"/>
            </w:tcBorders>
          </w:tcPr>
          <w:p w14:paraId="2847B719" w14:textId="77777777" w:rsidR="00324854" w:rsidRPr="00F539AC" w:rsidRDefault="00324854" w:rsidP="0019189B">
            <w:pPr>
              <w:spacing w:after="40"/>
              <w:ind w:firstLine="180"/>
              <w:jc w:val="right"/>
              <w:rPr>
                <w:sz w:val="18"/>
                <w:szCs w:val="18"/>
              </w:rPr>
            </w:pPr>
            <w:r>
              <w:rPr>
                <w:sz w:val="18"/>
                <w:szCs w:val="18"/>
              </w:rPr>
              <w:t>2 ½</w:t>
            </w:r>
          </w:p>
        </w:tc>
        <w:tc>
          <w:tcPr>
            <w:tcW w:w="1521" w:type="dxa"/>
            <w:tcBorders>
              <w:bottom w:val="single" w:sz="4" w:space="0" w:color="auto"/>
            </w:tcBorders>
            <w:noWrap/>
            <w:hideMark/>
          </w:tcPr>
          <w:p w14:paraId="62480515" w14:textId="77777777" w:rsidR="00324854" w:rsidRPr="00F539AC" w:rsidRDefault="00324854" w:rsidP="0019189B">
            <w:pPr>
              <w:spacing w:after="40"/>
              <w:ind w:firstLine="180"/>
              <w:jc w:val="right"/>
              <w:rPr>
                <w:sz w:val="18"/>
                <w:szCs w:val="18"/>
              </w:rPr>
            </w:pPr>
            <w:r w:rsidRPr="00F539AC">
              <w:rPr>
                <w:sz w:val="18"/>
                <w:szCs w:val="18"/>
              </w:rPr>
              <w:t>4,2</w:t>
            </w:r>
          </w:p>
        </w:tc>
        <w:tc>
          <w:tcPr>
            <w:tcW w:w="1286" w:type="dxa"/>
            <w:gridSpan w:val="2"/>
            <w:tcBorders>
              <w:bottom w:val="single" w:sz="4" w:space="0" w:color="auto"/>
            </w:tcBorders>
            <w:noWrap/>
            <w:hideMark/>
          </w:tcPr>
          <w:p w14:paraId="7FF7F002" w14:textId="77777777" w:rsidR="00324854" w:rsidRPr="00F539AC" w:rsidRDefault="00324854" w:rsidP="0019189B">
            <w:pPr>
              <w:spacing w:after="40"/>
              <w:ind w:firstLine="180"/>
              <w:jc w:val="right"/>
              <w:rPr>
                <w:sz w:val="18"/>
                <w:szCs w:val="18"/>
              </w:rPr>
            </w:pPr>
          </w:p>
        </w:tc>
        <w:tc>
          <w:tcPr>
            <w:tcW w:w="1766" w:type="dxa"/>
            <w:gridSpan w:val="2"/>
            <w:tcBorders>
              <w:bottom w:val="single" w:sz="4" w:space="0" w:color="auto"/>
            </w:tcBorders>
          </w:tcPr>
          <w:p w14:paraId="65BF86D1" w14:textId="77777777" w:rsidR="00324854" w:rsidRPr="00F539AC" w:rsidRDefault="00324854" w:rsidP="0019189B">
            <w:pPr>
              <w:spacing w:after="40"/>
              <w:ind w:firstLine="180"/>
              <w:jc w:val="right"/>
              <w:rPr>
                <w:sz w:val="18"/>
                <w:szCs w:val="18"/>
              </w:rPr>
            </w:pPr>
            <w:r w:rsidRPr="00F539AC">
              <w:rPr>
                <w:sz w:val="18"/>
                <w:szCs w:val="18"/>
              </w:rPr>
              <w:t>3,3</w:t>
            </w:r>
          </w:p>
        </w:tc>
      </w:tr>
      <w:tr w:rsidR="00324854" w:rsidRPr="00D210DE" w14:paraId="5AFCB5FF" w14:textId="77777777" w:rsidTr="00324854">
        <w:trPr>
          <w:trHeight w:val="165"/>
        </w:trPr>
        <w:tc>
          <w:tcPr>
            <w:tcW w:w="1911" w:type="dxa"/>
            <w:tcBorders>
              <w:top w:val="single" w:sz="4" w:space="0" w:color="auto"/>
            </w:tcBorders>
            <w:noWrap/>
            <w:hideMark/>
          </w:tcPr>
          <w:p w14:paraId="504CD32E" w14:textId="77777777" w:rsidR="00324854" w:rsidRPr="00CE2F05" w:rsidRDefault="00324854" w:rsidP="0019189B">
            <w:pPr>
              <w:spacing w:after="40"/>
              <w:ind w:firstLine="180"/>
              <w:rPr>
                <w:sz w:val="18"/>
                <w:szCs w:val="18"/>
              </w:rPr>
            </w:pPr>
            <w:r w:rsidRPr="00CE2F05">
              <w:rPr>
                <w:sz w:val="18"/>
                <w:szCs w:val="18"/>
              </w:rPr>
              <w:t>200</w:t>
            </w:r>
            <w:r>
              <w:rPr>
                <w:sz w:val="18"/>
                <w:szCs w:val="18"/>
              </w:rPr>
              <w:t>4</w:t>
            </w:r>
            <w:r w:rsidRPr="00CE2F05">
              <w:rPr>
                <w:sz w:val="18"/>
                <w:szCs w:val="18"/>
              </w:rPr>
              <w:t>-</w:t>
            </w:r>
            <w:r>
              <w:rPr>
                <w:sz w:val="18"/>
                <w:szCs w:val="18"/>
              </w:rPr>
              <w:t>20</w:t>
            </w:r>
            <w:r w:rsidRPr="00CE2F05">
              <w:rPr>
                <w:sz w:val="18"/>
                <w:szCs w:val="18"/>
              </w:rPr>
              <w:t>1</w:t>
            </w:r>
            <w:r>
              <w:rPr>
                <w:sz w:val="18"/>
                <w:szCs w:val="18"/>
              </w:rPr>
              <w:t>4</w:t>
            </w:r>
          </w:p>
        </w:tc>
        <w:tc>
          <w:tcPr>
            <w:tcW w:w="1610" w:type="dxa"/>
            <w:tcBorders>
              <w:top w:val="single" w:sz="4" w:space="0" w:color="auto"/>
            </w:tcBorders>
            <w:noWrap/>
            <w:hideMark/>
          </w:tcPr>
          <w:p w14:paraId="2E4E610E" w14:textId="77777777" w:rsidR="00324854" w:rsidRPr="00F539AC" w:rsidRDefault="00324854" w:rsidP="0019189B">
            <w:pPr>
              <w:spacing w:after="40"/>
              <w:ind w:firstLine="180"/>
              <w:jc w:val="right"/>
              <w:rPr>
                <w:sz w:val="18"/>
                <w:szCs w:val="18"/>
              </w:rPr>
            </w:pPr>
          </w:p>
        </w:tc>
        <w:tc>
          <w:tcPr>
            <w:tcW w:w="1866" w:type="dxa"/>
            <w:tcBorders>
              <w:top w:val="single" w:sz="4" w:space="0" w:color="auto"/>
            </w:tcBorders>
            <w:noWrap/>
            <w:hideMark/>
          </w:tcPr>
          <w:p w14:paraId="0FEE2BA8" w14:textId="77777777" w:rsidR="00324854" w:rsidRPr="00F539AC" w:rsidRDefault="00324854" w:rsidP="0019189B">
            <w:pPr>
              <w:spacing w:after="40"/>
              <w:ind w:firstLine="180"/>
              <w:jc w:val="right"/>
              <w:rPr>
                <w:sz w:val="18"/>
                <w:szCs w:val="18"/>
              </w:rPr>
            </w:pPr>
            <w:r w:rsidRPr="00F539AC">
              <w:rPr>
                <w:sz w:val="18"/>
                <w:szCs w:val="18"/>
              </w:rPr>
              <w:t>39,1</w:t>
            </w:r>
          </w:p>
        </w:tc>
        <w:tc>
          <w:tcPr>
            <w:tcW w:w="237" w:type="dxa"/>
            <w:tcBorders>
              <w:top w:val="single" w:sz="4" w:space="0" w:color="auto"/>
            </w:tcBorders>
          </w:tcPr>
          <w:p w14:paraId="3F0D9024" w14:textId="77777777" w:rsidR="00324854" w:rsidRPr="00F539AC" w:rsidRDefault="00324854" w:rsidP="0019189B">
            <w:pPr>
              <w:autoSpaceDE w:val="0"/>
              <w:autoSpaceDN w:val="0"/>
              <w:adjustRightInd w:val="0"/>
              <w:spacing w:after="40"/>
              <w:ind w:firstLine="180"/>
              <w:jc w:val="right"/>
              <w:rPr>
                <w:sz w:val="18"/>
                <w:szCs w:val="18"/>
              </w:rPr>
            </w:pPr>
          </w:p>
        </w:tc>
        <w:tc>
          <w:tcPr>
            <w:tcW w:w="1255" w:type="dxa"/>
            <w:tcBorders>
              <w:top w:val="single" w:sz="4" w:space="0" w:color="auto"/>
            </w:tcBorders>
            <w:noWrap/>
            <w:hideMark/>
          </w:tcPr>
          <w:p w14:paraId="065F9331" w14:textId="77777777" w:rsidR="00324854" w:rsidRPr="00F539AC" w:rsidRDefault="00324854" w:rsidP="0019189B">
            <w:pPr>
              <w:spacing w:after="40"/>
              <w:ind w:firstLine="180"/>
              <w:jc w:val="right"/>
              <w:rPr>
                <w:sz w:val="18"/>
                <w:szCs w:val="18"/>
              </w:rPr>
            </w:pPr>
            <w:r w:rsidRPr="00F539AC">
              <w:rPr>
                <w:sz w:val="18"/>
                <w:szCs w:val="18"/>
              </w:rPr>
              <w:t>58,4</w:t>
            </w:r>
          </w:p>
        </w:tc>
        <w:tc>
          <w:tcPr>
            <w:tcW w:w="1485" w:type="dxa"/>
            <w:tcBorders>
              <w:top w:val="single" w:sz="4" w:space="0" w:color="auto"/>
            </w:tcBorders>
            <w:noWrap/>
            <w:hideMark/>
          </w:tcPr>
          <w:p w14:paraId="1B9E77AD" w14:textId="77777777" w:rsidR="00324854" w:rsidRPr="00F539AC" w:rsidRDefault="00324854" w:rsidP="0019189B">
            <w:pPr>
              <w:spacing w:after="40"/>
              <w:ind w:firstLine="180"/>
              <w:jc w:val="right"/>
              <w:rPr>
                <w:sz w:val="18"/>
                <w:szCs w:val="18"/>
              </w:rPr>
            </w:pPr>
            <w:r w:rsidRPr="00F539AC">
              <w:rPr>
                <w:sz w:val="18"/>
                <w:szCs w:val="18"/>
              </w:rPr>
              <w:t>56,7</w:t>
            </w:r>
          </w:p>
        </w:tc>
        <w:tc>
          <w:tcPr>
            <w:tcW w:w="1805" w:type="dxa"/>
            <w:tcBorders>
              <w:top w:val="single" w:sz="4" w:space="0" w:color="auto"/>
            </w:tcBorders>
          </w:tcPr>
          <w:p w14:paraId="2961D628" w14:textId="77777777" w:rsidR="00324854" w:rsidRPr="00F539AC" w:rsidRDefault="00324854" w:rsidP="0019189B">
            <w:pPr>
              <w:spacing w:after="40"/>
              <w:ind w:firstLine="180"/>
              <w:jc w:val="right"/>
              <w:rPr>
                <w:sz w:val="18"/>
                <w:szCs w:val="18"/>
              </w:rPr>
            </w:pPr>
            <w:r w:rsidRPr="00F539AC">
              <w:rPr>
                <w:sz w:val="18"/>
                <w:szCs w:val="18"/>
              </w:rPr>
              <w:t>53,8</w:t>
            </w:r>
          </w:p>
        </w:tc>
        <w:tc>
          <w:tcPr>
            <w:tcW w:w="1521" w:type="dxa"/>
            <w:tcBorders>
              <w:top w:val="single" w:sz="4" w:space="0" w:color="auto"/>
            </w:tcBorders>
            <w:noWrap/>
            <w:hideMark/>
          </w:tcPr>
          <w:p w14:paraId="296179C0" w14:textId="77777777" w:rsidR="00324854" w:rsidRPr="00F539AC" w:rsidRDefault="00324854" w:rsidP="0019189B">
            <w:pPr>
              <w:spacing w:after="40"/>
              <w:ind w:firstLine="180"/>
              <w:jc w:val="right"/>
              <w:rPr>
                <w:sz w:val="18"/>
                <w:szCs w:val="18"/>
              </w:rPr>
            </w:pPr>
            <w:r w:rsidRPr="00F539AC">
              <w:rPr>
                <w:sz w:val="18"/>
                <w:szCs w:val="18"/>
              </w:rPr>
              <w:t>64,8</w:t>
            </w:r>
          </w:p>
        </w:tc>
        <w:tc>
          <w:tcPr>
            <w:tcW w:w="1286" w:type="dxa"/>
            <w:gridSpan w:val="2"/>
            <w:tcBorders>
              <w:top w:val="single" w:sz="4" w:space="0" w:color="auto"/>
            </w:tcBorders>
            <w:noWrap/>
            <w:hideMark/>
          </w:tcPr>
          <w:p w14:paraId="1B887D97" w14:textId="77777777" w:rsidR="00324854" w:rsidRPr="00F539AC" w:rsidRDefault="00324854" w:rsidP="0019189B">
            <w:pPr>
              <w:spacing w:after="40"/>
              <w:ind w:firstLine="180"/>
              <w:jc w:val="right"/>
              <w:rPr>
                <w:sz w:val="18"/>
                <w:szCs w:val="18"/>
              </w:rPr>
            </w:pPr>
            <w:r w:rsidRPr="00F539AC">
              <w:rPr>
                <w:sz w:val="18"/>
                <w:szCs w:val="18"/>
              </w:rPr>
              <w:t>41,0</w:t>
            </w:r>
          </w:p>
        </w:tc>
        <w:tc>
          <w:tcPr>
            <w:tcW w:w="1766" w:type="dxa"/>
            <w:gridSpan w:val="2"/>
            <w:tcBorders>
              <w:top w:val="single" w:sz="4" w:space="0" w:color="auto"/>
            </w:tcBorders>
          </w:tcPr>
          <w:p w14:paraId="5E46BE3B" w14:textId="77777777" w:rsidR="00324854" w:rsidRPr="00F539AC" w:rsidRDefault="00324854" w:rsidP="0019189B">
            <w:pPr>
              <w:spacing w:after="40"/>
              <w:ind w:firstLine="180"/>
              <w:jc w:val="right"/>
              <w:rPr>
                <w:sz w:val="18"/>
                <w:szCs w:val="18"/>
              </w:rPr>
            </w:pPr>
            <w:r w:rsidRPr="00F539AC">
              <w:rPr>
                <w:sz w:val="18"/>
                <w:szCs w:val="18"/>
              </w:rPr>
              <w:t>44,2</w:t>
            </w:r>
          </w:p>
        </w:tc>
      </w:tr>
      <w:tr w:rsidR="00324854" w:rsidRPr="00D210DE" w14:paraId="441F5BF2" w14:textId="77777777" w:rsidTr="00324854">
        <w:trPr>
          <w:trHeight w:val="235"/>
        </w:trPr>
        <w:tc>
          <w:tcPr>
            <w:tcW w:w="1911" w:type="dxa"/>
            <w:noWrap/>
            <w:hideMark/>
          </w:tcPr>
          <w:p w14:paraId="2BDEEC4D" w14:textId="77777777" w:rsidR="00324854" w:rsidRPr="00CE2F05" w:rsidRDefault="00324854" w:rsidP="0019189B">
            <w:pPr>
              <w:spacing w:after="40"/>
              <w:ind w:firstLine="180"/>
              <w:rPr>
                <w:sz w:val="18"/>
                <w:szCs w:val="18"/>
              </w:rPr>
            </w:pPr>
            <w:r w:rsidRPr="00CE2F05">
              <w:rPr>
                <w:sz w:val="18"/>
                <w:szCs w:val="18"/>
              </w:rPr>
              <w:t>Gj. sn. per år</w:t>
            </w:r>
          </w:p>
        </w:tc>
        <w:tc>
          <w:tcPr>
            <w:tcW w:w="1610" w:type="dxa"/>
            <w:noWrap/>
            <w:hideMark/>
          </w:tcPr>
          <w:p w14:paraId="221C18B2" w14:textId="77777777" w:rsidR="00324854" w:rsidRPr="00F539AC" w:rsidRDefault="00324854" w:rsidP="0019189B">
            <w:pPr>
              <w:spacing w:after="40"/>
              <w:ind w:firstLine="180"/>
              <w:jc w:val="right"/>
              <w:rPr>
                <w:sz w:val="18"/>
                <w:szCs w:val="18"/>
              </w:rPr>
            </w:pPr>
          </w:p>
        </w:tc>
        <w:tc>
          <w:tcPr>
            <w:tcW w:w="1866" w:type="dxa"/>
            <w:noWrap/>
            <w:hideMark/>
          </w:tcPr>
          <w:p w14:paraId="2AEC2C86" w14:textId="77777777" w:rsidR="00324854" w:rsidRPr="00F539AC" w:rsidRDefault="00324854" w:rsidP="0019189B">
            <w:pPr>
              <w:spacing w:after="40"/>
              <w:ind w:firstLine="180"/>
              <w:jc w:val="right"/>
              <w:rPr>
                <w:sz w:val="18"/>
                <w:szCs w:val="18"/>
              </w:rPr>
            </w:pPr>
            <w:r w:rsidRPr="00F539AC">
              <w:rPr>
                <w:sz w:val="18"/>
                <w:szCs w:val="18"/>
              </w:rPr>
              <w:t>3,4</w:t>
            </w:r>
          </w:p>
        </w:tc>
        <w:tc>
          <w:tcPr>
            <w:tcW w:w="237" w:type="dxa"/>
          </w:tcPr>
          <w:p w14:paraId="4174CB93" w14:textId="77777777" w:rsidR="00324854" w:rsidRPr="00F539AC" w:rsidRDefault="00324854" w:rsidP="0019189B">
            <w:pPr>
              <w:autoSpaceDE w:val="0"/>
              <w:autoSpaceDN w:val="0"/>
              <w:adjustRightInd w:val="0"/>
              <w:spacing w:after="40"/>
              <w:ind w:firstLine="180"/>
              <w:jc w:val="right"/>
              <w:rPr>
                <w:sz w:val="18"/>
                <w:szCs w:val="18"/>
              </w:rPr>
            </w:pPr>
          </w:p>
        </w:tc>
        <w:tc>
          <w:tcPr>
            <w:tcW w:w="1255" w:type="dxa"/>
            <w:noWrap/>
            <w:hideMark/>
          </w:tcPr>
          <w:p w14:paraId="38B29767" w14:textId="77777777" w:rsidR="00324854" w:rsidRPr="00F539AC" w:rsidRDefault="00324854" w:rsidP="0019189B">
            <w:pPr>
              <w:spacing w:after="40"/>
              <w:ind w:firstLine="180"/>
              <w:jc w:val="right"/>
              <w:rPr>
                <w:sz w:val="18"/>
                <w:szCs w:val="18"/>
              </w:rPr>
            </w:pPr>
            <w:r w:rsidRPr="00F539AC">
              <w:rPr>
                <w:sz w:val="18"/>
                <w:szCs w:val="18"/>
              </w:rPr>
              <w:t>4,7</w:t>
            </w:r>
          </w:p>
        </w:tc>
        <w:tc>
          <w:tcPr>
            <w:tcW w:w="1485" w:type="dxa"/>
            <w:noWrap/>
            <w:hideMark/>
          </w:tcPr>
          <w:p w14:paraId="36670B75" w14:textId="77777777" w:rsidR="00324854" w:rsidRPr="00F539AC" w:rsidRDefault="00324854" w:rsidP="0019189B">
            <w:pPr>
              <w:spacing w:after="40"/>
              <w:ind w:firstLine="180"/>
              <w:jc w:val="right"/>
              <w:rPr>
                <w:sz w:val="18"/>
                <w:szCs w:val="18"/>
              </w:rPr>
            </w:pPr>
            <w:r w:rsidRPr="00F539AC">
              <w:rPr>
                <w:sz w:val="18"/>
                <w:szCs w:val="18"/>
              </w:rPr>
              <w:t>4,6</w:t>
            </w:r>
          </w:p>
        </w:tc>
        <w:tc>
          <w:tcPr>
            <w:tcW w:w="1805" w:type="dxa"/>
          </w:tcPr>
          <w:p w14:paraId="2A2F5475" w14:textId="77777777" w:rsidR="00324854" w:rsidRPr="00F539AC" w:rsidRDefault="00324854" w:rsidP="0019189B">
            <w:pPr>
              <w:spacing w:after="40"/>
              <w:ind w:firstLine="180"/>
              <w:jc w:val="right"/>
              <w:rPr>
                <w:sz w:val="18"/>
                <w:szCs w:val="18"/>
              </w:rPr>
            </w:pPr>
            <w:r w:rsidRPr="00F539AC">
              <w:rPr>
                <w:sz w:val="18"/>
                <w:szCs w:val="18"/>
              </w:rPr>
              <w:t>4,4</w:t>
            </w:r>
          </w:p>
        </w:tc>
        <w:tc>
          <w:tcPr>
            <w:tcW w:w="1521" w:type="dxa"/>
            <w:noWrap/>
            <w:hideMark/>
          </w:tcPr>
          <w:p w14:paraId="74C7D4E2" w14:textId="77777777" w:rsidR="00324854" w:rsidRPr="00F539AC" w:rsidRDefault="00324854" w:rsidP="0019189B">
            <w:pPr>
              <w:spacing w:after="40"/>
              <w:ind w:firstLine="180"/>
              <w:jc w:val="right"/>
              <w:rPr>
                <w:sz w:val="18"/>
                <w:szCs w:val="18"/>
              </w:rPr>
            </w:pPr>
            <w:r w:rsidRPr="00F539AC">
              <w:rPr>
                <w:sz w:val="18"/>
                <w:szCs w:val="18"/>
              </w:rPr>
              <w:t>5,1</w:t>
            </w:r>
          </w:p>
        </w:tc>
        <w:tc>
          <w:tcPr>
            <w:tcW w:w="1286" w:type="dxa"/>
            <w:gridSpan w:val="2"/>
            <w:noWrap/>
            <w:hideMark/>
          </w:tcPr>
          <w:p w14:paraId="313ECDC6" w14:textId="77777777" w:rsidR="00324854" w:rsidRPr="00F539AC" w:rsidRDefault="00324854" w:rsidP="0019189B">
            <w:pPr>
              <w:spacing w:after="40"/>
              <w:ind w:firstLine="180"/>
              <w:jc w:val="right"/>
              <w:rPr>
                <w:sz w:val="18"/>
                <w:szCs w:val="18"/>
              </w:rPr>
            </w:pPr>
            <w:r w:rsidRPr="00F539AC">
              <w:rPr>
                <w:sz w:val="18"/>
                <w:szCs w:val="18"/>
              </w:rPr>
              <w:t>3,5</w:t>
            </w:r>
          </w:p>
        </w:tc>
        <w:tc>
          <w:tcPr>
            <w:tcW w:w="1766" w:type="dxa"/>
            <w:gridSpan w:val="2"/>
          </w:tcPr>
          <w:p w14:paraId="5168FF84" w14:textId="77777777" w:rsidR="00324854" w:rsidRPr="00F539AC" w:rsidRDefault="00324854" w:rsidP="0019189B">
            <w:pPr>
              <w:spacing w:after="40"/>
              <w:ind w:firstLine="180"/>
              <w:jc w:val="right"/>
              <w:rPr>
                <w:sz w:val="18"/>
                <w:szCs w:val="18"/>
              </w:rPr>
            </w:pPr>
            <w:r w:rsidRPr="00F539AC">
              <w:rPr>
                <w:sz w:val="18"/>
                <w:szCs w:val="18"/>
              </w:rPr>
              <w:t>3,7</w:t>
            </w:r>
          </w:p>
        </w:tc>
      </w:tr>
      <w:tr w:rsidR="00324854" w:rsidRPr="00D210DE" w14:paraId="08310320" w14:textId="77777777" w:rsidTr="00324854">
        <w:trPr>
          <w:trHeight w:val="165"/>
        </w:trPr>
        <w:tc>
          <w:tcPr>
            <w:tcW w:w="1911" w:type="dxa"/>
            <w:noWrap/>
            <w:hideMark/>
          </w:tcPr>
          <w:p w14:paraId="02172976" w14:textId="77777777" w:rsidR="00324854" w:rsidRPr="00D210DE" w:rsidRDefault="00324854" w:rsidP="0019189B">
            <w:pPr>
              <w:spacing w:after="0"/>
              <w:ind w:firstLine="180"/>
              <w:rPr>
                <w:rFonts w:ascii="Times New Roman" w:hAnsi="Times New Roman"/>
                <w:sz w:val="18"/>
                <w:szCs w:val="18"/>
              </w:rPr>
            </w:pPr>
            <w:r w:rsidRPr="00D210DE">
              <w:rPr>
                <w:rFonts w:ascii="Times New Roman" w:hAnsi="Times New Roman"/>
                <w:sz w:val="18"/>
                <w:szCs w:val="18"/>
              </w:rPr>
              <w:t>Årslønn 201</w:t>
            </w:r>
            <w:r>
              <w:rPr>
                <w:rFonts w:ascii="Times New Roman" w:hAnsi="Times New Roman"/>
                <w:sz w:val="18"/>
                <w:szCs w:val="18"/>
              </w:rPr>
              <w:t>4</w:t>
            </w:r>
          </w:p>
        </w:tc>
        <w:tc>
          <w:tcPr>
            <w:tcW w:w="1610" w:type="dxa"/>
            <w:noWrap/>
            <w:hideMark/>
          </w:tcPr>
          <w:p w14:paraId="4D9E3F7A" w14:textId="77777777" w:rsidR="00324854" w:rsidRPr="00F539AC" w:rsidRDefault="00324854" w:rsidP="0019189B">
            <w:pPr>
              <w:spacing w:after="40"/>
              <w:ind w:firstLine="180"/>
              <w:jc w:val="right"/>
              <w:rPr>
                <w:sz w:val="18"/>
                <w:szCs w:val="18"/>
              </w:rPr>
            </w:pPr>
            <w:r w:rsidRPr="00F539AC">
              <w:rPr>
                <w:sz w:val="18"/>
                <w:szCs w:val="18"/>
              </w:rPr>
              <w:t>393 000</w:t>
            </w:r>
          </w:p>
        </w:tc>
        <w:tc>
          <w:tcPr>
            <w:tcW w:w="1866" w:type="dxa"/>
            <w:noWrap/>
            <w:hideMark/>
          </w:tcPr>
          <w:p w14:paraId="4AF5FA39" w14:textId="77777777" w:rsidR="00324854" w:rsidRPr="00F539AC" w:rsidRDefault="00324854" w:rsidP="0019189B">
            <w:pPr>
              <w:spacing w:after="40"/>
              <w:ind w:firstLine="180"/>
              <w:jc w:val="right"/>
              <w:rPr>
                <w:sz w:val="18"/>
                <w:szCs w:val="18"/>
              </w:rPr>
            </w:pPr>
            <w:r w:rsidRPr="00F539AC">
              <w:rPr>
                <w:sz w:val="18"/>
                <w:szCs w:val="18"/>
              </w:rPr>
              <w:t>336 000</w:t>
            </w:r>
          </w:p>
        </w:tc>
        <w:tc>
          <w:tcPr>
            <w:tcW w:w="237" w:type="dxa"/>
          </w:tcPr>
          <w:p w14:paraId="598D3173" w14:textId="77777777" w:rsidR="00324854" w:rsidRPr="00F539AC" w:rsidRDefault="00324854" w:rsidP="0019189B">
            <w:pPr>
              <w:autoSpaceDE w:val="0"/>
              <w:autoSpaceDN w:val="0"/>
              <w:adjustRightInd w:val="0"/>
              <w:spacing w:after="40"/>
              <w:ind w:firstLine="180"/>
              <w:jc w:val="right"/>
              <w:rPr>
                <w:sz w:val="18"/>
                <w:szCs w:val="18"/>
              </w:rPr>
            </w:pPr>
          </w:p>
        </w:tc>
        <w:tc>
          <w:tcPr>
            <w:tcW w:w="1255" w:type="dxa"/>
            <w:noWrap/>
            <w:hideMark/>
          </w:tcPr>
          <w:p w14:paraId="18AEF354" w14:textId="77777777" w:rsidR="00324854" w:rsidRPr="00F539AC" w:rsidRDefault="00324854" w:rsidP="0019189B">
            <w:pPr>
              <w:spacing w:after="40"/>
              <w:ind w:firstLine="180"/>
              <w:jc w:val="right"/>
              <w:rPr>
                <w:sz w:val="18"/>
                <w:szCs w:val="18"/>
              </w:rPr>
            </w:pPr>
            <w:r w:rsidRPr="00F539AC">
              <w:rPr>
                <w:sz w:val="18"/>
                <w:szCs w:val="18"/>
              </w:rPr>
              <w:t>672 300</w:t>
            </w:r>
          </w:p>
        </w:tc>
        <w:tc>
          <w:tcPr>
            <w:tcW w:w="1485" w:type="dxa"/>
            <w:noWrap/>
            <w:hideMark/>
          </w:tcPr>
          <w:p w14:paraId="0AB99C3C" w14:textId="77777777" w:rsidR="00324854" w:rsidRPr="00F539AC" w:rsidRDefault="00324854" w:rsidP="0019189B">
            <w:pPr>
              <w:spacing w:after="40"/>
              <w:ind w:firstLine="180"/>
              <w:jc w:val="right"/>
              <w:rPr>
                <w:sz w:val="18"/>
                <w:szCs w:val="18"/>
              </w:rPr>
            </w:pPr>
            <w:r w:rsidRPr="00F539AC">
              <w:rPr>
                <w:sz w:val="18"/>
                <w:szCs w:val="18"/>
              </w:rPr>
              <w:t>669 500</w:t>
            </w:r>
          </w:p>
        </w:tc>
        <w:tc>
          <w:tcPr>
            <w:tcW w:w="1805" w:type="dxa"/>
          </w:tcPr>
          <w:p w14:paraId="0DAB5E8D" w14:textId="77777777" w:rsidR="00324854" w:rsidRPr="00F539AC" w:rsidRDefault="00324854" w:rsidP="0019189B">
            <w:pPr>
              <w:spacing w:after="40"/>
              <w:ind w:firstLine="180"/>
              <w:jc w:val="right"/>
              <w:rPr>
                <w:sz w:val="18"/>
                <w:szCs w:val="18"/>
              </w:rPr>
            </w:pPr>
            <w:r w:rsidRPr="00F539AC">
              <w:rPr>
                <w:sz w:val="18"/>
                <w:szCs w:val="18"/>
              </w:rPr>
              <w:t>538 700</w:t>
            </w:r>
          </w:p>
        </w:tc>
        <w:tc>
          <w:tcPr>
            <w:tcW w:w="1521" w:type="dxa"/>
            <w:noWrap/>
            <w:hideMark/>
          </w:tcPr>
          <w:p w14:paraId="0256F5E8" w14:textId="77777777" w:rsidR="00324854" w:rsidRPr="00F539AC" w:rsidRDefault="00324854" w:rsidP="0019189B">
            <w:pPr>
              <w:spacing w:after="40"/>
              <w:ind w:firstLine="180"/>
              <w:jc w:val="right"/>
              <w:rPr>
                <w:sz w:val="18"/>
                <w:szCs w:val="18"/>
              </w:rPr>
            </w:pPr>
            <w:r w:rsidRPr="00F539AC">
              <w:rPr>
                <w:sz w:val="18"/>
                <w:szCs w:val="18"/>
              </w:rPr>
              <w:t>6</w:t>
            </w:r>
            <w:r>
              <w:rPr>
                <w:sz w:val="18"/>
                <w:szCs w:val="18"/>
              </w:rPr>
              <w:t>59</w:t>
            </w:r>
            <w:r w:rsidRPr="00F539AC">
              <w:rPr>
                <w:sz w:val="18"/>
                <w:szCs w:val="18"/>
              </w:rPr>
              <w:t xml:space="preserve"> </w:t>
            </w:r>
            <w:r>
              <w:rPr>
                <w:sz w:val="18"/>
                <w:szCs w:val="18"/>
              </w:rPr>
              <w:t>3</w:t>
            </w:r>
            <w:r w:rsidRPr="00F539AC">
              <w:rPr>
                <w:sz w:val="18"/>
                <w:szCs w:val="18"/>
              </w:rPr>
              <w:t>00</w:t>
            </w:r>
          </w:p>
        </w:tc>
        <w:tc>
          <w:tcPr>
            <w:tcW w:w="1286" w:type="dxa"/>
            <w:gridSpan w:val="2"/>
            <w:noWrap/>
            <w:hideMark/>
          </w:tcPr>
          <w:p w14:paraId="5D247EF9" w14:textId="77777777" w:rsidR="00324854" w:rsidRPr="00F539AC" w:rsidRDefault="00324854" w:rsidP="0019189B">
            <w:pPr>
              <w:spacing w:after="40"/>
              <w:ind w:firstLine="180"/>
              <w:jc w:val="right"/>
              <w:rPr>
                <w:sz w:val="18"/>
                <w:szCs w:val="18"/>
              </w:rPr>
            </w:pPr>
            <w:r w:rsidRPr="00F539AC">
              <w:rPr>
                <w:sz w:val="18"/>
                <w:szCs w:val="18"/>
              </w:rPr>
              <w:t>440 800</w:t>
            </w:r>
          </w:p>
        </w:tc>
        <w:tc>
          <w:tcPr>
            <w:tcW w:w="1766" w:type="dxa"/>
            <w:gridSpan w:val="2"/>
          </w:tcPr>
          <w:p w14:paraId="5C28116A" w14:textId="77777777" w:rsidR="00324854" w:rsidRPr="00F539AC" w:rsidRDefault="00324854" w:rsidP="0019189B">
            <w:pPr>
              <w:spacing w:after="40"/>
              <w:ind w:firstLine="180"/>
              <w:jc w:val="right"/>
              <w:rPr>
                <w:sz w:val="18"/>
                <w:szCs w:val="18"/>
              </w:rPr>
            </w:pPr>
            <w:r w:rsidRPr="00F539AC">
              <w:rPr>
                <w:sz w:val="18"/>
                <w:szCs w:val="18"/>
              </w:rPr>
              <w:t>457 700</w:t>
            </w:r>
          </w:p>
        </w:tc>
      </w:tr>
    </w:tbl>
    <w:p w14:paraId="5B51A084" w14:textId="77777777" w:rsidR="00324854" w:rsidRDefault="00324854" w:rsidP="00324854">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r w:rsidRPr="00F37674">
        <w:rPr>
          <w:sz w:val="18"/>
          <w:szCs w:val="18"/>
        </w:rPr>
        <w:tab/>
      </w:r>
    </w:p>
    <w:p w14:paraId="27688BDE" w14:textId="77777777" w:rsidR="00324854" w:rsidRDefault="00324854" w:rsidP="00324854">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p>
    <w:p w14:paraId="6587C324" w14:textId="77777777" w:rsidR="00324854" w:rsidRPr="00F37674" w:rsidRDefault="00324854" w:rsidP="00324854">
      <w:pPr>
        <w:tabs>
          <w:tab w:val="left" w:pos="1182"/>
          <w:tab w:val="left" w:pos="3587"/>
          <w:tab w:val="left" w:pos="4671"/>
          <w:tab w:val="left" w:pos="5672"/>
          <w:tab w:val="left" w:pos="6844"/>
          <w:tab w:val="left" w:pos="8246"/>
          <w:tab w:val="left" w:pos="9773"/>
          <w:tab w:val="left" w:pos="11099"/>
          <w:tab w:val="left" w:pos="12326"/>
          <w:tab w:val="left" w:pos="13476"/>
          <w:tab w:val="left" w:pos="14653"/>
          <w:tab w:val="left" w:pos="15869"/>
        </w:tabs>
        <w:spacing w:after="0"/>
        <w:ind w:left="55"/>
        <w:rPr>
          <w:sz w:val="18"/>
          <w:szCs w:val="18"/>
        </w:rPr>
      </w:pPr>
    </w:p>
    <w:tbl>
      <w:tblPr>
        <w:tblW w:w="11039" w:type="dxa"/>
        <w:tblInd w:w="55" w:type="dxa"/>
        <w:tblCellMar>
          <w:left w:w="70" w:type="dxa"/>
          <w:right w:w="70" w:type="dxa"/>
        </w:tblCellMar>
        <w:tblLook w:val="04A0" w:firstRow="1" w:lastRow="0" w:firstColumn="1" w:lastColumn="0" w:noHBand="0" w:noVBand="1"/>
      </w:tblPr>
      <w:tblGrid>
        <w:gridCol w:w="1153"/>
        <w:gridCol w:w="2195"/>
        <w:gridCol w:w="1133"/>
        <w:gridCol w:w="1020"/>
        <w:gridCol w:w="1250"/>
        <w:gridCol w:w="1580"/>
        <w:gridCol w:w="160"/>
        <w:gridCol w:w="1430"/>
        <w:gridCol w:w="1118"/>
      </w:tblGrid>
      <w:tr w:rsidR="00324854" w:rsidRPr="00F37674" w14:paraId="427AE0AD" w14:textId="77777777" w:rsidTr="0019189B">
        <w:trPr>
          <w:trHeight w:val="240"/>
        </w:trPr>
        <w:tc>
          <w:tcPr>
            <w:tcW w:w="1153" w:type="dxa"/>
            <w:tcBorders>
              <w:top w:val="nil"/>
              <w:left w:val="nil"/>
              <w:bottom w:val="nil"/>
              <w:right w:val="nil"/>
            </w:tcBorders>
            <w:shd w:val="clear" w:color="auto" w:fill="auto"/>
            <w:noWrap/>
            <w:vAlign w:val="bottom"/>
            <w:hideMark/>
          </w:tcPr>
          <w:p w14:paraId="24561818" w14:textId="77777777" w:rsidR="00324854" w:rsidRPr="00F37674" w:rsidRDefault="00324854" w:rsidP="0019189B">
            <w:pPr>
              <w:spacing w:after="0"/>
              <w:rPr>
                <w:sz w:val="18"/>
                <w:szCs w:val="18"/>
              </w:rPr>
            </w:pPr>
          </w:p>
        </w:tc>
        <w:tc>
          <w:tcPr>
            <w:tcW w:w="2195" w:type="dxa"/>
            <w:tcBorders>
              <w:top w:val="nil"/>
              <w:left w:val="nil"/>
              <w:right w:val="nil"/>
            </w:tcBorders>
            <w:shd w:val="clear" w:color="auto" w:fill="auto"/>
            <w:noWrap/>
            <w:vAlign w:val="bottom"/>
            <w:hideMark/>
          </w:tcPr>
          <w:p w14:paraId="15E7064C" w14:textId="77777777" w:rsidR="00324854" w:rsidRPr="00F37674" w:rsidRDefault="00324854" w:rsidP="0019189B">
            <w:pPr>
              <w:spacing w:after="0"/>
              <w:jc w:val="right"/>
              <w:rPr>
                <w:sz w:val="16"/>
                <w:szCs w:val="16"/>
              </w:rPr>
            </w:pPr>
          </w:p>
        </w:tc>
        <w:tc>
          <w:tcPr>
            <w:tcW w:w="1133" w:type="dxa"/>
            <w:tcBorders>
              <w:top w:val="nil"/>
              <w:left w:val="nil"/>
              <w:right w:val="nil"/>
            </w:tcBorders>
            <w:shd w:val="clear" w:color="auto" w:fill="auto"/>
            <w:noWrap/>
            <w:vAlign w:val="bottom"/>
            <w:hideMark/>
          </w:tcPr>
          <w:p w14:paraId="5AE94037" w14:textId="77777777" w:rsidR="00324854" w:rsidRPr="00F37674" w:rsidRDefault="00324854" w:rsidP="0019189B">
            <w:pPr>
              <w:spacing w:after="0"/>
              <w:rPr>
                <w:sz w:val="16"/>
                <w:szCs w:val="16"/>
              </w:rPr>
            </w:pPr>
          </w:p>
        </w:tc>
        <w:tc>
          <w:tcPr>
            <w:tcW w:w="3850" w:type="dxa"/>
            <w:gridSpan w:val="3"/>
            <w:tcBorders>
              <w:top w:val="nil"/>
              <w:left w:val="nil"/>
              <w:bottom w:val="single" w:sz="4" w:space="0" w:color="auto"/>
              <w:right w:val="nil"/>
            </w:tcBorders>
            <w:shd w:val="clear" w:color="auto" w:fill="auto"/>
            <w:noWrap/>
            <w:vAlign w:val="bottom"/>
            <w:hideMark/>
          </w:tcPr>
          <w:p w14:paraId="41515712" w14:textId="77777777" w:rsidR="00324854" w:rsidRPr="00F37674" w:rsidRDefault="00324854" w:rsidP="0019189B">
            <w:pPr>
              <w:spacing w:after="0"/>
              <w:jc w:val="center"/>
              <w:rPr>
                <w:sz w:val="18"/>
                <w:szCs w:val="18"/>
              </w:rPr>
            </w:pPr>
            <w:r w:rsidRPr="00F37674">
              <w:rPr>
                <w:sz w:val="18"/>
                <w:szCs w:val="18"/>
              </w:rPr>
              <w:t>Kommunene</w:t>
            </w:r>
            <w:r>
              <w:rPr>
                <w:sz w:val="18"/>
                <w:szCs w:val="18"/>
                <w:vertAlign w:val="superscript"/>
              </w:rPr>
              <w:t>14</w:t>
            </w:r>
          </w:p>
        </w:tc>
        <w:tc>
          <w:tcPr>
            <w:tcW w:w="160" w:type="dxa"/>
            <w:vMerge w:val="restart"/>
            <w:tcBorders>
              <w:top w:val="nil"/>
              <w:left w:val="nil"/>
              <w:right w:val="nil"/>
            </w:tcBorders>
          </w:tcPr>
          <w:p w14:paraId="68862641" w14:textId="77777777" w:rsidR="00324854" w:rsidRPr="00F37674" w:rsidRDefault="00324854" w:rsidP="0019189B">
            <w:pPr>
              <w:spacing w:after="0"/>
              <w:jc w:val="center"/>
              <w:rPr>
                <w:sz w:val="18"/>
                <w:szCs w:val="18"/>
              </w:rPr>
            </w:pPr>
          </w:p>
        </w:tc>
        <w:tc>
          <w:tcPr>
            <w:tcW w:w="2548" w:type="dxa"/>
            <w:gridSpan w:val="2"/>
            <w:tcBorders>
              <w:top w:val="nil"/>
              <w:left w:val="nil"/>
              <w:bottom w:val="single" w:sz="4" w:space="0" w:color="auto"/>
              <w:right w:val="nil"/>
            </w:tcBorders>
          </w:tcPr>
          <w:p w14:paraId="7D7667D9" w14:textId="77777777" w:rsidR="00324854" w:rsidRDefault="00324854" w:rsidP="0019189B">
            <w:pPr>
              <w:spacing w:after="0"/>
              <w:jc w:val="center"/>
              <w:rPr>
                <w:sz w:val="18"/>
                <w:szCs w:val="18"/>
              </w:rPr>
            </w:pPr>
            <w:r w:rsidRPr="00F37674">
              <w:rPr>
                <w:sz w:val="18"/>
                <w:szCs w:val="18"/>
              </w:rPr>
              <w:t>Spekter</w:t>
            </w:r>
            <w:r>
              <w:rPr>
                <w:sz w:val="18"/>
                <w:szCs w:val="18"/>
              </w:rPr>
              <w:t>-</w:t>
            </w:r>
            <w:r w:rsidRPr="00F37674">
              <w:rPr>
                <w:sz w:val="18"/>
                <w:szCs w:val="18"/>
              </w:rPr>
              <w:t>bedrifter</w:t>
            </w:r>
          </w:p>
        </w:tc>
      </w:tr>
      <w:tr w:rsidR="00324854" w:rsidRPr="00F37674" w14:paraId="726B0233" w14:textId="77777777" w:rsidTr="0019189B">
        <w:trPr>
          <w:trHeight w:val="506"/>
        </w:trPr>
        <w:tc>
          <w:tcPr>
            <w:tcW w:w="1153" w:type="dxa"/>
            <w:tcBorders>
              <w:top w:val="nil"/>
              <w:left w:val="nil"/>
              <w:bottom w:val="nil"/>
              <w:right w:val="nil"/>
            </w:tcBorders>
            <w:shd w:val="clear" w:color="auto" w:fill="auto"/>
            <w:noWrap/>
            <w:vAlign w:val="bottom"/>
            <w:hideMark/>
          </w:tcPr>
          <w:p w14:paraId="7F0A1599" w14:textId="77777777" w:rsidR="00324854" w:rsidRPr="00F37674" w:rsidRDefault="00324854" w:rsidP="0019189B">
            <w:pPr>
              <w:spacing w:after="0"/>
              <w:rPr>
                <w:sz w:val="18"/>
                <w:szCs w:val="18"/>
              </w:rPr>
            </w:pPr>
            <w:r w:rsidRPr="00F37674">
              <w:rPr>
                <w:sz w:val="18"/>
                <w:szCs w:val="18"/>
              </w:rPr>
              <w:t>Å</w:t>
            </w:r>
            <w:r>
              <w:rPr>
                <w:sz w:val="18"/>
                <w:szCs w:val="18"/>
              </w:rPr>
              <w:t>r</w:t>
            </w:r>
          </w:p>
        </w:tc>
        <w:tc>
          <w:tcPr>
            <w:tcW w:w="2195" w:type="dxa"/>
            <w:tcBorders>
              <w:left w:val="nil"/>
              <w:bottom w:val="single" w:sz="4" w:space="0" w:color="auto"/>
              <w:right w:val="nil"/>
            </w:tcBorders>
            <w:shd w:val="clear" w:color="auto" w:fill="auto"/>
            <w:vAlign w:val="bottom"/>
            <w:hideMark/>
          </w:tcPr>
          <w:p w14:paraId="40EB9D19" w14:textId="77777777" w:rsidR="00324854" w:rsidRDefault="00324854" w:rsidP="0019189B">
            <w:pPr>
              <w:spacing w:after="0"/>
              <w:jc w:val="right"/>
              <w:rPr>
                <w:sz w:val="18"/>
                <w:szCs w:val="18"/>
              </w:rPr>
            </w:pPr>
            <w:r w:rsidRPr="00F37674">
              <w:rPr>
                <w:sz w:val="18"/>
                <w:szCs w:val="18"/>
              </w:rPr>
              <w:t>Forretningsm.</w:t>
            </w:r>
          </w:p>
          <w:p w14:paraId="29F68E24" w14:textId="77777777" w:rsidR="00324854" w:rsidRPr="00F37674" w:rsidRDefault="00324854" w:rsidP="0019189B">
            <w:pPr>
              <w:spacing w:after="0"/>
              <w:jc w:val="right"/>
              <w:rPr>
                <w:sz w:val="18"/>
                <w:szCs w:val="18"/>
              </w:rPr>
            </w:pPr>
            <w:r w:rsidRPr="00F37674">
              <w:rPr>
                <w:sz w:val="18"/>
                <w:szCs w:val="18"/>
              </w:rPr>
              <w:t>tjenesteyting</w:t>
            </w:r>
            <w:r>
              <w:rPr>
                <w:sz w:val="18"/>
                <w:szCs w:val="18"/>
                <w:vertAlign w:val="superscript"/>
              </w:rPr>
              <w:t>7</w:t>
            </w:r>
          </w:p>
        </w:tc>
        <w:tc>
          <w:tcPr>
            <w:tcW w:w="1133" w:type="dxa"/>
            <w:tcBorders>
              <w:left w:val="nil"/>
              <w:bottom w:val="single" w:sz="4" w:space="0" w:color="auto"/>
              <w:right w:val="nil"/>
            </w:tcBorders>
            <w:shd w:val="clear" w:color="auto" w:fill="auto"/>
            <w:noWrap/>
            <w:vAlign w:val="bottom"/>
            <w:hideMark/>
          </w:tcPr>
          <w:p w14:paraId="72B7CE8C" w14:textId="77777777" w:rsidR="00324854" w:rsidRPr="00F37674" w:rsidRDefault="00324854" w:rsidP="0019189B">
            <w:pPr>
              <w:spacing w:after="0"/>
              <w:jc w:val="right"/>
              <w:rPr>
                <w:sz w:val="18"/>
                <w:szCs w:val="18"/>
              </w:rPr>
            </w:pPr>
            <w:r w:rsidRPr="00F37674">
              <w:rPr>
                <w:sz w:val="18"/>
                <w:szCs w:val="18"/>
              </w:rPr>
              <w:t>Staten</w:t>
            </w:r>
          </w:p>
        </w:tc>
        <w:tc>
          <w:tcPr>
            <w:tcW w:w="1020" w:type="dxa"/>
            <w:tcBorders>
              <w:top w:val="nil"/>
              <w:left w:val="nil"/>
              <w:bottom w:val="single" w:sz="4" w:space="0" w:color="auto"/>
              <w:right w:val="nil"/>
            </w:tcBorders>
            <w:shd w:val="clear" w:color="auto" w:fill="auto"/>
            <w:noWrap/>
            <w:vAlign w:val="bottom"/>
            <w:hideMark/>
          </w:tcPr>
          <w:p w14:paraId="107BB80A" w14:textId="77777777" w:rsidR="00324854" w:rsidRPr="00F37674" w:rsidRDefault="00324854" w:rsidP="0019189B">
            <w:pPr>
              <w:spacing w:after="0"/>
              <w:jc w:val="right"/>
              <w:rPr>
                <w:sz w:val="18"/>
                <w:szCs w:val="18"/>
              </w:rPr>
            </w:pPr>
            <w:r w:rsidRPr="00F37674">
              <w:rPr>
                <w:sz w:val="18"/>
                <w:szCs w:val="18"/>
              </w:rPr>
              <w:t>I alt</w:t>
            </w:r>
          </w:p>
        </w:tc>
        <w:tc>
          <w:tcPr>
            <w:tcW w:w="1250" w:type="dxa"/>
            <w:tcBorders>
              <w:top w:val="nil"/>
              <w:left w:val="nil"/>
              <w:bottom w:val="single" w:sz="4" w:space="0" w:color="auto"/>
              <w:right w:val="nil"/>
            </w:tcBorders>
            <w:shd w:val="clear" w:color="auto" w:fill="auto"/>
            <w:vAlign w:val="bottom"/>
            <w:hideMark/>
          </w:tcPr>
          <w:p w14:paraId="75500FC0" w14:textId="77777777" w:rsidR="00324854" w:rsidRPr="00F37674" w:rsidRDefault="00324854" w:rsidP="0019189B">
            <w:pPr>
              <w:spacing w:after="0"/>
              <w:jc w:val="right"/>
              <w:rPr>
                <w:sz w:val="18"/>
                <w:szCs w:val="18"/>
              </w:rPr>
            </w:pPr>
            <w:r w:rsidRPr="00F37674">
              <w:rPr>
                <w:sz w:val="18"/>
                <w:szCs w:val="18"/>
              </w:rPr>
              <w:t>Undervisnings-</w:t>
            </w:r>
            <w:r>
              <w:rPr>
                <w:sz w:val="18"/>
                <w:szCs w:val="18"/>
              </w:rPr>
              <w:t>ansatte</w:t>
            </w:r>
          </w:p>
        </w:tc>
        <w:tc>
          <w:tcPr>
            <w:tcW w:w="1580" w:type="dxa"/>
            <w:tcBorders>
              <w:left w:val="nil"/>
              <w:bottom w:val="single" w:sz="4" w:space="0" w:color="auto"/>
              <w:right w:val="nil"/>
            </w:tcBorders>
            <w:vAlign w:val="bottom"/>
          </w:tcPr>
          <w:p w14:paraId="1B793AD4" w14:textId="77777777" w:rsidR="00324854" w:rsidRPr="00F37674" w:rsidRDefault="00324854" w:rsidP="0019189B">
            <w:pPr>
              <w:spacing w:after="0"/>
              <w:jc w:val="right"/>
              <w:rPr>
                <w:sz w:val="18"/>
                <w:szCs w:val="18"/>
              </w:rPr>
            </w:pPr>
            <w:r>
              <w:rPr>
                <w:sz w:val="18"/>
                <w:szCs w:val="18"/>
              </w:rPr>
              <w:t>Øvrige ansatte</w:t>
            </w:r>
          </w:p>
        </w:tc>
        <w:tc>
          <w:tcPr>
            <w:tcW w:w="160" w:type="dxa"/>
            <w:vMerge/>
            <w:tcBorders>
              <w:left w:val="nil"/>
              <w:bottom w:val="single" w:sz="4" w:space="0" w:color="auto"/>
              <w:right w:val="nil"/>
            </w:tcBorders>
          </w:tcPr>
          <w:p w14:paraId="14D29715" w14:textId="77777777" w:rsidR="00324854" w:rsidRPr="00F37674" w:rsidRDefault="00324854" w:rsidP="0019189B">
            <w:pPr>
              <w:spacing w:after="0"/>
              <w:jc w:val="right"/>
              <w:rPr>
                <w:sz w:val="18"/>
                <w:szCs w:val="18"/>
              </w:rPr>
            </w:pPr>
          </w:p>
        </w:tc>
        <w:tc>
          <w:tcPr>
            <w:tcW w:w="1430" w:type="dxa"/>
            <w:tcBorders>
              <w:top w:val="single" w:sz="4" w:space="0" w:color="auto"/>
              <w:left w:val="nil"/>
              <w:bottom w:val="single" w:sz="4" w:space="0" w:color="auto"/>
              <w:right w:val="nil"/>
            </w:tcBorders>
            <w:shd w:val="clear" w:color="auto" w:fill="auto"/>
            <w:noWrap/>
            <w:vAlign w:val="bottom"/>
            <w:hideMark/>
          </w:tcPr>
          <w:p w14:paraId="6DFABFB7" w14:textId="77777777" w:rsidR="00324854" w:rsidRPr="00F37674" w:rsidRDefault="00324854" w:rsidP="0019189B">
            <w:pPr>
              <w:spacing w:after="0"/>
              <w:jc w:val="right"/>
              <w:rPr>
                <w:sz w:val="18"/>
                <w:szCs w:val="18"/>
              </w:rPr>
            </w:pPr>
            <w:r w:rsidRPr="00F37674">
              <w:rPr>
                <w:sz w:val="18"/>
                <w:szCs w:val="18"/>
              </w:rPr>
              <w:t>Helseforetakene</w:t>
            </w:r>
            <w:r>
              <w:rPr>
                <w:sz w:val="18"/>
                <w:szCs w:val="18"/>
                <w:vertAlign w:val="superscript"/>
              </w:rPr>
              <w:t>11</w:t>
            </w:r>
            <w:r>
              <w:rPr>
                <w:sz w:val="18"/>
                <w:szCs w:val="18"/>
              </w:rPr>
              <w:t xml:space="preserve"> </w:t>
            </w:r>
          </w:p>
        </w:tc>
        <w:tc>
          <w:tcPr>
            <w:tcW w:w="1118" w:type="dxa"/>
            <w:tcBorders>
              <w:top w:val="single" w:sz="4" w:space="0" w:color="auto"/>
              <w:left w:val="nil"/>
              <w:bottom w:val="single" w:sz="4" w:space="0" w:color="auto"/>
              <w:right w:val="nil"/>
            </w:tcBorders>
            <w:vAlign w:val="bottom"/>
          </w:tcPr>
          <w:p w14:paraId="4799CD6F" w14:textId="77777777" w:rsidR="00324854" w:rsidRPr="00F37674" w:rsidRDefault="00324854" w:rsidP="0019189B">
            <w:pPr>
              <w:spacing w:after="0"/>
              <w:jc w:val="right"/>
              <w:rPr>
                <w:sz w:val="18"/>
                <w:szCs w:val="18"/>
              </w:rPr>
            </w:pPr>
            <w:r w:rsidRPr="00F37674">
              <w:rPr>
                <w:sz w:val="18"/>
                <w:szCs w:val="18"/>
              </w:rPr>
              <w:t>Øvrige bedrifter</w:t>
            </w:r>
          </w:p>
        </w:tc>
      </w:tr>
      <w:tr w:rsidR="00324854" w:rsidRPr="00F37674" w14:paraId="0D0F3623" w14:textId="77777777" w:rsidTr="0019189B">
        <w:trPr>
          <w:trHeight w:val="255"/>
        </w:trPr>
        <w:tc>
          <w:tcPr>
            <w:tcW w:w="1153" w:type="dxa"/>
            <w:tcBorders>
              <w:top w:val="nil"/>
              <w:left w:val="nil"/>
              <w:bottom w:val="nil"/>
              <w:right w:val="nil"/>
            </w:tcBorders>
            <w:shd w:val="clear" w:color="auto" w:fill="auto"/>
            <w:noWrap/>
            <w:hideMark/>
          </w:tcPr>
          <w:p w14:paraId="0E40476E" w14:textId="77777777" w:rsidR="00324854" w:rsidRPr="00CE2F05" w:rsidRDefault="00324854" w:rsidP="0019189B">
            <w:pPr>
              <w:spacing w:after="40"/>
              <w:ind w:firstLine="180"/>
              <w:rPr>
                <w:sz w:val="18"/>
                <w:szCs w:val="18"/>
              </w:rPr>
            </w:pPr>
            <w:r w:rsidRPr="00CE2F05">
              <w:rPr>
                <w:sz w:val="18"/>
                <w:szCs w:val="18"/>
              </w:rPr>
              <w:t>2005</w:t>
            </w:r>
          </w:p>
        </w:tc>
        <w:tc>
          <w:tcPr>
            <w:tcW w:w="2195" w:type="dxa"/>
            <w:tcBorders>
              <w:top w:val="nil"/>
              <w:left w:val="nil"/>
              <w:bottom w:val="nil"/>
              <w:right w:val="nil"/>
            </w:tcBorders>
            <w:shd w:val="clear" w:color="auto" w:fill="auto"/>
            <w:noWrap/>
            <w:hideMark/>
          </w:tcPr>
          <w:p w14:paraId="530105D3" w14:textId="77777777" w:rsidR="00324854" w:rsidRPr="00F539AC" w:rsidRDefault="00324854" w:rsidP="0019189B">
            <w:pPr>
              <w:spacing w:after="40"/>
              <w:ind w:firstLine="180"/>
              <w:jc w:val="right"/>
              <w:rPr>
                <w:sz w:val="18"/>
                <w:szCs w:val="18"/>
              </w:rPr>
            </w:pPr>
            <w:r w:rsidRPr="00F539AC">
              <w:rPr>
                <w:sz w:val="18"/>
                <w:szCs w:val="18"/>
              </w:rPr>
              <w:t xml:space="preserve"> 2,4 </w:t>
            </w:r>
          </w:p>
        </w:tc>
        <w:tc>
          <w:tcPr>
            <w:tcW w:w="1133" w:type="dxa"/>
            <w:tcBorders>
              <w:top w:val="nil"/>
              <w:left w:val="nil"/>
              <w:bottom w:val="nil"/>
              <w:right w:val="nil"/>
            </w:tcBorders>
            <w:shd w:val="clear" w:color="auto" w:fill="auto"/>
            <w:noWrap/>
            <w:hideMark/>
          </w:tcPr>
          <w:p w14:paraId="694958B3"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020" w:type="dxa"/>
            <w:tcBorders>
              <w:top w:val="nil"/>
              <w:left w:val="nil"/>
              <w:bottom w:val="nil"/>
              <w:right w:val="nil"/>
            </w:tcBorders>
            <w:shd w:val="clear" w:color="auto" w:fill="auto"/>
            <w:noWrap/>
            <w:hideMark/>
          </w:tcPr>
          <w:p w14:paraId="3DDCBE31"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250" w:type="dxa"/>
            <w:tcBorders>
              <w:top w:val="nil"/>
              <w:left w:val="nil"/>
              <w:bottom w:val="nil"/>
              <w:right w:val="nil"/>
            </w:tcBorders>
            <w:shd w:val="clear" w:color="auto" w:fill="auto"/>
            <w:noWrap/>
            <w:hideMark/>
          </w:tcPr>
          <w:p w14:paraId="58793E9B"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1580" w:type="dxa"/>
            <w:tcBorders>
              <w:top w:val="nil"/>
              <w:left w:val="nil"/>
              <w:bottom w:val="nil"/>
              <w:right w:val="nil"/>
            </w:tcBorders>
          </w:tcPr>
          <w:p w14:paraId="3E63B439"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60" w:type="dxa"/>
            <w:tcBorders>
              <w:top w:val="nil"/>
              <w:left w:val="nil"/>
              <w:bottom w:val="nil"/>
              <w:right w:val="nil"/>
            </w:tcBorders>
          </w:tcPr>
          <w:p w14:paraId="1205C879"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02E894AA"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1118" w:type="dxa"/>
            <w:tcBorders>
              <w:top w:val="nil"/>
              <w:left w:val="nil"/>
              <w:bottom w:val="nil"/>
              <w:right w:val="nil"/>
            </w:tcBorders>
          </w:tcPr>
          <w:p w14:paraId="2F9BF4E8" w14:textId="77777777" w:rsidR="00324854" w:rsidRPr="00F539AC" w:rsidRDefault="00324854" w:rsidP="0019189B">
            <w:pPr>
              <w:spacing w:after="40"/>
              <w:ind w:firstLine="180"/>
              <w:jc w:val="right"/>
              <w:rPr>
                <w:sz w:val="18"/>
                <w:szCs w:val="18"/>
              </w:rPr>
            </w:pPr>
            <w:r w:rsidRPr="00F539AC">
              <w:rPr>
                <w:sz w:val="18"/>
                <w:szCs w:val="18"/>
              </w:rPr>
              <w:t xml:space="preserve"> 3,6 </w:t>
            </w:r>
          </w:p>
        </w:tc>
      </w:tr>
      <w:tr w:rsidR="00324854" w:rsidRPr="00F37674" w14:paraId="2630430A" w14:textId="77777777" w:rsidTr="0019189B">
        <w:trPr>
          <w:trHeight w:val="255"/>
        </w:trPr>
        <w:tc>
          <w:tcPr>
            <w:tcW w:w="1153" w:type="dxa"/>
            <w:tcBorders>
              <w:top w:val="nil"/>
              <w:left w:val="nil"/>
              <w:bottom w:val="nil"/>
              <w:right w:val="nil"/>
            </w:tcBorders>
            <w:shd w:val="clear" w:color="auto" w:fill="auto"/>
            <w:noWrap/>
            <w:hideMark/>
          </w:tcPr>
          <w:p w14:paraId="1B9C9CA2" w14:textId="77777777" w:rsidR="00324854" w:rsidRPr="00CE2F05" w:rsidRDefault="00324854" w:rsidP="0019189B">
            <w:pPr>
              <w:spacing w:after="40"/>
              <w:ind w:firstLine="180"/>
              <w:rPr>
                <w:sz w:val="18"/>
                <w:szCs w:val="18"/>
              </w:rPr>
            </w:pPr>
            <w:r w:rsidRPr="00CE2F05">
              <w:rPr>
                <w:sz w:val="18"/>
                <w:szCs w:val="18"/>
              </w:rPr>
              <w:t>2006</w:t>
            </w:r>
          </w:p>
        </w:tc>
        <w:tc>
          <w:tcPr>
            <w:tcW w:w="2195" w:type="dxa"/>
            <w:tcBorders>
              <w:top w:val="nil"/>
              <w:left w:val="nil"/>
              <w:bottom w:val="nil"/>
              <w:right w:val="nil"/>
            </w:tcBorders>
            <w:shd w:val="clear" w:color="auto" w:fill="auto"/>
            <w:noWrap/>
            <w:hideMark/>
          </w:tcPr>
          <w:p w14:paraId="6231A401" w14:textId="77777777" w:rsidR="00324854" w:rsidRPr="00F539AC" w:rsidRDefault="00324854" w:rsidP="0019189B">
            <w:pPr>
              <w:spacing w:after="40"/>
              <w:ind w:firstLine="180"/>
              <w:jc w:val="right"/>
              <w:rPr>
                <w:sz w:val="18"/>
                <w:szCs w:val="18"/>
              </w:rPr>
            </w:pPr>
            <w:r w:rsidRPr="00F539AC">
              <w:rPr>
                <w:sz w:val="18"/>
                <w:szCs w:val="18"/>
              </w:rPr>
              <w:t xml:space="preserve"> 3,2 </w:t>
            </w:r>
          </w:p>
        </w:tc>
        <w:tc>
          <w:tcPr>
            <w:tcW w:w="1133" w:type="dxa"/>
            <w:tcBorders>
              <w:top w:val="nil"/>
              <w:left w:val="nil"/>
              <w:bottom w:val="nil"/>
              <w:right w:val="nil"/>
            </w:tcBorders>
            <w:shd w:val="clear" w:color="auto" w:fill="auto"/>
            <w:noWrap/>
            <w:hideMark/>
          </w:tcPr>
          <w:p w14:paraId="256D9A33" w14:textId="77777777" w:rsidR="00324854" w:rsidRPr="00F539AC" w:rsidRDefault="00324854" w:rsidP="0019189B">
            <w:pPr>
              <w:spacing w:after="40"/>
              <w:ind w:firstLine="180"/>
              <w:jc w:val="right"/>
              <w:rPr>
                <w:sz w:val="18"/>
                <w:szCs w:val="18"/>
              </w:rPr>
            </w:pPr>
            <w:r w:rsidRPr="00F539AC">
              <w:rPr>
                <w:sz w:val="18"/>
                <w:szCs w:val="18"/>
              </w:rPr>
              <w:t xml:space="preserve"> 4,5 </w:t>
            </w:r>
          </w:p>
        </w:tc>
        <w:tc>
          <w:tcPr>
            <w:tcW w:w="1020" w:type="dxa"/>
            <w:tcBorders>
              <w:top w:val="nil"/>
              <w:left w:val="nil"/>
              <w:bottom w:val="nil"/>
              <w:right w:val="nil"/>
            </w:tcBorders>
            <w:shd w:val="clear" w:color="auto" w:fill="auto"/>
            <w:noWrap/>
            <w:hideMark/>
          </w:tcPr>
          <w:p w14:paraId="78C15637" w14:textId="77777777" w:rsidR="00324854" w:rsidRPr="00F539AC" w:rsidRDefault="00324854" w:rsidP="0019189B">
            <w:pPr>
              <w:spacing w:after="40"/>
              <w:ind w:firstLine="180"/>
              <w:jc w:val="right"/>
              <w:rPr>
                <w:sz w:val="18"/>
                <w:szCs w:val="18"/>
              </w:rPr>
            </w:pPr>
            <w:r w:rsidRPr="00F539AC">
              <w:rPr>
                <w:sz w:val="18"/>
                <w:szCs w:val="18"/>
              </w:rPr>
              <w:t xml:space="preserve"> 3,9 </w:t>
            </w:r>
          </w:p>
        </w:tc>
        <w:tc>
          <w:tcPr>
            <w:tcW w:w="1250" w:type="dxa"/>
            <w:tcBorders>
              <w:top w:val="nil"/>
              <w:left w:val="nil"/>
              <w:bottom w:val="nil"/>
              <w:right w:val="nil"/>
            </w:tcBorders>
            <w:shd w:val="clear" w:color="auto" w:fill="auto"/>
            <w:noWrap/>
            <w:hideMark/>
          </w:tcPr>
          <w:p w14:paraId="2C1564F5" w14:textId="77777777" w:rsidR="00324854" w:rsidRPr="00F539AC" w:rsidRDefault="00324854" w:rsidP="0019189B">
            <w:pPr>
              <w:spacing w:after="40"/>
              <w:ind w:firstLine="180"/>
              <w:jc w:val="right"/>
              <w:rPr>
                <w:sz w:val="18"/>
                <w:szCs w:val="18"/>
              </w:rPr>
            </w:pPr>
            <w:r w:rsidRPr="00F539AC">
              <w:rPr>
                <w:sz w:val="18"/>
                <w:szCs w:val="18"/>
              </w:rPr>
              <w:t xml:space="preserve"> 2,6 </w:t>
            </w:r>
          </w:p>
        </w:tc>
        <w:tc>
          <w:tcPr>
            <w:tcW w:w="1580" w:type="dxa"/>
            <w:tcBorders>
              <w:top w:val="nil"/>
              <w:left w:val="nil"/>
              <w:bottom w:val="nil"/>
              <w:right w:val="nil"/>
            </w:tcBorders>
          </w:tcPr>
          <w:p w14:paraId="4BCED0E9" w14:textId="77777777" w:rsidR="00324854" w:rsidRPr="00F539AC" w:rsidRDefault="00324854" w:rsidP="0019189B">
            <w:pPr>
              <w:spacing w:after="40"/>
              <w:ind w:firstLine="180"/>
              <w:jc w:val="right"/>
              <w:rPr>
                <w:sz w:val="18"/>
                <w:szCs w:val="18"/>
              </w:rPr>
            </w:pPr>
            <w:r w:rsidRPr="00F539AC">
              <w:rPr>
                <w:sz w:val="18"/>
                <w:szCs w:val="18"/>
              </w:rPr>
              <w:t xml:space="preserve"> 4,5 </w:t>
            </w:r>
          </w:p>
        </w:tc>
        <w:tc>
          <w:tcPr>
            <w:tcW w:w="160" w:type="dxa"/>
            <w:tcBorders>
              <w:top w:val="nil"/>
              <w:left w:val="nil"/>
              <w:bottom w:val="nil"/>
              <w:right w:val="nil"/>
            </w:tcBorders>
          </w:tcPr>
          <w:p w14:paraId="5831668A"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7A37AB8C"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118" w:type="dxa"/>
            <w:tcBorders>
              <w:top w:val="nil"/>
              <w:left w:val="nil"/>
              <w:bottom w:val="nil"/>
              <w:right w:val="nil"/>
            </w:tcBorders>
          </w:tcPr>
          <w:p w14:paraId="44BD1DE2" w14:textId="77777777" w:rsidR="00324854" w:rsidRPr="00F539AC" w:rsidRDefault="00324854" w:rsidP="0019189B">
            <w:pPr>
              <w:spacing w:after="40"/>
              <w:ind w:firstLine="180"/>
              <w:jc w:val="right"/>
              <w:rPr>
                <w:sz w:val="18"/>
                <w:szCs w:val="18"/>
              </w:rPr>
            </w:pPr>
            <w:r w:rsidRPr="00F539AC">
              <w:rPr>
                <w:sz w:val="18"/>
                <w:szCs w:val="18"/>
              </w:rPr>
              <w:t xml:space="preserve"> 4,8</w:t>
            </w:r>
            <w:r w:rsidRPr="00DB36A9">
              <w:rPr>
                <w:sz w:val="18"/>
                <w:szCs w:val="18"/>
                <w:vertAlign w:val="superscript"/>
              </w:rPr>
              <w:t>5</w:t>
            </w:r>
            <w:r w:rsidRPr="00F539AC">
              <w:rPr>
                <w:sz w:val="18"/>
                <w:szCs w:val="18"/>
              </w:rPr>
              <w:t xml:space="preserve"> </w:t>
            </w:r>
          </w:p>
        </w:tc>
      </w:tr>
      <w:tr w:rsidR="00324854" w:rsidRPr="00F37674" w14:paraId="3C2EAFC3" w14:textId="77777777" w:rsidTr="0019189B">
        <w:trPr>
          <w:trHeight w:val="255"/>
        </w:trPr>
        <w:tc>
          <w:tcPr>
            <w:tcW w:w="1153" w:type="dxa"/>
            <w:tcBorders>
              <w:top w:val="nil"/>
              <w:left w:val="nil"/>
              <w:bottom w:val="nil"/>
              <w:right w:val="nil"/>
            </w:tcBorders>
            <w:shd w:val="clear" w:color="auto" w:fill="auto"/>
            <w:noWrap/>
            <w:hideMark/>
          </w:tcPr>
          <w:p w14:paraId="2488AB9A" w14:textId="77777777" w:rsidR="00324854" w:rsidRPr="00CE2F05" w:rsidRDefault="00324854" w:rsidP="0019189B">
            <w:pPr>
              <w:spacing w:after="40"/>
              <w:ind w:firstLine="180"/>
              <w:rPr>
                <w:sz w:val="18"/>
                <w:szCs w:val="18"/>
              </w:rPr>
            </w:pPr>
            <w:r w:rsidRPr="00CE2F05">
              <w:rPr>
                <w:sz w:val="18"/>
                <w:szCs w:val="18"/>
              </w:rPr>
              <w:t>2007</w:t>
            </w:r>
          </w:p>
        </w:tc>
        <w:tc>
          <w:tcPr>
            <w:tcW w:w="2195" w:type="dxa"/>
            <w:tcBorders>
              <w:top w:val="nil"/>
              <w:left w:val="nil"/>
              <w:bottom w:val="nil"/>
              <w:right w:val="nil"/>
            </w:tcBorders>
            <w:shd w:val="clear" w:color="auto" w:fill="auto"/>
            <w:noWrap/>
            <w:hideMark/>
          </w:tcPr>
          <w:p w14:paraId="2A2C0C09" w14:textId="77777777" w:rsidR="00324854" w:rsidRPr="00F539AC" w:rsidRDefault="00324854" w:rsidP="0019189B">
            <w:pPr>
              <w:spacing w:after="40"/>
              <w:ind w:firstLine="180"/>
              <w:jc w:val="right"/>
              <w:rPr>
                <w:sz w:val="18"/>
                <w:szCs w:val="18"/>
              </w:rPr>
            </w:pPr>
            <w:r w:rsidRPr="00F539AC">
              <w:rPr>
                <w:sz w:val="18"/>
                <w:szCs w:val="18"/>
              </w:rPr>
              <w:t xml:space="preserve"> 5,0 </w:t>
            </w:r>
          </w:p>
        </w:tc>
        <w:tc>
          <w:tcPr>
            <w:tcW w:w="1133" w:type="dxa"/>
            <w:tcBorders>
              <w:top w:val="nil"/>
              <w:left w:val="nil"/>
              <w:bottom w:val="nil"/>
              <w:right w:val="nil"/>
            </w:tcBorders>
            <w:shd w:val="clear" w:color="auto" w:fill="auto"/>
            <w:noWrap/>
            <w:hideMark/>
          </w:tcPr>
          <w:p w14:paraId="76D68DFB" w14:textId="77777777" w:rsidR="00324854" w:rsidRPr="00F539AC" w:rsidRDefault="00324854" w:rsidP="0019189B">
            <w:pPr>
              <w:spacing w:after="40"/>
              <w:ind w:firstLine="180"/>
              <w:jc w:val="right"/>
              <w:rPr>
                <w:sz w:val="18"/>
                <w:szCs w:val="18"/>
              </w:rPr>
            </w:pPr>
            <w:r w:rsidRPr="00F539AC">
              <w:rPr>
                <w:sz w:val="18"/>
                <w:szCs w:val="18"/>
              </w:rPr>
              <w:t xml:space="preserve"> 5,1 </w:t>
            </w:r>
          </w:p>
        </w:tc>
        <w:tc>
          <w:tcPr>
            <w:tcW w:w="1020" w:type="dxa"/>
            <w:tcBorders>
              <w:top w:val="nil"/>
              <w:left w:val="nil"/>
              <w:bottom w:val="nil"/>
              <w:right w:val="nil"/>
            </w:tcBorders>
            <w:shd w:val="clear" w:color="auto" w:fill="auto"/>
            <w:noWrap/>
            <w:hideMark/>
          </w:tcPr>
          <w:p w14:paraId="2011D8C9" w14:textId="77777777" w:rsidR="00324854" w:rsidRPr="00F539AC" w:rsidRDefault="00324854" w:rsidP="0019189B">
            <w:pPr>
              <w:spacing w:after="40"/>
              <w:ind w:firstLine="180"/>
              <w:jc w:val="right"/>
              <w:rPr>
                <w:sz w:val="18"/>
                <w:szCs w:val="18"/>
              </w:rPr>
            </w:pPr>
            <w:r w:rsidRPr="00F539AC">
              <w:rPr>
                <w:sz w:val="18"/>
                <w:szCs w:val="18"/>
              </w:rPr>
              <w:t xml:space="preserve"> 4,8 </w:t>
            </w:r>
          </w:p>
        </w:tc>
        <w:tc>
          <w:tcPr>
            <w:tcW w:w="1250" w:type="dxa"/>
            <w:tcBorders>
              <w:top w:val="nil"/>
              <w:left w:val="nil"/>
              <w:bottom w:val="nil"/>
              <w:right w:val="nil"/>
            </w:tcBorders>
            <w:shd w:val="clear" w:color="auto" w:fill="auto"/>
            <w:noWrap/>
            <w:hideMark/>
          </w:tcPr>
          <w:p w14:paraId="67B66192"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580" w:type="dxa"/>
            <w:tcBorders>
              <w:top w:val="nil"/>
              <w:left w:val="nil"/>
              <w:bottom w:val="nil"/>
              <w:right w:val="nil"/>
            </w:tcBorders>
          </w:tcPr>
          <w:p w14:paraId="5ACA13FA" w14:textId="77777777" w:rsidR="00324854" w:rsidRPr="00F539AC" w:rsidRDefault="00324854" w:rsidP="0019189B">
            <w:pPr>
              <w:spacing w:after="40"/>
              <w:ind w:firstLine="180"/>
              <w:jc w:val="right"/>
              <w:rPr>
                <w:sz w:val="18"/>
                <w:szCs w:val="18"/>
              </w:rPr>
            </w:pPr>
            <w:r w:rsidRPr="00F539AC">
              <w:rPr>
                <w:sz w:val="18"/>
                <w:szCs w:val="18"/>
              </w:rPr>
              <w:t xml:space="preserve"> 5,3 </w:t>
            </w:r>
          </w:p>
        </w:tc>
        <w:tc>
          <w:tcPr>
            <w:tcW w:w="160" w:type="dxa"/>
            <w:tcBorders>
              <w:top w:val="nil"/>
              <w:left w:val="nil"/>
              <w:bottom w:val="nil"/>
              <w:right w:val="nil"/>
            </w:tcBorders>
          </w:tcPr>
          <w:p w14:paraId="156D33EA"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196D6689" w14:textId="77777777" w:rsidR="00324854" w:rsidRPr="00F539AC" w:rsidRDefault="00324854" w:rsidP="0019189B">
            <w:pPr>
              <w:spacing w:after="40"/>
              <w:ind w:firstLine="180"/>
              <w:jc w:val="right"/>
              <w:rPr>
                <w:sz w:val="18"/>
                <w:szCs w:val="18"/>
              </w:rPr>
            </w:pPr>
            <w:r w:rsidRPr="00F539AC">
              <w:rPr>
                <w:sz w:val="18"/>
                <w:szCs w:val="18"/>
              </w:rPr>
              <w:t xml:space="preserve"> 4,9 </w:t>
            </w:r>
          </w:p>
        </w:tc>
        <w:tc>
          <w:tcPr>
            <w:tcW w:w="1118" w:type="dxa"/>
            <w:tcBorders>
              <w:top w:val="nil"/>
              <w:left w:val="nil"/>
              <w:bottom w:val="nil"/>
              <w:right w:val="nil"/>
            </w:tcBorders>
          </w:tcPr>
          <w:p w14:paraId="15035709" w14:textId="77777777" w:rsidR="00324854" w:rsidRPr="00F539AC" w:rsidRDefault="00324854" w:rsidP="0019189B">
            <w:pPr>
              <w:spacing w:after="40"/>
              <w:ind w:firstLine="180"/>
              <w:jc w:val="right"/>
              <w:rPr>
                <w:sz w:val="18"/>
                <w:szCs w:val="18"/>
              </w:rPr>
            </w:pPr>
            <w:r w:rsidRPr="00F539AC">
              <w:rPr>
                <w:sz w:val="18"/>
                <w:szCs w:val="18"/>
              </w:rPr>
              <w:t xml:space="preserve"> 5,3 </w:t>
            </w:r>
          </w:p>
        </w:tc>
      </w:tr>
      <w:tr w:rsidR="00324854" w:rsidRPr="00F37674" w14:paraId="2C80D51D" w14:textId="77777777" w:rsidTr="0019189B">
        <w:trPr>
          <w:trHeight w:val="255"/>
        </w:trPr>
        <w:tc>
          <w:tcPr>
            <w:tcW w:w="1153" w:type="dxa"/>
            <w:tcBorders>
              <w:top w:val="nil"/>
              <w:left w:val="nil"/>
              <w:bottom w:val="nil"/>
              <w:right w:val="nil"/>
            </w:tcBorders>
            <w:shd w:val="clear" w:color="auto" w:fill="auto"/>
            <w:noWrap/>
            <w:hideMark/>
          </w:tcPr>
          <w:p w14:paraId="6619AE38" w14:textId="77777777" w:rsidR="00324854" w:rsidRPr="00CE2F05" w:rsidRDefault="00324854" w:rsidP="0019189B">
            <w:pPr>
              <w:spacing w:after="40"/>
              <w:ind w:firstLine="180"/>
              <w:rPr>
                <w:sz w:val="18"/>
                <w:szCs w:val="18"/>
              </w:rPr>
            </w:pPr>
            <w:r w:rsidRPr="00CE2F05">
              <w:rPr>
                <w:sz w:val="18"/>
                <w:szCs w:val="18"/>
              </w:rPr>
              <w:t>2008</w:t>
            </w:r>
          </w:p>
        </w:tc>
        <w:tc>
          <w:tcPr>
            <w:tcW w:w="2195" w:type="dxa"/>
            <w:tcBorders>
              <w:top w:val="nil"/>
              <w:left w:val="nil"/>
              <w:bottom w:val="nil"/>
              <w:right w:val="nil"/>
            </w:tcBorders>
            <w:shd w:val="clear" w:color="auto" w:fill="auto"/>
            <w:noWrap/>
            <w:hideMark/>
          </w:tcPr>
          <w:p w14:paraId="023D8725" w14:textId="77777777" w:rsidR="00324854" w:rsidRPr="00F539AC" w:rsidRDefault="00324854" w:rsidP="0019189B">
            <w:pPr>
              <w:spacing w:after="40"/>
              <w:ind w:firstLine="180"/>
              <w:jc w:val="right"/>
              <w:rPr>
                <w:sz w:val="18"/>
                <w:szCs w:val="18"/>
              </w:rPr>
            </w:pPr>
            <w:r w:rsidRPr="00F539AC">
              <w:rPr>
                <w:sz w:val="18"/>
                <w:szCs w:val="18"/>
              </w:rPr>
              <w:t xml:space="preserve"> 4,8 </w:t>
            </w:r>
          </w:p>
        </w:tc>
        <w:tc>
          <w:tcPr>
            <w:tcW w:w="1133" w:type="dxa"/>
            <w:tcBorders>
              <w:top w:val="nil"/>
              <w:left w:val="nil"/>
              <w:bottom w:val="nil"/>
              <w:right w:val="nil"/>
            </w:tcBorders>
            <w:shd w:val="clear" w:color="auto" w:fill="auto"/>
            <w:noWrap/>
            <w:hideMark/>
          </w:tcPr>
          <w:p w14:paraId="0D764008" w14:textId="77777777" w:rsidR="00324854" w:rsidRPr="00F539AC" w:rsidRDefault="00324854" w:rsidP="0019189B">
            <w:pPr>
              <w:spacing w:after="40"/>
              <w:ind w:firstLine="180"/>
              <w:jc w:val="right"/>
              <w:rPr>
                <w:sz w:val="18"/>
                <w:szCs w:val="18"/>
              </w:rPr>
            </w:pPr>
            <w:r w:rsidRPr="00F539AC">
              <w:rPr>
                <w:sz w:val="18"/>
                <w:szCs w:val="18"/>
              </w:rPr>
              <w:t xml:space="preserve"> 6,7 </w:t>
            </w:r>
          </w:p>
        </w:tc>
        <w:tc>
          <w:tcPr>
            <w:tcW w:w="1020" w:type="dxa"/>
            <w:tcBorders>
              <w:top w:val="nil"/>
              <w:left w:val="nil"/>
              <w:bottom w:val="nil"/>
              <w:right w:val="nil"/>
            </w:tcBorders>
            <w:shd w:val="clear" w:color="auto" w:fill="auto"/>
            <w:noWrap/>
            <w:hideMark/>
          </w:tcPr>
          <w:p w14:paraId="0C831F1F" w14:textId="77777777" w:rsidR="00324854" w:rsidRPr="00F539AC" w:rsidRDefault="00324854" w:rsidP="0019189B">
            <w:pPr>
              <w:spacing w:after="40"/>
              <w:ind w:firstLine="180"/>
              <w:jc w:val="right"/>
              <w:rPr>
                <w:sz w:val="18"/>
                <w:szCs w:val="18"/>
              </w:rPr>
            </w:pPr>
            <w:r w:rsidRPr="00F539AC">
              <w:rPr>
                <w:sz w:val="18"/>
                <w:szCs w:val="18"/>
              </w:rPr>
              <w:t xml:space="preserve"> 6,7</w:t>
            </w:r>
            <w:r w:rsidRPr="00DB36A9">
              <w:rPr>
                <w:sz w:val="18"/>
                <w:szCs w:val="18"/>
                <w:vertAlign w:val="superscript"/>
              </w:rPr>
              <w:t>6</w:t>
            </w:r>
            <w:r w:rsidRPr="00F539AC">
              <w:rPr>
                <w:sz w:val="18"/>
                <w:szCs w:val="18"/>
              </w:rPr>
              <w:t xml:space="preserve"> </w:t>
            </w:r>
          </w:p>
        </w:tc>
        <w:tc>
          <w:tcPr>
            <w:tcW w:w="1250" w:type="dxa"/>
            <w:tcBorders>
              <w:top w:val="nil"/>
              <w:left w:val="nil"/>
              <w:bottom w:val="nil"/>
              <w:right w:val="nil"/>
            </w:tcBorders>
            <w:shd w:val="clear" w:color="auto" w:fill="auto"/>
            <w:noWrap/>
            <w:hideMark/>
          </w:tcPr>
          <w:p w14:paraId="1D4D92D3" w14:textId="77777777" w:rsidR="00324854" w:rsidRPr="00F539AC" w:rsidRDefault="00324854" w:rsidP="0019189B">
            <w:pPr>
              <w:spacing w:after="40"/>
              <w:ind w:firstLine="180"/>
              <w:jc w:val="right"/>
              <w:rPr>
                <w:sz w:val="18"/>
                <w:szCs w:val="18"/>
              </w:rPr>
            </w:pPr>
            <w:r w:rsidRPr="00F539AC">
              <w:rPr>
                <w:sz w:val="18"/>
                <w:szCs w:val="18"/>
              </w:rPr>
              <w:t xml:space="preserve"> 5,7 </w:t>
            </w:r>
          </w:p>
        </w:tc>
        <w:tc>
          <w:tcPr>
            <w:tcW w:w="1580" w:type="dxa"/>
            <w:tcBorders>
              <w:top w:val="nil"/>
              <w:left w:val="nil"/>
              <w:bottom w:val="nil"/>
              <w:right w:val="nil"/>
            </w:tcBorders>
          </w:tcPr>
          <w:p w14:paraId="440662B9" w14:textId="77777777" w:rsidR="00324854" w:rsidRPr="00F539AC" w:rsidRDefault="00324854" w:rsidP="0019189B">
            <w:pPr>
              <w:spacing w:after="40"/>
              <w:ind w:firstLine="180"/>
              <w:jc w:val="right"/>
              <w:rPr>
                <w:sz w:val="18"/>
                <w:szCs w:val="18"/>
              </w:rPr>
            </w:pPr>
            <w:r w:rsidRPr="00F539AC">
              <w:rPr>
                <w:sz w:val="18"/>
                <w:szCs w:val="18"/>
              </w:rPr>
              <w:t xml:space="preserve"> 7,1 </w:t>
            </w:r>
          </w:p>
        </w:tc>
        <w:tc>
          <w:tcPr>
            <w:tcW w:w="160" w:type="dxa"/>
            <w:tcBorders>
              <w:top w:val="nil"/>
              <w:left w:val="nil"/>
              <w:bottom w:val="nil"/>
              <w:right w:val="nil"/>
            </w:tcBorders>
          </w:tcPr>
          <w:p w14:paraId="44062448"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3AAAA62A" w14:textId="77777777" w:rsidR="00324854" w:rsidRPr="00F539AC" w:rsidRDefault="00324854" w:rsidP="0019189B">
            <w:pPr>
              <w:spacing w:after="40"/>
              <w:ind w:firstLine="180"/>
              <w:jc w:val="right"/>
              <w:rPr>
                <w:sz w:val="18"/>
                <w:szCs w:val="18"/>
              </w:rPr>
            </w:pPr>
            <w:r w:rsidRPr="00F539AC">
              <w:rPr>
                <w:sz w:val="18"/>
                <w:szCs w:val="18"/>
              </w:rPr>
              <w:t xml:space="preserve"> 6,5 </w:t>
            </w:r>
          </w:p>
        </w:tc>
        <w:tc>
          <w:tcPr>
            <w:tcW w:w="1118" w:type="dxa"/>
            <w:tcBorders>
              <w:top w:val="nil"/>
              <w:left w:val="nil"/>
              <w:bottom w:val="nil"/>
              <w:right w:val="nil"/>
            </w:tcBorders>
          </w:tcPr>
          <w:p w14:paraId="3FB56217" w14:textId="77777777" w:rsidR="00324854" w:rsidRPr="00F539AC" w:rsidRDefault="00324854" w:rsidP="0019189B">
            <w:pPr>
              <w:spacing w:after="40"/>
              <w:ind w:firstLine="180"/>
              <w:jc w:val="right"/>
              <w:rPr>
                <w:sz w:val="18"/>
                <w:szCs w:val="18"/>
              </w:rPr>
            </w:pPr>
            <w:r w:rsidRPr="00F539AC">
              <w:rPr>
                <w:sz w:val="18"/>
                <w:szCs w:val="18"/>
              </w:rPr>
              <w:t xml:space="preserve"> 6,2 </w:t>
            </w:r>
          </w:p>
        </w:tc>
      </w:tr>
      <w:tr w:rsidR="00324854" w:rsidRPr="00F37674" w14:paraId="073994B0" w14:textId="77777777" w:rsidTr="0019189B">
        <w:trPr>
          <w:trHeight w:val="270"/>
        </w:trPr>
        <w:tc>
          <w:tcPr>
            <w:tcW w:w="1153" w:type="dxa"/>
            <w:tcBorders>
              <w:top w:val="nil"/>
              <w:left w:val="nil"/>
              <w:bottom w:val="nil"/>
              <w:right w:val="nil"/>
            </w:tcBorders>
            <w:shd w:val="clear" w:color="auto" w:fill="auto"/>
            <w:noWrap/>
            <w:hideMark/>
          </w:tcPr>
          <w:p w14:paraId="657C7B52" w14:textId="77777777" w:rsidR="00324854" w:rsidRPr="00CE2F05" w:rsidRDefault="00324854" w:rsidP="0019189B">
            <w:pPr>
              <w:spacing w:after="40"/>
              <w:ind w:firstLine="180"/>
              <w:rPr>
                <w:sz w:val="18"/>
                <w:szCs w:val="18"/>
              </w:rPr>
            </w:pPr>
            <w:r w:rsidRPr="00CE2F05">
              <w:rPr>
                <w:sz w:val="18"/>
                <w:szCs w:val="18"/>
              </w:rPr>
              <w:t>2009</w:t>
            </w:r>
          </w:p>
        </w:tc>
        <w:tc>
          <w:tcPr>
            <w:tcW w:w="2195" w:type="dxa"/>
            <w:tcBorders>
              <w:top w:val="nil"/>
              <w:left w:val="nil"/>
              <w:bottom w:val="nil"/>
              <w:right w:val="nil"/>
            </w:tcBorders>
            <w:shd w:val="clear" w:color="auto" w:fill="auto"/>
            <w:noWrap/>
            <w:hideMark/>
          </w:tcPr>
          <w:p w14:paraId="7393E50F" w14:textId="77777777" w:rsidR="00324854" w:rsidRPr="00F539AC" w:rsidRDefault="00324854" w:rsidP="0019189B">
            <w:pPr>
              <w:spacing w:after="40"/>
              <w:ind w:firstLine="180"/>
              <w:jc w:val="right"/>
              <w:rPr>
                <w:sz w:val="18"/>
                <w:szCs w:val="18"/>
              </w:rPr>
            </w:pPr>
            <w:r w:rsidRPr="00F539AC">
              <w:rPr>
                <w:sz w:val="18"/>
                <w:szCs w:val="18"/>
              </w:rPr>
              <w:t xml:space="preserve"> 2,7 </w:t>
            </w:r>
          </w:p>
        </w:tc>
        <w:tc>
          <w:tcPr>
            <w:tcW w:w="1133" w:type="dxa"/>
            <w:tcBorders>
              <w:top w:val="nil"/>
              <w:left w:val="nil"/>
              <w:bottom w:val="nil"/>
              <w:right w:val="nil"/>
            </w:tcBorders>
            <w:shd w:val="clear" w:color="auto" w:fill="auto"/>
            <w:noWrap/>
            <w:hideMark/>
          </w:tcPr>
          <w:p w14:paraId="0BC75C59" w14:textId="77777777" w:rsidR="00324854" w:rsidRPr="00F539AC" w:rsidRDefault="00324854" w:rsidP="0019189B">
            <w:pPr>
              <w:spacing w:after="40"/>
              <w:ind w:firstLine="180"/>
              <w:jc w:val="right"/>
              <w:rPr>
                <w:sz w:val="18"/>
                <w:szCs w:val="18"/>
              </w:rPr>
            </w:pPr>
            <w:r w:rsidRPr="00F539AC">
              <w:rPr>
                <w:sz w:val="18"/>
                <w:szCs w:val="18"/>
              </w:rPr>
              <w:t xml:space="preserve"> 4,4 </w:t>
            </w:r>
          </w:p>
        </w:tc>
        <w:tc>
          <w:tcPr>
            <w:tcW w:w="1020" w:type="dxa"/>
            <w:tcBorders>
              <w:top w:val="nil"/>
              <w:left w:val="nil"/>
              <w:bottom w:val="nil"/>
              <w:right w:val="nil"/>
            </w:tcBorders>
            <w:shd w:val="clear" w:color="auto" w:fill="auto"/>
            <w:noWrap/>
            <w:hideMark/>
          </w:tcPr>
          <w:p w14:paraId="7A2E8B62" w14:textId="77777777" w:rsidR="00324854" w:rsidRPr="00F539AC" w:rsidRDefault="00324854" w:rsidP="0019189B">
            <w:pPr>
              <w:spacing w:after="40"/>
              <w:ind w:firstLine="180"/>
              <w:jc w:val="right"/>
              <w:rPr>
                <w:sz w:val="18"/>
                <w:szCs w:val="18"/>
              </w:rPr>
            </w:pPr>
            <w:r w:rsidRPr="00F539AC">
              <w:rPr>
                <w:sz w:val="18"/>
                <w:szCs w:val="18"/>
              </w:rPr>
              <w:t xml:space="preserve"> 4,6 </w:t>
            </w:r>
          </w:p>
        </w:tc>
        <w:tc>
          <w:tcPr>
            <w:tcW w:w="1250" w:type="dxa"/>
            <w:tcBorders>
              <w:top w:val="nil"/>
              <w:left w:val="nil"/>
              <w:bottom w:val="nil"/>
              <w:right w:val="nil"/>
            </w:tcBorders>
            <w:shd w:val="clear" w:color="auto" w:fill="auto"/>
            <w:noWrap/>
            <w:hideMark/>
          </w:tcPr>
          <w:p w14:paraId="66A632A0" w14:textId="77777777" w:rsidR="00324854" w:rsidRPr="00F539AC" w:rsidRDefault="00324854" w:rsidP="0019189B">
            <w:pPr>
              <w:spacing w:after="40"/>
              <w:ind w:firstLine="180"/>
              <w:jc w:val="right"/>
              <w:rPr>
                <w:sz w:val="18"/>
                <w:szCs w:val="18"/>
              </w:rPr>
            </w:pPr>
            <w:r w:rsidRPr="00F539AC">
              <w:rPr>
                <w:sz w:val="18"/>
                <w:szCs w:val="18"/>
              </w:rPr>
              <w:t xml:space="preserve"> 4,4 </w:t>
            </w:r>
          </w:p>
        </w:tc>
        <w:tc>
          <w:tcPr>
            <w:tcW w:w="1580" w:type="dxa"/>
            <w:tcBorders>
              <w:top w:val="nil"/>
              <w:left w:val="nil"/>
              <w:bottom w:val="nil"/>
              <w:right w:val="nil"/>
            </w:tcBorders>
          </w:tcPr>
          <w:p w14:paraId="10F10011" w14:textId="77777777" w:rsidR="00324854" w:rsidRPr="00F539AC" w:rsidRDefault="00324854" w:rsidP="0019189B">
            <w:pPr>
              <w:spacing w:after="40"/>
              <w:ind w:firstLine="180"/>
              <w:jc w:val="right"/>
              <w:rPr>
                <w:sz w:val="18"/>
                <w:szCs w:val="18"/>
              </w:rPr>
            </w:pPr>
            <w:r w:rsidRPr="00F539AC">
              <w:rPr>
                <w:sz w:val="18"/>
                <w:szCs w:val="18"/>
              </w:rPr>
              <w:t xml:space="preserve"> 4,7 </w:t>
            </w:r>
          </w:p>
        </w:tc>
        <w:tc>
          <w:tcPr>
            <w:tcW w:w="160" w:type="dxa"/>
            <w:tcBorders>
              <w:top w:val="nil"/>
              <w:left w:val="nil"/>
              <w:bottom w:val="nil"/>
              <w:right w:val="nil"/>
            </w:tcBorders>
          </w:tcPr>
          <w:p w14:paraId="089C3AC9"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6C87E3BE" w14:textId="77777777" w:rsidR="00324854" w:rsidRPr="00F539AC" w:rsidRDefault="00324854" w:rsidP="0019189B">
            <w:pPr>
              <w:spacing w:after="40"/>
              <w:ind w:firstLine="180"/>
              <w:jc w:val="right"/>
              <w:rPr>
                <w:sz w:val="18"/>
                <w:szCs w:val="18"/>
              </w:rPr>
            </w:pPr>
            <w:r w:rsidRPr="00F539AC">
              <w:rPr>
                <w:sz w:val="18"/>
                <w:szCs w:val="18"/>
              </w:rPr>
              <w:t xml:space="preserve"> 5,1 </w:t>
            </w:r>
          </w:p>
        </w:tc>
        <w:tc>
          <w:tcPr>
            <w:tcW w:w="1118" w:type="dxa"/>
            <w:tcBorders>
              <w:top w:val="nil"/>
              <w:left w:val="nil"/>
              <w:bottom w:val="nil"/>
              <w:right w:val="nil"/>
            </w:tcBorders>
          </w:tcPr>
          <w:p w14:paraId="3438EF1A" w14:textId="77777777" w:rsidR="00324854" w:rsidRPr="00F539AC" w:rsidRDefault="00324854" w:rsidP="0019189B">
            <w:pPr>
              <w:spacing w:after="40"/>
              <w:ind w:firstLine="180"/>
              <w:jc w:val="right"/>
              <w:rPr>
                <w:sz w:val="18"/>
                <w:szCs w:val="18"/>
              </w:rPr>
            </w:pPr>
            <w:r w:rsidRPr="00F539AC">
              <w:rPr>
                <w:sz w:val="18"/>
                <w:szCs w:val="18"/>
              </w:rPr>
              <w:t xml:space="preserve"> 4,0 </w:t>
            </w:r>
          </w:p>
        </w:tc>
      </w:tr>
      <w:tr w:rsidR="00324854" w:rsidRPr="00F37674" w14:paraId="69E195D8" w14:textId="77777777" w:rsidTr="0019189B">
        <w:trPr>
          <w:trHeight w:val="270"/>
        </w:trPr>
        <w:tc>
          <w:tcPr>
            <w:tcW w:w="1153" w:type="dxa"/>
            <w:tcBorders>
              <w:top w:val="nil"/>
              <w:left w:val="nil"/>
              <w:bottom w:val="nil"/>
              <w:right w:val="nil"/>
            </w:tcBorders>
            <w:shd w:val="clear" w:color="auto" w:fill="auto"/>
            <w:noWrap/>
            <w:hideMark/>
          </w:tcPr>
          <w:p w14:paraId="4709C80E" w14:textId="77777777" w:rsidR="00324854" w:rsidRPr="00CE2F05" w:rsidRDefault="00324854" w:rsidP="0019189B">
            <w:pPr>
              <w:spacing w:after="40"/>
              <w:ind w:firstLine="180"/>
              <w:rPr>
                <w:sz w:val="18"/>
                <w:szCs w:val="18"/>
              </w:rPr>
            </w:pPr>
            <w:r w:rsidRPr="00CE2F05">
              <w:rPr>
                <w:sz w:val="18"/>
                <w:szCs w:val="18"/>
              </w:rPr>
              <w:t>2010</w:t>
            </w:r>
          </w:p>
        </w:tc>
        <w:tc>
          <w:tcPr>
            <w:tcW w:w="2195" w:type="dxa"/>
            <w:tcBorders>
              <w:top w:val="nil"/>
              <w:left w:val="nil"/>
              <w:bottom w:val="nil"/>
              <w:right w:val="nil"/>
            </w:tcBorders>
            <w:shd w:val="clear" w:color="auto" w:fill="auto"/>
            <w:noWrap/>
            <w:hideMark/>
          </w:tcPr>
          <w:p w14:paraId="5D4C89B1" w14:textId="77777777" w:rsidR="00324854" w:rsidRPr="00F539AC" w:rsidRDefault="00324854" w:rsidP="0019189B">
            <w:pPr>
              <w:spacing w:after="40"/>
              <w:ind w:firstLine="180"/>
              <w:jc w:val="right"/>
              <w:rPr>
                <w:sz w:val="18"/>
                <w:szCs w:val="18"/>
              </w:rPr>
            </w:pPr>
            <w:r w:rsidRPr="00F539AC">
              <w:rPr>
                <w:sz w:val="18"/>
                <w:szCs w:val="18"/>
              </w:rPr>
              <w:t xml:space="preserve"> 3,3 </w:t>
            </w:r>
          </w:p>
        </w:tc>
        <w:tc>
          <w:tcPr>
            <w:tcW w:w="1133" w:type="dxa"/>
            <w:tcBorders>
              <w:top w:val="nil"/>
              <w:left w:val="nil"/>
              <w:bottom w:val="nil"/>
              <w:right w:val="nil"/>
            </w:tcBorders>
            <w:shd w:val="clear" w:color="auto" w:fill="auto"/>
            <w:noWrap/>
            <w:hideMark/>
          </w:tcPr>
          <w:p w14:paraId="5C4B2583" w14:textId="77777777" w:rsidR="00324854" w:rsidRPr="00F539AC" w:rsidRDefault="00324854" w:rsidP="0019189B">
            <w:pPr>
              <w:spacing w:after="40"/>
              <w:ind w:firstLine="180"/>
              <w:jc w:val="right"/>
              <w:rPr>
                <w:sz w:val="18"/>
                <w:szCs w:val="18"/>
              </w:rPr>
            </w:pPr>
            <w:r w:rsidRPr="00F539AC">
              <w:rPr>
                <w:sz w:val="18"/>
                <w:szCs w:val="18"/>
              </w:rPr>
              <w:t xml:space="preserve"> 4,5</w:t>
            </w:r>
            <w:r w:rsidRPr="00DB36A9">
              <w:rPr>
                <w:sz w:val="18"/>
                <w:szCs w:val="18"/>
                <w:vertAlign w:val="superscript"/>
              </w:rPr>
              <w:t>12</w:t>
            </w:r>
            <w:r w:rsidRPr="00F539AC">
              <w:rPr>
                <w:sz w:val="18"/>
                <w:szCs w:val="18"/>
              </w:rPr>
              <w:t xml:space="preserve"> </w:t>
            </w:r>
          </w:p>
        </w:tc>
        <w:tc>
          <w:tcPr>
            <w:tcW w:w="1020" w:type="dxa"/>
            <w:tcBorders>
              <w:top w:val="nil"/>
              <w:left w:val="nil"/>
              <w:bottom w:val="nil"/>
              <w:right w:val="nil"/>
            </w:tcBorders>
            <w:shd w:val="clear" w:color="auto" w:fill="auto"/>
            <w:noWrap/>
            <w:hideMark/>
          </w:tcPr>
          <w:p w14:paraId="49EB071A"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250" w:type="dxa"/>
            <w:tcBorders>
              <w:top w:val="nil"/>
              <w:left w:val="nil"/>
              <w:bottom w:val="nil"/>
              <w:right w:val="nil"/>
            </w:tcBorders>
            <w:shd w:val="clear" w:color="auto" w:fill="auto"/>
            <w:noWrap/>
            <w:hideMark/>
          </w:tcPr>
          <w:p w14:paraId="587C5B97"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580" w:type="dxa"/>
            <w:tcBorders>
              <w:top w:val="nil"/>
              <w:left w:val="nil"/>
              <w:bottom w:val="nil"/>
              <w:right w:val="nil"/>
            </w:tcBorders>
          </w:tcPr>
          <w:p w14:paraId="35D2A651"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60" w:type="dxa"/>
            <w:tcBorders>
              <w:top w:val="nil"/>
              <w:left w:val="nil"/>
              <w:bottom w:val="nil"/>
              <w:right w:val="nil"/>
            </w:tcBorders>
          </w:tcPr>
          <w:p w14:paraId="6D4351EE" w14:textId="77777777" w:rsidR="00324854" w:rsidRPr="00F539AC" w:rsidRDefault="00324854" w:rsidP="0019189B">
            <w:pPr>
              <w:spacing w:after="40"/>
              <w:ind w:firstLine="180"/>
              <w:jc w:val="right"/>
              <w:rPr>
                <w:sz w:val="18"/>
                <w:szCs w:val="18"/>
              </w:rPr>
            </w:pPr>
          </w:p>
        </w:tc>
        <w:tc>
          <w:tcPr>
            <w:tcW w:w="1430" w:type="dxa"/>
            <w:tcBorders>
              <w:top w:val="nil"/>
              <w:left w:val="nil"/>
              <w:bottom w:val="nil"/>
              <w:right w:val="nil"/>
            </w:tcBorders>
            <w:shd w:val="clear" w:color="auto" w:fill="auto"/>
            <w:noWrap/>
            <w:hideMark/>
          </w:tcPr>
          <w:p w14:paraId="4AAB15DD" w14:textId="77777777" w:rsidR="00324854" w:rsidRPr="00F539AC" w:rsidRDefault="00324854" w:rsidP="0019189B">
            <w:pPr>
              <w:spacing w:after="40"/>
              <w:ind w:firstLine="180"/>
              <w:jc w:val="right"/>
              <w:rPr>
                <w:sz w:val="18"/>
                <w:szCs w:val="18"/>
              </w:rPr>
            </w:pPr>
            <w:r w:rsidRPr="00F539AC">
              <w:rPr>
                <w:sz w:val="18"/>
                <w:szCs w:val="18"/>
              </w:rPr>
              <w:t xml:space="preserve"> 3,5 </w:t>
            </w:r>
          </w:p>
        </w:tc>
        <w:tc>
          <w:tcPr>
            <w:tcW w:w="1118" w:type="dxa"/>
            <w:tcBorders>
              <w:top w:val="nil"/>
              <w:left w:val="nil"/>
              <w:bottom w:val="nil"/>
              <w:right w:val="nil"/>
            </w:tcBorders>
          </w:tcPr>
          <w:p w14:paraId="2072A99C" w14:textId="77777777" w:rsidR="00324854" w:rsidRPr="00F539AC" w:rsidRDefault="00324854" w:rsidP="0019189B">
            <w:pPr>
              <w:spacing w:after="40"/>
              <w:ind w:firstLine="180"/>
              <w:jc w:val="right"/>
              <w:rPr>
                <w:sz w:val="18"/>
                <w:szCs w:val="18"/>
              </w:rPr>
            </w:pPr>
            <w:r w:rsidRPr="00F539AC">
              <w:rPr>
                <w:sz w:val="18"/>
                <w:szCs w:val="18"/>
              </w:rPr>
              <w:t xml:space="preserve"> 3,5 </w:t>
            </w:r>
          </w:p>
        </w:tc>
      </w:tr>
      <w:tr w:rsidR="00324854" w:rsidRPr="00F37674" w14:paraId="15200E26" w14:textId="77777777" w:rsidTr="0019189B">
        <w:trPr>
          <w:trHeight w:val="270"/>
        </w:trPr>
        <w:tc>
          <w:tcPr>
            <w:tcW w:w="1153" w:type="dxa"/>
            <w:tcBorders>
              <w:top w:val="nil"/>
              <w:left w:val="nil"/>
              <w:right w:val="nil"/>
            </w:tcBorders>
            <w:shd w:val="clear" w:color="auto" w:fill="auto"/>
            <w:noWrap/>
            <w:hideMark/>
          </w:tcPr>
          <w:p w14:paraId="0E3E66F3" w14:textId="77777777" w:rsidR="00324854" w:rsidRPr="00CE2F05" w:rsidRDefault="00324854" w:rsidP="0019189B">
            <w:pPr>
              <w:spacing w:after="40"/>
              <w:ind w:firstLine="180"/>
              <w:rPr>
                <w:sz w:val="18"/>
                <w:szCs w:val="18"/>
              </w:rPr>
            </w:pPr>
            <w:r w:rsidRPr="00CE2F05">
              <w:rPr>
                <w:sz w:val="18"/>
                <w:szCs w:val="18"/>
              </w:rPr>
              <w:t>2011</w:t>
            </w:r>
          </w:p>
        </w:tc>
        <w:tc>
          <w:tcPr>
            <w:tcW w:w="2195" w:type="dxa"/>
            <w:tcBorders>
              <w:top w:val="nil"/>
              <w:left w:val="nil"/>
              <w:right w:val="nil"/>
            </w:tcBorders>
            <w:shd w:val="clear" w:color="auto" w:fill="auto"/>
            <w:noWrap/>
            <w:hideMark/>
          </w:tcPr>
          <w:p w14:paraId="0B0025D6" w14:textId="77777777" w:rsidR="00324854" w:rsidRPr="00F539AC" w:rsidRDefault="00324854" w:rsidP="0019189B">
            <w:pPr>
              <w:spacing w:after="40"/>
              <w:ind w:firstLine="180"/>
              <w:jc w:val="right"/>
              <w:rPr>
                <w:sz w:val="18"/>
                <w:szCs w:val="18"/>
              </w:rPr>
            </w:pPr>
            <w:r w:rsidRPr="00F539AC">
              <w:rPr>
                <w:sz w:val="18"/>
                <w:szCs w:val="18"/>
              </w:rPr>
              <w:t xml:space="preserve"> 4,8 </w:t>
            </w:r>
          </w:p>
        </w:tc>
        <w:tc>
          <w:tcPr>
            <w:tcW w:w="1133" w:type="dxa"/>
            <w:tcBorders>
              <w:top w:val="nil"/>
              <w:left w:val="nil"/>
              <w:right w:val="nil"/>
            </w:tcBorders>
            <w:shd w:val="clear" w:color="auto" w:fill="auto"/>
            <w:noWrap/>
            <w:hideMark/>
          </w:tcPr>
          <w:p w14:paraId="1FB84701" w14:textId="77777777" w:rsidR="00324854" w:rsidRPr="00F539AC" w:rsidRDefault="00324854" w:rsidP="0019189B">
            <w:pPr>
              <w:spacing w:after="40"/>
              <w:ind w:firstLine="180"/>
              <w:jc w:val="right"/>
              <w:rPr>
                <w:sz w:val="18"/>
                <w:szCs w:val="18"/>
              </w:rPr>
            </w:pPr>
            <w:r w:rsidRPr="00F539AC">
              <w:rPr>
                <w:sz w:val="18"/>
                <w:szCs w:val="18"/>
              </w:rPr>
              <w:t xml:space="preserve"> 4,2 </w:t>
            </w:r>
          </w:p>
        </w:tc>
        <w:tc>
          <w:tcPr>
            <w:tcW w:w="1020" w:type="dxa"/>
            <w:tcBorders>
              <w:top w:val="nil"/>
              <w:left w:val="nil"/>
              <w:right w:val="nil"/>
            </w:tcBorders>
            <w:shd w:val="clear" w:color="auto" w:fill="auto"/>
            <w:noWrap/>
            <w:hideMark/>
          </w:tcPr>
          <w:p w14:paraId="7B88B70B"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250" w:type="dxa"/>
            <w:tcBorders>
              <w:top w:val="nil"/>
              <w:left w:val="nil"/>
              <w:right w:val="nil"/>
            </w:tcBorders>
            <w:shd w:val="clear" w:color="auto" w:fill="auto"/>
            <w:noWrap/>
            <w:hideMark/>
          </w:tcPr>
          <w:p w14:paraId="46E31E5A"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580" w:type="dxa"/>
            <w:tcBorders>
              <w:top w:val="nil"/>
              <w:left w:val="nil"/>
              <w:right w:val="nil"/>
            </w:tcBorders>
          </w:tcPr>
          <w:p w14:paraId="12103831" w14:textId="77777777" w:rsidR="00324854" w:rsidRPr="00F539AC" w:rsidRDefault="00324854" w:rsidP="0019189B">
            <w:pPr>
              <w:spacing w:after="40"/>
              <w:ind w:firstLine="180"/>
              <w:jc w:val="right"/>
              <w:rPr>
                <w:sz w:val="18"/>
                <w:szCs w:val="18"/>
              </w:rPr>
            </w:pPr>
            <w:r w:rsidRPr="00F539AC">
              <w:rPr>
                <w:sz w:val="18"/>
                <w:szCs w:val="18"/>
              </w:rPr>
              <w:t xml:space="preserve"> 4,3 </w:t>
            </w:r>
          </w:p>
        </w:tc>
        <w:tc>
          <w:tcPr>
            <w:tcW w:w="160" w:type="dxa"/>
            <w:tcBorders>
              <w:top w:val="nil"/>
              <w:left w:val="nil"/>
              <w:right w:val="nil"/>
            </w:tcBorders>
          </w:tcPr>
          <w:p w14:paraId="13486CF2" w14:textId="77777777" w:rsidR="00324854" w:rsidRPr="00F539AC" w:rsidRDefault="00324854" w:rsidP="0019189B">
            <w:pPr>
              <w:spacing w:after="40"/>
              <w:ind w:firstLine="180"/>
              <w:jc w:val="right"/>
              <w:rPr>
                <w:sz w:val="18"/>
                <w:szCs w:val="18"/>
              </w:rPr>
            </w:pPr>
          </w:p>
        </w:tc>
        <w:tc>
          <w:tcPr>
            <w:tcW w:w="1430" w:type="dxa"/>
            <w:tcBorders>
              <w:top w:val="nil"/>
              <w:left w:val="nil"/>
              <w:right w:val="nil"/>
            </w:tcBorders>
            <w:shd w:val="clear" w:color="auto" w:fill="auto"/>
            <w:noWrap/>
            <w:hideMark/>
          </w:tcPr>
          <w:p w14:paraId="5C883BC8" w14:textId="77777777" w:rsidR="00324854" w:rsidRPr="00F539AC" w:rsidRDefault="00324854" w:rsidP="0019189B">
            <w:pPr>
              <w:spacing w:after="40"/>
              <w:ind w:firstLine="180"/>
              <w:jc w:val="right"/>
              <w:rPr>
                <w:sz w:val="18"/>
                <w:szCs w:val="18"/>
              </w:rPr>
            </w:pPr>
            <w:r w:rsidRPr="00F539AC">
              <w:rPr>
                <w:sz w:val="18"/>
                <w:szCs w:val="18"/>
              </w:rPr>
              <w:t xml:space="preserve"> 4,0 </w:t>
            </w:r>
          </w:p>
        </w:tc>
        <w:tc>
          <w:tcPr>
            <w:tcW w:w="1118" w:type="dxa"/>
            <w:tcBorders>
              <w:top w:val="nil"/>
              <w:left w:val="nil"/>
              <w:right w:val="nil"/>
            </w:tcBorders>
          </w:tcPr>
          <w:p w14:paraId="716A4683" w14:textId="77777777" w:rsidR="00324854" w:rsidRPr="00F539AC" w:rsidRDefault="00324854" w:rsidP="0019189B">
            <w:pPr>
              <w:spacing w:after="40"/>
              <w:ind w:firstLine="180"/>
              <w:jc w:val="right"/>
              <w:rPr>
                <w:sz w:val="18"/>
                <w:szCs w:val="18"/>
              </w:rPr>
            </w:pPr>
            <w:r w:rsidRPr="00F539AC">
              <w:rPr>
                <w:sz w:val="18"/>
                <w:szCs w:val="18"/>
              </w:rPr>
              <w:t xml:space="preserve"> 4,1 </w:t>
            </w:r>
          </w:p>
        </w:tc>
      </w:tr>
      <w:tr w:rsidR="00324854" w:rsidRPr="00F37674" w14:paraId="37D48C25" w14:textId="77777777" w:rsidTr="0019189B">
        <w:trPr>
          <w:trHeight w:val="240"/>
        </w:trPr>
        <w:tc>
          <w:tcPr>
            <w:tcW w:w="1153" w:type="dxa"/>
            <w:tcBorders>
              <w:top w:val="nil"/>
              <w:left w:val="nil"/>
              <w:right w:val="nil"/>
            </w:tcBorders>
            <w:shd w:val="clear" w:color="auto" w:fill="auto"/>
            <w:noWrap/>
            <w:hideMark/>
          </w:tcPr>
          <w:p w14:paraId="09CB7357" w14:textId="77777777" w:rsidR="00324854" w:rsidRPr="00CE2F05" w:rsidRDefault="00324854" w:rsidP="0019189B">
            <w:pPr>
              <w:spacing w:after="40"/>
              <w:ind w:firstLine="180"/>
              <w:rPr>
                <w:sz w:val="18"/>
                <w:szCs w:val="18"/>
              </w:rPr>
            </w:pPr>
            <w:r w:rsidRPr="00CE2F05">
              <w:rPr>
                <w:sz w:val="18"/>
                <w:szCs w:val="18"/>
              </w:rPr>
              <w:t>2012</w:t>
            </w:r>
          </w:p>
        </w:tc>
        <w:tc>
          <w:tcPr>
            <w:tcW w:w="2195" w:type="dxa"/>
            <w:tcBorders>
              <w:top w:val="nil"/>
              <w:left w:val="nil"/>
              <w:right w:val="nil"/>
            </w:tcBorders>
            <w:shd w:val="clear" w:color="auto" w:fill="auto"/>
            <w:noWrap/>
            <w:hideMark/>
          </w:tcPr>
          <w:p w14:paraId="5D149889" w14:textId="77777777" w:rsidR="00324854" w:rsidRPr="00F539AC" w:rsidRDefault="00324854" w:rsidP="0019189B">
            <w:pPr>
              <w:spacing w:after="40"/>
              <w:ind w:firstLine="180"/>
              <w:jc w:val="right"/>
              <w:rPr>
                <w:sz w:val="18"/>
                <w:szCs w:val="18"/>
              </w:rPr>
            </w:pPr>
            <w:r w:rsidRPr="00F539AC">
              <w:rPr>
                <w:sz w:val="18"/>
                <w:szCs w:val="18"/>
              </w:rPr>
              <w:t xml:space="preserve"> 3,0 </w:t>
            </w:r>
          </w:p>
        </w:tc>
        <w:tc>
          <w:tcPr>
            <w:tcW w:w="1133" w:type="dxa"/>
            <w:tcBorders>
              <w:top w:val="nil"/>
              <w:left w:val="nil"/>
              <w:right w:val="nil"/>
            </w:tcBorders>
            <w:shd w:val="clear" w:color="auto" w:fill="auto"/>
            <w:noWrap/>
            <w:hideMark/>
          </w:tcPr>
          <w:p w14:paraId="7A2CA7FE"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020" w:type="dxa"/>
            <w:tcBorders>
              <w:top w:val="nil"/>
              <w:left w:val="nil"/>
              <w:right w:val="nil"/>
            </w:tcBorders>
            <w:shd w:val="clear" w:color="auto" w:fill="auto"/>
            <w:noWrap/>
            <w:hideMark/>
          </w:tcPr>
          <w:p w14:paraId="1E35AE84"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250" w:type="dxa"/>
            <w:tcBorders>
              <w:top w:val="nil"/>
              <w:left w:val="nil"/>
              <w:right w:val="nil"/>
            </w:tcBorders>
            <w:shd w:val="clear" w:color="auto" w:fill="auto"/>
            <w:noWrap/>
            <w:hideMark/>
          </w:tcPr>
          <w:p w14:paraId="0C74BF85" w14:textId="77777777" w:rsidR="00324854" w:rsidRPr="00F539AC" w:rsidRDefault="00324854" w:rsidP="0019189B">
            <w:pPr>
              <w:spacing w:after="40"/>
              <w:ind w:firstLine="180"/>
              <w:jc w:val="right"/>
              <w:rPr>
                <w:sz w:val="18"/>
                <w:szCs w:val="18"/>
              </w:rPr>
            </w:pPr>
            <w:r w:rsidRPr="00F539AC">
              <w:rPr>
                <w:sz w:val="18"/>
                <w:szCs w:val="18"/>
              </w:rPr>
              <w:t xml:space="preserve"> 4,0 </w:t>
            </w:r>
          </w:p>
        </w:tc>
        <w:tc>
          <w:tcPr>
            <w:tcW w:w="1580" w:type="dxa"/>
            <w:tcBorders>
              <w:top w:val="nil"/>
              <w:left w:val="nil"/>
              <w:right w:val="nil"/>
            </w:tcBorders>
          </w:tcPr>
          <w:p w14:paraId="75E40251" w14:textId="77777777" w:rsidR="00324854" w:rsidRPr="00F539AC" w:rsidRDefault="00324854" w:rsidP="0019189B">
            <w:pPr>
              <w:spacing w:after="40"/>
              <w:ind w:firstLine="180"/>
              <w:jc w:val="right"/>
              <w:rPr>
                <w:sz w:val="18"/>
                <w:szCs w:val="18"/>
              </w:rPr>
            </w:pPr>
            <w:r w:rsidRPr="00F539AC">
              <w:rPr>
                <w:sz w:val="18"/>
                <w:szCs w:val="18"/>
              </w:rPr>
              <w:t xml:space="preserve"> 4,1 </w:t>
            </w:r>
          </w:p>
        </w:tc>
        <w:tc>
          <w:tcPr>
            <w:tcW w:w="160" w:type="dxa"/>
            <w:tcBorders>
              <w:top w:val="nil"/>
              <w:left w:val="nil"/>
              <w:right w:val="nil"/>
            </w:tcBorders>
          </w:tcPr>
          <w:p w14:paraId="4739D5B0" w14:textId="77777777" w:rsidR="00324854" w:rsidRPr="00F539AC" w:rsidRDefault="00324854" w:rsidP="0019189B">
            <w:pPr>
              <w:spacing w:after="40"/>
              <w:ind w:firstLine="180"/>
              <w:jc w:val="right"/>
              <w:rPr>
                <w:sz w:val="18"/>
                <w:szCs w:val="18"/>
              </w:rPr>
            </w:pPr>
          </w:p>
        </w:tc>
        <w:tc>
          <w:tcPr>
            <w:tcW w:w="1430" w:type="dxa"/>
            <w:tcBorders>
              <w:top w:val="nil"/>
              <w:left w:val="nil"/>
              <w:right w:val="nil"/>
            </w:tcBorders>
            <w:shd w:val="clear" w:color="auto" w:fill="auto"/>
            <w:noWrap/>
            <w:hideMark/>
          </w:tcPr>
          <w:p w14:paraId="10C788F2"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118" w:type="dxa"/>
            <w:tcBorders>
              <w:top w:val="nil"/>
              <w:left w:val="nil"/>
              <w:right w:val="nil"/>
            </w:tcBorders>
          </w:tcPr>
          <w:p w14:paraId="51DD74BE" w14:textId="77777777" w:rsidR="00324854" w:rsidRPr="00F539AC" w:rsidRDefault="00324854" w:rsidP="0019189B">
            <w:pPr>
              <w:spacing w:after="40"/>
              <w:ind w:firstLine="180"/>
              <w:jc w:val="right"/>
              <w:rPr>
                <w:sz w:val="18"/>
                <w:szCs w:val="18"/>
              </w:rPr>
            </w:pPr>
            <w:r w:rsidRPr="00F539AC">
              <w:rPr>
                <w:sz w:val="18"/>
                <w:szCs w:val="18"/>
              </w:rPr>
              <w:t xml:space="preserve"> 4,2 </w:t>
            </w:r>
          </w:p>
        </w:tc>
      </w:tr>
      <w:tr w:rsidR="00324854" w:rsidRPr="00F37674" w14:paraId="45DA3D26" w14:textId="77777777" w:rsidTr="0019189B">
        <w:trPr>
          <w:trHeight w:val="240"/>
        </w:trPr>
        <w:tc>
          <w:tcPr>
            <w:tcW w:w="1153" w:type="dxa"/>
            <w:tcBorders>
              <w:left w:val="nil"/>
              <w:right w:val="nil"/>
            </w:tcBorders>
            <w:shd w:val="clear" w:color="auto" w:fill="auto"/>
            <w:noWrap/>
            <w:hideMark/>
          </w:tcPr>
          <w:p w14:paraId="7011293A" w14:textId="77777777" w:rsidR="00324854" w:rsidRPr="00CE2F05" w:rsidRDefault="00324854" w:rsidP="0019189B">
            <w:pPr>
              <w:spacing w:after="40"/>
              <w:ind w:firstLine="180"/>
              <w:rPr>
                <w:sz w:val="18"/>
                <w:szCs w:val="18"/>
              </w:rPr>
            </w:pPr>
            <w:r w:rsidRPr="00CE2F05">
              <w:rPr>
                <w:sz w:val="18"/>
                <w:szCs w:val="18"/>
              </w:rPr>
              <w:t>2013</w:t>
            </w:r>
          </w:p>
        </w:tc>
        <w:tc>
          <w:tcPr>
            <w:tcW w:w="2195" w:type="dxa"/>
            <w:tcBorders>
              <w:left w:val="nil"/>
              <w:right w:val="nil"/>
            </w:tcBorders>
            <w:shd w:val="clear" w:color="auto" w:fill="auto"/>
            <w:noWrap/>
            <w:hideMark/>
          </w:tcPr>
          <w:p w14:paraId="5D678257" w14:textId="77777777" w:rsidR="00324854" w:rsidRPr="00F539AC" w:rsidRDefault="00324854" w:rsidP="0019189B">
            <w:pPr>
              <w:spacing w:after="40"/>
              <w:ind w:firstLine="180"/>
              <w:jc w:val="right"/>
              <w:rPr>
                <w:sz w:val="18"/>
                <w:szCs w:val="18"/>
              </w:rPr>
            </w:pPr>
            <w:r w:rsidRPr="00F539AC">
              <w:rPr>
                <w:sz w:val="18"/>
                <w:szCs w:val="18"/>
              </w:rPr>
              <w:t xml:space="preserve"> 3,6 </w:t>
            </w:r>
          </w:p>
        </w:tc>
        <w:tc>
          <w:tcPr>
            <w:tcW w:w="1133" w:type="dxa"/>
            <w:tcBorders>
              <w:left w:val="nil"/>
              <w:right w:val="nil"/>
            </w:tcBorders>
            <w:shd w:val="clear" w:color="auto" w:fill="auto"/>
            <w:noWrap/>
            <w:hideMark/>
          </w:tcPr>
          <w:p w14:paraId="67002F93" w14:textId="77777777" w:rsidR="00324854" w:rsidRPr="00F539AC" w:rsidRDefault="00324854" w:rsidP="0019189B">
            <w:pPr>
              <w:spacing w:after="40"/>
              <w:ind w:firstLine="180"/>
              <w:jc w:val="right"/>
              <w:rPr>
                <w:sz w:val="18"/>
                <w:szCs w:val="18"/>
              </w:rPr>
            </w:pPr>
            <w:r w:rsidRPr="00F539AC">
              <w:rPr>
                <w:sz w:val="18"/>
                <w:szCs w:val="18"/>
              </w:rPr>
              <w:t xml:space="preserve"> 3,5 </w:t>
            </w:r>
          </w:p>
        </w:tc>
        <w:tc>
          <w:tcPr>
            <w:tcW w:w="1020" w:type="dxa"/>
            <w:tcBorders>
              <w:left w:val="nil"/>
              <w:right w:val="nil"/>
            </w:tcBorders>
            <w:shd w:val="clear" w:color="auto" w:fill="auto"/>
            <w:noWrap/>
            <w:hideMark/>
          </w:tcPr>
          <w:p w14:paraId="0D2E10CB"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250" w:type="dxa"/>
            <w:tcBorders>
              <w:left w:val="nil"/>
              <w:right w:val="nil"/>
            </w:tcBorders>
            <w:shd w:val="clear" w:color="auto" w:fill="auto"/>
            <w:noWrap/>
            <w:hideMark/>
          </w:tcPr>
          <w:p w14:paraId="3B46EEEC" w14:textId="77777777" w:rsidR="00324854" w:rsidRPr="00F539AC" w:rsidRDefault="00324854" w:rsidP="0019189B">
            <w:pPr>
              <w:spacing w:after="40"/>
              <w:ind w:firstLine="180"/>
              <w:jc w:val="right"/>
              <w:rPr>
                <w:sz w:val="18"/>
                <w:szCs w:val="18"/>
              </w:rPr>
            </w:pPr>
            <w:r w:rsidRPr="00F539AC">
              <w:rPr>
                <w:sz w:val="18"/>
                <w:szCs w:val="18"/>
              </w:rPr>
              <w:t xml:space="preserve"> 3,2 </w:t>
            </w:r>
          </w:p>
        </w:tc>
        <w:tc>
          <w:tcPr>
            <w:tcW w:w="1580" w:type="dxa"/>
            <w:tcBorders>
              <w:left w:val="nil"/>
              <w:right w:val="nil"/>
            </w:tcBorders>
          </w:tcPr>
          <w:p w14:paraId="2B48AFE6" w14:textId="77777777" w:rsidR="00324854" w:rsidRPr="00F539AC" w:rsidRDefault="00324854" w:rsidP="0019189B">
            <w:pPr>
              <w:spacing w:after="40"/>
              <w:ind w:firstLine="180"/>
              <w:jc w:val="right"/>
              <w:rPr>
                <w:sz w:val="18"/>
                <w:szCs w:val="18"/>
              </w:rPr>
            </w:pPr>
            <w:r w:rsidRPr="00F539AC">
              <w:rPr>
                <w:sz w:val="18"/>
                <w:szCs w:val="18"/>
              </w:rPr>
              <w:t xml:space="preserve"> 3,9 </w:t>
            </w:r>
          </w:p>
        </w:tc>
        <w:tc>
          <w:tcPr>
            <w:tcW w:w="160" w:type="dxa"/>
            <w:tcBorders>
              <w:left w:val="nil"/>
              <w:right w:val="nil"/>
            </w:tcBorders>
          </w:tcPr>
          <w:p w14:paraId="1E90CE11" w14:textId="77777777" w:rsidR="00324854" w:rsidRPr="00F539AC" w:rsidRDefault="00324854" w:rsidP="0019189B">
            <w:pPr>
              <w:spacing w:after="40"/>
              <w:ind w:firstLine="180"/>
              <w:jc w:val="right"/>
              <w:rPr>
                <w:sz w:val="18"/>
                <w:szCs w:val="18"/>
              </w:rPr>
            </w:pPr>
          </w:p>
        </w:tc>
        <w:tc>
          <w:tcPr>
            <w:tcW w:w="1430" w:type="dxa"/>
            <w:tcBorders>
              <w:left w:val="nil"/>
              <w:right w:val="nil"/>
            </w:tcBorders>
            <w:shd w:val="clear" w:color="auto" w:fill="auto"/>
            <w:noWrap/>
            <w:hideMark/>
          </w:tcPr>
          <w:p w14:paraId="343E2EE7" w14:textId="77777777" w:rsidR="00324854" w:rsidRPr="00F539AC" w:rsidRDefault="00324854" w:rsidP="0019189B">
            <w:pPr>
              <w:spacing w:after="40"/>
              <w:ind w:firstLine="180"/>
              <w:jc w:val="right"/>
              <w:rPr>
                <w:sz w:val="18"/>
                <w:szCs w:val="18"/>
              </w:rPr>
            </w:pPr>
            <w:r w:rsidRPr="00F539AC">
              <w:rPr>
                <w:sz w:val="18"/>
                <w:szCs w:val="18"/>
              </w:rPr>
              <w:t xml:space="preserve"> 3,8 </w:t>
            </w:r>
          </w:p>
        </w:tc>
        <w:tc>
          <w:tcPr>
            <w:tcW w:w="1118" w:type="dxa"/>
            <w:tcBorders>
              <w:left w:val="nil"/>
              <w:right w:val="nil"/>
            </w:tcBorders>
          </w:tcPr>
          <w:p w14:paraId="509A2DC2" w14:textId="77777777" w:rsidR="00324854" w:rsidRPr="00F539AC" w:rsidRDefault="00324854" w:rsidP="0019189B">
            <w:pPr>
              <w:spacing w:after="40"/>
              <w:ind w:firstLine="180"/>
              <w:jc w:val="right"/>
              <w:rPr>
                <w:sz w:val="18"/>
                <w:szCs w:val="18"/>
              </w:rPr>
            </w:pPr>
            <w:r w:rsidRPr="00F539AC">
              <w:rPr>
                <w:sz w:val="18"/>
                <w:szCs w:val="18"/>
              </w:rPr>
              <w:t xml:space="preserve"> 3,6 </w:t>
            </w:r>
          </w:p>
        </w:tc>
      </w:tr>
      <w:tr w:rsidR="00324854" w:rsidRPr="00F37674" w14:paraId="7F772047" w14:textId="77777777" w:rsidTr="0019189B">
        <w:trPr>
          <w:trHeight w:val="240"/>
        </w:trPr>
        <w:tc>
          <w:tcPr>
            <w:tcW w:w="1153" w:type="dxa"/>
            <w:tcBorders>
              <w:left w:val="nil"/>
              <w:right w:val="nil"/>
            </w:tcBorders>
            <w:shd w:val="clear" w:color="auto" w:fill="auto"/>
            <w:noWrap/>
            <w:hideMark/>
          </w:tcPr>
          <w:p w14:paraId="6068B431" w14:textId="77777777" w:rsidR="00324854" w:rsidRPr="00CE2F05" w:rsidRDefault="00324854" w:rsidP="0019189B">
            <w:pPr>
              <w:spacing w:after="40"/>
              <w:ind w:firstLine="180"/>
              <w:rPr>
                <w:sz w:val="18"/>
                <w:szCs w:val="18"/>
              </w:rPr>
            </w:pPr>
            <w:r w:rsidRPr="00CE2F05">
              <w:rPr>
                <w:sz w:val="18"/>
                <w:szCs w:val="18"/>
              </w:rPr>
              <w:t>2014</w:t>
            </w:r>
          </w:p>
        </w:tc>
        <w:tc>
          <w:tcPr>
            <w:tcW w:w="2195" w:type="dxa"/>
            <w:tcBorders>
              <w:left w:val="nil"/>
              <w:right w:val="nil"/>
            </w:tcBorders>
            <w:shd w:val="clear" w:color="auto" w:fill="auto"/>
            <w:noWrap/>
            <w:hideMark/>
          </w:tcPr>
          <w:p w14:paraId="2BD5B064" w14:textId="77777777" w:rsidR="00324854" w:rsidRPr="00F539AC" w:rsidRDefault="00324854" w:rsidP="0019189B">
            <w:pPr>
              <w:spacing w:after="40"/>
              <w:ind w:firstLine="180"/>
              <w:jc w:val="right"/>
              <w:rPr>
                <w:sz w:val="18"/>
                <w:szCs w:val="18"/>
              </w:rPr>
            </w:pPr>
            <w:r w:rsidRPr="00F539AC">
              <w:rPr>
                <w:sz w:val="18"/>
                <w:szCs w:val="18"/>
              </w:rPr>
              <w:t xml:space="preserve"> 2,4 </w:t>
            </w:r>
          </w:p>
        </w:tc>
        <w:tc>
          <w:tcPr>
            <w:tcW w:w="1133" w:type="dxa"/>
            <w:tcBorders>
              <w:left w:val="nil"/>
              <w:right w:val="nil"/>
            </w:tcBorders>
            <w:shd w:val="clear" w:color="auto" w:fill="auto"/>
            <w:noWrap/>
            <w:hideMark/>
          </w:tcPr>
          <w:p w14:paraId="3FDCB815"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020" w:type="dxa"/>
            <w:tcBorders>
              <w:left w:val="nil"/>
              <w:right w:val="nil"/>
            </w:tcBorders>
            <w:shd w:val="clear" w:color="auto" w:fill="auto"/>
            <w:noWrap/>
            <w:hideMark/>
          </w:tcPr>
          <w:p w14:paraId="118EC99C" w14:textId="77777777" w:rsidR="00324854" w:rsidRPr="00F539AC" w:rsidRDefault="00324854" w:rsidP="0019189B">
            <w:pPr>
              <w:spacing w:after="40"/>
              <w:ind w:firstLine="180"/>
              <w:jc w:val="right"/>
              <w:rPr>
                <w:sz w:val="18"/>
                <w:szCs w:val="18"/>
              </w:rPr>
            </w:pPr>
            <w:r w:rsidRPr="00F539AC">
              <w:rPr>
                <w:sz w:val="18"/>
                <w:szCs w:val="18"/>
              </w:rPr>
              <w:t xml:space="preserve"> 3,2 </w:t>
            </w:r>
          </w:p>
        </w:tc>
        <w:tc>
          <w:tcPr>
            <w:tcW w:w="1250" w:type="dxa"/>
            <w:tcBorders>
              <w:left w:val="nil"/>
              <w:right w:val="nil"/>
            </w:tcBorders>
            <w:shd w:val="clear" w:color="auto" w:fill="auto"/>
            <w:noWrap/>
            <w:hideMark/>
          </w:tcPr>
          <w:p w14:paraId="2DD92031" w14:textId="77777777" w:rsidR="00324854" w:rsidRPr="00F539AC" w:rsidRDefault="00324854" w:rsidP="0019189B">
            <w:pPr>
              <w:spacing w:after="40"/>
              <w:ind w:firstLine="180"/>
              <w:jc w:val="right"/>
              <w:rPr>
                <w:sz w:val="18"/>
                <w:szCs w:val="18"/>
              </w:rPr>
            </w:pPr>
            <w:r w:rsidRPr="00F539AC">
              <w:rPr>
                <w:sz w:val="18"/>
                <w:szCs w:val="18"/>
              </w:rPr>
              <w:t xml:space="preserve"> 2,3 </w:t>
            </w:r>
          </w:p>
        </w:tc>
        <w:tc>
          <w:tcPr>
            <w:tcW w:w="1580" w:type="dxa"/>
            <w:tcBorders>
              <w:left w:val="nil"/>
              <w:right w:val="nil"/>
            </w:tcBorders>
          </w:tcPr>
          <w:p w14:paraId="7DB4CC51" w14:textId="77777777" w:rsidR="00324854" w:rsidRPr="00F539AC" w:rsidRDefault="00324854" w:rsidP="0019189B">
            <w:pPr>
              <w:spacing w:after="40"/>
              <w:ind w:firstLine="180"/>
              <w:jc w:val="right"/>
              <w:rPr>
                <w:sz w:val="18"/>
                <w:szCs w:val="18"/>
              </w:rPr>
            </w:pPr>
            <w:r w:rsidRPr="00F539AC">
              <w:rPr>
                <w:sz w:val="18"/>
                <w:szCs w:val="18"/>
              </w:rPr>
              <w:t xml:space="preserve"> 3,7 </w:t>
            </w:r>
          </w:p>
        </w:tc>
        <w:tc>
          <w:tcPr>
            <w:tcW w:w="160" w:type="dxa"/>
            <w:tcBorders>
              <w:left w:val="nil"/>
              <w:right w:val="nil"/>
            </w:tcBorders>
          </w:tcPr>
          <w:p w14:paraId="1C0F3B6F" w14:textId="77777777" w:rsidR="00324854" w:rsidRPr="00F539AC" w:rsidRDefault="00324854" w:rsidP="0019189B">
            <w:pPr>
              <w:spacing w:after="40"/>
              <w:ind w:firstLine="180"/>
              <w:jc w:val="right"/>
              <w:rPr>
                <w:sz w:val="18"/>
                <w:szCs w:val="18"/>
              </w:rPr>
            </w:pPr>
          </w:p>
        </w:tc>
        <w:tc>
          <w:tcPr>
            <w:tcW w:w="1430" w:type="dxa"/>
            <w:tcBorders>
              <w:left w:val="nil"/>
              <w:right w:val="nil"/>
            </w:tcBorders>
            <w:shd w:val="clear" w:color="auto" w:fill="auto"/>
            <w:noWrap/>
            <w:hideMark/>
          </w:tcPr>
          <w:p w14:paraId="0F67DC7B" w14:textId="77777777" w:rsidR="00324854" w:rsidRPr="00F539AC" w:rsidRDefault="00324854" w:rsidP="0019189B">
            <w:pPr>
              <w:spacing w:after="40"/>
              <w:ind w:firstLine="180"/>
              <w:jc w:val="right"/>
              <w:rPr>
                <w:sz w:val="18"/>
                <w:szCs w:val="18"/>
              </w:rPr>
            </w:pPr>
            <w:r w:rsidRPr="00F539AC">
              <w:rPr>
                <w:sz w:val="18"/>
                <w:szCs w:val="18"/>
              </w:rPr>
              <w:t xml:space="preserve"> 3,4 </w:t>
            </w:r>
          </w:p>
        </w:tc>
        <w:tc>
          <w:tcPr>
            <w:tcW w:w="1118" w:type="dxa"/>
            <w:tcBorders>
              <w:left w:val="nil"/>
              <w:right w:val="nil"/>
            </w:tcBorders>
          </w:tcPr>
          <w:p w14:paraId="1E821548" w14:textId="77777777" w:rsidR="00324854" w:rsidRPr="00F539AC" w:rsidRDefault="00324854" w:rsidP="0019189B">
            <w:pPr>
              <w:spacing w:after="40"/>
              <w:ind w:firstLine="180"/>
              <w:jc w:val="right"/>
              <w:rPr>
                <w:sz w:val="18"/>
                <w:szCs w:val="18"/>
              </w:rPr>
            </w:pPr>
            <w:r w:rsidRPr="00F539AC">
              <w:rPr>
                <w:sz w:val="18"/>
                <w:szCs w:val="18"/>
              </w:rPr>
              <w:t xml:space="preserve"> 3,3 </w:t>
            </w:r>
          </w:p>
        </w:tc>
      </w:tr>
      <w:tr w:rsidR="00324854" w:rsidRPr="00F37674" w14:paraId="6FB91B58" w14:textId="77777777" w:rsidTr="0019189B">
        <w:trPr>
          <w:trHeight w:val="240"/>
        </w:trPr>
        <w:tc>
          <w:tcPr>
            <w:tcW w:w="1153" w:type="dxa"/>
            <w:tcBorders>
              <w:left w:val="nil"/>
              <w:bottom w:val="single" w:sz="4" w:space="0" w:color="auto"/>
              <w:right w:val="nil"/>
            </w:tcBorders>
            <w:shd w:val="clear" w:color="auto" w:fill="auto"/>
            <w:noWrap/>
            <w:hideMark/>
          </w:tcPr>
          <w:p w14:paraId="181E3BAE" w14:textId="77777777" w:rsidR="00324854" w:rsidRPr="00CE2F05" w:rsidRDefault="00324854" w:rsidP="0019189B">
            <w:pPr>
              <w:spacing w:after="40"/>
              <w:ind w:firstLine="180"/>
              <w:rPr>
                <w:sz w:val="18"/>
                <w:szCs w:val="18"/>
              </w:rPr>
            </w:pPr>
            <w:r w:rsidRPr="00CE2F05">
              <w:rPr>
                <w:sz w:val="18"/>
                <w:szCs w:val="18"/>
              </w:rPr>
              <w:t>2015</w:t>
            </w:r>
          </w:p>
        </w:tc>
        <w:tc>
          <w:tcPr>
            <w:tcW w:w="2195" w:type="dxa"/>
            <w:tcBorders>
              <w:left w:val="nil"/>
              <w:bottom w:val="single" w:sz="4" w:space="0" w:color="auto"/>
              <w:right w:val="nil"/>
            </w:tcBorders>
            <w:shd w:val="clear" w:color="auto" w:fill="auto"/>
            <w:noWrap/>
            <w:hideMark/>
          </w:tcPr>
          <w:p w14:paraId="5AE44DAA" w14:textId="77777777" w:rsidR="00324854" w:rsidRPr="00F539AC" w:rsidRDefault="00324854" w:rsidP="0019189B">
            <w:pPr>
              <w:spacing w:after="40"/>
              <w:ind w:firstLine="180"/>
              <w:jc w:val="right"/>
              <w:rPr>
                <w:sz w:val="18"/>
                <w:szCs w:val="18"/>
              </w:rPr>
            </w:pPr>
          </w:p>
        </w:tc>
        <w:tc>
          <w:tcPr>
            <w:tcW w:w="1133" w:type="dxa"/>
            <w:tcBorders>
              <w:left w:val="nil"/>
              <w:bottom w:val="single" w:sz="4" w:space="0" w:color="auto"/>
              <w:right w:val="nil"/>
            </w:tcBorders>
            <w:shd w:val="clear" w:color="auto" w:fill="auto"/>
            <w:noWrap/>
            <w:hideMark/>
          </w:tcPr>
          <w:p w14:paraId="0384493B" w14:textId="77777777" w:rsidR="00324854" w:rsidRPr="00F539AC" w:rsidRDefault="00324854" w:rsidP="0019189B">
            <w:pPr>
              <w:spacing w:after="40"/>
              <w:ind w:firstLine="180"/>
              <w:jc w:val="right"/>
              <w:rPr>
                <w:sz w:val="18"/>
                <w:szCs w:val="18"/>
              </w:rPr>
            </w:pPr>
            <w:r>
              <w:rPr>
                <w:sz w:val="18"/>
                <w:szCs w:val="18"/>
              </w:rPr>
              <w:t xml:space="preserve">2 ¾ </w:t>
            </w:r>
            <w:r>
              <w:rPr>
                <w:sz w:val="18"/>
                <w:szCs w:val="18"/>
                <w:vertAlign w:val="superscript"/>
              </w:rPr>
              <w:t>13</w:t>
            </w:r>
          </w:p>
        </w:tc>
        <w:tc>
          <w:tcPr>
            <w:tcW w:w="1020" w:type="dxa"/>
            <w:tcBorders>
              <w:left w:val="nil"/>
              <w:bottom w:val="single" w:sz="4" w:space="0" w:color="auto"/>
              <w:right w:val="nil"/>
            </w:tcBorders>
            <w:shd w:val="clear" w:color="auto" w:fill="auto"/>
            <w:noWrap/>
            <w:hideMark/>
          </w:tcPr>
          <w:p w14:paraId="04FA0114" w14:textId="77777777" w:rsidR="00324854" w:rsidRPr="00F539AC" w:rsidRDefault="00324854" w:rsidP="0019189B">
            <w:pPr>
              <w:spacing w:after="40"/>
              <w:ind w:firstLine="180"/>
              <w:jc w:val="right"/>
              <w:rPr>
                <w:sz w:val="18"/>
                <w:szCs w:val="18"/>
              </w:rPr>
            </w:pPr>
            <w:r>
              <w:rPr>
                <w:sz w:val="18"/>
                <w:szCs w:val="18"/>
              </w:rPr>
              <w:t xml:space="preserve">3 ¼ </w:t>
            </w:r>
          </w:p>
        </w:tc>
        <w:tc>
          <w:tcPr>
            <w:tcW w:w="1250" w:type="dxa"/>
            <w:tcBorders>
              <w:left w:val="nil"/>
              <w:bottom w:val="single" w:sz="4" w:space="0" w:color="auto"/>
              <w:right w:val="nil"/>
            </w:tcBorders>
            <w:shd w:val="clear" w:color="auto" w:fill="auto"/>
            <w:noWrap/>
            <w:hideMark/>
          </w:tcPr>
          <w:p w14:paraId="060808ED" w14:textId="77777777" w:rsidR="00324854" w:rsidRPr="00F539AC" w:rsidRDefault="00324854" w:rsidP="0019189B">
            <w:pPr>
              <w:spacing w:after="40"/>
              <w:ind w:firstLine="180"/>
              <w:jc w:val="right"/>
              <w:rPr>
                <w:sz w:val="18"/>
                <w:szCs w:val="18"/>
              </w:rPr>
            </w:pPr>
            <w:r w:rsidRPr="00F539AC">
              <w:rPr>
                <w:sz w:val="18"/>
                <w:szCs w:val="18"/>
              </w:rPr>
              <w:t>4</w:t>
            </w:r>
          </w:p>
        </w:tc>
        <w:tc>
          <w:tcPr>
            <w:tcW w:w="1580" w:type="dxa"/>
            <w:tcBorders>
              <w:left w:val="nil"/>
              <w:bottom w:val="single" w:sz="4" w:space="0" w:color="auto"/>
              <w:right w:val="nil"/>
            </w:tcBorders>
          </w:tcPr>
          <w:p w14:paraId="7D4B2976" w14:textId="77777777" w:rsidR="00324854" w:rsidRPr="00F539AC" w:rsidRDefault="00324854" w:rsidP="0019189B">
            <w:pPr>
              <w:spacing w:after="40"/>
              <w:ind w:firstLine="180"/>
              <w:jc w:val="right"/>
              <w:rPr>
                <w:sz w:val="18"/>
                <w:szCs w:val="18"/>
              </w:rPr>
            </w:pPr>
            <w:r>
              <w:rPr>
                <w:sz w:val="18"/>
                <w:szCs w:val="18"/>
              </w:rPr>
              <w:t xml:space="preserve">3 ¼ </w:t>
            </w:r>
          </w:p>
        </w:tc>
        <w:tc>
          <w:tcPr>
            <w:tcW w:w="160" w:type="dxa"/>
            <w:tcBorders>
              <w:left w:val="nil"/>
              <w:bottom w:val="single" w:sz="4" w:space="0" w:color="auto"/>
              <w:right w:val="nil"/>
            </w:tcBorders>
          </w:tcPr>
          <w:p w14:paraId="47828B01" w14:textId="77777777" w:rsidR="00324854" w:rsidRPr="00F539AC" w:rsidRDefault="00324854" w:rsidP="0019189B">
            <w:pPr>
              <w:spacing w:after="40"/>
              <w:ind w:firstLine="180"/>
              <w:jc w:val="right"/>
              <w:rPr>
                <w:sz w:val="18"/>
                <w:szCs w:val="18"/>
              </w:rPr>
            </w:pPr>
          </w:p>
        </w:tc>
        <w:tc>
          <w:tcPr>
            <w:tcW w:w="1430" w:type="dxa"/>
            <w:tcBorders>
              <w:left w:val="nil"/>
              <w:bottom w:val="single" w:sz="4" w:space="0" w:color="auto"/>
              <w:right w:val="nil"/>
            </w:tcBorders>
            <w:shd w:val="clear" w:color="auto" w:fill="auto"/>
            <w:noWrap/>
            <w:hideMark/>
          </w:tcPr>
          <w:p w14:paraId="761B7802" w14:textId="77777777" w:rsidR="00324854" w:rsidRPr="00F539AC" w:rsidRDefault="00324854" w:rsidP="0019189B">
            <w:pPr>
              <w:spacing w:after="40"/>
              <w:ind w:firstLine="180"/>
              <w:jc w:val="right"/>
              <w:rPr>
                <w:sz w:val="18"/>
                <w:szCs w:val="18"/>
              </w:rPr>
            </w:pPr>
            <w:r>
              <w:rPr>
                <w:sz w:val="18"/>
                <w:szCs w:val="18"/>
              </w:rPr>
              <w:t xml:space="preserve">2 ¾ </w:t>
            </w:r>
          </w:p>
        </w:tc>
        <w:tc>
          <w:tcPr>
            <w:tcW w:w="1118" w:type="dxa"/>
            <w:tcBorders>
              <w:left w:val="nil"/>
              <w:bottom w:val="nil"/>
              <w:right w:val="nil"/>
            </w:tcBorders>
          </w:tcPr>
          <w:p w14:paraId="16D7CBFB" w14:textId="77777777" w:rsidR="00324854" w:rsidRPr="00F539AC" w:rsidRDefault="00324854" w:rsidP="0019189B">
            <w:pPr>
              <w:spacing w:after="40"/>
              <w:ind w:firstLine="180"/>
              <w:jc w:val="right"/>
              <w:rPr>
                <w:sz w:val="18"/>
                <w:szCs w:val="18"/>
              </w:rPr>
            </w:pPr>
            <w:r>
              <w:rPr>
                <w:sz w:val="18"/>
                <w:szCs w:val="18"/>
              </w:rPr>
              <w:t xml:space="preserve">2 ¾ </w:t>
            </w:r>
          </w:p>
        </w:tc>
      </w:tr>
      <w:tr w:rsidR="00324854" w:rsidRPr="00F37674" w14:paraId="512A6D9D" w14:textId="77777777" w:rsidTr="0019189B">
        <w:trPr>
          <w:trHeight w:hRule="exact" w:val="238"/>
        </w:trPr>
        <w:tc>
          <w:tcPr>
            <w:tcW w:w="1153" w:type="dxa"/>
            <w:tcBorders>
              <w:top w:val="nil"/>
              <w:left w:val="nil"/>
              <w:bottom w:val="nil"/>
              <w:right w:val="nil"/>
            </w:tcBorders>
            <w:shd w:val="clear" w:color="auto" w:fill="auto"/>
            <w:noWrap/>
            <w:hideMark/>
          </w:tcPr>
          <w:p w14:paraId="2B5B03E5" w14:textId="77777777" w:rsidR="00324854" w:rsidRPr="00CE2F05" w:rsidRDefault="00324854" w:rsidP="0019189B">
            <w:pPr>
              <w:spacing w:after="40"/>
              <w:ind w:firstLine="180"/>
              <w:rPr>
                <w:sz w:val="18"/>
                <w:szCs w:val="18"/>
              </w:rPr>
            </w:pPr>
            <w:r w:rsidRPr="00CE2F05">
              <w:rPr>
                <w:sz w:val="18"/>
                <w:szCs w:val="18"/>
              </w:rPr>
              <w:t>200</w:t>
            </w:r>
            <w:r>
              <w:rPr>
                <w:sz w:val="18"/>
                <w:szCs w:val="18"/>
              </w:rPr>
              <w:t>4</w:t>
            </w:r>
            <w:r w:rsidRPr="00CE2F05">
              <w:rPr>
                <w:sz w:val="18"/>
                <w:szCs w:val="18"/>
              </w:rPr>
              <w:t>-</w:t>
            </w:r>
            <w:r>
              <w:rPr>
                <w:sz w:val="18"/>
                <w:szCs w:val="18"/>
              </w:rPr>
              <w:t>20</w:t>
            </w:r>
            <w:r w:rsidRPr="00CE2F05">
              <w:rPr>
                <w:sz w:val="18"/>
                <w:szCs w:val="18"/>
              </w:rPr>
              <w:t>1</w:t>
            </w:r>
            <w:r>
              <w:rPr>
                <w:sz w:val="18"/>
                <w:szCs w:val="18"/>
              </w:rPr>
              <w:t>4</w:t>
            </w:r>
          </w:p>
        </w:tc>
        <w:tc>
          <w:tcPr>
            <w:tcW w:w="2195" w:type="dxa"/>
            <w:tcBorders>
              <w:top w:val="nil"/>
              <w:left w:val="nil"/>
              <w:bottom w:val="nil"/>
              <w:right w:val="nil"/>
            </w:tcBorders>
            <w:shd w:val="clear" w:color="auto" w:fill="auto"/>
            <w:noWrap/>
            <w:hideMark/>
          </w:tcPr>
          <w:p w14:paraId="5DB124A8" w14:textId="77777777" w:rsidR="00324854" w:rsidRPr="00F539AC" w:rsidRDefault="00324854" w:rsidP="0019189B">
            <w:pPr>
              <w:spacing w:after="40"/>
              <w:ind w:firstLine="180"/>
              <w:jc w:val="right"/>
              <w:rPr>
                <w:sz w:val="18"/>
                <w:szCs w:val="18"/>
              </w:rPr>
            </w:pPr>
            <w:r w:rsidRPr="00F539AC">
              <w:rPr>
                <w:sz w:val="18"/>
                <w:szCs w:val="18"/>
              </w:rPr>
              <w:t>41,3</w:t>
            </w:r>
          </w:p>
        </w:tc>
        <w:tc>
          <w:tcPr>
            <w:tcW w:w="1133" w:type="dxa"/>
            <w:tcBorders>
              <w:top w:val="nil"/>
              <w:left w:val="nil"/>
              <w:bottom w:val="nil"/>
              <w:right w:val="nil"/>
            </w:tcBorders>
            <w:shd w:val="clear" w:color="auto" w:fill="auto"/>
            <w:noWrap/>
            <w:hideMark/>
          </w:tcPr>
          <w:p w14:paraId="6FD83145" w14:textId="77777777" w:rsidR="00324854" w:rsidRPr="00F539AC" w:rsidRDefault="00324854" w:rsidP="0019189B">
            <w:pPr>
              <w:spacing w:after="40"/>
              <w:ind w:firstLine="180"/>
              <w:jc w:val="right"/>
              <w:rPr>
                <w:sz w:val="18"/>
                <w:szCs w:val="18"/>
              </w:rPr>
            </w:pPr>
            <w:r w:rsidRPr="00F539AC">
              <w:rPr>
                <w:sz w:val="18"/>
                <w:szCs w:val="18"/>
              </w:rPr>
              <w:t>53,5</w:t>
            </w:r>
          </w:p>
        </w:tc>
        <w:tc>
          <w:tcPr>
            <w:tcW w:w="1020" w:type="dxa"/>
            <w:tcBorders>
              <w:top w:val="nil"/>
              <w:left w:val="nil"/>
              <w:bottom w:val="nil"/>
              <w:right w:val="nil"/>
            </w:tcBorders>
            <w:shd w:val="clear" w:color="auto" w:fill="auto"/>
            <w:noWrap/>
            <w:hideMark/>
          </w:tcPr>
          <w:p w14:paraId="53E72804" w14:textId="77777777" w:rsidR="00324854" w:rsidRPr="00F539AC" w:rsidRDefault="00324854" w:rsidP="0019189B">
            <w:pPr>
              <w:spacing w:after="40"/>
              <w:ind w:firstLine="180"/>
              <w:jc w:val="right"/>
              <w:rPr>
                <w:sz w:val="18"/>
                <w:szCs w:val="18"/>
              </w:rPr>
            </w:pPr>
            <w:r w:rsidRPr="00F539AC">
              <w:rPr>
                <w:sz w:val="18"/>
                <w:szCs w:val="18"/>
              </w:rPr>
              <w:t>51,4</w:t>
            </w:r>
          </w:p>
        </w:tc>
        <w:tc>
          <w:tcPr>
            <w:tcW w:w="1250" w:type="dxa"/>
            <w:tcBorders>
              <w:top w:val="nil"/>
              <w:left w:val="nil"/>
              <w:bottom w:val="nil"/>
              <w:right w:val="nil"/>
            </w:tcBorders>
            <w:shd w:val="clear" w:color="auto" w:fill="auto"/>
            <w:noWrap/>
            <w:hideMark/>
          </w:tcPr>
          <w:p w14:paraId="65F6F658" w14:textId="77777777" w:rsidR="00324854" w:rsidRPr="00F539AC" w:rsidRDefault="00324854" w:rsidP="0019189B">
            <w:pPr>
              <w:spacing w:after="40"/>
              <w:ind w:firstLine="180"/>
              <w:jc w:val="right"/>
              <w:rPr>
                <w:sz w:val="18"/>
                <w:szCs w:val="18"/>
              </w:rPr>
            </w:pPr>
            <w:r w:rsidRPr="00F539AC">
              <w:rPr>
                <w:sz w:val="18"/>
                <w:szCs w:val="18"/>
              </w:rPr>
              <w:t>43,3</w:t>
            </w:r>
          </w:p>
        </w:tc>
        <w:tc>
          <w:tcPr>
            <w:tcW w:w="1580" w:type="dxa"/>
            <w:tcBorders>
              <w:top w:val="single" w:sz="4" w:space="0" w:color="auto"/>
              <w:left w:val="nil"/>
              <w:bottom w:val="nil"/>
              <w:right w:val="nil"/>
            </w:tcBorders>
          </w:tcPr>
          <w:p w14:paraId="4E558674" w14:textId="77777777" w:rsidR="00324854" w:rsidRPr="00F539AC" w:rsidRDefault="00324854" w:rsidP="0019189B">
            <w:pPr>
              <w:spacing w:after="40"/>
              <w:ind w:firstLine="180"/>
              <w:jc w:val="right"/>
              <w:rPr>
                <w:sz w:val="18"/>
                <w:szCs w:val="18"/>
              </w:rPr>
            </w:pPr>
            <w:r w:rsidRPr="00F539AC">
              <w:rPr>
                <w:sz w:val="18"/>
                <w:szCs w:val="18"/>
              </w:rPr>
              <w:t>55,1</w:t>
            </w:r>
          </w:p>
        </w:tc>
        <w:tc>
          <w:tcPr>
            <w:tcW w:w="160" w:type="dxa"/>
            <w:tcBorders>
              <w:top w:val="single" w:sz="4" w:space="0" w:color="auto"/>
              <w:left w:val="nil"/>
              <w:bottom w:val="nil"/>
              <w:right w:val="nil"/>
            </w:tcBorders>
          </w:tcPr>
          <w:p w14:paraId="4213ECFA" w14:textId="77777777" w:rsidR="00324854" w:rsidRPr="00F539AC" w:rsidRDefault="00324854" w:rsidP="0019189B">
            <w:pPr>
              <w:spacing w:after="40"/>
              <w:ind w:firstLine="180"/>
              <w:jc w:val="right"/>
              <w:rPr>
                <w:sz w:val="18"/>
                <w:szCs w:val="18"/>
              </w:rPr>
            </w:pPr>
          </w:p>
        </w:tc>
        <w:tc>
          <w:tcPr>
            <w:tcW w:w="1430" w:type="dxa"/>
            <w:tcBorders>
              <w:top w:val="single" w:sz="4" w:space="0" w:color="auto"/>
              <w:left w:val="nil"/>
              <w:bottom w:val="nil"/>
              <w:right w:val="nil"/>
            </w:tcBorders>
            <w:shd w:val="clear" w:color="auto" w:fill="auto"/>
            <w:noWrap/>
            <w:hideMark/>
          </w:tcPr>
          <w:p w14:paraId="11770EB0" w14:textId="77777777" w:rsidR="00324854" w:rsidRPr="00F539AC" w:rsidRDefault="00324854" w:rsidP="0019189B">
            <w:pPr>
              <w:spacing w:after="40"/>
              <w:ind w:firstLine="180"/>
              <w:jc w:val="right"/>
              <w:rPr>
                <w:sz w:val="18"/>
                <w:szCs w:val="18"/>
              </w:rPr>
            </w:pPr>
            <w:r w:rsidRPr="00F539AC">
              <w:rPr>
                <w:sz w:val="18"/>
                <w:szCs w:val="18"/>
              </w:rPr>
              <w:t>50,7</w:t>
            </w:r>
          </w:p>
        </w:tc>
        <w:tc>
          <w:tcPr>
            <w:tcW w:w="1118" w:type="dxa"/>
            <w:tcBorders>
              <w:top w:val="single" w:sz="4" w:space="0" w:color="auto"/>
              <w:left w:val="nil"/>
              <w:bottom w:val="nil"/>
              <w:right w:val="nil"/>
            </w:tcBorders>
          </w:tcPr>
          <w:p w14:paraId="1F7B1D94" w14:textId="77777777" w:rsidR="00324854" w:rsidRPr="00F539AC" w:rsidRDefault="00324854" w:rsidP="0019189B">
            <w:pPr>
              <w:spacing w:after="40"/>
              <w:ind w:firstLine="180"/>
              <w:jc w:val="right"/>
              <w:rPr>
                <w:sz w:val="18"/>
                <w:szCs w:val="18"/>
              </w:rPr>
            </w:pPr>
            <w:r w:rsidRPr="00F539AC">
              <w:rPr>
                <w:sz w:val="18"/>
                <w:szCs w:val="18"/>
              </w:rPr>
              <w:t>51,7</w:t>
            </w:r>
          </w:p>
        </w:tc>
      </w:tr>
      <w:tr w:rsidR="00324854" w:rsidRPr="002456A0" w14:paraId="34B85D9E" w14:textId="77777777" w:rsidTr="0019189B">
        <w:trPr>
          <w:trHeight w:hRule="exact" w:val="238"/>
        </w:trPr>
        <w:tc>
          <w:tcPr>
            <w:tcW w:w="1153" w:type="dxa"/>
            <w:tcBorders>
              <w:top w:val="nil"/>
              <w:left w:val="nil"/>
              <w:bottom w:val="nil"/>
              <w:right w:val="nil"/>
            </w:tcBorders>
            <w:shd w:val="clear" w:color="auto" w:fill="auto"/>
            <w:noWrap/>
            <w:hideMark/>
          </w:tcPr>
          <w:p w14:paraId="63BBF860" w14:textId="77777777" w:rsidR="00324854" w:rsidRPr="00CE2F05" w:rsidRDefault="00324854" w:rsidP="0019189B">
            <w:pPr>
              <w:spacing w:after="40"/>
              <w:ind w:firstLine="180"/>
              <w:rPr>
                <w:sz w:val="18"/>
                <w:szCs w:val="18"/>
              </w:rPr>
            </w:pPr>
            <w:r w:rsidRPr="00CE2F05">
              <w:rPr>
                <w:sz w:val="18"/>
                <w:szCs w:val="18"/>
              </w:rPr>
              <w:t>Gj. sn. per år</w:t>
            </w:r>
          </w:p>
        </w:tc>
        <w:tc>
          <w:tcPr>
            <w:tcW w:w="2195" w:type="dxa"/>
            <w:tcBorders>
              <w:top w:val="nil"/>
              <w:left w:val="nil"/>
              <w:bottom w:val="nil"/>
              <w:right w:val="nil"/>
            </w:tcBorders>
            <w:shd w:val="clear" w:color="auto" w:fill="auto"/>
            <w:noWrap/>
            <w:hideMark/>
          </w:tcPr>
          <w:p w14:paraId="3D345AA2" w14:textId="77777777" w:rsidR="00324854" w:rsidRPr="00F539AC" w:rsidRDefault="00324854" w:rsidP="0019189B">
            <w:pPr>
              <w:spacing w:after="40"/>
              <w:ind w:firstLine="180"/>
              <w:jc w:val="right"/>
              <w:rPr>
                <w:sz w:val="18"/>
                <w:szCs w:val="18"/>
              </w:rPr>
            </w:pPr>
            <w:r w:rsidRPr="00F539AC">
              <w:rPr>
                <w:sz w:val="18"/>
                <w:szCs w:val="18"/>
              </w:rPr>
              <w:t>3,5</w:t>
            </w:r>
          </w:p>
        </w:tc>
        <w:tc>
          <w:tcPr>
            <w:tcW w:w="1133" w:type="dxa"/>
            <w:tcBorders>
              <w:top w:val="nil"/>
              <w:left w:val="nil"/>
              <w:bottom w:val="nil"/>
              <w:right w:val="nil"/>
            </w:tcBorders>
            <w:shd w:val="clear" w:color="auto" w:fill="auto"/>
            <w:noWrap/>
            <w:hideMark/>
          </w:tcPr>
          <w:p w14:paraId="1C85D7F0" w14:textId="77777777" w:rsidR="00324854" w:rsidRPr="00F539AC" w:rsidRDefault="00324854" w:rsidP="0019189B">
            <w:pPr>
              <w:spacing w:after="40"/>
              <w:ind w:firstLine="180"/>
              <w:jc w:val="right"/>
              <w:rPr>
                <w:sz w:val="18"/>
                <w:szCs w:val="18"/>
              </w:rPr>
            </w:pPr>
            <w:r w:rsidRPr="00F539AC">
              <w:rPr>
                <w:sz w:val="18"/>
                <w:szCs w:val="18"/>
              </w:rPr>
              <w:t>4,4</w:t>
            </w:r>
          </w:p>
        </w:tc>
        <w:tc>
          <w:tcPr>
            <w:tcW w:w="1020" w:type="dxa"/>
            <w:tcBorders>
              <w:top w:val="nil"/>
              <w:left w:val="nil"/>
              <w:bottom w:val="nil"/>
              <w:right w:val="nil"/>
            </w:tcBorders>
            <w:shd w:val="clear" w:color="auto" w:fill="auto"/>
            <w:noWrap/>
            <w:hideMark/>
          </w:tcPr>
          <w:p w14:paraId="55B9D8EB" w14:textId="77777777" w:rsidR="00324854" w:rsidRPr="00F539AC" w:rsidRDefault="00324854" w:rsidP="0019189B">
            <w:pPr>
              <w:spacing w:after="40"/>
              <w:ind w:firstLine="180"/>
              <w:jc w:val="right"/>
              <w:rPr>
                <w:sz w:val="18"/>
                <w:szCs w:val="18"/>
              </w:rPr>
            </w:pPr>
            <w:r w:rsidRPr="00F539AC">
              <w:rPr>
                <w:sz w:val="18"/>
                <w:szCs w:val="18"/>
              </w:rPr>
              <w:t>4,2</w:t>
            </w:r>
          </w:p>
        </w:tc>
        <w:tc>
          <w:tcPr>
            <w:tcW w:w="1250" w:type="dxa"/>
            <w:tcBorders>
              <w:top w:val="nil"/>
              <w:left w:val="nil"/>
              <w:bottom w:val="nil"/>
              <w:right w:val="nil"/>
            </w:tcBorders>
            <w:shd w:val="clear" w:color="auto" w:fill="auto"/>
            <w:noWrap/>
            <w:hideMark/>
          </w:tcPr>
          <w:p w14:paraId="55C39B31" w14:textId="77777777" w:rsidR="00324854" w:rsidRPr="00F539AC" w:rsidRDefault="00324854" w:rsidP="0019189B">
            <w:pPr>
              <w:spacing w:after="40"/>
              <w:ind w:firstLine="180"/>
              <w:jc w:val="right"/>
              <w:rPr>
                <w:sz w:val="18"/>
                <w:szCs w:val="18"/>
              </w:rPr>
            </w:pPr>
            <w:r w:rsidRPr="00F539AC">
              <w:rPr>
                <w:sz w:val="18"/>
                <w:szCs w:val="18"/>
              </w:rPr>
              <w:t>3,7</w:t>
            </w:r>
          </w:p>
        </w:tc>
        <w:tc>
          <w:tcPr>
            <w:tcW w:w="1580" w:type="dxa"/>
            <w:tcBorders>
              <w:top w:val="nil"/>
              <w:left w:val="nil"/>
              <w:right w:val="nil"/>
            </w:tcBorders>
          </w:tcPr>
          <w:p w14:paraId="4C258F40" w14:textId="77777777" w:rsidR="00324854" w:rsidRPr="00F539AC" w:rsidRDefault="00324854" w:rsidP="0019189B">
            <w:pPr>
              <w:spacing w:after="40"/>
              <w:ind w:firstLine="180"/>
              <w:jc w:val="right"/>
              <w:rPr>
                <w:sz w:val="18"/>
                <w:szCs w:val="18"/>
              </w:rPr>
            </w:pPr>
            <w:r w:rsidRPr="00F539AC">
              <w:rPr>
                <w:sz w:val="18"/>
                <w:szCs w:val="18"/>
              </w:rPr>
              <w:t>4,5</w:t>
            </w:r>
          </w:p>
        </w:tc>
        <w:tc>
          <w:tcPr>
            <w:tcW w:w="160" w:type="dxa"/>
            <w:tcBorders>
              <w:top w:val="nil"/>
              <w:left w:val="nil"/>
              <w:right w:val="nil"/>
            </w:tcBorders>
          </w:tcPr>
          <w:p w14:paraId="57F56C08" w14:textId="77777777" w:rsidR="00324854" w:rsidRPr="00F539AC" w:rsidRDefault="00324854" w:rsidP="0019189B">
            <w:pPr>
              <w:spacing w:after="40"/>
              <w:ind w:firstLine="180"/>
              <w:jc w:val="right"/>
              <w:rPr>
                <w:sz w:val="18"/>
                <w:szCs w:val="18"/>
              </w:rPr>
            </w:pPr>
          </w:p>
        </w:tc>
        <w:tc>
          <w:tcPr>
            <w:tcW w:w="1430" w:type="dxa"/>
            <w:tcBorders>
              <w:top w:val="nil"/>
              <w:left w:val="nil"/>
              <w:right w:val="nil"/>
            </w:tcBorders>
            <w:shd w:val="clear" w:color="auto" w:fill="auto"/>
            <w:noWrap/>
            <w:hideMark/>
          </w:tcPr>
          <w:p w14:paraId="7D3E4A51" w14:textId="77777777" w:rsidR="00324854" w:rsidRPr="00F539AC" w:rsidRDefault="00324854" w:rsidP="0019189B">
            <w:pPr>
              <w:spacing w:after="40"/>
              <w:ind w:firstLine="180"/>
              <w:jc w:val="right"/>
              <w:rPr>
                <w:sz w:val="18"/>
                <w:szCs w:val="18"/>
              </w:rPr>
            </w:pPr>
            <w:r w:rsidRPr="00F539AC">
              <w:rPr>
                <w:sz w:val="18"/>
                <w:szCs w:val="18"/>
              </w:rPr>
              <w:t>4,2</w:t>
            </w:r>
          </w:p>
        </w:tc>
        <w:tc>
          <w:tcPr>
            <w:tcW w:w="1118" w:type="dxa"/>
            <w:tcBorders>
              <w:top w:val="nil"/>
              <w:left w:val="nil"/>
              <w:right w:val="nil"/>
            </w:tcBorders>
          </w:tcPr>
          <w:p w14:paraId="59B5F657" w14:textId="77777777" w:rsidR="00324854" w:rsidRPr="00F539AC" w:rsidRDefault="00324854" w:rsidP="0019189B">
            <w:pPr>
              <w:spacing w:after="40"/>
              <w:ind w:firstLine="180"/>
              <w:jc w:val="right"/>
              <w:rPr>
                <w:sz w:val="18"/>
                <w:szCs w:val="18"/>
              </w:rPr>
            </w:pPr>
            <w:r w:rsidRPr="00F539AC">
              <w:rPr>
                <w:sz w:val="18"/>
                <w:szCs w:val="18"/>
              </w:rPr>
              <w:t>4,3</w:t>
            </w:r>
          </w:p>
        </w:tc>
      </w:tr>
      <w:tr w:rsidR="00324854" w:rsidRPr="002456A0" w14:paraId="17D655D0" w14:textId="77777777" w:rsidTr="0019189B">
        <w:trPr>
          <w:trHeight w:val="255"/>
        </w:trPr>
        <w:tc>
          <w:tcPr>
            <w:tcW w:w="1153" w:type="dxa"/>
            <w:tcBorders>
              <w:top w:val="nil"/>
              <w:left w:val="nil"/>
              <w:bottom w:val="single" w:sz="4" w:space="0" w:color="auto"/>
              <w:right w:val="nil"/>
            </w:tcBorders>
            <w:shd w:val="clear" w:color="auto" w:fill="auto"/>
            <w:noWrap/>
            <w:hideMark/>
          </w:tcPr>
          <w:p w14:paraId="1FEC5376" w14:textId="77777777" w:rsidR="00324854" w:rsidRPr="00D210DE" w:rsidRDefault="00324854" w:rsidP="0019189B">
            <w:pPr>
              <w:spacing w:after="0"/>
              <w:rPr>
                <w:rFonts w:ascii="Times New Roman" w:hAnsi="Times New Roman"/>
                <w:sz w:val="18"/>
                <w:szCs w:val="18"/>
              </w:rPr>
            </w:pPr>
            <w:r w:rsidRPr="00D210DE">
              <w:rPr>
                <w:rFonts w:ascii="Times New Roman" w:hAnsi="Times New Roman"/>
                <w:sz w:val="18"/>
                <w:szCs w:val="18"/>
              </w:rPr>
              <w:t>Årslønn 201</w:t>
            </w:r>
            <w:r>
              <w:rPr>
                <w:rFonts w:ascii="Times New Roman" w:hAnsi="Times New Roman"/>
                <w:sz w:val="18"/>
                <w:szCs w:val="18"/>
              </w:rPr>
              <w:t>4</w:t>
            </w:r>
          </w:p>
        </w:tc>
        <w:tc>
          <w:tcPr>
            <w:tcW w:w="2195" w:type="dxa"/>
            <w:tcBorders>
              <w:top w:val="nil"/>
              <w:left w:val="nil"/>
              <w:bottom w:val="single" w:sz="4" w:space="0" w:color="auto"/>
              <w:right w:val="nil"/>
            </w:tcBorders>
            <w:shd w:val="clear" w:color="auto" w:fill="auto"/>
            <w:noWrap/>
            <w:hideMark/>
          </w:tcPr>
          <w:p w14:paraId="484AA045" w14:textId="77777777" w:rsidR="00324854" w:rsidRPr="00F539AC" w:rsidRDefault="00324854" w:rsidP="0019189B">
            <w:pPr>
              <w:spacing w:after="40"/>
              <w:ind w:firstLine="180"/>
              <w:jc w:val="right"/>
              <w:rPr>
                <w:sz w:val="18"/>
                <w:szCs w:val="18"/>
              </w:rPr>
            </w:pPr>
            <w:r w:rsidRPr="00F539AC">
              <w:rPr>
                <w:sz w:val="18"/>
                <w:szCs w:val="18"/>
              </w:rPr>
              <w:t>419 300</w:t>
            </w:r>
          </w:p>
        </w:tc>
        <w:tc>
          <w:tcPr>
            <w:tcW w:w="1133" w:type="dxa"/>
            <w:tcBorders>
              <w:top w:val="nil"/>
              <w:left w:val="nil"/>
              <w:bottom w:val="single" w:sz="4" w:space="0" w:color="auto"/>
              <w:right w:val="nil"/>
            </w:tcBorders>
            <w:shd w:val="clear" w:color="auto" w:fill="auto"/>
            <w:noWrap/>
            <w:hideMark/>
          </w:tcPr>
          <w:p w14:paraId="71F35F10" w14:textId="77777777" w:rsidR="00324854" w:rsidRPr="00F539AC" w:rsidRDefault="00324854" w:rsidP="0019189B">
            <w:pPr>
              <w:spacing w:after="40"/>
              <w:ind w:firstLine="180"/>
              <w:jc w:val="right"/>
              <w:rPr>
                <w:sz w:val="18"/>
                <w:szCs w:val="18"/>
              </w:rPr>
            </w:pPr>
            <w:r w:rsidRPr="00F539AC">
              <w:rPr>
                <w:sz w:val="18"/>
                <w:szCs w:val="18"/>
              </w:rPr>
              <w:t>524 300</w:t>
            </w:r>
          </w:p>
        </w:tc>
        <w:tc>
          <w:tcPr>
            <w:tcW w:w="1020" w:type="dxa"/>
            <w:tcBorders>
              <w:top w:val="nil"/>
              <w:left w:val="nil"/>
              <w:bottom w:val="single" w:sz="4" w:space="0" w:color="auto"/>
              <w:right w:val="nil"/>
            </w:tcBorders>
            <w:shd w:val="clear" w:color="auto" w:fill="auto"/>
            <w:noWrap/>
            <w:hideMark/>
          </w:tcPr>
          <w:p w14:paraId="2092ED83" w14:textId="77777777" w:rsidR="00324854" w:rsidRPr="00F539AC" w:rsidRDefault="00324854" w:rsidP="0019189B">
            <w:pPr>
              <w:spacing w:after="40"/>
              <w:ind w:firstLine="180"/>
              <w:jc w:val="right"/>
              <w:rPr>
                <w:sz w:val="18"/>
                <w:szCs w:val="18"/>
              </w:rPr>
            </w:pPr>
            <w:r w:rsidRPr="00F539AC">
              <w:rPr>
                <w:sz w:val="18"/>
                <w:szCs w:val="18"/>
              </w:rPr>
              <w:t>462 000</w:t>
            </w:r>
          </w:p>
        </w:tc>
        <w:tc>
          <w:tcPr>
            <w:tcW w:w="1250" w:type="dxa"/>
            <w:tcBorders>
              <w:top w:val="nil"/>
              <w:left w:val="nil"/>
              <w:bottom w:val="single" w:sz="4" w:space="0" w:color="auto"/>
              <w:right w:val="nil"/>
            </w:tcBorders>
            <w:shd w:val="clear" w:color="auto" w:fill="auto"/>
            <w:noWrap/>
            <w:hideMark/>
          </w:tcPr>
          <w:p w14:paraId="3FAE8871" w14:textId="77777777" w:rsidR="00324854" w:rsidRPr="00F539AC" w:rsidRDefault="00324854" w:rsidP="0019189B">
            <w:pPr>
              <w:spacing w:after="40"/>
              <w:ind w:firstLine="180"/>
              <w:jc w:val="right"/>
              <w:rPr>
                <w:sz w:val="18"/>
                <w:szCs w:val="18"/>
              </w:rPr>
            </w:pPr>
            <w:r w:rsidRPr="00F539AC">
              <w:rPr>
                <w:sz w:val="18"/>
                <w:szCs w:val="18"/>
              </w:rPr>
              <w:t>507 200</w:t>
            </w:r>
          </w:p>
        </w:tc>
        <w:tc>
          <w:tcPr>
            <w:tcW w:w="1580" w:type="dxa"/>
            <w:tcBorders>
              <w:top w:val="nil"/>
              <w:left w:val="nil"/>
              <w:bottom w:val="single" w:sz="4" w:space="0" w:color="auto"/>
              <w:right w:val="nil"/>
            </w:tcBorders>
          </w:tcPr>
          <w:p w14:paraId="25B52654" w14:textId="77777777" w:rsidR="00324854" w:rsidRPr="00F539AC" w:rsidRDefault="00324854" w:rsidP="0019189B">
            <w:pPr>
              <w:spacing w:after="40"/>
              <w:ind w:firstLine="180"/>
              <w:jc w:val="right"/>
              <w:rPr>
                <w:sz w:val="18"/>
                <w:szCs w:val="18"/>
              </w:rPr>
            </w:pPr>
            <w:r w:rsidRPr="00F539AC">
              <w:rPr>
                <w:sz w:val="18"/>
                <w:szCs w:val="18"/>
              </w:rPr>
              <w:t>447 800</w:t>
            </w:r>
          </w:p>
        </w:tc>
        <w:tc>
          <w:tcPr>
            <w:tcW w:w="160" w:type="dxa"/>
            <w:tcBorders>
              <w:top w:val="nil"/>
              <w:left w:val="nil"/>
              <w:bottom w:val="single" w:sz="4" w:space="0" w:color="auto"/>
              <w:right w:val="nil"/>
            </w:tcBorders>
          </w:tcPr>
          <w:p w14:paraId="318C1EBC" w14:textId="77777777" w:rsidR="00324854" w:rsidRPr="00F539AC" w:rsidRDefault="00324854" w:rsidP="0019189B">
            <w:pPr>
              <w:spacing w:after="40"/>
              <w:ind w:firstLine="180"/>
              <w:jc w:val="right"/>
              <w:rPr>
                <w:sz w:val="18"/>
                <w:szCs w:val="18"/>
              </w:rPr>
            </w:pPr>
          </w:p>
        </w:tc>
        <w:tc>
          <w:tcPr>
            <w:tcW w:w="1430" w:type="dxa"/>
            <w:tcBorders>
              <w:top w:val="nil"/>
              <w:left w:val="nil"/>
              <w:bottom w:val="single" w:sz="4" w:space="0" w:color="auto"/>
              <w:right w:val="nil"/>
            </w:tcBorders>
            <w:shd w:val="clear" w:color="auto" w:fill="auto"/>
            <w:noWrap/>
            <w:hideMark/>
          </w:tcPr>
          <w:p w14:paraId="6783F14E" w14:textId="77777777" w:rsidR="00324854" w:rsidRPr="00F539AC" w:rsidRDefault="00324854" w:rsidP="0019189B">
            <w:pPr>
              <w:spacing w:after="40"/>
              <w:ind w:firstLine="180"/>
              <w:jc w:val="right"/>
              <w:rPr>
                <w:sz w:val="18"/>
                <w:szCs w:val="18"/>
              </w:rPr>
            </w:pPr>
            <w:r w:rsidRPr="00F539AC">
              <w:rPr>
                <w:sz w:val="18"/>
                <w:szCs w:val="18"/>
              </w:rPr>
              <w:t>523 900</w:t>
            </w:r>
          </w:p>
        </w:tc>
        <w:tc>
          <w:tcPr>
            <w:tcW w:w="1118" w:type="dxa"/>
            <w:tcBorders>
              <w:top w:val="nil"/>
              <w:left w:val="nil"/>
              <w:bottom w:val="single" w:sz="4" w:space="0" w:color="auto"/>
              <w:right w:val="nil"/>
            </w:tcBorders>
          </w:tcPr>
          <w:p w14:paraId="4BCD2376" w14:textId="77777777" w:rsidR="00324854" w:rsidRPr="00F539AC" w:rsidRDefault="00324854" w:rsidP="0019189B">
            <w:pPr>
              <w:spacing w:after="40"/>
              <w:ind w:firstLine="180"/>
              <w:jc w:val="right"/>
              <w:rPr>
                <w:sz w:val="18"/>
                <w:szCs w:val="18"/>
              </w:rPr>
            </w:pPr>
            <w:r w:rsidRPr="00F539AC">
              <w:rPr>
                <w:sz w:val="18"/>
                <w:szCs w:val="18"/>
              </w:rPr>
              <w:t>492 100</w:t>
            </w:r>
          </w:p>
        </w:tc>
      </w:tr>
    </w:tbl>
    <w:p w14:paraId="14A6CE47" w14:textId="77777777" w:rsidR="00324854" w:rsidRPr="00ED4265" w:rsidRDefault="00324854" w:rsidP="003F5F82">
      <w:pPr>
        <w:pStyle w:val="tabell-noter"/>
        <w:numPr>
          <w:ilvl w:val="0"/>
          <w:numId w:val="55"/>
        </w:numPr>
        <w:tabs>
          <w:tab w:val="clear" w:pos="284"/>
          <w:tab w:val="left" w:pos="142"/>
        </w:tabs>
        <w:spacing w:before="0" w:after="0"/>
        <w:ind w:left="142" w:hanging="142"/>
        <w:rPr>
          <w:sz w:val="18"/>
          <w:szCs w:val="18"/>
        </w:rPr>
      </w:pPr>
      <w:r w:rsidRPr="00ED4265">
        <w:rPr>
          <w:sz w:val="18"/>
          <w:szCs w:val="18"/>
        </w:rPr>
        <w:t xml:space="preserve">Veksttallene er per årsverk for arbeidere og funksjonærer i NHO-bedrifter, staten, kommunene og Spekter-bedrifter. For de andre er </w:t>
      </w:r>
      <w:r>
        <w:rPr>
          <w:sz w:val="18"/>
          <w:szCs w:val="18"/>
        </w:rPr>
        <w:t>veksttallene</w:t>
      </w:r>
      <w:r w:rsidRPr="00ED4265">
        <w:rPr>
          <w:sz w:val="18"/>
          <w:szCs w:val="18"/>
        </w:rPr>
        <w:t xml:space="preserve"> for heltidsa</w:t>
      </w:r>
      <w:r>
        <w:rPr>
          <w:sz w:val="18"/>
          <w:szCs w:val="18"/>
        </w:rPr>
        <w:t xml:space="preserve">nsatte med unntak av varehandel </w:t>
      </w:r>
      <w:r w:rsidRPr="00ED4265">
        <w:rPr>
          <w:sz w:val="18"/>
          <w:szCs w:val="18"/>
        </w:rPr>
        <w:t>og forretningsmessig tjenesteyting fra og med 2010.</w:t>
      </w:r>
    </w:p>
    <w:p w14:paraId="5E4438BB"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Gjelder for arbeidere med gjennomsnittlig avtalefestet normalarbeidstid, for dagarbeidere betyr dette 37,5 t/uke.</w:t>
      </w:r>
    </w:p>
    <w:p w14:paraId="7A414DF3"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 xml:space="preserve">Omfatter månedslønte, prosentlønte og timelønte arbeidstakere. Årslønnsnivået er et gjennomsnitt for fastlønte og prosentlønte.     </w:t>
      </w:r>
    </w:p>
    <w:p w14:paraId="36585252"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Forretnings- og sparebanker og forsikringsvirksomhet som omfatter noen flere grupper enn forhandl</w:t>
      </w:r>
      <w:r>
        <w:rPr>
          <w:sz w:val="18"/>
          <w:szCs w:val="18"/>
        </w:rPr>
        <w:t>ingsområdet bank og forsikring.</w:t>
      </w:r>
    </w:p>
    <w:p w14:paraId="755AF51E"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Ekskl. flygeledere var lønnsveksten 4,4 prosent.</w:t>
      </w:r>
    </w:p>
    <w:p w14:paraId="3D7A7E3A"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En oppjustering av minstelønnssatsene for høyskolegruppene pr 1.1.2008 bidro med 0,2 prosentpoeng til lønnsveksten i 2008.</w:t>
      </w:r>
    </w:p>
    <w:p w14:paraId="1F495A81"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Lønnsveksten fra 2008 til 2009 er etter ny næringsstandard. Sammenlignet med veksten fra 2007 til 2008 og tidligere år, vil det være et brudd i tidsserien.</w:t>
      </w:r>
      <w:r>
        <w:rPr>
          <w:sz w:val="18"/>
          <w:szCs w:val="18"/>
        </w:rPr>
        <w:t xml:space="preserve"> </w:t>
      </w:r>
    </w:p>
    <w:p w14:paraId="5C21BBC3"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Gruppen samsvarer om lag med summen av tidligere elektrokjemisk industri, kjemisk industri og tr</w:t>
      </w:r>
      <w:r>
        <w:rPr>
          <w:sz w:val="18"/>
          <w:szCs w:val="18"/>
        </w:rPr>
        <w:t xml:space="preserve">eforedling (se tabell 4.9 i NOU </w:t>
      </w:r>
      <w:r w:rsidRPr="00ED4265">
        <w:rPr>
          <w:sz w:val="18"/>
          <w:szCs w:val="18"/>
        </w:rPr>
        <w:t>2009:7) og en del mindre grupper innenfor kjemisk prosessindustri.</w:t>
      </w:r>
    </w:p>
    <w:p w14:paraId="152D0AD3" w14:textId="77777777" w:rsidR="00324854" w:rsidRPr="00ED4265"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 xml:space="preserve">Antall årsverk i industrifunksjonærgruppen </w:t>
      </w:r>
      <w:r>
        <w:rPr>
          <w:sz w:val="18"/>
          <w:szCs w:val="18"/>
        </w:rPr>
        <w:t>ble</w:t>
      </w:r>
      <w:r w:rsidRPr="00ED4265">
        <w:rPr>
          <w:sz w:val="18"/>
          <w:szCs w:val="18"/>
        </w:rPr>
        <w:t xml:space="preserve"> redusert med i overkant av 10 prosent fra 2008 til 2009, i hovedsak fordi forlag nå </w:t>
      </w:r>
      <w:r>
        <w:rPr>
          <w:sz w:val="18"/>
          <w:szCs w:val="18"/>
        </w:rPr>
        <w:t>ble</w:t>
      </w:r>
      <w:r w:rsidRPr="00ED4265">
        <w:rPr>
          <w:sz w:val="18"/>
          <w:szCs w:val="18"/>
        </w:rPr>
        <w:t xml:space="preserve"> klassifisert utenfor industri, mens de fram til 2008 var innenfor industri.</w:t>
      </w:r>
    </w:p>
    <w:p w14:paraId="7C04F21A" w14:textId="77777777" w:rsidR="00324854"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 xml:space="preserve">Som følge av ny næringsgruppering </w:t>
      </w:r>
      <w:r>
        <w:rPr>
          <w:sz w:val="18"/>
          <w:szCs w:val="18"/>
        </w:rPr>
        <w:t>ble</w:t>
      </w:r>
      <w:r w:rsidRPr="00ED4265">
        <w:rPr>
          <w:sz w:val="18"/>
          <w:szCs w:val="18"/>
        </w:rPr>
        <w:t xml:space="preserve"> montasje og reparasjon av heiser flyttet til bygg- og anleggsvirksomhet.</w:t>
      </w:r>
    </w:p>
    <w:p w14:paraId="64C8CB26" w14:textId="77777777" w:rsidR="00324854" w:rsidRPr="00E5009A" w:rsidRDefault="00324854" w:rsidP="003F5F82">
      <w:pPr>
        <w:pStyle w:val="tabell-noter"/>
        <w:numPr>
          <w:ilvl w:val="0"/>
          <w:numId w:val="55"/>
        </w:numPr>
        <w:tabs>
          <w:tab w:val="clear" w:pos="284"/>
          <w:tab w:val="left" w:pos="142"/>
        </w:tabs>
        <w:spacing w:after="0"/>
        <w:ind w:left="142" w:hanging="142"/>
        <w:rPr>
          <w:sz w:val="18"/>
          <w:szCs w:val="18"/>
        </w:rPr>
      </w:pPr>
      <w:r w:rsidRPr="00E5009A">
        <w:rPr>
          <w:rStyle w:val="StilTimes"/>
          <w:sz w:val="18"/>
          <w:szCs w:val="18"/>
        </w:rPr>
        <w:t>Beregnet på Spekters tallmateriale til og med 2009 og for 2013. Fra 2010 beregnet på tallmateriale fra SSB.</w:t>
      </w:r>
      <w:r w:rsidRPr="00E5009A">
        <w:rPr>
          <w:sz w:val="18"/>
          <w:szCs w:val="18"/>
        </w:rPr>
        <w:tab/>
      </w:r>
    </w:p>
    <w:p w14:paraId="06266CD1" w14:textId="77777777" w:rsidR="00324854" w:rsidRDefault="00324854" w:rsidP="003F5F82">
      <w:pPr>
        <w:pStyle w:val="tabell-noter"/>
        <w:numPr>
          <w:ilvl w:val="0"/>
          <w:numId w:val="55"/>
        </w:numPr>
        <w:tabs>
          <w:tab w:val="clear" w:pos="284"/>
          <w:tab w:val="left" w:pos="142"/>
        </w:tabs>
        <w:spacing w:after="0"/>
        <w:ind w:left="142" w:hanging="142"/>
        <w:rPr>
          <w:sz w:val="18"/>
          <w:szCs w:val="18"/>
        </w:rPr>
      </w:pPr>
      <w:r w:rsidRPr="00ED4265">
        <w:rPr>
          <w:sz w:val="18"/>
          <w:szCs w:val="18"/>
        </w:rPr>
        <w:t xml:space="preserve">Årslønnsveksten for det statlige tariffområdet inkluderer virkninger </w:t>
      </w:r>
      <w:r>
        <w:rPr>
          <w:sz w:val="18"/>
          <w:szCs w:val="18"/>
        </w:rPr>
        <w:t xml:space="preserve">av </w:t>
      </w:r>
      <w:r w:rsidRPr="00ED4265">
        <w:rPr>
          <w:sz w:val="18"/>
          <w:szCs w:val="18"/>
        </w:rPr>
        <w:t>ny arbeidstidsavtale for politi- og lensmannsetaten med et bidrag på 0,6 prosentpoeng</w:t>
      </w:r>
      <w:r>
        <w:rPr>
          <w:sz w:val="18"/>
          <w:szCs w:val="18"/>
        </w:rPr>
        <w:t>,</w:t>
      </w:r>
      <w:r w:rsidRPr="00ED4265">
        <w:rPr>
          <w:sz w:val="18"/>
          <w:szCs w:val="18"/>
        </w:rPr>
        <w:t xml:space="preserve"> og 0,3 prosentpoeng som skyldes omlegging av beregningsmetode.</w:t>
      </w:r>
      <w:r>
        <w:rPr>
          <w:sz w:val="18"/>
          <w:szCs w:val="18"/>
        </w:rPr>
        <w:t xml:space="preserve"> </w:t>
      </w:r>
    </w:p>
    <w:p w14:paraId="0B2932A5" w14:textId="77777777" w:rsidR="00324854" w:rsidRDefault="00324854" w:rsidP="003F5F82">
      <w:pPr>
        <w:pStyle w:val="tabell-noter"/>
        <w:numPr>
          <w:ilvl w:val="0"/>
          <w:numId w:val="55"/>
        </w:numPr>
        <w:tabs>
          <w:tab w:val="clear" w:pos="284"/>
          <w:tab w:val="left" w:pos="142"/>
        </w:tabs>
        <w:spacing w:after="0"/>
        <w:ind w:left="142" w:hanging="142"/>
        <w:rPr>
          <w:sz w:val="18"/>
          <w:szCs w:val="18"/>
        </w:rPr>
      </w:pPr>
      <w:r w:rsidRPr="00C34BCA">
        <w:rPr>
          <w:sz w:val="18"/>
          <w:szCs w:val="18"/>
        </w:rPr>
        <w:t>Fra og med 2015 er datagrunnlaget basert på A-ordningen. Med bakgrunn i dette er det foretatt korrigeringer i lønnsdataene som er innmeldt for årene 2013 og 2014 for forsvaret. Korrigeringene endrer nivåtallene for 2013 og 2014, men gir et reelt bilde av lønnsutviklingen.</w:t>
      </w:r>
    </w:p>
    <w:p w14:paraId="46889791" w14:textId="630E79FE" w:rsidR="00324854" w:rsidRPr="00923C31" w:rsidRDefault="00324854" w:rsidP="003F5F82">
      <w:pPr>
        <w:pStyle w:val="tabell-noter"/>
        <w:numPr>
          <w:ilvl w:val="0"/>
          <w:numId w:val="55"/>
        </w:numPr>
        <w:tabs>
          <w:tab w:val="clear" w:pos="284"/>
          <w:tab w:val="left" w:pos="142"/>
        </w:tabs>
        <w:spacing w:before="0" w:after="0"/>
        <w:ind w:left="142" w:hanging="142"/>
        <w:rPr>
          <w:sz w:val="18"/>
          <w:szCs w:val="18"/>
        </w:rPr>
      </w:pPr>
      <w:r w:rsidRPr="00923C31">
        <w:rPr>
          <w:rFonts w:ascii="Times New Roman" w:hAnsi="Times New Roman" w:cs="Times New Roman"/>
          <w:sz w:val="18"/>
          <w:szCs w:val="18"/>
        </w:rPr>
        <w:t>For ansatte i konflikt i 2014 ble virkningstidspunkter forskjøvet. Dette trakk årslønnsvekstanslaget i 2014 ned med 0,2 prosentpoeng i hele kommunesektoren og med 0,9 prosentpoeng for undervisnings</w:t>
      </w:r>
      <w:r>
        <w:rPr>
          <w:rFonts w:ascii="Times New Roman" w:hAnsi="Times New Roman" w:cs="Times New Roman"/>
          <w:sz w:val="18"/>
          <w:szCs w:val="18"/>
        </w:rPr>
        <w:t>ansatte</w:t>
      </w:r>
      <w:r w:rsidRPr="00923C31">
        <w:rPr>
          <w:rFonts w:ascii="Times New Roman" w:hAnsi="Times New Roman" w:cs="Times New Roman"/>
          <w:sz w:val="18"/>
          <w:szCs w:val="18"/>
        </w:rPr>
        <w:t>. Konflikten har trukket opp årslønnsveksten i 2015 for kommuneansatte med 0,2 prosentpoeng og for undervisnings</w:t>
      </w:r>
      <w:r>
        <w:rPr>
          <w:rFonts w:ascii="Times New Roman" w:hAnsi="Times New Roman" w:cs="Times New Roman"/>
          <w:sz w:val="18"/>
          <w:szCs w:val="18"/>
        </w:rPr>
        <w:t>ansatte</w:t>
      </w:r>
      <w:r w:rsidRPr="00923C31">
        <w:rPr>
          <w:rFonts w:ascii="Times New Roman" w:hAnsi="Times New Roman" w:cs="Times New Roman"/>
          <w:sz w:val="18"/>
          <w:szCs w:val="18"/>
        </w:rPr>
        <w:t xml:space="preserve"> med 0,9 prosentpoeng. For øvrig</w:t>
      </w:r>
      <w:r>
        <w:rPr>
          <w:rFonts w:ascii="Times New Roman" w:hAnsi="Times New Roman" w:cs="Times New Roman"/>
          <w:sz w:val="18"/>
          <w:szCs w:val="18"/>
        </w:rPr>
        <w:t>e</w:t>
      </w:r>
      <w:r w:rsidRPr="00923C31">
        <w:rPr>
          <w:rFonts w:ascii="Times New Roman" w:hAnsi="Times New Roman" w:cs="Times New Roman"/>
          <w:sz w:val="18"/>
          <w:szCs w:val="18"/>
        </w:rPr>
        <w:t xml:space="preserve"> </w:t>
      </w:r>
      <w:r>
        <w:rPr>
          <w:rFonts w:ascii="Times New Roman" w:hAnsi="Times New Roman" w:cs="Times New Roman"/>
          <w:sz w:val="18"/>
          <w:szCs w:val="18"/>
        </w:rPr>
        <w:t>ansatte</w:t>
      </w:r>
      <w:r w:rsidRPr="00923C31">
        <w:rPr>
          <w:rFonts w:ascii="Times New Roman" w:hAnsi="Times New Roman" w:cs="Times New Roman"/>
          <w:sz w:val="18"/>
          <w:szCs w:val="18"/>
        </w:rPr>
        <w:t xml:space="preserve"> er ikke årslønnsveksten påvirket.</w:t>
      </w:r>
    </w:p>
    <w:p w14:paraId="012B754A" w14:textId="77777777" w:rsidR="00324854" w:rsidRDefault="00324854" w:rsidP="003F5F82">
      <w:pPr>
        <w:spacing w:before="120"/>
        <w:rPr>
          <w:sz w:val="20"/>
        </w:rPr>
        <w:sectPr w:rsidR="00324854" w:rsidSect="0019189B">
          <w:footerReference w:type="even" r:id="rId79"/>
          <w:footerReference w:type="default" r:id="rId80"/>
          <w:pgSz w:w="16840" w:h="11907" w:orient="landscape" w:code="9"/>
          <w:pgMar w:top="993" w:right="1418" w:bottom="851" w:left="1418" w:header="709" w:footer="709" w:gutter="0"/>
          <w:cols w:space="708"/>
          <w:docGrid w:linePitch="360"/>
        </w:sectPr>
      </w:pPr>
      <w:r w:rsidRPr="00E00CD6">
        <w:rPr>
          <w:sz w:val="20"/>
        </w:rPr>
        <w:t>Kilder: Statistisk sentralbyrå og Beregningsutvalget</w:t>
      </w:r>
      <w:r>
        <w:rPr>
          <w:sz w:val="20"/>
        </w:rPr>
        <w:t>.</w:t>
      </w:r>
    </w:p>
    <w:p w14:paraId="6E72A3C5" w14:textId="77777777" w:rsidR="00086FB8" w:rsidRPr="00492767" w:rsidRDefault="00086FB8" w:rsidP="004779A9">
      <w:pPr>
        <w:pStyle w:val="vedlegg-nr"/>
      </w:pPr>
    </w:p>
    <w:p w14:paraId="3F01AE62" w14:textId="77777777" w:rsidR="00086FB8" w:rsidRPr="00D041CB" w:rsidRDefault="00086FB8" w:rsidP="008643D6">
      <w:pPr>
        <w:pStyle w:val="Overskrift1"/>
        <w:numPr>
          <w:ilvl w:val="0"/>
          <w:numId w:val="76"/>
        </w:numPr>
        <w:jc w:val="center"/>
      </w:pPr>
      <w:bookmarkStart w:id="485" w:name="_Toc383961407"/>
      <w:bookmarkStart w:id="486" w:name="_Toc415240815"/>
      <w:bookmarkStart w:id="487" w:name="_Toc443999021"/>
      <w:r w:rsidRPr="00D041CB">
        <w:t>Institusjonelle trekk ved lønnsdannelsen i Norge</w:t>
      </w:r>
      <w:bookmarkEnd w:id="485"/>
      <w:bookmarkEnd w:id="486"/>
      <w:bookmarkEnd w:id="487"/>
    </w:p>
    <w:p w14:paraId="3E8BBC25" w14:textId="77777777" w:rsidR="00086FB8" w:rsidRDefault="00086FB8" w:rsidP="00086FB8">
      <w:r>
        <w:t xml:space="preserve">I dette vedlegget gjennomgås organisasjonsgrader både på arbeidstaker- og arbeidsgiversiden, ulike systemer for tariffavtaler og omfanget av tariffavtaledekning. Det gis også en oversikt over store tariffavtaler etter næring/sektor. </w:t>
      </w:r>
    </w:p>
    <w:p w14:paraId="11BDA96B" w14:textId="77777777" w:rsidR="00086FB8" w:rsidRPr="00B640D0" w:rsidRDefault="00086FB8" w:rsidP="008643D6">
      <w:pPr>
        <w:pStyle w:val="Overskrift2"/>
        <w:numPr>
          <w:ilvl w:val="1"/>
          <w:numId w:val="60"/>
        </w:numPr>
        <w:ind w:left="567" w:hanging="567"/>
        <w:rPr>
          <w:iCs/>
        </w:rPr>
      </w:pPr>
      <w:bookmarkStart w:id="488" w:name="_Toc383961408"/>
      <w:bookmarkStart w:id="489" w:name="_Toc383961409"/>
      <w:bookmarkStart w:id="490" w:name="_Toc383961412"/>
      <w:bookmarkStart w:id="491" w:name="_Toc411761955"/>
      <w:bookmarkStart w:id="492" w:name="_Toc411849513"/>
      <w:bookmarkStart w:id="493" w:name="_Toc415240816"/>
      <w:bookmarkStart w:id="494" w:name="_Toc443829093"/>
      <w:bookmarkStart w:id="495" w:name="_Toc443843750"/>
      <w:bookmarkStart w:id="496" w:name="_Toc443844282"/>
      <w:bookmarkStart w:id="497" w:name="_Toc443999022"/>
      <w:bookmarkEnd w:id="488"/>
      <w:bookmarkEnd w:id="489"/>
      <w:r w:rsidRPr="00B640D0">
        <w:rPr>
          <w:iCs/>
        </w:rPr>
        <w:t>Organisasjonsgrader på arbeidstakersiden</w:t>
      </w:r>
      <w:bookmarkEnd w:id="490"/>
      <w:bookmarkEnd w:id="491"/>
      <w:bookmarkEnd w:id="492"/>
      <w:bookmarkEnd w:id="493"/>
      <w:bookmarkEnd w:id="494"/>
      <w:bookmarkEnd w:id="495"/>
      <w:bookmarkEnd w:id="496"/>
      <w:bookmarkEnd w:id="497"/>
    </w:p>
    <w:p w14:paraId="34191669" w14:textId="77777777" w:rsidR="00086FB8" w:rsidRPr="009539FD" w:rsidRDefault="00086FB8" w:rsidP="00086FB8">
      <w:r w:rsidRPr="00023300">
        <w:rPr>
          <w:i/>
          <w:lang w:val="nn-NO"/>
        </w:rPr>
        <w:t>Organisasjonsgraden</w:t>
      </w:r>
      <w:r>
        <w:rPr>
          <w:rStyle w:val="Fotnotereferanse"/>
        </w:rPr>
        <w:footnoteReference w:id="19"/>
      </w:r>
      <w:r w:rsidRPr="000B7638">
        <w:rPr>
          <w:lang w:val="nn-NO"/>
        </w:rPr>
        <w:t xml:space="preserve"> </w:t>
      </w:r>
      <w:r>
        <w:rPr>
          <w:lang w:val="nn-NO"/>
        </w:rPr>
        <w:t xml:space="preserve">på </w:t>
      </w:r>
      <w:r w:rsidRPr="00023868">
        <w:t>arbeidstakersiden</w:t>
      </w:r>
      <w:r>
        <w:rPr>
          <w:lang w:val="nn-NO"/>
        </w:rPr>
        <w:t xml:space="preserve"> </w:t>
      </w:r>
      <w:r w:rsidRPr="000B7638">
        <w:rPr>
          <w:lang w:val="nn-NO"/>
        </w:rPr>
        <w:t xml:space="preserve">i </w:t>
      </w:r>
      <w:r w:rsidRPr="004D366D">
        <w:t>Norge</w:t>
      </w:r>
      <w:r w:rsidRPr="000B7638">
        <w:rPr>
          <w:lang w:val="nn-NO"/>
        </w:rPr>
        <w:t xml:space="preserve"> </w:t>
      </w:r>
      <w:r>
        <w:rPr>
          <w:lang w:val="nn-NO"/>
        </w:rPr>
        <w:t xml:space="preserve">var 52 prosent i 1972. Den økte til 57 prosent i 1990,  </w:t>
      </w:r>
      <w:r w:rsidRPr="000B7638">
        <w:rPr>
          <w:lang w:val="nn-NO"/>
        </w:rPr>
        <w:t xml:space="preserve">falt </w:t>
      </w:r>
      <w:r>
        <w:rPr>
          <w:lang w:val="nn-NO"/>
        </w:rPr>
        <w:t xml:space="preserve">deretter </w:t>
      </w:r>
      <w:r w:rsidRPr="000B7638">
        <w:rPr>
          <w:lang w:val="nn-NO"/>
        </w:rPr>
        <w:t xml:space="preserve">til 53 </w:t>
      </w:r>
      <w:r>
        <w:rPr>
          <w:lang w:val="nn-NO"/>
        </w:rPr>
        <w:t>prosent</w:t>
      </w:r>
      <w:r w:rsidRPr="000B7638">
        <w:rPr>
          <w:lang w:val="nn-NO"/>
        </w:rPr>
        <w:t xml:space="preserve"> i 2000 og </w:t>
      </w:r>
      <w:r>
        <w:rPr>
          <w:lang w:val="nn-NO"/>
        </w:rPr>
        <w:t xml:space="preserve">har de siste 5-6 årene ligget på om lag </w:t>
      </w:r>
      <w:r w:rsidRPr="000B7638">
        <w:rPr>
          <w:lang w:val="nn-NO"/>
        </w:rPr>
        <w:t xml:space="preserve">52 </w:t>
      </w:r>
      <w:r>
        <w:rPr>
          <w:lang w:val="nn-NO"/>
        </w:rPr>
        <w:t>prosent</w:t>
      </w:r>
      <w:r w:rsidRPr="000B7638">
        <w:rPr>
          <w:lang w:val="nn-NO"/>
        </w:rPr>
        <w:t xml:space="preserve">. </w:t>
      </w:r>
      <w:r w:rsidRPr="002B0D4E">
        <w:t xml:space="preserve">Sammenliknet med </w:t>
      </w:r>
      <w:r>
        <w:t>andre</w:t>
      </w:r>
      <w:r w:rsidRPr="002B0D4E">
        <w:t xml:space="preserve"> vestlige land er organisasjonsgraden</w:t>
      </w:r>
      <w:r>
        <w:t xml:space="preserve"> </w:t>
      </w:r>
      <w:r w:rsidRPr="002B0D4E">
        <w:t xml:space="preserve">i Norge på arbeidstakersiden </w:t>
      </w:r>
      <w:r>
        <w:t xml:space="preserve">likevel fortsatt </w:t>
      </w:r>
      <w:r w:rsidRPr="002B0D4E">
        <w:t xml:space="preserve">relativt høy. </w:t>
      </w:r>
      <w:r>
        <w:t>De ansatte er organisert i ulike forbund som er tilsluttet de</w:t>
      </w:r>
      <w:r w:rsidRPr="002B0D4E">
        <w:t xml:space="preserve"> fire hovedorganisasjone</w:t>
      </w:r>
      <w:r>
        <w:t>ne; LO, Unio, YS og Akademikerne</w:t>
      </w:r>
      <w:r w:rsidRPr="002B0D4E">
        <w:t>, samt en del mindre, frittstående forbund</w:t>
      </w:r>
      <w:r>
        <w:t>, jf. tabell 5.1</w:t>
      </w:r>
      <w:r w:rsidRPr="002B0D4E">
        <w:t xml:space="preserve">. </w:t>
      </w:r>
      <w:r>
        <w:t xml:space="preserve">Av de frittstående </w:t>
      </w:r>
      <w:r w:rsidRPr="000B7638">
        <w:t xml:space="preserve">er </w:t>
      </w:r>
      <w:r w:rsidRPr="000B7638">
        <w:rPr>
          <w:bCs/>
        </w:rPr>
        <w:t>Norges Ingeniør- og Teknolog</w:t>
      </w:r>
      <w:r>
        <w:rPr>
          <w:bCs/>
        </w:rPr>
        <w:t>i</w:t>
      </w:r>
      <w:r w:rsidRPr="000B7638">
        <w:rPr>
          <w:bCs/>
        </w:rPr>
        <w:t>organisasjon</w:t>
      </w:r>
      <w:r w:rsidRPr="000B7638">
        <w:t xml:space="preserve"> (NITO) den største organisasjonen med om lag </w:t>
      </w:r>
      <w:r>
        <w:t>77 500</w:t>
      </w:r>
      <w:r w:rsidRPr="000B7638">
        <w:t xml:space="preserve"> medlemmer totalt i 201</w:t>
      </w:r>
      <w:r>
        <w:t>4</w:t>
      </w:r>
      <w:r w:rsidRPr="000B7638">
        <w:t xml:space="preserve">. </w:t>
      </w:r>
      <w:r>
        <w:t>Utviklingen i andelen organiserte arbeidstakere totalt og i de ulike arbeidstakerorganisasjonene siden 1972 vises i figur 5.1.</w:t>
      </w:r>
    </w:p>
    <w:p w14:paraId="417D77E3" w14:textId="77777777" w:rsidR="00086FB8" w:rsidRDefault="00086FB8" w:rsidP="00086FB8">
      <w:pPr>
        <w:pStyle w:val="tabell-tittel"/>
        <w:numPr>
          <w:ilvl w:val="0"/>
          <w:numId w:val="0"/>
        </w:numPr>
      </w:pPr>
      <w:r>
        <w:t xml:space="preserve">Tabell 5.1 </w:t>
      </w:r>
      <w:r w:rsidRPr="00426803">
        <w:t xml:space="preserve">Medlemstall </w:t>
      </w:r>
      <w:r>
        <w:t xml:space="preserve">totalt </w:t>
      </w:r>
      <w:r w:rsidRPr="00426803">
        <w:t>i de fire hovedorganisasjonene og i frittstående forbund per 31.12.201</w:t>
      </w:r>
      <w:r>
        <w:t>4</w:t>
      </w:r>
      <w:r w:rsidRPr="00426803">
        <w:t xml:space="preserve"> o</w:t>
      </w:r>
      <w:r>
        <w:t>g andelen yrkesaktive medlemmer</w:t>
      </w:r>
      <w:r w:rsidRPr="00426803">
        <w:t xml:space="preserve"> </w:t>
      </w:r>
    </w:p>
    <w:tbl>
      <w:tblPr>
        <w:tblStyle w:val="TrykketTabell"/>
        <w:tblW w:w="5103" w:type="pct"/>
        <w:tblLayout w:type="fixed"/>
        <w:tblLook w:val="04A0" w:firstRow="1" w:lastRow="0" w:firstColumn="1" w:lastColumn="0" w:noHBand="0" w:noVBand="1"/>
      </w:tblPr>
      <w:tblGrid>
        <w:gridCol w:w="2694"/>
        <w:gridCol w:w="1435"/>
        <w:gridCol w:w="1564"/>
        <w:gridCol w:w="1522"/>
        <w:gridCol w:w="2042"/>
      </w:tblGrid>
      <w:tr w:rsidR="00086FB8" w:rsidRPr="000E1980" w14:paraId="7FD9C1EE" w14:textId="77777777" w:rsidTr="008D32BA">
        <w:trPr>
          <w:cnfStyle w:val="100000000000" w:firstRow="1" w:lastRow="0" w:firstColumn="0" w:lastColumn="0" w:oddVBand="0" w:evenVBand="0" w:oddHBand="0" w:evenHBand="0" w:firstRowFirstColumn="0" w:firstRowLastColumn="0" w:lastRowFirstColumn="0" w:lastRowLastColumn="0"/>
        </w:trPr>
        <w:tc>
          <w:tcPr>
            <w:tcW w:w="1455" w:type="pct"/>
          </w:tcPr>
          <w:p w14:paraId="056D0CB8" w14:textId="77777777" w:rsidR="00086FB8" w:rsidRPr="000E1980" w:rsidRDefault="00086FB8" w:rsidP="008D32BA">
            <w:pPr>
              <w:keepNext/>
              <w:keepLines/>
              <w:rPr>
                <w:rFonts w:ascii="Times New Roman" w:hAnsi="Times New Roman"/>
              </w:rPr>
            </w:pPr>
            <w:bookmarkStart w:id="498" w:name="OLE_LINK3"/>
          </w:p>
        </w:tc>
        <w:tc>
          <w:tcPr>
            <w:tcW w:w="775" w:type="pct"/>
          </w:tcPr>
          <w:p w14:paraId="438DACBC" w14:textId="77777777" w:rsidR="00086FB8" w:rsidRPr="000E1980" w:rsidRDefault="00086FB8" w:rsidP="008D32BA">
            <w:pPr>
              <w:keepNext/>
              <w:keepLines/>
              <w:jc w:val="right"/>
              <w:rPr>
                <w:rFonts w:ascii="Times New Roman" w:hAnsi="Times New Roman"/>
              </w:rPr>
            </w:pPr>
            <w:r w:rsidRPr="000E1980">
              <w:rPr>
                <w:rFonts w:ascii="Times New Roman" w:hAnsi="Times New Roman"/>
              </w:rPr>
              <w:t>Medlemstall totalt</w:t>
            </w:r>
          </w:p>
        </w:tc>
        <w:tc>
          <w:tcPr>
            <w:tcW w:w="845" w:type="pct"/>
          </w:tcPr>
          <w:p w14:paraId="2D28837C" w14:textId="77777777" w:rsidR="00086FB8" w:rsidRPr="000E1980" w:rsidRDefault="00086FB8" w:rsidP="008D32BA">
            <w:pPr>
              <w:keepNext/>
              <w:keepLines/>
              <w:jc w:val="right"/>
              <w:rPr>
                <w:rFonts w:ascii="Times New Roman" w:hAnsi="Times New Roman"/>
              </w:rPr>
            </w:pPr>
            <w:r w:rsidRPr="000E1980">
              <w:rPr>
                <w:rFonts w:ascii="Times New Roman" w:hAnsi="Times New Roman"/>
              </w:rPr>
              <w:t>Yrkesaktive medlemmer</w:t>
            </w:r>
            <w:r w:rsidRPr="00FC0D74">
              <w:rPr>
                <w:rFonts w:ascii="Times New Roman" w:hAnsi="Times New Roman"/>
                <w:color w:val="000000"/>
                <w:vertAlign w:val="superscript"/>
              </w:rPr>
              <w:t>1</w:t>
            </w:r>
          </w:p>
        </w:tc>
        <w:tc>
          <w:tcPr>
            <w:tcW w:w="822" w:type="pct"/>
          </w:tcPr>
          <w:p w14:paraId="06490810" w14:textId="77777777" w:rsidR="00086FB8" w:rsidRPr="000E1980" w:rsidRDefault="00086FB8" w:rsidP="008D32BA">
            <w:pPr>
              <w:keepNext/>
              <w:keepLines/>
              <w:jc w:val="right"/>
              <w:rPr>
                <w:rFonts w:ascii="Times New Roman" w:hAnsi="Times New Roman"/>
              </w:rPr>
            </w:pPr>
            <w:r w:rsidRPr="000E1980">
              <w:rPr>
                <w:rFonts w:ascii="Times New Roman" w:hAnsi="Times New Roman"/>
              </w:rPr>
              <w:t>Andelen yrkesaktive medlemmer</w:t>
            </w:r>
          </w:p>
        </w:tc>
        <w:tc>
          <w:tcPr>
            <w:tcW w:w="1103" w:type="pct"/>
          </w:tcPr>
          <w:p w14:paraId="3AC70363" w14:textId="77777777" w:rsidR="00086FB8" w:rsidRPr="000E1980" w:rsidRDefault="00086FB8" w:rsidP="008D32BA">
            <w:pPr>
              <w:keepNext/>
              <w:keepLines/>
              <w:jc w:val="right"/>
              <w:rPr>
                <w:rFonts w:ascii="Times New Roman" w:hAnsi="Times New Roman"/>
              </w:rPr>
            </w:pPr>
            <w:r w:rsidRPr="000E1980">
              <w:rPr>
                <w:rFonts w:ascii="Times New Roman" w:hAnsi="Times New Roman"/>
              </w:rPr>
              <w:t>Yrkesaktive medlemmer som andel av alle sysselsatte lønnstakere. Pst</w:t>
            </w:r>
          </w:p>
        </w:tc>
      </w:tr>
      <w:tr w:rsidR="00086FB8" w:rsidRPr="003B72A1" w14:paraId="5100DFD7" w14:textId="77777777" w:rsidTr="008D32BA">
        <w:tc>
          <w:tcPr>
            <w:tcW w:w="1455" w:type="pct"/>
          </w:tcPr>
          <w:p w14:paraId="5FF1C6EA" w14:textId="77777777" w:rsidR="00086FB8" w:rsidRPr="003B72A1" w:rsidRDefault="00086FB8" w:rsidP="008D32BA">
            <w:pPr>
              <w:keepNext/>
              <w:keepLines/>
              <w:ind w:right="-108"/>
              <w:rPr>
                <w:rFonts w:ascii="Times New Roman" w:hAnsi="Times New Roman"/>
                <w:sz w:val="22"/>
              </w:rPr>
            </w:pPr>
            <w:r w:rsidRPr="003B72A1">
              <w:rPr>
                <w:rFonts w:ascii="Times New Roman" w:hAnsi="Times New Roman"/>
                <w:sz w:val="22"/>
              </w:rPr>
              <w:t>Landsorganisasjonen (LO)</w:t>
            </w:r>
          </w:p>
        </w:tc>
        <w:tc>
          <w:tcPr>
            <w:tcW w:w="775" w:type="pct"/>
            <w:vAlign w:val="bottom"/>
          </w:tcPr>
          <w:p w14:paraId="5968D7CC"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909 552</w:t>
            </w:r>
          </w:p>
        </w:tc>
        <w:tc>
          <w:tcPr>
            <w:tcW w:w="845" w:type="pct"/>
            <w:vAlign w:val="bottom"/>
          </w:tcPr>
          <w:p w14:paraId="262B9051" w14:textId="77777777" w:rsidR="00086FB8" w:rsidRPr="003B72A1" w:rsidRDefault="00086FB8" w:rsidP="008D32BA">
            <w:pPr>
              <w:keepNext/>
              <w:keepLines/>
              <w:jc w:val="right"/>
              <w:rPr>
                <w:rFonts w:ascii="Times New Roman" w:hAnsi="Times New Roman"/>
                <w:b/>
                <w:sz w:val="22"/>
              </w:rPr>
            </w:pPr>
            <w:r w:rsidRPr="003B72A1">
              <w:rPr>
                <w:rFonts w:ascii="Times New Roman" w:hAnsi="Times New Roman"/>
                <w:color w:val="000000"/>
                <w:sz w:val="22"/>
              </w:rPr>
              <w:t>632 000</w:t>
            </w:r>
          </w:p>
        </w:tc>
        <w:tc>
          <w:tcPr>
            <w:tcW w:w="822" w:type="pct"/>
            <w:vAlign w:val="bottom"/>
          </w:tcPr>
          <w:p w14:paraId="704C39C8"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69,5</w:t>
            </w:r>
          </w:p>
        </w:tc>
        <w:tc>
          <w:tcPr>
            <w:tcW w:w="1103" w:type="pct"/>
            <w:vAlign w:val="bottom"/>
          </w:tcPr>
          <w:p w14:paraId="37519D00"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25,8</w:t>
            </w:r>
          </w:p>
        </w:tc>
      </w:tr>
      <w:tr w:rsidR="00086FB8" w:rsidRPr="003B72A1" w14:paraId="3FACD911" w14:textId="77777777" w:rsidTr="008D32BA">
        <w:tc>
          <w:tcPr>
            <w:tcW w:w="1455" w:type="pct"/>
          </w:tcPr>
          <w:p w14:paraId="299828F4" w14:textId="77777777" w:rsidR="00086FB8" w:rsidRPr="003B72A1" w:rsidRDefault="00086FB8" w:rsidP="008D32BA">
            <w:pPr>
              <w:keepNext/>
              <w:keepLines/>
              <w:rPr>
                <w:rFonts w:ascii="Times New Roman" w:hAnsi="Times New Roman"/>
                <w:sz w:val="22"/>
              </w:rPr>
            </w:pPr>
            <w:r w:rsidRPr="003B72A1">
              <w:rPr>
                <w:rFonts w:ascii="Times New Roman" w:hAnsi="Times New Roman"/>
                <w:sz w:val="22"/>
              </w:rPr>
              <w:t>Unio</w:t>
            </w:r>
          </w:p>
        </w:tc>
        <w:tc>
          <w:tcPr>
            <w:tcW w:w="775" w:type="pct"/>
            <w:vAlign w:val="bottom"/>
          </w:tcPr>
          <w:p w14:paraId="4D67D70E"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331 824</w:t>
            </w:r>
          </w:p>
        </w:tc>
        <w:tc>
          <w:tcPr>
            <w:tcW w:w="845" w:type="pct"/>
            <w:vAlign w:val="bottom"/>
          </w:tcPr>
          <w:p w14:paraId="23B219B1"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246 100</w:t>
            </w:r>
          </w:p>
        </w:tc>
        <w:tc>
          <w:tcPr>
            <w:tcW w:w="822" w:type="pct"/>
            <w:vAlign w:val="bottom"/>
          </w:tcPr>
          <w:p w14:paraId="02905A78"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74,2</w:t>
            </w:r>
          </w:p>
        </w:tc>
        <w:tc>
          <w:tcPr>
            <w:tcW w:w="1103" w:type="pct"/>
            <w:vAlign w:val="bottom"/>
          </w:tcPr>
          <w:p w14:paraId="76EB65C9"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10,1</w:t>
            </w:r>
          </w:p>
        </w:tc>
      </w:tr>
      <w:tr w:rsidR="00086FB8" w:rsidRPr="003B72A1" w14:paraId="74B17C50" w14:textId="77777777" w:rsidTr="008D32BA">
        <w:tc>
          <w:tcPr>
            <w:tcW w:w="1455" w:type="pct"/>
          </w:tcPr>
          <w:p w14:paraId="6510341F" w14:textId="77777777" w:rsidR="00086FB8" w:rsidRPr="003B72A1" w:rsidRDefault="00086FB8" w:rsidP="008D32BA">
            <w:pPr>
              <w:keepNext/>
              <w:keepLines/>
              <w:rPr>
                <w:rFonts w:ascii="Times New Roman" w:hAnsi="Times New Roman"/>
                <w:sz w:val="22"/>
              </w:rPr>
            </w:pPr>
            <w:r w:rsidRPr="003B72A1">
              <w:rPr>
                <w:rFonts w:ascii="Times New Roman" w:hAnsi="Times New Roman"/>
                <w:sz w:val="22"/>
              </w:rPr>
              <w:t>YS</w:t>
            </w:r>
          </w:p>
        </w:tc>
        <w:tc>
          <w:tcPr>
            <w:tcW w:w="775" w:type="pct"/>
            <w:vAlign w:val="bottom"/>
          </w:tcPr>
          <w:p w14:paraId="39AC6606"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222 038</w:t>
            </w:r>
          </w:p>
        </w:tc>
        <w:tc>
          <w:tcPr>
            <w:tcW w:w="845" w:type="pct"/>
            <w:vAlign w:val="bottom"/>
          </w:tcPr>
          <w:p w14:paraId="25D2C913"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156 700</w:t>
            </w:r>
          </w:p>
        </w:tc>
        <w:tc>
          <w:tcPr>
            <w:tcW w:w="822" w:type="pct"/>
            <w:vAlign w:val="bottom"/>
          </w:tcPr>
          <w:p w14:paraId="2278B007"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70,6</w:t>
            </w:r>
          </w:p>
        </w:tc>
        <w:tc>
          <w:tcPr>
            <w:tcW w:w="1103" w:type="pct"/>
            <w:vAlign w:val="bottom"/>
          </w:tcPr>
          <w:p w14:paraId="0B05B305"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6,4</w:t>
            </w:r>
          </w:p>
        </w:tc>
      </w:tr>
      <w:tr w:rsidR="00086FB8" w:rsidRPr="003B72A1" w14:paraId="134FE4FC" w14:textId="77777777" w:rsidTr="008D32BA">
        <w:tc>
          <w:tcPr>
            <w:tcW w:w="1455" w:type="pct"/>
            <w:tcBorders>
              <w:bottom w:val="nil"/>
            </w:tcBorders>
          </w:tcPr>
          <w:p w14:paraId="57FAFD6D" w14:textId="77777777" w:rsidR="00086FB8" w:rsidRPr="003B72A1" w:rsidRDefault="00086FB8" w:rsidP="008D32BA">
            <w:pPr>
              <w:keepNext/>
              <w:keepLines/>
              <w:rPr>
                <w:rFonts w:ascii="Times New Roman" w:hAnsi="Times New Roman"/>
                <w:sz w:val="22"/>
              </w:rPr>
            </w:pPr>
            <w:r w:rsidRPr="003B72A1">
              <w:rPr>
                <w:rFonts w:ascii="Times New Roman" w:hAnsi="Times New Roman"/>
                <w:sz w:val="22"/>
              </w:rPr>
              <w:t>Akademikerne</w:t>
            </w:r>
          </w:p>
        </w:tc>
        <w:tc>
          <w:tcPr>
            <w:tcW w:w="775" w:type="pct"/>
            <w:tcBorders>
              <w:bottom w:val="nil"/>
            </w:tcBorders>
            <w:vAlign w:val="bottom"/>
          </w:tcPr>
          <w:p w14:paraId="52D91BE2"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186 753</w:t>
            </w:r>
          </w:p>
        </w:tc>
        <w:tc>
          <w:tcPr>
            <w:tcW w:w="845" w:type="pct"/>
            <w:tcBorders>
              <w:bottom w:val="nil"/>
            </w:tcBorders>
            <w:vAlign w:val="bottom"/>
          </w:tcPr>
          <w:p w14:paraId="6E0F8C68"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134 600</w:t>
            </w:r>
          </w:p>
        </w:tc>
        <w:tc>
          <w:tcPr>
            <w:tcW w:w="822" w:type="pct"/>
            <w:tcBorders>
              <w:bottom w:val="nil"/>
            </w:tcBorders>
            <w:vAlign w:val="bottom"/>
          </w:tcPr>
          <w:p w14:paraId="658A73C8"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72,1</w:t>
            </w:r>
          </w:p>
        </w:tc>
        <w:tc>
          <w:tcPr>
            <w:tcW w:w="1103" w:type="pct"/>
            <w:tcBorders>
              <w:bottom w:val="nil"/>
            </w:tcBorders>
            <w:vAlign w:val="bottom"/>
          </w:tcPr>
          <w:p w14:paraId="0B889F31"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5,5</w:t>
            </w:r>
          </w:p>
        </w:tc>
      </w:tr>
      <w:tr w:rsidR="00086FB8" w:rsidRPr="003B72A1" w14:paraId="52AA4C0E" w14:textId="77777777" w:rsidTr="008D32BA">
        <w:tc>
          <w:tcPr>
            <w:tcW w:w="1455" w:type="pct"/>
            <w:tcBorders>
              <w:bottom w:val="single" w:sz="4" w:space="0" w:color="auto"/>
            </w:tcBorders>
          </w:tcPr>
          <w:p w14:paraId="7B104447" w14:textId="77777777" w:rsidR="00086FB8" w:rsidRPr="003B72A1" w:rsidRDefault="00086FB8" w:rsidP="008D32BA">
            <w:pPr>
              <w:keepNext/>
              <w:keepLines/>
              <w:rPr>
                <w:rFonts w:ascii="Times New Roman" w:hAnsi="Times New Roman"/>
                <w:sz w:val="22"/>
              </w:rPr>
            </w:pPr>
            <w:r w:rsidRPr="003B72A1">
              <w:rPr>
                <w:rFonts w:ascii="Times New Roman" w:hAnsi="Times New Roman"/>
                <w:sz w:val="22"/>
              </w:rPr>
              <w:t>Frittstående forbund</w:t>
            </w:r>
          </w:p>
        </w:tc>
        <w:tc>
          <w:tcPr>
            <w:tcW w:w="775" w:type="pct"/>
            <w:tcBorders>
              <w:bottom w:val="single" w:sz="4" w:space="0" w:color="auto"/>
            </w:tcBorders>
            <w:vAlign w:val="bottom"/>
          </w:tcPr>
          <w:p w14:paraId="3A18427E"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128 063</w:t>
            </w:r>
          </w:p>
        </w:tc>
        <w:tc>
          <w:tcPr>
            <w:tcW w:w="845" w:type="pct"/>
            <w:tcBorders>
              <w:bottom w:val="single" w:sz="4" w:space="0" w:color="auto"/>
            </w:tcBorders>
            <w:vAlign w:val="bottom"/>
          </w:tcPr>
          <w:p w14:paraId="4FBBA86D" w14:textId="77777777" w:rsidR="00086FB8" w:rsidRPr="003B72A1" w:rsidRDefault="00086FB8" w:rsidP="008D32BA">
            <w:pPr>
              <w:keepNext/>
              <w:keepLines/>
              <w:jc w:val="right"/>
              <w:rPr>
                <w:rFonts w:ascii="Times New Roman" w:hAnsi="Times New Roman"/>
                <w:b/>
                <w:sz w:val="22"/>
              </w:rPr>
            </w:pPr>
            <w:r w:rsidRPr="003B72A1">
              <w:rPr>
                <w:rFonts w:ascii="Times New Roman" w:hAnsi="Times New Roman"/>
                <w:color w:val="000000"/>
                <w:sz w:val="22"/>
              </w:rPr>
              <w:t>100 000</w:t>
            </w:r>
          </w:p>
        </w:tc>
        <w:tc>
          <w:tcPr>
            <w:tcW w:w="822" w:type="pct"/>
            <w:tcBorders>
              <w:bottom w:val="single" w:sz="4" w:space="0" w:color="auto"/>
            </w:tcBorders>
            <w:vAlign w:val="bottom"/>
          </w:tcPr>
          <w:p w14:paraId="6D393077"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78,1</w:t>
            </w:r>
          </w:p>
        </w:tc>
        <w:tc>
          <w:tcPr>
            <w:tcW w:w="1103" w:type="pct"/>
            <w:tcBorders>
              <w:bottom w:val="single" w:sz="4" w:space="0" w:color="auto"/>
            </w:tcBorders>
            <w:vAlign w:val="bottom"/>
          </w:tcPr>
          <w:p w14:paraId="46054163" w14:textId="77777777" w:rsidR="00086FB8" w:rsidRPr="003B72A1" w:rsidRDefault="00086FB8" w:rsidP="008D32BA">
            <w:pPr>
              <w:keepNext/>
              <w:keepLines/>
              <w:jc w:val="right"/>
              <w:rPr>
                <w:rFonts w:ascii="Times New Roman" w:hAnsi="Times New Roman"/>
                <w:sz w:val="22"/>
              </w:rPr>
            </w:pPr>
            <w:r w:rsidRPr="003B72A1">
              <w:rPr>
                <w:rFonts w:ascii="Times New Roman" w:hAnsi="Times New Roman"/>
                <w:color w:val="000000"/>
                <w:sz w:val="22"/>
              </w:rPr>
              <w:t>4,1</w:t>
            </w:r>
          </w:p>
        </w:tc>
      </w:tr>
      <w:tr w:rsidR="00086FB8" w:rsidRPr="003B72A1" w14:paraId="399F3A9A" w14:textId="77777777" w:rsidTr="008D32BA">
        <w:tc>
          <w:tcPr>
            <w:tcW w:w="1455" w:type="pct"/>
            <w:tcBorders>
              <w:bottom w:val="single" w:sz="4" w:space="0" w:color="auto"/>
            </w:tcBorders>
          </w:tcPr>
          <w:p w14:paraId="6A348DCC" w14:textId="77777777" w:rsidR="00086FB8" w:rsidRPr="003B72A1" w:rsidRDefault="00086FB8" w:rsidP="008D32BA">
            <w:pPr>
              <w:keepNext/>
              <w:keepLines/>
              <w:rPr>
                <w:rFonts w:ascii="Times New Roman" w:hAnsi="Times New Roman"/>
                <w:sz w:val="22"/>
              </w:rPr>
            </w:pPr>
            <w:r w:rsidRPr="003B72A1">
              <w:rPr>
                <w:rFonts w:ascii="Times New Roman" w:hAnsi="Times New Roman"/>
                <w:sz w:val="22"/>
              </w:rPr>
              <w:t>Sum</w:t>
            </w:r>
          </w:p>
        </w:tc>
        <w:tc>
          <w:tcPr>
            <w:tcW w:w="775" w:type="pct"/>
            <w:tcBorders>
              <w:bottom w:val="single" w:sz="4" w:space="0" w:color="auto"/>
            </w:tcBorders>
            <w:vAlign w:val="bottom"/>
          </w:tcPr>
          <w:p w14:paraId="7D30CDB5" w14:textId="77777777" w:rsidR="00086FB8" w:rsidRPr="003B72A1" w:rsidRDefault="00086FB8" w:rsidP="008D32BA">
            <w:pPr>
              <w:keepNext/>
              <w:keepLines/>
              <w:jc w:val="right"/>
              <w:rPr>
                <w:rFonts w:ascii="Times New Roman" w:hAnsi="Times New Roman"/>
                <w:color w:val="000000"/>
                <w:sz w:val="22"/>
              </w:rPr>
            </w:pPr>
            <w:r w:rsidRPr="003B72A1">
              <w:rPr>
                <w:rFonts w:ascii="Times New Roman" w:hAnsi="Times New Roman"/>
                <w:color w:val="000000"/>
                <w:sz w:val="22"/>
              </w:rPr>
              <w:t>1 778 230</w:t>
            </w:r>
          </w:p>
        </w:tc>
        <w:tc>
          <w:tcPr>
            <w:tcW w:w="845" w:type="pct"/>
            <w:tcBorders>
              <w:bottom w:val="single" w:sz="4" w:space="0" w:color="auto"/>
            </w:tcBorders>
            <w:vAlign w:val="bottom"/>
          </w:tcPr>
          <w:p w14:paraId="54508998" w14:textId="77777777" w:rsidR="00086FB8" w:rsidRPr="003B72A1" w:rsidRDefault="00086FB8" w:rsidP="008D32BA">
            <w:pPr>
              <w:keepNext/>
              <w:keepLines/>
              <w:jc w:val="right"/>
              <w:rPr>
                <w:rFonts w:ascii="Times New Roman" w:hAnsi="Times New Roman"/>
                <w:color w:val="000000"/>
                <w:sz w:val="22"/>
              </w:rPr>
            </w:pPr>
            <w:r w:rsidRPr="003B72A1">
              <w:rPr>
                <w:rFonts w:ascii="Times New Roman" w:hAnsi="Times New Roman"/>
                <w:color w:val="000000"/>
                <w:sz w:val="22"/>
              </w:rPr>
              <w:t>1 269 400</w:t>
            </w:r>
          </w:p>
        </w:tc>
        <w:tc>
          <w:tcPr>
            <w:tcW w:w="822" w:type="pct"/>
            <w:tcBorders>
              <w:bottom w:val="single" w:sz="4" w:space="0" w:color="auto"/>
            </w:tcBorders>
            <w:vAlign w:val="bottom"/>
          </w:tcPr>
          <w:p w14:paraId="30BB7B57" w14:textId="77777777" w:rsidR="00086FB8" w:rsidRPr="003B72A1" w:rsidRDefault="00086FB8" w:rsidP="008D32BA">
            <w:pPr>
              <w:keepNext/>
              <w:keepLines/>
              <w:jc w:val="right"/>
              <w:rPr>
                <w:rFonts w:ascii="Times New Roman" w:hAnsi="Times New Roman"/>
                <w:color w:val="000000"/>
                <w:sz w:val="22"/>
              </w:rPr>
            </w:pPr>
            <w:r w:rsidRPr="003B72A1">
              <w:rPr>
                <w:rFonts w:ascii="Times New Roman" w:hAnsi="Times New Roman"/>
                <w:color w:val="000000"/>
                <w:sz w:val="22"/>
              </w:rPr>
              <w:t>71,4</w:t>
            </w:r>
          </w:p>
        </w:tc>
        <w:tc>
          <w:tcPr>
            <w:tcW w:w="1103" w:type="pct"/>
            <w:tcBorders>
              <w:bottom w:val="single" w:sz="4" w:space="0" w:color="auto"/>
            </w:tcBorders>
            <w:vAlign w:val="bottom"/>
          </w:tcPr>
          <w:p w14:paraId="23777A65" w14:textId="77777777" w:rsidR="00086FB8" w:rsidRPr="003B72A1" w:rsidRDefault="00086FB8" w:rsidP="008D32BA">
            <w:pPr>
              <w:keepNext/>
              <w:keepLines/>
              <w:jc w:val="right"/>
              <w:rPr>
                <w:rFonts w:ascii="Times New Roman" w:hAnsi="Times New Roman"/>
                <w:color w:val="000000"/>
                <w:sz w:val="22"/>
              </w:rPr>
            </w:pPr>
            <w:r w:rsidRPr="003B72A1">
              <w:rPr>
                <w:rFonts w:ascii="Times New Roman" w:hAnsi="Times New Roman"/>
                <w:color w:val="000000"/>
                <w:sz w:val="22"/>
              </w:rPr>
              <w:t>51,9</w:t>
            </w:r>
          </w:p>
        </w:tc>
      </w:tr>
    </w:tbl>
    <w:bookmarkEnd w:id="498"/>
    <w:p w14:paraId="2C97EB7B" w14:textId="77777777" w:rsidR="00086FB8" w:rsidRPr="003B72A1" w:rsidRDefault="00086FB8" w:rsidP="003F5F82">
      <w:pPr>
        <w:pStyle w:val="Kilde"/>
        <w:numPr>
          <w:ilvl w:val="0"/>
          <w:numId w:val="62"/>
        </w:numPr>
        <w:spacing w:after="0"/>
        <w:ind w:left="142" w:hanging="142"/>
      </w:pPr>
      <w:r w:rsidRPr="003B72A1">
        <w:t>Omfatter bare medlemmer som er yrkesaktive lønnstakere, dvs. selvstendige næringsdrivende er holdt utenom.</w:t>
      </w:r>
    </w:p>
    <w:p w14:paraId="5B3196BD" w14:textId="77777777" w:rsidR="00086FB8" w:rsidRPr="003B72A1" w:rsidRDefault="00086FB8" w:rsidP="003F5F82">
      <w:pPr>
        <w:pStyle w:val="Kilde"/>
        <w:spacing w:before="120"/>
      </w:pPr>
      <w:r w:rsidRPr="003B72A1">
        <w:t xml:space="preserve">Kilder: Statistisk sentralbyrå og Fafo. </w:t>
      </w:r>
    </w:p>
    <w:p w14:paraId="1870AE53" w14:textId="77777777" w:rsidR="00086FB8" w:rsidRPr="00081D91" w:rsidRDefault="00086FB8" w:rsidP="00086FB8"/>
    <w:p w14:paraId="35DC5B94" w14:textId="77777777" w:rsidR="00086FB8" w:rsidRDefault="00086FB8" w:rsidP="00086FB8"/>
    <w:p w14:paraId="61B203CC" w14:textId="77777777" w:rsidR="00086FB8" w:rsidRDefault="00086FB8" w:rsidP="00086FB8">
      <w:pPr>
        <w:pStyle w:val="figur-tittel"/>
        <w:numPr>
          <w:ilvl w:val="0"/>
          <w:numId w:val="0"/>
        </w:numPr>
      </w:pPr>
      <w:r>
        <w:rPr>
          <w:noProof/>
        </w:rPr>
        <w:drawing>
          <wp:inline distT="0" distB="0" distL="0" distR="0" wp14:anchorId="3680FCC2" wp14:editId="0D6D6A4F">
            <wp:extent cx="4190338" cy="2544121"/>
            <wp:effectExtent l="0" t="0" r="1270" b="8890"/>
            <wp:docPr id="76" name="Bilde 76" descr="C:\Users\asd1311\AppData\Local\Microsoft\Windows\Temporary Internet Files\Content.Word\V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1311\AppData\Local\Microsoft\Windows\Temporary Internet Files\Content.Word\V5-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9830" cy="2555955"/>
                    </a:xfrm>
                    <a:prstGeom prst="rect">
                      <a:avLst/>
                    </a:prstGeom>
                    <a:noFill/>
                    <a:ln>
                      <a:noFill/>
                    </a:ln>
                  </pic:spPr>
                </pic:pic>
              </a:graphicData>
            </a:graphic>
          </wp:inline>
        </w:drawing>
      </w:r>
    </w:p>
    <w:p w14:paraId="05488A72" w14:textId="77777777" w:rsidR="00086FB8" w:rsidRPr="002511D0" w:rsidRDefault="00086FB8" w:rsidP="00086FB8">
      <w:pPr>
        <w:pStyle w:val="figur-tittel"/>
        <w:numPr>
          <w:ilvl w:val="0"/>
          <w:numId w:val="0"/>
        </w:numPr>
      </w:pPr>
      <w:r w:rsidRPr="002511D0">
        <w:t xml:space="preserve">Figur 5.1 Andelen organiserte arbeidstakere </w:t>
      </w:r>
      <w:r>
        <w:t xml:space="preserve">totalt og </w:t>
      </w:r>
      <w:r w:rsidRPr="002511D0">
        <w:t>i de ulike arbeidstakerorganisasjonene. 1972-201</w:t>
      </w:r>
      <w:r>
        <w:t>4</w:t>
      </w:r>
      <w:r w:rsidRPr="002511D0">
        <w:t xml:space="preserve">. Yrkesaktive medlemmer </w:t>
      </w:r>
    </w:p>
    <w:p w14:paraId="4AF3E904" w14:textId="77777777" w:rsidR="00086FB8" w:rsidRPr="0046091B" w:rsidRDefault="00086FB8" w:rsidP="00086FB8">
      <w:pPr>
        <w:pStyle w:val="Kilde"/>
        <w:spacing w:after="0"/>
      </w:pPr>
      <w:r w:rsidRPr="0046091B">
        <w:t xml:space="preserve">Kilde: </w:t>
      </w:r>
      <w:r>
        <w:t xml:space="preserve">Fafo </w:t>
      </w:r>
    </w:p>
    <w:p w14:paraId="0A3F21BD" w14:textId="77777777" w:rsidR="00086FB8" w:rsidRPr="005360D7" w:rsidRDefault="00086FB8" w:rsidP="008643D6">
      <w:pPr>
        <w:pStyle w:val="Overskrift2"/>
        <w:numPr>
          <w:ilvl w:val="1"/>
          <w:numId w:val="60"/>
        </w:numPr>
        <w:ind w:left="567" w:hanging="567"/>
      </w:pPr>
      <w:bookmarkStart w:id="499" w:name="_Toc383961413"/>
      <w:bookmarkStart w:id="500" w:name="_Toc411761956"/>
      <w:bookmarkStart w:id="501" w:name="_Toc411849514"/>
      <w:bookmarkStart w:id="502" w:name="_Toc415240817"/>
      <w:bookmarkStart w:id="503" w:name="_Toc443829094"/>
      <w:bookmarkStart w:id="504" w:name="_Toc443843751"/>
      <w:bookmarkStart w:id="505" w:name="_Toc443844283"/>
      <w:bookmarkStart w:id="506" w:name="_Toc443999023"/>
      <w:r w:rsidRPr="005360D7">
        <w:t>Organisasjonsgrader på arbeidsgiversiden</w:t>
      </w:r>
      <w:bookmarkEnd w:id="499"/>
      <w:bookmarkEnd w:id="500"/>
      <w:bookmarkEnd w:id="501"/>
      <w:bookmarkEnd w:id="502"/>
      <w:bookmarkEnd w:id="503"/>
      <w:bookmarkEnd w:id="504"/>
      <w:bookmarkEnd w:id="505"/>
      <w:bookmarkEnd w:id="506"/>
    </w:p>
    <w:p w14:paraId="32FDF6A0" w14:textId="3A022F58" w:rsidR="00086FB8" w:rsidRDefault="00086FB8" w:rsidP="00086FB8">
      <w:r>
        <w:t>A</w:t>
      </w:r>
      <w:r w:rsidRPr="00BB29C1">
        <w:t xml:space="preserve">rbeidsgiversiden i Norge </w:t>
      </w:r>
      <w:r>
        <w:t xml:space="preserve">består </w:t>
      </w:r>
      <w:r w:rsidRPr="00BB29C1">
        <w:t xml:space="preserve">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moderniseringsdepartementet er arbeidsgiverpart i staten. I tillegg har Finans Norge medlemsbedrifter til sammen om lag </w:t>
      </w:r>
      <w:r>
        <w:t>39</w:t>
      </w:r>
      <w:r w:rsidRPr="00BB29C1">
        <w:t> 000 ansatte in</w:t>
      </w:r>
      <w:r w:rsidR="00F11752">
        <w:t>nen bank</w:t>
      </w:r>
      <w:r w:rsidRPr="00BB29C1">
        <w:t xml:space="preserve"> og forsikring, mens Norges Rederiforbunds medlemsbedrifter sysselsetter om lag 45 000 sjøfolk og offshorearbeidere.</w:t>
      </w:r>
      <w:r>
        <w:t xml:space="preserve"> </w:t>
      </w:r>
    </w:p>
    <w:p w14:paraId="53EB1CFC" w14:textId="77777777" w:rsidR="00086FB8" w:rsidRDefault="00086FB8" w:rsidP="00086FB8">
      <w:pPr>
        <w:spacing w:after="0"/>
      </w:pPr>
      <w:r>
        <w:br w:type="page"/>
      </w:r>
    </w:p>
    <w:p w14:paraId="5AA7516C" w14:textId="77777777" w:rsidR="00086FB8" w:rsidRPr="009C2B20" w:rsidRDefault="00086FB8" w:rsidP="00086FB8">
      <w:pPr>
        <w:pStyle w:val="tabell-tittel"/>
        <w:numPr>
          <w:ilvl w:val="0"/>
          <w:numId w:val="0"/>
        </w:numPr>
        <w:rPr>
          <w:szCs w:val="18"/>
        </w:rPr>
      </w:pPr>
      <w:r>
        <w:t xml:space="preserve">Tabell 5.2 </w:t>
      </w:r>
      <w:r w:rsidRPr="009C2B20">
        <w:t>Sysselsatte</w:t>
      </w:r>
      <w:r w:rsidRPr="00181B5C">
        <w:rPr>
          <w:vertAlign w:val="superscript"/>
        </w:rPr>
        <w:t>1</w:t>
      </w:r>
      <w:r w:rsidRPr="009C2B20">
        <w:t xml:space="preserve"> i staten og i medlemsvirksomheter i arbeidsgiverorganisasjoner. 2003 og 201</w:t>
      </w:r>
      <w:r>
        <w:t>4</w:t>
      </w:r>
      <w:r w:rsidRPr="009C2B20">
        <w:t xml:space="preserve">  </w:t>
      </w:r>
    </w:p>
    <w:tbl>
      <w:tblPr>
        <w:tblStyle w:val="TrykketTabell"/>
        <w:tblW w:w="5080" w:type="pct"/>
        <w:tblLook w:val="04A0" w:firstRow="1" w:lastRow="0" w:firstColumn="1" w:lastColumn="0" w:noHBand="0" w:noVBand="1"/>
      </w:tblPr>
      <w:tblGrid>
        <w:gridCol w:w="1949"/>
        <w:gridCol w:w="750"/>
        <w:gridCol w:w="945"/>
        <w:gridCol w:w="666"/>
        <w:gridCol w:w="945"/>
        <w:gridCol w:w="616"/>
        <w:gridCol w:w="616"/>
        <w:gridCol w:w="222"/>
        <w:gridCol w:w="616"/>
        <w:gridCol w:w="616"/>
        <w:gridCol w:w="617"/>
        <w:gridCol w:w="657"/>
      </w:tblGrid>
      <w:tr w:rsidR="00086FB8" w:rsidRPr="00774F4C" w14:paraId="48A23491" w14:textId="77777777" w:rsidTr="008D32BA">
        <w:trPr>
          <w:cnfStyle w:val="100000000000" w:firstRow="1" w:lastRow="0" w:firstColumn="0" w:lastColumn="0" w:oddVBand="0" w:evenVBand="0" w:oddHBand="0" w:evenHBand="0" w:firstRowFirstColumn="0" w:firstRowLastColumn="0" w:lastRowFirstColumn="0" w:lastRowLastColumn="0"/>
        </w:trPr>
        <w:tc>
          <w:tcPr>
            <w:tcW w:w="1029" w:type="pct"/>
            <w:tcBorders>
              <w:bottom w:val="nil"/>
            </w:tcBorders>
            <w:vAlign w:val="bottom"/>
          </w:tcPr>
          <w:p w14:paraId="5FEB74B9" w14:textId="77777777" w:rsidR="00086FB8" w:rsidRPr="00774F4C" w:rsidRDefault="00086FB8" w:rsidP="008D32BA">
            <w:pPr>
              <w:rPr>
                <w:rFonts w:ascii="Times New Roman" w:hAnsi="Times New Roman"/>
                <w:sz w:val="20"/>
                <w:szCs w:val="20"/>
              </w:rPr>
            </w:pPr>
            <w:bookmarkStart w:id="507" w:name="OLE_LINK4"/>
            <w:r w:rsidRPr="00774F4C">
              <w:rPr>
                <w:rFonts w:ascii="Times New Roman" w:hAnsi="Times New Roman"/>
                <w:sz w:val="20"/>
                <w:szCs w:val="20"/>
              </w:rPr>
              <w:br w:type="page"/>
            </w:r>
          </w:p>
        </w:tc>
        <w:tc>
          <w:tcPr>
            <w:tcW w:w="2517" w:type="pct"/>
            <w:gridSpan w:val="6"/>
            <w:vAlign w:val="bottom"/>
          </w:tcPr>
          <w:p w14:paraId="66E9CAE6"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Antall sysselsatte. 1000 personer</w:t>
            </w:r>
          </w:p>
        </w:tc>
        <w:tc>
          <w:tcPr>
            <w:tcW w:w="120" w:type="pct"/>
            <w:tcBorders>
              <w:bottom w:val="nil"/>
            </w:tcBorders>
            <w:vAlign w:val="bottom"/>
          </w:tcPr>
          <w:p w14:paraId="3219D6C3" w14:textId="77777777" w:rsidR="00086FB8" w:rsidRPr="00774F4C" w:rsidRDefault="00086FB8" w:rsidP="008D32BA">
            <w:pPr>
              <w:jc w:val="center"/>
              <w:rPr>
                <w:rFonts w:ascii="Times New Roman" w:hAnsi="Times New Roman"/>
                <w:sz w:val="20"/>
                <w:szCs w:val="20"/>
              </w:rPr>
            </w:pPr>
          </w:p>
        </w:tc>
        <w:tc>
          <w:tcPr>
            <w:tcW w:w="1334" w:type="pct"/>
            <w:gridSpan w:val="4"/>
            <w:vAlign w:val="bottom"/>
          </w:tcPr>
          <w:p w14:paraId="2450BE53"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Sysselsatte som andel av alle sysselsatte lønnstakere. Pst.</w:t>
            </w:r>
          </w:p>
        </w:tc>
      </w:tr>
      <w:tr w:rsidR="00086FB8" w:rsidRPr="00774F4C" w14:paraId="4C1AD929" w14:textId="77777777" w:rsidTr="008D32BA">
        <w:tc>
          <w:tcPr>
            <w:tcW w:w="1029" w:type="pct"/>
            <w:tcBorders>
              <w:bottom w:val="single" w:sz="4" w:space="0" w:color="auto"/>
            </w:tcBorders>
            <w:vAlign w:val="bottom"/>
          </w:tcPr>
          <w:p w14:paraId="11C78448" w14:textId="77777777" w:rsidR="00086FB8" w:rsidRPr="00774F4C" w:rsidRDefault="00086FB8" w:rsidP="008D32BA">
            <w:pPr>
              <w:jc w:val="center"/>
              <w:rPr>
                <w:rFonts w:ascii="Times New Roman" w:hAnsi="Times New Roman"/>
                <w:sz w:val="20"/>
                <w:szCs w:val="20"/>
              </w:rPr>
            </w:pPr>
            <w:bookmarkStart w:id="508" w:name="OLE_LINK2"/>
          </w:p>
        </w:tc>
        <w:tc>
          <w:tcPr>
            <w:tcW w:w="971" w:type="pct"/>
            <w:gridSpan w:val="2"/>
            <w:tcBorders>
              <w:top w:val="single" w:sz="4" w:space="0" w:color="auto"/>
              <w:bottom w:val="single" w:sz="4" w:space="0" w:color="auto"/>
            </w:tcBorders>
            <w:vAlign w:val="bottom"/>
          </w:tcPr>
          <w:p w14:paraId="2E2A7D52"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 xml:space="preserve">  Alle</w:t>
            </w:r>
          </w:p>
        </w:tc>
        <w:tc>
          <w:tcPr>
            <w:tcW w:w="891" w:type="pct"/>
            <w:gridSpan w:val="2"/>
            <w:tcBorders>
              <w:top w:val="single" w:sz="4" w:space="0" w:color="auto"/>
              <w:bottom w:val="single" w:sz="4" w:space="0" w:color="auto"/>
            </w:tcBorders>
            <w:vAlign w:val="bottom"/>
          </w:tcPr>
          <w:p w14:paraId="2F16915A"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I virksomheter med tariffavtale</w:t>
            </w:r>
          </w:p>
        </w:tc>
        <w:tc>
          <w:tcPr>
            <w:tcW w:w="655" w:type="pct"/>
            <w:gridSpan w:val="2"/>
            <w:tcBorders>
              <w:top w:val="single" w:sz="4" w:space="0" w:color="auto"/>
              <w:bottom w:val="single" w:sz="4" w:space="0" w:color="auto"/>
            </w:tcBorders>
            <w:vAlign w:val="bottom"/>
          </w:tcPr>
          <w:p w14:paraId="0FD2E604"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Andel med tariffavtale. Pst.</w:t>
            </w:r>
          </w:p>
        </w:tc>
        <w:tc>
          <w:tcPr>
            <w:tcW w:w="120" w:type="pct"/>
            <w:tcBorders>
              <w:bottom w:val="single" w:sz="4" w:space="0" w:color="auto"/>
            </w:tcBorders>
            <w:vAlign w:val="bottom"/>
          </w:tcPr>
          <w:p w14:paraId="28CEE366" w14:textId="77777777" w:rsidR="00086FB8" w:rsidRPr="00774F4C" w:rsidRDefault="00086FB8" w:rsidP="008D32BA">
            <w:pPr>
              <w:jc w:val="center"/>
              <w:rPr>
                <w:rFonts w:ascii="Times New Roman" w:hAnsi="Times New Roman"/>
                <w:sz w:val="20"/>
                <w:szCs w:val="20"/>
              </w:rPr>
            </w:pPr>
          </w:p>
        </w:tc>
        <w:tc>
          <w:tcPr>
            <w:tcW w:w="655" w:type="pct"/>
            <w:gridSpan w:val="2"/>
            <w:tcBorders>
              <w:top w:val="single" w:sz="4" w:space="0" w:color="auto"/>
              <w:bottom w:val="single" w:sz="4" w:space="0" w:color="auto"/>
            </w:tcBorders>
            <w:vAlign w:val="bottom"/>
          </w:tcPr>
          <w:p w14:paraId="23F67F85"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 xml:space="preserve">         Alle</w:t>
            </w:r>
          </w:p>
        </w:tc>
        <w:tc>
          <w:tcPr>
            <w:tcW w:w="678" w:type="pct"/>
            <w:gridSpan w:val="2"/>
            <w:tcBorders>
              <w:top w:val="single" w:sz="4" w:space="0" w:color="auto"/>
              <w:bottom w:val="single" w:sz="4" w:space="0" w:color="auto"/>
            </w:tcBorders>
            <w:vAlign w:val="bottom"/>
          </w:tcPr>
          <w:p w14:paraId="4286E563" w14:textId="77777777" w:rsidR="00086FB8" w:rsidRPr="00774F4C" w:rsidRDefault="00086FB8" w:rsidP="008D32BA">
            <w:pPr>
              <w:jc w:val="center"/>
              <w:rPr>
                <w:rFonts w:ascii="Times New Roman" w:hAnsi="Times New Roman"/>
                <w:sz w:val="20"/>
                <w:szCs w:val="20"/>
              </w:rPr>
            </w:pPr>
            <w:r w:rsidRPr="00774F4C">
              <w:rPr>
                <w:rFonts w:ascii="Times New Roman" w:hAnsi="Times New Roman"/>
                <w:sz w:val="20"/>
                <w:szCs w:val="20"/>
              </w:rPr>
              <w:t>I virksomheter med tariffavtale</w:t>
            </w:r>
          </w:p>
        </w:tc>
      </w:tr>
      <w:tr w:rsidR="00086FB8" w:rsidRPr="00774F4C" w14:paraId="02F1D73A" w14:textId="77777777" w:rsidTr="008D32BA">
        <w:tc>
          <w:tcPr>
            <w:tcW w:w="1029" w:type="pct"/>
            <w:tcBorders>
              <w:top w:val="single" w:sz="4" w:space="0" w:color="auto"/>
              <w:bottom w:val="single" w:sz="4" w:space="0" w:color="auto"/>
            </w:tcBorders>
            <w:vAlign w:val="bottom"/>
          </w:tcPr>
          <w:p w14:paraId="3D09DDB3" w14:textId="77777777" w:rsidR="00086FB8" w:rsidRPr="00774F4C" w:rsidRDefault="00086FB8" w:rsidP="008D32BA">
            <w:pPr>
              <w:rPr>
                <w:rFonts w:ascii="Times New Roman" w:hAnsi="Times New Roman"/>
                <w:sz w:val="20"/>
                <w:szCs w:val="20"/>
              </w:rPr>
            </w:pPr>
          </w:p>
        </w:tc>
        <w:tc>
          <w:tcPr>
            <w:tcW w:w="433" w:type="pct"/>
            <w:tcBorders>
              <w:top w:val="single" w:sz="4" w:space="0" w:color="auto"/>
              <w:bottom w:val="single" w:sz="4" w:space="0" w:color="auto"/>
            </w:tcBorders>
            <w:vAlign w:val="bottom"/>
          </w:tcPr>
          <w:p w14:paraId="3E8AF3C5"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2003</w:t>
            </w:r>
          </w:p>
        </w:tc>
        <w:tc>
          <w:tcPr>
            <w:tcW w:w="538" w:type="pct"/>
            <w:tcBorders>
              <w:top w:val="single" w:sz="4" w:space="0" w:color="auto"/>
              <w:bottom w:val="single" w:sz="4" w:space="0" w:color="auto"/>
            </w:tcBorders>
            <w:vAlign w:val="bottom"/>
          </w:tcPr>
          <w:p w14:paraId="73B69AF0"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r>
              <w:rPr>
                <w:rFonts w:ascii="Times New Roman" w:hAnsi="Times New Roman"/>
                <w:sz w:val="20"/>
                <w:szCs w:val="20"/>
              </w:rPr>
              <w:t>4</w:t>
            </w:r>
          </w:p>
        </w:tc>
        <w:tc>
          <w:tcPr>
            <w:tcW w:w="354" w:type="pct"/>
            <w:tcBorders>
              <w:top w:val="single" w:sz="4" w:space="0" w:color="auto"/>
              <w:bottom w:val="single" w:sz="4" w:space="0" w:color="auto"/>
            </w:tcBorders>
            <w:vAlign w:val="bottom"/>
          </w:tcPr>
          <w:p w14:paraId="3F62E93E"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2003</w:t>
            </w:r>
          </w:p>
        </w:tc>
        <w:tc>
          <w:tcPr>
            <w:tcW w:w="538" w:type="pct"/>
            <w:tcBorders>
              <w:top w:val="single" w:sz="4" w:space="0" w:color="auto"/>
              <w:bottom w:val="single" w:sz="4" w:space="0" w:color="auto"/>
            </w:tcBorders>
            <w:vAlign w:val="bottom"/>
          </w:tcPr>
          <w:p w14:paraId="509AB355"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r>
              <w:rPr>
                <w:rFonts w:ascii="Times New Roman" w:hAnsi="Times New Roman"/>
                <w:sz w:val="20"/>
                <w:szCs w:val="20"/>
              </w:rPr>
              <w:t>4</w:t>
            </w:r>
          </w:p>
        </w:tc>
        <w:tc>
          <w:tcPr>
            <w:tcW w:w="328" w:type="pct"/>
            <w:tcBorders>
              <w:top w:val="single" w:sz="4" w:space="0" w:color="auto"/>
              <w:bottom w:val="single" w:sz="4" w:space="0" w:color="auto"/>
            </w:tcBorders>
            <w:vAlign w:val="bottom"/>
          </w:tcPr>
          <w:p w14:paraId="59DEAC7A"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2003</w:t>
            </w:r>
          </w:p>
        </w:tc>
        <w:tc>
          <w:tcPr>
            <w:tcW w:w="328" w:type="pct"/>
            <w:tcBorders>
              <w:top w:val="single" w:sz="4" w:space="0" w:color="auto"/>
              <w:bottom w:val="single" w:sz="4" w:space="0" w:color="auto"/>
            </w:tcBorders>
            <w:vAlign w:val="bottom"/>
          </w:tcPr>
          <w:p w14:paraId="4E8BB40A"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r>
              <w:rPr>
                <w:rFonts w:ascii="Times New Roman" w:hAnsi="Times New Roman"/>
                <w:sz w:val="20"/>
                <w:szCs w:val="20"/>
              </w:rPr>
              <w:t>4</w:t>
            </w:r>
          </w:p>
        </w:tc>
        <w:tc>
          <w:tcPr>
            <w:tcW w:w="120" w:type="pct"/>
            <w:tcBorders>
              <w:top w:val="single" w:sz="4" w:space="0" w:color="auto"/>
              <w:bottom w:val="single" w:sz="4" w:space="0" w:color="auto"/>
            </w:tcBorders>
            <w:vAlign w:val="bottom"/>
          </w:tcPr>
          <w:p w14:paraId="6086B6CD" w14:textId="77777777" w:rsidR="00086FB8" w:rsidRPr="00774F4C" w:rsidRDefault="00086FB8" w:rsidP="008D32BA">
            <w:pPr>
              <w:jc w:val="right"/>
              <w:rPr>
                <w:rFonts w:ascii="Times New Roman" w:hAnsi="Times New Roman"/>
                <w:sz w:val="20"/>
                <w:szCs w:val="20"/>
              </w:rPr>
            </w:pPr>
          </w:p>
        </w:tc>
        <w:tc>
          <w:tcPr>
            <w:tcW w:w="328" w:type="pct"/>
            <w:tcBorders>
              <w:top w:val="single" w:sz="4" w:space="0" w:color="auto"/>
              <w:bottom w:val="single" w:sz="4" w:space="0" w:color="auto"/>
            </w:tcBorders>
            <w:vAlign w:val="bottom"/>
          </w:tcPr>
          <w:p w14:paraId="2B1FC824"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2003</w:t>
            </w:r>
          </w:p>
        </w:tc>
        <w:tc>
          <w:tcPr>
            <w:tcW w:w="328" w:type="pct"/>
            <w:tcBorders>
              <w:top w:val="single" w:sz="4" w:space="0" w:color="auto"/>
              <w:bottom w:val="single" w:sz="4" w:space="0" w:color="auto"/>
            </w:tcBorders>
            <w:vAlign w:val="bottom"/>
          </w:tcPr>
          <w:p w14:paraId="7D4DD59B"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r>
              <w:rPr>
                <w:rFonts w:ascii="Times New Roman" w:hAnsi="Times New Roman"/>
                <w:sz w:val="20"/>
                <w:szCs w:val="20"/>
              </w:rPr>
              <w:t>4</w:t>
            </w:r>
          </w:p>
        </w:tc>
        <w:tc>
          <w:tcPr>
            <w:tcW w:w="328" w:type="pct"/>
            <w:tcBorders>
              <w:top w:val="single" w:sz="4" w:space="0" w:color="auto"/>
              <w:bottom w:val="single" w:sz="4" w:space="0" w:color="auto"/>
            </w:tcBorders>
            <w:vAlign w:val="bottom"/>
          </w:tcPr>
          <w:p w14:paraId="2E0894EB"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2003</w:t>
            </w:r>
          </w:p>
        </w:tc>
        <w:tc>
          <w:tcPr>
            <w:tcW w:w="350" w:type="pct"/>
            <w:tcBorders>
              <w:top w:val="single" w:sz="4" w:space="0" w:color="auto"/>
              <w:bottom w:val="single" w:sz="4" w:space="0" w:color="auto"/>
            </w:tcBorders>
            <w:vAlign w:val="bottom"/>
          </w:tcPr>
          <w:p w14:paraId="1A45CDB8"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r>
              <w:rPr>
                <w:rFonts w:ascii="Times New Roman" w:hAnsi="Times New Roman"/>
                <w:sz w:val="20"/>
                <w:szCs w:val="20"/>
              </w:rPr>
              <w:t>4</w:t>
            </w:r>
          </w:p>
        </w:tc>
      </w:tr>
      <w:tr w:rsidR="00086FB8" w:rsidRPr="00774F4C" w14:paraId="75F085C3" w14:textId="77777777" w:rsidTr="008D32BA">
        <w:tc>
          <w:tcPr>
            <w:tcW w:w="1029" w:type="pct"/>
            <w:tcBorders>
              <w:top w:val="single" w:sz="4" w:space="0" w:color="auto"/>
            </w:tcBorders>
            <w:vAlign w:val="bottom"/>
          </w:tcPr>
          <w:p w14:paraId="12DA7536"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Næringslivets Hovedorganisasjon</w:t>
            </w:r>
          </w:p>
        </w:tc>
        <w:tc>
          <w:tcPr>
            <w:tcW w:w="433" w:type="pct"/>
            <w:tcBorders>
              <w:top w:val="single" w:sz="4" w:space="0" w:color="auto"/>
            </w:tcBorders>
            <w:vAlign w:val="bottom"/>
          </w:tcPr>
          <w:p w14:paraId="61CF4161"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503</w:t>
            </w:r>
          </w:p>
        </w:tc>
        <w:tc>
          <w:tcPr>
            <w:tcW w:w="538" w:type="pct"/>
            <w:tcBorders>
              <w:top w:val="single" w:sz="4" w:space="0" w:color="auto"/>
            </w:tcBorders>
            <w:vAlign w:val="bottom"/>
          </w:tcPr>
          <w:p w14:paraId="670C0FE3"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62</w:t>
            </w:r>
            <w:r>
              <w:rPr>
                <w:rFonts w:ascii="Times New Roman" w:hAnsi="Times New Roman"/>
                <w:sz w:val="20"/>
                <w:szCs w:val="20"/>
              </w:rPr>
              <w:t>5</w:t>
            </w:r>
          </w:p>
        </w:tc>
        <w:tc>
          <w:tcPr>
            <w:tcW w:w="354" w:type="pct"/>
            <w:tcBorders>
              <w:top w:val="single" w:sz="4" w:space="0" w:color="auto"/>
            </w:tcBorders>
            <w:vAlign w:val="bottom"/>
          </w:tcPr>
          <w:p w14:paraId="54CA55A6"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389</w:t>
            </w:r>
          </w:p>
        </w:tc>
        <w:tc>
          <w:tcPr>
            <w:tcW w:w="538" w:type="pct"/>
            <w:tcBorders>
              <w:top w:val="single" w:sz="4" w:space="0" w:color="auto"/>
            </w:tcBorders>
            <w:vAlign w:val="bottom"/>
          </w:tcPr>
          <w:p w14:paraId="7144A781"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46</w:t>
            </w:r>
            <w:r>
              <w:rPr>
                <w:rFonts w:ascii="Times New Roman" w:hAnsi="Times New Roman"/>
                <w:sz w:val="20"/>
                <w:szCs w:val="20"/>
              </w:rPr>
              <w:t>7</w:t>
            </w:r>
          </w:p>
        </w:tc>
        <w:tc>
          <w:tcPr>
            <w:tcW w:w="328" w:type="pct"/>
            <w:tcBorders>
              <w:top w:val="single" w:sz="4" w:space="0" w:color="auto"/>
            </w:tcBorders>
            <w:vAlign w:val="bottom"/>
          </w:tcPr>
          <w:p w14:paraId="71DAF6C6"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77</w:t>
            </w:r>
          </w:p>
        </w:tc>
        <w:tc>
          <w:tcPr>
            <w:tcW w:w="328" w:type="pct"/>
            <w:tcBorders>
              <w:top w:val="single" w:sz="4" w:space="0" w:color="auto"/>
            </w:tcBorders>
            <w:vAlign w:val="bottom"/>
          </w:tcPr>
          <w:p w14:paraId="7839EDF5"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7</w:t>
            </w:r>
            <w:r>
              <w:rPr>
                <w:rFonts w:ascii="Times New Roman" w:hAnsi="Times New Roman"/>
                <w:color w:val="000000"/>
                <w:sz w:val="20"/>
                <w:szCs w:val="20"/>
              </w:rPr>
              <w:t>5</w:t>
            </w:r>
          </w:p>
        </w:tc>
        <w:tc>
          <w:tcPr>
            <w:tcW w:w="120" w:type="pct"/>
            <w:tcBorders>
              <w:top w:val="single" w:sz="4" w:space="0" w:color="auto"/>
            </w:tcBorders>
            <w:vAlign w:val="bottom"/>
          </w:tcPr>
          <w:p w14:paraId="616ABCB9" w14:textId="77777777" w:rsidR="00086FB8" w:rsidRPr="00774F4C" w:rsidRDefault="00086FB8" w:rsidP="008D32BA">
            <w:pPr>
              <w:jc w:val="right"/>
              <w:rPr>
                <w:rFonts w:ascii="Times New Roman" w:hAnsi="Times New Roman"/>
                <w:color w:val="000000"/>
                <w:sz w:val="20"/>
                <w:szCs w:val="20"/>
              </w:rPr>
            </w:pPr>
          </w:p>
        </w:tc>
        <w:tc>
          <w:tcPr>
            <w:tcW w:w="328" w:type="pct"/>
            <w:tcBorders>
              <w:top w:val="single" w:sz="4" w:space="0" w:color="auto"/>
            </w:tcBorders>
            <w:vAlign w:val="bottom"/>
          </w:tcPr>
          <w:p w14:paraId="56D6F4A0"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24</w:t>
            </w:r>
          </w:p>
        </w:tc>
        <w:tc>
          <w:tcPr>
            <w:tcW w:w="328" w:type="pct"/>
            <w:tcBorders>
              <w:top w:val="single" w:sz="4" w:space="0" w:color="auto"/>
            </w:tcBorders>
            <w:vAlign w:val="bottom"/>
          </w:tcPr>
          <w:p w14:paraId="0F737BCA"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26</w:t>
            </w:r>
          </w:p>
        </w:tc>
        <w:tc>
          <w:tcPr>
            <w:tcW w:w="328" w:type="pct"/>
            <w:tcBorders>
              <w:top w:val="single" w:sz="4" w:space="0" w:color="auto"/>
            </w:tcBorders>
            <w:vAlign w:val="bottom"/>
          </w:tcPr>
          <w:p w14:paraId="5C60A9CE"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c>
          <w:tcPr>
            <w:tcW w:w="350" w:type="pct"/>
            <w:tcBorders>
              <w:top w:val="single" w:sz="4" w:space="0" w:color="auto"/>
            </w:tcBorders>
            <w:vAlign w:val="bottom"/>
          </w:tcPr>
          <w:p w14:paraId="035F313C"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r>
      <w:tr w:rsidR="00086FB8" w:rsidRPr="00774F4C" w14:paraId="61B0A562" w14:textId="77777777" w:rsidTr="008D32BA">
        <w:tc>
          <w:tcPr>
            <w:tcW w:w="1029" w:type="pct"/>
            <w:vAlign w:val="bottom"/>
          </w:tcPr>
          <w:p w14:paraId="2748882C"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Kommunesektoren</w:t>
            </w:r>
            <w:r w:rsidRPr="00774F4C">
              <w:rPr>
                <w:rStyle w:val="skrift-hevet"/>
                <w:rFonts w:ascii="Times New Roman" w:hAnsi="Times New Roman"/>
                <w:sz w:val="20"/>
                <w:szCs w:val="20"/>
              </w:rPr>
              <w:t>2</w:t>
            </w:r>
          </w:p>
        </w:tc>
        <w:tc>
          <w:tcPr>
            <w:tcW w:w="433" w:type="pct"/>
            <w:vAlign w:val="bottom"/>
          </w:tcPr>
          <w:p w14:paraId="249CBD0E"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393</w:t>
            </w:r>
          </w:p>
        </w:tc>
        <w:tc>
          <w:tcPr>
            <w:tcW w:w="538" w:type="pct"/>
            <w:vAlign w:val="bottom"/>
          </w:tcPr>
          <w:p w14:paraId="2C0D76FD"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47</w:t>
            </w:r>
            <w:r>
              <w:rPr>
                <w:rFonts w:ascii="Times New Roman" w:hAnsi="Times New Roman"/>
                <w:sz w:val="20"/>
                <w:szCs w:val="20"/>
              </w:rPr>
              <w:t>3</w:t>
            </w:r>
          </w:p>
        </w:tc>
        <w:tc>
          <w:tcPr>
            <w:tcW w:w="354" w:type="pct"/>
            <w:vAlign w:val="bottom"/>
          </w:tcPr>
          <w:p w14:paraId="1B9A8488"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393</w:t>
            </w:r>
          </w:p>
        </w:tc>
        <w:tc>
          <w:tcPr>
            <w:tcW w:w="538" w:type="pct"/>
            <w:vAlign w:val="bottom"/>
          </w:tcPr>
          <w:p w14:paraId="11DB06DD"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47</w:t>
            </w:r>
            <w:r>
              <w:rPr>
                <w:rFonts w:ascii="Times New Roman" w:hAnsi="Times New Roman"/>
                <w:sz w:val="20"/>
                <w:szCs w:val="20"/>
              </w:rPr>
              <w:t>3</w:t>
            </w:r>
          </w:p>
        </w:tc>
        <w:tc>
          <w:tcPr>
            <w:tcW w:w="328" w:type="pct"/>
            <w:vAlign w:val="bottom"/>
          </w:tcPr>
          <w:p w14:paraId="1AA2FB45"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28" w:type="pct"/>
            <w:vAlign w:val="bottom"/>
          </w:tcPr>
          <w:p w14:paraId="798E3545"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120" w:type="pct"/>
            <w:vAlign w:val="bottom"/>
          </w:tcPr>
          <w:p w14:paraId="5F9E828A" w14:textId="77777777" w:rsidR="00086FB8" w:rsidRPr="00774F4C" w:rsidRDefault="00086FB8" w:rsidP="008D32BA">
            <w:pPr>
              <w:jc w:val="right"/>
              <w:rPr>
                <w:rFonts w:ascii="Times New Roman" w:hAnsi="Times New Roman"/>
                <w:color w:val="000000"/>
                <w:sz w:val="20"/>
                <w:szCs w:val="20"/>
              </w:rPr>
            </w:pPr>
          </w:p>
        </w:tc>
        <w:tc>
          <w:tcPr>
            <w:tcW w:w="328" w:type="pct"/>
            <w:vAlign w:val="bottom"/>
          </w:tcPr>
          <w:p w14:paraId="5F02C651"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c>
          <w:tcPr>
            <w:tcW w:w="328" w:type="pct"/>
            <w:vAlign w:val="bottom"/>
          </w:tcPr>
          <w:p w14:paraId="087EF7A2"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c>
          <w:tcPr>
            <w:tcW w:w="328" w:type="pct"/>
            <w:vAlign w:val="bottom"/>
          </w:tcPr>
          <w:p w14:paraId="09EEAC0A"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c>
          <w:tcPr>
            <w:tcW w:w="350" w:type="pct"/>
            <w:vAlign w:val="bottom"/>
          </w:tcPr>
          <w:p w14:paraId="244AB93A"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19</w:t>
            </w:r>
          </w:p>
        </w:tc>
      </w:tr>
      <w:tr w:rsidR="00086FB8" w:rsidRPr="00774F4C" w14:paraId="52E9FECF" w14:textId="77777777" w:rsidTr="008D32BA">
        <w:tc>
          <w:tcPr>
            <w:tcW w:w="1029" w:type="pct"/>
            <w:vAlign w:val="bottom"/>
          </w:tcPr>
          <w:p w14:paraId="50C58D19"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Hovedorganisasjonen Virke</w:t>
            </w:r>
          </w:p>
        </w:tc>
        <w:tc>
          <w:tcPr>
            <w:tcW w:w="433" w:type="pct"/>
            <w:vAlign w:val="bottom"/>
          </w:tcPr>
          <w:p w14:paraId="45C2D285"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115</w:t>
            </w:r>
          </w:p>
        </w:tc>
        <w:tc>
          <w:tcPr>
            <w:tcW w:w="538" w:type="pct"/>
            <w:vAlign w:val="bottom"/>
          </w:tcPr>
          <w:p w14:paraId="5E131B5F"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w:t>
            </w:r>
            <w:r>
              <w:rPr>
                <w:rFonts w:ascii="Times New Roman" w:hAnsi="Times New Roman"/>
                <w:sz w:val="20"/>
                <w:szCs w:val="20"/>
              </w:rPr>
              <w:t>20</w:t>
            </w:r>
          </w:p>
        </w:tc>
        <w:tc>
          <w:tcPr>
            <w:tcW w:w="354" w:type="pct"/>
            <w:vAlign w:val="bottom"/>
          </w:tcPr>
          <w:p w14:paraId="1E0DEA4C"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88</w:t>
            </w:r>
          </w:p>
        </w:tc>
        <w:tc>
          <w:tcPr>
            <w:tcW w:w="538" w:type="pct"/>
            <w:vAlign w:val="bottom"/>
          </w:tcPr>
          <w:p w14:paraId="16E236D6"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9</w:t>
            </w:r>
            <w:r>
              <w:rPr>
                <w:rFonts w:ascii="Times New Roman" w:hAnsi="Times New Roman"/>
                <w:sz w:val="20"/>
                <w:szCs w:val="20"/>
              </w:rPr>
              <w:t>0</w:t>
            </w:r>
          </w:p>
        </w:tc>
        <w:tc>
          <w:tcPr>
            <w:tcW w:w="328" w:type="pct"/>
            <w:vAlign w:val="bottom"/>
          </w:tcPr>
          <w:p w14:paraId="7F5E5F51"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77</w:t>
            </w:r>
          </w:p>
        </w:tc>
        <w:tc>
          <w:tcPr>
            <w:tcW w:w="328" w:type="pct"/>
            <w:vAlign w:val="bottom"/>
          </w:tcPr>
          <w:p w14:paraId="627BB3BD"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4</w:t>
            </w:r>
            <w:r>
              <w:rPr>
                <w:rFonts w:ascii="Times New Roman" w:hAnsi="Times New Roman"/>
                <w:color w:val="000000"/>
                <w:sz w:val="20"/>
                <w:szCs w:val="20"/>
              </w:rPr>
              <w:t>1</w:t>
            </w:r>
          </w:p>
        </w:tc>
        <w:tc>
          <w:tcPr>
            <w:tcW w:w="120" w:type="pct"/>
            <w:vAlign w:val="bottom"/>
          </w:tcPr>
          <w:p w14:paraId="3EAB49AE" w14:textId="77777777" w:rsidR="00086FB8" w:rsidRPr="00774F4C" w:rsidRDefault="00086FB8" w:rsidP="008D32BA">
            <w:pPr>
              <w:jc w:val="right"/>
              <w:rPr>
                <w:rFonts w:ascii="Times New Roman" w:hAnsi="Times New Roman"/>
                <w:color w:val="000000"/>
                <w:sz w:val="20"/>
                <w:szCs w:val="20"/>
              </w:rPr>
            </w:pPr>
          </w:p>
        </w:tc>
        <w:tc>
          <w:tcPr>
            <w:tcW w:w="328" w:type="pct"/>
            <w:vAlign w:val="bottom"/>
          </w:tcPr>
          <w:p w14:paraId="4C3660E4"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5</w:t>
            </w:r>
          </w:p>
        </w:tc>
        <w:tc>
          <w:tcPr>
            <w:tcW w:w="328" w:type="pct"/>
            <w:vAlign w:val="bottom"/>
          </w:tcPr>
          <w:p w14:paraId="5D2FEC02"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9</w:t>
            </w:r>
          </w:p>
        </w:tc>
        <w:tc>
          <w:tcPr>
            <w:tcW w:w="328" w:type="pct"/>
            <w:vAlign w:val="bottom"/>
          </w:tcPr>
          <w:p w14:paraId="127DF91F"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4</w:t>
            </w:r>
          </w:p>
        </w:tc>
        <w:tc>
          <w:tcPr>
            <w:tcW w:w="350" w:type="pct"/>
            <w:vAlign w:val="bottom"/>
          </w:tcPr>
          <w:p w14:paraId="05CADF6D"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4</w:t>
            </w:r>
          </w:p>
        </w:tc>
      </w:tr>
      <w:tr w:rsidR="00086FB8" w:rsidRPr="00774F4C" w14:paraId="355ED56C" w14:textId="77777777" w:rsidTr="008D32BA">
        <w:tc>
          <w:tcPr>
            <w:tcW w:w="1029" w:type="pct"/>
            <w:vAlign w:val="bottom"/>
          </w:tcPr>
          <w:p w14:paraId="75E13D76"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Arbeidsgiver</w:t>
            </w:r>
            <w:r>
              <w:rPr>
                <w:rFonts w:ascii="Times New Roman" w:hAnsi="Times New Roman"/>
                <w:sz w:val="20"/>
                <w:szCs w:val="20"/>
              </w:rPr>
              <w:t>-</w:t>
            </w:r>
            <w:r w:rsidRPr="00774F4C">
              <w:rPr>
                <w:rFonts w:ascii="Times New Roman" w:hAnsi="Times New Roman"/>
                <w:sz w:val="20"/>
                <w:szCs w:val="20"/>
              </w:rPr>
              <w:t>foreningen Spekter</w:t>
            </w:r>
          </w:p>
        </w:tc>
        <w:tc>
          <w:tcPr>
            <w:tcW w:w="433" w:type="pct"/>
            <w:vAlign w:val="bottom"/>
          </w:tcPr>
          <w:p w14:paraId="5CFFD825"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165</w:t>
            </w:r>
          </w:p>
        </w:tc>
        <w:tc>
          <w:tcPr>
            <w:tcW w:w="538" w:type="pct"/>
            <w:vAlign w:val="bottom"/>
          </w:tcPr>
          <w:p w14:paraId="5E13DC14"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201</w:t>
            </w:r>
          </w:p>
        </w:tc>
        <w:tc>
          <w:tcPr>
            <w:tcW w:w="354" w:type="pct"/>
            <w:vAlign w:val="bottom"/>
          </w:tcPr>
          <w:p w14:paraId="3AEEE6E6"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165</w:t>
            </w:r>
          </w:p>
        </w:tc>
        <w:tc>
          <w:tcPr>
            <w:tcW w:w="538" w:type="pct"/>
            <w:vAlign w:val="bottom"/>
          </w:tcPr>
          <w:p w14:paraId="7A1CD427" w14:textId="77777777" w:rsidR="00086FB8" w:rsidRPr="00774F4C" w:rsidRDefault="00086FB8" w:rsidP="008D32BA">
            <w:pPr>
              <w:jc w:val="right"/>
              <w:rPr>
                <w:rFonts w:ascii="Times New Roman" w:hAnsi="Times New Roman"/>
                <w:sz w:val="20"/>
                <w:szCs w:val="20"/>
              </w:rPr>
            </w:pPr>
            <w:r>
              <w:rPr>
                <w:rFonts w:ascii="Times New Roman" w:hAnsi="Times New Roman"/>
                <w:sz w:val="20"/>
                <w:szCs w:val="20"/>
              </w:rPr>
              <w:t>200</w:t>
            </w:r>
          </w:p>
        </w:tc>
        <w:tc>
          <w:tcPr>
            <w:tcW w:w="328" w:type="pct"/>
            <w:vAlign w:val="bottom"/>
          </w:tcPr>
          <w:p w14:paraId="3F03CAC3"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28" w:type="pct"/>
            <w:vAlign w:val="bottom"/>
          </w:tcPr>
          <w:p w14:paraId="0F867894"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99</w:t>
            </w:r>
          </w:p>
        </w:tc>
        <w:tc>
          <w:tcPr>
            <w:tcW w:w="120" w:type="pct"/>
            <w:vAlign w:val="bottom"/>
          </w:tcPr>
          <w:p w14:paraId="34CC8229" w14:textId="77777777" w:rsidR="00086FB8" w:rsidRPr="00774F4C" w:rsidRDefault="00086FB8" w:rsidP="008D32BA">
            <w:pPr>
              <w:jc w:val="right"/>
              <w:rPr>
                <w:rFonts w:ascii="Times New Roman" w:hAnsi="Times New Roman"/>
                <w:color w:val="000000"/>
                <w:sz w:val="20"/>
                <w:szCs w:val="20"/>
              </w:rPr>
            </w:pPr>
          </w:p>
        </w:tc>
        <w:tc>
          <w:tcPr>
            <w:tcW w:w="328" w:type="pct"/>
            <w:vAlign w:val="bottom"/>
          </w:tcPr>
          <w:p w14:paraId="24AA21CF"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8</w:t>
            </w:r>
          </w:p>
        </w:tc>
        <w:tc>
          <w:tcPr>
            <w:tcW w:w="328" w:type="pct"/>
            <w:vAlign w:val="bottom"/>
          </w:tcPr>
          <w:p w14:paraId="2DDFBD8B"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8</w:t>
            </w:r>
          </w:p>
        </w:tc>
        <w:tc>
          <w:tcPr>
            <w:tcW w:w="328" w:type="pct"/>
            <w:vAlign w:val="bottom"/>
          </w:tcPr>
          <w:p w14:paraId="7B7751F0"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8</w:t>
            </w:r>
          </w:p>
        </w:tc>
        <w:tc>
          <w:tcPr>
            <w:tcW w:w="350" w:type="pct"/>
            <w:vAlign w:val="bottom"/>
          </w:tcPr>
          <w:p w14:paraId="2B8F593A"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8</w:t>
            </w:r>
          </w:p>
        </w:tc>
      </w:tr>
      <w:tr w:rsidR="00086FB8" w:rsidRPr="00774F4C" w14:paraId="4ED00F8A" w14:textId="77777777" w:rsidTr="008D32BA">
        <w:tc>
          <w:tcPr>
            <w:tcW w:w="1029" w:type="pct"/>
            <w:vAlign w:val="bottom"/>
          </w:tcPr>
          <w:p w14:paraId="122E516D"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Staten som arbeidsgiver</w:t>
            </w:r>
          </w:p>
        </w:tc>
        <w:tc>
          <w:tcPr>
            <w:tcW w:w="433" w:type="pct"/>
            <w:vAlign w:val="bottom"/>
          </w:tcPr>
          <w:p w14:paraId="15F67720"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125</w:t>
            </w:r>
          </w:p>
        </w:tc>
        <w:tc>
          <w:tcPr>
            <w:tcW w:w="538" w:type="pct"/>
            <w:vAlign w:val="bottom"/>
          </w:tcPr>
          <w:p w14:paraId="2B44C6C4"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15</w:t>
            </w:r>
            <w:r>
              <w:rPr>
                <w:rFonts w:ascii="Times New Roman" w:hAnsi="Times New Roman"/>
                <w:sz w:val="20"/>
                <w:szCs w:val="20"/>
              </w:rPr>
              <w:t>3</w:t>
            </w:r>
          </w:p>
        </w:tc>
        <w:tc>
          <w:tcPr>
            <w:tcW w:w="354" w:type="pct"/>
            <w:vAlign w:val="bottom"/>
          </w:tcPr>
          <w:p w14:paraId="088A1344"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125</w:t>
            </w:r>
          </w:p>
        </w:tc>
        <w:tc>
          <w:tcPr>
            <w:tcW w:w="538" w:type="pct"/>
            <w:vAlign w:val="bottom"/>
          </w:tcPr>
          <w:p w14:paraId="3411C4D0"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15</w:t>
            </w:r>
            <w:r>
              <w:rPr>
                <w:rFonts w:ascii="Times New Roman" w:hAnsi="Times New Roman"/>
                <w:sz w:val="20"/>
                <w:szCs w:val="20"/>
              </w:rPr>
              <w:t>3</w:t>
            </w:r>
          </w:p>
        </w:tc>
        <w:tc>
          <w:tcPr>
            <w:tcW w:w="328" w:type="pct"/>
            <w:vAlign w:val="bottom"/>
          </w:tcPr>
          <w:p w14:paraId="28B82061"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328" w:type="pct"/>
            <w:vAlign w:val="bottom"/>
          </w:tcPr>
          <w:p w14:paraId="3ABEE149"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100</w:t>
            </w:r>
          </w:p>
        </w:tc>
        <w:tc>
          <w:tcPr>
            <w:tcW w:w="120" w:type="pct"/>
            <w:vAlign w:val="bottom"/>
          </w:tcPr>
          <w:p w14:paraId="47D58243" w14:textId="77777777" w:rsidR="00086FB8" w:rsidRPr="00774F4C" w:rsidRDefault="00086FB8" w:rsidP="008D32BA">
            <w:pPr>
              <w:jc w:val="right"/>
              <w:rPr>
                <w:rFonts w:ascii="Times New Roman" w:hAnsi="Times New Roman"/>
                <w:color w:val="000000"/>
                <w:sz w:val="20"/>
                <w:szCs w:val="20"/>
              </w:rPr>
            </w:pPr>
          </w:p>
        </w:tc>
        <w:tc>
          <w:tcPr>
            <w:tcW w:w="328" w:type="pct"/>
            <w:vAlign w:val="bottom"/>
          </w:tcPr>
          <w:p w14:paraId="64F32EE3"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p>
        </w:tc>
        <w:tc>
          <w:tcPr>
            <w:tcW w:w="328" w:type="pct"/>
            <w:vAlign w:val="bottom"/>
          </w:tcPr>
          <w:p w14:paraId="605A9F8B"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p>
        </w:tc>
        <w:tc>
          <w:tcPr>
            <w:tcW w:w="328" w:type="pct"/>
            <w:vAlign w:val="bottom"/>
          </w:tcPr>
          <w:p w14:paraId="0FA7729D"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p>
        </w:tc>
        <w:tc>
          <w:tcPr>
            <w:tcW w:w="350" w:type="pct"/>
            <w:vAlign w:val="bottom"/>
          </w:tcPr>
          <w:p w14:paraId="25E49FB8"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p>
        </w:tc>
      </w:tr>
      <w:tr w:rsidR="00086FB8" w:rsidRPr="00774F4C" w14:paraId="77CC4236" w14:textId="77777777" w:rsidTr="008D32BA">
        <w:tc>
          <w:tcPr>
            <w:tcW w:w="1029" w:type="pct"/>
            <w:tcBorders>
              <w:bottom w:val="single" w:sz="4" w:space="0" w:color="auto"/>
            </w:tcBorders>
            <w:vAlign w:val="bottom"/>
          </w:tcPr>
          <w:p w14:paraId="1EF0F5BB" w14:textId="77777777" w:rsidR="00086FB8" w:rsidRPr="00774F4C" w:rsidRDefault="00086FB8" w:rsidP="008D32BA">
            <w:pPr>
              <w:rPr>
                <w:rFonts w:ascii="Times New Roman" w:hAnsi="Times New Roman"/>
                <w:sz w:val="20"/>
                <w:szCs w:val="20"/>
              </w:rPr>
            </w:pPr>
            <w:r>
              <w:rPr>
                <w:rFonts w:ascii="Times New Roman" w:hAnsi="Times New Roman"/>
                <w:sz w:val="20"/>
                <w:szCs w:val="20"/>
              </w:rPr>
              <w:t xml:space="preserve">Øvrige organisasjoner (Norges </w:t>
            </w:r>
            <w:r w:rsidRPr="00774F4C">
              <w:rPr>
                <w:rFonts w:ascii="Times New Roman" w:hAnsi="Times New Roman"/>
                <w:sz w:val="20"/>
                <w:szCs w:val="20"/>
              </w:rPr>
              <w:t>Rederiforbund, Finans Norge m.fl.)</w:t>
            </w:r>
          </w:p>
        </w:tc>
        <w:tc>
          <w:tcPr>
            <w:tcW w:w="433" w:type="pct"/>
            <w:tcBorders>
              <w:bottom w:val="single" w:sz="4" w:space="0" w:color="auto"/>
            </w:tcBorders>
            <w:vAlign w:val="bottom"/>
          </w:tcPr>
          <w:p w14:paraId="1D0FBD2F"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160</w:t>
            </w:r>
          </w:p>
        </w:tc>
        <w:tc>
          <w:tcPr>
            <w:tcW w:w="538" w:type="pct"/>
            <w:tcBorders>
              <w:bottom w:val="single" w:sz="4" w:space="0" w:color="auto"/>
            </w:tcBorders>
            <w:vAlign w:val="bottom"/>
          </w:tcPr>
          <w:p w14:paraId="7FD97B07"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2</w:t>
            </w:r>
            <w:r>
              <w:rPr>
                <w:rFonts w:ascii="Times New Roman" w:hAnsi="Times New Roman"/>
                <w:sz w:val="20"/>
                <w:szCs w:val="20"/>
              </w:rPr>
              <w:t>08</w:t>
            </w:r>
          </w:p>
        </w:tc>
        <w:tc>
          <w:tcPr>
            <w:tcW w:w="354" w:type="pct"/>
            <w:tcBorders>
              <w:bottom w:val="single" w:sz="4" w:space="0" w:color="auto"/>
            </w:tcBorders>
            <w:vAlign w:val="bottom"/>
          </w:tcPr>
          <w:p w14:paraId="5551BC45"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126</w:t>
            </w:r>
          </w:p>
        </w:tc>
        <w:tc>
          <w:tcPr>
            <w:tcW w:w="538" w:type="pct"/>
            <w:tcBorders>
              <w:bottom w:val="single" w:sz="4" w:space="0" w:color="auto"/>
            </w:tcBorders>
            <w:vAlign w:val="bottom"/>
          </w:tcPr>
          <w:p w14:paraId="3BB07F4E"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w:t>
            </w:r>
            <w:r>
              <w:rPr>
                <w:rFonts w:ascii="Times New Roman" w:hAnsi="Times New Roman"/>
                <w:sz w:val="20"/>
                <w:szCs w:val="20"/>
              </w:rPr>
              <w:t>54</w:t>
            </w:r>
          </w:p>
        </w:tc>
        <w:tc>
          <w:tcPr>
            <w:tcW w:w="328" w:type="pct"/>
            <w:tcBorders>
              <w:bottom w:val="single" w:sz="4" w:space="0" w:color="auto"/>
            </w:tcBorders>
            <w:vAlign w:val="bottom"/>
          </w:tcPr>
          <w:p w14:paraId="7D109DD0"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79</w:t>
            </w:r>
          </w:p>
        </w:tc>
        <w:tc>
          <w:tcPr>
            <w:tcW w:w="328" w:type="pct"/>
            <w:tcBorders>
              <w:bottom w:val="single" w:sz="4" w:space="0" w:color="auto"/>
            </w:tcBorders>
            <w:vAlign w:val="bottom"/>
          </w:tcPr>
          <w:p w14:paraId="01832389"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7</w:t>
            </w:r>
            <w:r>
              <w:rPr>
                <w:rFonts w:ascii="Times New Roman" w:hAnsi="Times New Roman"/>
                <w:color w:val="000000"/>
                <w:sz w:val="20"/>
                <w:szCs w:val="20"/>
              </w:rPr>
              <w:t>4</w:t>
            </w:r>
          </w:p>
        </w:tc>
        <w:tc>
          <w:tcPr>
            <w:tcW w:w="120" w:type="pct"/>
            <w:tcBorders>
              <w:bottom w:val="single" w:sz="4" w:space="0" w:color="auto"/>
            </w:tcBorders>
            <w:vAlign w:val="bottom"/>
          </w:tcPr>
          <w:p w14:paraId="1EF6F2B2" w14:textId="77777777" w:rsidR="00086FB8" w:rsidRPr="00774F4C" w:rsidRDefault="00086FB8" w:rsidP="008D32BA">
            <w:pPr>
              <w:jc w:val="right"/>
              <w:rPr>
                <w:rFonts w:ascii="Times New Roman" w:hAnsi="Times New Roman"/>
                <w:color w:val="000000"/>
                <w:sz w:val="20"/>
                <w:szCs w:val="20"/>
              </w:rPr>
            </w:pPr>
          </w:p>
        </w:tc>
        <w:tc>
          <w:tcPr>
            <w:tcW w:w="328" w:type="pct"/>
            <w:tcBorders>
              <w:bottom w:val="single" w:sz="4" w:space="0" w:color="auto"/>
            </w:tcBorders>
            <w:vAlign w:val="bottom"/>
          </w:tcPr>
          <w:p w14:paraId="02C96BCA"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8</w:t>
            </w:r>
          </w:p>
        </w:tc>
        <w:tc>
          <w:tcPr>
            <w:tcW w:w="328" w:type="pct"/>
            <w:tcBorders>
              <w:bottom w:val="single" w:sz="4" w:space="0" w:color="auto"/>
            </w:tcBorders>
            <w:vAlign w:val="bottom"/>
          </w:tcPr>
          <w:p w14:paraId="0438CA30" w14:textId="77777777" w:rsidR="00086FB8" w:rsidRPr="00774F4C" w:rsidRDefault="00086FB8" w:rsidP="008D32BA">
            <w:pPr>
              <w:jc w:val="right"/>
              <w:rPr>
                <w:rFonts w:ascii="Times New Roman" w:hAnsi="Times New Roman"/>
                <w:sz w:val="20"/>
                <w:szCs w:val="20"/>
              </w:rPr>
            </w:pPr>
            <w:r>
              <w:rPr>
                <w:rFonts w:ascii="Times New Roman" w:hAnsi="Times New Roman"/>
                <w:color w:val="000000"/>
                <w:sz w:val="20"/>
                <w:szCs w:val="20"/>
              </w:rPr>
              <w:t>8</w:t>
            </w:r>
          </w:p>
        </w:tc>
        <w:tc>
          <w:tcPr>
            <w:tcW w:w="328" w:type="pct"/>
            <w:tcBorders>
              <w:bottom w:val="single" w:sz="4" w:space="0" w:color="auto"/>
            </w:tcBorders>
            <w:vAlign w:val="bottom"/>
          </w:tcPr>
          <w:p w14:paraId="11B14C34"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p>
        </w:tc>
        <w:tc>
          <w:tcPr>
            <w:tcW w:w="350" w:type="pct"/>
            <w:tcBorders>
              <w:bottom w:val="single" w:sz="4" w:space="0" w:color="auto"/>
            </w:tcBorders>
            <w:vAlign w:val="bottom"/>
          </w:tcPr>
          <w:p w14:paraId="59C50E8E" w14:textId="77777777" w:rsidR="00086FB8" w:rsidRPr="00774F4C" w:rsidRDefault="00086FB8" w:rsidP="008D32BA">
            <w:pPr>
              <w:jc w:val="right"/>
              <w:rPr>
                <w:rFonts w:ascii="Times New Roman" w:hAnsi="Times New Roman"/>
                <w:sz w:val="20"/>
                <w:szCs w:val="20"/>
              </w:rPr>
            </w:pPr>
            <w:r>
              <w:rPr>
                <w:rFonts w:ascii="Times New Roman" w:hAnsi="Times New Roman"/>
                <w:color w:val="000000"/>
                <w:sz w:val="20"/>
                <w:szCs w:val="20"/>
              </w:rPr>
              <w:t>6</w:t>
            </w:r>
          </w:p>
        </w:tc>
      </w:tr>
      <w:tr w:rsidR="00086FB8" w:rsidRPr="00774F4C" w14:paraId="5CF1F07E" w14:textId="77777777" w:rsidTr="008D32BA">
        <w:tc>
          <w:tcPr>
            <w:tcW w:w="1029" w:type="pct"/>
            <w:tcBorders>
              <w:top w:val="single" w:sz="4" w:space="0" w:color="auto"/>
              <w:bottom w:val="single" w:sz="4" w:space="0" w:color="auto"/>
            </w:tcBorders>
            <w:vAlign w:val="bottom"/>
          </w:tcPr>
          <w:p w14:paraId="72150FA5" w14:textId="77777777" w:rsidR="00086FB8" w:rsidRPr="00774F4C" w:rsidRDefault="00086FB8" w:rsidP="008D32BA">
            <w:pPr>
              <w:rPr>
                <w:rFonts w:ascii="Times New Roman" w:hAnsi="Times New Roman"/>
                <w:sz w:val="20"/>
                <w:szCs w:val="20"/>
              </w:rPr>
            </w:pPr>
            <w:r w:rsidRPr="00774F4C">
              <w:rPr>
                <w:rFonts w:ascii="Times New Roman" w:hAnsi="Times New Roman"/>
                <w:sz w:val="20"/>
                <w:szCs w:val="20"/>
              </w:rPr>
              <w:t>Sum</w:t>
            </w:r>
          </w:p>
        </w:tc>
        <w:tc>
          <w:tcPr>
            <w:tcW w:w="433" w:type="pct"/>
            <w:tcBorders>
              <w:top w:val="single" w:sz="4" w:space="0" w:color="auto"/>
              <w:bottom w:val="single" w:sz="4" w:space="0" w:color="auto"/>
            </w:tcBorders>
            <w:vAlign w:val="bottom"/>
          </w:tcPr>
          <w:p w14:paraId="2D061ADD"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1 461</w:t>
            </w:r>
          </w:p>
        </w:tc>
        <w:tc>
          <w:tcPr>
            <w:tcW w:w="538" w:type="pct"/>
            <w:tcBorders>
              <w:top w:val="single" w:sz="4" w:space="0" w:color="auto"/>
              <w:bottom w:val="single" w:sz="4" w:space="0" w:color="auto"/>
            </w:tcBorders>
            <w:vAlign w:val="bottom"/>
          </w:tcPr>
          <w:p w14:paraId="5E4155BE" w14:textId="77777777" w:rsidR="00086FB8" w:rsidRPr="00774F4C" w:rsidRDefault="00086FB8" w:rsidP="008D32BA">
            <w:pPr>
              <w:jc w:val="right"/>
              <w:rPr>
                <w:rFonts w:ascii="Times New Roman" w:hAnsi="Times New Roman"/>
                <w:sz w:val="20"/>
                <w:szCs w:val="20"/>
              </w:rPr>
            </w:pPr>
            <w:r>
              <w:rPr>
                <w:rFonts w:ascii="Times New Roman" w:hAnsi="Times New Roman"/>
                <w:sz w:val="20"/>
                <w:szCs w:val="20"/>
              </w:rPr>
              <w:t>1 880</w:t>
            </w:r>
          </w:p>
        </w:tc>
        <w:tc>
          <w:tcPr>
            <w:tcW w:w="354" w:type="pct"/>
            <w:tcBorders>
              <w:top w:val="single" w:sz="4" w:space="0" w:color="auto"/>
              <w:bottom w:val="single" w:sz="4" w:space="0" w:color="auto"/>
            </w:tcBorders>
            <w:vAlign w:val="bottom"/>
          </w:tcPr>
          <w:p w14:paraId="0B83427A"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1 286</w:t>
            </w:r>
          </w:p>
        </w:tc>
        <w:tc>
          <w:tcPr>
            <w:tcW w:w="538" w:type="pct"/>
            <w:tcBorders>
              <w:top w:val="single" w:sz="4" w:space="0" w:color="auto"/>
              <w:bottom w:val="single" w:sz="4" w:space="0" w:color="auto"/>
            </w:tcBorders>
            <w:vAlign w:val="bottom"/>
          </w:tcPr>
          <w:p w14:paraId="4599FDBD" w14:textId="77777777" w:rsidR="00086FB8" w:rsidRPr="00774F4C" w:rsidRDefault="00086FB8" w:rsidP="008D32BA">
            <w:pPr>
              <w:jc w:val="right"/>
              <w:rPr>
                <w:rFonts w:ascii="Times New Roman" w:hAnsi="Times New Roman"/>
                <w:sz w:val="20"/>
                <w:szCs w:val="20"/>
              </w:rPr>
            </w:pPr>
            <w:r w:rsidRPr="00774F4C">
              <w:rPr>
                <w:rFonts w:ascii="Times New Roman" w:hAnsi="Times New Roman"/>
                <w:sz w:val="20"/>
                <w:szCs w:val="20"/>
              </w:rPr>
              <w:t>1 5</w:t>
            </w:r>
            <w:r>
              <w:rPr>
                <w:rFonts w:ascii="Times New Roman" w:hAnsi="Times New Roman"/>
                <w:sz w:val="20"/>
                <w:szCs w:val="20"/>
              </w:rPr>
              <w:t>37</w:t>
            </w:r>
          </w:p>
        </w:tc>
        <w:tc>
          <w:tcPr>
            <w:tcW w:w="328" w:type="pct"/>
            <w:tcBorders>
              <w:top w:val="single" w:sz="4" w:space="0" w:color="auto"/>
              <w:bottom w:val="single" w:sz="4" w:space="0" w:color="auto"/>
            </w:tcBorders>
            <w:vAlign w:val="bottom"/>
          </w:tcPr>
          <w:p w14:paraId="3FA81713"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88</w:t>
            </w:r>
          </w:p>
        </w:tc>
        <w:tc>
          <w:tcPr>
            <w:tcW w:w="328" w:type="pct"/>
            <w:tcBorders>
              <w:top w:val="single" w:sz="4" w:space="0" w:color="auto"/>
              <w:bottom w:val="single" w:sz="4" w:space="0" w:color="auto"/>
            </w:tcBorders>
            <w:vAlign w:val="bottom"/>
          </w:tcPr>
          <w:p w14:paraId="2E89FE75" w14:textId="77777777" w:rsidR="00086FB8" w:rsidRPr="00774F4C" w:rsidRDefault="00086FB8" w:rsidP="008D32BA">
            <w:pPr>
              <w:jc w:val="right"/>
              <w:rPr>
                <w:rFonts w:ascii="Times New Roman" w:hAnsi="Times New Roman"/>
                <w:color w:val="000000"/>
                <w:sz w:val="20"/>
                <w:szCs w:val="20"/>
              </w:rPr>
            </w:pPr>
            <w:r w:rsidRPr="00774F4C">
              <w:rPr>
                <w:rFonts w:ascii="Times New Roman" w:hAnsi="Times New Roman"/>
                <w:color w:val="000000"/>
                <w:sz w:val="20"/>
                <w:szCs w:val="20"/>
              </w:rPr>
              <w:t>8</w:t>
            </w:r>
            <w:r>
              <w:rPr>
                <w:rFonts w:ascii="Times New Roman" w:hAnsi="Times New Roman"/>
                <w:color w:val="000000"/>
                <w:sz w:val="20"/>
                <w:szCs w:val="20"/>
              </w:rPr>
              <w:t>2</w:t>
            </w:r>
          </w:p>
        </w:tc>
        <w:tc>
          <w:tcPr>
            <w:tcW w:w="120" w:type="pct"/>
            <w:tcBorders>
              <w:top w:val="single" w:sz="4" w:space="0" w:color="auto"/>
              <w:bottom w:val="single" w:sz="4" w:space="0" w:color="auto"/>
            </w:tcBorders>
            <w:vAlign w:val="bottom"/>
          </w:tcPr>
          <w:p w14:paraId="7EF39E13" w14:textId="77777777" w:rsidR="00086FB8" w:rsidRPr="00774F4C" w:rsidRDefault="00086FB8" w:rsidP="008D32BA">
            <w:pPr>
              <w:jc w:val="right"/>
              <w:rPr>
                <w:rFonts w:ascii="Times New Roman" w:hAnsi="Times New Roman"/>
                <w:color w:val="000000"/>
                <w:sz w:val="20"/>
                <w:szCs w:val="20"/>
              </w:rPr>
            </w:pPr>
          </w:p>
        </w:tc>
        <w:tc>
          <w:tcPr>
            <w:tcW w:w="328" w:type="pct"/>
            <w:tcBorders>
              <w:top w:val="single" w:sz="4" w:space="0" w:color="auto"/>
              <w:bottom w:val="single" w:sz="4" w:space="0" w:color="auto"/>
            </w:tcBorders>
            <w:vAlign w:val="bottom"/>
          </w:tcPr>
          <w:p w14:paraId="63043B5B"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70</w:t>
            </w:r>
          </w:p>
        </w:tc>
        <w:tc>
          <w:tcPr>
            <w:tcW w:w="328" w:type="pct"/>
            <w:tcBorders>
              <w:top w:val="single" w:sz="4" w:space="0" w:color="auto"/>
              <w:bottom w:val="single" w:sz="4" w:space="0" w:color="auto"/>
            </w:tcBorders>
            <w:vAlign w:val="bottom"/>
          </w:tcPr>
          <w:p w14:paraId="34660706"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77</w:t>
            </w:r>
          </w:p>
        </w:tc>
        <w:tc>
          <w:tcPr>
            <w:tcW w:w="328" w:type="pct"/>
            <w:tcBorders>
              <w:top w:val="single" w:sz="4" w:space="0" w:color="auto"/>
              <w:bottom w:val="single" w:sz="4" w:space="0" w:color="auto"/>
            </w:tcBorders>
            <w:vAlign w:val="bottom"/>
          </w:tcPr>
          <w:p w14:paraId="49283969"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61</w:t>
            </w:r>
          </w:p>
        </w:tc>
        <w:tc>
          <w:tcPr>
            <w:tcW w:w="350" w:type="pct"/>
            <w:tcBorders>
              <w:top w:val="single" w:sz="4" w:space="0" w:color="auto"/>
              <w:bottom w:val="single" w:sz="4" w:space="0" w:color="auto"/>
            </w:tcBorders>
            <w:vAlign w:val="bottom"/>
          </w:tcPr>
          <w:p w14:paraId="272F4EE2" w14:textId="77777777" w:rsidR="00086FB8" w:rsidRPr="00774F4C" w:rsidRDefault="00086FB8" w:rsidP="008D32BA">
            <w:pPr>
              <w:jc w:val="right"/>
              <w:rPr>
                <w:rFonts w:ascii="Times New Roman" w:hAnsi="Times New Roman"/>
                <w:sz w:val="20"/>
                <w:szCs w:val="20"/>
              </w:rPr>
            </w:pPr>
            <w:r w:rsidRPr="00774F4C">
              <w:rPr>
                <w:rFonts w:ascii="Times New Roman" w:hAnsi="Times New Roman"/>
                <w:color w:val="000000"/>
                <w:sz w:val="20"/>
                <w:szCs w:val="20"/>
              </w:rPr>
              <w:t>6</w:t>
            </w:r>
            <w:r>
              <w:rPr>
                <w:rFonts w:ascii="Times New Roman" w:hAnsi="Times New Roman"/>
                <w:color w:val="000000"/>
                <w:sz w:val="20"/>
                <w:szCs w:val="20"/>
              </w:rPr>
              <w:t>3</w:t>
            </w:r>
          </w:p>
        </w:tc>
      </w:tr>
    </w:tbl>
    <w:bookmarkEnd w:id="507"/>
    <w:bookmarkEnd w:id="508"/>
    <w:p w14:paraId="48A3FB0C" w14:textId="77777777" w:rsidR="00086FB8" w:rsidRPr="00AA057C" w:rsidRDefault="00086FB8" w:rsidP="003F5F82">
      <w:pPr>
        <w:pStyle w:val="Nummerertliste"/>
        <w:numPr>
          <w:ilvl w:val="0"/>
          <w:numId w:val="58"/>
        </w:numPr>
        <w:tabs>
          <w:tab w:val="clear" w:pos="397"/>
          <w:tab w:val="num" w:pos="142"/>
        </w:tabs>
        <w:ind w:left="142" w:hanging="142"/>
        <w:rPr>
          <w:sz w:val="20"/>
        </w:rPr>
      </w:pPr>
      <w:r w:rsidRPr="00AA057C">
        <w:rPr>
          <w:sz w:val="20"/>
        </w:rPr>
        <w:t>Andelen deltidsansatte varierer mellom organisasjonene/virksomhetene. Det er mange deltidsansatte i kommunene, Virkeområdet og i helseforetakene. Stillingsandel eller deltidsbrøk kan også variere mellom områdene.</w:t>
      </w:r>
      <w:r>
        <w:rPr>
          <w:sz w:val="20"/>
        </w:rPr>
        <w:t xml:space="preserve"> Regnet i årsverk kan forholdet mellom sysselsettingen i de ulike områdene endres. </w:t>
      </w:r>
    </w:p>
    <w:p w14:paraId="55E2DD11" w14:textId="77777777" w:rsidR="00086FB8" w:rsidRPr="00AA057C" w:rsidRDefault="00086FB8" w:rsidP="003F5F82">
      <w:pPr>
        <w:pStyle w:val="Nummerertliste"/>
        <w:numPr>
          <w:ilvl w:val="0"/>
          <w:numId w:val="58"/>
        </w:numPr>
        <w:tabs>
          <w:tab w:val="clear" w:pos="397"/>
          <w:tab w:val="num" w:pos="142"/>
        </w:tabs>
        <w:ind w:left="142" w:hanging="142"/>
        <w:rPr>
          <w:sz w:val="20"/>
        </w:rPr>
      </w:pPr>
      <w:r w:rsidRPr="00AA057C">
        <w:rPr>
          <w:sz w:val="20"/>
        </w:rPr>
        <w:t>Omfatter ansatte i kommunene inklusive Oslo kommune, fylkeskommunene og andre virksomheter som er medlemmer i KS, herunder bedriftsmedlemmer.</w:t>
      </w:r>
    </w:p>
    <w:p w14:paraId="7B47A99E" w14:textId="77777777" w:rsidR="00086FB8" w:rsidRPr="0046091B" w:rsidRDefault="00086FB8" w:rsidP="00086FB8">
      <w:pPr>
        <w:pStyle w:val="Kilde"/>
      </w:pPr>
      <w:r w:rsidRPr="0046091B">
        <w:t>Kilde</w:t>
      </w:r>
      <w:r>
        <w:t>r</w:t>
      </w:r>
      <w:r w:rsidRPr="0046091B">
        <w:t xml:space="preserve">: </w:t>
      </w:r>
      <w:r>
        <w:t>Statistisk sentralbyrå og Beregningsutvalget.</w:t>
      </w:r>
    </w:p>
    <w:p w14:paraId="07430771" w14:textId="77777777" w:rsidR="00086FB8" w:rsidRPr="00462BBE" w:rsidRDefault="00086FB8" w:rsidP="008643D6">
      <w:pPr>
        <w:pStyle w:val="Overskrift2"/>
        <w:numPr>
          <w:ilvl w:val="1"/>
          <w:numId w:val="60"/>
        </w:numPr>
        <w:ind w:left="567" w:hanging="567"/>
      </w:pPr>
      <w:bookmarkStart w:id="509" w:name="_Toc383961414"/>
      <w:bookmarkStart w:id="510" w:name="_Toc411761957"/>
      <w:bookmarkStart w:id="511" w:name="_Toc411849515"/>
      <w:bookmarkStart w:id="512" w:name="_Toc415240818"/>
      <w:bookmarkStart w:id="513" w:name="_Toc443829095"/>
      <w:bookmarkStart w:id="514" w:name="_Toc443843752"/>
      <w:bookmarkStart w:id="515" w:name="_Toc443844284"/>
      <w:bookmarkStart w:id="516" w:name="_Toc443999024"/>
      <w:r w:rsidRPr="00462BBE">
        <w:t>Tariffavtalene</w:t>
      </w:r>
      <w:bookmarkEnd w:id="509"/>
      <w:bookmarkEnd w:id="510"/>
      <w:bookmarkEnd w:id="511"/>
      <w:bookmarkEnd w:id="512"/>
      <w:bookmarkEnd w:id="513"/>
      <w:bookmarkEnd w:id="514"/>
      <w:bookmarkEnd w:id="515"/>
      <w:bookmarkEnd w:id="516"/>
    </w:p>
    <w:p w14:paraId="3181230A" w14:textId="77777777" w:rsidR="00086FB8" w:rsidRDefault="00086FB8" w:rsidP="00086FB8">
      <w:r w:rsidRPr="00C60B1A">
        <w:t>En tariffavtale er en kollektiv regulering av lønns- og arbeidsvilkår. Tariffavtaler inngås mellom en fagforening og en arbeidsgiver eller arbeidsgiverforening</w:t>
      </w:r>
      <w:r>
        <w:t>,</w:t>
      </w:r>
      <w:r w:rsidRPr="00C60B1A">
        <w:t xml:space="preserve"> og er bindende for avtalens parter og deres medlemmer. Tariffavtalene har derfor </w:t>
      </w:r>
      <w:r>
        <w:t xml:space="preserve">fundamental </w:t>
      </w:r>
      <w:r w:rsidRPr="00C60B1A">
        <w:t>betydning for lønnsdannelsen i Norge. I tillegg til lønn, regulerer tariffavtalene også bestemmelser om forhold som sosiale rettigheter, pensjon for de som har dette avtalefestet, arbeidstidsspørsmål, samt</w:t>
      </w:r>
      <w:r w:rsidRPr="00C60B1A">
        <w:rPr>
          <w:rFonts w:ascii="Droid Serif" w:hAnsi="Droid Serif"/>
        </w:rPr>
        <w:t xml:space="preserve"> oppsigelsesfrister, medbestemmelse og permittering. Hva som inngår</w:t>
      </w:r>
      <w:r>
        <w:rPr>
          <w:rFonts w:ascii="Droid Serif" w:hAnsi="Droid Serif"/>
        </w:rPr>
        <w:t>,</w:t>
      </w:r>
      <w:r w:rsidRPr="00C60B1A">
        <w:rPr>
          <w:rFonts w:ascii="Droid Serif" w:hAnsi="Droid Serif"/>
        </w:rPr>
        <w:t xml:space="preserve"> varierer mellom de ulike tariffavtalene.</w:t>
      </w:r>
      <w:r w:rsidRPr="00C60B1A">
        <w:t xml:space="preserve"> Avtalene inngås på ulike nivåer i de ulike sektorene; mellom arbeidstakernes hovedorganisasjoner og en arbeidsgiverforening, mellom et fagforbund og en arbeidsgiverorganisasjon på bransjenivå</w:t>
      </w:r>
      <w:r>
        <w:t>,</w:t>
      </w:r>
      <w:r w:rsidRPr="00C60B1A">
        <w:t xml:space="preserve"> eller mellom bedriftsledelsen og forbundenes tillitsvalgte. </w:t>
      </w:r>
    </w:p>
    <w:p w14:paraId="4229F7D2" w14:textId="77777777" w:rsidR="00086FB8" w:rsidRDefault="00086FB8" w:rsidP="00086FB8">
      <w:r w:rsidRPr="004B6488">
        <w:t>Tariffavtalene har ulike prinsipper for fastsettelse av lønn og lønnsutvikling, der det sentrale skillet er om reguleringen skjer på sentralt eller lokalt nivå, eller i kombinasjoner</w:t>
      </w:r>
      <w:r>
        <w:t xml:space="preserve"> av disse</w:t>
      </w:r>
      <w:r w:rsidRPr="004B6488">
        <w:t>. Konfliktretten i tradisjonell forstand ligger som hovedregel på sentralt nivå. Det kan i hovedsak skilles mellom tre hovedtyper tariffavtaler:</w:t>
      </w:r>
    </w:p>
    <w:p w14:paraId="5F150E2D" w14:textId="77777777" w:rsidR="00086FB8" w:rsidRDefault="00086FB8" w:rsidP="00086FB8">
      <w:pPr>
        <w:pStyle w:val="NormalWeb"/>
        <w:spacing w:after="0"/>
      </w:pPr>
    </w:p>
    <w:p w14:paraId="45CDBAD9" w14:textId="77777777" w:rsidR="00086FB8" w:rsidRPr="007E79D8" w:rsidRDefault="00086FB8" w:rsidP="008643D6">
      <w:pPr>
        <w:pStyle w:val="Nummerertliste2"/>
        <w:numPr>
          <w:ilvl w:val="1"/>
          <w:numId w:val="56"/>
        </w:numPr>
        <w:rPr>
          <w:rStyle w:val="kursiv"/>
        </w:rPr>
      </w:pPr>
      <w:r w:rsidRPr="007E79D8">
        <w:rPr>
          <w:rStyle w:val="kursiv"/>
        </w:rPr>
        <w:t xml:space="preserve">Minstelønnsavtaler </w:t>
      </w:r>
    </w:p>
    <w:p w14:paraId="00860342" w14:textId="77777777" w:rsidR="00086FB8" w:rsidRDefault="00086FB8" w:rsidP="00086FB8">
      <w:r w:rsidRPr="002B0D4E">
        <w:t>Minstelønnsavtale</w:t>
      </w:r>
      <w:r>
        <w:t>r</w:t>
      </w:r>
      <w:r w:rsidRPr="002B0D4E">
        <w:t xml:space="preserve"> er den vanligste </w:t>
      </w:r>
      <w:r>
        <w:t xml:space="preserve">lønnsfastsettende mekanismen i </w:t>
      </w:r>
      <w:r w:rsidRPr="002B0D4E">
        <w:t>tariffavtale</w:t>
      </w:r>
      <w:r>
        <w:t>ne</w:t>
      </w:r>
      <w:r w:rsidRPr="002B0D4E">
        <w:t xml:space="preserve"> i privat sektor</w:t>
      </w:r>
      <w:r>
        <w:t>, særlig blant arbeidere</w:t>
      </w:r>
      <w:r w:rsidRPr="00C007FE">
        <w:t>.</w:t>
      </w:r>
      <w:r>
        <w:t xml:space="preserve"> Minstelønnsavtaler</w:t>
      </w:r>
      <w:r w:rsidRPr="002B0D4E">
        <w:t xml:space="preserve"> fastsetter minimumsavlønning for ulike kategorier av arbeidstakere. I tillegg forhandles det lokal</w:t>
      </w:r>
      <w:r>
        <w:t>t</w:t>
      </w:r>
      <w:r w:rsidRPr="002B0D4E">
        <w:t xml:space="preserve"> </w:t>
      </w:r>
      <w:r>
        <w:t xml:space="preserve">i bedriftene/virksomhetene om </w:t>
      </w:r>
      <w:r w:rsidRPr="002B0D4E">
        <w:t xml:space="preserve">tillegg. Den vanligste måten å </w:t>
      </w:r>
      <w:r>
        <w:t>utforme</w:t>
      </w:r>
      <w:r w:rsidRPr="002B0D4E">
        <w:t xml:space="preserve"> lokale tillegg </w:t>
      </w:r>
      <w:r>
        <w:t xml:space="preserve">på </w:t>
      </w:r>
      <w:r w:rsidRPr="002B0D4E">
        <w:t xml:space="preserve">er etter </w:t>
      </w:r>
      <w:r>
        <w:t>”</w:t>
      </w:r>
      <w:r w:rsidRPr="002B0D4E">
        <w:t>de fire kriteriene</w:t>
      </w:r>
      <w:r>
        <w:t>”</w:t>
      </w:r>
      <w:r w:rsidRPr="002B0D4E">
        <w:t xml:space="preserve"> virksomhetens økonomi, produktivitet, framtidsutsikter og konkurranseevne.</w:t>
      </w:r>
      <w:r w:rsidRPr="008F15B5">
        <w:rPr>
          <w:rStyle w:val="Fotnotereferanse"/>
        </w:rPr>
        <w:t xml:space="preserve"> </w:t>
      </w:r>
      <w:r>
        <w:t xml:space="preserve">I Industrioverenskomsten er det i tillegg et femte kriterium: den aktuelle arbeidskraftsituasjonen. </w:t>
      </w:r>
    </w:p>
    <w:p w14:paraId="3037A816" w14:textId="77777777" w:rsidR="00086FB8" w:rsidRPr="00FD605A" w:rsidRDefault="00086FB8" w:rsidP="00086FB8">
      <w:r w:rsidRPr="00FD605A">
        <w:t>Det er stor forskjell på minstelønnsavtalene mellom ulike 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623814CE" w14:textId="77777777" w:rsidR="00086FB8" w:rsidRPr="00FD605A" w:rsidRDefault="00086FB8" w:rsidP="00086FB8">
      <w:r w:rsidRPr="00FD605A">
        <w:t xml:space="preserve">Lønnssystemet i kommunesektoren er også et minstelønnssystem </w:t>
      </w:r>
      <w:r>
        <w:t xml:space="preserve">eller garantilønnssystem </w:t>
      </w:r>
      <w:r w:rsidRPr="00FD605A">
        <w:t>for de fleste arbeidstakergruppe</w:t>
      </w:r>
      <w:r>
        <w:t>ne</w:t>
      </w:r>
      <w:r w:rsidRPr="00FD605A">
        <w:t xml:space="preserve">, men i motsetning til i minstelønnsavtaleområder i privat sektor blir rammene for de lokale tilleggene fastsatt i de sentrale forhandlingene. </w:t>
      </w:r>
    </w:p>
    <w:p w14:paraId="1C830CC0" w14:textId="77777777" w:rsidR="00086FB8" w:rsidRDefault="00086FB8" w:rsidP="00086FB8">
      <w:pPr>
        <w:spacing w:after="0"/>
      </w:pPr>
    </w:p>
    <w:p w14:paraId="6A8CDEBD" w14:textId="77777777" w:rsidR="00086FB8" w:rsidRPr="00F93CAF" w:rsidRDefault="00086FB8" w:rsidP="008643D6">
      <w:pPr>
        <w:pStyle w:val="Nummerertliste2"/>
        <w:numPr>
          <w:ilvl w:val="1"/>
          <w:numId w:val="56"/>
        </w:numPr>
        <w:rPr>
          <w:rStyle w:val="kursiv"/>
        </w:rPr>
      </w:pPr>
      <w:r w:rsidRPr="00F93CAF">
        <w:rPr>
          <w:rStyle w:val="kursiv"/>
        </w:rPr>
        <w:t>Normallønnsavtaler</w:t>
      </w:r>
    </w:p>
    <w:p w14:paraId="3949F352" w14:textId="77777777" w:rsidR="00086FB8" w:rsidRDefault="00086FB8" w:rsidP="00086FB8">
      <w:r>
        <w:t>N</w:t>
      </w:r>
      <w:r w:rsidRPr="004B0006">
        <w:t>ormallønnsavtaler regulere</w:t>
      </w:r>
      <w:r>
        <w:t>r</w:t>
      </w:r>
      <w:r w:rsidRPr="004B0006">
        <w:t xml:space="preserve"> </w:t>
      </w:r>
      <w:r>
        <w:t xml:space="preserve">både </w:t>
      </w:r>
      <w:r w:rsidRPr="004B0006">
        <w:t xml:space="preserve">nivå og endringer i forbindelse med tariffoppgjør. Lønnsfastsettelsen </w:t>
      </w:r>
      <w:r>
        <w:t>i slike avtaler</w:t>
      </w:r>
      <w:r w:rsidRPr="004B0006">
        <w:t xml:space="preserve"> er dermed </w:t>
      </w:r>
      <w:r>
        <w:t>i det alt vesentligste</w:t>
      </w:r>
      <w:r w:rsidRPr="004B0006">
        <w:t xml:space="preserve"> sentralisert. </w:t>
      </w:r>
      <w:r w:rsidRPr="00D87BA1">
        <w:t>Tariffavtaler med fas</w:t>
      </w:r>
      <w:r>
        <w:t xml:space="preserve">t lønnsregulativ kalles ofte </w:t>
      </w:r>
      <w:r w:rsidRPr="00D87BA1">
        <w:t>normallønnsavtale</w:t>
      </w:r>
      <w:r>
        <w:t>r</w:t>
      </w:r>
      <w:r w:rsidRPr="00D87BA1">
        <w:t>. Slike avtaler forutsetter i utgangspunktet at det ikke skal avtales tillegg utover normallønnen.</w:t>
      </w:r>
      <w:r>
        <w:t xml:space="preserve"> </w:t>
      </w:r>
      <w:r w:rsidRPr="00C007FE">
        <w:t>Staten og Oslo kommune har normallønnsavtaler</w:t>
      </w:r>
      <w:r w:rsidRPr="00D87BA1">
        <w:t>, men også deler av privat sektor</w:t>
      </w:r>
      <w:r>
        <w:t>, som bussbransjen, renhold, hotell- og restaurantvirksomhet (Riksavtalen), elektrofag og vektere</w:t>
      </w:r>
      <w:r w:rsidRPr="00026CD5">
        <w:t xml:space="preserve"> </w:t>
      </w:r>
      <w:r>
        <w:t xml:space="preserve">har slike avtaler. </w:t>
      </w:r>
      <w:r w:rsidRPr="00351012">
        <w:rPr>
          <w:color w:val="505050"/>
        </w:rPr>
        <w:t xml:space="preserve"> </w:t>
      </w:r>
    </w:p>
    <w:p w14:paraId="65085186" w14:textId="77777777" w:rsidR="00086FB8" w:rsidRDefault="00086FB8" w:rsidP="00086FB8">
      <w:pPr>
        <w:spacing w:after="0"/>
      </w:pPr>
    </w:p>
    <w:p w14:paraId="0B2C7F7D" w14:textId="77777777" w:rsidR="00086FB8" w:rsidRPr="0052707B" w:rsidRDefault="00086FB8" w:rsidP="008643D6">
      <w:pPr>
        <w:pStyle w:val="Nummerertliste2"/>
        <w:numPr>
          <w:ilvl w:val="1"/>
          <w:numId w:val="56"/>
        </w:numPr>
        <w:rPr>
          <w:i/>
        </w:rPr>
      </w:pPr>
      <w:r w:rsidRPr="0052707B">
        <w:rPr>
          <w:i/>
        </w:rPr>
        <w:t>Avtaler uten sentrale lønnsbestemmelser</w:t>
      </w:r>
    </w:p>
    <w:p w14:paraId="452390E9" w14:textId="77777777" w:rsidR="00086FB8" w:rsidRDefault="00086FB8" w:rsidP="00086FB8">
      <w:r w:rsidRPr="00B74C83">
        <w:t xml:space="preserve">I avtaler uten sentrale lønnsbestemmelser foregår lønnsfastsettelsen i sin helhet lokalt, med unntak for enkelte tariffavtaler for funksjonærer i YS-forbund. Avtaler uten sentrale lønnsbestemmelser er dominerende blant annet for funksjonærgrupper med lang utdanning i privat sektor og for YS´ funksjonæravtaler med NHO. Det inngås også funksjonæravtaler mellom sentrale parter, men disse er snarere prosedyreregler for hvordan lønns- og arbeidsvilkår kan bestemmes i den enkelte bedrift, både som kollektive og individuelle avtaler. </w:t>
      </w:r>
      <w:r>
        <w:br/>
      </w:r>
    </w:p>
    <w:p w14:paraId="007B24D2" w14:textId="77777777" w:rsidR="00086FB8" w:rsidRPr="00574AD5" w:rsidRDefault="00086FB8" w:rsidP="008643D6">
      <w:pPr>
        <w:pStyle w:val="Overskrift3"/>
        <w:numPr>
          <w:ilvl w:val="2"/>
          <w:numId w:val="60"/>
        </w:numPr>
        <w:spacing w:before="0" w:after="0"/>
        <w:ind w:left="851" w:hanging="851"/>
      </w:pPr>
      <w:bookmarkStart w:id="517" w:name="_Toc415240819"/>
      <w:bookmarkStart w:id="518" w:name="_Toc443829096"/>
      <w:bookmarkStart w:id="519" w:name="_Toc443843753"/>
      <w:bookmarkStart w:id="520" w:name="_Toc443844285"/>
      <w:bookmarkStart w:id="521" w:name="_Toc443999025"/>
      <w:r>
        <w:t>Fordelingen mellom sentrale og lokale lønnstillegg</w:t>
      </w:r>
      <w:bookmarkEnd w:id="517"/>
      <w:bookmarkEnd w:id="518"/>
      <w:bookmarkEnd w:id="519"/>
      <w:bookmarkEnd w:id="520"/>
      <w:bookmarkEnd w:id="521"/>
    </w:p>
    <w:p w14:paraId="0F404E87" w14:textId="379D601A" w:rsidR="00086FB8" w:rsidRPr="00C162BB" w:rsidRDefault="00086FB8" w:rsidP="00086FB8">
      <w:r w:rsidRPr="00C162BB">
        <w:t>I industrien bygger minstelønnsavtalene på at</w:t>
      </w:r>
      <w:r>
        <w:t xml:space="preserve"> </w:t>
      </w:r>
      <w:r w:rsidRPr="00C162BB">
        <w:t>mye av lønnsdannelsen skal foregå i den enkelte</w:t>
      </w:r>
      <w:r>
        <w:t xml:space="preserve"> </w:t>
      </w:r>
      <w:r w:rsidRPr="00C162BB">
        <w:t>virksomhet</w:t>
      </w:r>
      <w:r>
        <w:t>, jf. de fire kriteriene</w:t>
      </w:r>
      <w:r w:rsidRPr="00C162BB">
        <w:t>.</w:t>
      </w:r>
      <w:r>
        <w:t xml:space="preserve"> For industriarbeidere har i </w:t>
      </w:r>
      <w:r w:rsidR="0022390E">
        <w:t>gjennomsnitt</w:t>
      </w:r>
      <w:r>
        <w:t xml:space="preserve"> d</w:t>
      </w:r>
      <w:r w:rsidRPr="00C162BB">
        <w:t xml:space="preserve">e siste </w:t>
      </w:r>
      <w:r>
        <w:t>ti</w:t>
      </w:r>
      <w:r w:rsidRPr="00C162BB">
        <w:t>årene om lag</w:t>
      </w:r>
      <w:r>
        <w:t xml:space="preserve"> 28</w:t>
      </w:r>
      <w:r w:rsidRPr="00C162BB">
        <w:t xml:space="preserve"> </w:t>
      </w:r>
      <w:r>
        <w:t>prosent</w:t>
      </w:r>
      <w:r w:rsidRPr="00C162BB">
        <w:t xml:space="preserve"> </w:t>
      </w:r>
      <w:r>
        <w:t xml:space="preserve">av samlet lønnsvekst kommet </w:t>
      </w:r>
      <w:r w:rsidRPr="00C162BB">
        <w:t>gjennom</w:t>
      </w:r>
      <w:r>
        <w:t xml:space="preserve"> </w:t>
      </w:r>
      <w:r w:rsidRPr="00C162BB">
        <w:t>sentralt avtalte tillegg</w:t>
      </w:r>
      <w:r>
        <w:t xml:space="preserve"> det enkelte år</w:t>
      </w:r>
      <w:r w:rsidRPr="00C162BB">
        <w:t>. For industrifunksjonærer</w:t>
      </w:r>
      <w:r>
        <w:t xml:space="preserve"> </w:t>
      </w:r>
      <w:r w:rsidRPr="00C162BB">
        <w:t xml:space="preserve">i NHO-området </w:t>
      </w:r>
      <w:r>
        <w:t xml:space="preserve">følger LO-delen (kan utgjøre om lag 10 prosent) de sentrale tillegg i LO-NHO-området ellers, mens det for øvrig </w:t>
      </w:r>
      <w:r w:rsidRPr="00C162BB">
        <w:t>avtales stort sett tillegg</w:t>
      </w:r>
      <w:r>
        <w:t xml:space="preserve"> </w:t>
      </w:r>
      <w:r w:rsidRPr="00C162BB">
        <w:t>lokalt, og ofte gjennom såkalte lokale kollektive</w:t>
      </w:r>
      <w:r>
        <w:t xml:space="preserve"> </w:t>
      </w:r>
      <w:r w:rsidRPr="00C162BB">
        <w:t>lønnsforhandlinger, og her defineres nesten</w:t>
      </w:r>
      <w:r>
        <w:t xml:space="preserve"> </w:t>
      </w:r>
      <w:r w:rsidRPr="00C162BB">
        <w:t xml:space="preserve">all lønnsvekst som lønnsglidning. </w:t>
      </w:r>
    </w:p>
    <w:p w14:paraId="31115A66" w14:textId="77777777" w:rsidR="00086FB8" w:rsidRDefault="00086FB8" w:rsidP="00086FB8">
      <w:r w:rsidRPr="006B1A81">
        <w:t xml:space="preserve">I normallønnsområdene og i avtaler med </w:t>
      </w:r>
      <w:r>
        <w:t>flere</w:t>
      </w:r>
      <w:r w:rsidRPr="006B1A81">
        <w:t xml:space="preserve"> minstelønns</w:t>
      </w:r>
      <w:r>
        <w:t>satser</w:t>
      </w:r>
      <w:r w:rsidRPr="006B1A81">
        <w:t xml:space="preserve">, for eksempel i varehandelen, vil forholdet kunne være et annet. For Spekters virksomheter i privat sektorer </w:t>
      </w:r>
      <w:r>
        <w:t xml:space="preserve">er </w:t>
      </w:r>
      <w:r w:rsidRPr="006B1A81">
        <w:t xml:space="preserve">forholdet </w:t>
      </w:r>
      <w:r>
        <w:t xml:space="preserve">omtrent </w:t>
      </w:r>
      <w:r w:rsidRPr="006B1A81">
        <w:t>det samme som i minstelønnsavtalene i industrien i NHO-området. For helseforetakene</w:t>
      </w:r>
      <w:r>
        <w:t xml:space="preserve"> </w:t>
      </w:r>
      <w:r w:rsidRPr="006B1A81">
        <w:t>i Spekter er om lag 6</w:t>
      </w:r>
      <w:r>
        <w:t>4</w:t>
      </w:r>
      <w:r w:rsidRPr="006B1A81">
        <w:t xml:space="preserve"> </w:t>
      </w:r>
      <w:r>
        <w:t>prosent</w:t>
      </w:r>
      <w:r w:rsidRPr="006B1A81">
        <w:t xml:space="preserve"> av tilleggene avtalt sentralt, og </w:t>
      </w:r>
      <w:r>
        <w:t>36</w:t>
      </w:r>
      <w:r w:rsidRPr="006B1A81">
        <w:t xml:space="preserve"> </w:t>
      </w:r>
      <w:r>
        <w:t>prosent</w:t>
      </w:r>
      <w:r w:rsidRPr="006B1A81">
        <w:t xml:space="preserve"> lokalt. I det statlige tariffområdet</w:t>
      </w:r>
      <w:r>
        <w:t xml:space="preserve"> </w:t>
      </w:r>
      <w:r w:rsidRPr="006B1A81">
        <w:t xml:space="preserve">kommer om lag </w:t>
      </w:r>
      <w:r>
        <w:t>75</w:t>
      </w:r>
      <w:r w:rsidRPr="006B1A81">
        <w:t xml:space="preserve"> </w:t>
      </w:r>
      <w:r>
        <w:t>prosent</w:t>
      </w:r>
      <w:r w:rsidRPr="006B1A81">
        <w:t xml:space="preserve"> av samlet lønnsvekst fra sentralt avtalte lønnstillegg og resten fra lønnsglidning. Ansiennitetstillegg og forhandlinger på særlig grunnlag bidrar mest til lønnsglidning i staten.</w:t>
      </w:r>
      <w:r>
        <w:t xml:space="preserve"> </w:t>
      </w:r>
      <w:r w:rsidRPr="006B1A81">
        <w:t xml:space="preserve">I kommunene avtales </w:t>
      </w:r>
      <w:r>
        <w:t>også om lag</w:t>
      </w:r>
      <w:r w:rsidRPr="006B1A81">
        <w:t xml:space="preserve"> </w:t>
      </w:r>
      <w:r>
        <w:t xml:space="preserve">75 prosent </w:t>
      </w:r>
      <w:r w:rsidRPr="006B1A81">
        <w:t xml:space="preserve">av lønnsveksten sentralt. </w:t>
      </w:r>
    </w:p>
    <w:p w14:paraId="01C5D9BB" w14:textId="77777777" w:rsidR="00086FB8" w:rsidRDefault="00086FB8" w:rsidP="00086FB8">
      <w:r w:rsidRPr="006B1A81">
        <w:t>Økning i gjennomsnittlig lønnsnivå som skyldes endringer i sammensetningen av sysselsettingen bidrar til lønnsglidningen i staten, i kommunene og i andre områder.</w:t>
      </w:r>
      <w:r>
        <w:t xml:space="preserve"> </w:t>
      </w:r>
    </w:p>
    <w:p w14:paraId="1E3E8E86" w14:textId="77777777" w:rsidR="00086FB8" w:rsidRDefault="00086FB8" w:rsidP="00086FB8"/>
    <w:p w14:paraId="60EE739F" w14:textId="77777777" w:rsidR="00086FB8" w:rsidRPr="00073508" w:rsidRDefault="00086FB8" w:rsidP="00086FB8">
      <w:r>
        <w:rPr>
          <w:noProof/>
        </w:rPr>
        <w:drawing>
          <wp:inline distT="0" distB="0" distL="0" distR="0" wp14:anchorId="39940548" wp14:editId="7E9B77EA">
            <wp:extent cx="3554233" cy="2504440"/>
            <wp:effectExtent l="0" t="0" r="8255" b="0"/>
            <wp:docPr id="77" name="Bilde 77" descr="C:\Users\asd1311\AppData\Local\Microsoft\Windows\Temporary Internet Files\Content.Word\V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1311\AppData\Local\Microsoft\Windows\Temporary Internet Files\Content.Word\V5-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60398" cy="2508784"/>
                    </a:xfrm>
                    <a:prstGeom prst="rect">
                      <a:avLst/>
                    </a:prstGeom>
                    <a:noFill/>
                    <a:ln>
                      <a:noFill/>
                    </a:ln>
                  </pic:spPr>
                </pic:pic>
              </a:graphicData>
            </a:graphic>
          </wp:inline>
        </w:drawing>
      </w:r>
    </w:p>
    <w:p w14:paraId="36D69828" w14:textId="00DF1CF6" w:rsidR="00086FB8" w:rsidRPr="00F60384" w:rsidRDefault="00086FB8" w:rsidP="00086FB8">
      <w:pPr>
        <w:pStyle w:val="figur-tittel"/>
        <w:numPr>
          <w:ilvl w:val="0"/>
          <w:numId w:val="0"/>
        </w:numPr>
      </w:pPr>
      <w:r>
        <w:t xml:space="preserve">Figur 5.2 </w:t>
      </w:r>
      <w:r w:rsidRPr="00C007FE">
        <w:t xml:space="preserve">Det sentrale bidraget til lønnsveksten </w:t>
      </w:r>
      <w:r w:rsidRPr="00F60384">
        <w:t>fra 200</w:t>
      </w:r>
      <w:r>
        <w:t>5</w:t>
      </w:r>
      <w:r w:rsidRPr="00F60384">
        <w:t xml:space="preserve"> til 201</w:t>
      </w:r>
      <w:r>
        <w:t>4</w:t>
      </w:r>
      <w:r w:rsidR="00F11752">
        <w:t xml:space="preserve"> </w:t>
      </w:r>
      <w:r w:rsidRPr="00C007FE">
        <w:t>(gjennomsnitt per år)</w:t>
      </w:r>
      <w:r w:rsidRPr="00084544">
        <w:rPr>
          <w:vertAlign w:val="superscript"/>
        </w:rPr>
        <w:t xml:space="preserve"> 1</w:t>
      </w:r>
    </w:p>
    <w:p w14:paraId="6197FC36" w14:textId="77777777" w:rsidR="00086FB8" w:rsidRPr="004D728C" w:rsidRDefault="00086FB8" w:rsidP="003F5F82">
      <w:pPr>
        <w:pStyle w:val="Nummerertliste"/>
        <w:numPr>
          <w:ilvl w:val="0"/>
          <w:numId w:val="61"/>
        </w:numPr>
        <w:tabs>
          <w:tab w:val="clear" w:pos="397"/>
          <w:tab w:val="num" w:pos="142"/>
        </w:tabs>
        <w:ind w:left="142" w:hanging="142"/>
        <w:rPr>
          <w:sz w:val="20"/>
        </w:rPr>
      </w:pPr>
      <w:r w:rsidRPr="004D728C">
        <w:rPr>
          <w:sz w:val="20"/>
        </w:rPr>
        <w:t xml:space="preserve">Tallene i figur </w:t>
      </w:r>
      <w:r>
        <w:rPr>
          <w:sz w:val="20"/>
        </w:rPr>
        <w:t>5.2</w:t>
      </w:r>
      <w:r w:rsidRPr="004D728C">
        <w:rPr>
          <w:sz w:val="20"/>
        </w:rPr>
        <w:t xml:space="preserve">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 </w:t>
      </w:r>
    </w:p>
    <w:p w14:paraId="1EB3A0F9" w14:textId="77777777" w:rsidR="00086FB8" w:rsidRPr="004D728C" w:rsidRDefault="00086FB8" w:rsidP="003F5F82">
      <w:pPr>
        <w:pStyle w:val="Nummerertliste"/>
        <w:numPr>
          <w:ilvl w:val="0"/>
          <w:numId w:val="61"/>
        </w:numPr>
        <w:tabs>
          <w:tab w:val="clear" w:pos="397"/>
          <w:tab w:val="num" w:pos="142"/>
        </w:tabs>
        <w:ind w:left="142" w:hanging="142"/>
        <w:rPr>
          <w:sz w:val="20"/>
        </w:rPr>
      </w:pPr>
      <w:r w:rsidRPr="004D728C">
        <w:rPr>
          <w:sz w:val="20"/>
        </w:rPr>
        <w:t>Tallet for industrifunksjonærer er anslaget i NOU 2013:13 Lønnsdannelsen og utfordringer for norsk økonomi.</w:t>
      </w:r>
    </w:p>
    <w:p w14:paraId="6C3345DF" w14:textId="77777777" w:rsidR="00086FB8" w:rsidRPr="0046091B" w:rsidRDefault="00086FB8" w:rsidP="003F5F82">
      <w:pPr>
        <w:pStyle w:val="Nummerertliste"/>
        <w:numPr>
          <w:ilvl w:val="0"/>
          <w:numId w:val="61"/>
        </w:numPr>
        <w:tabs>
          <w:tab w:val="clear" w:pos="397"/>
          <w:tab w:val="num" w:pos="142"/>
        </w:tabs>
        <w:ind w:left="142" w:hanging="142"/>
      </w:pPr>
      <w:r w:rsidRPr="004D728C">
        <w:rPr>
          <w:sz w:val="20"/>
        </w:rPr>
        <w:t>For finanstjenester medførte langt lavere bonusutbetalinger i 2009 enn året før at lønnsveksten (målt fra 1. september 2008 til 1. september i 2009) ble negativ. Dette året er veksten i avtalt lønn (eksklusive bonus og uregelmessige tillegg) lagt til grunn. I de andre årene er bonus og uregelmessige tillegg med.</w:t>
      </w:r>
      <w:r>
        <w:t xml:space="preserve"> </w:t>
      </w:r>
    </w:p>
    <w:p w14:paraId="060C7EEA" w14:textId="7C9FA808" w:rsidR="00086FB8" w:rsidRDefault="00086FB8" w:rsidP="00086FB8">
      <w:pPr>
        <w:pStyle w:val="Kilde"/>
      </w:pPr>
      <w:r w:rsidRPr="0046091B">
        <w:t xml:space="preserve">Kilder: </w:t>
      </w:r>
      <w:r w:rsidR="003F5F82">
        <w:t>Beregningsutvalget</w:t>
      </w:r>
      <w:r>
        <w:t>,</w:t>
      </w:r>
      <w:r w:rsidRPr="0046091B">
        <w:t xml:space="preserve"> Statistisk sentralbyrå</w:t>
      </w:r>
      <w:r>
        <w:t xml:space="preserve"> og NOU 2013:13 Lønnsdannelsen og utfordringer for norsk økonomi</w:t>
      </w:r>
      <w:r w:rsidRPr="0046091B">
        <w:t>.</w:t>
      </w:r>
    </w:p>
    <w:p w14:paraId="0F4972FF" w14:textId="77777777" w:rsidR="00086FB8" w:rsidRPr="00574AD5" w:rsidRDefault="00086FB8" w:rsidP="008643D6">
      <w:pPr>
        <w:pStyle w:val="Overskrift3"/>
        <w:numPr>
          <w:ilvl w:val="2"/>
          <w:numId w:val="60"/>
        </w:numPr>
        <w:spacing w:before="0" w:after="0"/>
        <w:ind w:left="851" w:hanging="851"/>
      </w:pPr>
      <w:bookmarkStart w:id="522" w:name="_Toc383961415"/>
      <w:bookmarkStart w:id="523" w:name="_Toc411761958"/>
      <w:bookmarkStart w:id="524" w:name="_Toc411849516"/>
      <w:bookmarkStart w:id="525" w:name="_Toc415240820"/>
      <w:bookmarkStart w:id="526" w:name="_Toc443829097"/>
      <w:bookmarkStart w:id="527" w:name="_Toc443843754"/>
      <w:bookmarkStart w:id="528" w:name="_Toc443844286"/>
      <w:bookmarkStart w:id="529" w:name="_Toc443999026"/>
      <w:r w:rsidRPr="00574AD5">
        <w:t>Tariffavtalenes varighet</w:t>
      </w:r>
      <w:bookmarkEnd w:id="522"/>
      <w:bookmarkEnd w:id="523"/>
      <w:bookmarkEnd w:id="524"/>
      <w:bookmarkEnd w:id="525"/>
      <w:bookmarkEnd w:id="526"/>
      <w:bookmarkEnd w:id="527"/>
      <w:bookmarkEnd w:id="528"/>
      <w:bookmarkEnd w:id="529"/>
    </w:p>
    <w:p w14:paraId="0FCD51DE" w14:textId="77777777" w:rsidR="00086FB8" w:rsidRDefault="00086FB8" w:rsidP="00086FB8">
      <w:r w:rsidRPr="00940429">
        <w:t>Tariffavtalene</w:t>
      </w:r>
      <w:r>
        <w:t>s varighet avtales mellom partene og har i Norge</w:t>
      </w:r>
      <w:r w:rsidRPr="00940429">
        <w:t xml:space="preserve"> i all hovedsak </w:t>
      </w:r>
      <w:r>
        <w:t xml:space="preserve">vært </w:t>
      </w:r>
      <w:r w:rsidRPr="00940429">
        <w:t>toårige</w:t>
      </w:r>
      <w:r>
        <w:t>,</w:t>
      </w:r>
      <w:r w:rsidRPr="00367224">
        <w:t xml:space="preserve"> </w:t>
      </w:r>
      <w:r>
        <w:t>som regel med adgang til å forhandle om egen lønnsjustering for annet avtaleår (mellomoppgjør). De utløper normalt om våren</w:t>
      </w:r>
      <w:r w:rsidRPr="00940429">
        <w:t>. I NHO</w:t>
      </w:r>
      <w:r>
        <w:t>,</w:t>
      </w:r>
      <w:r w:rsidRPr="00940429">
        <w:t xml:space="preserve"> Virke </w:t>
      </w:r>
      <w:r>
        <w:t xml:space="preserve">og i Spekter med unntak av helseforetakene, </w:t>
      </w:r>
      <w:r w:rsidRPr="00940429">
        <w:t xml:space="preserve">utløper de fleste tariffavtalene 31. </w:t>
      </w:r>
      <w:r>
        <w:t>mars. I</w:t>
      </w:r>
      <w:r w:rsidRPr="00940429">
        <w:t xml:space="preserve"> </w:t>
      </w:r>
      <w:r>
        <w:t xml:space="preserve">de </w:t>
      </w:r>
      <w:r w:rsidRPr="00940429">
        <w:t xml:space="preserve">øvrige tariffområder er utløp </w:t>
      </w:r>
      <w:r>
        <w:t xml:space="preserve">gjerne </w:t>
      </w:r>
      <w:r w:rsidRPr="00940429">
        <w:t>tidligst 30. april. Mekanismene for revisjon av tariffavtaler er nøye regulert i partenes avtaleverk og i lovgivingen.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52CA7216" w14:textId="77777777" w:rsidR="00086FB8" w:rsidRPr="00574AD5" w:rsidRDefault="00086FB8" w:rsidP="008643D6">
      <w:pPr>
        <w:pStyle w:val="Overskrift3"/>
        <w:numPr>
          <w:ilvl w:val="2"/>
          <w:numId w:val="60"/>
        </w:numPr>
        <w:ind w:left="851" w:hanging="851"/>
      </w:pPr>
      <w:bookmarkStart w:id="530" w:name="_Toc383961416"/>
      <w:bookmarkStart w:id="531" w:name="_Toc411761959"/>
      <w:bookmarkStart w:id="532" w:name="_Toc411849517"/>
      <w:bookmarkStart w:id="533" w:name="_Toc415240821"/>
      <w:bookmarkStart w:id="534" w:name="_Toc443829098"/>
      <w:bookmarkStart w:id="535" w:name="_Toc443843755"/>
      <w:bookmarkStart w:id="536" w:name="_Toc443844287"/>
      <w:bookmarkStart w:id="537" w:name="_Toc443999027"/>
      <w:r w:rsidRPr="00574AD5">
        <w:t>Tariffavtaledekning</w:t>
      </w:r>
      <w:bookmarkEnd w:id="530"/>
      <w:bookmarkEnd w:id="531"/>
      <w:bookmarkEnd w:id="532"/>
      <w:bookmarkEnd w:id="533"/>
      <w:bookmarkEnd w:id="534"/>
      <w:bookmarkEnd w:id="535"/>
      <w:bookmarkEnd w:id="536"/>
      <w:bookmarkEnd w:id="537"/>
    </w:p>
    <w:p w14:paraId="3B8797ED" w14:textId="77777777" w:rsidR="00086FB8" w:rsidRPr="00695853" w:rsidRDefault="00086FB8" w:rsidP="00086FB8">
      <w:pPr>
        <w:autoSpaceDE w:val="0"/>
        <w:autoSpaceDN w:val="0"/>
      </w:pPr>
      <w:r w:rsidRPr="00D81AD4">
        <w:t>Tariffavtalene omfatter flere enn de arbeidstakerne som er organisert. Det skyldes bl.a. at arbeidsgivere som er tariffbundet gjennom avtale- og rettspraksis, forpliktes å legge til grunn tariffavtalens vilkår også for ansatte i bedriften som ikke er organisert, hvis de faller inn under tariffa</w:t>
      </w:r>
      <w:r w:rsidRPr="005A7906">
        <w:t xml:space="preserve">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w:t>
      </w:r>
      <w:r w:rsidRPr="00D81AD4">
        <w:t xml:space="preserve">Tariffavtaledekningen i privat sektor var ifølge AKU om lag 57 prosent i 2014, mens det er full avtaledekning i offentlig sektor. </w:t>
      </w:r>
      <w:r w:rsidRPr="00695853">
        <w:t xml:space="preserve">Registerdata kan indikere at tariffavtaledekningen i privat sektor er lavere enn 57 prosent som AKU-tallene fra 4. kvartal 2014 viser. I Fafo-notat 2014:14 anslås det at maksimalt 50 prosent av de ansatte i privat sektor befinner seg i en virksomhet som omfattes av tariffavtale. Basert på dette er tariffavtaledekningen for alle arbeidstakere om lag 67 prosent. Det at andelen arbeidstakere som oppgir at deres lønn fastsettes gjennom tariffavtale, er høyere i spørreundersøkelser enn det en kan forvente ut fra registerbaserte kilder, kan forklares ved misforståelser eller manglende kunnskap, men også ved at lønnssatsene i tariffavtalene benyttes i bedrifter som ikke formelt er bundet av disse avtalene (frivillig tilslutning). Det er vanskelig å vite hvor stort omfang dette har, men det antas at det særlig gjelder mindre virksomheter. I tillegg bidrar allmenngjøring i noen bransjer til å gjøre enkelte av tariffavtalens bestemmelser gjeldende for flere. </w:t>
      </w:r>
    </w:p>
    <w:p w14:paraId="2714684E" w14:textId="0A66C29E" w:rsidR="00086FB8" w:rsidRDefault="00086FB8" w:rsidP="00086FB8">
      <w:r w:rsidRPr="00631ED3">
        <w:t xml:space="preserve">Tabell </w:t>
      </w:r>
      <w:r>
        <w:t>5</w:t>
      </w:r>
      <w:r w:rsidRPr="00631ED3">
        <w:t>.</w:t>
      </w:r>
      <w:r w:rsidRPr="00BB352F">
        <w:t>3 viser andelen arbeidstakere i ulike bransjer og sektorer som omfattes av tariffavtaler</w:t>
      </w:r>
      <w:r>
        <w:t>,</w:t>
      </w:r>
      <w:r w:rsidRPr="00BB352F">
        <w:t xml:space="preserve"> og at tariffavtaledekningen øker med bedriftsstørrelsen. Det framgår at tariffavtaledekningen er lavest i næringen Faglig, vitenskapelig og teknisk tjenesteyting og i </w:t>
      </w:r>
      <w:r>
        <w:t>Informasjon og kommunikasjon</w:t>
      </w:r>
      <w:r w:rsidRPr="00BB352F">
        <w:t xml:space="preserve">. </w:t>
      </w:r>
      <w:r w:rsidRPr="00631ED3">
        <w:t>Tallene er basert på en utvalgsundersøkelse og de er derfor beheftet med usikkerhet. Det kan dessuten være store forskjeller innenfor enkelte bransjer. I transport er for eksempel tariffavtaledekningen høy innen buss, men lav innen langtransport med gods.</w:t>
      </w:r>
      <w:r>
        <w:t xml:space="preserve"> </w:t>
      </w:r>
    </w:p>
    <w:p w14:paraId="54F248A8" w14:textId="77777777" w:rsidR="00086FB8" w:rsidRPr="008A380F" w:rsidRDefault="00086FB8" w:rsidP="008643D6">
      <w:pPr>
        <w:pStyle w:val="Overskrift2"/>
        <w:numPr>
          <w:ilvl w:val="1"/>
          <w:numId w:val="60"/>
        </w:numPr>
        <w:ind w:left="567" w:hanging="567"/>
      </w:pPr>
      <w:bookmarkStart w:id="538" w:name="_Toc383961417"/>
      <w:bookmarkStart w:id="539" w:name="_Toc411761960"/>
      <w:bookmarkStart w:id="540" w:name="_Toc411849518"/>
      <w:bookmarkStart w:id="541" w:name="_Toc415240822"/>
      <w:bookmarkStart w:id="542" w:name="_Toc443829099"/>
      <w:bookmarkStart w:id="543" w:name="_Toc443843756"/>
      <w:bookmarkStart w:id="544" w:name="_Toc443844288"/>
      <w:bookmarkStart w:id="545" w:name="_Toc443999028"/>
      <w:r w:rsidRPr="008A380F">
        <w:t>Allmenngjøring</w:t>
      </w:r>
      <w:bookmarkEnd w:id="538"/>
      <w:bookmarkEnd w:id="539"/>
      <w:bookmarkEnd w:id="540"/>
      <w:bookmarkEnd w:id="541"/>
      <w:bookmarkEnd w:id="542"/>
      <w:bookmarkEnd w:id="543"/>
      <w:bookmarkEnd w:id="544"/>
      <w:bookmarkEnd w:id="545"/>
    </w:p>
    <w:p w14:paraId="6DDA4A71" w14:textId="77777777" w:rsidR="00086FB8" w:rsidRPr="002D153B" w:rsidRDefault="00086FB8" w:rsidP="00086FB8">
      <w:r w:rsidRPr="002D153B">
        <w:t xml:space="preserve">Lov om allmenngjøring av tariffavtaler mv. (allmenngjøringsloven) trådte i kraft samtidig med EØS-avtalen 1. januar 1994. Lovens formål er å sikre utenlandske arbeidstakere lønns- og arbeidsvilkår som er likeverdige med de vilkår norske arbeidstakere har, og </w:t>
      </w:r>
      <w:r>
        <w:t xml:space="preserve">å </w:t>
      </w:r>
      <w:r w:rsidRPr="002D153B">
        <w:t xml:space="preserve">hindre konkurransevridning til ulempe for </w:t>
      </w:r>
      <w:r>
        <w:t>det norske arbeidsmarkedet</w:t>
      </w:r>
      <w:r w:rsidRPr="002D153B">
        <w:t>.</w:t>
      </w:r>
    </w:p>
    <w:p w14:paraId="6A66C317" w14:textId="77777777" w:rsidR="00086FB8" w:rsidRPr="002D153B" w:rsidRDefault="00086FB8" w:rsidP="00086FB8">
      <w:r w:rsidRPr="002D153B">
        <w:t>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organiserte eller ikke og både for norske og utenlandske arbeidstakere. Det er i hovedsak overenskomstenes minstelønnssatser som er blitt allmenngjort, men også bl.a. bestemmelser</w:t>
      </w:r>
      <w:r>
        <w:t xml:space="preserve"> om arbeidstid og overtid</w:t>
      </w:r>
      <w:r w:rsidRPr="002D153B">
        <w:t xml:space="preserve">, </w:t>
      </w:r>
      <w:r>
        <w:t xml:space="preserve">og om </w:t>
      </w:r>
      <w:r w:rsidRPr="002D153B">
        <w:t>kompensasjon for reise, kost og losji. Allmenngjøring innebærer således at det settes et gulv for hvor lavt arbeidstakere i den aktuelle bransjen kan lønnes.</w:t>
      </w:r>
    </w:p>
    <w:p w14:paraId="035734E2" w14:textId="77777777" w:rsidR="00086FB8" w:rsidRDefault="00086FB8" w:rsidP="00086FB8">
      <w:r w:rsidRPr="002D153B">
        <w:t xml:space="preserve">Tariffnemndas vedtak om allmenngjøring fastsettes i forskrift og gjelder for alle arbeidstakere som utfører arbeid av den art forskriften omfatter. Forskriftens lønns- og arbeidsvilkår vil således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 Allmenngjøringen kan dermed ha betydelige virkninger for arbeidstakere som ikke er dekket av en tariffavtale, dvs. om lag halvparten av alle arbeidstakere i privat sektor. </w:t>
      </w:r>
    </w:p>
    <w:p w14:paraId="43946851" w14:textId="77777777" w:rsidR="00086FB8" w:rsidRPr="004331EB" w:rsidRDefault="00086FB8" w:rsidP="00086FB8">
      <w:pPr>
        <w:rPr>
          <w:rFonts w:ascii="Times New Roman" w:hAnsi="Times New Roman"/>
          <w:szCs w:val="24"/>
        </w:rPr>
      </w:pPr>
      <w:r>
        <w:rPr>
          <w:rFonts w:ascii="Times New Roman" w:hAnsi="Times New Roman"/>
          <w:szCs w:val="24"/>
        </w:rPr>
        <w:t xml:space="preserve">For tiden gjelder følgende </w:t>
      </w:r>
      <w:r w:rsidRPr="004331EB">
        <w:rPr>
          <w:rFonts w:ascii="Times New Roman" w:hAnsi="Times New Roman"/>
          <w:szCs w:val="24"/>
        </w:rPr>
        <w:t>forskrifter fra Tariffnemnda</w:t>
      </w:r>
      <w:r>
        <w:rPr>
          <w:rStyle w:val="Fotnotereferanse"/>
          <w:rFonts w:ascii="Times New Roman" w:hAnsi="Times New Roman"/>
          <w:szCs w:val="24"/>
        </w:rPr>
        <w:footnoteReference w:id="20"/>
      </w:r>
      <w:r>
        <w:rPr>
          <w:rFonts w:ascii="Times New Roman" w:hAnsi="Times New Roman"/>
          <w:szCs w:val="24"/>
        </w:rPr>
        <w:t>, jf. boks 5.1</w:t>
      </w:r>
      <w:r w:rsidRPr="004331EB">
        <w:rPr>
          <w:rFonts w:ascii="Times New Roman" w:hAnsi="Times New Roman"/>
          <w:szCs w:val="24"/>
        </w:rPr>
        <w:t>:</w:t>
      </w:r>
    </w:p>
    <w:p w14:paraId="2F72B754" w14:textId="77777777" w:rsidR="00086FB8" w:rsidRPr="004331EB" w:rsidRDefault="00086FB8" w:rsidP="008643D6">
      <w:pPr>
        <w:pStyle w:val="Listeavsnitt"/>
        <w:numPr>
          <w:ilvl w:val="0"/>
          <w:numId w:val="57"/>
        </w:numPr>
        <w:spacing w:before="0" w:line="240" w:lineRule="auto"/>
        <w:ind w:right="108"/>
        <w:contextualSpacing/>
        <w:rPr>
          <w:rFonts w:cs="Times New Roman"/>
          <w:szCs w:val="24"/>
        </w:rPr>
      </w:pPr>
      <w:r>
        <w:t>Forskrift om allmenngjøring av t</w:t>
      </w:r>
      <w:hyperlink r:id="rId83" w:tgtFrame="_blank" w:tooltip="Forskrift om allmenngjøring av tariffavtale for jordbruks- og gartnerinæringene" w:history="1">
        <w:r w:rsidRPr="004331EB">
          <w:rPr>
            <w:rStyle w:val="Hyperkobling"/>
            <w:rFonts w:cs="Times New Roman"/>
            <w:szCs w:val="24"/>
          </w:rPr>
          <w:t>ariffavtale for jordbruks- og gartnerinæringene</w:t>
        </w:r>
      </w:hyperlink>
      <w:r w:rsidRPr="004331EB">
        <w:rPr>
          <w:rFonts w:cs="Times New Roman"/>
          <w:szCs w:val="24"/>
        </w:rPr>
        <w:t xml:space="preserve">  </w:t>
      </w:r>
    </w:p>
    <w:p w14:paraId="5EEFEB6E" w14:textId="77777777" w:rsidR="00086FB8" w:rsidRPr="004331EB" w:rsidRDefault="00086FB8" w:rsidP="008643D6">
      <w:pPr>
        <w:pStyle w:val="Listeavsnitt"/>
        <w:numPr>
          <w:ilvl w:val="0"/>
          <w:numId w:val="57"/>
        </w:numPr>
        <w:spacing w:before="0" w:line="240" w:lineRule="auto"/>
        <w:ind w:right="108"/>
        <w:contextualSpacing/>
        <w:rPr>
          <w:rFonts w:cs="Times New Roman"/>
          <w:szCs w:val="24"/>
        </w:rPr>
      </w:pPr>
      <w:r>
        <w:t>Forskrift om allmenngjøring av t</w:t>
      </w:r>
      <w:hyperlink r:id="rId84" w:tgtFrame="_blank" w:history="1">
        <w:r w:rsidRPr="004331EB">
          <w:rPr>
            <w:rStyle w:val="Hyperkobling"/>
            <w:rFonts w:cs="Times New Roman"/>
            <w:szCs w:val="24"/>
          </w:rPr>
          <w:t>ariffavtale for byggeplasser i Norge</w:t>
        </w:r>
      </w:hyperlink>
      <w:r w:rsidRPr="004331EB">
        <w:rPr>
          <w:rFonts w:cs="Times New Roman"/>
          <w:szCs w:val="24"/>
        </w:rPr>
        <w:t xml:space="preserve"> </w:t>
      </w:r>
    </w:p>
    <w:p w14:paraId="3527B39A" w14:textId="77777777" w:rsidR="00086FB8" w:rsidRDefault="00086FB8" w:rsidP="008643D6">
      <w:pPr>
        <w:pStyle w:val="Listeavsnitt"/>
        <w:numPr>
          <w:ilvl w:val="0"/>
          <w:numId w:val="57"/>
        </w:numPr>
        <w:spacing w:before="0" w:line="240" w:lineRule="auto"/>
        <w:ind w:right="108"/>
        <w:contextualSpacing/>
      </w:pPr>
      <w:r>
        <w:t xml:space="preserve">Forskrift om delvis allmenngjøring av </w:t>
      </w:r>
      <w:hyperlink r:id="rId85" w:tgtFrame="_blank" w:history="1">
        <w:r>
          <w:rPr>
            <w:rStyle w:val="Hyperkobling"/>
            <w:rFonts w:cs="Times New Roman"/>
            <w:szCs w:val="24"/>
          </w:rPr>
          <w:t>Industri</w:t>
        </w:r>
        <w:r w:rsidRPr="00F33E58">
          <w:rPr>
            <w:rStyle w:val="Hyperkobling"/>
            <w:rFonts w:cs="Times New Roman"/>
            <w:szCs w:val="24"/>
          </w:rPr>
          <w:t>overenskomsten for skips- og verftsindustrien</w:t>
        </w:r>
      </w:hyperlink>
    </w:p>
    <w:p w14:paraId="4F21F037" w14:textId="77777777" w:rsidR="00086FB8" w:rsidRDefault="00086FB8" w:rsidP="008643D6">
      <w:pPr>
        <w:pStyle w:val="Listeavsnitt"/>
        <w:numPr>
          <w:ilvl w:val="0"/>
          <w:numId w:val="57"/>
        </w:numPr>
        <w:spacing w:before="0" w:line="240" w:lineRule="auto"/>
        <w:ind w:right="108"/>
        <w:contextualSpacing/>
      </w:pPr>
      <w:r>
        <w:t>Forskrift allmenngjøring av t</w:t>
      </w:r>
      <w:hyperlink r:id="rId86" w:tgtFrame="_blank" w:history="1">
        <w:r w:rsidRPr="00F20D31">
          <w:rPr>
            <w:rStyle w:val="Hyperkobling"/>
            <w:rFonts w:cs="Times New Roman"/>
            <w:szCs w:val="24"/>
          </w:rPr>
          <w:t>ariffavtale for renholdsbedrifter</w:t>
        </w:r>
      </w:hyperlink>
    </w:p>
    <w:p w14:paraId="64093C94" w14:textId="77777777" w:rsidR="00086FB8" w:rsidRDefault="00086FB8" w:rsidP="008643D6">
      <w:pPr>
        <w:pStyle w:val="Listeavsnitt"/>
        <w:numPr>
          <w:ilvl w:val="0"/>
          <w:numId w:val="57"/>
        </w:numPr>
        <w:spacing w:before="0" w:line="240" w:lineRule="auto"/>
        <w:ind w:right="108"/>
        <w:contextualSpacing/>
      </w:pPr>
      <w:r>
        <w:t>Forskrift om allmenngjøring t</w:t>
      </w:r>
      <w:hyperlink r:id="rId87" w:history="1">
        <w:r w:rsidRPr="00E936A5">
          <w:rPr>
            <w:rStyle w:val="Hyperkobling"/>
          </w:rPr>
          <w:t>ariffavtale for fiskeindustribedrifter</w:t>
        </w:r>
      </w:hyperlink>
    </w:p>
    <w:p w14:paraId="5165E85C" w14:textId="77777777" w:rsidR="00086FB8" w:rsidRDefault="00086FB8" w:rsidP="008643D6">
      <w:pPr>
        <w:pStyle w:val="Listeavsnitt"/>
        <w:numPr>
          <w:ilvl w:val="0"/>
          <w:numId w:val="57"/>
        </w:numPr>
        <w:spacing w:before="0" w:line="240" w:lineRule="auto"/>
        <w:ind w:right="108"/>
        <w:contextualSpacing/>
      </w:pPr>
      <w:r>
        <w:t>Forskrift om allmenngjøring av Landsoverenskomsten for elektrofagene</w:t>
      </w:r>
    </w:p>
    <w:p w14:paraId="4D8FEF28" w14:textId="77777777" w:rsidR="00086FB8" w:rsidRDefault="00086FB8" w:rsidP="008643D6">
      <w:pPr>
        <w:pStyle w:val="Listeavsnitt"/>
        <w:numPr>
          <w:ilvl w:val="0"/>
          <w:numId w:val="57"/>
        </w:numPr>
        <w:spacing w:before="0" w:line="240" w:lineRule="auto"/>
        <w:ind w:right="108"/>
        <w:contextualSpacing/>
      </w:pPr>
      <w:r>
        <w:t>Forskrift om allmenngjøring av t</w:t>
      </w:r>
      <w:r w:rsidRPr="00E43617">
        <w:t>ariffavtaler for godstransport på vei</w:t>
      </w:r>
    </w:p>
    <w:p w14:paraId="25D6B44A" w14:textId="77777777" w:rsidR="00086FB8" w:rsidRPr="00E936A5" w:rsidRDefault="00086FB8" w:rsidP="008643D6">
      <w:pPr>
        <w:pStyle w:val="Listeavsnitt"/>
        <w:numPr>
          <w:ilvl w:val="0"/>
          <w:numId w:val="57"/>
        </w:numPr>
        <w:spacing w:before="0" w:line="240" w:lineRule="auto"/>
        <w:ind w:right="108"/>
        <w:contextualSpacing/>
      </w:pPr>
      <w:r>
        <w:t>Forskrift om allmenngjøring av t</w:t>
      </w:r>
      <w:r w:rsidRPr="00E43617">
        <w:t>ariffavtaler for persontransport med turbil</w:t>
      </w:r>
    </w:p>
    <w:p w14:paraId="38CF3DCB" w14:textId="77777777" w:rsidR="00086FB8" w:rsidRDefault="00086FB8" w:rsidP="00086FB8">
      <w:pPr>
        <w:pStyle w:val="Listeavsnitt"/>
        <w:spacing w:before="0" w:line="240" w:lineRule="auto"/>
        <w:ind w:left="720" w:right="108"/>
        <w:contextualSpacing/>
      </w:pPr>
    </w:p>
    <w:p w14:paraId="01827675" w14:textId="77777777" w:rsidR="00086FB8" w:rsidRDefault="00086FB8" w:rsidP="00086FB8">
      <w:pPr>
        <w:spacing w:before="120"/>
      </w:pPr>
      <w:r w:rsidRPr="00081D0A">
        <w:t>Arbeidstilsynet</w:t>
      </w:r>
      <w:r>
        <w:rPr>
          <w:rStyle w:val="Fotnotereferanse"/>
        </w:rPr>
        <w:footnoteReference w:id="21"/>
      </w:r>
      <w:r w:rsidRPr="00081D0A">
        <w:t xml:space="preserve"> </w:t>
      </w:r>
      <w:r>
        <w:t xml:space="preserve">fører </w:t>
      </w:r>
      <w:r w:rsidRPr="00081D0A">
        <w:t>tilsyn med at lønns- og arbeidsvilkår som følger av vedtak om allmenngjøring blir overholdt.</w:t>
      </w:r>
      <w:r>
        <w:t xml:space="preserve"> </w:t>
      </w:r>
    </w:p>
    <w:p w14:paraId="6643C439" w14:textId="77777777" w:rsidR="00FE5660" w:rsidRPr="008A380F" w:rsidRDefault="00FE5660" w:rsidP="00FE5660">
      <w:pPr>
        <w:pStyle w:val="Overskrift2"/>
        <w:numPr>
          <w:ilvl w:val="1"/>
          <w:numId w:val="60"/>
        </w:numPr>
        <w:ind w:left="567" w:hanging="567"/>
      </w:pPr>
      <w:bookmarkStart w:id="546" w:name="_Toc411761961"/>
      <w:bookmarkStart w:id="547" w:name="_Toc411849519"/>
      <w:bookmarkStart w:id="548" w:name="_Toc415240823"/>
      <w:bookmarkStart w:id="549" w:name="_Toc443829100"/>
      <w:bookmarkStart w:id="550" w:name="_Toc443843757"/>
      <w:bookmarkStart w:id="551" w:name="_Toc443844289"/>
      <w:bookmarkStart w:id="552" w:name="_Toc443999029"/>
      <w:r>
        <w:t>Arbeidskonflikter</w:t>
      </w:r>
      <w:bookmarkEnd w:id="546"/>
      <w:bookmarkEnd w:id="547"/>
      <w:bookmarkEnd w:id="548"/>
      <w:bookmarkEnd w:id="549"/>
      <w:bookmarkEnd w:id="550"/>
      <w:bookmarkEnd w:id="551"/>
      <w:bookmarkEnd w:id="552"/>
    </w:p>
    <w:p w14:paraId="50CBB638" w14:textId="77777777" w:rsidR="00FE5660" w:rsidRDefault="00FE5660" w:rsidP="00FE5660">
      <w:r w:rsidRPr="008B68A9">
        <w:t xml:space="preserve">Figur </w:t>
      </w:r>
      <w:r>
        <w:t>5.3</w:t>
      </w:r>
      <w:r w:rsidRPr="008B68A9">
        <w:t xml:space="preserve"> viser antall </w:t>
      </w:r>
      <w:r>
        <w:t xml:space="preserve">streiker og </w:t>
      </w:r>
      <w:r w:rsidRPr="008B68A9">
        <w:t xml:space="preserve">tapte </w:t>
      </w:r>
      <w:r>
        <w:t>arbeids</w:t>
      </w:r>
      <w:r w:rsidRPr="008B68A9">
        <w:t>dager som følge av streik i perioden 1992–201</w:t>
      </w:r>
      <w:r>
        <w:t>4</w:t>
      </w:r>
      <w:r w:rsidRPr="008B68A9">
        <w:t xml:space="preserve">. </w:t>
      </w:r>
      <w:r w:rsidDel="00FF69BE">
        <w:t>Arbeidskonflikter i 201</w:t>
      </w:r>
      <w:r>
        <w:t>5</w:t>
      </w:r>
      <w:r w:rsidDel="00FF69BE">
        <w:t xml:space="preserve"> er omtalt i avsnitt 1.5 i vedlegg 1</w:t>
      </w:r>
      <w:r>
        <w:t xml:space="preserve"> i denne rapporten</w:t>
      </w:r>
      <w:r w:rsidDel="00FF69BE">
        <w:t xml:space="preserve">. </w:t>
      </w:r>
      <w:r>
        <w:t xml:space="preserve">Arbeidskonflikter i hovedoppgjøret i 2014 er omtalt i vedlegg 1 i NOU 2015:6. </w:t>
      </w:r>
      <w:r w:rsidRPr="008B68A9">
        <w:t xml:space="preserve">Antall tapte dager varierer mye mellom år. I perioden 2000–2009 sto konfliktene i 2000 </w:t>
      </w:r>
      <w:r>
        <w:t xml:space="preserve">(bl.a. konflikt mellom LO og NHO der fullføring av den femte ferieuken var ett av elementene) </w:t>
      </w:r>
      <w:r w:rsidRPr="008B68A9">
        <w:t>for opp mot halvparten av de tapte arbeidsdagene. Videre på 2000-tallet var det relativt mange tapte dager og involverte arbeidstakere som følge av streiker i 2010 og 2012.</w:t>
      </w:r>
      <w:r>
        <w:t xml:space="preserve"> I disse to årene </w:t>
      </w:r>
      <w:r w:rsidRPr="008B68A9">
        <w:t xml:space="preserve">var </w:t>
      </w:r>
      <w:r>
        <w:t xml:space="preserve">det </w:t>
      </w:r>
      <w:r w:rsidRPr="008B68A9">
        <w:t>relativt omfattende streiker i kommunal sektor i 2010</w:t>
      </w:r>
      <w:r>
        <w:t xml:space="preserve"> og 2012, og</w:t>
      </w:r>
      <w:r w:rsidRPr="008B68A9">
        <w:t xml:space="preserve"> staten i 2012. Disse streikene involverte alle eller nesten alle organisasjonene. I 2010 var det også omfattende konflikter i byggevirksomheten.</w:t>
      </w:r>
    </w:p>
    <w:p w14:paraId="05071497" w14:textId="321A5152" w:rsidR="00086FB8" w:rsidRDefault="00FE5660" w:rsidP="00FE5660">
      <w:pPr>
        <w:spacing w:before="120"/>
      </w:pPr>
      <w:r w:rsidRPr="008B68A9">
        <w:t>Antall konflikter og tapte arbeidsdager har samlet sett gått ned på 2000-tallet</w:t>
      </w:r>
      <w:r>
        <w:t>. Antall tapte arbeidsdager er klart høyere i hovedoppgjør enn i mellomoppgjør. Dette har i hovedsak sammenheng med at i</w:t>
      </w:r>
      <w:r w:rsidRPr="008F0052">
        <w:t xml:space="preserve"> hovedoppgjør </w:t>
      </w:r>
      <w:r>
        <w:t xml:space="preserve">er det flere konfliktpunkter. Det </w:t>
      </w:r>
      <w:r w:rsidRPr="008F0052">
        <w:t>forhandles om både lønnstillegg og endringer i de øvrige bestemmelsene i tariffavtalene</w:t>
      </w:r>
      <w:r>
        <w:t xml:space="preserve">, mens det i mellomoppgjør (andre avtaleår) </w:t>
      </w:r>
      <w:r w:rsidRPr="008F0052">
        <w:t xml:space="preserve">normalt forhandles kun om lønnstillegg. </w:t>
      </w:r>
      <w:r>
        <w:t xml:space="preserve">De senere årene </w:t>
      </w:r>
      <w:r w:rsidRPr="008B68A9">
        <w:t>har det vært få arbeidskonflikter i forbindelse med mellomoppgjørene.</w:t>
      </w:r>
    </w:p>
    <w:p w14:paraId="5EC4A6A1" w14:textId="77777777" w:rsidR="00FE5660" w:rsidRDefault="00FE5660">
      <w:pPr>
        <w:spacing w:after="0"/>
        <w:rPr>
          <w:rFonts w:ascii="Arial" w:eastAsia="Times New Roman" w:hAnsi="Arial" w:cstheme="minorBidi"/>
          <w:spacing w:val="4"/>
          <w:szCs w:val="22"/>
        </w:rPr>
      </w:pPr>
      <w:r>
        <w:br w:type="page"/>
      </w:r>
    </w:p>
    <w:p w14:paraId="4C0D8551" w14:textId="36AE7B80" w:rsidR="00086FB8" w:rsidRPr="006B32D2" w:rsidRDefault="00086FB8" w:rsidP="00086FB8">
      <w:pPr>
        <w:pStyle w:val="tabell-tittel"/>
        <w:numPr>
          <w:ilvl w:val="0"/>
          <w:numId w:val="0"/>
        </w:numPr>
        <w:spacing w:after="0"/>
        <w:rPr>
          <w:sz w:val="18"/>
          <w:szCs w:val="18"/>
        </w:rPr>
      </w:pPr>
      <w:r>
        <w:t xml:space="preserve">Tabell 5.3 </w:t>
      </w:r>
      <w:r w:rsidRPr="00551A23">
        <w:t xml:space="preserve">Andelen arbeidstakere med tariffavtale etter bransje/sektor og bedriftsstørrelse. Privat sektor. </w:t>
      </w:r>
      <w:r>
        <w:t xml:space="preserve">4. kvartal </w:t>
      </w:r>
      <w:r w:rsidRPr="00551A23">
        <w:t>20</w:t>
      </w:r>
      <w:r>
        <w:t>14</w:t>
      </w:r>
      <w:r w:rsidRPr="00551A23">
        <w:t xml:space="preserve">. </w:t>
      </w:r>
      <w:r>
        <w:t>Prosent</w:t>
      </w:r>
    </w:p>
    <w:tbl>
      <w:tblPr>
        <w:tblStyle w:val="TrykketTabell"/>
        <w:tblW w:w="5000" w:type="pct"/>
        <w:tblLook w:val="04A0" w:firstRow="1" w:lastRow="0" w:firstColumn="1" w:lastColumn="0" w:noHBand="0" w:noVBand="1"/>
      </w:tblPr>
      <w:tblGrid>
        <w:gridCol w:w="4869"/>
        <w:gridCol w:w="4201"/>
      </w:tblGrid>
      <w:tr w:rsidR="00086FB8" w:rsidRPr="00826B5A" w14:paraId="25A44235" w14:textId="77777777" w:rsidTr="00FE5660">
        <w:trPr>
          <w:cnfStyle w:val="100000000000" w:firstRow="1" w:lastRow="0" w:firstColumn="0" w:lastColumn="0" w:oddVBand="0" w:evenVBand="0" w:oddHBand="0" w:evenHBand="0" w:firstRowFirstColumn="0" w:firstRowLastColumn="0" w:lastRowFirstColumn="0" w:lastRowLastColumn="0"/>
          <w:tblHeader/>
        </w:trPr>
        <w:tc>
          <w:tcPr>
            <w:tcW w:w="2684" w:type="pct"/>
          </w:tcPr>
          <w:p w14:paraId="3DC05529" w14:textId="77777777" w:rsidR="00086FB8" w:rsidRPr="00826B5A" w:rsidRDefault="00086FB8" w:rsidP="008D32BA">
            <w:pPr>
              <w:rPr>
                <w:rFonts w:ascii="Times New Roman" w:hAnsi="Times New Roman"/>
                <w:i/>
              </w:rPr>
            </w:pPr>
            <w:r w:rsidRPr="00826B5A">
              <w:rPr>
                <w:rFonts w:ascii="Times New Roman" w:hAnsi="Times New Roman"/>
                <w:i/>
              </w:rPr>
              <w:t>Bransje/sektor</w:t>
            </w:r>
          </w:p>
        </w:tc>
        <w:tc>
          <w:tcPr>
            <w:tcW w:w="2316" w:type="pct"/>
            <w:hideMark/>
          </w:tcPr>
          <w:p w14:paraId="168FCC7B" w14:textId="77777777" w:rsidR="00086FB8" w:rsidRPr="00826B5A" w:rsidRDefault="00086FB8" w:rsidP="008D32BA">
            <w:pPr>
              <w:jc w:val="right"/>
              <w:rPr>
                <w:rFonts w:ascii="Times New Roman" w:hAnsi="Times New Roman"/>
                <w:i/>
              </w:rPr>
            </w:pPr>
            <w:r w:rsidRPr="00826B5A">
              <w:rPr>
                <w:rFonts w:ascii="Times New Roman" w:hAnsi="Times New Roman"/>
                <w:i/>
              </w:rPr>
              <w:t>Prosent</w:t>
            </w:r>
          </w:p>
        </w:tc>
      </w:tr>
      <w:tr w:rsidR="00086FB8" w:rsidRPr="00826B5A" w14:paraId="3CD6655A" w14:textId="77777777" w:rsidTr="00FE5660">
        <w:trPr>
          <w:trHeight w:val="300"/>
        </w:trPr>
        <w:tc>
          <w:tcPr>
            <w:tcW w:w="2684" w:type="pct"/>
            <w:tcBorders>
              <w:top w:val="single" w:sz="4" w:space="0" w:color="auto"/>
              <w:bottom w:val="nil"/>
            </w:tcBorders>
            <w:noWrap/>
            <w:hideMark/>
          </w:tcPr>
          <w:p w14:paraId="298CB596"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Transport og lagring</w:t>
            </w:r>
          </w:p>
        </w:tc>
        <w:tc>
          <w:tcPr>
            <w:tcW w:w="2316" w:type="pct"/>
            <w:tcBorders>
              <w:top w:val="single" w:sz="4" w:space="0" w:color="auto"/>
              <w:bottom w:val="nil"/>
            </w:tcBorders>
            <w:noWrap/>
            <w:hideMark/>
          </w:tcPr>
          <w:p w14:paraId="161EF62A"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71</w:t>
            </w:r>
          </w:p>
        </w:tc>
      </w:tr>
      <w:tr w:rsidR="00086FB8" w:rsidRPr="00826B5A" w14:paraId="390BF297" w14:textId="77777777" w:rsidTr="00FE5660">
        <w:trPr>
          <w:trHeight w:val="300"/>
        </w:trPr>
        <w:tc>
          <w:tcPr>
            <w:tcW w:w="2684" w:type="pct"/>
            <w:tcBorders>
              <w:top w:val="nil"/>
            </w:tcBorders>
            <w:noWrap/>
            <w:hideMark/>
          </w:tcPr>
          <w:p w14:paraId="07FAFB1A"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Privat undervisning, helse og sosial omsorg</w:t>
            </w:r>
          </w:p>
        </w:tc>
        <w:tc>
          <w:tcPr>
            <w:tcW w:w="2316" w:type="pct"/>
            <w:tcBorders>
              <w:top w:val="nil"/>
            </w:tcBorders>
            <w:noWrap/>
            <w:hideMark/>
          </w:tcPr>
          <w:p w14:paraId="427FB9E9" w14:textId="77777777" w:rsidR="00086FB8" w:rsidRPr="00826B5A" w:rsidRDefault="00086FB8" w:rsidP="008D32BA">
            <w:pPr>
              <w:jc w:val="right"/>
              <w:rPr>
                <w:rFonts w:ascii="Times New Roman" w:hAnsi="Times New Roman"/>
                <w:color w:val="000000"/>
              </w:rPr>
            </w:pPr>
            <w:r>
              <w:rPr>
                <w:rFonts w:ascii="Times New Roman" w:hAnsi="Times New Roman"/>
                <w:color w:val="000000"/>
              </w:rPr>
              <w:t>74</w:t>
            </w:r>
          </w:p>
        </w:tc>
      </w:tr>
      <w:tr w:rsidR="00086FB8" w:rsidRPr="00826B5A" w14:paraId="1019285F" w14:textId="77777777" w:rsidTr="00FE5660">
        <w:trPr>
          <w:trHeight w:val="300"/>
        </w:trPr>
        <w:tc>
          <w:tcPr>
            <w:tcW w:w="2684" w:type="pct"/>
            <w:noWrap/>
            <w:hideMark/>
          </w:tcPr>
          <w:p w14:paraId="1A66679F"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Industri, olje, bergverk</w:t>
            </w:r>
          </w:p>
        </w:tc>
        <w:tc>
          <w:tcPr>
            <w:tcW w:w="2316" w:type="pct"/>
            <w:noWrap/>
            <w:hideMark/>
          </w:tcPr>
          <w:p w14:paraId="65A1ED4A"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6</w:t>
            </w:r>
            <w:r>
              <w:rPr>
                <w:rFonts w:ascii="Times New Roman" w:hAnsi="Times New Roman"/>
                <w:color w:val="000000"/>
              </w:rPr>
              <w:t>5</w:t>
            </w:r>
          </w:p>
        </w:tc>
      </w:tr>
      <w:tr w:rsidR="00086FB8" w:rsidRPr="00826B5A" w14:paraId="2AAA1726" w14:textId="77777777" w:rsidTr="00FE5660">
        <w:trPr>
          <w:trHeight w:val="300"/>
        </w:trPr>
        <w:tc>
          <w:tcPr>
            <w:tcW w:w="2684" w:type="pct"/>
            <w:noWrap/>
            <w:hideMark/>
          </w:tcPr>
          <w:p w14:paraId="302E7AFC"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Finansierings- og forsikringsvirksomhet</w:t>
            </w:r>
          </w:p>
        </w:tc>
        <w:tc>
          <w:tcPr>
            <w:tcW w:w="2316" w:type="pct"/>
            <w:noWrap/>
            <w:hideMark/>
          </w:tcPr>
          <w:p w14:paraId="0230F16A" w14:textId="77777777" w:rsidR="00086FB8" w:rsidRPr="00826B5A" w:rsidRDefault="00086FB8" w:rsidP="008D32BA">
            <w:pPr>
              <w:jc w:val="right"/>
              <w:rPr>
                <w:rFonts w:ascii="Times New Roman" w:hAnsi="Times New Roman"/>
                <w:color w:val="000000"/>
              </w:rPr>
            </w:pPr>
            <w:r>
              <w:rPr>
                <w:rFonts w:ascii="Times New Roman" w:hAnsi="Times New Roman"/>
                <w:color w:val="000000"/>
              </w:rPr>
              <w:t>63</w:t>
            </w:r>
          </w:p>
        </w:tc>
      </w:tr>
      <w:tr w:rsidR="00086FB8" w:rsidRPr="00826B5A" w14:paraId="36E1C2C8" w14:textId="77777777" w:rsidTr="00FE5660">
        <w:trPr>
          <w:trHeight w:val="300"/>
        </w:trPr>
        <w:tc>
          <w:tcPr>
            <w:tcW w:w="2684" w:type="pct"/>
            <w:noWrap/>
            <w:hideMark/>
          </w:tcPr>
          <w:p w14:paraId="5A46C3A7"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Detaljhandel</w:t>
            </w:r>
          </w:p>
        </w:tc>
        <w:tc>
          <w:tcPr>
            <w:tcW w:w="2316" w:type="pct"/>
            <w:noWrap/>
            <w:hideMark/>
          </w:tcPr>
          <w:p w14:paraId="67CCCD02" w14:textId="77777777" w:rsidR="00086FB8" w:rsidRPr="00826B5A" w:rsidRDefault="00086FB8" w:rsidP="008D32BA">
            <w:pPr>
              <w:jc w:val="right"/>
              <w:rPr>
                <w:rFonts w:ascii="Times New Roman" w:hAnsi="Times New Roman"/>
                <w:color w:val="000000"/>
              </w:rPr>
            </w:pPr>
            <w:r>
              <w:rPr>
                <w:rFonts w:ascii="Times New Roman" w:hAnsi="Times New Roman"/>
                <w:color w:val="000000"/>
              </w:rPr>
              <w:t>63</w:t>
            </w:r>
          </w:p>
        </w:tc>
      </w:tr>
      <w:tr w:rsidR="00086FB8" w:rsidRPr="00826B5A" w14:paraId="0BDCE0BC" w14:textId="77777777" w:rsidTr="00FE5660">
        <w:trPr>
          <w:trHeight w:val="300"/>
        </w:trPr>
        <w:tc>
          <w:tcPr>
            <w:tcW w:w="2684" w:type="pct"/>
            <w:noWrap/>
            <w:hideMark/>
          </w:tcPr>
          <w:p w14:paraId="0DFA5291"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Overnattings- og serveringsvirksomhet</w:t>
            </w:r>
            <w:r w:rsidRPr="00826B5A">
              <w:rPr>
                <w:rFonts w:ascii="Times New Roman" w:hAnsi="Times New Roman"/>
                <w:color w:val="000000"/>
                <w:vertAlign w:val="superscript"/>
              </w:rPr>
              <w:t>1</w:t>
            </w:r>
          </w:p>
        </w:tc>
        <w:tc>
          <w:tcPr>
            <w:tcW w:w="2316" w:type="pct"/>
            <w:noWrap/>
            <w:hideMark/>
          </w:tcPr>
          <w:p w14:paraId="573E4B55" w14:textId="77777777" w:rsidR="00086FB8" w:rsidRPr="00826B5A" w:rsidRDefault="00086FB8" w:rsidP="008D32BA">
            <w:pPr>
              <w:jc w:val="right"/>
              <w:rPr>
                <w:rFonts w:ascii="Times New Roman" w:hAnsi="Times New Roman"/>
                <w:color w:val="000000"/>
              </w:rPr>
            </w:pPr>
            <w:r>
              <w:rPr>
                <w:rFonts w:ascii="Times New Roman" w:hAnsi="Times New Roman"/>
                <w:color w:val="000000"/>
              </w:rPr>
              <w:t>58</w:t>
            </w:r>
          </w:p>
        </w:tc>
      </w:tr>
      <w:tr w:rsidR="00086FB8" w:rsidRPr="00826B5A" w14:paraId="43EF3600" w14:textId="77777777" w:rsidTr="00FE5660">
        <w:trPr>
          <w:trHeight w:val="300"/>
        </w:trPr>
        <w:tc>
          <w:tcPr>
            <w:tcW w:w="2684" w:type="pct"/>
            <w:noWrap/>
            <w:hideMark/>
          </w:tcPr>
          <w:p w14:paraId="33A65281" w14:textId="77777777" w:rsidR="00086FB8" w:rsidRPr="00826B5A" w:rsidRDefault="00086FB8" w:rsidP="008D32BA">
            <w:pPr>
              <w:rPr>
                <w:rFonts w:ascii="Times New Roman" w:hAnsi="Times New Roman"/>
                <w:color w:val="000000"/>
                <w:lang w:val="nn-NO"/>
              </w:rPr>
            </w:pPr>
            <w:r w:rsidRPr="00826B5A">
              <w:rPr>
                <w:rFonts w:ascii="Times New Roman" w:hAnsi="Times New Roman"/>
                <w:color w:val="000000"/>
                <w:lang w:val="nn-NO"/>
              </w:rPr>
              <w:t>Bygg, anlegg, el. og kraft</w:t>
            </w:r>
          </w:p>
        </w:tc>
        <w:tc>
          <w:tcPr>
            <w:tcW w:w="2316" w:type="pct"/>
            <w:noWrap/>
            <w:hideMark/>
          </w:tcPr>
          <w:p w14:paraId="0EB80046"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5</w:t>
            </w:r>
            <w:r>
              <w:rPr>
                <w:rFonts w:ascii="Times New Roman" w:hAnsi="Times New Roman"/>
                <w:color w:val="000000"/>
              </w:rPr>
              <w:t>8</w:t>
            </w:r>
          </w:p>
        </w:tc>
      </w:tr>
      <w:tr w:rsidR="00086FB8" w:rsidRPr="00826B5A" w14:paraId="178BBDEC" w14:textId="77777777" w:rsidTr="00FE5660">
        <w:trPr>
          <w:trHeight w:val="300"/>
        </w:trPr>
        <w:tc>
          <w:tcPr>
            <w:tcW w:w="2684" w:type="pct"/>
            <w:noWrap/>
            <w:hideMark/>
          </w:tcPr>
          <w:p w14:paraId="4AF77D29" w14:textId="77777777" w:rsidR="00086FB8" w:rsidRPr="00826B5A" w:rsidRDefault="00086FB8" w:rsidP="008D32BA">
            <w:pPr>
              <w:rPr>
                <w:rFonts w:ascii="Times New Roman" w:hAnsi="Times New Roman"/>
              </w:rPr>
            </w:pPr>
            <w:r>
              <w:rPr>
                <w:rFonts w:ascii="Times New Roman" w:hAnsi="Times New Roman"/>
              </w:rPr>
              <w:t>Kultur og a</w:t>
            </w:r>
            <w:r w:rsidRPr="00826B5A">
              <w:rPr>
                <w:rFonts w:ascii="Times New Roman" w:hAnsi="Times New Roman"/>
              </w:rPr>
              <w:t>nnen tjenesteyting</w:t>
            </w:r>
          </w:p>
        </w:tc>
        <w:tc>
          <w:tcPr>
            <w:tcW w:w="2316" w:type="pct"/>
            <w:noWrap/>
            <w:hideMark/>
          </w:tcPr>
          <w:p w14:paraId="13895B99" w14:textId="77777777" w:rsidR="00086FB8" w:rsidRPr="00826B5A" w:rsidRDefault="00086FB8" w:rsidP="008D32BA">
            <w:pPr>
              <w:jc w:val="right"/>
              <w:rPr>
                <w:rFonts w:ascii="Times New Roman" w:hAnsi="Times New Roman"/>
                <w:color w:val="000000"/>
              </w:rPr>
            </w:pPr>
            <w:r>
              <w:rPr>
                <w:rFonts w:ascii="Times New Roman" w:hAnsi="Times New Roman"/>
                <w:color w:val="000000"/>
              </w:rPr>
              <w:t>46</w:t>
            </w:r>
          </w:p>
        </w:tc>
      </w:tr>
      <w:tr w:rsidR="00086FB8" w:rsidRPr="00826B5A" w14:paraId="1FF65968" w14:textId="77777777" w:rsidTr="00FE5660">
        <w:trPr>
          <w:trHeight w:val="300"/>
        </w:trPr>
        <w:tc>
          <w:tcPr>
            <w:tcW w:w="2684" w:type="pct"/>
            <w:noWrap/>
            <w:hideMark/>
          </w:tcPr>
          <w:p w14:paraId="6701C932"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Forretningsmessig tjenesteyting og fast eiendom</w:t>
            </w:r>
          </w:p>
        </w:tc>
        <w:tc>
          <w:tcPr>
            <w:tcW w:w="2316" w:type="pct"/>
            <w:noWrap/>
            <w:hideMark/>
          </w:tcPr>
          <w:p w14:paraId="4A90616C" w14:textId="77777777" w:rsidR="00086FB8" w:rsidRPr="00826B5A" w:rsidRDefault="00086FB8" w:rsidP="008D32BA">
            <w:pPr>
              <w:jc w:val="right"/>
              <w:rPr>
                <w:rFonts w:ascii="Times New Roman" w:hAnsi="Times New Roman"/>
                <w:color w:val="000000"/>
              </w:rPr>
            </w:pPr>
            <w:r>
              <w:rPr>
                <w:rFonts w:ascii="Times New Roman" w:hAnsi="Times New Roman"/>
                <w:color w:val="000000"/>
              </w:rPr>
              <w:t>50</w:t>
            </w:r>
          </w:p>
        </w:tc>
      </w:tr>
      <w:tr w:rsidR="00086FB8" w:rsidRPr="00826B5A" w14:paraId="554D4649" w14:textId="77777777" w:rsidTr="00FE5660">
        <w:trPr>
          <w:trHeight w:val="300"/>
        </w:trPr>
        <w:tc>
          <w:tcPr>
            <w:tcW w:w="2684" w:type="pct"/>
            <w:noWrap/>
            <w:hideMark/>
          </w:tcPr>
          <w:p w14:paraId="48D0B735"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Informasjon og kommunikasjon</w:t>
            </w:r>
          </w:p>
        </w:tc>
        <w:tc>
          <w:tcPr>
            <w:tcW w:w="2316" w:type="pct"/>
            <w:noWrap/>
            <w:hideMark/>
          </w:tcPr>
          <w:p w14:paraId="0A115096" w14:textId="77777777" w:rsidR="00086FB8" w:rsidRPr="00826B5A" w:rsidRDefault="00086FB8" w:rsidP="008D32BA">
            <w:pPr>
              <w:jc w:val="right"/>
              <w:rPr>
                <w:rFonts w:ascii="Times New Roman" w:hAnsi="Times New Roman"/>
                <w:color w:val="000000"/>
              </w:rPr>
            </w:pPr>
            <w:r>
              <w:rPr>
                <w:rFonts w:ascii="Times New Roman" w:hAnsi="Times New Roman"/>
                <w:color w:val="000000"/>
              </w:rPr>
              <w:t>40</w:t>
            </w:r>
          </w:p>
        </w:tc>
      </w:tr>
      <w:tr w:rsidR="00086FB8" w:rsidRPr="00826B5A" w14:paraId="7A97F7F3" w14:textId="77777777" w:rsidTr="00FE5660">
        <w:trPr>
          <w:trHeight w:val="300"/>
        </w:trPr>
        <w:tc>
          <w:tcPr>
            <w:tcW w:w="2684" w:type="pct"/>
            <w:noWrap/>
            <w:hideMark/>
          </w:tcPr>
          <w:p w14:paraId="108E366A"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Faglig, vitenskapelig og teknisk tjenesteyting</w:t>
            </w:r>
          </w:p>
        </w:tc>
        <w:tc>
          <w:tcPr>
            <w:tcW w:w="2316" w:type="pct"/>
            <w:noWrap/>
            <w:hideMark/>
          </w:tcPr>
          <w:p w14:paraId="3ACA3675"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3</w:t>
            </w:r>
            <w:r>
              <w:rPr>
                <w:rFonts w:ascii="Times New Roman" w:hAnsi="Times New Roman"/>
                <w:color w:val="000000"/>
              </w:rPr>
              <w:t>5</w:t>
            </w:r>
          </w:p>
        </w:tc>
      </w:tr>
      <w:tr w:rsidR="00086FB8" w:rsidRPr="00826B5A" w14:paraId="7294A659" w14:textId="77777777" w:rsidTr="00FE5660">
        <w:trPr>
          <w:trHeight w:val="300"/>
        </w:trPr>
        <w:tc>
          <w:tcPr>
            <w:tcW w:w="2684" w:type="pct"/>
            <w:noWrap/>
            <w:hideMark/>
          </w:tcPr>
          <w:p w14:paraId="33101020"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Engroshandel</w:t>
            </w:r>
          </w:p>
        </w:tc>
        <w:tc>
          <w:tcPr>
            <w:tcW w:w="2316" w:type="pct"/>
            <w:noWrap/>
            <w:hideMark/>
          </w:tcPr>
          <w:p w14:paraId="0A47765E" w14:textId="77777777" w:rsidR="00086FB8" w:rsidRPr="00826B5A" w:rsidRDefault="00086FB8" w:rsidP="008D32BA">
            <w:pPr>
              <w:jc w:val="right"/>
              <w:rPr>
                <w:rFonts w:ascii="Times New Roman" w:hAnsi="Times New Roman"/>
                <w:color w:val="000000"/>
              </w:rPr>
            </w:pPr>
            <w:r>
              <w:rPr>
                <w:rFonts w:ascii="Times New Roman" w:hAnsi="Times New Roman"/>
                <w:color w:val="000000"/>
              </w:rPr>
              <w:t>38</w:t>
            </w:r>
          </w:p>
        </w:tc>
      </w:tr>
      <w:tr w:rsidR="00086FB8" w:rsidRPr="00826B5A" w14:paraId="3CBAA4F1" w14:textId="77777777" w:rsidTr="00FE5660">
        <w:trPr>
          <w:gridAfter w:val="1"/>
          <w:wAfter w:w="2316" w:type="pct"/>
          <w:trHeight w:val="300"/>
        </w:trPr>
        <w:tc>
          <w:tcPr>
            <w:tcW w:w="2684" w:type="pct"/>
            <w:noWrap/>
            <w:hideMark/>
          </w:tcPr>
          <w:p w14:paraId="26DB0E27" w14:textId="77777777" w:rsidR="00086FB8" w:rsidRPr="00826B5A" w:rsidRDefault="00086FB8" w:rsidP="008D32BA">
            <w:pPr>
              <w:rPr>
                <w:rFonts w:ascii="Times New Roman" w:hAnsi="Times New Roman"/>
                <w:i/>
                <w:color w:val="000000"/>
              </w:rPr>
            </w:pPr>
            <w:r w:rsidRPr="00826B5A">
              <w:rPr>
                <w:rFonts w:ascii="Times New Roman" w:hAnsi="Times New Roman"/>
                <w:i/>
                <w:color w:val="000000"/>
              </w:rPr>
              <w:t>Bedriftsstørrelse</w:t>
            </w:r>
          </w:p>
        </w:tc>
      </w:tr>
      <w:tr w:rsidR="00086FB8" w:rsidRPr="00826B5A" w14:paraId="5C3814BE" w14:textId="77777777" w:rsidTr="00FE5660">
        <w:trPr>
          <w:trHeight w:val="300"/>
        </w:trPr>
        <w:tc>
          <w:tcPr>
            <w:tcW w:w="2684" w:type="pct"/>
            <w:noWrap/>
            <w:hideMark/>
          </w:tcPr>
          <w:p w14:paraId="5F5682EC"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1–</w:t>
            </w:r>
            <w:r>
              <w:rPr>
                <w:rFonts w:ascii="Times New Roman" w:hAnsi="Times New Roman"/>
                <w:color w:val="000000"/>
              </w:rPr>
              <w:t>5</w:t>
            </w:r>
            <w:r w:rsidRPr="00826B5A">
              <w:rPr>
                <w:rFonts w:ascii="Times New Roman" w:hAnsi="Times New Roman"/>
                <w:color w:val="000000"/>
              </w:rPr>
              <w:t xml:space="preserve"> ansatte</w:t>
            </w:r>
          </w:p>
        </w:tc>
        <w:tc>
          <w:tcPr>
            <w:tcW w:w="2316" w:type="pct"/>
            <w:noWrap/>
            <w:hideMark/>
          </w:tcPr>
          <w:p w14:paraId="14E97B9E"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3</w:t>
            </w:r>
            <w:r>
              <w:rPr>
                <w:rFonts w:ascii="Times New Roman" w:hAnsi="Times New Roman"/>
                <w:color w:val="000000"/>
              </w:rPr>
              <w:t>6</w:t>
            </w:r>
          </w:p>
        </w:tc>
      </w:tr>
      <w:tr w:rsidR="00086FB8" w:rsidRPr="00826B5A" w14:paraId="5BACE84E" w14:textId="77777777" w:rsidTr="00FE5660">
        <w:trPr>
          <w:trHeight w:val="300"/>
        </w:trPr>
        <w:tc>
          <w:tcPr>
            <w:tcW w:w="2684" w:type="pct"/>
            <w:noWrap/>
            <w:hideMark/>
          </w:tcPr>
          <w:p w14:paraId="6E80ADA3" w14:textId="3939531E" w:rsidR="00086FB8" w:rsidRPr="00826B5A" w:rsidRDefault="00FE5660" w:rsidP="008D32BA">
            <w:pPr>
              <w:rPr>
                <w:rFonts w:ascii="Times New Roman" w:hAnsi="Times New Roman"/>
                <w:color w:val="000000"/>
              </w:rPr>
            </w:pPr>
            <w:r>
              <w:rPr>
                <w:rFonts w:ascii="Times New Roman" w:hAnsi="Times New Roman"/>
                <w:color w:val="000000"/>
              </w:rPr>
              <w:t xml:space="preserve"> </w:t>
            </w:r>
            <w:r w:rsidR="00086FB8">
              <w:rPr>
                <w:rFonts w:ascii="Times New Roman" w:hAnsi="Times New Roman"/>
                <w:color w:val="000000"/>
              </w:rPr>
              <w:t>6</w:t>
            </w:r>
            <w:r w:rsidR="00086FB8" w:rsidRPr="00826B5A">
              <w:rPr>
                <w:rFonts w:ascii="Times New Roman" w:hAnsi="Times New Roman"/>
                <w:color w:val="000000"/>
              </w:rPr>
              <w:t>–9 ansatte</w:t>
            </w:r>
          </w:p>
        </w:tc>
        <w:tc>
          <w:tcPr>
            <w:tcW w:w="2316" w:type="pct"/>
            <w:noWrap/>
            <w:hideMark/>
          </w:tcPr>
          <w:p w14:paraId="599246A4"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4</w:t>
            </w:r>
            <w:r>
              <w:rPr>
                <w:rFonts w:ascii="Times New Roman" w:hAnsi="Times New Roman"/>
                <w:color w:val="000000"/>
              </w:rPr>
              <w:t>7</w:t>
            </w:r>
          </w:p>
        </w:tc>
      </w:tr>
      <w:tr w:rsidR="00086FB8" w:rsidRPr="00826B5A" w14:paraId="406FFF91" w14:textId="77777777" w:rsidTr="00FE5660">
        <w:trPr>
          <w:trHeight w:val="300"/>
        </w:trPr>
        <w:tc>
          <w:tcPr>
            <w:tcW w:w="2684" w:type="pct"/>
            <w:noWrap/>
            <w:hideMark/>
          </w:tcPr>
          <w:p w14:paraId="1358D34D"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10–19 ansatte</w:t>
            </w:r>
          </w:p>
        </w:tc>
        <w:tc>
          <w:tcPr>
            <w:tcW w:w="2316" w:type="pct"/>
            <w:noWrap/>
            <w:hideMark/>
          </w:tcPr>
          <w:p w14:paraId="51AEF814"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5</w:t>
            </w:r>
            <w:r>
              <w:rPr>
                <w:rFonts w:ascii="Times New Roman" w:hAnsi="Times New Roman"/>
                <w:color w:val="000000"/>
              </w:rPr>
              <w:t>7</w:t>
            </w:r>
          </w:p>
        </w:tc>
      </w:tr>
      <w:tr w:rsidR="00086FB8" w:rsidRPr="00826B5A" w14:paraId="06838044" w14:textId="77777777" w:rsidTr="00FE5660">
        <w:trPr>
          <w:trHeight w:val="300"/>
        </w:trPr>
        <w:tc>
          <w:tcPr>
            <w:tcW w:w="2684" w:type="pct"/>
            <w:noWrap/>
            <w:hideMark/>
          </w:tcPr>
          <w:p w14:paraId="23AC3186"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20–49 ansatte</w:t>
            </w:r>
          </w:p>
        </w:tc>
        <w:tc>
          <w:tcPr>
            <w:tcW w:w="2316" w:type="pct"/>
            <w:noWrap/>
            <w:hideMark/>
          </w:tcPr>
          <w:p w14:paraId="1FF49EF9" w14:textId="77777777" w:rsidR="00086FB8" w:rsidRPr="00826B5A" w:rsidRDefault="00086FB8" w:rsidP="008D32BA">
            <w:pPr>
              <w:jc w:val="right"/>
              <w:rPr>
                <w:rFonts w:ascii="Times New Roman" w:hAnsi="Times New Roman"/>
                <w:color w:val="000000"/>
              </w:rPr>
            </w:pPr>
            <w:r>
              <w:rPr>
                <w:rFonts w:ascii="Times New Roman" w:hAnsi="Times New Roman"/>
                <w:color w:val="000000"/>
              </w:rPr>
              <w:t>61</w:t>
            </w:r>
          </w:p>
        </w:tc>
      </w:tr>
      <w:tr w:rsidR="00086FB8" w:rsidRPr="00826B5A" w14:paraId="7C5361C4" w14:textId="77777777" w:rsidTr="00FE5660">
        <w:trPr>
          <w:trHeight w:val="300"/>
        </w:trPr>
        <w:tc>
          <w:tcPr>
            <w:tcW w:w="2684" w:type="pct"/>
            <w:noWrap/>
            <w:hideMark/>
          </w:tcPr>
          <w:p w14:paraId="7DDC60F4"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50–99 ansatte</w:t>
            </w:r>
          </w:p>
        </w:tc>
        <w:tc>
          <w:tcPr>
            <w:tcW w:w="2316" w:type="pct"/>
            <w:noWrap/>
            <w:hideMark/>
          </w:tcPr>
          <w:p w14:paraId="0A806FF3"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6</w:t>
            </w:r>
            <w:r>
              <w:rPr>
                <w:rFonts w:ascii="Times New Roman" w:hAnsi="Times New Roman"/>
                <w:color w:val="000000"/>
              </w:rPr>
              <w:t>1</w:t>
            </w:r>
          </w:p>
        </w:tc>
      </w:tr>
      <w:tr w:rsidR="00086FB8" w:rsidRPr="00826B5A" w14:paraId="5B5F4E8E" w14:textId="77777777" w:rsidTr="00FE5660">
        <w:trPr>
          <w:trHeight w:val="315"/>
        </w:trPr>
        <w:tc>
          <w:tcPr>
            <w:tcW w:w="2684" w:type="pct"/>
            <w:noWrap/>
            <w:hideMark/>
          </w:tcPr>
          <w:p w14:paraId="25DA87A7"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100–199 ansatte</w:t>
            </w:r>
          </w:p>
        </w:tc>
        <w:tc>
          <w:tcPr>
            <w:tcW w:w="2316" w:type="pct"/>
            <w:noWrap/>
            <w:hideMark/>
          </w:tcPr>
          <w:p w14:paraId="4B92D76D" w14:textId="77777777" w:rsidR="00086FB8" w:rsidRPr="00826B5A" w:rsidRDefault="00086FB8" w:rsidP="008D32BA">
            <w:pPr>
              <w:jc w:val="right"/>
              <w:rPr>
                <w:rFonts w:ascii="Times New Roman" w:hAnsi="Times New Roman"/>
                <w:color w:val="000000"/>
              </w:rPr>
            </w:pPr>
            <w:r>
              <w:rPr>
                <w:rFonts w:ascii="Times New Roman" w:hAnsi="Times New Roman"/>
                <w:color w:val="000000"/>
              </w:rPr>
              <w:t>64</w:t>
            </w:r>
          </w:p>
        </w:tc>
      </w:tr>
      <w:tr w:rsidR="00086FB8" w:rsidRPr="00826B5A" w14:paraId="60E66AF0" w14:textId="77777777" w:rsidTr="00FE5660">
        <w:trPr>
          <w:trHeight w:val="300"/>
        </w:trPr>
        <w:tc>
          <w:tcPr>
            <w:tcW w:w="2684" w:type="pct"/>
            <w:noWrap/>
            <w:hideMark/>
          </w:tcPr>
          <w:p w14:paraId="7255953E" w14:textId="77777777" w:rsidR="00086FB8" w:rsidRPr="00826B5A" w:rsidRDefault="00086FB8" w:rsidP="008D32BA">
            <w:pPr>
              <w:rPr>
                <w:rFonts w:ascii="Times New Roman" w:hAnsi="Times New Roman"/>
                <w:color w:val="000000"/>
              </w:rPr>
            </w:pPr>
            <w:r w:rsidRPr="00826B5A">
              <w:rPr>
                <w:rFonts w:ascii="Times New Roman" w:hAnsi="Times New Roman"/>
                <w:color w:val="000000"/>
              </w:rPr>
              <w:t xml:space="preserve"> Over 200 ansatte</w:t>
            </w:r>
          </w:p>
        </w:tc>
        <w:tc>
          <w:tcPr>
            <w:tcW w:w="2316" w:type="pct"/>
            <w:noWrap/>
            <w:hideMark/>
          </w:tcPr>
          <w:p w14:paraId="584B6ECC" w14:textId="77777777" w:rsidR="00086FB8" w:rsidRPr="00826B5A" w:rsidRDefault="00086FB8" w:rsidP="008D32BA">
            <w:pPr>
              <w:jc w:val="right"/>
              <w:rPr>
                <w:rFonts w:ascii="Times New Roman" w:hAnsi="Times New Roman"/>
                <w:color w:val="000000"/>
              </w:rPr>
            </w:pPr>
            <w:r w:rsidRPr="00826B5A">
              <w:rPr>
                <w:rFonts w:ascii="Times New Roman" w:hAnsi="Times New Roman"/>
                <w:color w:val="000000"/>
              </w:rPr>
              <w:t>6</w:t>
            </w:r>
            <w:r>
              <w:rPr>
                <w:rFonts w:ascii="Times New Roman" w:hAnsi="Times New Roman"/>
                <w:color w:val="000000"/>
              </w:rPr>
              <w:t>6</w:t>
            </w:r>
          </w:p>
        </w:tc>
      </w:tr>
    </w:tbl>
    <w:p w14:paraId="02A1696F" w14:textId="77777777" w:rsidR="00086FB8" w:rsidRPr="0046091B" w:rsidRDefault="00086FB8" w:rsidP="003F5F82">
      <w:pPr>
        <w:pStyle w:val="tabell-noter"/>
        <w:numPr>
          <w:ilvl w:val="0"/>
          <w:numId w:val="59"/>
        </w:numPr>
        <w:tabs>
          <w:tab w:val="clear" w:pos="284"/>
          <w:tab w:val="left" w:pos="142"/>
        </w:tabs>
        <w:ind w:left="142" w:hanging="142"/>
      </w:pPr>
      <w:r w:rsidRPr="0046091B">
        <w:t>Det er usikkerhet knyt</w:t>
      </w:r>
      <w:r>
        <w:t>t</w:t>
      </w:r>
      <w:r w:rsidRPr="0046091B">
        <w:t>et til dette tallet. I utvalgsundersøkelsen svarer 5</w:t>
      </w:r>
      <w:r>
        <w:t>8</w:t>
      </w:r>
      <w:r w:rsidRPr="0046091B">
        <w:t xml:space="preserve"> prosent av arbeidstaker</w:t>
      </w:r>
      <w:r>
        <w:t>ne</w:t>
      </w:r>
      <w:r w:rsidRPr="0046091B">
        <w:t xml:space="preserve"> i overnattings- og serveringsvirksomhet at de har tariffavtale, mens registerdata (jf. Fafo-rapport 2010:47) tilsier at tariffavtaledekningen er vesentlig lavere.</w:t>
      </w:r>
    </w:p>
    <w:p w14:paraId="05567E8D" w14:textId="77777777" w:rsidR="00086FB8" w:rsidRDefault="00086FB8" w:rsidP="00086FB8">
      <w:pPr>
        <w:pStyle w:val="Kilde"/>
      </w:pPr>
      <w:r w:rsidRPr="0046091B">
        <w:t xml:space="preserve">Kilde: </w:t>
      </w:r>
      <w:r>
        <w:t>Fafo-notat 2014:14 med oppdaterte tall for 2014</w:t>
      </w:r>
    </w:p>
    <w:p w14:paraId="7C1E9006" w14:textId="07C33137" w:rsidR="00086FB8" w:rsidRDefault="00086FB8" w:rsidP="00086FB8"/>
    <w:p w14:paraId="3B8836C2" w14:textId="77777777" w:rsidR="00086FB8" w:rsidRDefault="00086FB8" w:rsidP="00086FB8"/>
    <w:p w14:paraId="73A97EA0" w14:textId="77777777" w:rsidR="00086FB8" w:rsidRDefault="00086FB8" w:rsidP="00086FB8">
      <w:r>
        <w:rPr>
          <w:noProof/>
        </w:rPr>
        <w:drawing>
          <wp:inline distT="0" distB="0" distL="0" distR="0" wp14:anchorId="2D544744" wp14:editId="153ECDE7">
            <wp:extent cx="4222143" cy="2838450"/>
            <wp:effectExtent l="0" t="0" r="6985" b="0"/>
            <wp:docPr id="78" name="Bilde 78" descr="C:\Users\asd1311\AppData\Local\Microsoft\Windows\Temporary Internet Files\Content.Word\V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d1311\AppData\Local\Microsoft\Windows\Temporary Internet Files\Content.Word\V5-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39531" cy="2850140"/>
                    </a:xfrm>
                    <a:prstGeom prst="rect">
                      <a:avLst/>
                    </a:prstGeom>
                    <a:noFill/>
                    <a:ln>
                      <a:noFill/>
                    </a:ln>
                  </pic:spPr>
                </pic:pic>
              </a:graphicData>
            </a:graphic>
          </wp:inline>
        </w:drawing>
      </w:r>
    </w:p>
    <w:p w14:paraId="486BAB46" w14:textId="77777777" w:rsidR="00086FB8" w:rsidRPr="00C6077B" w:rsidRDefault="00086FB8" w:rsidP="00086FB8">
      <w:pPr>
        <w:rPr>
          <w:rFonts w:ascii="Arial" w:hAnsi="Arial" w:cs="Arial"/>
        </w:rPr>
      </w:pPr>
      <w:r w:rsidRPr="00C6077B">
        <w:rPr>
          <w:rFonts w:ascii="Arial" w:hAnsi="Arial" w:cs="Arial"/>
        </w:rPr>
        <w:t>Figur 5.</w:t>
      </w:r>
      <w:r>
        <w:rPr>
          <w:rFonts w:ascii="Arial" w:hAnsi="Arial" w:cs="Arial"/>
        </w:rPr>
        <w:t>3</w:t>
      </w:r>
      <w:r w:rsidRPr="00C6077B">
        <w:rPr>
          <w:rFonts w:ascii="Arial" w:hAnsi="Arial" w:cs="Arial"/>
        </w:rPr>
        <w:t xml:space="preserve"> Antall streiker og tapte arbeidsdager. 1992-201</w:t>
      </w:r>
      <w:r>
        <w:rPr>
          <w:rFonts w:ascii="Arial" w:hAnsi="Arial" w:cs="Arial"/>
        </w:rPr>
        <w:t>4</w:t>
      </w:r>
      <w:r w:rsidRPr="00C6077B">
        <w:rPr>
          <w:rFonts w:ascii="Arial" w:hAnsi="Arial" w:cs="Arial"/>
        </w:rPr>
        <w:t xml:space="preserve">. </w:t>
      </w:r>
    </w:p>
    <w:p w14:paraId="65966CAD" w14:textId="77777777" w:rsidR="00086FB8" w:rsidRDefault="00086FB8" w:rsidP="00086FB8">
      <w:pPr>
        <w:pStyle w:val="Kilde"/>
      </w:pPr>
      <w:r>
        <w:t>Kilde: Statistisk sentralbyrå</w:t>
      </w:r>
    </w:p>
    <w:p w14:paraId="56D4174A" w14:textId="77777777" w:rsidR="00086FB8" w:rsidRPr="00285E1F" w:rsidRDefault="00086FB8" w:rsidP="00086FB8">
      <w:pPr>
        <w:pStyle w:val="tittel-ramme"/>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spacing w:after="240"/>
      </w:pPr>
      <w:r>
        <w:t xml:space="preserve">Boks 5.1 </w:t>
      </w:r>
      <w:r w:rsidRPr="00285E1F">
        <w:t>Gjeldende forskrifter om allmenngjøring av tariffavtaler</w:t>
      </w:r>
    </w:p>
    <w:p w14:paraId="218E680C" w14:textId="77777777" w:rsidR="00086FB8" w:rsidRPr="00512985" w:rsidRDefault="005B3209" w:rsidP="00086FB8">
      <w:pPr>
        <w:pBdr>
          <w:top w:val="single" w:sz="4" w:space="1" w:color="auto"/>
          <w:left w:val="single" w:sz="4" w:space="1" w:color="auto"/>
          <w:bottom w:val="single" w:sz="4" w:space="1" w:color="auto"/>
          <w:right w:val="single" w:sz="4" w:space="1" w:color="auto"/>
        </w:pBdr>
        <w:shd w:val="clear" w:color="auto" w:fill="F2F2F2" w:themeFill="background1" w:themeFillShade="F2"/>
        <w:spacing w:after="0"/>
        <w:rPr>
          <w:i/>
        </w:rPr>
      </w:pPr>
      <w:hyperlink r:id="rId89" w:tgtFrame="_blank" w:tooltip="Forskrift om allmenngjøring av tariffavtale for jordbruks- og gartnerinæringene" w:history="1">
        <w:r w:rsidR="00086FB8" w:rsidRPr="00512985">
          <w:rPr>
            <w:i/>
          </w:rPr>
          <w:t>Forskrift om allmenngjøring av tariffavtale for jordbruks- og gartnerinæringene</w:t>
        </w:r>
      </w:hyperlink>
      <w:r w:rsidR="00086FB8" w:rsidRPr="00512985">
        <w:rPr>
          <w:i/>
        </w:rPr>
        <w:t xml:space="preserve">  </w:t>
      </w:r>
    </w:p>
    <w:p w14:paraId="6F3A58FE"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spacing w:after="100" w:afterAutospacing="1"/>
      </w:pPr>
      <w:r w:rsidRPr="00C6445C">
        <w:t>Forskriften er fastsatt på grunnlag av overenskomsten for jordbruks- og gartnerinæringene 201</w:t>
      </w:r>
      <w:r>
        <w:t>4</w:t>
      </w:r>
      <w:r w:rsidRPr="00C6445C">
        <w:t>–201</w:t>
      </w:r>
      <w:r>
        <w:t>6</w:t>
      </w:r>
      <w:r w:rsidRPr="00C6445C">
        <w:t xml:space="preserve"> mellom Næringslivets Hovedorganisasjon </w:t>
      </w:r>
      <w:r>
        <w:t xml:space="preserve">og </w:t>
      </w:r>
      <w:r w:rsidRPr="00C6445C">
        <w:t>NHO Mat og Landbruk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r>
        <w:t xml:space="preserve"> </w:t>
      </w:r>
    </w:p>
    <w:p w14:paraId="2C74F0CD"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For ferie- og innhøstingshjelp er det vedtatt følgende minstelønnssatser per time: for arbeidstakere som er 16-17 år: 89,65 kroner, arbeidstakere som er 17-18 år: 92,65 kroner, for arbeidstakere over 18 år og som er ansatt inntil 12 uker: 111,15 kroner og for de over 18 år som er ansatt mellom 12-24 uker (3-6 måneder): 116,65 kroner. Arbeidstakere over 18 år som er ansatt mer enn 6 måneder skal ha lønn som ufaglært fast ansatt, der satsene er 131,05 kroner for ufaglærte arbeidstakere, 97,65 kroner for arbeidstakere som er 16-17 år, 101,65 kroner for arbeidstakere i aldersgruppen 17-18 år. Fagarbeidere skal gis et tillegg på 10 kroner per time. I tillegg er det allmenngjort hellig- og helgedagstillegg. </w:t>
      </w:r>
    </w:p>
    <w:p w14:paraId="1D46AAF0" w14:textId="77777777" w:rsidR="00086FB8" w:rsidRPr="00512985" w:rsidRDefault="005B3209" w:rsidP="00086FB8">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90" w:tgtFrame="_blank" w:history="1">
        <w:r w:rsidR="00086FB8" w:rsidRPr="00512985">
          <w:rPr>
            <w:i/>
          </w:rPr>
          <w:t>Forskrift om allmenngjøring av tariffavtale for byggeplasser i Norge</w:t>
        </w:r>
      </w:hyperlink>
      <w:r w:rsidR="00086FB8" w:rsidRPr="00512985">
        <w:rPr>
          <w:i/>
        </w:rPr>
        <w:t xml:space="preserve"> </w:t>
      </w:r>
    </w:p>
    <w:p w14:paraId="3B187116"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C6445C">
        <w:t>Denne forskriften er fastsatt på grunnlag av Fellesoverenskomsten for byggfag (FOB) 201</w:t>
      </w:r>
      <w:r>
        <w:t>4</w:t>
      </w:r>
      <w:r w:rsidRPr="00C6445C">
        <w:t>–201</w:t>
      </w:r>
      <w:r>
        <w:t>6</w:t>
      </w:r>
      <w:r w:rsidRPr="00C6445C">
        <w:t xml:space="preserve"> mellom Næringslivets Hovedorganisasjon og Byggenæringens Landsforening på den ene side og Landsorganisasjonen i Norge og Fellesforbundet på den annen side.</w:t>
      </w:r>
      <w:r w:rsidRPr="005A7E85">
        <w:t xml:space="preserve"> </w:t>
      </w:r>
      <w:r w:rsidRPr="00C6445C">
        <w:t xml:space="preserve">Forskriften gjelder for faglærte og ufaglærte arbeidstakere som utfører bygningsarbeid på byggeplasser. </w:t>
      </w:r>
      <w:r>
        <w:t xml:space="preserve">Minstelønnssatsene per time er 187,80 kroner for faglærte, 168,80 kroner for ufaglærte uten bransjeerfaring, 176,00 kroner for ufaglærte med minst ett års bransjeerfaring og 113,20 kroner for arbeidstakere under 18 år. </w:t>
      </w:r>
    </w:p>
    <w:p w14:paraId="33B71FCD"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p>
    <w:p w14:paraId="134BC7E7" w14:textId="77777777" w:rsidR="00086FB8" w:rsidRPr="00512985" w:rsidRDefault="005B3209" w:rsidP="00086FB8">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91" w:tgtFrame="_blank" w:history="1">
        <w:r w:rsidR="00086FB8" w:rsidRPr="00512985">
          <w:rPr>
            <w:i/>
          </w:rPr>
          <w:t xml:space="preserve">Forskrift om delvis allmenngjøring av </w:t>
        </w:r>
        <w:r w:rsidR="00086FB8">
          <w:rPr>
            <w:i/>
          </w:rPr>
          <w:t>Industri</w:t>
        </w:r>
        <w:r w:rsidR="00086FB8" w:rsidRPr="00512985">
          <w:rPr>
            <w:i/>
          </w:rPr>
          <w:t>overenskomsten for skips- og verftsindustrien</w:t>
        </w:r>
      </w:hyperlink>
      <w:r w:rsidR="00086FB8" w:rsidRPr="00512985">
        <w:rPr>
          <w:i/>
        </w:rPr>
        <w:t xml:space="preserve"> </w:t>
      </w:r>
    </w:p>
    <w:p w14:paraId="5D40A6E2"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C6445C">
        <w:t xml:space="preserve">Forskriften er fastsatt på grunnlag av </w:t>
      </w:r>
      <w:r>
        <w:t>Industri</w:t>
      </w:r>
      <w:r w:rsidRPr="00C6445C">
        <w:t>overenskomsten (VO</w:t>
      </w:r>
      <w:r>
        <w:t>-delen</w:t>
      </w:r>
      <w:r w:rsidRPr="00C6445C">
        <w:t>) 201</w:t>
      </w:r>
      <w:r>
        <w:t>4</w:t>
      </w:r>
      <w:r w:rsidRPr="00C6445C">
        <w:t>–201</w:t>
      </w:r>
      <w:r>
        <w:t>6</w:t>
      </w:r>
      <w:r w:rsidRPr="00C6445C">
        <w:t xml:space="preserve"> mellom Næringslivets Hovedorganisasjon og Norsk Industri på den ene siden og Landsorganisasjonen i Norge og Fellesforbundet på den annen side.</w:t>
      </w:r>
      <w:r w:rsidRPr="005A7E85">
        <w:t xml:space="preserve"> </w:t>
      </w:r>
      <w:r w:rsidRPr="00C6445C">
        <w:t xml:space="preserve">Forskriften gjelder fagarbeidere, spesialarbeidere og hjelpearbeidere som utfører produksjons-, montasje- og installasjonsarbeid i skips- og verftsindustrien. </w:t>
      </w:r>
      <w:r>
        <w:t xml:space="preserve">Minstelønnssatsene per time er 160,15 kroner for fagarbeidere, 152,85 kroner for spesialarbeidere og 145,64 kroner for hjelpearbeidere. Allmenngjorte tillegg for ulike typer skiftarbeid er om lag de samme satsene som gjelder i Industrioverenskomsten. </w:t>
      </w:r>
    </w:p>
    <w:p w14:paraId="144F0E43" w14:textId="77777777" w:rsidR="00086FB8" w:rsidRPr="004008F1" w:rsidRDefault="005B3209" w:rsidP="00086FB8">
      <w:pPr>
        <w:pBdr>
          <w:top w:val="single" w:sz="4" w:space="1" w:color="auto"/>
          <w:left w:val="single" w:sz="4" w:space="1" w:color="auto"/>
          <w:bottom w:val="single" w:sz="4" w:space="1" w:color="auto"/>
          <w:right w:val="single" w:sz="4" w:space="1" w:color="auto"/>
        </w:pBdr>
        <w:shd w:val="clear" w:color="auto" w:fill="F2F2F2" w:themeFill="background1" w:themeFillShade="F2"/>
        <w:spacing w:before="360" w:after="0"/>
        <w:rPr>
          <w:i/>
        </w:rPr>
      </w:pPr>
      <w:hyperlink r:id="rId92" w:tgtFrame="_blank" w:history="1">
        <w:r w:rsidR="00086FB8" w:rsidRPr="004008F1">
          <w:rPr>
            <w:i/>
          </w:rPr>
          <w:t>Forskrift om allmenngjøring av tariffavtale for renholdsbedrifter</w:t>
        </w:r>
      </w:hyperlink>
      <w:r w:rsidR="00086FB8" w:rsidRPr="004008F1">
        <w:rPr>
          <w:i/>
        </w:rPr>
        <w:t xml:space="preserve">  </w:t>
      </w:r>
    </w:p>
    <w:p w14:paraId="37E2D1DE"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rPr>
          <w:lang w:eastAsia="zh-CN"/>
        </w:rPr>
      </w:pPr>
      <w:r w:rsidRPr="000E3225">
        <w:rPr>
          <w:lang w:eastAsia="zh-CN"/>
        </w:rPr>
        <w:t>Forskriften er fastsatt på grunnlag av Overenskomst for Renholdsbedrifter 201</w:t>
      </w:r>
      <w:r>
        <w:rPr>
          <w:lang w:eastAsia="zh-CN"/>
        </w:rPr>
        <w:t>4</w:t>
      </w:r>
      <w:r w:rsidRPr="000E3225">
        <w:rPr>
          <w:lang w:eastAsia="zh-CN"/>
        </w:rPr>
        <w:t>–201</w:t>
      </w:r>
      <w:r>
        <w:rPr>
          <w:lang w:eastAsia="zh-CN"/>
        </w:rPr>
        <w:t>6</w:t>
      </w:r>
      <w:r w:rsidRPr="000E3225">
        <w:rPr>
          <w:lang w:eastAsia="zh-CN"/>
        </w:rPr>
        <w:t xml:space="preserve"> mellom Næringslivets Hovedorganisasjon og NHO Service den ene side og Landsorganisasjonen i Norge og Norsk Arbeidsmandsforbund på den annen side. Forskriften gjelder for private bedrifter som driver salg av renholdstjenester, og </w:t>
      </w:r>
      <w:r>
        <w:rPr>
          <w:lang w:eastAsia="zh-CN"/>
        </w:rPr>
        <w:t>gjelder for</w:t>
      </w:r>
      <w:r w:rsidRPr="000E3225">
        <w:rPr>
          <w:lang w:eastAsia="zh-CN"/>
        </w:rPr>
        <w:t xml:space="preserve"> ansatte i slike bedrifter som utfører renhold. Forskriften innebærer at de berørte arbeidstakere skal minst ha en lønn per time på </w:t>
      </w:r>
      <w:r>
        <w:rPr>
          <w:lang w:eastAsia="zh-CN"/>
        </w:rPr>
        <w:t>169,37</w:t>
      </w:r>
      <w:r w:rsidRPr="000E3225">
        <w:rPr>
          <w:lang w:eastAsia="zh-CN"/>
        </w:rPr>
        <w:t xml:space="preserve"> kroner og arbeidstakere under 18 år minst </w:t>
      </w:r>
      <w:r>
        <w:rPr>
          <w:lang w:eastAsia="zh-CN"/>
        </w:rPr>
        <w:t>122,76</w:t>
      </w:r>
      <w:r w:rsidRPr="0066064F">
        <w:rPr>
          <w:lang w:eastAsia="zh-CN"/>
        </w:rPr>
        <w:t xml:space="preserve"> </w:t>
      </w:r>
      <w:r w:rsidRPr="000E3225">
        <w:rPr>
          <w:lang w:eastAsia="zh-CN"/>
        </w:rPr>
        <w:t>kroner. For arbeid mellom klokken 2100 og 0600 avtales lønnstillegg i hvert enkelt tilfelle. Lønnstillegget skal være minst 2</w:t>
      </w:r>
      <w:r>
        <w:rPr>
          <w:lang w:eastAsia="zh-CN"/>
        </w:rPr>
        <w:t>6</w:t>
      </w:r>
      <w:r w:rsidRPr="000E3225">
        <w:rPr>
          <w:lang w:eastAsia="zh-CN"/>
        </w:rPr>
        <w:t xml:space="preserve"> kroner per time.</w:t>
      </w:r>
      <w:r>
        <w:rPr>
          <w:lang w:eastAsia="zh-CN"/>
        </w:rPr>
        <w:t xml:space="preserve"> </w:t>
      </w:r>
      <w:r>
        <w:rPr>
          <w:lang w:eastAsia="zh-CN"/>
        </w:rPr>
        <w:br/>
      </w:r>
    </w:p>
    <w:p w14:paraId="139A0DF7" w14:textId="77777777" w:rsidR="00086FB8" w:rsidRDefault="005B3209" w:rsidP="00086FB8">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Open Sans" w:hAnsi="Open Sans"/>
          <w:color w:val="000000"/>
        </w:rPr>
      </w:pPr>
      <w:hyperlink r:id="rId93" w:tgtFrame="_blank" w:history="1">
        <w:r w:rsidR="00086FB8" w:rsidRPr="00073F9F">
          <w:rPr>
            <w:i/>
          </w:rPr>
          <w:t>Forskrift om allmenngjøring av tariffavtale for fiskeindustribedrifter</w:t>
        </w:r>
      </w:hyperlink>
      <w:r w:rsidR="00086FB8">
        <w:br/>
      </w:r>
      <w:r w:rsidR="00086FB8" w:rsidRPr="001622F2">
        <w:t>Forskriften</w:t>
      </w:r>
      <w:r w:rsidR="00086FB8">
        <w:t>,</w:t>
      </w:r>
      <w:r w:rsidR="00086FB8" w:rsidRPr="001622F2">
        <w:t xml:space="preserve"> </w:t>
      </w:r>
      <w:r w:rsidR="00086FB8">
        <w:t xml:space="preserve">som trådte i kraft 1. februar 2015, </w:t>
      </w:r>
      <w:r w:rsidR="00086FB8" w:rsidRPr="001622F2">
        <w:t xml:space="preserve">er fastsatt på grunnlag av Overenskomst for Fiskeindustribedrifter 2014–2016 mellom Næringslivets Hovedorganisasjon og Fiskeri- og Havbruksnæringens Landsforening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w:t>
      </w:r>
      <w:r w:rsidR="00086FB8">
        <w:t>Minstelønnssatsene per time er 177,70 kroner for fagarbeidere og 167,70 kroner for produksjonsarbeidere.</w:t>
      </w:r>
      <w:r w:rsidR="00086FB8" w:rsidRPr="001622F2">
        <w:t xml:space="preserve"> Arbeidstakere under 18 år skal minst ha en lønn per time på 80 % av minstelønnssatsen. </w:t>
      </w:r>
      <w:r w:rsidR="00086FB8" w:rsidRPr="000E694C">
        <w:t>På arbeidsplasser med skiftarbeid er skifttilleggene allmenngjort.</w:t>
      </w:r>
      <w:r w:rsidR="00086FB8">
        <w:rPr>
          <w:rFonts w:ascii="Open Sans" w:hAnsi="Open Sans"/>
          <w:color w:val="000000"/>
        </w:rPr>
        <w:t xml:space="preserve"> </w:t>
      </w:r>
      <w:r w:rsidR="00086FB8">
        <w:rPr>
          <w:rFonts w:ascii="Open Sans" w:hAnsi="Open Sans"/>
          <w:color w:val="000000"/>
        </w:rPr>
        <w:br/>
      </w:r>
    </w:p>
    <w:p w14:paraId="181667D1"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826B5A">
        <w:rPr>
          <w:rFonts w:ascii="Times New Roman" w:hAnsi="Times New Roman"/>
          <w:i/>
          <w:color w:val="000000"/>
        </w:rPr>
        <w:t>Landsoverenskomsten for elektrofagene</w:t>
      </w:r>
      <w:r>
        <w:rPr>
          <w:rFonts w:ascii="Times New Roman" w:hAnsi="Times New Roman"/>
          <w:i/>
          <w:color w:val="000000"/>
        </w:rPr>
        <w:br/>
      </w:r>
      <w:r>
        <w:t xml:space="preserve">Forskriften, som trådte i kraft fra 1. mai 2015 </w:t>
      </w:r>
      <w:r w:rsidRPr="0054425C">
        <w:t xml:space="preserve">er fastsatt på grunnlag av Landsoverenskomsten for elektrofagene 2014-2016 mellom Næringslivets Hovedorganisasjon og Norsk Teknologi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w:t>
      </w:r>
      <w:r>
        <w:t>201,97</w:t>
      </w:r>
      <w:r w:rsidRPr="0054425C">
        <w:t xml:space="preserve"> kroner for faglærte som utfører fagarbeid og</w:t>
      </w:r>
      <w:r>
        <w:t>174,35</w:t>
      </w:r>
      <w:r w:rsidRPr="0054425C">
        <w:t xml:space="preserve">kroner for øvrige arbeidstakere. På arbeidsplasser med skiftarbeid er skifttilleggene for to- og treskiftsordninger allmenngjort. </w:t>
      </w:r>
      <w:r>
        <w:br/>
      </w:r>
    </w:p>
    <w:p w14:paraId="2E998169"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imes New Roman" w:hAnsi="Times New Roman"/>
          <w:color w:val="000000"/>
        </w:rPr>
      </w:pPr>
      <w:r w:rsidRPr="00086FB8">
        <w:rPr>
          <w:i/>
        </w:rPr>
        <w:t>Forskrift om allmenngjøring av tariffavtaler for godstransport på vei</w:t>
      </w:r>
      <w:r>
        <w:rPr>
          <w:rStyle w:val="Sterkutheving"/>
          <w:rFonts w:ascii="Times New Roman" w:hAnsi="Times New Roman"/>
          <w:szCs w:val="24"/>
        </w:rPr>
        <w:br/>
      </w:r>
      <w:r w:rsidRPr="00715CDD">
        <w:rPr>
          <w:rFonts w:ascii="Times New Roman" w:hAnsi="Times New Roman"/>
          <w:color w:val="000000"/>
        </w:rPr>
        <w:t xml:space="preserve">Tariffnemnda fattet 11. mai 2015 vedtak om allmenngjøring av tariffavtaler for godstransport på vei. Forskriften er fastsatt på grunnlag av de to likelydende avtalene Godsbilavtalen av 2014 mellom Norges Lastebileier-Forbund (NLF) og NLFs overenskomstbundne </w:t>
      </w:r>
    </w:p>
    <w:p w14:paraId="520673BB" w14:textId="0FBBDF50"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rPr>
          <w:rFonts w:ascii="Times New Roman" w:hAnsi="Times New Roman"/>
        </w:rPr>
      </w:pPr>
      <w:r w:rsidRPr="00715CDD">
        <w:rPr>
          <w:rFonts w:ascii="Times New Roman" w:hAnsi="Times New Roman"/>
          <w:color w:val="000000"/>
        </w:rPr>
        <w:t xml:space="preserve">medlemsbedrifter på den ene side og Yrkesorganisasjonenes Sentralforbund og Yrkestrafikkforbundet på den annen side og Overenskomst for godstransport av 2014 mellom Norges Lastebileier-Forbund og NLFs overenskomstbundne medlemsbedrifter på den ene side og Landsorganisasjonen i Norge/ Norsk Transportarbeiderforbund på den annen side. Forskriften gjelder for arbeidstakere som utfører godstransport på vei med kjøretøy med totalvekt over 3,5 tonn. For arbeidstakere i bedrifter som er etablert utenfor Norge gjelder forskriften bare i den utstrekning transporten er en tjenesteytelse etter arbeidsmiljøloven § 1-7 </w:t>
      </w:r>
      <w:r w:rsidRPr="00715CDD">
        <w:rPr>
          <w:rFonts w:ascii="Times New Roman" w:hAnsi="Times New Roman"/>
          <w:i/>
          <w:iCs/>
          <w:color w:val="000000"/>
        </w:rPr>
        <w:t>(utsendt arbeidstaker)</w:t>
      </w:r>
      <w:r w:rsidRPr="00715CDD">
        <w:rPr>
          <w:rFonts w:ascii="Times New Roman" w:hAnsi="Times New Roman"/>
          <w:color w:val="000000"/>
        </w:rPr>
        <w:t xml:space="preserve">. Forskriften gjelder ikke ved transport av virksomhetens egne varer. Minstelønnssatsen per time er på 158,32 </w:t>
      </w:r>
      <w:r w:rsidR="0022390E" w:rsidRPr="00715CDD">
        <w:rPr>
          <w:rFonts w:ascii="Times New Roman" w:hAnsi="Times New Roman"/>
          <w:color w:val="000000"/>
        </w:rPr>
        <w:t>kroner. Ved</w:t>
      </w:r>
      <w:r w:rsidRPr="00715CDD">
        <w:rPr>
          <w:rFonts w:ascii="Times New Roman" w:hAnsi="Times New Roman"/>
          <w:color w:val="000000"/>
        </w:rPr>
        <w:t xml:space="preserve"> transportoppdrag med planlagt overnatting, skal diett utbetales i henhold til det norske myndigheter til enhver tid godkjenner som skattefri diett. Det utbetales 1/3 diettsats per påbegynt 8. time. Forskriften trådte i kraft 1. juli 2015. I Tariffnemndas vedtak 12. oktober 2015 </w:t>
      </w:r>
      <w:r w:rsidRPr="00715CDD">
        <w:rPr>
          <w:rFonts w:ascii="Times New Roman" w:hAnsi="Times New Roman"/>
        </w:rPr>
        <w:t>ble virkeområdet for forskriften om allmenngjøring av tariffavtaler for godstransport på vei endret. Hovedregelen om at forskriften gjelder for alle arbeidstakere som utfører transport i Norge med kjøretøy over 3,5 tonn totalvekt, dvs. ordinær nasjonal transport, opprettholdes. Det presiseres i bestemmelsen at forskriften i tillegg skal gjelde for kabotasjekjøring og kombinert transport, men ikke for internasjonal transport utover dette.</w:t>
      </w:r>
      <w:r>
        <w:rPr>
          <w:rFonts w:ascii="Times New Roman" w:hAnsi="Times New Roman"/>
        </w:rPr>
        <w:br/>
      </w:r>
    </w:p>
    <w:p w14:paraId="5C92BDED" w14:textId="77777777" w:rsidR="00086FB8" w:rsidRDefault="00086FB8" w:rsidP="00086FB8">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D9378C">
        <w:rPr>
          <w:bCs/>
          <w:i/>
          <w:iCs/>
        </w:rPr>
        <w:t>Forskrift om allmenngjøring av tariffavtaler for persontransport med turbil</w:t>
      </w:r>
      <w:r w:rsidRPr="00D9378C">
        <w:rPr>
          <w:bCs/>
          <w:i/>
          <w:iCs/>
        </w:rPr>
        <w:br/>
      </w:r>
      <w:r w:rsidRPr="00D9378C">
        <w:rPr>
          <w:bCs/>
          <w:iCs/>
        </w:rPr>
        <w:t xml:space="preserve">Tariffnemnda fattet 27. mai 2015 vedtak om allmenngjøring av tariffavtaler for persontransport med turbil. </w:t>
      </w:r>
      <w:r w:rsidRPr="00D9378C">
        <w:t xml:space="preserve">Forskriften er fastsatt på grunnlag av Bussbransjeavtalen av 2014 mellom Næringslivets Hovedorganisasjon og NHO Transport på den ene side og Yrkesorganisasjonenes Sentralforbund og Yrkestrafikkforbundet på den annen side og Bussbransjeavtalen 2014-2016 mellom Næringslivets Hovedorganisasjon og NHO Transport på den ene side og Landsorganisasjonen i Norge og Norsk Transportarbeiderforbund på den annen side. Forskriften gjelder for arbeidstakere i bedrifter som utfører persontransport med turvogn eller buss når transporten ikke krever tildeling av løyve ved konkurranse etter yrkestransportlova § 8. For arbeidstakere i bedrifter som er etablert utenfor Norge gjelder forskriften bare i den utstrekning transporten er en tjenesteytelse etter arbeidsmiljøloven § 1-7 </w:t>
      </w:r>
      <w:r w:rsidRPr="00D9378C">
        <w:rPr>
          <w:i/>
        </w:rPr>
        <w:t xml:space="preserve">(utsendt arbeidstaker). </w:t>
      </w:r>
      <w:r w:rsidRPr="00D9378C">
        <w:t xml:space="preserve">Minstelønnssatsen per time er på 150 kroner. Det skal avtales ordninger vedrørende kost og losji. Arbeidsgiver skal som hovedregel sørge for kost og losji, men fast diettsats, betaling etter regning eller liknende kan avtales. Forskriften skulle opprinnelig trådt i kraft 1. august 2015, men ikrafttredelsestidspunktet ble endret etter anmodning fra NHO Reiseliv. I Tariffnemnda ble virkeområdet </w:t>
      </w:r>
      <w:r>
        <w:t>for</w:t>
      </w:r>
      <w:r w:rsidRPr="00D9378C">
        <w:t xml:space="preserve"> turbil endret. Hovedregelen om at forskriften gjelder for alle arbeidstakere som utfører persontransport i Norge med turbil eller buss, når det ikke kreves løyve etter yrkestransportlova, opprettholdes. Det presiseres i bestemmelsen at forskriften i tillegg skal gjelde for kabotasjekjøring. Det presiseres at forskriften ikke gjelder for internasjonal transport utover dette. Forskriften trådte i kraft 1. oktober 2015.</w:t>
      </w:r>
      <w:r>
        <w:br/>
      </w:r>
    </w:p>
    <w:p w14:paraId="048D03A5" w14:textId="77777777" w:rsidR="00086FB8" w:rsidRDefault="00086FB8" w:rsidP="00086FB8"/>
    <w:p w14:paraId="30D17C8D" w14:textId="77777777" w:rsidR="00086FB8" w:rsidRDefault="00086FB8" w:rsidP="00086FB8">
      <w:pPr>
        <w:sectPr w:rsidR="00086FB8" w:rsidSect="00086FB8">
          <w:footerReference w:type="default" r:id="rId94"/>
          <w:type w:val="continuous"/>
          <w:pgSz w:w="11906" w:h="16838"/>
          <w:pgMar w:top="1418" w:right="1418" w:bottom="1418" w:left="1418" w:header="709" w:footer="709" w:gutter="0"/>
          <w:cols w:space="708"/>
          <w:docGrid w:linePitch="360"/>
        </w:sectPr>
      </w:pPr>
    </w:p>
    <w:p w14:paraId="6FA3FC1F" w14:textId="6C7C3CDE" w:rsidR="00086FB8" w:rsidRPr="00F11752" w:rsidRDefault="00086FB8" w:rsidP="00086FB8">
      <w:pPr>
        <w:rPr>
          <w:rFonts w:ascii="Arial" w:hAnsi="Arial" w:cs="Arial"/>
          <w:b/>
        </w:rPr>
      </w:pPr>
      <w:r w:rsidRPr="00F11752">
        <w:rPr>
          <w:rFonts w:ascii="Arial" w:hAnsi="Arial" w:cs="Arial"/>
          <w:b/>
        </w:rPr>
        <w:t>Tabell 5.4 Store tariffavtaler etter næring/sektor</w:t>
      </w:r>
    </w:p>
    <w:tbl>
      <w:tblPr>
        <w:tblW w:w="5351" w:type="pct"/>
        <w:tblLayout w:type="fixed"/>
        <w:tblCellMar>
          <w:left w:w="70" w:type="dxa"/>
          <w:right w:w="70" w:type="dxa"/>
        </w:tblCellMar>
        <w:tblLook w:val="04A0" w:firstRow="1" w:lastRow="0" w:firstColumn="1" w:lastColumn="0" w:noHBand="0" w:noVBand="1"/>
      </w:tblPr>
      <w:tblGrid>
        <w:gridCol w:w="2117"/>
        <w:gridCol w:w="2482"/>
        <w:gridCol w:w="2479"/>
        <w:gridCol w:w="2246"/>
        <w:gridCol w:w="1820"/>
        <w:gridCol w:w="1685"/>
        <w:gridCol w:w="2137"/>
      </w:tblGrid>
      <w:tr w:rsidR="00086FB8" w:rsidRPr="00492A87" w14:paraId="7FDE5E88" w14:textId="77777777" w:rsidTr="008D32BA">
        <w:trPr>
          <w:trHeight w:val="570"/>
          <w:tblHeader/>
        </w:trPr>
        <w:tc>
          <w:tcPr>
            <w:tcW w:w="707" w:type="pct"/>
            <w:tcBorders>
              <w:top w:val="single" w:sz="4" w:space="0" w:color="auto"/>
              <w:left w:val="single" w:sz="8" w:space="0" w:color="CCDDEE"/>
              <w:bottom w:val="single" w:sz="4" w:space="0" w:color="auto"/>
              <w:right w:val="single" w:sz="8" w:space="0" w:color="FFFFFF"/>
            </w:tcBorders>
            <w:shd w:val="clear" w:color="000000" w:fill="FFFFFF"/>
            <w:vAlign w:val="bottom"/>
            <w:hideMark/>
          </w:tcPr>
          <w:p w14:paraId="010C155F"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Næring/sektor</w:t>
            </w:r>
          </w:p>
        </w:tc>
        <w:tc>
          <w:tcPr>
            <w:tcW w:w="829" w:type="pct"/>
            <w:tcBorders>
              <w:top w:val="single" w:sz="4" w:space="0" w:color="auto"/>
              <w:left w:val="nil"/>
              <w:bottom w:val="single" w:sz="4" w:space="0" w:color="auto"/>
              <w:right w:val="single" w:sz="8" w:space="0" w:color="FFFFFF"/>
            </w:tcBorders>
            <w:shd w:val="clear" w:color="000000" w:fill="FFFFFF"/>
            <w:vAlign w:val="bottom"/>
            <w:hideMark/>
          </w:tcPr>
          <w:p w14:paraId="479C8466"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Tariffavtale</w:t>
            </w:r>
          </w:p>
        </w:tc>
        <w:tc>
          <w:tcPr>
            <w:tcW w:w="828" w:type="pct"/>
            <w:tcBorders>
              <w:top w:val="single" w:sz="4" w:space="0" w:color="auto"/>
              <w:left w:val="nil"/>
              <w:bottom w:val="single" w:sz="4" w:space="0" w:color="auto"/>
              <w:right w:val="single" w:sz="8" w:space="0" w:color="FFFFFF"/>
            </w:tcBorders>
            <w:shd w:val="clear" w:color="000000" w:fill="FFFFFF"/>
            <w:vAlign w:val="bottom"/>
            <w:hideMark/>
          </w:tcPr>
          <w:p w14:paraId="5A90214F"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Forbund/forening</w:t>
            </w:r>
          </w:p>
        </w:tc>
        <w:tc>
          <w:tcPr>
            <w:tcW w:w="750" w:type="pct"/>
            <w:tcBorders>
              <w:top w:val="single" w:sz="4" w:space="0" w:color="auto"/>
              <w:left w:val="nil"/>
              <w:bottom w:val="single" w:sz="4" w:space="0" w:color="auto"/>
              <w:right w:val="single" w:sz="8" w:space="0" w:color="FFFFFF"/>
            </w:tcBorders>
            <w:shd w:val="clear" w:color="000000" w:fill="FFFFFF"/>
            <w:vAlign w:val="bottom"/>
            <w:hideMark/>
          </w:tcPr>
          <w:p w14:paraId="665ABA59"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Arbeidsgiver-organisasjon</w:t>
            </w:r>
          </w:p>
        </w:tc>
        <w:tc>
          <w:tcPr>
            <w:tcW w:w="608" w:type="pct"/>
            <w:tcBorders>
              <w:top w:val="single" w:sz="4" w:space="0" w:color="auto"/>
              <w:left w:val="nil"/>
              <w:bottom w:val="single" w:sz="4" w:space="0" w:color="auto"/>
              <w:right w:val="single" w:sz="8" w:space="0" w:color="FFFFFF"/>
            </w:tcBorders>
            <w:shd w:val="clear" w:color="000000" w:fill="FFFFFF"/>
            <w:vAlign w:val="bottom"/>
            <w:hideMark/>
          </w:tcPr>
          <w:p w14:paraId="41ABE2B1"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Forhandlingsnivå og omfang</w:t>
            </w:r>
          </w:p>
        </w:tc>
        <w:tc>
          <w:tcPr>
            <w:tcW w:w="563" w:type="pct"/>
            <w:tcBorders>
              <w:top w:val="single" w:sz="4" w:space="0" w:color="auto"/>
              <w:left w:val="nil"/>
              <w:bottom w:val="single" w:sz="4" w:space="0" w:color="auto"/>
              <w:right w:val="single" w:sz="8" w:space="0" w:color="FFFFFF"/>
            </w:tcBorders>
            <w:shd w:val="clear" w:color="000000" w:fill="FFFFFF"/>
            <w:vAlign w:val="bottom"/>
            <w:hideMark/>
          </w:tcPr>
          <w:p w14:paraId="7A246B87"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Lønnsdannelse</w:t>
            </w:r>
          </w:p>
        </w:tc>
        <w:tc>
          <w:tcPr>
            <w:tcW w:w="714" w:type="pct"/>
            <w:tcBorders>
              <w:top w:val="single" w:sz="4" w:space="0" w:color="auto"/>
              <w:left w:val="nil"/>
              <w:bottom w:val="single" w:sz="4" w:space="0" w:color="auto"/>
              <w:right w:val="single" w:sz="8" w:space="0" w:color="CCDDEE"/>
            </w:tcBorders>
            <w:shd w:val="clear" w:color="000000" w:fill="FFFFFF"/>
            <w:vAlign w:val="bottom"/>
            <w:hideMark/>
          </w:tcPr>
          <w:p w14:paraId="623E01F7" w14:textId="77777777" w:rsidR="00086FB8" w:rsidRPr="00492A87" w:rsidRDefault="00086FB8" w:rsidP="008D32BA">
            <w:pPr>
              <w:rPr>
                <w:rFonts w:ascii="Times New Roman" w:hAnsi="Times New Roman"/>
                <w:bCs/>
                <w:i/>
                <w:color w:val="000000"/>
                <w:sz w:val="22"/>
                <w:szCs w:val="22"/>
              </w:rPr>
            </w:pPr>
            <w:r w:rsidRPr="00492A87">
              <w:rPr>
                <w:rFonts w:ascii="Times New Roman" w:hAnsi="Times New Roman"/>
                <w:bCs/>
                <w:i/>
                <w:color w:val="000000"/>
                <w:sz w:val="22"/>
                <w:szCs w:val="22"/>
              </w:rPr>
              <w:t>Antall ansatte som omfattes i 2014</w:t>
            </w:r>
          </w:p>
        </w:tc>
      </w:tr>
      <w:tr w:rsidR="00086FB8" w:rsidRPr="00492A87" w14:paraId="09532984" w14:textId="77777777" w:rsidTr="008D32BA">
        <w:trPr>
          <w:trHeight w:val="681"/>
        </w:trPr>
        <w:tc>
          <w:tcPr>
            <w:tcW w:w="707" w:type="pct"/>
            <w:tcBorders>
              <w:top w:val="nil"/>
              <w:left w:val="single" w:sz="8" w:space="0" w:color="CCDDEE"/>
              <w:bottom w:val="single" w:sz="8" w:space="0" w:color="E5E9C2"/>
              <w:right w:val="single" w:sz="8" w:space="0" w:color="DDEEFF"/>
            </w:tcBorders>
            <w:shd w:val="clear" w:color="000000" w:fill="FFFFFF"/>
            <w:vAlign w:val="bottom"/>
            <w:hideMark/>
          </w:tcPr>
          <w:p w14:paraId="10DD86A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Industrien</w:t>
            </w:r>
          </w:p>
        </w:tc>
        <w:tc>
          <w:tcPr>
            <w:tcW w:w="829" w:type="pct"/>
            <w:tcBorders>
              <w:top w:val="nil"/>
              <w:left w:val="nil"/>
              <w:bottom w:val="single" w:sz="8" w:space="0" w:color="E5E9C2"/>
              <w:right w:val="single" w:sz="8" w:space="0" w:color="DDEEFF"/>
            </w:tcBorders>
            <w:shd w:val="clear" w:color="000000" w:fill="FFFFFF"/>
            <w:vAlign w:val="bottom"/>
            <w:hideMark/>
          </w:tcPr>
          <w:p w14:paraId="1D82DF2D"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Industrioverenskomsten</w:t>
            </w:r>
            <w:r w:rsidRPr="00492A87">
              <w:rPr>
                <w:rFonts w:ascii="Times New Roman" w:hAnsi="Times New Roman"/>
                <w:color w:val="000000"/>
                <w:sz w:val="22"/>
                <w:szCs w:val="22"/>
                <w:vertAlign w:val="superscript"/>
              </w:rPr>
              <w:t>1</w:t>
            </w:r>
          </w:p>
        </w:tc>
        <w:tc>
          <w:tcPr>
            <w:tcW w:w="828" w:type="pct"/>
            <w:tcBorders>
              <w:top w:val="nil"/>
              <w:left w:val="nil"/>
              <w:bottom w:val="single" w:sz="8" w:space="0" w:color="E5E9C2"/>
              <w:right w:val="single" w:sz="8" w:space="0" w:color="DDEEFF"/>
            </w:tcBorders>
            <w:shd w:val="clear" w:color="000000" w:fill="FFFFFF"/>
            <w:vAlign w:val="bottom"/>
            <w:hideMark/>
          </w:tcPr>
          <w:p w14:paraId="40B8918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0" w:type="pct"/>
            <w:tcBorders>
              <w:top w:val="nil"/>
              <w:left w:val="nil"/>
              <w:bottom w:val="single" w:sz="8" w:space="0" w:color="E5E9C2"/>
              <w:right w:val="single" w:sz="8" w:space="0" w:color="DDEEFF"/>
            </w:tcBorders>
            <w:shd w:val="clear" w:color="000000" w:fill="FFFFFF"/>
            <w:vAlign w:val="bottom"/>
            <w:hideMark/>
          </w:tcPr>
          <w:p w14:paraId="03B382C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NHO/Norsk Industri</w:t>
            </w:r>
          </w:p>
        </w:tc>
        <w:tc>
          <w:tcPr>
            <w:tcW w:w="608" w:type="pct"/>
            <w:tcBorders>
              <w:top w:val="nil"/>
              <w:left w:val="nil"/>
              <w:bottom w:val="single" w:sz="8" w:space="0" w:color="E5E9C2"/>
              <w:right w:val="single" w:sz="8" w:space="0" w:color="DDEEFF"/>
            </w:tcBorders>
            <w:shd w:val="clear" w:color="000000" w:fill="FFFFFF"/>
            <w:vAlign w:val="bottom"/>
            <w:hideMark/>
          </w:tcPr>
          <w:p w14:paraId="18AD79AB"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3" w:type="pct"/>
            <w:tcBorders>
              <w:top w:val="nil"/>
              <w:left w:val="nil"/>
              <w:bottom w:val="single" w:sz="8" w:space="0" w:color="E5E9C2"/>
              <w:right w:val="single" w:sz="8" w:space="0" w:color="DDEEFF"/>
            </w:tcBorders>
            <w:shd w:val="clear" w:color="000000" w:fill="FFFFFF"/>
            <w:vAlign w:val="bottom"/>
            <w:hideMark/>
          </w:tcPr>
          <w:p w14:paraId="5221596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nil"/>
              <w:left w:val="nil"/>
              <w:bottom w:val="single" w:sz="8" w:space="0" w:color="E5E9C2"/>
              <w:right w:val="single" w:sz="8" w:space="0" w:color="CCDDEE"/>
            </w:tcBorders>
            <w:shd w:val="clear" w:color="000000" w:fill="FFFFFF"/>
            <w:vAlign w:val="bottom"/>
            <w:hideMark/>
          </w:tcPr>
          <w:p w14:paraId="646ECA48"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35–40 000</w:t>
            </w:r>
          </w:p>
        </w:tc>
      </w:tr>
      <w:tr w:rsidR="00086FB8" w:rsidRPr="00492A87" w14:paraId="6AF92DF7" w14:textId="77777777" w:rsidTr="008D32BA">
        <w:trPr>
          <w:trHeight w:val="1019"/>
        </w:trPr>
        <w:tc>
          <w:tcPr>
            <w:tcW w:w="707" w:type="pct"/>
            <w:tcBorders>
              <w:top w:val="nil"/>
              <w:left w:val="single" w:sz="8" w:space="0" w:color="CCDDEE"/>
              <w:bottom w:val="single" w:sz="8" w:space="0" w:color="DDEEFF"/>
              <w:right w:val="single" w:sz="8" w:space="0" w:color="DDEEFF"/>
            </w:tcBorders>
            <w:shd w:val="clear" w:color="000000" w:fill="FFFFFF"/>
            <w:vAlign w:val="bottom"/>
            <w:hideMark/>
          </w:tcPr>
          <w:p w14:paraId="566C5C0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Bygg- og anleggsvirksomhet</w:t>
            </w:r>
          </w:p>
        </w:tc>
        <w:tc>
          <w:tcPr>
            <w:tcW w:w="829" w:type="pct"/>
            <w:tcBorders>
              <w:top w:val="nil"/>
              <w:left w:val="single" w:sz="8" w:space="0" w:color="DDEEFF"/>
              <w:bottom w:val="single" w:sz="8" w:space="0" w:color="DDEEFF"/>
              <w:right w:val="single" w:sz="8" w:space="0" w:color="DDEEFF"/>
            </w:tcBorders>
            <w:shd w:val="clear" w:color="000000" w:fill="FFFFFF"/>
            <w:vAlign w:val="bottom"/>
            <w:hideMark/>
          </w:tcPr>
          <w:p w14:paraId="1612954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Fellesoverenskomsten for byggfag</w:t>
            </w:r>
          </w:p>
        </w:tc>
        <w:tc>
          <w:tcPr>
            <w:tcW w:w="828" w:type="pct"/>
            <w:tcBorders>
              <w:top w:val="nil"/>
              <w:left w:val="single" w:sz="8" w:space="0" w:color="DDEEFF"/>
              <w:bottom w:val="single" w:sz="8" w:space="0" w:color="DDEEFF"/>
              <w:right w:val="single" w:sz="8" w:space="0" w:color="DDEEFF"/>
            </w:tcBorders>
            <w:shd w:val="clear" w:color="000000" w:fill="FFFFFF"/>
            <w:vAlign w:val="bottom"/>
            <w:hideMark/>
          </w:tcPr>
          <w:p w14:paraId="61F511B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0" w:type="pct"/>
            <w:tcBorders>
              <w:top w:val="single" w:sz="8" w:space="0" w:color="DDEEFF"/>
              <w:left w:val="nil"/>
              <w:right w:val="single" w:sz="8" w:space="0" w:color="DDEEFF"/>
            </w:tcBorders>
            <w:shd w:val="clear" w:color="000000" w:fill="FFFFFF"/>
            <w:vAlign w:val="bottom"/>
            <w:hideMark/>
          </w:tcPr>
          <w:p w14:paraId="11B491C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NHO/Byggenæringens Landsforening</w:t>
            </w:r>
          </w:p>
        </w:tc>
        <w:tc>
          <w:tcPr>
            <w:tcW w:w="608" w:type="pct"/>
            <w:tcBorders>
              <w:top w:val="nil"/>
              <w:left w:val="single" w:sz="8" w:space="0" w:color="DDEEFF"/>
              <w:bottom w:val="single" w:sz="8" w:space="0" w:color="DDEEFF"/>
              <w:right w:val="single" w:sz="8" w:space="0" w:color="DDEEFF"/>
            </w:tcBorders>
            <w:shd w:val="clear" w:color="000000" w:fill="FFFFFF"/>
            <w:vAlign w:val="bottom"/>
            <w:hideMark/>
          </w:tcPr>
          <w:p w14:paraId="5749A7BB"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3" w:type="pct"/>
            <w:tcBorders>
              <w:top w:val="nil"/>
              <w:left w:val="single" w:sz="8" w:space="0" w:color="DDEEFF"/>
              <w:bottom w:val="single" w:sz="8" w:space="0" w:color="DDEEFF"/>
              <w:right w:val="single" w:sz="8" w:space="0" w:color="DDEEFF"/>
            </w:tcBorders>
            <w:shd w:val="clear" w:color="000000" w:fill="FFFFFF"/>
            <w:vAlign w:val="bottom"/>
            <w:hideMark/>
          </w:tcPr>
          <w:p w14:paraId="3FB4975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nil"/>
              <w:left w:val="single" w:sz="8" w:space="0" w:color="DDEEFF"/>
              <w:bottom w:val="single" w:sz="8" w:space="0" w:color="DDEEFF"/>
              <w:right w:val="single" w:sz="8" w:space="0" w:color="CCDDEE"/>
            </w:tcBorders>
            <w:shd w:val="clear" w:color="000000" w:fill="FFFFFF"/>
            <w:vAlign w:val="bottom"/>
            <w:hideMark/>
          </w:tcPr>
          <w:p w14:paraId="0E1F89E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35 000</w:t>
            </w:r>
          </w:p>
        </w:tc>
      </w:tr>
      <w:tr w:rsidR="00086FB8" w:rsidRPr="00492A87" w14:paraId="55B3AB5B" w14:textId="77777777" w:rsidTr="008D32BA">
        <w:trPr>
          <w:trHeight w:val="722"/>
        </w:trPr>
        <w:tc>
          <w:tcPr>
            <w:tcW w:w="707" w:type="pct"/>
            <w:tcBorders>
              <w:top w:val="nil"/>
              <w:left w:val="single" w:sz="8" w:space="0" w:color="CCDDEE"/>
              <w:bottom w:val="single" w:sz="8" w:space="0" w:color="E5E9C2"/>
              <w:right w:val="single" w:sz="8" w:space="0" w:color="DDEEFF"/>
            </w:tcBorders>
            <w:shd w:val="clear" w:color="000000" w:fill="FFFFFF"/>
            <w:vAlign w:val="bottom"/>
            <w:hideMark/>
          </w:tcPr>
          <w:p w14:paraId="7465438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Varehandel</w:t>
            </w:r>
          </w:p>
        </w:tc>
        <w:tc>
          <w:tcPr>
            <w:tcW w:w="829" w:type="pct"/>
            <w:tcBorders>
              <w:top w:val="nil"/>
              <w:left w:val="nil"/>
              <w:bottom w:val="single" w:sz="8" w:space="0" w:color="E5E9C2"/>
              <w:right w:val="single" w:sz="8" w:space="0" w:color="DDEEFF"/>
            </w:tcBorders>
            <w:shd w:val="clear" w:color="000000" w:fill="FFFFFF"/>
            <w:vAlign w:val="bottom"/>
            <w:hideMark/>
          </w:tcPr>
          <w:p w14:paraId="6BDC9A5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Landsoverenskomsten med bransjeavtaler</w:t>
            </w:r>
          </w:p>
        </w:tc>
        <w:tc>
          <w:tcPr>
            <w:tcW w:w="828" w:type="pct"/>
            <w:tcBorders>
              <w:top w:val="nil"/>
              <w:left w:val="nil"/>
              <w:bottom w:val="single" w:sz="8" w:space="0" w:color="E5E9C2"/>
              <w:right w:val="single" w:sz="8" w:space="0" w:color="DDEEFF"/>
            </w:tcBorders>
            <w:shd w:val="clear" w:color="000000" w:fill="FFFFFF"/>
            <w:vAlign w:val="bottom"/>
            <w:hideMark/>
          </w:tcPr>
          <w:p w14:paraId="0919BEA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Handel og Kontor</w:t>
            </w:r>
          </w:p>
        </w:tc>
        <w:tc>
          <w:tcPr>
            <w:tcW w:w="750" w:type="pct"/>
            <w:tcBorders>
              <w:top w:val="nil"/>
              <w:left w:val="nil"/>
              <w:bottom w:val="single" w:sz="8" w:space="0" w:color="E5E9C2"/>
              <w:right w:val="single" w:sz="8" w:space="0" w:color="DDEEFF"/>
            </w:tcBorders>
            <w:shd w:val="clear" w:color="000000" w:fill="FFFFFF"/>
            <w:vAlign w:val="bottom"/>
            <w:hideMark/>
          </w:tcPr>
          <w:p w14:paraId="3BB46F7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Virke</w:t>
            </w:r>
          </w:p>
        </w:tc>
        <w:tc>
          <w:tcPr>
            <w:tcW w:w="608" w:type="pct"/>
            <w:tcBorders>
              <w:top w:val="nil"/>
              <w:left w:val="nil"/>
              <w:bottom w:val="single" w:sz="8" w:space="0" w:color="E5E9C2"/>
              <w:right w:val="single" w:sz="8" w:space="0" w:color="DDEEFF"/>
            </w:tcBorders>
            <w:shd w:val="clear" w:color="000000" w:fill="FFFFFF"/>
            <w:vAlign w:val="bottom"/>
            <w:hideMark/>
          </w:tcPr>
          <w:p w14:paraId="14256E7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Forbundsvist, funksjonærer</w:t>
            </w:r>
          </w:p>
        </w:tc>
        <w:tc>
          <w:tcPr>
            <w:tcW w:w="563" w:type="pct"/>
            <w:tcBorders>
              <w:top w:val="nil"/>
              <w:left w:val="nil"/>
              <w:bottom w:val="single" w:sz="8" w:space="0" w:color="E5E9C2"/>
              <w:right w:val="single" w:sz="8" w:space="0" w:color="DDEEFF"/>
            </w:tcBorders>
            <w:shd w:val="clear" w:color="000000" w:fill="FFFFFF"/>
            <w:vAlign w:val="bottom"/>
            <w:hideMark/>
          </w:tcPr>
          <w:p w14:paraId="7B0CA31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nil"/>
              <w:left w:val="nil"/>
              <w:bottom w:val="single" w:sz="8" w:space="0" w:color="E5E9C2"/>
              <w:right w:val="single" w:sz="8" w:space="0" w:color="CCDDEE"/>
            </w:tcBorders>
            <w:shd w:val="clear" w:color="000000" w:fill="FFFFFF"/>
            <w:vAlign w:val="bottom"/>
            <w:hideMark/>
          </w:tcPr>
          <w:p w14:paraId="2ED8FEC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48 000</w:t>
            </w:r>
          </w:p>
        </w:tc>
      </w:tr>
      <w:tr w:rsidR="00086FB8" w:rsidRPr="00492A87" w14:paraId="09EDA063" w14:textId="77777777" w:rsidTr="008D32BA">
        <w:trPr>
          <w:trHeight w:val="885"/>
        </w:trPr>
        <w:tc>
          <w:tcPr>
            <w:tcW w:w="707" w:type="pct"/>
            <w:vMerge w:val="restart"/>
            <w:tcBorders>
              <w:top w:val="single" w:sz="8" w:space="0" w:color="DDEEFF"/>
              <w:left w:val="single" w:sz="8" w:space="0" w:color="CCDDEE"/>
              <w:right w:val="single" w:sz="8" w:space="0" w:color="DDEEFF"/>
            </w:tcBorders>
            <w:shd w:val="clear" w:color="000000" w:fill="FFFFFF"/>
            <w:vAlign w:val="center"/>
            <w:hideMark/>
          </w:tcPr>
          <w:p w14:paraId="68C1945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Samferdsel</w:t>
            </w:r>
          </w:p>
          <w:p w14:paraId="6564454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52C2FB8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for Posten</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1D37529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 Stat</w:t>
            </w:r>
          </w:p>
        </w:tc>
        <w:tc>
          <w:tcPr>
            <w:tcW w:w="750" w:type="pct"/>
            <w:tcBorders>
              <w:top w:val="single" w:sz="8" w:space="0" w:color="DDEEFF"/>
              <w:left w:val="nil"/>
              <w:bottom w:val="single" w:sz="8" w:space="0" w:color="E5E9C2"/>
              <w:right w:val="single" w:sz="8" w:space="0" w:color="DDEEFF"/>
            </w:tcBorders>
            <w:shd w:val="clear" w:color="000000" w:fill="FFFFFF"/>
            <w:vAlign w:val="bottom"/>
            <w:hideMark/>
          </w:tcPr>
          <w:p w14:paraId="6E69273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Spekter</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5311CB6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mellom LO Stat og Spekter. Lokalt mellom forbundene og ledelsen.</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6CB4522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5CC197E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15 000</w:t>
            </w:r>
          </w:p>
        </w:tc>
      </w:tr>
      <w:tr w:rsidR="00086FB8" w:rsidRPr="00492A87" w14:paraId="7C3023C7" w14:textId="77777777" w:rsidTr="008D32BA">
        <w:trPr>
          <w:trHeight w:val="600"/>
        </w:trPr>
        <w:tc>
          <w:tcPr>
            <w:tcW w:w="707" w:type="pct"/>
            <w:vMerge/>
            <w:tcBorders>
              <w:left w:val="single" w:sz="8" w:space="0" w:color="CCDDEE"/>
              <w:right w:val="single" w:sz="8" w:space="0" w:color="DDEEFF"/>
            </w:tcBorders>
            <w:shd w:val="clear" w:color="000000" w:fill="FFFFFF"/>
            <w:vAlign w:val="bottom"/>
            <w:hideMark/>
          </w:tcPr>
          <w:p w14:paraId="7C2EA82A" w14:textId="77777777" w:rsidR="00086FB8" w:rsidRPr="00492A87" w:rsidRDefault="00086FB8" w:rsidP="008D32BA">
            <w:pPr>
              <w:rPr>
                <w:rFonts w:ascii="Times New Roman" w:hAnsi="Times New Roman"/>
                <w:color w:val="000000"/>
                <w:sz w:val="22"/>
                <w:szCs w:val="22"/>
              </w:rPr>
            </w:pP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24F647E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Bussbransjeavtalen</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1731FB88"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LO/NTF og YS/YTF</w:t>
            </w:r>
          </w:p>
        </w:tc>
        <w:tc>
          <w:tcPr>
            <w:tcW w:w="750" w:type="pct"/>
            <w:tcBorders>
              <w:top w:val="single" w:sz="8" w:space="0" w:color="DDEEFF"/>
              <w:left w:val="nil"/>
              <w:bottom w:val="single" w:sz="8" w:space="0" w:color="E5E9C2"/>
              <w:right w:val="single" w:sz="8" w:space="0" w:color="DDEEFF"/>
            </w:tcBorders>
            <w:shd w:val="clear" w:color="000000" w:fill="FFFFFF"/>
            <w:vAlign w:val="bottom"/>
            <w:hideMark/>
          </w:tcPr>
          <w:p w14:paraId="738B5F3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NHO/NHO Transport</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44D1379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294DAD7D"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240558E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8000</w:t>
            </w:r>
          </w:p>
        </w:tc>
      </w:tr>
      <w:tr w:rsidR="00086FB8" w:rsidRPr="00492A87" w14:paraId="4C8A352C" w14:textId="77777777" w:rsidTr="008D32BA">
        <w:trPr>
          <w:trHeight w:val="475"/>
        </w:trPr>
        <w:tc>
          <w:tcPr>
            <w:tcW w:w="707" w:type="pct"/>
            <w:vMerge/>
            <w:tcBorders>
              <w:left w:val="single" w:sz="8" w:space="0" w:color="CCDDEE"/>
              <w:bottom w:val="single" w:sz="8" w:space="0" w:color="DDEEFF"/>
              <w:right w:val="single" w:sz="8" w:space="0" w:color="DDEEFF"/>
            </w:tcBorders>
            <w:shd w:val="clear" w:color="000000" w:fill="FFFFFF"/>
            <w:vAlign w:val="bottom"/>
            <w:hideMark/>
          </w:tcPr>
          <w:p w14:paraId="5DD97A49" w14:textId="77777777" w:rsidR="00086FB8" w:rsidRPr="00492A87" w:rsidRDefault="00086FB8" w:rsidP="008D32BA">
            <w:pPr>
              <w:rPr>
                <w:rFonts w:ascii="Times New Roman" w:hAnsi="Times New Roman"/>
                <w:color w:val="000000"/>
                <w:sz w:val="22"/>
                <w:szCs w:val="22"/>
              </w:rPr>
            </w:pP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7B35190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Bussbransjeavtalen</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3F0F4CC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 Stat/YS Spekter</w:t>
            </w:r>
          </w:p>
        </w:tc>
        <w:tc>
          <w:tcPr>
            <w:tcW w:w="750" w:type="pct"/>
            <w:tcBorders>
              <w:top w:val="single" w:sz="8" w:space="0" w:color="DDEEFF"/>
              <w:left w:val="nil"/>
              <w:bottom w:val="single" w:sz="8" w:space="0" w:color="E5E9C2"/>
              <w:right w:val="single" w:sz="8" w:space="0" w:color="DDEEFF"/>
            </w:tcBorders>
            <w:shd w:val="clear" w:color="000000" w:fill="FFFFFF"/>
            <w:vAlign w:val="bottom"/>
            <w:hideMark/>
          </w:tcPr>
          <w:p w14:paraId="49018A1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Spekter</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5B1AA03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2781495B"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25E7E6B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4 500</w:t>
            </w:r>
          </w:p>
        </w:tc>
      </w:tr>
      <w:tr w:rsidR="00086FB8" w:rsidRPr="00492A87" w14:paraId="1141137D" w14:textId="77777777" w:rsidTr="008D32BA">
        <w:trPr>
          <w:trHeight w:val="600"/>
        </w:trPr>
        <w:tc>
          <w:tcPr>
            <w:tcW w:w="707" w:type="pct"/>
            <w:tcBorders>
              <w:top w:val="nil"/>
              <w:left w:val="single" w:sz="8" w:space="0" w:color="CCDDEE"/>
              <w:bottom w:val="single" w:sz="8" w:space="0" w:color="E5E9C2"/>
              <w:right w:val="single" w:sz="8" w:space="0" w:color="DDEEFF"/>
            </w:tcBorders>
            <w:shd w:val="clear" w:color="000000" w:fill="FFFFFF"/>
            <w:vAlign w:val="bottom"/>
            <w:hideMark/>
          </w:tcPr>
          <w:p w14:paraId="6D26B22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Hotell- og restaurantvirksomhet</w:t>
            </w: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008D3B7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Riksavtalen for hotell- og restaurant</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4530029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LO/Fellesforbundet</w:t>
            </w:r>
          </w:p>
        </w:tc>
        <w:tc>
          <w:tcPr>
            <w:tcW w:w="750" w:type="pct"/>
            <w:tcBorders>
              <w:top w:val="single" w:sz="8" w:space="0" w:color="DDEEFF"/>
              <w:left w:val="nil"/>
              <w:bottom w:val="single" w:sz="8" w:space="0" w:color="E5E9C2"/>
              <w:right w:val="single" w:sz="8" w:space="0" w:color="DDEEFF"/>
            </w:tcBorders>
            <w:shd w:val="clear" w:color="000000" w:fill="FFFFFF"/>
            <w:vAlign w:val="bottom"/>
            <w:hideMark/>
          </w:tcPr>
          <w:p w14:paraId="5DE09FC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NHO/NHO Reiseliv</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0D5E14F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Forbundsvist, arbeidere</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6D58389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6C804E1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25–30 000</w:t>
            </w:r>
          </w:p>
        </w:tc>
      </w:tr>
      <w:tr w:rsidR="00086FB8" w:rsidRPr="00492A87" w14:paraId="5FF04B00" w14:textId="77777777" w:rsidTr="008D32BA">
        <w:trPr>
          <w:trHeight w:val="691"/>
        </w:trPr>
        <w:tc>
          <w:tcPr>
            <w:tcW w:w="707" w:type="pct"/>
            <w:tcBorders>
              <w:top w:val="single" w:sz="8" w:space="0" w:color="DDEEFF"/>
              <w:left w:val="single" w:sz="8" w:space="0" w:color="CCDDEE"/>
              <w:bottom w:val="single" w:sz="8" w:space="0" w:color="E5E9C2"/>
              <w:right w:val="single" w:sz="8" w:space="0" w:color="DDEEFF"/>
            </w:tcBorders>
            <w:shd w:val="clear" w:color="000000" w:fill="FFFFFF"/>
            <w:vAlign w:val="bottom"/>
            <w:hideMark/>
          </w:tcPr>
          <w:p w14:paraId="08956660"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Finanstjenester</w:t>
            </w: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66851AA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Sentralavtalen for finansnæringen</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1B5D930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Finansforbundet</w:t>
            </w:r>
          </w:p>
        </w:tc>
        <w:tc>
          <w:tcPr>
            <w:tcW w:w="750" w:type="pct"/>
            <w:tcBorders>
              <w:top w:val="single" w:sz="8" w:space="0" w:color="DDEEFF"/>
              <w:left w:val="nil"/>
              <w:bottom w:val="single" w:sz="8" w:space="0" w:color="E5E9C2"/>
              <w:right w:val="single" w:sz="8" w:space="0" w:color="DDEEFF"/>
            </w:tcBorders>
            <w:shd w:val="clear" w:color="000000" w:fill="FFFFFF"/>
            <w:vAlign w:val="bottom"/>
            <w:hideMark/>
          </w:tcPr>
          <w:p w14:paraId="6FDF2DA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Finans Norge</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5FE6D73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35DAABA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20F7DD4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26 000</w:t>
            </w:r>
          </w:p>
        </w:tc>
      </w:tr>
      <w:tr w:rsidR="00086FB8" w:rsidRPr="00492A87" w14:paraId="11A158E5" w14:textId="77777777" w:rsidTr="008D32BA">
        <w:trPr>
          <w:trHeight w:val="687"/>
        </w:trPr>
        <w:tc>
          <w:tcPr>
            <w:tcW w:w="707" w:type="pct"/>
            <w:tcBorders>
              <w:top w:val="single" w:sz="8" w:space="0" w:color="DDEEFF"/>
              <w:left w:val="single" w:sz="8" w:space="0" w:color="CCDDEE"/>
              <w:right w:val="single" w:sz="8" w:space="0" w:color="DDEEFF"/>
            </w:tcBorders>
            <w:shd w:val="clear" w:color="000000" w:fill="FFFFFF"/>
            <w:vAlign w:val="bottom"/>
            <w:hideMark/>
          </w:tcPr>
          <w:p w14:paraId="207A1BE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Staten</w:t>
            </w:r>
          </w:p>
        </w:tc>
        <w:tc>
          <w:tcPr>
            <w:tcW w:w="829" w:type="pct"/>
            <w:tcBorders>
              <w:top w:val="single" w:sz="8" w:space="0" w:color="DDEEFF"/>
              <w:left w:val="nil"/>
              <w:right w:val="single" w:sz="8" w:space="0" w:color="DDEEFF"/>
            </w:tcBorders>
            <w:shd w:val="clear" w:color="000000" w:fill="FFFFFF"/>
            <w:vAlign w:val="bottom"/>
            <w:hideMark/>
          </w:tcPr>
          <w:p w14:paraId="078D9C7B"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Hovedtariffavtalene i staten</w:t>
            </w:r>
          </w:p>
        </w:tc>
        <w:tc>
          <w:tcPr>
            <w:tcW w:w="828" w:type="pct"/>
            <w:tcBorders>
              <w:top w:val="single" w:sz="8" w:space="0" w:color="DDEEFF"/>
              <w:left w:val="nil"/>
              <w:right w:val="single" w:sz="8" w:space="0" w:color="DDEEFF"/>
            </w:tcBorders>
            <w:shd w:val="clear" w:color="000000" w:fill="FFFFFF"/>
            <w:vAlign w:val="bottom"/>
            <w:hideMark/>
          </w:tcPr>
          <w:p w14:paraId="5EB8BE3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Hovedsammenslutningene i staten</w:t>
            </w:r>
          </w:p>
        </w:tc>
        <w:tc>
          <w:tcPr>
            <w:tcW w:w="750" w:type="pct"/>
            <w:tcBorders>
              <w:top w:val="single" w:sz="8" w:space="0" w:color="DDEEFF"/>
              <w:left w:val="nil"/>
              <w:right w:val="single" w:sz="8" w:space="0" w:color="DDEEFF"/>
            </w:tcBorders>
            <w:shd w:val="clear" w:color="000000" w:fill="FFFFFF"/>
            <w:vAlign w:val="bottom"/>
            <w:hideMark/>
          </w:tcPr>
          <w:p w14:paraId="7065881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xml:space="preserve">KMD                                                                                                                                                                                                                                                                                                                          </w:t>
            </w:r>
          </w:p>
        </w:tc>
        <w:tc>
          <w:tcPr>
            <w:tcW w:w="608" w:type="pct"/>
            <w:tcBorders>
              <w:top w:val="single" w:sz="8" w:space="0" w:color="DDEEFF"/>
              <w:left w:val="nil"/>
              <w:right w:val="single" w:sz="8" w:space="0" w:color="DDEEFF"/>
            </w:tcBorders>
            <w:shd w:val="clear" w:color="000000" w:fill="FFFFFF"/>
            <w:vAlign w:val="bottom"/>
            <w:hideMark/>
          </w:tcPr>
          <w:p w14:paraId="0223955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3" w:type="pct"/>
            <w:tcBorders>
              <w:top w:val="single" w:sz="8" w:space="0" w:color="DDEEFF"/>
              <w:left w:val="nil"/>
              <w:right w:val="single" w:sz="8" w:space="0" w:color="DDEEFF"/>
            </w:tcBorders>
            <w:shd w:val="clear" w:color="000000" w:fill="FFFFFF"/>
            <w:vAlign w:val="bottom"/>
            <w:hideMark/>
          </w:tcPr>
          <w:p w14:paraId="2A258F3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Normallønn</w:t>
            </w:r>
          </w:p>
        </w:tc>
        <w:tc>
          <w:tcPr>
            <w:tcW w:w="714" w:type="pct"/>
            <w:tcBorders>
              <w:top w:val="single" w:sz="8" w:space="0" w:color="DDEEFF"/>
              <w:left w:val="nil"/>
              <w:right w:val="single" w:sz="8" w:space="0" w:color="CCDDEE"/>
            </w:tcBorders>
            <w:shd w:val="clear" w:color="000000" w:fill="FFFFFF"/>
            <w:vAlign w:val="bottom"/>
            <w:hideMark/>
          </w:tcPr>
          <w:p w14:paraId="7DF3EB9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150 000</w:t>
            </w:r>
          </w:p>
        </w:tc>
      </w:tr>
      <w:tr w:rsidR="00086FB8" w:rsidRPr="00492A87" w14:paraId="52CCCBAB" w14:textId="77777777" w:rsidTr="008D32BA">
        <w:trPr>
          <w:trHeight w:val="1230"/>
        </w:trPr>
        <w:tc>
          <w:tcPr>
            <w:tcW w:w="707" w:type="pct"/>
            <w:vMerge w:val="restart"/>
            <w:shd w:val="clear" w:color="000000" w:fill="FFFFFF"/>
            <w:vAlign w:val="bottom"/>
            <w:hideMark/>
          </w:tcPr>
          <w:p w14:paraId="75DC11A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Kommuner og fylkeskommuner, ekskl. Oslo kommune</w:t>
            </w:r>
          </w:p>
          <w:p w14:paraId="169DD99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829" w:type="pct"/>
            <w:shd w:val="clear" w:color="000000" w:fill="FFFFFF"/>
            <w:vAlign w:val="bottom"/>
            <w:hideMark/>
          </w:tcPr>
          <w:p w14:paraId="40B0FFA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Hovedtariffavtalen, kap 4 (stillinger med hovedsakelig sentral lønnsdannelse)</w:t>
            </w:r>
          </w:p>
        </w:tc>
        <w:tc>
          <w:tcPr>
            <w:tcW w:w="828" w:type="pct"/>
            <w:shd w:val="clear" w:color="000000" w:fill="FFFFFF"/>
            <w:vAlign w:val="bottom"/>
            <w:hideMark/>
          </w:tcPr>
          <w:p w14:paraId="614D3B7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Forhandlings-sammenslutninger i KS-området</w:t>
            </w:r>
          </w:p>
        </w:tc>
        <w:tc>
          <w:tcPr>
            <w:tcW w:w="750" w:type="pct"/>
            <w:shd w:val="clear" w:color="000000" w:fill="FFFFFF"/>
            <w:vAlign w:val="bottom"/>
            <w:hideMark/>
          </w:tcPr>
          <w:p w14:paraId="6AEEC66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KS</w:t>
            </w:r>
          </w:p>
        </w:tc>
        <w:tc>
          <w:tcPr>
            <w:tcW w:w="608" w:type="pct"/>
            <w:shd w:val="clear" w:color="000000" w:fill="FFFFFF"/>
            <w:vAlign w:val="bottom"/>
            <w:hideMark/>
          </w:tcPr>
          <w:p w14:paraId="653E418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vertikalt</w:t>
            </w:r>
          </w:p>
        </w:tc>
        <w:tc>
          <w:tcPr>
            <w:tcW w:w="563" w:type="pct"/>
            <w:shd w:val="clear" w:color="000000" w:fill="FFFFFF"/>
            <w:vAlign w:val="bottom"/>
            <w:hideMark/>
          </w:tcPr>
          <w:p w14:paraId="20647EE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shd w:val="clear" w:color="000000" w:fill="FFFFFF"/>
            <w:vAlign w:val="bottom"/>
            <w:hideMark/>
          </w:tcPr>
          <w:p w14:paraId="4A6654B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376 000</w:t>
            </w:r>
          </w:p>
        </w:tc>
      </w:tr>
      <w:tr w:rsidR="00086FB8" w:rsidRPr="00492A87" w14:paraId="46955A5B" w14:textId="77777777" w:rsidTr="008D32BA">
        <w:trPr>
          <w:trHeight w:val="1020"/>
        </w:trPr>
        <w:tc>
          <w:tcPr>
            <w:tcW w:w="707" w:type="pct"/>
            <w:vMerge/>
            <w:tcBorders>
              <w:bottom w:val="single" w:sz="8" w:space="0" w:color="DDEEFF"/>
            </w:tcBorders>
            <w:shd w:val="clear" w:color="000000" w:fill="FFFFFF"/>
            <w:vAlign w:val="bottom"/>
            <w:hideMark/>
          </w:tcPr>
          <w:p w14:paraId="15AE3B23" w14:textId="77777777" w:rsidR="00086FB8" w:rsidRPr="00492A87" w:rsidRDefault="00086FB8" w:rsidP="008D32BA">
            <w:pPr>
              <w:rPr>
                <w:rFonts w:ascii="Times New Roman" w:hAnsi="Times New Roman"/>
                <w:color w:val="000000"/>
                <w:sz w:val="22"/>
                <w:szCs w:val="22"/>
              </w:rPr>
            </w:pPr>
          </w:p>
        </w:tc>
        <w:tc>
          <w:tcPr>
            <w:tcW w:w="829" w:type="pct"/>
            <w:tcBorders>
              <w:bottom w:val="single" w:sz="8" w:space="0" w:color="E5E9C2"/>
              <w:right w:val="single" w:sz="8" w:space="0" w:color="DDEEFF"/>
            </w:tcBorders>
            <w:shd w:val="clear" w:color="000000" w:fill="FFFFFF"/>
            <w:vAlign w:val="bottom"/>
            <w:hideMark/>
          </w:tcPr>
          <w:p w14:paraId="581F634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Hovedtariffavtalen, kap 3 og 5 (stillinger med lokal lønnsdannelse)</w:t>
            </w:r>
          </w:p>
        </w:tc>
        <w:tc>
          <w:tcPr>
            <w:tcW w:w="828" w:type="pct"/>
            <w:tcBorders>
              <w:left w:val="nil"/>
              <w:bottom w:val="single" w:sz="8" w:space="0" w:color="DDEEFF"/>
              <w:right w:val="single" w:sz="8" w:space="0" w:color="DDEEFF"/>
            </w:tcBorders>
            <w:shd w:val="clear" w:color="000000" w:fill="FFFFFF"/>
            <w:vAlign w:val="bottom"/>
            <w:hideMark/>
          </w:tcPr>
          <w:p w14:paraId="4730E2D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750" w:type="pct"/>
            <w:tcBorders>
              <w:left w:val="nil"/>
              <w:bottom w:val="single" w:sz="8" w:space="0" w:color="DDEEFF"/>
              <w:right w:val="single" w:sz="8" w:space="0" w:color="DDEEFF"/>
            </w:tcBorders>
            <w:shd w:val="clear" w:color="000000" w:fill="FFFFFF"/>
            <w:vAlign w:val="bottom"/>
            <w:hideMark/>
          </w:tcPr>
          <w:p w14:paraId="397B9E4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608" w:type="pct"/>
            <w:tcBorders>
              <w:left w:val="nil"/>
              <w:bottom w:val="single" w:sz="8" w:space="0" w:color="E5E9C2"/>
              <w:right w:val="single" w:sz="8" w:space="0" w:color="DDEEFF"/>
            </w:tcBorders>
            <w:shd w:val="clear" w:color="000000" w:fill="FFFFFF"/>
            <w:vAlign w:val="bottom"/>
            <w:hideMark/>
          </w:tcPr>
          <w:p w14:paraId="56742F3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Lokalt. Ledere og akademikere</w:t>
            </w:r>
          </w:p>
        </w:tc>
        <w:tc>
          <w:tcPr>
            <w:tcW w:w="563" w:type="pct"/>
            <w:tcBorders>
              <w:left w:val="nil"/>
              <w:bottom w:val="single" w:sz="8" w:space="0" w:color="E5E9C2"/>
              <w:right w:val="single" w:sz="8" w:space="0" w:color="DDEEFF"/>
            </w:tcBorders>
            <w:shd w:val="clear" w:color="000000" w:fill="FFFFFF"/>
            <w:vAlign w:val="bottom"/>
            <w:hideMark/>
          </w:tcPr>
          <w:p w14:paraId="4244ED0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14" w:type="pct"/>
            <w:tcBorders>
              <w:left w:val="nil"/>
              <w:bottom w:val="single" w:sz="8" w:space="0" w:color="E5E9C2"/>
              <w:right w:val="single" w:sz="8" w:space="0" w:color="CCDDEE"/>
            </w:tcBorders>
            <w:shd w:val="clear" w:color="000000" w:fill="FFFFFF"/>
            <w:vAlign w:val="bottom"/>
            <w:hideMark/>
          </w:tcPr>
          <w:p w14:paraId="69463CB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43 000</w:t>
            </w:r>
          </w:p>
        </w:tc>
      </w:tr>
      <w:tr w:rsidR="00086FB8" w:rsidRPr="00492A87" w14:paraId="7D439633" w14:textId="77777777" w:rsidTr="008D32BA">
        <w:trPr>
          <w:trHeight w:val="1035"/>
        </w:trPr>
        <w:tc>
          <w:tcPr>
            <w:tcW w:w="707" w:type="pct"/>
            <w:vMerge w:val="restart"/>
            <w:tcBorders>
              <w:top w:val="nil"/>
              <w:left w:val="single" w:sz="8" w:space="0" w:color="CCDDEE"/>
              <w:right w:val="single" w:sz="8" w:space="0" w:color="DDEEFF"/>
            </w:tcBorders>
            <w:shd w:val="clear" w:color="000000" w:fill="FFFFFF"/>
            <w:vAlign w:val="bottom"/>
            <w:hideMark/>
          </w:tcPr>
          <w:p w14:paraId="6AB82F4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De statlig eide helseforetakene</w:t>
            </w:r>
          </w:p>
          <w:p w14:paraId="36FA5E9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p w14:paraId="3E0B3EE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p w14:paraId="5079671B"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5C75575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for Norsk Sykepleierforbund</w:t>
            </w:r>
          </w:p>
        </w:tc>
        <w:tc>
          <w:tcPr>
            <w:tcW w:w="828" w:type="pct"/>
            <w:tcBorders>
              <w:top w:val="nil"/>
              <w:left w:val="nil"/>
              <w:bottom w:val="single" w:sz="8" w:space="0" w:color="E5E9C2"/>
              <w:right w:val="single" w:sz="8" w:space="0" w:color="DDEEFF"/>
            </w:tcBorders>
            <w:shd w:val="clear" w:color="000000" w:fill="FFFFFF"/>
            <w:vAlign w:val="bottom"/>
            <w:hideMark/>
          </w:tcPr>
          <w:p w14:paraId="1CA39678"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Norsk Sykepleierforbund</w:t>
            </w:r>
          </w:p>
        </w:tc>
        <w:tc>
          <w:tcPr>
            <w:tcW w:w="750" w:type="pct"/>
            <w:tcBorders>
              <w:top w:val="nil"/>
              <w:left w:val="nil"/>
              <w:bottom w:val="single" w:sz="8" w:space="0" w:color="E5E9C2"/>
              <w:right w:val="single" w:sz="8" w:space="0" w:color="DDEEFF"/>
            </w:tcBorders>
            <w:shd w:val="clear" w:color="000000" w:fill="FFFFFF"/>
            <w:vAlign w:val="bottom"/>
            <w:hideMark/>
          </w:tcPr>
          <w:p w14:paraId="4AD03D7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Spekter</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31D360E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1538D01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3F92C95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36 000</w:t>
            </w:r>
          </w:p>
        </w:tc>
      </w:tr>
      <w:tr w:rsidR="00086FB8" w:rsidRPr="00492A87" w14:paraId="737B8970" w14:textId="77777777" w:rsidTr="008D32BA">
        <w:trPr>
          <w:trHeight w:val="675"/>
        </w:trPr>
        <w:tc>
          <w:tcPr>
            <w:tcW w:w="707" w:type="pct"/>
            <w:vMerge/>
            <w:tcBorders>
              <w:left w:val="single" w:sz="8" w:space="0" w:color="CCDDEE"/>
              <w:right w:val="single" w:sz="8" w:space="0" w:color="DDEEFF"/>
            </w:tcBorders>
            <w:shd w:val="clear" w:color="000000" w:fill="FFFFFF"/>
            <w:vAlign w:val="bottom"/>
            <w:hideMark/>
          </w:tcPr>
          <w:p w14:paraId="24E6232E" w14:textId="77777777" w:rsidR="00086FB8" w:rsidRPr="00492A87" w:rsidRDefault="00086FB8" w:rsidP="008D32BA">
            <w:pPr>
              <w:rPr>
                <w:rFonts w:ascii="Times New Roman" w:hAnsi="Times New Roman"/>
                <w:color w:val="000000"/>
                <w:sz w:val="22"/>
                <w:szCs w:val="22"/>
              </w:rPr>
            </w:pP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2BE070E8"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for LO-forbund</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5C583BE9"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Forbundene i LO Stat</w:t>
            </w:r>
          </w:p>
        </w:tc>
        <w:tc>
          <w:tcPr>
            <w:tcW w:w="750" w:type="pct"/>
            <w:tcBorders>
              <w:top w:val="single" w:sz="8" w:space="0" w:color="DDEEFF"/>
              <w:left w:val="nil"/>
              <w:bottom w:val="single" w:sz="8" w:space="0" w:color="DDEEFF"/>
              <w:right w:val="single" w:sz="8" w:space="0" w:color="DDEEFF"/>
            </w:tcBorders>
            <w:shd w:val="clear" w:color="000000" w:fill="FFFFFF"/>
            <w:vAlign w:val="bottom"/>
            <w:hideMark/>
          </w:tcPr>
          <w:p w14:paraId="3FFF4C5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402142C8"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570BD8E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7C8E2056"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24 000</w:t>
            </w:r>
          </w:p>
        </w:tc>
      </w:tr>
      <w:tr w:rsidR="00086FB8" w:rsidRPr="00492A87" w14:paraId="13403E6B" w14:textId="77777777" w:rsidTr="008D32BA">
        <w:trPr>
          <w:trHeight w:val="675"/>
        </w:trPr>
        <w:tc>
          <w:tcPr>
            <w:tcW w:w="707" w:type="pct"/>
            <w:vMerge/>
            <w:tcBorders>
              <w:left w:val="single" w:sz="8" w:space="0" w:color="CCDDEE"/>
              <w:right w:val="single" w:sz="8" w:space="0" w:color="DDEEFF"/>
            </w:tcBorders>
            <w:shd w:val="clear" w:color="000000" w:fill="FFFFFF"/>
            <w:vAlign w:val="bottom"/>
            <w:hideMark/>
          </w:tcPr>
          <w:p w14:paraId="655473D0" w14:textId="77777777" w:rsidR="00086FB8" w:rsidRPr="00492A87" w:rsidRDefault="00086FB8" w:rsidP="008D32BA">
            <w:pPr>
              <w:rPr>
                <w:rFonts w:ascii="Times New Roman" w:hAnsi="Times New Roman"/>
                <w:color w:val="000000"/>
                <w:sz w:val="22"/>
                <w:szCs w:val="22"/>
              </w:rPr>
            </w:pP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73EBE29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for YS-forbund</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3B6036C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Forbundene i YS Spekter</w:t>
            </w:r>
          </w:p>
        </w:tc>
        <w:tc>
          <w:tcPr>
            <w:tcW w:w="750" w:type="pct"/>
            <w:tcBorders>
              <w:top w:val="nil"/>
              <w:left w:val="nil"/>
              <w:bottom w:val="single" w:sz="8" w:space="0" w:color="DDEEFF"/>
              <w:right w:val="single" w:sz="8" w:space="0" w:color="DDEEFF"/>
            </w:tcBorders>
            <w:shd w:val="clear" w:color="000000" w:fill="FFFFFF"/>
            <w:vAlign w:val="bottom"/>
            <w:hideMark/>
          </w:tcPr>
          <w:p w14:paraId="7523848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6EA02D5F"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forbundsvist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11F978F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Minstelønn</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2AA190E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9 500</w:t>
            </w:r>
          </w:p>
        </w:tc>
      </w:tr>
      <w:tr w:rsidR="00086FB8" w:rsidRPr="00492A87" w14:paraId="267BBC4F" w14:textId="77777777" w:rsidTr="008D32BA">
        <w:trPr>
          <w:trHeight w:val="871"/>
        </w:trPr>
        <w:tc>
          <w:tcPr>
            <w:tcW w:w="707" w:type="pct"/>
            <w:vMerge/>
            <w:tcBorders>
              <w:left w:val="single" w:sz="8" w:space="0" w:color="CCDDEE"/>
              <w:bottom w:val="single" w:sz="8" w:space="0" w:color="DDEEFF"/>
              <w:right w:val="single" w:sz="8" w:space="0" w:color="DDEEFF"/>
            </w:tcBorders>
            <w:shd w:val="clear" w:color="000000" w:fill="FFFFFF"/>
            <w:vAlign w:val="bottom"/>
            <w:hideMark/>
          </w:tcPr>
          <w:p w14:paraId="22A73C34" w14:textId="77777777" w:rsidR="00086FB8" w:rsidRPr="00492A87" w:rsidRDefault="00086FB8" w:rsidP="008D32BA">
            <w:pPr>
              <w:rPr>
                <w:rFonts w:ascii="Times New Roman" w:hAnsi="Times New Roman"/>
                <w:color w:val="000000"/>
                <w:sz w:val="22"/>
                <w:szCs w:val="22"/>
              </w:rPr>
            </w:pP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04BD6C9D"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Akademikerne – Helse</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71FC6EB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Foreningene i Akademikerne – Helse</w:t>
            </w:r>
          </w:p>
        </w:tc>
        <w:tc>
          <w:tcPr>
            <w:tcW w:w="750" w:type="pct"/>
            <w:tcBorders>
              <w:top w:val="nil"/>
              <w:left w:val="nil"/>
              <w:bottom w:val="single" w:sz="8" w:space="0" w:color="DDEEFF"/>
              <w:right w:val="single" w:sz="8" w:space="0" w:color="DDEEFF"/>
            </w:tcBorders>
            <w:shd w:val="clear" w:color="000000" w:fill="FFFFFF"/>
            <w:vAlign w:val="bottom"/>
            <w:hideMark/>
          </w:tcPr>
          <w:p w14:paraId="7C305EB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66AE4C40"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Sentralt, forbundsvist og lokalt</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47B00EE3"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Normallønn/</w:t>
            </w:r>
            <w:r>
              <w:rPr>
                <w:rFonts w:ascii="Times New Roman" w:hAnsi="Times New Roman"/>
                <w:color w:val="000000"/>
                <w:sz w:val="22"/>
                <w:szCs w:val="22"/>
              </w:rPr>
              <w:t xml:space="preserve"> </w:t>
            </w:r>
            <w:r w:rsidRPr="00492A87">
              <w:rPr>
                <w:rFonts w:ascii="Times New Roman" w:hAnsi="Times New Roman"/>
                <w:color w:val="000000"/>
                <w:sz w:val="22"/>
                <w:szCs w:val="22"/>
              </w:rPr>
              <w:t>minstelønn/ uten lønnssatser</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4837F9EC"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19 000 i overenskomstområdet Akademikerne – Helse</w:t>
            </w:r>
          </w:p>
        </w:tc>
      </w:tr>
      <w:tr w:rsidR="00086FB8" w:rsidRPr="00492A87" w14:paraId="12C4F0B2" w14:textId="77777777" w:rsidTr="008D32BA">
        <w:trPr>
          <w:trHeight w:val="600"/>
        </w:trPr>
        <w:tc>
          <w:tcPr>
            <w:tcW w:w="707" w:type="pct"/>
            <w:tcBorders>
              <w:top w:val="nil"/>
              <w:left w:val="single" w:sz="8" w:space="0" w:color="CCDDEE"/>
              <w:bottom w:val="single" w:sz="8" w:space="0" w:color="E5E9C2"/>
              <w:right w:val="single" w:sz="8" w:space="0" w:color="DDEEFF"/>
            </w:tcBorders>
            <w:shd w:val="clear" w:color="000000" w:fill="FFFFFF"/>
            <w:vAlign w:val="bottom"/>
            <w:hideMark/>
          </w:tcPr>
          <w:p w14:paraId="73F3F9E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NHO-området</w:t>
            </w:r>
          </w:p>
        </w:tc>
        <w:tc>
          <w:tcPr>
            <w:tcW w:w="829" w:type="pct"/>
            <w:tcBorders>
              <w:top w:val="single" w:sz="8" w:space="0" w:color="DDEEFF"/>
              <w:left w:val="nil"/>
              <w:bottom w:val="single" w:sz="8" w:space="0" w:color="E5E9C2"/>
              <w:right w:val="single" w:sz="8" w:space="0" w:color="DDEEFF"/>
            </w:tcBorders>
            <w:shd w:val="clear" w:color="000000" w:fill="FFFFFF"/>
            <w:vAlign w:val="bottom"/>
            <w:hideMark/>
          </w:tcPr>
          <w:p w14:paraId="71C7705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Hovedavtalen Tekna</w:t>
            </w:r>
          </w:p>
        </w:tc>
        <w:tc>
          <w:tcPr>
            <w:tcW w:w="828" w:type="pct"/>
            <w:tcBorders>
              <w:top w:val="single" w:sz="8" w:space="0" w:color="DDEEFF"/>
              <w:left w:val="nil"/>
              <w:bottom w:val="single" w:sz="8" w:space="0" w:color="E5E9C2"/>
              <w:right w:val="single" w:sz="8" w:space="0" w:color="DDEEFF"/>
            </w:tcBorders>
            <w:shd w:val="clear" w:color="000000" w:fill="FFFFFF"/>
            <w:vAlign w:val="bottom"/>
            <w:hideMark/>
          </w:tcPr>
          <w:p w14:paraId="0B2D3D21"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 xml:space="preserve">Tekna, </w:t>
            </w:r>
            <w:r w:rsidRPr="00492A87">
              <w:rPr>
                <w:rFonts w:ascii="Times New Roman" w:hAnsi="Times New Roman"/>
                <w:color w:val="000000"/>
                <w:sz w:val="22"/>
                <w:szCs w:val="22"/>
              </w:rPr>
              <w:br/>
              <w:t>Akademikerne</w:t>
            </w:r>
          </w:p>
        </w:tc>
        <w:tc>
          <w:tcPr>
            <w:tcW w:w="750" w:type="pct"/>
            <w:tcBorders>
              <w:top w:val="nil"/>
              <w:left w:val="nil"/>
              <w:bottom w:val="single" w:sz="8" w:space="0" w:color="E5E9C2"/>
              <w:right w:val="single" w:sz="8" w:space="0" w:color="DDEEFF"/>
            </w:tcBorders>
            <w:shd w:val="clear" w:color="000000" w:fill="FFFFFF"/>
            <w:vAlign w:val="bottom"/>
            <w:hideMark/>
          </w:tcPr>
          <w:p w14:paraId="618EE32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NHO/tilsluttede landsforeninger</w:t>
            </w:r>
          </w:p>
        </w:tc>
        <w:tc>
          <w:tcPr>
            <w:tcW w:w="608" w:type="pct"/>
            <w:tcBorders>
              <w:top w:val="single" w:sz="8" w:space="0" w:color="DDEEFF"/>
              <w:left w:val="nil"/>
              <w:bottom w:val="single" w:sz="8" w:space="0" w:color="E5E9C2"/>
              <w:right w:val="single" w:sz="8" w:space="0" w:color="DDEEFF"/>
            </w:tcBorders>
            <w:shd w:val="clear" w:color="000000" w:fill="FFFFFF"/>
            <w:vAlign w:val="bottom"/>
            <w:hideMark/>
          </w:tcPr>
          <w:p w14:paraId="41ACD935"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Lokalt, funksjonærer</w:t>
            </w:r>
          </w:p>
        </w:tc>
        <w:tc>
          <w:tcPr>
            <w:tcW w:w="563" w:type="pct"/>
            <w:tcBorders>
              <w:top w:val="single" w:sz="8" w:space="0" w:color="DDEEFF"/>
              <w:left w:val="nil"/>
              <w:bottom w:val="single" w:sz="8" w:space="0" w:color="E5E9C2"/>
              <w:right w:val="single" w:sz="8" w:space="0" w:color="DDEEFF"/>
            </w:tcBorders>
            <w:shd w:val="clear" w:color="000000" w:fill="FFFFFF"/>
            <w:vAlign w:val="bottom"/>
            <w:hideMark/>
          </w:tcPr>
          <w:p w14:paraId="1F15AD2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14" w:type="pct"/>
            <w:tcBorders>
              <w:top w:val="single" w:sz="8" w:space="0" w:color="DDEEFF"/>
              <w:left w:val="nil"/>
              <w:bottom w:val="single" w:sz="8" w:space="0" w:color="E5E9C2"/>
              <w:right w:val="single" w:sz="8" w:space="0" w:color="CCDDEE"/>
            </w:tcBorders>
            <w:shd w:val="clear" w:color="000000" w:fill="FFFFFF"/>
            <w:vAlign w:val="bottom"/>
            <w:hideMark/>
          </w:tcPr>
          <w:p w14:paraId="1D9FB3E4"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18 000 medlemmer</w:t>
            </w:r>
          </w:p>
        </w:tc>
      </w:tr>
      <w:tr w:rsidR="00086FB8" w:rsidRPr="00492A87" w14:paraId="7EA21B9E" w14:textId="77777777" w:rsidTr="008D32BA">
        <w:trPr>
          <w:trHeight w:val="600"/>
        </w:trPr>
        <w:tc>
          <w:tcPr>
            <w:tcW w:w="707" w:type="pct"/>
            <w:tcBorders>
              <w:top w:val="single" w:sz="8" w:space="0" w:color="E5E9C2"/>
              <w:left w:val="single" w:sz="8" w:space="0" w:color="CCDDEE"/>
              <w:bottom w:val="single" w:sz="4" w:space="0" w:color="auto"/>
              <w:right w:val="single" w:sz="8" w:space="0" w:color="DDEEFF"/>
            </w:tcBorders>
            <w:shd w:val="clear" w:color="000000" w:fill="FFFFFF"/>
            <w:vAlign w:val="bottom"/>
            <w:hideMark/>
          </w:tcPr>
          <w:p w14:paraId="28529F5A"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NHO-området</w:t>
            </w:r>
          </w:p>
        </w:tc>
        <w:tc>
          <w:tcPr>
            <w:tcW w:w="829" w:type="pct"/>
            <w:tcBorders>
              <w:top w:val="single" w:sz="8" w:space="0" w:color="E5E9C2"/>
              <w:left w:val="nil"/>
              <w:bottom w:val="single" w:sz="4" w:space="0" w:color="auto"/>
              <w:right w:val="single" w:sz="8" w:space="0" w:color="DDEEFF"/>
            </w:tcBorders>
            <w:shd w:val="clear" w:color="000000" w:fill="FFFFFF"/>
            <w:vAlign w:val="bottom"/>
            <w:hideMark/>
          </w:tcPr>
          <w:p w14:paraId="04B80C80"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Overenskomst NITO</w:t>
            </w:r>
          </w:p>
        </w:tc>
        <w:tc>
          <w:tcPr>
            <w:tcW w:w="828" w:type="pct"/>
            <w:tcBorders>
              <w:top w:val="single" w:sz="8" w:space="0" w:color="E5E9C2"/>
              <w:left w:val="nil"/>
              <w:bottom w:val="single" w:sz="4" w:space="0" w:color="auto"/>
              <w:right w:val="single" w:sz="8" w:space="0" w:color="DDEEFF"/>
            </w:tcBorders>
            <w:shd w:val="clear" w:color="000000" w:fill="FFFFFF"/>
            <w:vAlign w:val="bottom"/>
            <w:hideMark/>
          </w:tcPr>
          <w:p w14:paraId="23C444F2"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NITO</w:t>
            </w:r>
          </w:p>
        </w:tc>
        <w:tc>
          <w:tcPr>
            <w:tcW w:w="750" w:type="pct"/>
            <w:tcBorders>
              <w:top w:val="single" w:sz="8" w:space="0" w:color="E5E9C2"/>
              <w:left w:val="nil"/>
              <w:bottom w:val="single" w:sz="4" w:space="0" w:color="auto"/>
              <w:right w:val="single" w:sz="8" w:space="0" w:color="DDEEFF"/>
            </w:tcBorders>
            <w:shd w:val="clear" w:color="000000" w:fill="FFFFFF"/>
            <w:vAlign w:val="bottom"/>
            <w:hideMark/>
          </w:tcPr>
          <w:p w14:paraId="3B95C57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NHO/tilsluttede landsforeninger</w:t>
            </w:r>
          </w:p>
        </w:tc>
        <w:tc>
          <w:tcPr>
            <w:tcW w:w="608" w:type="pct"/>
            <w:tcBorders>
              <w:top w:val="single" w:sz="8" w:space="0" w:color="E5E9C2"/>
              <w:left w:val="nil"/>
              <w:bottom w:val="single" w:sz="4" w:space="0" w:color="auto"/>
              <w:right w:val="single" w:sz="8" w:space="0" w:color="DDEEFF"/>
            </w:tcBorders>
            <w:shd w:val="clear" w:color="000000" w:fill="FFFFFF"/>
            <w:vAlign w:val="bottom"/>
            <w:hideMark/>
          </w:tcPr>
          <w:p w14:paraId="7BC53FFE"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Lokalt, funksjonærer</w:t>
            </w:r>
          </w:p>
        </w:tc>
        <w:tc>
          <w:tcPr>
            <w:tcW w:w="563" w:type="pct"/>
            <w:tcBorders>
              <w:top w:val="single" w:sz="8" w:space="0" w:color="E5E9C2"/>
              <w:left w:val="nil"/>
              <w:bottom w:val="single" w:sz="4" w:space="0" w:color="auto"/>
              <w:right w:val="single" w:sz="8" w:space="0" w:color="DDEEFF"/>
            </w:tcBorders>
            <w:shd w:val="clear" w:color="000000" w:fill="FFFFFF"/>
            <w:vAlign w:val="bottom"/>
            <w:hideMark/>
          </w:tcPr>
          <w:p w14:paraId="5934E457"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Uten lønnssatser</w:t>
            </w:r>
          </w:p>
        </w:tc>
        <w:tc>
          <w:tcPr>
            <w:tcW w:w="714" w:type="pct"/>
            <w:tcBorders>
              <w:top w:val="single" w:sz="8" w:space="0" w:color="E5E9C2"/>
              <w:left w:val="nil"/>
              <w:bottom w:val="single" w:sz="4" w:space="0" w:color="auto"/>
              <w:right w:val="single" w:sz="8" w:space="0" w:color="CCDDEE"/>
            </w:tcBorders>
            <w:shd w:val="clear" w:color="000000" w:fill="FFFFFF"/>
            <w:vAlign w:val="bottom"/>
            <w:hideMark/>
          </w:tcPr>
          <w:p w14:paraId="5D28BB30" w14:textId="77777777" w:rsidR="00086FB8" w:rsidRPr="00492A87" w:rsidRDefault="00086FB8" w:rsidP="008D32BA">
            <w:pPr>
              <w:rPr>
                <w:rFonts w:ascii="Times New Roman" w:hAnsi="Times New Roman"/>
                <w:color w:val="000000"/>
                <w:sz w:val="22"/>
                <w:szCs w:val="22"/>
              </w:rPr>
            </w:pPr>
            <w:r w:rsidRPr="00492A87">
              <w:rPr>
                <w:rFonts w:ascii="Times New Roman" w:hAnsi="Times New Roman"/>
                <w:color w:val="000000"/>
                <w:sz w:val="22"/>
                <w:szCs w:val="22"/>
              </w:rPr>
              <w:t>Om lag 18 000 medlemmer</w:t>
            </w:r>
          </w:p>
        </w:tc>
      </w:tr>
    </w:tbl>
    <w:p w14:paraId="2C0A6DEB" w14:textId="77777777" w:rsidR="00086FB8" w:rsidRPr="00F11752" w:rsidRDefault="00086FB8" w:rsidP="00086FB8">
      <w:pPr>
        <w:rPr>
          <w:rFonts w:ascii="Times New Roman" w:hAnsi="Times New Roman"/>
          <w:sz w:val="20"/>
        </w:rPr>
      </w:pPr>
      <w:r w:rsidRPr="00F11752">
        <w:rPr>
          <w:rFonts w:ascii="Times New Roman" w:hAnsi="Times New Roman"/>
          <w:color w:val="000000"/>
          <w:sz w:val="20"/>
          <w:vertAlign w:val="superscript"/>
        </w:rPr>
        <w:t>1</w:t>
      </w:r>
      <w:r w:rsidRPr="00F11752">
        <w:rPr>
          <w:rFonts w:ascii="Times New Roman" w:hAnsi="Times New Roman"/>
          <w:color w:val="000000"/>
          <w:sz w:val="20"/>
        </w:rPr>
        <w:t xml:space="preserve"> Om lag 2 500 av de som er omfattet av Industrioverenskomsten, er ansatte i byggebedrifter</w:t>
      </w:r>
      <w:r w:rsidRPr="00F11752">
        <w:rPr>
          <w:rFonts w:ascii="Times New Roman" w:hAnsi="Times New Roman"/>
          <w:color w:val="000000"/>
          <w:sz w:val="20"/>
        </w:rPr>
        <w:br/>
      </w:r>
      <w:r w:rsidRPr="00F11752">
        <w:rPr>
          <w:rFonts w:ascii="Times New Roman" w:hAnsi="Times New Roman"/>
          <w:sz w:val="20"/>
        </w:rPr>
        <w:t>Kilde: NOU 2013:13 Lønnsdannelsen og utfordringer for norsk økonomi og Beregningsutvalget.</w:t>
      </w:r>
    </w:p>
    <w:p w14:paraId="27278B0B" w14:textId="77777777" w:rsidR="00086FB8" w:rsidRDefault="00086FB8" w:rsidP="00086FB8">
      <w:pPr>
        <w:sectPr w:rsidR="00086FB8" w:rsidSect="008D32BA">
          <w:pgSz w:w="16838" w:h="11906" w:orient="landscape"/>
          <w:pgMar w:top="1417" w:right="1417" w:bottom="1417" w:left="1417" w:header="708" w:footer="708" w:gutter="0"/>
          <w:cols w:space="708"/>
          <w:docGrid w:linePitch="360"/>
        </w:sectPr>
      </w:pPr>
    </w:p>
    <w:p w14:paraId="330DE117" w14:textId="77777777" w:rsidR="00086FB8" w:rsidRPr="00FA6AF9" w:rsidRDefault="00086FB8" w:rsidP="00086FB8">
      <w:pPr>
        <w:sectPr w:rsidR="00086FB8" w:rsidRPr="00FA6AF9" w:rsidSect="008D32BA">
          <w:pgSz w:w="11906" w:h="16838"/>
          <w:pgMar w:top="1418" w:right="1418" w:bottom="1418" w:left="1418" w:header="709" w:footer="709" w:gutter="0"/>
          <w:cols w:space="708"/>
          <w:docGrid w:linePitch="360"/>
        </w:sectPr>
      </w:pPr>
      <w:r>
        <w:rPr>
          <w:noProof/>
        </w:rPr>
        <mc:AlternateContent>
          <mc:Choice Requires="wps">
            <w:drawing>
              <wp:inline distT="0" distB="0" distL="0" distR="0" wp14:anchorId="256DD45C" wp14:editId="0178A52B">
                <wp:extent cx="5774690" cy="7195931"/>
                <wp:effectExtent l="0" t="0" r="16510" b="24130"/>
                <wp:docPr id="27" name="Tekstbo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7195931"/>
                        </a:xfrm>
                        <a:prstGeom prst="rect">
                          <a:avLst/>
                        </a:prstGeom>
                        <a:solidFill>
                          <a:srgbClr val="FFFFFF"/>
                        </a:solidFill>
                        <a:ln w="9525">
                          <a:solidFill>
                            <a:srgbClr val="000000"/>
                          </a:solidFill>
                          <a:miter lim="800000"/>
                          <a:headEnd/>
                          <a:tailEnd/>
                        </a:ln>
                      </wps:spPr>
                      <wps:txbx>
                        <w:txbxContent>
                          <w:p w14:paraId="780E0CCD" w14:textId="77777777" w:rsidR="003D053D" w:rsidRPr="00174684" w:rsidRDefault="003D053D" w:rsidP="00086FB8">
                            <w:pPr>
                              <w:jc w:val="center"/>
                              <w:rPr>
                                <w:b/>
                              </w:rPr>
                            </w:pPr>
                            <w:r w:rsidRPr="00174684">
                              <w:rPr>
                                <w:b/>
                              </w:rPr>
                              <w:t>Boks 5.2 Lønnsutviklingen 1970-201</w:t>
                            </w:r>
                            <w:r>
                              <w:rPr>
                                <w:b/>
                              </w:rPr>
                              <w:t>5</w:t>
                            </w:r>
                          </w:p>
                          <w:p w14:paraId="4E0E0FBB" w14:textId="63CD6C61" w:rsidR="003D053D" w:rsidRDefault="003D053D" w:rsidP="00086FB8">
                            <w:r>
                              <w:t>I denne boksen presenteres utviklingen i nominell lønn</w:t>
                            </w:r>
                            <w:r w:rsidRPr="004B4A9B">
                              <w:rPr>
                                <w:vertAlign w:val="superscript"/>
                              </w:rPr>
                              <w:t xml:space="preserve">1 </w:t>
                            </w:r>
                            <w:r>
                              <w:t>og reallønn</w:t>
                            </w:r>
                            <w:r>
                              <w:rPr>
                                <w:vertAlign w:val="superscript"/>
                              </w:rPr>
                              <w:t>2</w:t>
                            </w:r>
                            <w:r>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11,9 prosent i 1981 og 4,4 prosent i 1989. Lønnsveksten i 1988 og 1989 var påvirket av inntektsreguleringslover. Reallønnsveksten på 1980-tallet sett under ett var lav, og negativ i flere år.  Siden begynnelsen av 1990-tallet har både lønns- og prisveksten stort sett vært klart lavere enn på 1970- og 80-tallet, men reallønnsveksten har vært høy. </w:t>
                            </w:r>
                          </w:p>
                          <w:p w14:paraId="0C7E4B22" w14:textId="77777777" w:rsidR="003D053D" w:rsidRDefault="003D053D" w:rsidP="00086FB8">
                            <w:r>
                              <w:t>F</w:t>
                            </w:r>
                            <w:r w:rsidRPr="005E5BDE">
                              <w:t xml:space="preserve">iguren </w:t>
                            </w:r>
                            <w:r>
                              <w:t xml:space="preserve">viser </w:t>
                            </w:r>
                            <w:r w:rsidRPr="005E5BDE">
                              <w:t>reallønn</w:t>
                            </w:r>
                            <w:r>
                              <w:t>svekst basert på</w:t>
                            </w:r>
                            <w:r w:rsidRPr="005E5BDE">
                              <w:t xml:space="preserve"> </w:t>
                            </w:r>
                            <w:r>
                              <w:t xml:space="preserve">vekst i </w:t>
                            </w:r>
                            <w:r w:rsidRPr="005E5BDE">
                              <w:t>årslønn</w:t>
                            </w:r>
                            <w:r>
                              <w:t>. Utviklingen i real</w:t>
                            </w:r>
                            <w:r w:rsidRPr="005E5BDE">
                              <w:t xml:space="preserve">lønn per time </w:t>
                            </w:r>
                            <w:r>
                              <w:t xml:space="preserve">har i enkelte år økt mer </w:t>
                            </w:r>
                            <w:r w:rsidRPr="005E5BDE">
                              <w:t xml:space="preserve">som </w:t>
                            </w:r>
                            <w:r>
                              <w:t xml:space="preserve">følge av </w:t>
                            </w:r>
                            <w:r w:rsidRPr="005E5BDE">
                              <w:t xml:space="preserve">nedsatt </w:t>
                            </w:r>
                            <w:r>
                              <w:t xml:space="preserve">ukentlig </w:t>
                            </w:r>
                            <w:r w:rsidRPr="005E5BDE">
                              <w:t>arbeidstid</w:t>
                            </w:r>
                            <w:r>
                              <w:t xml:space="preserve"> med lønnskompensasjon</w:t>
                            </w:r>
                            <w:r w:rsidRPr="005E5BDE">
                              <w:t>. Slike endringer fant sted både på 1970- og 1980-tallet.</w:t>
                            </w:r>
                            <w:r>
                              <w:br/>
                            </w:r>
                            <w:r>
                              <w:br/>
                            </w:r>
                            <w:r>
                              <w:rPr>
                                <w:noProof/>
                              </w:rPr>
                              <w:drawing>
                                <wp:inline distT="0" distB="0" distL="0" distR="0" wp14:anchorId="46064DB3" wp14:editId="7ADF9561">
                                  <wp:extent cx="3745064" cy="2560320"/>
                                  <wp:effectExtent l="0" t="0" r="8255" b="0"/>
                                  <wp:docPr id="79" name="Bilde 79" descr="C:\Users\asd1311\AppData\Local\Microsoft\Windows\Temporary Internet Files\Content.Word\V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d1311\AppData\Local\Microsoft\Windows\Temporary Internet Files\Content.Word\V5-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6429" cy="2561253"/>
                                          </a:xfrm>
                                          <a:prstGeom prst="rect">
                                            <a:avLst/>
                                          </a:prstGeom>
                                          <a:noFill/>
                                          <a:ln>
                                            <a:noFill/>
                                          </a:ln>
                                        </pic:spPr>
                                      </pic:pic>
                                    </a:graphicData>
                                  </a:graphic>
                                </wp:inline>
                              </w:drawing>
                            </w:r>
                          </w:p>
                          <w:p w14:paraId="641514CA" w14:textId="77777777" w:rsidR="003D053D" w:rsidRPr="00F11752" w:rsidRDefault="003D053D" w:rsidP="00086FB8">
                            <w:pPr>
                              <w:rPr>
                                <w:rFonts w:ascii="Arial" w:hAnsi="Arial" w:cs="Arial"/>
                              </w:rPr>
                            </w:pPr>
                            <w:r w:rsidRPr="00F11752">
                              <w:rPr>
                                <w:rFonts w:ascii="Arial" w:hAnsi="Arial" w:cs="Arial"/>
                              </w:rPr>
                              <w:t>Figur 5.4 Nominell lønnsvekst og reallønnsvekst 1970-2014</w:t>
                            </w:r>
                          </w:p>
                          <w:p w14:paraId="17CB877D" w14:textId="71EDB1B1" w:rsidR="003D053D" w:rsidRPr="00F11752" w:rsidRDefault="003D053D" w:rsidP="00086FB8">
                            <w:pPr>
                              <w:spacing w:after="0"/>
                              <w:rPr>
                                <w:sz w:val="20"/>
                                <w:vertAlign w:val="superscript"/>
                              </w:rPr>
                            </w:pPr>
                            <w:r w:rsidRPr="00F11752">
                              <w:rPr>
                                <w:sz w:val="20"/>
                                <w:vertAlign w:val="superscript"/>
                              </w:rPr>
                              <w:t>1</w:t>
                            </w:r>
                            <w:r w:rsidRPr="00F11752">
                              <w:rPr>
                                <w:sz w:val="20"/>
                              </w:rPr>
                              <w:t xml:space="preserve"> Påløpt årslønn i nasjonalregnskapet som omfatter lønnen en lønnstaker normalt vil motta i løpet av kalenderåret dersom vedkommende jobber full tid, ikke har fravær og ikke har betalt overtid. Dette er i overensstemmelse med lønnsbegrepet som brukes i lønnskapitlet. Se definisjoner av lønnsbegreper i vedlegg 2.</w:t>
                            </w:r>
                          </w:p>
                          <w:p w14:paraId="761994C8" w14:textId="77777777" w:rsidR="003D053D" w:rsidRPr="00F11752" w:rsidRDefault="003D053D" w:rsidP="00086FB8">
                            <w:pPr>
                              <w:rPr>
                                <w:sz w:val="20"/>
                              </w:rPr>
                            </w:pPr>
                            <w:r w:rsidRPr="00F11752">
                              <w:rPr>
                                <w:sz w:val="20"/>
                                <w:vertAlign w:val="superscript"/>
                              </w:rPr>
                              <w:t xml:space="preserve">2 </w:t>
                            </w:r>
                            <w:r w:rsidRPr="00F11752">
                              <w:rPr>
                                <w:sz w:val="20"/>
                              </w:rPr>
                              <w:t>Nominell lønnsvekst deflatert med veksten i konsumprisindeksen</w:t>
                            </w:r>
                          </w:p>
                          <w:p w14:paraId="4E6DBCB5" w14:textId="77777777" w:rsidR="003D053D" w:rsidRDefault="003D053D" w:rsidP="00086FB8">
                            <w:r w:rsidRPr="00F11752">
                              <w:rPr>
                                <w:sz w:val="20"/>
                              </w:rPr>
                              <w:t>Kilde: Statistisk sentralbyrå</w:t>
                            </w:r>
                          </w:p>
                        </w:txbxContent>
                      </wps:txbx>
                      <wps:bodyPr rot="0" vert="horz" wrap="square" lIns="91440" tIns="45720" rIns="91440" bIns="45720" anchor="t" anchorCtr="0" upright="1">
                        <a:noAutofit/>
                      </wps:bodyPr>
                    </wps:wsp>
                  </a:graphicData>
                </a:graphic>
              </wp:inline>
            </w:drawing>
          </mc:Choice>
          <mc:Fallback>
            <w:pict>
              <v:shape w14:anchorId="256DD45C" id="Tekstboks 27" o:spid="_x0000_s1033" type="#_x0000_t202" style="width:454.7pt;height:5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">
                <v:textbox>
                  <w:txbxContent>
                    <w:p w14:paraId="780E0CCD" w14:textId="77777777" w:rsidR="003D053D" w:rsidRPr="00174684" w:rsidRDefault="003D053D" w:rsidP="00086FB8">
                      <w:pPr>
                        <w:jc w:val="center"/>
                        <w:rPr>
                          <w:b/>
                        </w:rPr>
                      </w:pPr>
                      <w:r w:rsidRPr="00174684">
                        <w:rPr>
                          <w:b/>
                        </w:rPr>
                        <w:t>Boks 5.2 Lønnsutviklingen 1970-201</w:t>
                      </w:r>
                      <w:r>
                        <w:rPr>
                          <w:b/>
                        </w:rPr>
                        <w:t>5</w:t>
                      </w:r>
                    </w:p>
                    <w:p w14:paraId="4E0E0FBB" w14:textId="63CD6C61" w:rsidR="003D053D" w:rsidRDefault="003D053D" w:rsidP="00086FB8">
                      <w:r>
                        <w:t>I denne boksen presenteres utviklingen i nominell lønn</w:t>
                      </w:r>
                      <w:r w:rsidRPr="004B4A9B">
                        <w:rPr>
                          <w:vertAlign w:val="superscript"/>
                        </w:rPr>
                        <w:t xml:space="preserve">1 </w:t>
                      </w:r>
                      <w:r>
                        <w:t>og reallønn</w:t>
                      </w:r>
                      <w:r>
                        <w:rPr>
                          <w:vertAlign w:val="superscript"/>
                        </w:rPr>
                        <w:t>2</w:t>
                      </w:r>
                      <w:r>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11,9 prosent i 1981 og 4,4 prosent i 1989. Lønnsveksten i 1988 og 1989 var påvirket av inntektsreguleringslover. Reallønnsveksten på 1980-tallet sett under ett var lav, og negativ i flere år.  Siden begynnelsen av 1990-tallet har både lønns- og prisveksten stort sett vært klart lavere enn på 1970- og 80-tallet, men reallønnsveksten har vært høy. </w:t>
                      </w:r>
                    </w:p>
                    <w:p w14:paraId="0C7E4B22" w14:textId="77777777" w:rsidR="003D053D" w:rsidRDefault="003D053D" w:rsidP="00086FB8">
                      <w:r>
                        <w:t>F</w:t>
                      </w:r>
                      <w:r w:rsidRPr="005E5BDE">
                        <w:t xml:space="preserve">iguren </w:t>
                      </w:r>
                      <w:r>
                        <w:t xml:space="preserve">viser </w:t>
                      </w:r>
                      <w:r w:rsidRPr="005E5BDE">
                        <w:t>reallønn</w:t>
                      </w:r>
                      <w:r>
                        <w:t>svekst basert på</w:t>
                      </w:r>
                      <w:r w:rsidRPr="005E5BDE">
                        <w:t xml:space="preserve"> </w:t>
                      </w:r>
                      <w:r>
                        <w:t xml:space="preserve">vekst i </w:t>
                      </w:r>
                      <w:r w:rsidRPr="005E5BDE">
                        <w:t>årslønn</w:t>
                      </w:r>
                      <w:r>
                        <w:t>. Utviklingen i real</w:t>
                      </w:r>
                      <w:r w:rsidRPr="005E5BDE">
                        <w:t xml:space="preserve">lønn per time </w:t>
                      </w:r>
                      <w:r>
                        <w:t xml:space="preserve">har i enkelte år økt mer </w:t>
                      </w:r>
                      <w:r w:rsidRPr="005E5BDE">
                        <w:t xml:space="preserve">som </w:t>
                      </w:r>
                      <w:r>
                        <w:t xml:space="preserve">følge av </w:t>
                      </w:r>
                      <w:r w:rsidRPr="005E5BDE">
                        <w:t xml:space="preserve">nedsatt </w:t>
                      </w:r>
                      <w:r>
                        <w:t xml:space="preserve">ukentlig </w:t>
                      </w:r>
                      <w:r w:rsidRPr="005E5BDE">
                        <w:t>arbeidstid</w:t>
                      </w:r>
                      <w:r>
                        <w:t xml:space="preserve"> med lønnskompensasjon</w:t>
                      </w:r>
                      <w:r w:rsidRPr="005E5BDE">
                        <w:t>. Slike endringer fant sted både på 1970- og 1980-tallet.</w:t>
                      </w:r>
                      <w:r>
                        <w:br/>
                      </w:r>
                      <w:r>
                        <w:br/>
                      </w:r>
                      <w:r>
                        <w:rPr>
                          <w:noProof/>
                        </w:rPr>
                        <w:drawing>
                          <wp:inline distT="0" distB="0" distL="0" distR="0" wp14:anchorId="46064DB3" wp14:editId="7ADF9561">
                            <wp:extent cx="3745064" cy="2560320"/>
                            <wp:effectExtent l="0" t="0" r="8255" b="0"/>
                            <wp:docPr id="79" name="Bilde 79" descr="C:\Users\asd1311\AppData\Local\Microsoft\Windows\Temporary Internet Files\Content.Word\V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d1311\AppData\Local\Microsoft\Windows\Temporary Internet Files\Content.Word\V5-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6429" cy="2561253"/>
                                    </a:xfrm>
                                    <a:prstGeom prst="rect">
                                      <a:avLst/>
                                    </a:prstGeom>
                                    <a:noFill/>
                                    <a:ln>
                                      <a:noFill/>
                                    </a:ln>
                                  </pic:spPr>
                                </pic:pic>
                              </a:graphicData>
                            </a:graphic>
                          </wp:inline>
                        </w:drawing>
                      </w:r>
                    </w:p>
                    <w:p w14:paraId="641514CA" w14:textId="77777777" w:rsidR="003D053D" w:rsidRPr="00F11752" w:rsidRDefault="003D053D" w:rsidP="00086FB8">
                      <w:pPr>
                        <w:rPr>
                          <w:rFonts w:ascii="Arial" w:hAnsi="Arial" w:cs="Arial"/>
                        </w:rPr>
                      </w:pPr>
                      <w:r w:rsidRPr="00F11752">
                        <w:rPr>
                          <w:rFonts w:ascii="Arial" w:hAnsi="Arial" w:cs="Arial"/>
                        </w:rPr>
                        <w:t>Figur 5.4 Nominell lønnsvekst og reallønnsvekst 1970-2014</w:t>
                      </w:r>
                    </w:p>
                    <w:p w14:paraId="17CB877D" w14:textId="71EDB1B1" w:rsidR="003D053D" w:rsidRPr="00F11752" w:rsidRDefault="003D053D" w:rsidP="00086FB8">
                      <w:pPr>
                        <w:spacing w:after="0"/>
                        <w:rPr>
                          <w:sz w:val="20"/>
                          <w:vertAlign w:val="superscript"/>
                        </w:rPr>
                      </w:pPr>
                      <w:r w:rsidRPr="00F11752">
                        <w:rPr>
                          <w:sz w:val="20"/>
                          <w:vertAlign w:val="superscript"/>
                        </w:rPr>
                        <w:t>1</w:t>
                      </w:r>
                      <w:r w:rsidRPr="00F11752">
                        <w:rPr>
                          <w:sz w:val="20"/>
                        </w:rPr>
                        <w:t xml:space="preserve"> Påløpt årslønn i nasjonalregnskapet som omfatter lønnen en lønnstaker normalt vil motta i løpet av kalenderåret dersom vedkommende jobber full tid, ikke har fravær og ikke har betalt overtid. Dette er i overensstemmelse med lønnsbegrepet som brukes i lønnskapitlet. Se definisjoner av lønnsbegreper i vedlegg 2.</w:t>
                      </w:r>
                    </w:p>
                    <w:p w14:paraId="761994C8" w14:textId="77777777" w:rsidR="003D053D" w:rsidRPr="00F11752" w:rsidRDefault="003D053D" w:rsidP="00086FB8">
                      <w:pPr>
                        <w:rPr>
                          <w:sz w:val="20"/>
                        </w:rPr>
                      </w:pPr>
                      <w:r w:rsidRPr="00F11752">
                        <w:rPr>
                          <w:sz w:val="20"/>
                          <w:vertAlign w:val="superscript"/>
                        </w:rPr>
                        <w:t xml:space="preserve">2 </w:t>
                      </w:r>
                      <w:r w:rsidRPr="00F11752">
                        <w:rPr>
                          <w:sz w:val="20"/>
                        </w:rPr>
                        <w:t>Nominell lønnsvekst deflatert med veksten i konsumprisindeksen</w:t>
                      </w:r>
                    </w:p>
                    <w:p w14:paraId="4E6DBCB5" w14:textId="77777777" w:rsidR="003D053D" w:rsidRDefault="003D053D" w:rsidP="00086FB8">
                      <w:r w:rsidRPr="00F11752">
                        <w:rPr>
                          <w:sz w:val="20"/>
                        </w:rPr>
                        <w:t>Kilde: Statistisk sentralbyrå</w:t>
                      </w:r>
                    </w:p>
                  </w:txbxContent>
                </v:textbox>
                <w10:anchorlock/>
              </v:shape>
            </w:pict>
          </mc:Fallback>
        </mc:AlternateContent>
      </w:r>
    </w:p>
    <w:p w14:paraId="3C5038C6" w14:textId="7AAD4B6C" w:rsidR="009D6E11" w:rsidRDefault="009D6E11">
      <w:pPr>
        <w:spacing w:after="0"/>
        <w:rPr>
          <w:sz w:val="20"/>
        </w:rPr>
      </w:pPr>
      <w:r>
        <w:rPr>
          <w:sz w:val="20"/>
        </w:rPr>
        <w:br w:type="page"/>
      </w:r>
    </w:p>
    <w:p w14:paraId="02DE1C78" w14:textId="2E8FA103" w:rsidR="009D6E11" w:rsidRPr="00E361FC" w:rsidRDefault="009D6E11" w:rsidP="004779A9">
      <w:pPr>
        <w:pStyle w:val="vedlegg-nr"/>
        <w:rPr>
          <w:rFonts w:cs="Arial"/>
          <w:szCs w:val="24"/>
        </w:rPr>
      </w:pPr>
    </w:p>
    <w:p w14:paraId="1DF6CF9C" w14:textId="77777777" w:rsidR="009D6E11" w:rsidRPr="00B4780A" w:rsidRDefault="009D6E11" w:rsidP="008643D6">
      <w:pPr>
        <w:pStyle w:val="Overskrift1"/>
        <w:numPr>
          <w:ilvl w:val="0"/>
          <w:numId w:val="60"/>
        </w:numPr>
        <w:jc w:val="center"/>
      </w:pPr>
      <w:bookmarkStart w:id="553" w:name="_Toc411849521"/>
      <w:bookmarkStart w:id="554" w:name="_Toc443999030"/>
      <w:r w:rsidRPr="00B4780A">
        <w:t>Fastlandsbaserte konkurranseutsatte næringer</w:t>
      </w:r>
      <w:bookmarkEnd w:id="553"/>
      <w:bookmarkEnd w:id="554"/>
    </w:p>
    <w:p w14:paraId="20874701" w14:textId="77777777" w:rsidR="009D6E11" w:rsidRPr="00F365E2" w:rsidRDefault="009D6E11" w:rsidP="009D6E11">
      <w:pPr>
        <w:spacing w:after="0"/>
        <w:rPr>
          <w:rFonts w:ascii="Times New Roman" w:eastAsia="Times New Roman" w:hAnsi="Times New Roman"/>
          <w:i/>
          <w:color w:val="7030A0"/>
        </w:rPr>
      </w:pPr>
    </w:p>
    <w:p w14:paraId="00BBA5BE" w14:textId="3CD9BC44" w:rsidR="009D6E11" w:rsidRPr="00F365E2" w:rsidRDefault="009D6E11" w:rsidP="009D6E11">
      <w:pPr>
        <w:rPr>
          <w:rFonts w:ascii="Times New Roman" w:eastAsia="Times New Roman" w:hAnsi="Times New Roman"/>
          <w:noProof/>
        </w:rPr>
      </w:pPr>
      <w:r w:rsidRPr="00F365E2">
        <w:rPr>
          <w:rFonts w:ascii="Times New Roman" w:eastAsia="Times New Roman" w:hAnsi="Times New Roman"/>
          <w:noProof/>
        </w:rPr>
        <w:t xml:space="preserve">Driftsresultatet for </w:t>
      </w:r>
      <w:r>
        <w:rPr>
          <w:rFonts w:ascii="Times New Roman" w:eastAsia="Times New Roman" w:hAnsi="Times New Roman"/>
          <w:noProof/>
        </w:rPr>
        <w:t>fast</w:t>
      </w:r>
      <w:r w:rsidRPr="00F365E2">
        <w:rPr>
          <w:rFonts w:ascii="Times New Roman" w:eastAsia="Times New Roman" w:hAnsi="Times New Roman"/>
          <w:noProof/>
        </w:rPr>
        <w:t>landbaserte konkurranseutsatte næringer</w:t>
      </w:r>
      <w:r w:rsidRPr="00F365E2">
        <w:rPr>
          <w:rFonts w:ascii="Times New Roman" w:eastAsia="Times New Roman" w:hAnsi="Times New Roman"/>
          <w:noProof/>
          <w:vertAlign w:val="superscript"/>
        </w:rPr>
        <w:footnoteReference w:id="22"/>
      </w:r>
      <w:r>
        <w:rPr>
          <w:rFonts w:ascii="Times New Roman" w:eastAsia="Times New Roman" w:hAnsi="Times New Roman"/>
          <w:noProof/>
        </w:rPr>
        <w:t xml:space="preserve"> samlet var nesten 72</w:t>
      </w:r>
      <w:r w:rsidRPr="00F365E2">
        <w:rPr>
          <w:rFonts w:ascii="Times New Roman" w:eastAsia="Times New Roman" w:hAnsi="Times New Roman"/>
          <w:noProof/>
        </w:rPr>
        <w:t xml:space="preserve"> milliarder kroner i 201</w:t>
      </w:r>
      <w:r>
        <w:rPr>
          <w:rFonts w:ascii="Times New Roman" w:eastAsia="Times New Roman" w:hAnsi="Times New Roman"/>
          <w:noProof/>
        </w:rPr>
        <w:t>5</w:t>
      </w:r>
      <w:r w:rsidRPr="00F365E2">
        <w:rPr>
          <w:rFonts w:ascii="Times New Roman" w:eastAsia="Times New Roman" w:hAnsi="Times New Roman"/>
          <w:noProof/>
        </w:rPr>
        <w:t xml:space="preserve">, mot </w:t>
      </w:r>
      <w:r w:rsidR="00F11752">
        <w:rPr>
          <w:rFonts w:ascii="Times New Roman" w:eastAsia="Times New Roman" w:hAnsi="Times New Roman"/>
          <w:noProof/>
        </w:rPr>
        <w:t>62</w:t>
      </w:r>
      <w:r>
        <w:rPr>
          <w:rFonts w:ascii="Times New Roman" w:eastAsia="Times New Roman" w:hAnsi="Times New Roman"/>
          <w:noProof/>
        </w:rPr>
        <w:t xml:space="preserve"> milliarder i 2014</w:t>
      </w:r>
      <w:r w:rsidRPr="00F365E2">
        <w:rPr>
          <w:rFonts w:ascii="Times New Roman" w:eastAsia="Times New Roman" w:hAnsi="Times New Roman"/>
          <w:noProof/>
        </w:rPr>
        <w:t xml:space="preserve">. Det var </w:t>
      </w:r>
      <w:r>
        <w:rPr>
          <w:rFonts w:ascii="Times New Roman" w:eastAsia="Times New Roman" w:hAnsi="Times New Roman"/>
          <w:noProof/>
        </w:rPr>
        <w:t>høyere driftsresultatet i</w:t>
      </w:r>
      <w:r w:rsidRPr="00F365E2">
        <w:rPr>
          <w:rFonts w:ascii="Times New Roman" w:eastAsia="Times New Roman" w:hAnsi="Times New Roman"/>
          <w:noProof/>
        </w:rPr>
        <w:t xml:space="preserve"> ressursbaserte </w:t>
      </w:r>
      <w:r>
        <w:rPr>
          <w:rFonts w:ascii="Times New Roman" w:eastAsia="Times New Roman" w:hAnsi="Times New Roman"/>
          <w:noProof/>
        </w:rPr>
        <w:t xml:space="preserve">og ikke-stedbundne næringer som bidro </w:t>
      </w:r>
      <w:r w:rsidRPr="00F365E2">
        <w:rPr>
          <w:rFonts w:ascii="Times New Roman" w:eastAsia="Times New Roman" w:hAnsi="Times New Roman"/>
          <w:noProof/>
        </w:rPr>
        <w:t xml:space="preserve">til økningen. </w:t>
      </w:r>
      <w:r w:rsidRPr="00F365E2">
        <w:rPr>
          <w:rFonts w:ascii="Times New Roman" w:eastAsia="Times New Roman" w:hAnsi="Times New Roman"/>
          <w:i/>
          <w:noProof/>
        </w:rPr>
        <w:t>Ressursbaserte næringer</w:t>
      </w:r>
      <w:r w:rsidRPr="00F365E2">
        <w:rPr>
          <w:rFonts w:ascii="Times New Roman" w:eastAsia="Times New Roman" w:hAnsi="Times New Roman"/>
          <w:noProof/>
        </w:rPr>
        <w:t xml:space="preserve"> had</w:t>
      </w:r>
      <w:r>
        <w:rPr>
          <w:rFonts w:ascii="Times New Roman" w:eastAsia="Times New Roman" w:hAnsi="Times New Roman"/>
          <w:noProof/>
        </w:rPr>
        <w:t>de et driftsresultat på 34,2</w:t>
      </w:r>
      <w:r w:rsidRPr="00F365E2">
        <w:rPr>
          <w:rFonts w:ascii="Times New Roman" w:eastAsia="Times New Roman" w:hAnsi="Times New Roman"/>
          <w:noProof/>
        </w:rPr>
        <w:t xml:space="preserve"> milliarder kroner i 201</w:t>
      </w:r>
      <w:r>
        <w:rPr>
          <w:rFonts w:ascii="Times New Roman" w:eastAsia="Times New Roman" w:hAnsi="Times New Roman"/>
          <w:noProof/>
        </w:rPr>
        <w:t>5,</w:t>
      </w:r>
      <w:r w:rsidRPr="00F365E2">
        <w:rPr>
          <w:rFonts w:ascii="Times New Roman" w:eastAsia="Times New Roman" w:hAnsi="Times New Roman"/>
          <w:noProof/>
        </w:rPr>
        <w:t xml:space="preserve"> mot </w:t>
      </w:r>
      <w:r>
        <w:rPr>
          <w:rFonts w:ascii="Times New Roman" w:eastAsia="Times New Roman" w:hAnsi="Times New Roman"/>
          <w:noProof/>
        </w:rPr>
        <w:t>29 milliarder i 2014</w:t>
      </w:r>
      <w:r w:rsidRPr="00F365E2">
        <w:rPr>
          <w:rFonts w:ascii="Times New Roman" w:eastAsia="Times New Roman" w:hAnsi="Times New Roman"/>
          <w:noProof/>
        </w:rPr>
        <w:t xml:space="preserve">. </w:t>
      </w:r>
      <w:r>
        <w:rPr>
          <w:rFonts w:ascii="Times New Roman" w:eastAsia="Times New Roman" w:hAnsi="Times New Roman"/>
          <w:noProof/>
        </w:rPr>
        <w:t>Med unntak av skogbruksnæringen, trelast og trevareindustri samt bergverk hadde alle de ressursbaserte næringene et høyere driftsresultat i 2015 sammenlignet med 2014. Særlig utviklingen i driftsresultatet til nærings-, drikkevare- og tobakksindustri, f</w:t>
      </w:r>
      <w:r w:rsidRPr="00F365E2">
        <w:rPr>
          <w:rFonts w:ascii="Times New Roman" w:eastAsia="Times New Roman" w:hAnsi="Times New Roman"/>
          <w:noProof/>
        </w:rPr>
        <w:t xml:space="preserve">iske, fangst og akvakultur </w:t>
      </w:r>
      <w:r>
        <w:rPr>
          <w:rFonts w:ascii="Times New Roman" w:eastAsia="Times New Roman" w:hAnsi="Times New Roman"/>
          <w:noProof/>
        </w:rPr>
        <w:t xml:space="preserve">og produksjon av metaller bidro til økningen.  </w:t>
      </w:r>
    </w:p>
    <w:p w14:paraId="39D21C3A" w14:textId="77777777" w:rsidR="009D6E11" w:rsidRDefault="009D6E11" w:rsidP="009D6E11">
      <w:pPr>
        <w:rPr>
          <w:rFonts w:ascii="Times New Roman" w:eastAsia="Times New Roman" w:hAnsi="Times New Roman"/>
          <w:noProof/>
        </w:rPr>
      </w:pPr>
      <w:r w:rsidRPr="00F365E2">
        <w:rPr>
          <w:rFonts w:ascii="Times New Roman" w:eastAsia="Times New Roman" w:hAnsi="Times New Roman"/>
          <w:noProof/>
        </w:rPr>
        <w:t>Driftsresultatet for l</w:t>
      </w:r>
      <w:r w:rsidRPr="00F365E2">
        <w:rPr>
          <w:rFonts w:ascii="Times New Roman" w:eastAsia="Times New Roman" w:hAnsi="Times New Roman"/>
          <w:i/>
          <w:noProof/>
        </w:rPr>
        <w:t xml:space="preserve">everandørvirksomhet </w:t>
      </w:r>
      <w:r>
        <w:rPr>
          <w:rFonts w:ascii="Times New Roman" w:eastAsia="Times New Roman" w:hAnsi="Times New Roman"/>
          <w:noProof/>
        </w:rPr>
        <w:t>falt med 43 prosent i 2015, fra nærmere 14 milliarder i 2014 til nesten 8 milliarder i 2015</w:t>
      </w:r>
      <w:r w:rsidRPr="00F365E2">
        <w:rPr>
          <w:rFonts w:ascii="Times New Roman" w:eastAsia="Times New Roman" w:hAnsi="Times New Roman"/>
          <w:noProof/>
        </w:rPr>
        <w:t xml:space="preserve">. </w:t>
      </w:r>
      <w:r>
        <w:rPr>
          <w:rFonts w:ascii="Times New Roman" w:eastAsia="Times New Roman" w:hAnsi="Times New Roman"/>
          <w:noProof/>
        </w:rPr>
        <w:t xml:space="preserve">Alle næringene i aggregatet hadde negativ utvikling i driftsresultatet. </w:t>
      </w:r>
      <w:r w:rsidRPr="00F365E2">
        <w:rPr>
          <w:rFonts w:ascii="Times New Roman" w:eastAsia="Times New Roman" w:hAnsi="Times New Roman"/>
          <w:noProof/>
        </w:rPr>
        <w:t>Tjenester tilknyttet utvinning av råolje og naturgass</w:t>
      </w:r>
      <w:r>
        <w:rPr>
          <w:rFonts w:ascii="Times New Roman" w:eastAsia="Times New Roman" w:hAnsi="Times New Roman"/>
          <w:noProof/>
        </w:rPr>
        <w:t xml:space="preserve"> samt verftsindustri og annen transportmiddelindustri hadde kraftig nedgang på henholdsvis 46 og 72 prosent. Driftsresultatet i r</w:t>
      </w:r>
      <w:r w:rsidRPr="00F365E2">
        <w:rPr>
          <w:rFonts w:ascii="Times New Roman" w:eastAsia="Times New Roman" w:hAnsi="Times New Roman"/>
          <w:noProof/>
        </w:rPr>
        <w:t xml:space="preserve">eparasjon og installasjon </w:t>
      </w:r>
      <w:r>
        <w:rPr>
          <w:rFonts w:ascii="Times New Roman" w:eastAsia="Times New Roman" w:hAnsi="Times New Roman"/>
          <w:noProof/>
        </w:rPr>
        <w:t>falt med 17 prosent.</w:t>
      </w:r>
    </w:p>
    <w:p w14:paraId="4C91AB5F" w14:textId="77777777" w:rsidR="009D6E11" w:rsidRDefault="009D6E11" w:rsidP="009D6E11">
      <w:pPr>
        <w:rPr>
          <w:rFonts w:ascii="Times New Roman" w:eastAsia="Times New Roman" w:hAnsi="Times New Roman"/>
          <w:noProof/>
        </w:rPr>
      </w:pPr>
      <w:r>
        <w:rPr>
          <w:rFonts w:ascii="Times New Roman" w:eastAsia="Times New Roman" w:hAnsi="Times New Roman"/>
          <w:noProof/>
        </w:rPr>
        <w:t>Ikke-stedbundne næringer hadde et driftsresultat på nesten 30 milliarder i 2015 mot 19 milliarder i 2014. Høy vekst i driftsresultatet i</w:t>
      </w:r>
      <w:r w:rsidRPr="00F365E2">
        <w:rPr>
          <w:rFonts w:ascii="Times New Roman" w:eastAsia="Times New Roman" w:hAnsi="Times New Roman"/>
          <w:noProof/>
        </w:rPr>
        <w:t xml:space="preserve"> oljeraffinering, kjemisk og farmasøytisk industri </w:t>
      </w:r>
      <w:r>
        <w:rPr>
          <w:rFonts w:ascii="Times New Roman" w:eastAsia="Times New Roman" w:hAnsi="Times New Roman"/>
          <w:noProof/>
        </w:rPr>
        <w:t>og i p</w:t>
      </w:r>
      <w:r w:rsidRPr="00F365E2">
        <w:rPr>
          <w:rFonts w:ascii="Times New Roman" w:eastAsia="Times New Roman" w:hAnsi="Times New Roman"/>
          <w:noProof/>
        </w:rPr>
        <w:t>roduksjon av metallvarer, elektrisk utstyr og maskiner</w:t>
      </w:r>
      <w:r>
        <w:rPr>
          <w:rFonts w:ascii="Times New Roman" w:eastAsia="Times New Roman" w:hAnsi="Times New Roman"/>
          <w:noProof/>
        </w:rPr>
        <w:t xml:space="preserve"> bidro til økningen.</w:t>
      </w:r>
    </w:p>
    <w:p w14:paraId="387A47DE" w14:textId="77777777" w:rsidR="009D6E11" w:rsidRPr="00492A87" w:rsidRDefault="009D6E11" w:rsidP="009D6E11">
      <w:pPr>
        <w:spacing w:after="0"/>
        <w:rPr>
          <w:rFonts w:ascii="Arial" w:eastAsia="Times New Roman" w:hAnsi="Arial" w:cs="Arial"/>
          <w:bCs/>
          <w:noProof/>
          <w:szCs w:val="24"/>
        </w:rPr>
      </w:pPr>
      <w:r w:rsidRPr="00492A87">
        <w:rPr>
          <w:rFonts w:ascii="Arial" w:eastAsia="Times New Roman" w:hAnsi="Arial" w:cs="Arial"/>
          <w:bCs/>
          <w:szCs w:val="24"/>
        </w:rPr>
        <w:t>Tabell 6.</w:t>
      </w:r>
      <w:r w:rsidRPr="00492A87">
        <w:rPr>
          <w:rFonts w:ascii="Arial" w:eastAsia="Times New Roman" w:hAnsi="Arial" w:cs="Arial"/>
          <w:bCs/>
          <w:szCs w:val="24"/>
        </w:rPr>
        <w:fldChar w:fldCharType="begin"/>
      </w:r>
      <w:r w:rsidRPr="00492A87">
        <w:rPr>
          <w:rFonts w:ascii="Arial" w:eastAsia="Times New Roman" w:hAnsi="Arial" w:cs="Arial"/>
          <w:bCs/>
          <w:szCs w:val="24"/>
        </w:rPr>
        <w:instrText xml:space="preserve"> SEQ Tabell \* ARABIC \s 1 </w:instrText>
      </w:r>
      <w:r w:rsidRPr="00492A87">
        <w:rPr>
          <w:rFonts w:ascii="Arial" w:eastAsia="Times New Roman" w:hAnsi="Arial" w:cs="Arial"/>
          <w:bCs/>
          <w:szCs w:val="24"/>
        </w:rPr>
        <w:fldChar w:fldCharType="separate"/>
      </w:r>
      <w:r w:rsidR="000903B7">
        <w:rPr>
          <w:rFonts w:ascii="Arial" w:eastAsia="Times New Roman" w:hAnsi="Arial" w:cs="Arial"/>
          <w:bCs/>
          <w:noProof/>
          <w:szCs w:val="24"/>
        </w:rPr>
        <w:t>1</w:t>
      </w:r>
      <w:r w:rsidRPr="00492A87">
        <w:rPr>
          <w:rFonts w:ascii="Arial" w:eastAsia="Times New Roman" w:hAnsi="Arial" w:cs="Arial"/>
          <w:bCs/>
          <w:szCs w:val="24"/>
        </w:rPr>
        <w:fldChar w:fldCharType="end"/>
      </w:r>
      <w:r w:rsidRPr="00492A87">
        <w:rPr>
          <w:rFonts w:ascii="Arial" w:eastAsia="Times New Roman" w:hAnsi="Arial" w:cs="Arial"/>
          <w:bCs/>
          <w:szCs w:val="24"/>
        </w:rPr>
        <w:t xml:space="preserve"> Driftsresultat fastlandsbaserte konkurranseutsatte næringer. Milliarder kroner</w:t>
      </w:r>
    </w:p>
    <w:tbl>
      <w:tblPr>
        <w:tblStyle w:val="StandardTabell"/>
        <w:tblW w:w="5136" w:type="pct"/>
        <w:tblLayout w:type="fixed"/>
        <w:tblLook w:val="04A0" w:firstRow="1" w:lastRow="0" w:firstColumn="1" w:lastColumn="0" w:noHBand="0" w:noVBand="1"/>
      </w:tblPr>
      <w:tblGrid>
        <w:gridCol w:w="1769"/>
        <w:gridCol w:w="731"/>
        <w:gridCol w:w="731"/>
        <w:gridCol w:w="731"/>
        <w:gridCol w:w="730"/>
        <w:gridCol w:w="730"/>
        <w:gridCol w:w="730"/>
        <w:gridCol w:w="730"/>
        <w:gridCol w:w="730"/>
        <w:gridCol w:w="803"/>
        <w:gridCol w:w="902"/>
      </w:tblGrid>
      <w:tr w:rsidR="009D6E11" w:rsidRPr="00C5680C" w14:paraId="3860B66F" w14:textId="77777777" w:rsidTr="00C5680C">
        <w:trPr>
          <w:trHeight w:val="265"/>
        </w:trPr>
        <w:tc>
          <w:tcPr>
            <w:tcW w:w="949" w:type="pct"/>
            <w:tcBorders>
              <w:top w:val="single" w:sz="4" w:space="0" w:color="auto"/>
              <w:left w:val="nil"/>
              <w:bottom w:val="single" w:sz="4" w:space="0" w:color="auto"/>
              <w:right w:val="nil"/>
            </w:tcBorders>
            <w:noWrap/>
          </w:tcPr>
          <w:p w14:paraId="4623E032"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p>
        </w:tc>
        <w:tc>
          <w:tcPr>
            <w:tcW w:w="392" w:type="pct"/>
            <w:tcBorders>
              <w:top w:val="single" w:sz="4" w:space="0" w:color="auto"/>
              <w:left w:val="nil"/>
              <w:bottom w:val="single" w:sz="4" w:space="0" w:color="auto"/>
              <w:right w:val="nil"/>
            </w:tcBorders>
            <w:noWrap/>
          </w:tcPr>
          <w:p w14:paraId="695CC21E"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2006</w:t>
            </w:r>
          </w:p>
        </w:tc>
        <w:tc>
          <w:tcPr>
            <w:tcW w:w="392" w:type="pct"/>
            <w:tcBorders>
              <w:top w:val="single" w:sz="4" w:space="0" w:color="auto"/>
              <w:left w:val="nil"/>
              <w:bottom w:val="single" w:sz="4" w:space="0" w:color="auto"/>
              <w:right w:val="nil"/>
            </w:tcBorders>
            <w:noWrap/>
          </w:tcPr>
          <w:p w14:paraId="268FDE94"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2007</w:t>
            </w:r>
          </w:p>
        </w:tc>
        <w:tc>
          <w:tcPr>
            <w:tcW w:w="392" w:type="pct"/>
            <w:tcBorders>
              <w:top w:val="single" w:sz="4" w:space="0" w:color="auto"/>
              <w:left w:val="nil"/>
              <w:bottom w:val="single" w:sz="4" w:space="0" w:color="auto"/>
              <w:right w:val="nil"/>
            </w:tcBorders>
            <w:noWrap/>
          </w:tcPr>
          <w:p w14:paraId="785A99E5"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2008</w:t>
            </w:r>
          </w:p>
        </w:tc>
        <w:tc>
          <w:tcPr>
            <w:tcW w:w="392" w:type="pct"/>
            <w:tcBorders>
              <w:top w:val="single" w:sz="4" w:space="0" w:color="auto"/>
              <w:left w:val="nil"/>
              <w:bottom w:val="single" w:sz="4" w:space="0" w:color="auto"/>
              <w:right w:val="nil"/>
            </w:tcBorders>
            <w:noWrap/>
          </w:tcPr>
          <w:p w14:paraId="46CEE6FE"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2009</w:t>
            </w:r>
          </w:p>
        </w:tc>
        <w:tc>
          <w:tcPr>
            <w:tcW w:w="392" w:type="pct"/>
            <w:tcBorders>
              <w:top w:val="single" w:sz="4" w:space="0" w:color="auto"/>
              <w:left w:val="nil"/>
              <w:bottom w:val="single" w:sz="4" w:space="0" w:color="auto"/>
              <w:right w:val="nil"/>
            </w:tcBorders>
            <w:noWrap/>
          </w:tcPr>
          <w:p w14:paraId="0A808168"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2010</w:t>
            </w:r>
          </w:p>
        </w:tc>
        <w:tc>
          <w:tcPr>
            <w:tcW w:w="392" w:type="pct"/>
            <w:tcBorders>
              <w:top w:val="single" w:sz="4" w:space="0" w:color="auto"/>
              <w:left w:val="nil"/>
              <w:bottom w:val="single" w:sz="4" w:space="0" w:color="auto"/>
              <w:right w:val="nil"/>
            </w:tcBorders>
            <w:noWrap/>
          </w:tcPr>
          <w:p w14:paraId="7EF1322B"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2011</w:t>
            </w:r>
          </w:p>
        </w:tc>
        <w:tc>
          <w:tcPr>
            <w:tcW w:w="392" w:type="pct"/>
            <w:tcBorders>
              <w:top w:val="single" w:sz="4" w:space="0" w:color="auto"/>
              <w:left w:val="nil"/>
              <w:bottom w:val="single" w:sz="4" w:space="0" w:color="auto"/>
              <w:right w:val="nil"/>
            </w:tcBorders>
            <w:noWrap/>
          </w:tcPr>
          <w:p w14:paraId="061E8F17"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2012</w:t>
            </w:r>
          </w:p>
        </w:tc>
        <w:tc>
          <w:tcPr>
            <w:tcW w:w="392" w:type="pct"/>
            <w:tcBorders>
              <w:top w:val="single" w:sz="4" w:space="0" w:color="auto"/>
              <w:left w:val="nil"/>
              <w:bottom w:val="single" w:sz="4" w:space="0" w:color="auto"/>
              <w:right w:val="nil"/>
            </w:tcBorders>
            <w:noWrap/>
          </w:tcPr>
          <w:p w14:paraId="5D641562" w14:textId="77777777" w:rsidR="009D6E11" w:rsidRPr="00C5680C" w:rsidRDefault="009D6E11" w:rsidP="008D32BA">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2013</w:t>
            </w:r>
          </w:p>
        </w:tc>
        <w:tc>
          <w:tcPr>
            <w:tcW w:w="431" w:type="pct"/>
            <w:tcBorders>
              <w:top w:val="single" w:sz="4" w:space="0" w:color="auto"/>
              <w:left w:val="nil"/>
              <w:bottom w:val="single" w:sz="4" w:space="0" w:color="auto"/>
              <w:right w:val="nil"/>
            </w:tcBorders>
            <w:noWrap/>
          </w:tcPr>
          <w:p w14:paraId="63953AFF" w14:textId="77777777" w:rsidR="009D6E11" w:rsidRPr="00C5680C" w:rsidRDefault="009D6E11" w:rsidP="00F11752">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2014*</w:t>
            </w:r>
          </w:p>
        </w:tc>
        <w:tc>
          <w:tcPr>
            <w:tcW w:w="484" w:type="pct"/>
            <w:tcBorders>
              <w:top w:val="single" w:sz="4" w:space="0" w:color="auto"/>
              <w:left w:val="nil"/>
              <w:bottom w:val="single" w:sz="4" w:space="0" w:color="auto"/>
              <w:right w:val="nil"/>
            </w:tcBorders>
            <w:noWrap/>
          </w:tcPr>
          <w:p w14:paraId="6F054624" w14:textId="77777777" w:rsidR="009D6E11" w:rsidRPr="00C5680C" w:rsidRDefault="009D6E11" w:rsidP="00F11752">
            <w:pPr>
              <w:autoSpaceDE w:val="0"/>
              <w:autoSpaceDN w:val="0"/>
              <w:adjustRightInd w:val="0"/>
              <w:spacing w:after="0"/>
              <w:jc w:val="right"/>
              <w:rPr>
                <w:rFonts w:ascii="Times New Roman" w:eastAsia="Times New Roman" w:hAnsi="Times New Roman"/>
                <w:sz w:val="20"/>
                <w:szCs w:val="20"/>
              </w:rPr>
            </w:pPr>
            <w:r w:rsidRPr="00C5680C">
              <w:rPr>
                <w:rFonts w:ascii="Times New Roman" w:eastAsia="Times New Roman" w:hAnsi="Times New Roman"/>
                <w:sz w:val="20"/>
                <w:szCs w:val="20"/>
              </w:rPr>
              <w:t>2015*</w:t>
            </w:r>
          </w:p>
        </w:tc>
      </w:tr>
      <w:tr w:rsidR="009D6E11" w:rsidRPr="00C5680C" w14:paraId="0A511137" w14:textId="77777777" w:rsidTr="00C5680C">
        <w:trPr>
          <w:trHeight w:val="265"/>
        </w:trPr>
        <w:tc>
          <w:tcPr>
            <w:tcW w:w="949" w:type="pct"/>
            <w:tcBorders>
              <w:top w:val="single" w:sz="4" w:space="0" w:color="auto"/>
              <w:left w:val="nil"/>
              <w:bottom w:val="nil"/>
              <w:right w:val="nil"/>
            </w:tcBorders>
            <w:noWrap/>
          </w:tcPr>
          <w:p w14:paraId="714394C4" w14:textId="67367D90"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Fastlandsbaserte konkurranseutsatte næringer:</w:t>
            </w:r>
            <w:r w:rsidR="00FE5660">
              <w:rPr>
                <w:rFonts w:ascii="Times New Roman" w:eastAsia="Times New Roman" w:hAnsi="Times New Roman"/>
                <w:color w:val="000000"/>
                <w:sz w:val="20"/>
                <w:szCs w:val="20"/>
              </w:rPr>
              <w:br/>
            </w:r>
          </w:p>
        </w:tc>
        <w:tc>
          <w:tcPr>
            <w:tcW w:w="392" w:type="pct"/>
            <w:tcBorders>
              <w:top w:val="single" w:sz="4" w:space="0" w:color="auto"/>
              <w:left w:val="nil"/>
              <w:bottom w:val="nil"/>
              <w:right w:val="nil"/>
            </w:tcBorders>
            <w:noWrap/>
          </w:tcPr>
          <w:p w14:paraId="48AF183E"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58,2</w:t>
            </w:r>
          </w:p>
        </w:tc>
        <w:tc>
          <w:tcPr>
            <w:tcW w:w="392" w:type="pct"/>
            <w:tcBorders>
              <w:top w:val="single" w:sz="4" w:space="0" w:color="auto"/>
              <w:left w:val="nil"/>
              <w:bottom w:val="nil"/>
              <w:right w:val="nil"/>
            </w:tcBorders>
            <w:noWrap/>
          </w:tcPr>
          <w:p w14:paraId="0041D1E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58,3</w:t>
            </w:r>
          </w:p>
        </w:tc>
        <w:tc>
          <w:tcPr>
            <w:tcW w:w="392" w:type="pct"/>
            <w:tcBorders>
              <w:top w:val="single" w:sz="4" w:space="0" w:color="auto"/>
              <w:left w:val="nil"/>
              <w:bottom w:val="nil"/>
              <w:right w:val="nil"/>
            </w:tcBorders>
            <w:noWrap/>
          </w:tcPr>
          <w:p w14:paraId="781D3F8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57,9</w:t>
            </w:r>
          </w:p>
        </w:tc>
        <w:tc>
          <w:tcPr>
            <w:tcW w:w="392" w:type="pct"/>
            <w:tcBorders>
              <w:top w:val="single" w:sz="4" w:space="0" w:color="auto"/>
              <w:left w:val="nil"/>
              <w:bottom w:val="nil"/>
              <w:right w:val="nil"/>
            </w:tcBorders>
            <w:noWrap/>
          </w:tcPr>
          <w:p w14:paraId="151C523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42,1</w:t>
            </w:r>
          </w:p>
        </w:tc>
        <w:tc>
          <w:tcPr>
            <w:tcW w:w="392" w:type="pct"/>
            <w:tcBorders>
              <w:top w:val="single" w:sz="4" w:space="0" w:color="auto"/>
              <w:left w:val="nil"/>
              <w:bottom w:val="nil"/>
              <w:right w:val="nil"/>
            </w:tcBorders>
            <w:noWrap/>
          </w:tcPr>
          <w:p w14:paraId="7A8A637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59,3</w:t>
            </w:r>
          </w:p>
        </w:tc>
        <w:tc>
          <w:tcPr>
            <w:tcW w:w="392" w:type="pct"/>
            <w:tcBorders>
              <w:top w:val="single" w:sz="4" w:space="0" w:color="auto"/>
              <w:left w:val="nil"/>
              <w:bottom w:val="nil"/>
              <w:right w:val="nil"/>
            </w:tcBorders>
            <w:noWrap/>
          </w:tcPr>
          <w:p w14:paraId="2A17A10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50,4</w:t>
            </w:r>
          </w:p>
        </w:tc>
        <w:tc>
          <w:tcPr>
            <w:tcW w:w="392" w:type="pct"/>
            <w:tcBorders>
              <w:top w:val="single" w:sz="4" w:space="0" w:color="auto"/>
              <w:left w:val="nil"/>
              <w:bottom w:val="nil"/>
              <w:right w:val="nil"/>
            </w:tcBorders>
            <w:noWrap/>
          </w:tcPr>
          <w:p w14:paraId="6788811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40,0</w:t>
            </w:r>
          </w:p>
        </w:tc>
        <w:tc>
          <w:tcPr>
            <w:tcW w:w="392" w:type="pct"/>
            <w:tcBorders>
              <w:top w:val="single" w:sz="4" w:space="0" w:color="auto"/>
              <w:left w:val="nil"/>
              <w:bottom w:val="nil"/>
              <w:right w:val="nil"/>
            </w:tcBorders>
            <w:noWrap/>
          </w:tcPr>
          <w:p w14:paraId="7ACD7ED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49,1</w:t>
            </w:r>
          </w:p>
        </w:tc>
        <w:tc>
          <w:tcPr>
            <w:tcW w:w="431" w:type="pct"/>
            <w:tcBorders>
              <w:top w:val="single" w:sz="4" w:space="0" w:color="auto"/>
              <w:left w:val="nil"/>
              <w:bottom w:val="nil"/>
              <w:right w:val="nil"/>
            </w:tcBorders>
            <w:noWrap/>
          </w:tcPr>
          <w:p w14:paraId="3887C10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62,3</w:t>
            </w:r>
          </w:p>
        </w:tc>
        <w:tc>
          <w:tcPr>
            <w:tcW w:w="484" w:type="pct"/>
            <w:tcBorders>
              <w:top w:val="single" w:sz="4" w:space="0" w:color="auto"/>
              <w:left w:val="nil"/>
              <w:bottom w:val="nil"/>
              <w:right w:val="nil"/>
            </w:tcBorders>
            <w:noWrap/>
          </w:tcPr>
          <w:p w14:paraId="4B04983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71,8</w:t>
            </w:r>
          </w:p>
        </w:tc>
      </w:tr>
      <w:tr w:rsidR="009D6E11" w:rsidRPr="00C5680C" w14:paraId="33F4164D" w14:textId="77777777" w:rsidTr="00C5680C">
        <w:trPr>
          <w:trHeight w:val="265"/>
        </w:trPr>
        <w:tc>
          <w:tcPr>
            <w:tcW w:w="949" w:type="pct"/>
            <w:tcBorders>
              <w:top w:val="nil"/>
              <w:left w:val="nil"/>
              <w:bottom w:val="nil"/>
              <w:right w:val="nil"/>
            </w:tcBorders>
            <w:noWrap/>
          </w:tcPr>
          <w:p w14:paraId="630E0F2B" w14:textId="0C7F6EB2"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 xml:space="preserve">    Ressursbaserte næringer</w:t>
            </w:r>
            <w:r w:rsidR="00FE5660">
              <w:rPr>
                <w:rFonts w:ascii="Times New Roman" w:eastAsia="Times New Roman" w:hAnsi="Times New Roman"/>
                <w:color w:val="000000"/>
                <w:sz w:val="20"/>
                <w:szCs w:val="20"/>
              </w:rPr>
              <w:br/>
            </w:r>
          </w:p>
        </w:tc>
        <w:tc>
          <w:tcPr>
            <w:tcW w:w="392" w:type="pct"/>
            <w:tcBorders>
              <w:top w:val="nil"/>
              <w:left w:val="nil"/>
              <w:bottom w:val="nil"/>
              <w:right w:val="nil"/>
            </w:tcBorders>
            <w:noWrap/>
          </w:tcPr>
          <w:p w14:paraId="2D68DA8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32,4</w:t>
            </w:r>
          </w:p>
        </w:tc>
        <w:tc>
          <w:tcPr>
            <w:tcW w:w="392" w:type="pct"/>
            <w:tcBorders>
              <w:top w:val="nil"/>
              <w:left w:val="nil"/>
              <w:bottom w:val="nil"/>
              <w:right w:val="nil"/>
            </w:tcBorders>
            <w:noWrap/>
          </w:tcPr>
          <w:p w14:paraId="2A95760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27,3</w:t>
            </w:r>
          </w:p>
        </w:tc>
        <w:tc>
          <w:tcPr>
            <w:tcW w:w="392" w:type="pct"/>
            <w:tcBorders>
              <w:top w:val="nil"/>
              <w:left w:val="nil"/>
              <w:bottom w:val="nil"/>
              <w:right w:val="nil"/>
            </w:tcBorders>
            <w:noWrap/>
          </w:tcPr>
          <w:p w14:paraId="42DE5285"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22,7</w:t>
            </w:r>
          </w:p>
        </w:tc>
        <w:tc>
          <w:tcPr>
            <w:tcW w:w="392" w:type="pct"/>
            <w:tcBorders>
              <w:top w:val="nil"/>
              <w:left w:val="nil"/>
              <w:bottom w:val="nil"/>
              <w:right w:val="nil"/>
            </w:tcBorders>
            <w:noWrap/>
          </w:tcPr>
          <w:p w14:paraId="66109FF1"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8,8</w:t>
            </w:r>
          </w:p>
        </w:tc>
        <w:tc>
          <w:tcPr>
            <w:tcW w:w="392" w:type="pct"/>
            <w:tcBorders>
              <w:top w:val="nil"/>
              <w:left w:val="nil"/>
              <w:bottom w:val="nil"/>
              <w:right w:val="nil"/>
            </w:tcBorders>
            <w:noWrap/>
          </w:tcPr>
          <w:p w14:paraId="26D4C26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25,8</w:t>
            </w:r>
          </w:p>
        </w:tc>
        <w:tc>
          <w:tcPr>
            <w:tcW w:w="392" w:type="pct"/>
            <w:tcBorders>
              <w:top w:val="nil"/>
              <w:left w:val="nil"/>
              <w:bottom w:val="nil"/>
              <w:right w:val="nil"/>
            </w:tcBorders>
            <w:noWrap/>
          </w:tcPr>
          <w:p w14:paraId="4B32F22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21,3</w:t>
            </w:r>
          </w:p>
        </w:tc>
        <w:tc>
          <w:tcPr>
            <w:tcW w:w="392" w:type="pct"/>
            <w:tcBorders>
              <w:top w:val="nil"/>
              <w:left w:val="nil"/>
              <w:bottom w:val="nil"/>
              <w:right w:val="nil"/>
            </w:tcBorders>
            <w:noWrap/>
          </w:tcPr>
          <w:p w14:paraId="7C80FBB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15,3</w:t>
            </w:r>
          </w:p>
        </w:tc>
        <w:tc>
          <w:tcPr>
            <w:tcW w:w="392" w:type="pct"/>
            <w:tcBorders>
              <w:top w:val="nil"/>
              <w:left w:val="nil"/>
              <w:bottom w:val="nil"/>
              <w:right w:val="nil"/>
            </w:tcBorders>
            <w:noWrap/>
          </w:tcPr>
          <w:p w14:paraId="7B44853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20,6</w:t>
            </w:r>
          </w:p>
        </w:tc>
        <w:tc>
          <w:tcPr>
            <w:tcW w:w="431" w:type="pct"/>
            <w:tcBorders>
              <w:top w:val="nil"/>
              <w:left w:val="nil"/>
              <w:bottom w:val="nil"/>
              <w:right w:val="nil"/>
            </w:tcBorders>
            <w:noWrap/>
          </w:tcPr>
          <w:p w14:paraId="0EB8BAE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29,0</w:t>
            </w:r>
          </w:p>
        </w:tc>
        <w:tc>
          <w:tcPr>
            <w:tcW w:w="484" w:type="pct"/>
            <w:tcBorders>
              <w:top w:val="nil"/>
              <w:left w:val="nil"/>
              <w:bottom w:val="nil"/>
              <w:right w:val="nil"/>
            </w:tcBorders>
            <w:noWrap/>
          </w:tcPr>
          <w:p w14:paraId="5FE6CA8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34,2</w:t>
            </w:r>
          </w:p>
        </w:tc>
      </w:tr>
      <w:tr w:rsidR="009D6E11" w:rsidRPr="00C5680C" w14:paraId="2D5115AB" w14:textId="77777777" w:rsidTr="00C5680C">
        <w:trPr>
          <w:trHeight w:val="265"/>
        </w:trPr>
        <w:tc>
          <w:tcPr>
            <w:tcW w:w="949" w:type="pct"/>
            <w:tcBorders>
              <w:top w:val="nil"/>
              <w:left w:val="nil"/>
              <w:bottom w:val="nil"/>
              <w:right w:val="nil"/>
            </w:tcBorders>
            <w:noWrap/>
          </w:tcPr>
          <w:p w14:paraId="3608547A" w14:textId="5C478A26" w:rsidR="009D6E11" w:rsidRPr="00C5680C" w:rsidRDefault="00FE5660" w:rsidP="008D32BA">
            <w:pPr>
              <w:autoSpaceDE w:val="0"/>
              <w:autoSpaceDN w:val="0"/>
              <w:adjustRightInd w:val="0"/>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9D6E11" w:rsidRPr="00C5680C">
              <w:rPr>
                <w:rFonts w:ascii="Times New Roman" w:eastAsia="Times New Roman" w:hAnsi="Times New Roman"/>
                <w:color w:val="000000"/>
                <w:sz w:val="20"/>
                <w:szCs w:val="20"/>
              </w:rPr>
              <w:t>Leverandør</w:t>
            </w:r>
            <w:r>
              <w:rPr>
                <w:rFonts w:ascii="Times New Roman" w:eastAsia="Times New Roman" w:hAnsi="Times New Roman"/>
                <w:color w:val="000000"/>
                <w:sz w:val="20"/>
                <w:szCs w:val="20"/>
              </w:rPr>
              <w:t>-</w:t>
            </w:r>
            <w:r w:rsidR="009D6E11" w:rsidRPr="00C5680C">
              <w:rPr>
                <w:rFonts w:ascii="Times New Roman" w:eastAsia="Times New Roman" w:hAnsi="Times New Roman"/>
                <w:color w:val="000000"/>
                <w:sz w:val="20"/>
                <w:szCs w:val="20"/>
              </w:rPr>
              <w:t>virksomhet</w:t>
            </w:r>
            <w:r>
              <w:rPr>
                <w:rFonts w:ascii="Times New Roman" w:eastAsia="Times New Roman" w:hAnsi="Times New Roman"/>
                <w:color w:val="000000"/>
                <w:sz w:val="20"/>
                <w:szCs w:val="20"/>
              </w:rPr>
              <w:br/>
            </w:r>
          </w:p>
        </w:tc>
        <w:tc>
          <w:tcPr>
            <w:tcW w:w="392" w:type="pct"/>
            <w:tcBorders>
              <w:top w:val="nil"/>
              <w:left w:val="nil"/>
              <w:bottom w:val="nil"/>
              <w:right w:val="nil"/>
            </w:tcBorders>
            <w:noWrap/>
          </w:tcPr>
          <w:p w14:paraId="789D914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7,4</w:t>
            </w:r>
          </w:p>
        </w:tc>
        <w:tc>
          <w:tcPr>
            <w:tcW w:w="392" w:type="pct"/>
            <w:tcBorders>
              <w:top w:val="nil"/>
              <w:left w:val="nil"/>
              <w:bottom w:val="nil"/>
              <w:right w:val="nil"/>
            </w:tcBorders>
            <w:noWrap/>
          </w:tcPr>
          <w:p w14:paraId="4FDA48A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6,1</w:t>
            </w:r>
          </w:p>
        </w:tc>
        <w:tc>
          <w:tcPr>
            <w:tcW w:w="392" w:type="pct"/>
            <w:tcBorders>
              <w:top w:val="nil"/>
              <w:left w:val="nil"/>
              <w:bottom w:val="nil"/>
              <w:right w:val="nil"/>
            </w:tcBorders>
            <w:noWrap/>
          </w:tcPr>
          <w:p w14:paraId="0421E0A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7,4</w:t>
            </w:r>
          </w:p>
        </w:tc>
        <w:tc>
          <w:tcPr>
            <w:tcW w:w="392" w:type="pct"/>
            <w:tcBorders>
              <w:top w:val="nil"/>
              <w:left w:val="nil"/>
              <w:bottom w:val="nil"/>
              <w:right w:val="nil"/>
            </w:tcBorders>
            <w:noWrap/>
          </w:tcPr>
          <w:p w14:paraId="22B3F9B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13,7</w:t>
            </w:r>
          </w:p>
        </w:tc>
        <w:tc>
          <w:tcPr>
            <w:tcW w:w="392" w:type="pct"/>
            <w:tcBorders>
              <w:top w:val="nil"/>
              <w:left w:val="nil"/>
              <w:bottom w:val="nil"/>
              <w:right w:val="nil"/>
            </w:tcBorders>
            <w:noWrap/>
          </w:tcPr>
          <w:p w14:paraId="6D7F271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13,5</w:t>
            </w:r>
          </w:p>
        </w:tc>
        <w:tc>
          <w:tcPr>
            <w:tcW w:w="392" w:type="pct"/>
            <w:tcBorders>
              <w:top w:val="nil"/>
              <w:left w:val="nil"/>
              <w:bottom w:val="nil"/>
              <w:right w:val="nil"/>
            </w:tcBorders>
            <w:noWrap/>
          </w:tcPr>
          <w:p w14:paraId="420C4A45"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10,2</w:t>
            </w:r>
          </w:p>
        </w:tc>
        <w:tc>
          <w:tcPr>
            <w:tcW w:w="392" w:type="pct"/>
            <w:tcBorders>
              <w:top w:val="nil"/>
              <w:left w:val="nil"/>
              <w:bottom w:val="nil"/>
              <w:right w:val="nil"/>
            </w:tcBorders>
            <w:noWrap/>
          </w:tcPr>
          <w:p w14:paraId="6C89FE8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7,1</w:t>
            </w:r>
          </w:p>
        </w:tc>
        <w:tc>
          <w:tcPr>
            <w:tcW w:w="392" w:type="pct"/>
            <w:tcBorders>
              <w:top w:val="nil"/>
              <w:left w:val="nil"/>
              <w:bottom w:val="nil"/>
              <w:right w:val="nil"/>
            </w:tcBorders>
            <w:noWrap/>
          </w:tcPr>
          <w:p w14:paraId="04F6432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11,3</w:t>
            </w:r>
          </w:p>
        </w:tc>
        <w:tc>
          <w:tcPr>
            <w:tcW w:w="431" w:type="pct"/>
            <w:tcBorders>
              <w:top w:val="nil"/>
              <w:left w:val="nil"/>
              <w:bottom w:val="nil"/>
              <w:right w:val="nil"/>
            </w:tcBorders>
            <w:noWrap/>
          </w:tcPr>
          <w:p w14:paraId="767A2AE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13,8</w:t>
            </w:r>
          </w:p>
        </w:tc>
        <w:tc>
          <w:tcPr>
            <w:tcW w:w="484" w:type="pct"/>
            <w:tcBorders>
              <w:top w:val="nil"/>
              <w:left w:val="nil"/>
              <w:bottom w:val="nil"/>
              <w:right w:val="nil"/>
            </w:tcBorders>
            <w:noWrap/>
          </w:tcPr>
          <w:p w14:paraId="47CD62B8"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7,8</w:t>
            </w:r>
          </w:p>
        </w:tc>
      </w:tr>
      <w:tr w:rsidR="009D6E11" w:rsidRPr="00C5680C" w14:paraId="1C56C72F" w14:textId="77777777" w:rsidTr="00C5680C">
        <w:trPr>
          <w:trHeight w:val="265"/>
        </w:trPr>
        <w:tc>
          <w:tcPr>
            <w:tcW w:w="949" w:type="pct"/>
            <w:tcBorders>
              <w:top w:val="nil"/>
              <w:left w:val="nil"/>
              <w:bottom w:val="single" w:sz="4" w:space="0" w:color="auto"/>
              <w:right w:val="nil"/>
            </w:tcBorders>
            <w:noWrap/>
          </w:tcPr>
          <w:p w14:paraId="1AB91F62" w14:textId="77777777"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 xml:space="preserve">    Ikke-stedbundne næringer</w:t>
            </w:r>
          </w:p>
        </w:tc>
        <w:tc>
          <w:tcPr>
            <w:tcW w:w="392" w:type="pct"/>
            <w:tcBorders>
              <w:top w:val="nil"/>
              <w:left w:val="nil"/>
              <w:bottom w:val="single" w:sz="4" w:space="0" w:color="auto"/>
              <w:right w:val="nil"/>
            </w:tcBorders>
            <w:noWrap/>
          </w:tcPr>
          <w:p w14:paraId="4AF5B96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18,5</w:t>
            </w:r>
          </w:p>
        </w:tc>
        <w:tc>
          <w:tcPr>
            <w:tcW w:w="392" w:type="pct"/>
            <w:tcBorders>
              <w:top w:val="nil"/>
              <w:left w:val="nil"/>
              <w:bottom w:val="single" w:sz="4" w:space="0" w:color="auto"/>
              <w:right w:val="nil"/>
            </w:tcBorders>
            <w:noWrap/>
          </w:tcPr>
          <w:p w14:paraId="4FD6BD9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24,8</w:t>
            </w:r>
          </w:p>
        </w:tc>
        <w:tc>
          <w:tcPr>
            <w:tcW w:w="392" w:type="pct"/>
            <w:tcBorders>
              <w:top w:val="nil"/>
              <w:left w:val="nil"/>
              <w:bottom w:val="single" w:sz="4" w:space="0" w:color="auto"/>
              <w:right w:val="nil"/>
            </w:tcBorders>
            <w:noWrap/>
          </w:tcPr>
          <w:p w14:paraId="7C336E5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27,8</w:t>
            </w:r>
          </w:p>
        </w:tc>
        <w:tc>
          <w:tcPr>
            <w:tcW w:w="392" w:type="pct"/>
            <w:tcBorders>
              <w:top w:val="nil"/>
              <w:left w:val="nil"/>
              <w:bottom w:val="single" w:sz="4" w:space="0" w:color="auto"/>
              <w:right w:val="nil"/>
            </w:tcBorders>
            <w:noWrap/>
          </w:tcPr>
          <w:p w14:paraId="5C1DEE4E"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19,7</w:t>
            </w:r>
          </w:p>
        </w:tc>
        <w:tc>
          <w:tcPr>
            <w:tcW w:w="392" w:type="pct"/>
            <w:tcBorders>
              <w:top w:val="nil"/>
              <w:left w:val="nil"/>
              <w:bottom w:val="single" w:sz="4" w:space="0" w:color="auto"/>
              <w:right w:val="nil"/>
            </w:tcBorders>
            <w:noWrap/>
          </w:tcPr>
          <w:p w14:paraId="034BFE61"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w:t>
            </w:r>
          </w:p>
        </w:tc>
        <w:tc>
          <w:tcPr>
            <w:tcW w:w="392" w:type="pct"/>
            <w:tcBorders>
              <w:top w:val="nil"/>
              <w:left w:val="nil"/>
              <w:bottom w:val="single" w:sz="4" w:space="0" w:color="auto"/>
              <w:right w:val="nil"/>
            </w:tcBorders>
            <w:noWrap/>
          </w:tcPr>
          <w:p w14:paraId="156A932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19,0</w:t>
            </w:r>
          </w:p>
        </w:tc>
        <w:tc>
          <w:tcPr>
            <w:tcW w:w="392" w:type="pct"/>
            <w:tcBorders>
              <w:top w:val="nil"/>
              <w:left w:val="nil"/>
              <w:bottom w:val="single" w:sz="4" w:space="0" w:color="auto"/>
              <w:right w:val="nil"/>
            </w:tcBorders>
            <w:noWrap/>
          </w:tcPr>
          <w:p w14:paraId="349AFBD5"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17,7</w:t>
            </w:r>
          </w:p>
        </w:tc>
        <w:tc>
          <w:tcPr>
            <w:tcW w:w="392" w:type="pct"/>
            <w:tcBorders>
              <w:top w:val="nil"/>
              <w:left w:val="nil"/>
              <w:bottom w:val="single" w:sz="4" w:space="0" w:color="auto"/>
              <w:right w:val="nil"/>
            </w:tcBorders>
            <w:noWrap/>
          </w:tcPr>
          <w:p w14:paraId="38BBF69E"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17,2</w:t>
            </w:r>
          </w:p>
        </w:tc>
        <w:tc>
          <w:tcPr>
            <w:tcW w:w="431" w:type="pct"/>
            <w:tcBorders>
              <w:top w:val="nil"/>
              <w:left w:val="nil"/>
              <w:bottom w:val="single" w:sz="4" w:space="0" w:color="auto"/>
              <w:right w:val="nil"/>
            </w:tcBorders>
            <w:noWrap/>
          </w:tcPr>
          <w:p w14:paraId="1DF0D5E1"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19,4</w:t>
            </w:r>
          </w:p>
        </w:tc>
        <w:tc>
          <w:tcPr>
            <w:tcW w:w="484" w:type="pct"/>
            <w:tcBorders>
              <w:top w:val="nil"/>
              <w:left w:val="nil"/>
              <w:bottom w:val="single" w:sz="4" w:space="0" w:color="auto"/>
              <w:right w:val="nil"/>
            </w:tcBorders>
            <w:noWrap/>
          </w:tcPr>
          <w:p w14:paraId="3B49E158"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29,8</w:t>
            </w:r>
          </w:p>
        </w:tc>
      </w:tr>
    </w:tbl>
    <w:p w14:paraId="48242439" w14:textId="77777777" w:rsidR="009D6E11" w:rsidRDefault="009D6E11" w:rsidP="003F5F82">
      <w:pPr>
        <w:pStyle w:val="tabell-noter"/>
        <w:spacing w:before="0"/>
        <w:rPr>
          <w:noProof/>
        </w:rPr>
      </w:pPr>
      <w:r w:rsidRPr="00F365E2">
        <w:rPr>
          <w:noProof/>
        </w:rPr>
        <w:t>* Foreløpige tall</w:t>
      </w:r>
    </w:p>
    <w:p w14:paraId="2D8E89DB" w14:textId="77777777" w:rsidR="009D6E11" w:rsidRPr="00F365E2" w:rsidRDefault="009D6E11" w:rsidP="009D6E11">
      <w:pPr>
        <w:pStyle w:val="Kilde"/>
        <w:rPr>
          <w:noProof/>
        </w:rPr>
      </w:pPr>
      <w:r>
        <w:rPr>
          <w:noProof/>
        </w:rPr>
        <w:t>Kilde: Statistisk sentralbyrå</w:t>
      </w:r>
    </w:p>
    <w:p w14:paraId="504B66A8" w14:textId="77777777" w:rsidR="009D6E11" w:rsidRPr="007F7469" w:rsidRDefault="009D6E11" w:rsidP="009D6E11">
      <w:pPr>
        <w:rPr>
          <w:rFonts w:ascii="Times New Roman" w:eastAsia="Times New Roman" w:hAnsi="Times New Roman"/>
          <w:color w:val="7F7F7F" w:themeColor="text1" w:themeTint="80"/>
        </w:rPr>
      </w:pPr>
      <w:r w:rsidRPr="00F365E2">
        <w:rPr>
          <w:rFonts w:ascii="Times New Roman" w:eastAsia="Times New Roman" w:hAnsi="Times New Roman"/>
        </w:rPr>
        <w:t xml:space="preserve">Lønnskostnadsandelen i </w:t>
      </w:r>
      <w:r>
        <w:rPr>
          <w:rFonts w:ascii="Times New Roman" w:eastAsia="Times New Roman" w:hAnsi="Times New Roman"/>
        </w:rPr>
        <w:t>fast</w:t>
      </w:r>
      <w:r w:rsidRPr="00F365E2">
        <w:rPr>
          <w:rFonts w:ascii="Times New Roman" w:eastAsia="Times New Roman" w:hAnsi="Times New Roman"/>
        </w:rPr>
        <w:t>land</w:t>
      </w:r>
      <w:r>
        <w:rPr>
          <w:rFonts w:ascii="Times New Roman" w:eastAsia="Times New Roman" w:hAnsi="Times New Roman"/>
        </w:rPr>
        <w:t>s</w:t>
      </w:r>
      <w:r w:rsidRPr="00F365E2">
        <w:rPr>
          <w:rFonts w:ascii="Times New Roman" w:eastAsia="Times New Roman" w:hAnsi="Times New Roman"/>
        </w:rPr>
        <w:t xml:space="preserve">baserte konkurranseutsatte næringer er illustrert i figur </w:t>
      </w:r>
      <w:r>
        <w:rPr>
          <w:rFonts w:ascii="Times New Roman" w:eastAsia="Times New Roman" w:hAnsi="Times New Roman"/>
        </w:rPr>
        <w:t xml:space="preserve">6.1. </w:t>
      </w:r>
      <w:r w:rsidRPr="00F365E2">
        <w:rPr>
          <w:rFonts w:ascii="Times New Roman" w:eastAsia="Times New Roman" w:hAnsi="Times New Roman"/>
        </w:rPr>
        <w:t xml:space="preserve"> </w:t>
      </w:r>
      <w:r w:rsidRPr="00F365E2">
        <w:rPr>
          <w:rFonts w:ascii="Times New Roman" w:eastAsia="Times New Roman" w:hAnsi="Times New Roman"/>
          <w:i/>
        </w:rPr>
        <w:t>Ressursbaserte næringer</w:t>
      </w:r>
      <w:r w:rsidRPr="00F365E2">
        <w:rPr>
          <w:rFonts w:ascii="Times New Roman" w:eastAsia="Times New Roman" w:hAnsi="Times New Roman"/>
        </w:rPr>
        <w:t xml:space="preserve"> hadde en nedgang i lø</w:t>
      </w:r>
      <w:r>
        <w:rPr>
          <w:rFonts w:ascii="Times New Roman" w:eastAsia="Times New Roman" w:hAnsi="Times New Roman"/>
        </w:rPr>
        <w:t>nnskostnadsandelen fra 63</w:t>
      </w:r>
      <w:r w:rsidRPr="00F365E2">
        <w:rPr>
          <w:rFonts w:ascii="Times New Roman" w:eastAsia="Times New Roman" w:hAnsi="Times New Roman"/>
        </w:rPr>
        <w:t xml:space="preserve"> prosent i 201</w:t>
      </w:r>
      <w:r>
        <w:rPr>
          <w:rFonts w:ascii="Times New Roman" w:eastAsia="Times New Roman" w:hAnsi="Times New Roman"/>
        </w:rPr>
        <w:t>4 til nesten 61 prosent i 2015</w:t>
      </w:r>
      <w:r w:rsidRPr="007F7469">
        <w:rPr>
          <w:rFonts w:ascii="Times New Roman" w:eastAsia="Times New Roman" w:hAnsi="Times New Roman"/>
        </w:rPr>
        <w:t xml:space="preserve">. Dette er under gjennomsnittet på </w:t>
      </w:r>
      <w:r>
        <w:rPr>
          <w:rFonts w:ascii="Times New Roman" w:eastAsia="Times New Roman" w:hAnsi="Times New Roman"/>
        </w:rPr>
        <w:t>68 prosent i fem-årsperioden 2011-2015</w:t>
      </w:r>
      <w:r w:rsidRPr="007F7469">
        <w:rPr>
          <w:rFonts w:ascii="Times New Roman" w:eastAsia="Times New Roman" w:hAnsi="Times New Roman"/>
        </w:rPr>
        <w:t>. Det var økningen i driftsresultatet i fiske, fangst og akvakultur, nærings-, dri</w:t>
      </w:r>
      <w:r>
        <w:rPr>
          <w:rFonts w:ascii="Times New Roman" w:eastAsia="Times New Roman" w:hAnsi="Times New Roman"/>
        </w:rPr>
        <w:t>kkevare- og tobakksindustri og i</w:t>
      </w:r>
      <w:r w:rsidRPr="007F7469">
        <w:rPr>
          <w:rFonts w:ascii="Times New Roman" w:eastAsia="Times New Roman" w:hAnsi="Times New Roman"/>
        </w:rPr>
        <w:t xml:space="preserve"> produksjon av metaller som bidro mest </w:t>
      </w:r>
      <w:r>
        <w:rPr>
          <w:rFonts w:ascii="Times New Roman" w:eastAsia="Times New Roman" w:hAnsi="Times New Roman"/>
        </w:rPr>
        <w:t xml:space="preserve">til </w:t>
      </w:r>
      <w:r w:rsidRPr="007F7469">
        <w:rPr>
          <w:rFonts w:ascii="Times New Roman" w:eastAsia="Times New Roman" w:hAnsi="Times New Roman"/>
        </w:rPr>
        <w:t>at lønnskostnadsandelen gikk ned.</w:t>
      </w:r>
      <w:r>
        <w:rPr>
          <w:rFonts w:ascii="Times New Roman" w:eastAsia="Times New Roman" w:hAnsi="Times New Roman"/>
        </w:rPr>
        <w:t xml:space="preserve"> Generelt trekker lønnskostnadsandelene i primærnæringene ned lønnskostnadsandelen i ressursbaserte næringer siden de i hovedsak omfatter selvstendig næringsdrivende.</w:t>
      </w:r>
      <w:r w:rsidRPr="007F7469">
        <w:rPr>
          <w:rFonts w:ascii="Times New Roman" w:eastAsia="Times New Roman" w:hAnsi="Times New Roman"/>
        </w:rPr>
        <w:t xml:space="preserve"> </w:t>
      </w:r>
    </w:p>
    <w:p w14:paraId="77AE1B89" w14:textId="77777777" w:rsidR="009D6E11" w:rsidRDefault="009D6E11" w:rsidP="009D6E11">
      <w:pPr>
        <w:suppressAutoHyphens/>
        <w:autoSpaceDE w:val="0"/>
        <w:autoSpaceDN w:val="0"/>
        <w:adjustRightInd w:val="0"/>
        <w:spacing w:after="0"/>
        <w:rPr>
          <w:rFonts w:ascii="Times New Roman" w:eastAsia="Times New Roman" w:hAnsi="Times New Roman"/>
          <w:noProof/>
          <w:color w:val="000000"/>
        </w:rPr>
      </w:pPr>
    </w:p>
    <w:p w14:paraId="6D63552C" w14:textId="77777777" w:rsidR="009D6E11" w:rsidRPr="00F365E2" w:rsidRDefault="009D6E11" w:rsidP="009D6E11">
      <w:pPr>
        <w:suppressAutoHyphens/>
        <w:autoSpaceDE w:val="0"/>
        <w:autoSpaceDN w:val="0"/>
        <w:adjustRightInd w:val="0"/>
        <w:spacing w:after="0"/>
        <w:rPr>
          <w:rFonts w:ascii="Times New Roman" w:eastAsia="Times New Roman" w:hAnsi="Times New Roman"/>
          <w:noProof/>
          <w:color w:val="000000"/>
        </w:rPr>
      </w:pPr>
      <w:r>
        <w:rPr>
          <w:rFonts w:ascii="Times New Roman" w:eastAsia="Times New Roman" w:hAnsi="Times New Roman"/>
          <w:noProof/>
          <w:color w:val="000000"/>
        </w:rPr>
        <w:drawing>
          <wp:inline distT="0" distB="0" distL="0" distR="0" wp14:anchorId="015F4121" wp14:editId="3E523F51">
            <wp:extent cx="2619375" cy="2552700"/>
            <wp:effectExtent l="0" t="0" r="9525" b="0"/>
            <wp:docPr id="80" name="Bilde 80" descr="C:\Users\nba\AppData\Local\Microsoft\Windows\Temporary Internet Files\Content.Outlook\PA0J27GI\v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a\AppData\Local\Microsoft\Windows\Temporary Internet Files\Content.Outlook\PA0J27GI\v6-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19375" cy="2552700"/>
                    </a:xfrm>
                    <a:prstGeom prst="rect">
                      <a:avLst/>
                    </a:prstGeom>
                    <a:noFill/>
                    <a:ln>
                      <a:noFill/>
                    </a:ln>
                  </pic:spPr>
                </pic:pic>
              </a:graphicData>
            </a:graphic>
          </wp:inline>
        </w:drawing>
      </w:r>
    </w:p>
    <w:p w14:paraId="16C7634F" w14:textId="77777777" w:rsidR="009D6E11" w:rsidRPr="005E6A64" w:rsidRDefault="009D6E11" w:rsidP="009D6E11">
      <w:pPr>
        <w:spacing w:after="0"/>
        <w:rPr>
          <w:rFonts w:ascii="Arial" w:eastAsia="Times New Roman" w:hAnsi="Arial" w:cs="Arial"/>
          <w:bCs/>
          <w:noProof/>
          <w:szCs w:val="24"/>
        </w:rPr>
      </w:pPr>
      <w:r w:rsidRPr="005E6A64">
        <w:rPr>
          <w:rFonts w:ascii="Arial" w:eastAsia="Times New Roman" w:hAnsi="Arial" w:cs="Arial"/>
          <w:bCs/>
          <w:szCs w:val="24"/>
        </w:rPr>
        <w:t>Figur 6.</w:t>
      </w:r>
      <w:r w:rsidRPr="005E6A64">
        <w:rPr>
          <w:rFonts w:ascii="Arial" w:eastAsia="Times New Roman" w:hAnsi="Arial" w:cs="Arial"/>
          <w:bCs/>
          <w:szCs w:val="24"/>
        </w:rPr>
        <w:fldChar w:fldCharType="begin"/>
      </w:r>
      <w:r w:rsidRPr="005E6A64">
        <w:rPr>
          <w:rFonts w:ascii="Arial" w:eastAsia="Times New Roman" w:hAnsi="Arial" w:cs="Arial"/>
          <w:bCs/>
          <w:szCs w:val="24"/>
        </w:rPr>
        <w:instrText xml:space="preserve"> SEQ Figur \* ARABIC \s 1 </w:instrText>
      </w:r>
      <w:r w:rsidRPr="005E6A64">
        <w:rPr>
          <w:rFonts w:ascii="Arial" w:eastAsia="Times New Roman" w:hAnsi="Arial" w:cs="Arial"/>
          <w:bCs/>
          <w:szCs w:val="24"/>
        </w:rPr>
        <w:fldChar w:fldCharType="separate"/>
      </w:r>
      <w:r w:rsidR="000903B7">
        <w:rPr>
          <w:rFonts w:ascii="Arial" w:eastAsia="Times New Roman" w:hAnsi="Arial" w:cs="Arial"/>
          <w:bCs/>
          <w:noProof/>
          <w:szCs w:val="24"/>
        </w:rPr>
        <w:t>1</w:t>
      </w:r>
      <w:r w:rsidRPr="005E6A64">
        <w:rPr>
          <w:rFonts w:ascii="Arial" w:eastAsia="Times New Roman" w:hAnsi="Arial" w:cs="Arial"/>
          <w:bCs/>
          <w:szCs w:val="24"/>
        </w:rPr>
        <w:fldChar w:fldCharType="end"/>
      </w:r>
      <w:r w:rsidRPr="005E6A64">
        <w:rPr>
          <w:rFonts w:ascii="Arial" w:eastAsia="Times New Roman" w:hAnsi="Arial" w:cs="Arial"/>
          <w:bCs/>
          <w:szCs w:val="24"/>
        </w:rPr>
        <w:t xml:space="preserve"> </w:t>
      </w:r>
      <w:r w:rsidRPr="005E6A64">
        <w:rPr>
          <w:rFonts w:ascii="Arial" w:eastAsia="Times New Roman" w:hAnsi="Arial" w:cs="Arial"/>
          <w:bCs/>
          <w:noProof/>
          <w:szCs w:val="24"/>
        </w:rPr>
        <w:t xml:space="preserve">Lønnskostnader i prosent av faktorinntekt, fastlandbaserte konkurranseutsatte næringer. </w:t>
      </w:r>
    </w:p>
    <w:p w14:paraId="7A399DF2" w14:textId="77777777" w:rsidR="009D6E11" w:rsidRPr="00F365E2" w:rsidRDefault="009D6E11" w:rsidP="009D6E11">
      <w:pPr>
        <w:pStyle w:val="figur-noter"/>
        <w:rPr>
          <w:noProof/>
        </w:rPr>
      </w:pPr>
      <w:r w:rsidRPr="00F365E2">
        <w:rPr>
          <w:noProof/>
        </w:rPr>
        <w:t>* Foreløpige tall</w:t>
      </w:r>
    </w:p>
    <w:p w14:paraId="0F6D3B5D" w14:textId="77777777" w:rsidR="009D6E11" w:rsidRPr="00F365E2" w:rsidRDefault="009D6E11" w:rsidP="009D6E11">
      <w:pPr>
        <w:pStyle w:val="Kilde"/>
      </w:pPr>
      <w:r w:rsidRPr="00F365E2">
        <w:t>Kilde: Statistisk sentralbyrå</w:t>
      </w:r>
    </w:p>
    <w:p w14:paraId="6C8B085E" w14:textId="77777777" w:rsidR="009D6E11" w:rsidRPr="00F365E2" w:rsidRDefault="009D6E11" w:rsidP="009D6E11">
      <w:pPr>
        <w:rPr>
          <w:rFonts w:ascii="Times New Roman" w:eastAsia="Times New Roman" w:hAnsi="Times New Roman"/>
        </w:rPr>
      </w:pPr>
      <w:r w:rsidRPr="00F365E2">
        <w:rPr>
          <w:rFonts w:ascii="Times New Roman" w:eastAsia="Times New Roman" w:hAnsi="Times New Roman"/>
        </w:rPr>
        <w:t xml:space="preserve">Lønnskostnadsandelen i </w:t>
      </w:r>
      <w:r w:rsidRPr="00F365E2">
        <w:rPr>
          <w:rFonts w:ascii="Times New Roman" w:eastAsia="Times New Roman" w:hAnsi="Times New Roman"/>
          <w:i/>
        </w:rPr>
        <w:t>leverandørvirksomhet</w:t>
      </w:r>
      <w:r>
        <w:rPr>
          <w:rFonts w:ascii="Times New Roman" w:eastAsia="Times New Roman" w:hAnsi="Times New Roman"/>
        </w:rPr>
        <w:t xml:space="preserve"> økte fra 84 prosent 2014 til 90</w:t>
      </w:r>
      <w:r w:rsidRPr="00F365E2">
        <w:rPr>
          <w:rFonts w:ascii="Times New Roman" w:eastAsia="Times New Roman" w:hAnsi="Times New Roman"/>
        </w:rPr>
        <w:t xml:space="preserve"> prosent i 2</w:t>
      </w:r>
      <w:r>
        <w:rPr>
          <w:rFonts w:ascii="Times New Roman" w:eastAsia="Times New Roman" w:hAnsi="Times New Roman"/>
        </w:rPr>
        <w:t>015</w:t>
      </w:r>
      <w:r w:rsidRPr="00F365E2">
        <w:rPr>
          <w:rFonts w:ascii="Times New Roman" w:eastAsia="Times New Roman" w:hAnsi="Times New Roman"/>
        </w:rPr>
        <w:t xml:space="preserve">, som er </w:t>
      </w:r>
      <w:r>
        <w:rPr>
          <w:rFonts w:ascii="Times New Roman" w:eastAsia="Times New Roman" w:hAnsi="Times New Roman"/>
        </w:rPr>
        <w:t xml:space="preserve">høyere enn </w:t>
      </w:r>
      <w:r w:rsidRPr="00F365E2">
        <w:rPr>
          <w:rFonts w:ascii="Times New Roman" w:eastAsia="Times New Roman" w:hAnsi="Times New Roman"/>
        </w:rPr>
        <w:t>snittet</w:t>
      </w:r>
      <w:r>
        <w:rPr>
          <w:rFonts w:ascii="Times New Roman" w:eastAsia="Times New Roman" w:hAnsi="Times New Roman"/>
        </w:rPr>
        <w:t xml:space="preserve"> på 87 prosent for perioden 2011-2015. Lønnskostnadsandelen steg særlig mye i tjenester tilknyttet utvinning av råolje og naturgass og i verftsindustri og annen transportmiddelindustri grunnet nedgangen i driftsresultatet i disse næringene.</w:t>
      </w:r>
    </w:p>
    <w:p w14:paraId="606508BB" w14:textId="49783BAB" w:rsidR="00F11752" w:rsidRDefault="009D6E11" w:rsidP="009D6E11">
      <w:pPr>
        <w:rPr>
          <w:rFonts w:ascii="Times New Roman" w:eastAsia="Times New Roman" w:hAnsi="Times New Roman"/>
          <w:i/>
        </w:rPr>
      </w:pPr>
      <w:r w:rsidRPr="00F365E2">
        <w:rPr>
          <w:rFonts w:ascii="Times New Roman" w:eastAsia="Times New Roman" w:hAnsi="Times New Roman"/>
        </w:rPr>
        <w:t xml:space="preserve">Lønnskostnadsandelen i </w:t>
      </w:r>
      <w:r w:rsidRPr="00F365E2">
        <w:rPr>
          <w:rFonts w:ascii="Times New Roman" w:eastAsia="Times New Roman" w:hAnsi="Times New Roman"/>
          <w:i/>
        </w:rPr>
        <w:t>ikke-stedbundne næringer</w:t>
      </w:r>
      <w:r w:rsidRPr="00F365E2">
        <w:rPr>
          <w:rFonts w:ascii="Times New Roman" w:eastAsia="Times New Roman" w:hAnsi="Times New Roman"/>
        </w:rPr>
        <w:t xml:space="preserve"> </w:t>
      </w:r>
      <w:r>
        <w:rPr>
          <w:rFonts w:ascii="Times New Roman" w:eastAsia="Times New Roman" w:hAnsi="Times New Roman"/>
        </w:rPr>
        <w:t>falt fra 79 prosent i 2014 til 70 prosent i 2015</w:t>
      </w:r>
      <w:r w:rsidRPr="00F365E2">
        <w:rPr>
          <w:rFonts w:ascii="Times New Roman" w:eastAsia="Times New Roman" w:hAnsi="Times New Roman"/>
        </w:rPr>
        <w:t>. Gjennomsnittet i</w:t>
      </w:r>
      <w:r>
        <w:rPr>
          <w:rFonts w:ascii="Times New Roman" w:eastAsia="Times New Roman" w:hAnsi="Times New Roman"/>
        </w:rPr>
        <w:t xml:space="preserve"> femårsper</w:t>
      </w:r>
      <w:r w:rsidR="00F11752">
        <w:rPr>
          <w:rFonts w:ascii="Times New Roman" w:eastAsia="Times New Roman" w:hAnsi="Times New Roman"/>
        </w:rPr>
        <w:t>ioden 2011-2015 var 77 prosent.</w:t>
      </w:r>
      <w:r>
        <w:rPr>
          <w:rFonts w:ascii="Times New Roman" w:eastAsia="Times New Roman" w:hAnsi="Times New Roman"/>
        </w:rPr>
        <w:t xml:space="preserve"> I</w:t>
      </w:r>
      <w:r w:rsidRPr="00F365E2">
        <w:rPr>
          <w:rFonts w:ascii="Times New Roman" w:eastAsia="Times New Roman" w:hAnsi="Times New Roman"/>
        </w:rPr>
        <w:t xml:space="preserve"> oljeraffinering, kj</w:t>
      </w:r>
      <w:r>
        <w:rPr>
          <w:rFonts w:ascii="Times New Roman" w:eastAsia="Times New Roman" w:hAnsi="Times New Roman"/>
        </w:rPr>
        <w:t xml:space="preserve">emisk og farmasøytisk industri falt </w:t>
      </w:r>
      <w:r w:rsidRPr="00F365E2">
        <w:rPr>
          <w:rFonts w:ascii="Times New Roman" w:eastAsia="Times New Roman" w:hAnsi="Times New Roman"/>
        </w:rPr>
        <w:t xml:space="preserve">lønnskostnadsandelen </w:t>
      </w:r>
      <w:r>
        <w:rPr>
          <w:rFonts w:ascii="Times New Roman" w:eastAsia="Times New Roman" w:hAnsi="Times New Roman"/>
        </w:rPr>
        <w:t>fra 78 prosent 2014 til 49 prosent i 2015, grunnet den store økningen i driftsresultatet. For produksjon av metallvarer var lønnskostnadsandelen falt lønnskostnadsandelen med 2 prosent fra 2014 til 2015. L</w:t>
      </w:r>
      <w:r w:rsidRPr="00F365E2">
        <w:rPr>
          <w:rFonts w:ascii="Times New Roman" w:eastAsia="Times New Roman" w:hAnsi="Times New Roman"/>
        </w:rPr>
        <w:t xml:space="preserve">ønnskostnadsandelen </w:t>
      </w:r>
      <w:r>
        <w:rPr>
          <w:rFonts w:ascii="Times New Roman" w:eastAsia="Times New Roman" w:hAnsi="Times New Roman"/>
        </w:rPr>
        <w:t xml:space="preserve">var stabile eller </w:t>
      </w:r>
      <w:r w:rsidRPr="00F365E2">
        <w:rPr>
          <w:rFonts w:ascii="Times New Roman" w:eastAsia="Times New Roman" w:hAnsi="Times New Roman"/>
        </w:rPr>
        <w:t>økte</w:t>
      </w:r>
      <w:r>
        <w:rPr>
          <w:rFonts w:ascii="Times New Roman" w:eastAsia="Times New Roman" w:hAnsi="Times New Roman"/>
        </w:rPr>
        <w:t xml:space="preserve"> noe</w:t>
      </w:r>
      <w:r w:rsidRPr="00F365E2">
        <w:rPr>
          <w:rFonts w:ascii="Times New Roman" w:eastAsia="Times New Roman" w:hAnsi="Times New Roman"/>
        </w:rPr>
        <w:t xml:space="preserve"> i de øvrige næringene</w:t>
      </w:r>
      <w:r>
        <w:rPr>
          <w:rFonts w:ascii="Times New Roman" w:eastAsia="Times New Roman" w:hAnsi="Times New Roman"/>
        </w:rPr>
        <w:t xml:space="preserve"> i aggregatet</w:t>
      </w:r>
      <w:r w:rsidRPr="00F365E2">
        <w:rPr>
          <w:rFonts w:ascii="Times New Roman" w:eastAsia="Times New Roman" w:hAnsi="Times New Roman"/>
        </w:rPr>
        <w:t>.</w:t>
      </w:r>
    </w:p>
    <w:p w14:paraId="4E2FC110" w14:textId="1F0CCF45" w:rsidR="009D6E11" w:rsidRPr="00F11752" w:rsidRDefault="009D6E11" w:rsidP="00F11752">
      <w:pPr>
        <w:spacing w:before="240"/>
        <w:rPr>
          <w:rFonts w:ascii="Times New Roman" w:eastAsia="Times New Roman" w:hAnsi="Times New Roman"/>
          <w:i/>
        </w:rPr>
      </w:pPr>
      <w:r w:rsidRPr="00F11752">
        <w:rPr>
          <w:rFonts w:ascii="Times New Roman" w:eastAsia="Times New Roman" w:hAnsi="Times New Roman"/>
          <w:i/>
        </w:rPr>
        <w:t>Industri</w:t>
      </w:r>
    </w:p>
    <w:p w14:paraId="190E53E3" w14:textId="22E9A5F0" w:rsidR="009D6E11" w:rsidRDefault="009D6E11" w:rsidP="009D6E11">
      <w:pPr>
        <w:spacing w:after="0"/>
        <w:rPr>
          <w:rFonts w:ascii="Times New Roman" w:eastAsia="Times New Roman" w:hAnsi="Times New Roman"/>
        </w:rPr>
      </w:pPr>
      <w:r w:rsidRPr="00F365E2">
        <w:rPr>
          <w:rFonts w:ascii="Times New Roman" w:eastAsia="Times New Roman" w:hAnsi="Times New Roman"/>
          <w:i/>
        </w:rPr>
        <w:t xml:space="preserve">Fastlandbasert konkurranseutsatt industri </w:t>
      </w:r>
      <w:r w:rsidRPr="00F365E2">
        <w:rPr>
          <w:rFonts w:ascii="Times New Roman" w:eastAsia="Times New Roman" w:hAnsi="Times New Roman"/>
        </w:rPr>
        <w:t>hadde et driftsresultat</w:t>
      </w:r>
      <w:r w:rsidRPr="00F365E2">
        <w:rPr>
          <w:rFonts w:ascii="Times New Roman" w:eastAsia="Times New Roman" w:hAnsi="Times New Roman"/>
          <w:i/>
        </w:rPr>
        <w:t xml:space="preserve"> </w:t>
      </w:r>
      <w:r>
        <w:rPr>
          <w:rFonts w:ascii="Times New Roman" w:eastAsia="Times New Roman" w:hAnsi="Times New Roman"/>
        </w:rPr>
        <w:t>på nesten 43</w:t>
      </w:r>
      <w:r w:rsidRPr="00F365E2">
        <w:rPr>
          <w:rFonts w:ascii="Times New Roman" w:eastAsia="Times New Roman" w:hAnsi="Times New Roman"/>
        </w:rPr>
        <w:t xml:space="preserve"> milliarder i 201</w:t>
      </w:r>
      <w:r>
        <w:rPr>
          <w:rFonts w:ascii="Times New Roman" w:eastAsia="Times New Roman" w:hAnsi="Times New Roman"/>
        </w:rPr>
        <w:t>5, mot 32 milliarder i 2014, jf. tabell 6.2</w:t>
      </w:r>
      <w:r w:rsidRPr="00F365E2">
        <w:rPr>
          <w:rFonts w:ascii="Times New Roman" w:eastAsia="Times New Roman" w:hAnsi="Times New Roman"/>
        </w:rPr>
        <w:t>.</w:t>
      </w:r>
      <w:r w:rsidRPr="00F365E2">
        <w:rPr>
          <w:rFonts w:ascii="Times New Roman" w:eastAsia="Times New Roman" w:hAnsi="Times New Roman"/>
          <w:color w:val="7F7F7F"/>
        </w:rPr>
        <w:t xml:space="preserve"> </w:t>
      </w:r>
      <w:r w:rsidRPr="00F365E2">
        <w:rPr>
          <w:rFonts w:ascii="Times New Roman" w:eastAsia="Times New Roman" w:hAnsi="Times New Roman"/>
        </w:rPr>
        <w:t>Driftsresultatet i r</w:t>
      </w:r>
      <w:r w:rsidRPr="00F365E2">
        <w:rPr>
          <w:rFonts w:ascii="Times New Roman" w:eastAsia="Times New Roman" w:hAnsi="Times New Roman"/>
          <w:i/>
        </w:rPr>
        <w:t xml:space="preserve">essursbaserte industrinæringer </w:t>
      </w:r>
      <w:r>
        <w:rPr>
          <w:rFonts w:ascii="Times New Roman" w:eastAsia="Times New Roman" w:hAnsi="Times New Roman"/>
        </w:rPr>
        <w:t>lå i 2015 på nesten 10 milliarder kroner, mot 7</w:t>
      </w:r>
      <w:r w:rsidRPr="00F365E2">
        <w:rPr>
          <w:rFonts w:ascii="Times New Roman" w:eastAsia="Times New Roman" w:hAnsi="Times New Roman"/>
        </w:rPr>
        <w:t xml:space="preserve"> milliarder </w:t>
      </w:r>
      <w:r>
        <w:rPr>
          <w:rFonts w:ascii="Times New Roman" w:eastAsia="Times New Roman" w:hAnsi="Times New Roman"/>
        </w:rPr>
        <w:t>i 2014</w:t>
      </w:r>
      <w:r w:rsidRPr="00F365E2">
        <w:rPr>
          <w:rFonts w:ascii="Times New Roman" w:eastAsia="Times New Roman" w:hAnsi="Times New Roman"/>
        </w:rPr>
        <w:t>.</w:t>
      </w:r>
      <w:r>
        <w:rPr>
          <w:rFonts w:ascii="Times New Roman" w:eastAsia="Times New Roman" w:hAnsi="Times New Roman"/>
        </w:rPr>
        <w:t xml:space="preserve"> Alle de ressursbaserte industrinæringene hadde et høyere driftsresultat i 2015 sammenlignet med 2014, bortsett fra trelast- og trevareindustri som hadde en svak nedgang. Driftsresultatet i </w:t>
      </w:r>
      <w:r>
        <w:rPr>
          <w:rFonts w:ascii="Times New Roman" w:eastAsia="Times New Roman" w:hAnsi="Times New Roman"/>
          <w:i/>
        </w:rPr>
        <w:t>l</w:t>
      </w:r>
      <w:r w:rsidRPr="00F365E2">
        <w:rPr>
          <w:rFonts w:ascii="Times New Roman" w:eastAsia="Times New Roman" w:hAnsi="Times New Roman"/>
          <w:i/>
        </w:rPr>
        <w:t>everandørindustri</w:t>
      </w:r>
      <w:r w:rsidRPr="00F365E2">
        <w:rPr>
          <w:rFonts w:ascii="Times New Roman" w:eastAsia="Times New Roman" w:hAnsi="Times New Roman"/>
        </w:rPr>
        <w:t xml:space="preserve"> </w:t>
      </w:r>
      <w:r>
        <w:rPr>
          <w:rFonts w:ascii="Times New Roman" w:eastAsia="Times New Roman" w:hAnsi="Times New Roman"/>
        </w:rPr>
        <w:t xml:space="preserve">var 3,4 milliarder i 2015, mot 5,6 milliarder i 2014. Nedgangen skyldtes særlig lavere driftsresultat i verftsindustri og annen transportmiddelindustri, men også i reparasjon og installasjon av maskiner og utstyr. </w:t>
      </w:r>
      <w:r w:rsidRPr="00F365E2">
        <w:rPr>
          <w:rFonts w:ascii="Times New Roman" w:eastAsia="Times New Roman" w:hAnsi="Times New Roman"/>
          <w:i/>
        </w:rPr>
        <w:t xml:space="preserve">Ikke-stedbunden industri </w:t>
      </w:r>
      <w:r w:rsidRPr="00F365E2">
        <w:rPr>
          <w:rFonts w:ascii="Times New Roman" w:eastAsia="Times New Roman" w:hAnsi="Times New Roman"/>
        </w:rPr>
        <w:t xml:space="preserve">er det samme aggregatet som </w:t>
      </w:r>
      <w:r w:rsidRPr="00F365E2">
        <w:rPr>
          <w:rFonts w:ascii="Times New Roman" w:eastAsia="Times New Roman" w:hAnsi="Times New Roman"/>
          <w:i/>
        </w:rPr>
        <w:t>ikke-stedbundne næringer</w:t>
      </w:r>
      <w:r w:rsidRPr="00F365E2">
        <w:rPr>
          <w:rFonts w:ascii="Times New Roman" w:eastAsia="Times New Roman" w:hAnsi="Times New Roman"/>
        </w:rPr>
        <w:t>, da alle næringene innenfor sistnevnte aggregat er klassifisert som industrinæringer. Driftsresultatet</w:t>
      </w:r>
      <w:r>
        <w:rPr>
          <w:rFonts w:ascii="Times New Roman" w:eastAsia="Times New Roman" w:hAnsi="Times New Roman"/>
        </w:rPr>
        <w:t xml:space="preserve"> for disse næringene samlet var 30 milliarder i 2015 mot 19 milliarder i 2014</w:t>
      </w:r>
      <w:r w:rsidRPr="00F365E2">
        <w:rPr>
          <w:rFonts w:ascii="Times New Roman" w:eastAsia="Times New Roman" w:hAnsi="Times New Roman"/>
        </w:rPr>
        <w:t>.</w:t>
      </w:r>
    </w:p>
    <w:p w14:paraId="788FBDC1" w14:textId="77777777" w:rsidR="009D6E11" w:rsidRDefault="009D6E11">
      <w:pPr>
        <w:spacing w:after="0"/>
        <w:rPr>
          <w:rFonts w:ascii="Times New Roman" w:eastAsia="Times New Roman" w:hAnsi="Times New Roman"/>
        </w:rPr>
      </w:pPr>
      <w:r>
        <w:rPr>
          <w:rFonts w:ascii="Times New Roman" w:eastAsia="Times New Roman" w:hAnsi="Times New Roman"/>
        </w:rPr>
        <w:br w:type="page"/>
      </w:r>
    </w:p>
    <w:p w14:paraId="43FED978" w14:textId="77777777" w:rsidR="009D6E11" w:rsidRDefault="009D6E11" w:rsidP="009D6E11">
      <w:pPr>
        <w:spacing w:after="0"/>
        <w:rPr>
          <w:rFonts w:ascii="Arial" w:eastAsia="Times New Roman" w:hAnsi="Arial" w:cs="Arial"/>
          <w:bCs/>
          <w:szCs w:val="24"/>
        </w:rPr>
      </w:pPr>
    </w:p>
    <w:p w14:paraId="55B4F378" w14:textId="77777777" w:rsidR="009D6E11" w:rsidRPr="004A5729" w:rsidRDefault="009D6E11" w:rsidP="005A1533">
      <w:pPr>
        <w:rPr>
          <w:rFonts w:ascii="Arial" w:eastAsia="Times New Roman" w:hAnsi="Arial" w:cs="Arial"/>
          <w:bCs/>
          <w:color w:val="7F7F7F"/>
          <w:szCs w:val="24"/>
        </w:rPr>
      </w:pPr>
      <w:r w:rsidRPr="004A5729">
        <w:rPr>
          <w:rFonts w:ascii="Arial" w:eastAsia="Times New Roman" w:hAnsi="Arial" w:cs="Arial"/>
          <w:bCs/>
          <w:szCs w:val="24"/>
        </w:rPr>
        <w:t>Tabell 6.</w:t>
      </w:r>
      <w:r w:rsidRPr="004A5729">
        <w:rPr>
          <w:rFonts w:ascii="Arial" w:eastAsia="Times New Roman" w:hAnsi="Arial" w:cs="Arial"/>
          <w:bCs/>
          <w:szCs w:val="24"/>
        </w:rPr>
        <w:fldChar w:fldCharType="begin"/>
      </w:r>
      <w:r w:rsidRPr="004A5729">
        <w:rPr>
          <w:rFonts w:ascii="Arial" w:eastAsia="Times New Roman" w:hAnsi="Arial" w:cs="Arial"/>
          <w:bCs/>
          <w:szCs w:val="24"/>
        </w:rPr>
        <w:instrText xml:space="preserve"> SEQ Tabell \* ARABIC \s 1 </w:instrText>
      </w:r>
      <w:r w:rsidRPr="004A5729">
        <w:rPr>
          <w:rFonts w:ascii="Arial" w:eastAsia="Times New Roman" w:hAnsi="Arial" w:cs="Arial"/>
          <w:bCs/>
          <w:szCs w:val="24"/>
        </w:rPr>
        <w:fldChar w:fldCharType="separate"/>
      </w:r>
      <w:r w:rsidR="000903B7">
        <w:rPr>
          <w:rFonts w:ascii="Arial" w:eastAsia="Times New Roman" w:hAnsi="Arial" w:cs="Arial"/>
          <w:bCs/>
          <w:noProof/>
          <w:szCs w:val="24"/>
        </w:rPr>
        <w:t>2</w:t>
      </w:r>
      <w:r w:rsidRPr="004A5729">
        <w:rPr>
          <w:rFonts w:ascii="Arial" w:eastAsia="Times New Roman" w:hAnsi="Arial" w:cs="Arial"/>
          <w:bCs/>
          <w:szCs w:val="24"/>
        </w:rPr>
        <w:fldChar w:fldCharType="end"/>
      </w:r>
      <w:r w:rsidRPr="004A5729">
        <w:rPr>
          <w:rFonts w:ascii="Arial" w:eastAsia="Times New Roman" w:hAnsi="Arial" w:cs="Arial"/>
          <w:bCs/>
          <w:szCs w:val="24"/>
        </w:rPr>
        <w:t xml:space="preserve"> Driftsresultat fastlandsbasert konkurranseutsatt industri</w:t>
      </w:r>
      <w:r>
        <w:rPr>
          <w:rFonts w:ascii="Arial" w:eastAsia="Times New Roman" w:hAnsi="Arial" w:cs="Arial"/>
          <w:bCs/>
          <w:szCs w:val="24"/>
        </w:rPr>
        <w:t>. Milliarder kroner</w:t>
      </w:r>
    </w:p>
    <w:tbl>
      <w:tblPr>
        <w:tblStyle w:val="StandardTabell"/>
        <w:tblW w:w="5074"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2449"/>
        <w:gridCol w:w="675"/>
        <w:gridCol w:w="676"/>
        <w:gridCol w:w="676"/>
        <w:gridCol w:w="676"/>
        <w:gridCol w:w="676"/>
        <w:gridCol w:w="674"/>
        <w:gridCol w:w="676"/>
        <w:gridCol w:w="676"/>
        <w:gridCol w:w="676"/>
        <w:gridCol w:w="674"/>
      </w:tblGrid>
      <w:tr w:rsidR="009D6E11" w:rsidRPr="00C5680C" w14:paraId="67EE03D0" w14:textId="77777777" w:rsidTr="00C5680C">
        <w:trPr>
          <w:trHeight w:val="265"/>
        </w:trPr>
        <w:tc>
          <w:tcPr>
            <w:tcW w:w="1331" w:type="pct"/>
            <w:tcBorders>
              <w:top w:val="single" w:sz="4" w:space="0" w:color="auto"/>
              <w:bottom w:val="single" w:sz="4" w:space="0" w:color="auto"/>
            </w:tcBorders>
            <w:noWrap/>
          </w:tcPr>
          <w:p w14:paraId="19ED31CA"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p>
        </w:tc>
        <w:tc>
          <w:tcPr>
            <w:tcW w:w="367" w:type="pct"/>
            <w:tcBorders>
              <w:top w:val="single" w:sz="4" w:space="0" w:color="auto"/>
              <w:bottom w:val="single" w:sz="4" w:space="0" w:color="auto"/>
            </w:tcBorders>
            <w:noWrap/>
          </w:tcPr>
          <w:p w14:paraId="3B9BDB2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2006</w:t>
            </w:r>
          </w:p>
        </w:tc>
        <w:tc>
          <w:tcPr>
            <w:tcW w:w="368" w:type="pct"/>
            <w:tcBorders>
              <w:top w:val="single" w:sz="4" w:space="0" w:color="auto"/>
              <w:bottom w:val="single" w:sz="4" w:space="0" w:color="auto"/>
            </w:tcBorders>
            <w:noWrap/>
          </w:tcPr>
          <w:p w14:paraId="6532B5D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2007</w:t>
            </w:r>
          </w:p>
        </w:tc>
        <w:tc>
          <w:tcPr>
            <w:tcW w:w="367" w:type="pct"/>
            <w:tcBorders>
              <w:top w:val="single" w:sz="4" w:space="0" w:color="auto"/>
              <w:bottom w:val="single" w:sz="4" w:space="0" w:color="auto"/>
            </w:tcBorders>
            <w:noWrap/>
          </w:tcPr>
          <w:p w14:paraId="6577CB8E"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2008</w:t>
            </w:r>
          </w:p>
        </w:tc>
        <w:tc>
          <w:tcPr>
            <w:tcW w:w="367" w:type="pct"/>
            <w:tcBorders>
              <w:top w:val="single" w:sz="4" w:space="0" w:color="auto"/>
              <w:bottom w:val="single" w:sz="4" w:space="0" w:color="auto"/>
            </w:tcBorders>
            <w:noWrap/>
          </w:tcPr>
          <w:p w14:paraId="3FC8F27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2009</w:t>
            </w:r>
          </w:p>
        </w:tc>
        <w:tc>
          <w:tcPr>
            <w:tcW w:w="367" w:type="pct"/>
            <w:tcBorders>
              <w:top w:val="single" w:sz="4" w:space="0" w:color="auto"/>
              <w:bottom w:val="single" w:sz="4" w:space="0" w:color="auto"/>
            </w:tcBorders>
            <w:noWrap/>
          </w:tcPr>
          <w:p w14:paraId="1B0B481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2010</w:t>
            </w:r>
          </w:p>
        </w:tc>
        <w:tc>
          <w:tcPr>
            <w:tcW w:w="366" w:type="pct"/>
            <w:tcBorders>
              <w:top w:val="single" w:sz="4" w:space="0" w:color="auto"/>
              <w:bottom w:val="single" w:sz="4" w:space="0" w:color="auto"/>
            </w:tcBorders>
            <w:noWrap/>
          </w:tcPr>
          <w:p w14:paraId="1AD9EB1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2011</w:t>
            </w:r>
          </w:p>
        </w:tc>
        <w:tc>
          <w:tcPr>
            <w:tcW w:w="367" w:type="pct"/>
            <w:tcBorders>
              <w:top w:val="single" w:sz="4" w:space="0" w:color="auto"/>
              <w:bottom w:val="single" w:sz="4" w:space="0" w:color="auto"/>
            </w:tcBorders>
            <w:noWrap/>
          </w:tcPr>
          <w:p w14:paraId="351D469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2012</w:t>
            </w:r>
          </w:p>
        </w:tc>
        <w:tc>
          <w:tcPr>
            <w:tcW w:w="367" w:type="pct"/>
            <w:tcBorders>
              <w:top w:val="single" w:sz="4" w:space="0" w:color="auto"/>
              <w:bottom w:val="single" w:sz="4" w:space="0" w:color="auto"/>
            </w:tcBorders>
            <w:noWrap/>
          </w:tcPr>
          <w:p w14:paraId="3F2A229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2013</w:t>
            </w:r>
          </w:p>
        </w:tc>
        <w:tc>
          <w:tcPr>
            <w:tcW w:w="367" w:type="pct"/>
            <w:tcBorders>
              <w:top w:val="single" w:sz="4" w:space="0" w:color="auto"/>
              <w:bottom w:val="single" w:sz="4" w:space="0" w:color="auto"/>
            </w:tcBorders>
            <w:noWrap/>
          </w:tcPr>
          <w:p w14:paraId="4E7EC25E" w14:textId="77777777"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2014*</w:t>
            </w:r>
          </w:p>
        </w:tc>
        <w:tc>
          <w:tcPr>
            <w:tcW w:w="366" w:type="pct"/>
            <w:tcBorders>
              <w:top w:val="single" w:sz="4" w:space="0" w:color="auto"/>
              <w:bottom w:val="single" w:sz="4" w:space="0" w:color="auto"/>
            </w:tcBorders>
            <w:noWrap/>
          </w:tcPr>
          <w:p w14:paraId="6FF3681D" w14:textId="77777777"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2015*</w:t>
            </w:r>
          </w:p>
        </w:tc>
      </w:tr>
      <w:tr w:rsidR="009D6E11" w:rsidRPr="00C5680C" w14:paraId="7B931EF2" w14:textId="77777777" w:rsidTr="00C5680C">
        <w:trPr>
          <w:trHeight w:val="265"/>
        </w:trPr>
        <w:tc>
          <w:tcPr>
            <w:tcW w:w="1331" w:type="pct"/>
            <w:tcBorders>
              <w:top w:val="single" w:sz="4" w:space="0" w:color="auto"/>
            </w:tcBorders>
            <w:noWrap/>
          </w:tcPr>
          <w:p w14:paraId="31153654" w14:textId="3F8BC22D"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Fastlandsbaserte konkurranseutsatte industri</w:t>
            </w:r>
            <w:r w:rsidR="00FE5660">
              <w:rPr>
                <w:rFonts w:ascii="Times New Roman" w:eastAsia="Times New Roman" w:hAnsi="Times New Roman"/>
                <w:color w:val="000000"/>
                <w:sz w:val="20"/>
                <w:szCs w:val="20"/>
              </w:rPr>
              <w:br/>
            </w:r>
          </w:p>
        </w:tc>
        <w:tc>
          <w:tcPr>
            <w:tcW w:w="367" w:type="pct"/>
            <w:tcBorders>
              <w:top w:val="single" w:sz="4" w:space="0" w:color="auto"/>
            </w:tcBorders>
            <w:noWrap/>
          </w:tcPr>
          <w:p w14:paraId="15D2005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41,1</w:t>
            </w:r>
          </w:p>
        </w:tc>
        <w:tc>
          <w:tcPr>
            <w:tcW w:w="368" w:type="pct"/>
            <w:tcBorders>
              <w:top w:val="single" w:sz="4" w:space="0" w:color="auto"/>
            </w:tcBorders>
            <w:noWrap/>
          </w:tcPr>
          <w:p w14:paraId="346402EA"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41,7</w:t>
            </w:r>
          </w:p>
        </w:tc>
        <w:tc>
          <w:tcPr>
            <w:tcW w:w="367" w:type="pct"/>
            <w:tcBorders>
              <w:top w:val="single" w:sz="4" w:space="0" w:color="auto"/>
            </w:tcBorders>
            <w:noWrap/>
          </w:tcPr>
          <w:p w14:paraId="7BD0A7C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38,2</w:t>
            </w:r>
          </w:p>
        </w:tc>
        <w:tc>
          <w:tcPr>
            <w:tcW w:w="367" w:type="pct"/>
            <w:tcBorders>
              <w:top w:val="single" w:sz="4" w:space="0" w:color="auto"/>
            </w:tcBorders>
            <w:noWrap/>
          </w:tcPr>
          <w:p w14:paraId="0EC10577"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18,1</w:t>
            </w:r>
          </w:p>
        </w:tc>
        <w:tc>
          <w:tcPr>
            <w:tcW w:w="367" w:type="pct"/>
            <w:tcBorders>
              <w:top w:val="single" w:sz="4" w:space="0" w:color="auto"/>
            </w:tcBorders>
            <w:noWrap/>
          </w:tcPr>
          <w:p w14:paraId="1DFB5211"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28,0</w:t>
            </w:r>
          </w:p>
        </w:tc>
        <w:tc>
          <w:tcPr>
            <w:tcW w:w="366" w:type="pct"/>
            <w:tcBorders>
              <w:top w:val="single" w:sz="4" w:space="0" w:color="auto"/>
            </w:tcBorders>
            <w:noWrap/>
          </w:tcPr>
          <w:p w14:paraId="4D88139E"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24,5</w:t>
            </w:r>
          </w:p>
        </w:tc>
        <w:tc>
          <w:tcPr>
            <w:tcW w:w="367" w:type="pct"/>
            <w:tcBorders>
              <w:top w:val="single" w:sz="4" w:space="0" w:color="auto"/>
            </w:tcBorders>
            <w:noWrap/>
          </w:tcPr>
          <w:p w14:paraId="78656C23"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23,4</w:t>
            </w:r>
          </w:p>
        </w:tc>
        <w:tc>
          <w:tcPr>
            <w:tcW w:w="367" w:type="pct"/>
            <w:tcBorders>
              <w:top w:val="single" w:sz="4" w:space="0" w:color="auto"/>
            </w:tcBorders>
            <w:noWrap/>
          </w:tcPr>
          <w:p w14:paraId="65F26F73"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22,4</w:t>
            </w:r>
          </w:p>
        </w:tc>
        <w:tc>
          <w:tcPr>
            <w:tcW w:w="367" w:type="pct"/>
            <w:tcBorders>
              <w:top w:val="single" w:sz="4" w:space="0" w:color="auto"/>
            </w:tcBorders>
            <w:noWrap/>
          </w:tcPr>
          <w:p w14:paraId="20AA8EF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32,4</w:t>
            </w:r>
          </w:p>
        </w:tc>
        <w:tc>
          <w:tcPr>
            <w:tcW w:w="366" w:type="pct"/>
            <w:tcBorders>
              <w:top w:val="single" w:sz="4" w:space="0" w:color="auto"/>
            </w:tcBorders>
            <w:noWrap/>
          </w:tcPr>
          <w:p w14:paraId="4A3C04D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42,9</w:t>
            </w:r>
          </w:p>
        </w:tc>
      </w:tr>
      <w:tr w:rsidR="009D6E11" w:rsidRPr="00C5680C" w14:paraId="22D5CA08" w14:textId="77777777" w:rsidTr="00C5680C">
        <w:trPr>
          <w:trHeight w:val="265"/>
        </w:trPr>
        <w:tc>
          <w:tcPr>
            <w:tcW w:w="1331" w:type="pct"/>
            <w:noWrap/>
          </w:tcPr>
          <w:p w14:paraId="56171E80" w14:textId="6FA5012D"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 xml:space="preserve">    Ressursbaserte industrinæringer</w:t>
            </w:r>
            <w:r w:rsidR="00FE5660">
              <w:rPr>
                <w:rFonts w:ascii="Times New Roman" w:eastAsia="Times New Roman" w:hAnsi="Times New Roman"/>
                <w:color w:val="000000"/>
                <w:sz w:val="20"/>
                <w:szCs w:val="20"/>
              </w:rPr>
              <w:br/>
            </w:r>
          </w:p>
        </w:tc>
        <w:tc>
          <w:tcPr>
            <w:tcW w:w="367" w:type="pct"/>
            <w:noWrap/>
          </w:tcPr>
          <w:p w14:paraId="4FFA069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17,6</w:t>
            </w:r>
          </w:p>
        </w:tc>
        <w:tc>
          <w:tcPr>
            <w:tcW w:w="368" w:type="pct"/>
            <w:noWrap/>
          </w:tcPr>
          <w:p w14:paraId="45DCA76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14,5</w:t>
            </w:r>
          </w:p>
        </w:tc>
        <w:tc>
          <w:tcPr>
            <w:tcW w:w="367" w:type="pct"/>
            <w:noWrap/>
          </w:tcPr>
          <w:p w14:paraId="3D0DEEC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9,9</w:t>
            </w:r>
          </w:p>
        </w:tc>
        <w:tc>
          <w:tcPr>
            <w:tcW w:w="367" w:type="pct"/>
            <w:noWrap/>
          </w:tcPr>
          <w:p w14:paraId="5A8D5CF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-3,3</w:t>
            </w:r>
          </w:p>
        </w:tc>
        <w:tc>
          <w:tcPr>
            <w:tcW w:w="367" w:type="pct"/>
            <w:noWrap/>
          </w:tcPr>
          <w:p w14:paraId="7C357847"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5,0</w:t>
            </w:r>
          </w:p>
        </w:tc>
        <w:tc>
          <w:tcPr>
            <w:tcW w:w="366" w:type="pct"/>
            <w:noWrap/>
          </w:tcPr>
          <w:p w14:paraId="2A542D3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3,1</w:t>
            </w:r>
          </w:p>
        </w:tc>
        <w:tc>
          <w:tcPr>
            <w:tcW w:w="367" w:type="pct"/>
            <w:noWrap/>
          </w:tcPr>
          <w:p w14:paraId="7A5830E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3,0</w:t>
            </w:r>
          </w:p>
        </w:tc>
        <w:tc>
          <w:tcPr>
            <w:tcW w:w="367" w:type="pct"/>
            <w:noWrap/>
          </w:tcPr>
          <w:p w14:paraId="245A2E5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1,5</w:t>
            </w:r>
          </w:p>
        </w:tc>
        <w:tc>
          <w:tcPr>
            <w:tcW w:w="367" w:type="pct"/>
            <w:noWrap/>
          </w:tcPr>
          <w:p w14:paraId="32B1BB91"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7,3</w:t>
            </w:r>
          </w:p>
        </w:tc>
        <w:tc>
          <w:tcPr>
            <w:tcW w:w="366" w:type="pct"/>
            <w:noWrap/>
          </w:tcPr>
          <w:p w14:paraId="6775875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9,7</w:t>
            </w:r>
          </w:p>
        </w:tc>
      </w:tr>
      <w:tr w:rsidR="009D6E11" w:rsidRPr="00C5680C" w14:paraId="24E83B2B" w14:textId="77777777" w:rsidTr="00C5680C">
        <w:trPr>
          <w:trHeight w:val="265"/>
        </w:trPr>
        <w:tc>
          <w:tcPr>
            <w:tcW w:w="1331" w:type="pct"/>
            <w:noWrap/>
          </w:tcPr>
          <w:p w14:paraId="7EB45BEF" w14:textId="282B0A78"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 xml:space="preserve">    Leverandørvirksomhet industri</w:t>
            </w:r>
            <w:r w:rsidR="00FE5660">
              <w:rPr>
                <w:rFonts w:ascii="Times New Roman" w:eastAsia="Times New Roman" w:hAnsi="Times New Roman"/>
                <w:color w:val="000000"/>
                <w:sz w:val="20"/>
                <w:szCs w:val="20"/>
              </w:rPr>
              <w:br/>
            </w:r>
          </w:p>
        </w:tc>
        <w:tc>
          <w:tcPr>
            <w:tcW w:w="367" w:type="pct"/>
            <w:noWrap/>
          </w:tcPr>
          <w:p w14:paraId="6837E78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5,0</w:t>
            </w:r>
          </w:p>
        </w:tc>
        <w:tc>
          <w:tcPr>
            <w:tcW w:w="368" w:type="pct"/>
            <w:noWrap/>
          </w:tcPr>
          <w:p w14:paraId="43B9B15B"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2,4</w:t>
            </w:r>
          </w:p>
        </w:tc>
        <w:tc>
          <w:tcPr>
            <w:tcW w:w="367" w:type="pct"/>
            <w:noWrap/>
          </w:tcPr>
          <w:p w14:paraId="45D5DA4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0,5</w:t>
            </w:r>
          </w:p>
        </w:tc>
        <w:tc>
          <w:tcPr>
            <w:tcW w:w="367" w:type="pct"/>
            <w:noWrap/>
          </w:tcPr>
          <w:p w14:paraId="3824D1E8"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1,8</w:t>
            </w:r>
          </w:p>
        </w:tc>
        <w:tc>
          <w:tcPr>
            <w:tcW w:w="367" w:type="pct"/>
            <w:noWrap/>
          </w:tcPr>
          <w:p w14:paraId="77957683"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3,1</w:t>
            </w:r>
          </w:p>
        </w:tc>
        <w:tc>
          <w:tcPr>
            <w:tcW w:w="366" w:type="pct"/>
            <w:noWrap/>
          </w:tcPr>
          <w:p w14:paraId="3BF07980"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2,4</w:t>
            </w:r>
          </w:p>
        </w:tc>
        <w:tc>
          <w:tcPr>
            <w:tcW w:w="367" w:type="pct"/>
            <w:noWrap/>
          </w:tcPr>
          <w:p w14:paraId="1371EB5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2,8</w:t>
            </w:r>
          </w:p>
        </w:tc>
        <w:tc>
          <w:tcPr>
            <w:tcW w:w="367" w:type="pct"/>
            <w:noWrap/>
          </w:tcPr>
          <w:p w14:paraId="145EE35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3,7</w:t>
            </w:r>
          </w:p>
        </w:tc>
        <w:tc>
          <w:tcPr>
            <w:tcW w:w="367" w:type="pct"/>
            <w:noWrap/>
          </w:tcPr>
          <w:p w14:paraId="17436B6D"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5,6</w:t>
            </w:r>
          </w:p>
        </w:tc>
        <w:tc>
          <w:tcPr>
            <w:tcW w:w="366" w:type="pct"/>
            <w:noWrap/>
          </w:tcPr>
          <w:p w14:paraId="107CF5A3"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3,4</w:t>
            </w:r>
          </w:p>
        </w:tc>
      </w:tr>
      <w:tr w:rsidR="009D6E11" w:rsidRPr="00C5680C" w14:paraId="6AA2D82C" w14:textId="77777777" w:rsidTr="00C5680C">
        <w:trPr>
          <w:trHeight w:val="265"/>
        </w:trPr>
        <w:tc>
          <w:tcPr>
            <w:tcW w:w="1331" w:type="pct"/>
            <w:noWrap/>
          </w:tcPr>
          <w:p w14:paraId="7C32A900" w14:textId="77777777" w:rsidR="009D6E11" w:rsidRPr="00C5680C" w:rsidRDefault="009D6E11" w:rsidP="008D32BA">
            <w:pPr>
              <w:autoSpaceDE w:val="0"/>
              <w:autoSpaceDN w:val="0"/>
              <w:adjustRightInd w:val="0"/>
              <w:spacing w:after="0"/>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 xml:space="preserve">    Ikke-stedbundne industrinæringer</w:t>
            </w:r>
          </w:p>
        </w:tc>
        <w:tc>
          <w:tcPr>
            <w:tcW w:w="367" w:type="pct"/>
            <w:noWrap/>
          </w:tcPr>
          <w:p w14:paraId="3E8A50A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18,5</w:t>
            </w:r>
          </w:p>
        </w:tc>
        <w:tc>
          <w:tcPr>
            <w:tcW w:w="368" w:type="pct"/>
            <w:noWrap/>
          </w:tcPr>
          <w:p w14:paraId="5B45B11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24,8</w:t>
            </w:r>
          </w:p>
        </w:tc>
        <w:tc>
          <w:tcPr>
            <w:tcW w:w="367" w:type="pct"/>
            <w:noWrap/>
          </w:tcPr>
          <w:p w14:paraId="1BA6F089"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27,8</w:t>
            </w:r>
          </w:p>
        </w:tc>
        <w:tc>
          <w:tcPr>
            <w:tcW w:w="367" w:type="pct"/>
            <w:noWrap/>
          </w:tcPr>
          <w:p w14:paraId="6E6667F2"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19,7</w:t>
            </w:r>
          </w:p>
        </w:tc>
        <w:tc>
          <w:tcPr>
            <w:tcW w:w="367" w:type="pct"/>
            <w:noWrap/>
          </w:tcPr>
          <w:p w14:paraId="69AEA73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20,0</w:t>
            </w:r>
          </w:p>
        </w:tc>
        <w:tc>
          <w:tcPr>
            <w:tcW w:w="366" w:type="pct"/>
            <w:noWrap/>
          </w:tcPr>
          <w:p w14:paraId="6C53114C"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19,0</w:t>
            </w:r>
          </w:p>
        </w:tc>
        <w:tc>
          <w:tcPr>
            <w:tcW w:w="367" w:type="pct"/>
            <w:noWrap/>
          </w:tcPr>
          <w:p w14:paraId="49CB82A6"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17,7</w:t>
            </w:r>
          </w:p>
        </w:tc>
        <w:tc>
          <w:tcPr>
            <w:tcW w:w="367" w:type="pct"/>
            <w:noWrap/>
          </w:tcPr>
          <w:p w14:paraId="1F6005D4"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17,2</w:t>
            </w:r>
          </w:p>
        </w:tc>
        <w:tc>
          <w:tcPr>
            <w:tcW w:w="367" w:type="pct"/>
            <w:noWrap/>
          </w:tcPr>
          <w:p w14:paraId="41CC6298"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19,4</w:t>
            </w:r>
          </w:p>
        </w:tc>
        <w:tc>
          <w:tcPr>
            <w:tcW w:w="366" w:type="pct"/>
            <w:noWrap/>
          </w:tcPr>
          <w:p w14:paraId="58EF2D1F" w14:textId="77777777" w:rsidR="009D6E11" w:rsidRPr="00C5680C" w:rsidRDefault="009D6E11" w:rsidP="008D32BA">
            <w:pPr>
              <w:autoSpaceDE w:val="0"/>
              <w:autoSpaceDN w:val="0"/>
              <w:adjustRightInd w:val="0"/>
              <w:spacing w:after="0"/>
              <w:jc w:val="right"/>
              <w:rPr>
                <w:rFonts w:ascii="Times New Roman" w:eastAsia="Times New Roman" w:hAnsi="Times New Roman"/>
                <w:color w:val="000000"/>
                <w:sz w:val="20"/>
                <w:szCs w:val="20"/>
              </w:rPr>
            </w:pPr>
            <w:r w:rsidRPr="00C5680C">
              <w:rPr>
                <w:rFonts w:ascii="Times New Roman" w:eastAsia="Times New Roman" w:hAnsi="Times New Roman"/>
                <w:color w:val="000000"/>
                <w:sz w:val="20"/>
                <w:szCs w:val="20"/>
              </w:rPr>
              <w:t>29,8</w:t>
            </w:r>
          </w:p>
        </w:tc>
      </w:tr>
    </w:tbl>
    <w:p w14:paraId="044C0EFE" w14:textId="77777777" w:rsidR="009D6E11" w:rsidRPr="00903286" w:rsidRDefault="009D6E11" w:rsidP="009D6E11">
      <w:pPr>
        <w:spacing w:after="0"/>
        <w:rPr>
          <w:sz w:val="20"/>
        </w:rPr>
      </w:pPr>
      <w:r w:rsidRPr="00903286">
        <w:rPr>
          <w:sz w:val="20"/>
        </w:rPr>
        <w:t>*Foreløpige tall</w:t>
      </w:r>
    </w:p>
    <w:p w14:paraId="74E7D52D" w14:textId="77777777" w:rsidR="009D6E11" w:rsidRDefault="009D6E11" w:rsidP="009D6E11">
      <w:pPr>
        <w:pStyle w:val="tabell-noter"/>
        <w:spacing w:before="0" w:after="0"/>
      </w:pPr>
      <w:r w:rsidRPr="00F365E2">
        <w:rPr>
          <w:vertAlign w:val="superscript"/>
        </w:rPr>
        <w:t>1</w:t>
      </w:r>
      <w:r w:rsidRPr="00F365E2">
        <w:t xml:space="preserve"> Fastlandsbasert konkurranseutsatt industri omfatter alle industrinæringer utenom næringen </w:t>
      </w:r>
      <w:r w:rsidRPr="00F365E2">
        <w:rPr>
          <w:i/>
        </w:rPr>
        <w:t xml:space="preserve">Trykking og reproduksjon av innspilte opptak. </w:t>
      </w:r>
      <w:r w:rsidRPr="00F365E2">
        <w:t xml:space="preserve">For oversikt over næringene i aggregatet, se boks </w:t>
      </w:r>
      <w:r>
        <w:t>6</w:t>
      </w:r>
      <w:r w:rsidRPr="00F365E2">
        <w:t>.1.</w:t>
      </w:r>
    </w:p>
    <w:p w14:paraId="7CEA144F" w14:textId="77777777" w:rsidR="009D6E11" w:rsidRPr="00F365E2" w:rsidRDefault="009D6E11" w:rsidP="00E34087">
      <w:pPr>
        <w:pStyle w:val="Kilde"/>
        <w:spacing w:before="120"/>
        <w:rPr>
          <w:noProof/>
        </w:rPr>
      </w:pPr>
      <w:r>
        <w:rPr>
          <w:noProof/>
        </w:rPr>
        <w:t>Kilde: Statistisk sentralbyrå</w:t>
      </w:r>
    </w:p>
    <w:p w14:paraId="70E63FED" w14:textId="77777777" w:rsidR="009D6E11" w:rsidRDefault="009D6E11" w:rsidP="009D6E11">
      <w:pPr>
        <w:rPr>
          <w:rFonts w:ascii="Times New Roman" w:eastAsia="Times New Roman" w:hAnsi="Times New Roman"/>
        </w:rPr>
      </w:pPr>
      <w:r w:rsidRPr="00F365E2">
        <w:rPr>
          <w:rFonts w:ascii="Times New Roman" w:eastAsia="Times New Roman" w:hAnsi="Times New Roman"/>
        </w:rPr>
        <w:t xml:space="preserve">Figur </w:t>
      </w:r>
      <w:r>
        <w:rPr>
          <w:rFonts w:ascii="Times New Roman" w:eastAsia="Times New Roman" w:hAnsi="Times New Roman"/>
        </w:rPr>
        <w:t xml:space="preserve">6.2 </w:t>
      </w:r>
      <w:r w:rsidRPr="00F365E2">
        <w:rPr>
          <w:rFonts w:ascii="Times New Roman" w:eastAsia="Times New Roman" w:hAnsi="Times New Roman"/>
        </w:rPr>
        <w:t xml:space="preserve">viser lønnskostnadsandelen til </w:t>
      </w:r>
      <w:r w:rsidRPr="00F365E2">
        <w:rPr>
          <w:rFonts w:ascii="Times New Roman" w:eastAsia="Times New Roman" w:hAnsi="Times New Roman"/>
          <w:i/>
        </w:rPr>
        <w:t>fastlandsbasert konkurranseutsatt industri.</w:t>
      </w:r>
      <w:r>
        <w:rPr>
          <w:rFonts w:ascii="Times New Roman" w:eastAsia="Times New Roman" w:hAnsi="Times New Roman"/>
        </w:rPr>
        <w:t xml:space="preserve"> </w:t>
      </w:r>
      <w:r w:rsidRPr="00F365E2">
        <w:rPr>
          <w:rFonts w:ascii="Times New Roman" w:eastAsia="Times New Roman" w:hAnsi="Times New Roman"/>
        </w:rPr>
        <w:t>Lønnskostnadsandelen i ressursb</w:t>
      </w:r>
      <w:r>
        <w:rPr>
          <w:rFonts w:ascii="Times New Roman" w:eastAsia="Times New Roman" w:hAnsi="Times New Roman"/>
        </w:rPr>
        <w:t>aserte industrinæringer lå på 81 prosent i 2015, ned fra 85 prosent i 2014. Gjennomsnittet 2011-2015 var 90</w:t>
      </w:r>
      <w:r w:rsidRPr="00F365E2">
        <w:rPr>
          <w:rFonts w:ascii="Times New Roman" w:eastAsia="Times New Roman" w:hAnsi="Times New Roman"/>
        </w:rPr>
        <w:t xml:space="preserve"> prosent. </w:t>
      </w:r>
      <w:r>
        <w:rPr>
          <w:rFonts w:ascii="Times New Roman" w:eastAsia="Times New Roman" w:hAnsi="Times New Roman"/>
        </w:rPr>
        <w:t>Lønnskostnadsandelen i trelast og trevareindustri steg noe mellom 2014 og 2015, mens andelen falt for resten av næringene.</w:t>
      </w:r>
    </w:p>
    <w:p w14:paraId="4C2F4CB3" w14:textId="77777777" w:rsidR="009D6E11" w:rsidRPr="00F365E2" w:rsidRDefault="009D6E11" w:rsidP="009D6E11">
      <w:pPr>
        <w:rPr>
          <w:rFonts w:ascii="Times New Roman" w:eastAsia="Times New Roman" w:hAnsi="Times New Roman"/>
          <w:noProof/>
        </w:rPr>
      </w:pPr>
      <w:r w:rsidRPr="00F365E2">
        <w:rPr>
          <w:rFonts w:ascii="Times New Roman" w:eastAsia="Times New Roman" w:hAnsi="Times New Roman"/>
        </w:rPr>
        <w:t>Industrinæringene i leverandørvirksomhet hadde en</w:t>
      </w:r>
      <w:r>
        <w:rPr>
          <w:rFonts w:ascii="Times New Roman" w:eastAsia="Times New Roman" w:hAnsi="Times New Roman"/>
        </w:rPr>
        <w:t xml:space="preserve"> lønnskostnadsandel på 91 prosent i 2015, mot 86 prosent i 2014. Gjennoms</w:t>
      </w:r>
      <w:r w:rsidRPr="00F365E2">
        <w:rPr>
          <w:rFonts w:ascii="Times New Roman" w:eastAsia="Times New Roman" w:hAnsi="Times New Roman"/>
        </w:rPr>
        <w:t>nittet</w:t>
      </w:r>
      <w:r>
        <w:rPr>
          <w:rFonts w:ascii="Times New Roman" w:eastAsia="Times New Roman" w:hAnsi="Times New Roman"/>
        </w:rPr>
        <w:t xml:space="preserve"> de 5 siste årene, fra 2011 til 2015, var 90</w:t>
      </w:r>
      <w:r w:rsidRPr="00F365E2">
        <w:rPr>
          <w:rFonts w:ascii="Times New Roman" w:eastAsia="Times New Roman" w:hAnsi="Times New Roman"/>
        </w:rPr>
        <w:t xml:space="preserve"> p</w:t>
      </w:r>
      <w:r>
        <w:rPr>
          <w:rFonts w:ascii="Times New Roman" w:eastAsia="Times New Roman" w:hAnsi="Times New Roman"/>
        </w:rPr>
        <w:t>rosent. Lønnskostnadsandelen</w:t>
      </w:r>
      <w:r w:rsidRPr="00F365E2">
        <w:rPr>
          <w:rFonts w:ascii="Times New Roman" w:eastAsia="Times New Roman" w:hAnsi="Times New Roman"/>
        </w:rPr>
        <w:t xml:space="preserve"> </w:t>
      </w:r>
      <w:r>
        <w:rPr>
          <w:rFonts w:ascii="Times New Roman" w:eastAsia="Times New Roman" w:hAnsi="Times New Roman"/>
        </w:rPr>
        <w:t>økte i både verftsindustri og annen transportmiddelindustri og i reparasjon og installasjon av maskiner og utstyr.</w:t>
      </w:r>
    </w:p>
    <w:p w14:paraId="4D9E548E" w14:textId="77777777" w:rsidR="009D6E11" w:rsidRPr="00F365E2" w:rsidRDefault="009D6E11" w:rsidP="009D6E11">
      <w:pPr>
        <w:spacing w:after="0"/>
        <w:rPr>
          <w:rFonts w:ascii="Times New Roman" w:eastAsia="Times New Roman" w:hAnsi="Times New Roman"/>
        </w:rPr>
      </w:pPr>
    </w:p>
    <w:p w14:paraId="4E1EAA25" w14:textId="77777777" w:rsidR="009D6E11" w:rsidRPr="00F365E2" w:rsidRDefault="009D6E11" w:rsidP="009D6E11">
      <w:pPr>
        <w:rPr>
          <w:rFonts w:ascii="Times New Roman" w:eastAsia="Times New Roman" w:hAnsi="Times New Roman"/>
        </w:rPr>
      </w:pPr>
      <w:r>
        <w:rPr>
          <w:rFonts w:ascii="Times New Roman" w:eastAsia="Times New Roman" w:hAnsi="Times New Roman"/>
          <w:noProof/>
        </w:rPr>
        <w:drawing>
          <wp:inline distT="0" distB="0" distL="0" distR="0" wp14:anchorId="7453E655" wp14:editId="51B8435D">
            <wp:extent cx="2667000" cy="2533650"/>
            <wp:effectExtent l="0" t="0" r="0" b="0"/>
            <wp:docPr id="81" name="Bilde 81" descr="C:\Users\nba\AppData\Local\Microsoft\Windows\Temporary Internet Files\Content.Outlook\PA0J27GI\v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ba\AppData\Local\Microsoft\Windows\Temporary Internet Files\Content.Outlook\PA0J27GI\v6-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2533650"/>
                    </a:xfrm>
                    <a:prstGeom prst="rect">
                      <a:avLst/>
                    </a:prstGeom>
                    <a:noFill/>
                    <a:ln>
                      <a:noFill/>
                    </a:ln>
                  </pic:spPr>
                </pic:pic>
              </a:graphicData>
            </a:graphic>
          </wp:inline>
        </w:drawing>
      </w:r>
    </w:p>
    <w:p w14:paraId="09723020" w14:textId="77777777" w:rsidR="009D6E11" w:rsidRPr="00492A87" w:rsidRDefault="009D6E11" w:rsidP="009D6E11">
      <w:pPr>
        <w:spacing w:after="0"/>
        <w:rPr>
          <w:rFonts w:ascii="Arial" w:eastAsia="Times New Roman" w:hAnsi="Arial" w:cs="Arial"/>
          <w:bCs/>
          <w:szCs w:val="24"/>
        </w:rPr>
      </w:pPr>
      <w:r w:rsidRPr="00492A87">
        <w:rPr>
          <w:rFonts w:ascii="Arial" w:eastAsia="Times New Roman" w:hAnsi="Arial" w:cs="Arial"/>
          <w:bCs/>
          <w:szCs w:val="24"/>
        </w:rPr>
        <w:t>Figur 6.</w:t>
      </w:r>
      <w:r w:rsidRPr="00492A87">
        <w:rPr>
          <w:rFonts w:ascii="Arial" w:eastAsia="Times New Roman" w:hAnsi="Arial" w:cs="Arial"/>
          <w:bCs/>
          <w:szCs w:val="24"/>
        </w:rPr>
        <w:fldChar w:fldCharType="begin"/>
      </w:r>
      <w:r w:rsidRPr="00492A87">
        <w:rPr>
          <w:rFonts w:ascii="Arial" w:eastAsia="Times New Roman" w:hAnsi="Arial" w:cs="Arial"/>
          <w:bCs/>
          <w:szCs w:val="24"/>
        </w:rPr>
        <w:instrText xml:space="preserve"> SEQ Figur \* ARABIC \s 1 </w:instrText>
      </w:r>
      <w:r w:rsidRPr="00492A87">
        <w:rPr>
          <w:rFonts w:ascii="Arial" w:eastAsia="Times New Roman" w:hAnsi="Arial" w:cs="Arial"/>
          <w:bCs/>
          <w:szCs w:val="24"/>
        </w:rPr>
        <w:fldChar w:fldCharType="separate"/>
      </w:r>
      <w:r w:rsidR="000903B7">
        <w:rPr>
          <w:rFonts w:ascii="Arial" w:eastAsia="Times New Roman" w:hAnsi="Arial" w:cs="Arial"/>
          <w:bCs/>
          <w:noProof/>
          <w:szCs w:val="24"/>
        </w:rPr>
        <w:t>2</w:t>
      </w:r>
      <w:r w:rsidRPr="00492A87">
        <w:rPr>
          <w:rFonts w:ascii="Arial" w:eastAsia="Times New Roman" w:hAnsi="Arial" w:cs="Arial"/>
          <w:bCs/>
          <w:szCs w:val="24"/>
        </w:rPr>
        <w:fldChar w:fldCharType="end"/>
      </w:r>
      <w:r w:rsidRPr="00492A87">
        <w:rPr>
          <w:rFonts w:ascii="Arial" w:eastAsia="Times New Roman" w:hAnsi="Arial" w:cs="Arial"/>
          <w:bCs/>
          <w:szCs w:val="24"/>
        </w:rPr>
        <w:t xml:space="preserve"> Lønnskostnader i prosent av faktorinntekt for fastlandbasert konkurranseutsatt industri</w:t>
      </w:r>
    </w:p>
    <w:p w14:paraId="7CACF790" w14:textId="77777777" w:rsidR="009D6E11" w:rsidRPr="00F365E2" w:rsidRDefault="009D6E11" w:rsidP="009D6E11">
      <w:pPr>
        <w:pStyle w:val="Kilde"/>
      </w:pPr>
      <w:r w:rsidRPr="00F365E2">
        <w:t>*Foreløpige tall</w:t>
      </w:r>
    </w:p>
    <w:p w14:paraId="12A25B82" w14:textId="77777777" w:rsidR="009D6E11" w:rsidRDefault="009D6E11" w:rsidP="009D6E11">
      <w:pPr>
        <w:pStyle w:val="Kilde"/>
      </w:pPr>
      <w:r w:rsidRPr="00F365E2">
        <w:t>Kilde: Statistisk sentralbyrå</w:t>
      </w:r>
    </w:p>
    <w:p w14:paraId="799D3801" w14:textId="77777777" w:rsidR="009D6E11" w:rsidRDefault="009D6E11" w:rsidP="009D6E11">
      <w:pPr>
        <w:spacing w:after="0"/>
        <w:rPr>
          <w:rFonts w:ascii="Times New Roman" w:eastAsia="Times New Roman" w:hAnsi="Times New Roman"/>
          <w:color w:val="D9D9D9" w:themeColor="background1" w:themeShade="D9"/>
        </w:rPr>
      </w:pPr>
      <w:r>
        <w:rPr>
          <w:rFonts w:ascii="Times New Roman" w:eastAsia="Times New Roman" w:hAnsi="Times New Roman"/>
          <w:color w:val="D9D9D9" w:themeColor="background1" w:themeShade="D9"/>
        </w:rPr>
        <w:br w:type="page"/>
      </w:r>
    </w:p>
    <w:p w14:paraId="1F7A7DE5" w14:textId="77777777" w:rsidR="009D6E11" w:rsidRPr="00F365E2" w:rsidRDefault="009D6E11" w:rsidP="009D6E11">
      <w:pPr>
        <w:rPr>
          <w:rFonts w:ascii="Times New Roman" w:eastAsia="Times New Roman" w:hAnsi="Times New Roman"/>
          <w:color w:val="D9D9D9" w:themeColor="background1" w:themeShade="D9"/>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985"/>
        <w:gridCol w:w="1984"/>
      </w:tblGrid>
      <w:tr w:rsidR="009D6E11" w:rsidRPr="00F365E2" w14:paraId="4FECF1D3" w14:textId="77777777" w:rsidTr="008D32BA">
        <w:tc>
          <w:tcPr>
            <w:tcW w:w="9322" w:type="dxa"/>
            <w:gridSpan w:val="3"/>
          </w:tcPr>
          <w:p w14:paraId="393C73AA" w14:textId="77777777" w:rsidR="009D6E11" w:rsidRPr="00C5680C" w:rsidRDefault="009D6E11" w:rsidP="008D32BA">
            <w:pPr>
              <w:spacing w:after="0"/>
              <w:jc w:val="center"/>
              <w:rPr>
                <w:rFonts w:ascii="Arial" w:eastAsia="Times New Roman" w:hAnsi="Arial" w:cs="Arial"/>
                <w:b/>
              </w:rPr>
            </w:pPr>
            <w:r w:rsidRPr="00C5680C">
              <w:rPr>
                <w:rFonts w:ascii="Arial" w:eastAsia="Times New Roman" w:hAnsi="Arial" w:cs="Arial"/>
                <w:b/>
              </w:rPr>
              <w:t>Boks 6.1 Fastlandsbaserte konkurranseutsatte næringer</w:t>
            </w:r>
          </w:p>
          <w:p w14:paraId="5F2E0072" w14:textId="77777777" w:rsidR="009D6E11" w:rsidRPr="00F365E2" w:rsidRDefault="009D6E11" w:rsidP="008D32BA">
            <w:pPr>
              <w:spacing w:after="0"/>
              <w:rPr>
                <w:rFonts w:ascii="Times New Roman" w:eastAsia="Times New Roman" w:hAnsi="Times New Roman"/>
                <w:szCs w:val="24"/>
              </w:rPr>
            </w:pPr>
          </w:p>
          <w:p w14:paraId="02D3FE65" w14:textId="45D4A42B"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Konkurranseutsatte næringer er definert som næringer der summen av eksportandel av bruttoproduktet i næringen lagt sammen med importandel av konsum av produkter i næringen overstiger 50 prosent. De konkurranseutsatte næringene er inndelt i ressursbaserte næringer, leverandørvirksomhet og ikke-stedbundne næringer. Ressursbaserte næringer er definert ved at de er avhengig</w:t>
            </w:r>
            <w:r>
              <w:rPr>
                <w:rFonts w:ascii="Times New Roman" w:eastAsia="Times New Roman" w:hAnsi="Times New Roman"/>
                <w:szCs w:val="24"/>
              </w:rPr>
              <w:t>e</w:t>
            </w:r>
            <w:r w:rsidRPr="00F365E2">
              <w:rPr>
                <w:rFonts w:ascii="Times New Roman" w:eastAsia="Times New Roman" w:hAnsi="Times New Roman"/>
                <w:szCs w:val="24"/>
              </w:rPr>
              <w:t xml:space="preserve"> av naturressurser til produksjon, leverandørvirksomhet begrenset ved at de leverer mye til petroleumsvirksomhet innenlands og utenlands, og ikke-stedbundne næringer er konkurranseutsatte næringer som ikke </w:t>
            </w:r>
            <w:r>
              <w:rPr>
                <w:rFonts w:ascii="Times New Roman" w:eastAsia="Times New Roman" w:hAnsi="Times New Roman"/>
                <w:szCs w:val="24"/>
              </w:rPr>
              <w:t xml:space="preserve">er </w:t>
            </w:r>
            <w:r w:rsidRPr="00F365E2">
              <w:rPr>
                <w:rFonts w:ascii="Times New Roman" w:eastAsia="Times New Roman" w:hAnsi="Times New Roman"/>
                <w:szCs w:val="24"/>
              </w:rPr>
              <w:t>avhengig</w:t>
            </w:r>
            <w:r>
              <w:rPr>
                <w:rFonts w:ascii="Times New Roman" w:eastAsia="Times New Roman" w:hAnsi="Times New Roman"/>
                <w:szCs w:val="24"/>
              </w:rPr>
              <w:t>e</w:t>
            </w:r>
            <w:r w:rsidR="005A1533">
              <w:rPr>
                <w:rFonts w:ascii="Times New Roman" w:eastAsia="Times New Roman" w:hAnsi="Times New Roman"/>
                <w:szCs w:val="24"/>
              </w:rPr>
              <w:t xml:space="preserve"> av norske naturressurser.</w:t>
            </w:r>
            <w:r w:rsidRPr="00F365E2">
              <w:rPr>
                <w:rFonts w:ascii="Times New Roman" w:eastAsia="Times New Roman" w:hAnsi="Times New Roman"/>
                <w:szCs w:val="24"/>
              </w:rPr>
              <w:t xml:space="preserve"> Inndelingen består av følgende næringer:</w:t>
            </w:r>
          </w:p>
          <w:p w14:paraId="19D3082A" w14:textId="77777777" w:rsidR="009D6E11" w:rsidRPr="00F365E2" w:rsidRDefault="009D6E11" w:rsidP="008D32BA">
            <w:pPr>
              <w:spacing w:after="0"/>
              <w:jc w:val="center"/>
              <w:rPr>
                <w:rFonts w:ascii="Times New Roman" w:eastAsia="Times New Roman" w:hAnsi="Times New Roman"/>
                <w:b/>
              </w:rPr>
            </w:pPr>
          </w:p>
        </w:tc>
      </w:tr>
      <w:tr w:rsidR="009D6E11" w:rsidRPr="00F365E2" w14:paraId="5093030B" w14:textId="77777777" w:rsidTr="008D32BA">
        <w:tc>
          <w:tcPr>
            <w:tcW w:w="5353" w:type="dxa"/>
          </w:tcPr>
          <w:p w14:paraId="50060FD5" w14:textId="77777777" w:rsidR="009D6E11" w:rsidRPr="00F365E2" w:rsidRDefault="009D6E11" w:rsidP="008D32BA">
            <w:pPr>
              <w:spacing w:after="0"/>
              <w:rPr>
                <w:rFonts w:ascii="Times New Roman" w:eastAsia="Times New Roman" w:hAnsi="Times New Roman"/>
                <w:szCs w:val="24"/>
              </w:rPr>
            </w:pPr>
          </w:p>
        </w:tc>
        <w:tc>
          <w:tcPr>
            <w:tcW w:w="1985" w:type="dxa"/>
          </w:tcPr>
          <w:p w14:paraId="139A329A" w14:textId="77777777" w:rsidR="009D6E11" w:rsidRPr="00492A87" w:rsidRDefault="009D6E11" w:rsidP="008D32BA">
            <w:pPr>
              <w:spacing w:after="0"/>
              <w:jc w:val="center"/>
              <w:rPr>
                <w:rFonts w:ascii="Times New Roman" w:eastAsia="Times New Roman" w:hAnsi="Times New Roman"/>
                <w:sz w:val="20"/>
              </w:rPr>
            </w:pPr>
            <w:r w:rsidRPr="00492A87">
              <w:rPr>
                <w:rFonts w:ascii="Times New Roman" w:eastAsia="Times New Roman" w:hAnsi="Times New Roman"/>
                <w:sz w:val="20"/>
              </w:rPr>
              <w:t>Fastlandsbaserte konkurranseutsatte næringer</w:t>
            </w:r>
          </w:p>
        </w:tc>
        <w:tc>
          <w:tcPr>
            <w:tcW w:w="1984" w:type="dxa"/>
          </w:tcPr>
          <w:p w14:paraId="1D93F7B8" w14:textId="77777777" w:rsidR="009D6E11" w:rsidRPr="00492A87" w:rsidRDefault="009D6E11" w:rsidP="008D32BA">
            <w:pPr>
              <w:spacing w:after="0"/>
              <w:jc w:val="center"/>
              <w:rPr>
                <w:rFonts w:ascii="Times New Roman" w:eastAsia="Times New Roman" w:hAnsi="Times New Roman"/>
                <w:sz w:val="20"/>
              </w:rPr>
            </w:pPr>
            <w:r w:rsidRPr="00492A87">
              <w:rPr>
                <w:rFonts w:ascii="Times New Roman" w:eastAsia="Times New Roman" w:hAnsi="Times New Roman"/>
                <w:sz w:val="20"/>
              </w:rPr>
              <w:t>Fastlandsbasert konkurranseutsatt industri</w:t>
            </w:r>
          </w:p>
        </w:tc>
      </w:tr>
      <w:tr w:rsidR="009D6E11" w:rsidRPr="00F365E2" w14:paraId="04EFDC59" w14:textId="77777777" w:rsidTr="008D32BA">
        <w:trPr>
          <w:trHeight w:val="7251"/>
        </w:trPr>
        <w:tc>
          <w:tcPr>
            <w:tcW w:w="5353" w:type="dxa"/>
            <w:tcBorders>
              <w:bottom w:val="nil"/>
            </w:tcBorders>
          </w:tcPr>
          <w:p w14:paraId="32E8957D" w14:textId="77777777" w:rsidR="009D6E11" w:rsidRPr="00F365E2" w:rsidRDefault="009D6E11" w:rsidP="008D32BA">
            <w:pPr>
              <w:spacing w:after="0"/>
              <w:rPr>
                <w:rFonts w:ascii="Times New Roman" w:eastAsia="Times New Roman" w:hAnsi="Times New Roman"/>
                <w:szCs w:val="24"/>
              </w:rPr>
            </w:pPr>
          </w:p>
          <w:p w14:paraId="1FBBA3BF" w14:textId="77777777" w:rsidR="009D6E11" w:rsidRPr="00F365E2" w:rsidRDefault="009D6E11" w:rsidP="008D32BA">
            <w:pPr>
              <w:spacing w:after="0"/>
              <w:rPr>
                <w:rFonts w:ascii="Times New Roman" w:eastAsia="Times New Roman" w:hAnsi="Times New Roman"/>
                <w:i/>
                <w:szCs w:val="24"/>
              </w:rPr>
            </w:pPr>
            <w:r w:rsidRPr="00F365E2">
              <w:rPr>
                <w:rFonts w:ascii="Times New Roman" w:eastAsia="Times New Roman" w:hAnsi="Times New Roman"/>
                <w:i/>
                <w:szCs w:val="24"/>
              </w:rPr>
              <w:t xml:space="preserve">Ressursbaserte næringer:                                                    </w:t>
            </w:r>
          </w:p>
          <w:p w14:paraId="7C8586DD"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Utvinning av råolje og naturgass</w:t>
            </w:r>
          </w:p>
          <w:p w14:paraId="2993BA22"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Bergverksdrift</w:t>
            </w:r>
          </w:p>
          <w:p w14:paraId="235868EB"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 xml:space="preserve">Fiske, fangst og akvakultur, </w:t>
            </w:r>
          </w:p>
          <w:p w14:paraId="11BDCC8D"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 xml:space="preserve">Skogbruk </w:t>
            </w:r>
          </w:p>
          <w:p w14:paraId="395CF425"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Trelast- og trevareindustri, unntatt møbler</w:t>
            </w:r>
          </w:p>
          <w:p w14:paraId="3E0F0EC0"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 xml:space="preserve">Produksjon av metaller </w:t>
            </w:r>
          </w:p>
          <w:p w14:paraId="62B5B763"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Produksjon av papir og papirvarer</w:t>
            </w:r>
          </w:p>
          <w:p w14:paraId="7049306C"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Nærings-, drikkevare- og tobakksindustri</w:t>
            </w:r>
          </w:p>
          <w:p w14:paraId="42D388CF" w14:textId="77777777" w:rsidR="009D6E11" w:rsidRPr="00F365E2" w:rsidRDefault="009D6E11" w:rsidP="008D32BA">
            <w:pPr>
              <w:spacing w:after="0"/>
              <w:rPr>
                <w:rFonts w:ascii="Times New Roman" w:eastAsia="Times New Roman" w:hAnsi="Times New Roman"/>
                <w:szCs w:val="24"/>
              </w:rPr>
            </w:pPr>
          </w:p>
          <w:p w14:paraId="4834447E" w14:textId="77777777" w:rsidR="009D6E11" w:rsidRPr="00F365E2" w:rsidRDefault="009D6E11" w:rsidP="008D32BA">
            <w:pPr>
              <w:spacing w:after="0"/>
              <w:rPr>
                <w:rFonts w:ascii="Times New Roman" w:eastAsia="Times New Roman" w:hAnsi="Times New Roman"/>
                <w:i/>
                <w:szCs w:val="24"/>
              </w:rPr>
            </w:pPr>
            <w:r w:rsidRPr="00F365E2">
              <w:rPr>
                <w:rFonts w:ascii="Times New Roman" w:eastAsia="Times New Roman" w:hAnsi="Times New Roman"/>
                <w:i/>
                <w:szCs w:val="24"/>
              </w:rPr>
              <w:t xml:space="preserve">Leverandørvirksomhet: </w:t>
            </w:r>
          </w:p>
          <w:p w14:paraId="183460B4"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Rørtransport</w:t>
            </w:r>
          </w:p>
          <w:p w14:paraId="2C6EA572" w14:textId="77777777" w:rsidR="009D6E11" w:rsidRPr="00F365E2" w:rsidRDefault="009D6E11" w:rsidP="008D32BA">
            <w:pPr>
              <w:spacing w:after="0"/>
              <w:rPr>
                <w:rFonts w:ascii="Times New Roman" w:eastAsia="Times New Roman" w:hAnsi="Times New Roman"/>
                <w:szCs w:val="24"/>
              </w:rPr>
            </w:pPr>
            <w:r>
              <w:rPr>
                <w:rFonts w:ascii="Times New Roman" w:eastAsia="Times New Roman" w:hAnsi="Times New Roman"/>
                <w:szCs w:val="24"/>
              </w:rPr>
              <w:t>Tjenester tilknyttet utvinning</w:t>
            </w:r>
            <w:r w:rsidRPr="00F365E2">
              <w:rPr>
                <w:rFonts w:ascii="Times New Roman" w:eastAsia="Times New Roman" w:hAnsi="Times New Roman"/>
                <w:szCs w:val="24"/>
              </w:rPr>
              <w:t xml:space="preserve"> av råolje og naturgass </w:t>
            </w:r>
          </w:p>
          <w:p w14:paraId="2BCDC7E7"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Reparasjon og installasjon av maskiner og utstyr</w:t>
            </w:r>
          </w:p>
          <w:p w14:paraId="107AB952"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Verftsindustri og annen transportmiddelindustri</w:t>
            </w:r>
          </w:p>
          <w:p w14:paraId="4F242E71" w14:textId="77777777" w:rsidR="009D6E11" w:rsidRPr="00F365E2" w:rsidRDefault="009D6E11" w:rsidP="008D32BA">
            <w:pPr>
              <w:spacing w:after="0"/>
              <w:rPr>
                <w:rFonts w:ascii="Times New Roman" w:eastAsia="Times New Roman" w:hAnsi="Times New Roman"/>
                <w:szCs w:val="24"/>
              </w:rPr>
            </w:pPr>
          </w:p>
          <w:p w14:paraId="3A1692F9" w14:textId="77777777" w:rsidR="009D6E11" w:rsidRPr="00F365E2" w:rsidRDefault="009D6E11" w:rsidP="008D32BA">
            <w:pPr>
              <w:spacing w:after="0"/>
              <w:rPr>
                <w:rFonts w:ascii="Times New Roman" w:eastAsia="Times New Roman" w:hAnsi="Times New Roman"/>
                <w:i/>
                <w:szCs w:val="24"/>
              </w:rPr>
            </w:pPr>
            <w:r w:rsidRPr="00F365E2">
              <w:rPr>
                <w:rFonts w:ascii="Times New Roman" w:eastAsia="Times New Roman" w:hAnsi="Times New Roman"/>
                <w:i/>
                <w:szCs w:val="24"/>
              </w:rPr>
              <w:t xml:space="preserve">Ikke-stedbundne næringer: </w:t>
            </w:r>
          </w:p>
          <w:p w14:paraId="0F111FD8"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Utenriks sjøfart</w:t>
            </w:r>
          </w:p>
          <w:p w14:paraId="1EFF5C97"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Oljeraffinering, kjemisk og farmasøytisk industri</w:t>
            </w:r>
          </w:p>
          <w:p w14:paraId="458FCC65"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Produksjon av metallvarer, elektrisk utstyr og maskiner</w:t>
            </w:r>
          </w:p>
          <w:p w14:paraId="38A119BB"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Tekstil-, beklednings- og lærvareindustri</w:t>
            </w:r>
          </w:p>
          <w:p w14:paraId="1764E903"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Gummivare- og plastindustri, mineralproduktindustri</w:t>
            </w:r>
          </w:p>
          <w:p w14:paraId="154BD5E9" w14:textId="77777777" w:rsidR="009D6E11" w:rsidRPr="00F365E2" w:rsidRDefault="009D6E11" w:rsidP="008D32BA">
            <w:pPr>
              <w:spacing w:after="0"/>
              <w:rPr>
                <w:rFonts w:ascii="Times New Roman" w:eastAsia="Times New Roman" w:hAnsi="Times New Roman"/>
                <w:szCs w:val="24"/>
              </w:rPr>
            </w:pPr>
            <w:r w:rsidRPr="00F365E2">
              <w:rPr>
                <w:rFonts w:ascii="Times New Roman" w:eastAsia="Times New Roman" w:hAnsi="Times New Roman"/>
                <w:szCs w:val="24"/>
              </w:rPr>
              <w:t>Produksjon møbler og annen industriproduksjon.</w:t>
            </w:r>
          </w:p>
          <w:p w14:paraId="1959F981" w14:textId="77777777" w:rsidR="009D6E11" w:rsidRPr="00F365E2" w:rsidRDefault="009D6E11" w:rsidP="008D32BA">
            <w:pPr>
              <w:spacing w:after="0"/>
              <w:rPr>
                <w:rFonts w:ascii="Times New Roman" w:eastAsia="Times New Roman" w:hAnsi="Times New Roman"/>
                <w:b/>
              </w:rPr>
            </w:pPr>
          </w:p>
        </w:tc>
        <w:tc>
          <w:tcPr>
            <w:tcW w:w="1985" w:type="dxa"/>
            <w:tcBorders>
              <w:bottom w:val="nil"/>
            </w:tcBorders>
          </w:tcPr>
          <w:p w14:paraId="2BC583A2" w14:textId="77777777" w:rsidR="009D6E11" w:rsidRPr="00492A87" w:rsidRDefault="009D6E11" w:rsidP="008D32BA">
            <w:pPr>
              <w:spacing w:after="0"/>
              <w:jc w:val="center"/>
              <w:rPr>
                <w:rFonts w:ascii="Times New Roman" w:eastAsia="Times New Roman" w:hAnsi="Times New Roman"/>
                <w:szCs w:val="24"/>
              </w:rPr>
            </w:pPr>
          </w:p>
          <w:p w14:paraId="5357B96A" w14:textId="77777777" w:rsidR="009D6E11" w:rsidRPr="00492A87" w:rsidRDefault="009D6E11" w:rsidP="008D32BA">
            <w:pPr>
              <w:spacing w:after="0"/>
              <w:jc w:val="center"/>
              <w:rPr>
                <w:rFonts w:ascii="Times New Roman" w:eastAsia="Times New Roman" w:hAnsi="Times New Roman"/>
                <w:szCs w:val="24"/>
              </w:rPr>
            </w:pPr>
          </w:p>
          <w:p w14:paraId="6770EFFF" w14:textId="77777777" w:rsidR="009D6E11" w:rsidRPr="00492A87" w:rsidRDefault="009D6E11" w:rsidP="008D32BA">
            <w:pPr>
              <w:spacing w:after="0"/>
              <w:jc w:val="center"/>
              <w:rPr>
                <w:rFonts w:ascii="Times New Roman" w:eastAsia="Times New Roman" w:hAnsi="Times New Roman"/>
                <w:szCs w:val="24"/>
              </w:rPr>
            </w:pPr>
          </w:p>
          <w:p w14:paraId="72B3F754"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7D244EB8"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74ECD6C3"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3CF7E2AA"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CBF55EC"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2350011F"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4F47D98D"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271E784" w14:textId="77777777" w:rsidR="009D6E11" w:rsidRPr="00492A87" w:rsidRDefault="009D6E11" w:rsidP="008D32BA">
            <w:pPr>
              <w:spacing w:after="0"/>
              <w:jc w:val="center"/>
              <w:rPr>
                <w:rFonts w:ascii="Times New Roman" w:eastAsia="Times New Roman" w:hAnsi="Times New Roman"/>
                <w:szCs w:val="24"/>
              </w:rPr>
            </w:pPr>
          </w:p>
          <w:p w14:paraId="36CB7F02" w14:textId="77777777" w:rsidR="009D6E11" w:rsidRPr="00492A87" w:rsidRDefault="009D6E11" w:rsidP="008D32BA">
            <w:pPr>
              <w:spacing w:after="0"/>
              <w:jc w:val="center"/>
              <w:rPr>
                <w:rFonts w:ascii="Times New Roman" w:eastAsia="Times New Roman" w:hAnsi="Times New Roman"/>
                <w:szCs w:val="24"/>
              </w:rPr>
            </w:pPr>
          </w:p>
          <w:p w14:paraId="37D43137" w14:textId="77777777" w:rsidR="009D6E11" w:rsidRPr="00492A87" w:rsidRDefault="009D6E11" w:rsidP="008D32BA">
            <w:pPr>
              <w:spacing w:after="0"/>
              <w:jc w:val="center"/>
              <w:rPr>
                <w:rFonts w:ascii="Times New Roman" w:eastAsia="Times New Roman" w:hAnsi="Times New Roman"/>
                <w:szCs w:val="24"/>
              </w:rPr>
            </w:pPr>
          </w:p>
          <w:p w14:paraId="6270DB60"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E9CEE42"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56D2189"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46AC4A27" w14:textId="77777777" w:rsidR="009D6E11" w:rsidRPr="00492A87" w:rsidRDefault="009D6E11" w:rsidP="008D32BA">
            <w:pPr>
              <w:spacing w:after="0"/>
              <w:jc w:val="center"/>
              <w:rPr>
                <w:rFonts w:ascii="Times New Roman" w:eastAsia="Times New Roman" w:hAnsi="Times New Roman"/>
                <w:szCs w:val="24"/>
              </w:rPr>
            </w:pPr>
          </w:p>
          <w:p w14:paraId="5AA59BA6" w14:textId="77777777" w:rsidR="009D6E11" w:rsidRPr="00492A87" w:rsidRDefault="009D6E11" w:rsidP="008D32BA">
            <w:pPr>
              <w:spacing w:after="0"/>
              <w:jc w:val="center"/>
              <w:rPr>
                <w:rFonts w:ascii="Times New Roman" w:eastAsia="Times New Roman" w:hAnsi="Times New Roman"/>
                <w:szCs w:val="24"/>
              </w:rPr>
            </w:pPr>
          </w:p>
          <w:p w14:paraId="1E511536" w14:textId="77777777" w:rsidR="009D6E11" w:rsidRPr="00492A87" w:rsidRDefault="009D6E11" w:rsidP="008D32BA">
            <w:pPr>
              <w:spacing w:after="0"/>
              <w:jc w:val="center"/>
              <w:rPr>
                <w:rFonts w:ascii="Times New Roman" w:eastAsia="Times New Roman" w:hAnsi="Times New Roman"/>
                <w:szCs w:val="24"/>
              </w:rPr>
            </w:pPr>
          </w:p>
          <w:p w14:paraId="27A76D4B"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5D18A452"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564C1F9" w14:textId="77777777" w:rsidR="009D6E11" w:rsidRPr="00492A87" w:rsidRDefault="009D6E11" w:rsidP="008D32BA">
            <w:pPr>
              <w:spacing w:after="0"/>
              <w:jc w:val="center"/>
              <w:rPr>
                <w:rFonts w:ascii="Times New Roman" w:eastAsia="Times New Roman" w:hAnsi="Times New Roman"/>
                <w:szCs w:val="24"/>
              </w:rPr>
            </w:pPr>
          </w:p>
          <w:p w14:paraId="55721B50"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58EAC33"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D70D5BB"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CC41910" w14:textId="77777777" w:rsidR="009D6E11" w:rsidRPr="00492A87" w:rsidRDefault="009D6E11" w:rsidP="008D32BA">
            <w:pPr>
              <w:spacing w:after="0"/>
              <w:rPr>
                <w:rFonts w:ascii="Times New Roman" w:eastAsia="Times New Roman" w:hAnsi="Times New Roman"/>
                <w:szCs w:val="24"/>
              </w:rPr>
            </w:pPr>
          </w:p>
        </w:tc>
        <w:tc>
          <w:tcPr>
            <w:tcW w:w="1984" w:type="dxa"/>
            <w:tcBorders>
              <w:bottom w:val="nil"/>
            </w:tcBorders>
          </w:tcPr>
          <w:p w14:paraId="5A024225" w14:textId="77777777" w:rsidR="009D6E11" w:rsidRPr="00492A87" w:rsidRDefault="009D6E11" w:rsidP="008D32BA">
            <w:pPr>
              <w:spacing w:after="0"/>
              <w:jc w:val="center"/>
              <w:rPr>
                <w:rFonts w:ascii="Times New Roman" w:eastAsia="Times New Roman" w:hAnsi="Times New Roman"/>
                <w:szCs w:val="24"/>
              </w:rPr>
            </w:pPr>
          </w:p>
          <w:p w14:paraId="23B05C49" w14:textId="77777777" w:rsidR="009D6E11" w:rsidRPr="00492A87" w:rsidRDefault="009D6E11" w:rsidP="008D32BA">
            <w:pPr>
              <w:spacing w:after="0"/>
              <w:jc w:val="center"/>
              <w:rPr>
                <w:rFonts w:ascii="Times New Roman" w:eastAsia="Times New Roman" w:hAnsi="Times New Roman"/>
                <w:szCs w:val="24"/>
              </w:rPr>
            </w:pPr>
          </w:p>
          <w:p w14:paraId="3FD12400" w14:textId="77777777" w:rsidR="009D6E11" w:rsidRPr="00492A87" w:rsidRDefault="009D6E11" w:rsidP="008D32BA">
            <w:pPr>
              <w:spacing w:after="0"/>
              <w:jc w:val="center"/>
              <w:rPr>
                <w:rFonts w:ascii="Times New Roman" w:eastAsia="Times New Roman" w:hAnsi="Times New Roman"/>
                <w:szCs w:val="24"/>
              </w:rPr>
            </w:pPr>
          </w:p>
          <w:p w14:paraId="555EF8C7" w14:textId="77777777" w:rsidR="009D6E11" w:rsidRPr="00492A87" w:rsidRDefault="009D6E11" w:rsidP="008D32BA">
            <w:pPr>
              <w:spacing w:after="0"/>
              <w:jc w:val="center"/>
              <w:rPr>
                <w:rFonts w:ascii="Times New Roman" w:eastAsia="Times New Roman" w:hAnsi="Times New Roman"/>
                <w:szCs w:val="24"/>
              </w:rPr>
            </w:pPr>
          </w:p>
          <w:p w14:paraId="377ACFE6" w14:textId="77777777" w:rsidR="009D6E11" w:rsidRPr="00492A87" w:rsidRDefault="009D6E11" w:rsidP="008D32BA">
            <w:pPr>
              <w:spacing w:after="0"/>
              <w:jc w:val="center"/>
              <w:rPr>
                <w:rFonts w:ascii="Times New Roman" w:eastAsia="Times New Roman" w:hAnsi="Times New Roman"/>
                <w:szCs w:val="24"/>
              </w:rPr>
            </w:pPr>
          </w:p>
          <w:p w14:paraId="7D8669B7" w14:textId="77777777" w:rsidR="009D6E11" w:rsidRPr="00492A87" w:rsidRDefault="009D6E11" w:rsidP="008D32BA">
            <w:pPr>
              <w:spacing w:after="0"/>
              <w:jc w:val="center"/>
              <w:rPr>
                <w:rFonts w:ascii="Times New Roman" w:eastAsia="Times New Roman" w:hAnsi="Times New Roman"/>
                <w:szCs w:val="24"/>
              </w:rPr>
            </w:pPr>
          </w:p>
          <w:p w14:paraId="28929668"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AA0D040"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2661F122"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166C5C94"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56284838" w14:textId="77777777" w:rsidR="009D6E11" w:rsidRPr="00492A87" w:rsidRDefault="009D6E11" w:rsidP="008D32BA">
            <w:pPr>
              <w:spacing w:after="0"/>
              <w:jc w:val="center"/>
              <w:rPr>
                <w:rFonts w:ascii="Times New Roman" w:eastAsia="Times New Roman" w:hAnsi="Times New Roman"/>
                <w:szCs w:val="24"/>
              </w:rPr>
            </w:pPr>
          </w:p>
          <w:p w14:paraId="62677DDC" w14:textId="77777777" w:rsidR="009D6E11" w:rsidRPr="00492A87" w:rsidRDefault="009D6E11" w:rsidP="008D32BA">
            <w:pPr>
              <w:spacing w:after="0"/>
              <w:rPr>
                <w:rFonts w:ascii="Times New Roman" w:eastAsia="Times New Roman" w:hAnsi="Times New Roman"/>
                <w:szCs w:val="24"/>
              </w:rPr>
            </w:pPr>
          </w:p>
          <w:p w14:paraId="375441E1" w14:textId="77777777" w:rsidR="009D6E11" w:rsidRPr="00492A87" w:rsidRDefault="009D6E11" w:rsidP="008D32BA">
            <w:pPr>
              <w:spacing w:after="0"/>
              <w:jc w:val="center"/>
              <w:rPr>
                <w:rFonts w:ascii="Times New Roman" w:eastAsia="Times New Roman" w:hAnsi="Times New Roman"/>
                <w:szCs w:val="24"/>
              </w:rPr>
            </w:pPr>
          </w:p>
          <w:p w14:paraId="3670303A" w14:textId="77777777" w:rsidR="009D6E11" w:rsidRPr="00492A87" w:rsidRDefault="009D6E11" w:rsidP="008D32BA">
            <w:pPr>
              <w:spacing w:after="0"/>
              <w:rPr>
                <w:rFonts w:ascii="Times New Roman" w:eastAsia="Times New Roman" w:hAnsi="Times New Roman"/>
                <w:szCs w:val="24"/>
              </w:rPr>
            </w:pPr>
          </w:p>
          <w:p w14:paraId="08F6F299"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4C57CAD"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274CA8F4" w14:textId="77777777" w:rsidR="009D6E11" w:rsidRPr="00492A87" w:rsidRDefault="009D6E11" w:rsidP="008D32BA">
            <w:pPr>
              <w:spacing w:after="0"/>
              <w:jc w:val="center"/>
              <w:rPr>
                <w:rFonts w:ascii="Times New Roman" w:eastAsia="Times New Roman" w:hAnsi="Times New Roman"/>
                <w:szCs w:val="24"/>
              </w:rPr>
            </w:pPr>
          </w:p>
          <w:p w14:paraId="42FA63A5" w14:textId="77777777" w:rsidR="009D6E11" w:rsidRPr="00492A87" w:rsidRDefault="009D6E11" w:rsidP="008D32BA">
            <w:pPr>
              <w:spacing w:after="0"/>
              <w:jc w:val="center"/>
              <w:rPr>
                <w:rFonts w:ascii="Times New Roman" w:eastAsia="Times New Roman" w:hAnsi="Times New Roman"/>
                <w:szCs w:val="24"/>
              </w:rPr>
            </w:pPr>
          </w:p>
          <w:p w14:paraId="1ACD83F7" w14:textId="77777777" w:rsidR="009D6E11" w:rsidRPr="00492A87" w:rsidRDefault="009D6E11" w:rsidP="008D32BA">
            <w:pPr>
              <w:spacing w:after="0"/>
              <w:jc w:val="center"/>
              <w:rPr>
                <w:rFonts w:ascii="Times New Roman" w:eastAsia="Times New Roman" w:hAnsi="Times New Roman"/>
                <w:szCs w:val="24"/>
              </w:rPr>
            </w:pPr>
          </w:p>
          <w:p w14:paraId="594C5818"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60DC87DA"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754AF0F" w14:textId="77777777" w:rsidR="009D6E11" w:rsidRPr="00492A87" w:rsidRDefault="009D6E11" w:rsidP="008D32BA">
            <w:pPr>
              <w:spacing w:after="0"/>
              <w:jc w:val="center"/>
              <w:rPr>
                <w:rFonts w:ascii="Times New Roman" w:eastAsia="Times New Roman" w:hAnsi="Times New Roman"/>
                <w:szCs w:val="24"/>
              </w:rPr>
            </w:pPr>
          </w:p>
          <w:p w14:paraId="56CC8566"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7F2687AC"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042FC7BA" w14:textId="77777777" w:rsidR="009D6E11" w:rsidRPr="00492A87" w:rsidRDefault="009D6E11" w:rsidP="008D32BA">
            <w:pPr>
              <w:spacing w:after="0"/>
              <w:jc w:val="center"/>
              <w:rPr>
                <w:rFonts w:ascii="Times New Roman" w:eastAsia="Times New Roman" w:hAnsi="Times New Roman"/>
                <w:szCs w:val="24"/>
              </w:rPr>
            </w:pPr>
            <w:r w:rsidRPr="00492A87">
              <w:rPr>
                <w:rFonts w:ascii="Times New Roman" w:eastAsia="Times New Roman" w:hAnsi="Times New Roman"/>
                <w:szCs w:val="24"/>
              </w:rPr>
              <w:t>X</w:t>
            </w:r>
          </w:p>
          <w:p w14:paraId="380DCFF6" w14:textId="77777777" w:rsidR="009D6E11" w:rsidRPr="00492A87" w:rsidRDefault="009D6E11" w:rsidP="008D32BA">
            <w:pPr>
              <w:spacing w:after="0"/>
              <w:rPr>
                <w:rFonts w:ascii="Times New Roman" w:eastAsia="Times New Roman" w:hAnsi="Times New Roman"/>
                <w:szCs w:val="24"/>
              </w:rPr>
            </w:pPr>
          </w:p>
        </w:tc>
      </w:tr>
      <w:tr w:rsidR="009D6E11" w:rsidRPr="00F365E2" w14:paraId="6BC50BB6" w14:textId="77777777" w:rsidTr="008D32BA">
        <w:tc>
          <w:tcPr>
            <w:tcW w:w="9322" w:type="dxa"/>
            <w:gridSpan w:val="3"/>
            <w:tcBorders>
              <w:top w:val="nil"/>
            </w:tcBorders>
          </w:tcPr>
          <w:p w14:paraId="00E4FCDB" w14:textId="77777777" w:rsidR="009D6E11" w:rsidRPr="00F365E2" w:rsidRDefault="009D6E11" w:rsidP="008D32BA">
            <w:pPr>
              <w:pStyle w:val="Kilde"/>
            </w:pPr>
            <w:r w:rsidRPr="00F365E2">
              <w:t>Kilde: NOU 2013: 13. Lønnsdannelsen og utfordringer for norsk økonomi</w:t>
            </w:r>
          </w:p>
        </w:tc>
      </w:tr>
    </w:tbl>
    <w:p w14:paraId="65337A0C" w14:textId="77777777" w:rsidR="00553CF9" w:rsidRPr="001C3E2D" w:rsidRDefault="00553CF9" w:rsidP="001C3E2D">
      <w:pPr>
        <w:spacing w:after="0"/>
        <w:rPr>
          <w:sz w:val="20"/>
        </w:rPr>
      </w:pPr>
    </w:p>
    <w:sectPr w:rsidR="00553CF9" w:rsidRPr="001C3E2D" w:rsidSect="004F124E">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E16E4" w14:textId="77777777" w:rsidR="003D053D" w:rsidRDefault="003D053D" w:rsidP="001C22ED">
      <w:r>
        <w:separator/>
      </w:r>
    </w:p>
  </w:endnote>
  <w:endnote w:type="continuationSeparator" w:id="0">
    <w:p w14:paraId="6DACB8D6" w14:textId="77777777" w:rsidR="003D053D" w:rsidRDefault="003D053D" w:rsidP="001C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w:panose1 w:val="00000000000000000000"/>
    <w:charset w:val="00"/>
    <w:family w:val="auto"/>
    <w:notTrueType/>
    <w:pitch w:val="variable"/>
    <w:sig w:usb0="00000003" w:usb1="00000000" w:usb2="00000000" w:usb3="00000000" w:csb0="00000001" w:csb1="00000000"/>
  </w:font>
  <w:font w:name="MMONL F+ Dep Century Old Style">
    <w:altName w:val="Dep Century Old Style"/>
    <w:panose1 w:val="00000000000000000000"/>
    <w:charset w:val="00"/>
    <w:family w:val="roman"/>
    <w:notTrueType/>
    <w:pitch w:val="default"/>
    <w:sig w:usb0="00000003" w:usb1="00000000" w:usb2="00000000" w:usb3="00000000" w:csb0="00000001" w:csb1="00000000"/>
  </w:font>
  <w:font w:name="Droid Serif">
    <w:altName w:val="Times New Roman"/>
    <w:charset w:val="00"/>
    <w:family w:val="auto"/>
    <w:pitch w:val="default"/>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93F6A" w14:textId="77777777" w:rsidR="003D053D" w:rsidRDefault="003D053D">
    <w:pPr>
      <w:pStyle w:val="Bunntekst"/>
      <w:jc w:val="right"/>
    </w:pPr>
    <w:r>
      <w:fldChar w:fldCharType="begin"/>
    </w:r>
    <w:r>
      <w:instrText xml:space="preserve"> PAGE   \* MERGEFORMAT </w:instrText>
    </w:r>
    <w:r>
      <w:fldChar w:fldCharType="separate"/>
    </w:r>
    <w:r>
      <w:rPr>
        <w:noProof/>
      </w:rPr>
      <w:t>6</w:t>
    </w:r>
    <w:r>
      <w:rPr>
        <w:noProof/>
      </w:rPr>
      <w:fldChar w:fldCharType="end"/>
    </w:r>
  </w:p>
  <w:p w14:paraId="2542BDC5" w14:textId="77777777" w:rsidR="003D053D" w:rsidRDefault="003D053D">
    <w:pPr>
      <w:pStyle w:val="Bunntekst"/>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5C54" w14:textId="77777777" w:rsidR="003D053D" w:rsidRDefault="003D053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132</w:t>
    </w:r>
    <w:r>
      <w:rPr>
        <w:rStyle w:val="Sidetall"/>
      </w:rPr>
      <w:fldChar w:fldCharType="end"/>
    </w:r>
  </w:p>
  <w:p w14:paraId="2229F442" w14:textId="77777777" w:rsidR="003D053D" w:rsidRDefault="003D053D">
    <w:pPr>
      <w:pStyle w:val="Bunntekst"/>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F42AA" w14:textId="77777777" w:rsidR="003D053D" w:rsidRDefault="003D053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4ED6919" w14:textId="77777777" w:rsidR="003D053D" w:rsidRDefault="003D053D">
    <w:pPr>
      <w:pStyle w:val="Bunntekst"/>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3E8F6" w14:textId="77777777" w:rsidR="003D053D" w:rsidRDefault="003D053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147</w:t>
    </w:r>
    <w:r>
      <w:rPr>
        <w:rStyle w:val="Sidetall"/>
      </w:rPr>
      <w:fldChar w:fldCharType="end"/>
    </w:r>
  </w:p>
  <w:p w14:paraId="454CF52A" w14:textId="77777777" w:rsidR="003D053D" w:rsidRDefault="003D053D">
    <w:pPr>
      <w:pStyle w:val="Bunntekst"/>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988694"/>
      <w:docPartObj>
        <w:docPartGallery w:val="Page Numbers (Bottom of Page)"/>
        <w:docPartUnique/>
      </w:docPartObj>
    </w:sdtPr>
    <w:sdtEndPr/>
    <w:sdtContent>
      <w:p w14:paraId="3B772EE8" w14:textId="77777777" w:rsidR="003D053D" w:rsidRDefault="003D053D">
        <w:pPr>
          <w:pStyle w:val="Bunntekst"/>
          <w:jc w:val="right"/>
        </w:pPr>
        <w:r>
          <w:fldChar w:fldCharType="begin"/>
        </w:r>
        <w:r>
          <w:instrText>PAGE   \* MERGEFORMAT</w:instrText>
        </w:r>
        <w:r>
          <w:fldChar w:fldCharType="separate"/>
        </w:r>
        <w:r w:rsidR="005B3209">
          <w:rPr>
            <w:noProof/>
          </w:rPr>
          <w:t>161</w:t>
        </w:r>
        <w:r>
          <w:fldChar w:fldCharType="end"/>
        </w:r>
      </w:p>
    </w:sdtContent>
  </w:sdt>
  <w:p w14:paraId="664F5086" w14:textId="77777777" w:rsidR="003D053D" w:rsidRDefault="003D053D">
    <w:pPr>
      <w:pStyle w:val="Bunnteks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FC135" w14:textId="77777777" w:rsidR="003D053D" w:rsidRDefault="003D053D" w:rsidP="00A1436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EB3E89D" w14:textId="77777777" w:rsidR="003D053D" w:rsidRDefault="003D053D" w:rsidP="00A14364">
    <w:pPr>
      <w:pStyle w:val="Bunntekst"/>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46507" w14:textId="77777777" w:rsidR="003D053D" w:rsidRDefault="003D053D" w:rsidP="00A14364">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165</w:t>
    </w:r>
    <w:r>
      <w:rPr>
        <w:rStyle w:val="Sidetall"/>
      </w:rPr>
      <w:fldChar w:fldCharType="end"/>
    </w:r>
  </w:p>
  <w:p w14:paraId="0FE4955D" w14:textId="77777777" w:rsidR="003D053D" w:rsidRDefault="003D053D" w:rsidP="00A14364">
    <w:pPr>
      <w:pStyle w:val="Bunntekst"/>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59CBF" w14:textId="77777777" w:rsidR="003D053D" w:rsidRDefault="003D053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2E3B" w14:textId="77777777" w:rsidR="003D053D" w:rsidRDefault="003D053D" w:rsidP="0079594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9</w:t>
    </w:r>
    <w:r>
      <w:rPr>
        <w:rStyle w:val="Sidetall"/>
      </w:rPr>
      <w:fldChar w:fldCharType="end"/>
    </w:r>
  </w:p>
  <w:p w14:paraId="48A07C8D" w14:textId="77777777" w:rsidR="003D053D" w:rsidRDefault="003D053D">
    <w:pPr>
      <w:pStyle w:val="Bunn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A24C1" w14:textId="77777777" w:rsidR="003D053D" w:rsidRDefault="003D053D">
    <w:pPr>
      <w:pStyle w:val="Bunntekst"/>
      <w:jc w:val="right"/>
    </w:pPr>
    <w:r>
      <w:fldChar w:fldCharType="begin"/>
    </w:r>
    <w:r>
      <w:instrText xml:space="preserve"> PAGE   \* MERGEFORMAT </w:instrText>
    </w:r>
    <w:r>
      <w:fldChar w:fldCharType="separate"/>
    </w:r>
    <w:r>
      <w:rPr>
        <w:noProof/>
      </w:rPr>
      <w:t>6</w:t>
    </w:r>
    <w:r>
      <w:rPr>
        <w:noProof/>
      </w:rPr>
      <w:fldChar w:fldCharType="end"/>
    </w:r>
  </w:p>
  <w:p w14:paraId="0B60ABBA" w14:textId="77777777" w:rsidR="003D053D" w:rsidRDefault="003D053D">
    <w:pPr>
      <w:pStyle w:val="Bunn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F9AE9" w14:textId="77777777" w:rsidR="003D053D" w:rsidRDefault="003D053D" w:rsidP="00846451">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8</w:t>
    </w:r>
    <w:r>
      <w:rPr>
        <w:rStyle w:val="Sidetall"/>
      </w:rPr>
      <w:fldChar w:fldCharType="end"/>
    </w:r>
  </w:p>
  <w:p w14:paraId="5A86D042" w14:textId="77777777" w:rsidR="003D053D" w:rsidRDefault="003D053D">
    <w:pPr>
      <w:pStyle w:val="Bunnteks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C51AC" w14:textId="77777777" w:rsidR="003D053D" w:rsidRDefault="003D053D">
    <w:pPr>
      <w:pStyle w:val="Bunntekst"/>
      <w:jc w:val="right"/>
    </w:pPr>
    <w:r>
      <w:fldChar w:fldCharType="begin"/>
    </w:r>
    <w:r>
      <w:instrText xml:space="preserve"> PAGE   \* MERGEFORMAT </w:instrText>
    </w:r>
    <w:r>
      <w:fldChar w:fldCharType="separate"/>
    </w:r>
    <w:r>
      <w:rPr>
        <w:noProof/>
      </w:rPr>
      <w:t>6</w:t>
    </w:r>
    <w:r>
      <w:rPr>
        <w:noProof/>
      </w:rPr>
      <w:fldChar w:fldCharType="end"/>
    </w:r>
  </w:p>
  <w:p w14:paraId="6C35FA24" w14:textId="77777777" w:rsidR="003D053D" w:rsidRDefault="003D053D">
    <w:pPr>
      <w:pStyle w:val="Bunntekst"/>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662E" w14:textId="77777777" w:rsidR="003D053D" w:rsidRDefault="003D053D" w:rsidP="00795948">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53</w:t>
    </w:r>
    <w:r>
      <w:rPr>
        <w:rStyle w:val="Sidetall"/>
      </w:rPr>
      <w:fldChar w:fldCharType="end"/>
    </w:r>
  </w:p>
  <w:p w14:paraId="40C2E221" w14:textId="77777777" w:rsidR="003D053D" w:rsidRDefault="003D053D">
    <w:pPr>
      <w:pStyle w:val="Bunntekst"/>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296F5" w14:textId="77777777" w:rsidR="003D053D" w:rsidRDefault="003D053D" w:rsidP="00A1760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1E35E2B6" w14:textId="77777777" w:rsidR="003D053D" w:rsidRDefault="003D053D" w:rsidP="00A17606">
    <w:pPr>
      <w:pStyle w:val="Bunntekst"/>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221E0" w14:textId="77777777" w:rsidR="003D053D" w:rsidRDefault="003D053D" w:rsidP="00A1760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5B3209">
      <w:rPr>
        <w:rStyle w:val="Sidetall"/>
        <w:noProof/>
      </w:rPr>
      <w:t>116</w:t>
    </w:r>
    <w:r>
      <w:rPr>
        <w:rStyle w:val="Sidetall"/>
      </w:rPr>
      <w:fldChar w:fldCharType="end"/>
    </w:r>
  </w:p>
  <w:p w14:paraId="71BA36AF" w14:textId="77777777" w:rsidR="003D053D" w:rsidRDefault="003D053D" w:rsidP="00A17606">
    <w:pPr>
      <w:pStyle w:val="Bunntekst"/>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4A267" w14:textId="77777777" w:rsidR="003D053D" w:rsidRDefault="003D053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6B9708E1" w14:textId="77777777" w:rsidR="003D053D" w:rsidRDefault="003D053D">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F12B1" w14:textId="77777777" w:rsidR="003D053D" w:rsidRDefault="003D053D" w:rsidP="001C22ED">
      <w:r>
        <w:separator/>
      </w:r>
    </w:p>
  </w:footnote>
  <w:footnote w:type="continuationSeparator" w:id="0">
    <w:p w14:paraId="2C744A74" w14:textId="77777777" w:rsidR="003D053D" w:rsidRDefault="003D053D" w:rsidP="001C22ED">
      <w:r>
        <w:continuationSeparator/>
      </w:r>
    </w:p>
  </w:footnote>
  <w:footnote w:id="1">
    <w:p w14:paraId="6808A35C" w14:textId="77777777" w:rsidR="003D053D" w:rsidRDefault="003D053D" w:rsidP="00F423DC">
      <w:pPr>
        <w:pStyle w:val="Fotnotetekst"/>
      </w:pPr>
      <w:r>
        <w:rPr>
          <w:rStyle w:val="Fotnotereferanse"/>
        </w:rPr>
        <w:footnoteRef/>
      </w:r>
      <w:r>
        <w:t xml:space="preserve"> O</w:t>
      </w:r>
      <w:r w:rsidRPr="00A34A29">
        <w:t>m lag ¾ av sysselsettingen i industrien er i NHO-bedrifter.</w:t>
      </w:r>
    </w:p>
  </w:footnote>
  <w:footnote w:id="2">
    <w:p w14:paraId="2E6FDBD6" w14:textId="6EE2232F" w:rsidR="003D053D" w:rsidRDefault="003D053D" w:rsidP="000B374C">
      <w:pPr>
        <w:pStyle w:val="Fotnotetekst"/>
        <w:spacing w:after="0"/>
      </w:pPr>
      <w:r w:rsidRPr="004B2FAB">
        <w:rPr>
          <w:rStyle w:val="Fotnotereferanse"/>
        </w:rPr>
        <w:footnoteRef/>
      </w:r>
      <w:r w:rsidRPr="004B2FAB">
        <w:t xml:space="preserve"> </w:t>
      </w:r>
      <w:r>
        <w:t>F</w:t>
      </w:r>
      <w:r w:rsidRPr="004B2FAB">
        <w:t>orhandlingsområdet</w:t>
      </w:r>
      <w:r>
        <w:t xml:space="preserve"> i finansnæringen</w:t>
      </w:r>
      <w:r w:rsidRPr="004B2FAB">
        <w:t xml:space="preserve"> omfatter</w:t>
      </w:r>
      <w:r>
        <w:t xml:space="preserve"> ansatte som omfattes av s</w:t>
      </w:r>
      <w:r w:rsidRPr="004B2FAB">
        <w:t xml:space="preserve">entralavtalen </w:t>
      </w:r>
      <w:r>
        <w:t xml:space="preserve">mellom </w:t>
      </w:r>
      <w:r w:rsidRPr="004B2FAB">
        <w:t>Finans</w:t>
      </w:r>
      <w:r>
        <w:t xml:space="preserve"> Norge og</w:t>
      </w:r>
      <w:r w:rsidRPr="00527D91">
        <w:t xml:space="preserve"> </w:t>
      </w:r>
      <w:r w:rsidRPr="00527D91">
        <w:rPr>
          <w:bCs/>
        </w:rPr>
        <w:t>Finansforbundet</w:t>
      </w:r>
      <w:r>
        <w:rPr>
          <w:bCs/>
        </w:rPr>
        <w:t>. Noen ledende ansatte er ikke omfattet av avtalen, og ansatte med lønn over lønnsregulativets øvre grense er ikke omfattet av sentralavtalens bestemmelser om lønn</w:t>
      </w:r>
      <w:r w:rsidRPr="004B2FAB">
        <w:t xml:space="preserve">. </w:t>
      </w:r>
      <w:r>
        <w:t>Med virkning fra 1. mai 2015 er regulativets øvre grense kr 824 738.</w:t>
      </w:r>
      <w:r w:rsidRPr="004B2FAB">
        <w:rPr>
          <w:rFonts w:ascii="Times New (W1)" w:hAnsi="Times New (W1)"/>
        </w:rPr>
        <w:t xml:space="preserve">  </w:t>
      </w:r>
    </w:p>
  </w:footnote>
  <w:footnote w:id="3">
    <w:p w14:paraId="14516B4D" w14:textId="77777777" w:rsidR="003D053D" w:rsidRDefault="003D053D" w:rsidP="00620BF2">
      <w:pPr>
        <w:pStyle w:val="Fotnotetekst"/>
      </w:pPr>
      <w:r>
        <w:rPr>
          <w:rStyle w:val="Fotnotereferanse"/>
        </w:rPr>
        <w:footnoteRef/>
      </w:r>
      <w:r>
        <w:t xml:space="preserve"> Dette omfatter blant annet ansatte i </w:t>
      </w:r>
      <w:r w:rsidRPr="00FB6CD7">
        <w:t>e</w:t>
      </w:r>
      <w:r>
        <w:t>-</w:t>
      </w:r>
      <w:r w:rsidRPr="00FB6CD7">
        <w:t>verk, revisjon, vann- og avløp etc.</w:t>
      </w:r>
    </w:p>
  </w:footnote>
  <w:footnote w:id="4">
    <w:p w14:paraId="3DBD8405" w14:textId="77777777" w:rsidR="003D053D" w:rsidRPr="00D413CC" w:rsidRDefault="003D053D" w:rsidP="006F55F8">
      <w:pPr>
        <w:pStyle w:val="Fotnotetekst"/>
        <w:rPr>
          <w:sz w:val="17"/>
          <w:szCs w:val="17"/>
        </w:rPr>
      </w:pPr>
      <w:r>
        <w:rPr>
          <w:vertAlign w:val="superscript"/>
        </w:rPr>
        <w:footnoteRef/>
      </w:r>
      <w:r w:rsidRPr="00AE2AF1">
        <w:t>Polen, Litauen, Latvia, Estland, Slovakia, Tsjekkia, Slovenia, Ungarn, Romania og Bulgaria.</w:t>
      </w:r>
    </w:p>
  </w:footnote>
  <w:footnote w:id="5">
    <w:p w14:paraId="6AD52C08" w14:textId="77777777" w:rsidR="003D053D" w:rsidRDefault="003D053D" w:rsidP="00BE1326">
      <w:pPr>
        <w:pStyle w:val="Fotnotetekst"/>
      </w:pPr>
      <w:r>
        <w:rPr>
          <w:rStyle w:val="Fotnotereferanse"/>
        </w:rPr>
        <w:footnoteRef/>
      </w:r>
      <w:r w:rsidRPr="00AE2AF1">
        <w:t xml:space="preserve"> Statistikken baserer seg på en utvalgsundersøkelse som gjennomføres hvert kvartal. Statistikken viser nivået og utviklingen på etterspørselen etter arbeidskraft totalt og fordelt på næring. Statistikken er sammenlignbar med tilsvarende statistikk i europeiske land. Nivået fra </w:t>
      </w:r>
      <w:r>
        <w:t>Statistisk sentralbyrå</w:t>
      </w:r>
      <w:r w:rsidRPr="00AE2AF1">
        <w:t xml:space="preserve">s statistikk for ledige stillinger er høyere sammenlignet med NAVs månedlige statistikk, da </w:t>
      </w:r>
      <w:r>
        <w:t>Statistisk sentralbyrå</w:t>
      </w:r>
      <w:r w:rsidRPr="00AE2AF1">
        <w:t>s statistikk bl.a. også inneholder ledige stillinger som utelukkende er utlyst på bedrifters egne hjemmesider.</w:t>
      </w:r>
    </w:p>
  </w:footnote>
  <w:footnote w:id="6">
    <w:p w14:paraId="06E16B1D" w14:textId="77777777" w:rsidR="003D053D" w:rsidRDefault="003D053D" w:rsidP="005B2B39">
      <w:pPr>
        <w:pStyle w:val="Fotnotetekst"/>
      </w:pPr>
      <w:r>
        <w:rPr>
          <w:rStyle w:val="Fotnotereferanse"/>
        </w:rPr>
        <w:footnoteRef/>
      </w:r>
      <w:r>
        <w:t xml:space="preserve"> SITC = Standard International Trade Classification</w:t>
      </w:r>
    </w:p>
  </w:footnote>
  <w:footnote w:id="7">
    <w:p w14:paraId="10D6F80D" w14:textId="77777777" w:rsidR="003D053D" w:rsidRDefault="003D053D" w:rsidP="005B2B39">
      <w:pPr>
        <w:pStyle w:val="Fotnotetekst"/>
      </w:pPr>
      <w:r>
        <w:rPr>
          <w:rStyle w:val="Fotnotereferanse"/>
        </w:rPr>
        <w:footnoteRef/>
      </w:r>
      <w:r>
        <w:t xml:space="preserve"> 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 </w:t>
      </w:r>
    </w:p>
    <w:p w14:paraId="21F6CD43" w14:textId="77777777" w:rsidR="003D053D" w:rsidRDefault="003D053D" w:rsidP="005B2B39">
      <w:pPr>
        <w:pStyle w:val="Fotnotetekst"/>
      </w:pPr>
    </w:p>
  </w:footnote>
  <w:footnote w:id="8">
    <w:p w14:paraId="142D4235" w14:textId="77777777" w:rsidR="003D053D" w:rsidRDefault="003D053D" w:rsidP="005B2B39">
      <w:pPr>
        <w:pStyle w:val="Fotnotetekst"/>
      </w:pPr>
      <w:r>
        <w:rPr>
          <w:rStyle w:val="Fotnotereferanse"/>
        </w:rPr>
        <w:footnoteRef/>
      </w:r>
      <w:r>
        <w:t xml:space="preserve"> Den svake kronekursen i 2015 gjør imidlertid at forskjellene mellom kjøpekraftsjusterte priser og norske priser i internasjonal valuta er små. </w:t>
      </w:r>
    </w:p>
  </w:footnote>
  <w:footnote w:id="9">
    <w:p w14:paraId="46DA1C7F" w14:textId="2079766E" w:rsidR="003D053D" w:rsidRDefault="003D053D" w:rsidP="006A380D">
      <w:pPr>
        <w:pStyle w:val="Fotnotetekst"/>
      </w:pPr>
      <w:r>
        <w:rPr>
          <w:rStyle w:val="Fotnotereferanse"/>
        </w:rPr>
        <w:footnoteRef/>
      </w:r>
      <w:r>
        <w:t xml:space="preserve"> Reguleringen av G tar utgangspunkt i forventet lønnsutvikling i reguleringsåret,</w:t>
      </w:r>
      <w:r>
        <w:rPr>
          <w:rFonts w:ascii="Times New Roman" w:hAnsi="Times New Roman"/>
          <w:color w:val="333333"/>
        </w:rPr>
        <w:t xml:space="preserve"> justert for eventuelt avvik mellom forventet og faktisk lønnsutvikling siste to år. </w:t>
      </w:r>
      <w:r>
        <w:rPr>
          <w:rFonts w:ascii="Times New Roman" w:hAnsi="Times New Roman"/>
        </w:rPr>
        <w:t>Forventet lønnsutvikling i reguleringsåret settes lik regjeringens anslag for gjennomsnittlig årslønnsvekst for alle sektorer slik det framkommer i revidert nasjonalbudsjett.</w:t>
      </w:r>
      <w:r>
        <w:rPr>
          <w:rFonts w:ascii="Times New Roman" w:hAnsi="Times New Roman"/>
          <w:color w:val="B32C16"/>
        </w:rPr>
        <w:t xml:space="preserve"> </w:t>
      </w:r>
      <w:r>
        <w:rPr>
          <w:rFonts w:ascii="Times New Roman" w:hAnsi="Times New Roman"/>
          <w:color w:val="333333"/>
        </w:rPr>
        <w:t>Faktisk lønnsutvikling for siste to år settes til gjennomsnittlig årslønnsvekst for lønnstakere under ett fastsatt i rapporten” Grunnlaget for inntektsoppgjørene” fra Det tekniske beregningsutvalget for inntektsoppgjørene.</w:t>
      </w:r>
      <w:r>
        <w:t xml:space="preserve"> </w:t>
      </w:r>
    </w:p>
  </w:footnote>
  <w:footnote w:id="10">
    <w:p w14:paraId="38840369" w14:textId="77777777" w:rsidR="003D053D" w:rsidRDefault="003D053D" w:rsidP="006A380D">
      <w:pPr>
        <w:pStyle w:val="Fotnotetekst"/>
      </w:pPr>
      <w:r>
        <w:rPr>
          <w:rStyle w:val="Fotnotereferanse"/>
        </w:rPr>
        <w:footnoteRef/>
      </w:r>
      <w:r>
        <w:t xml:space="preserve"> For unge uføre utgjør minsteytelsen 2,91 G for enslige og 2,66 G for ektefeller/samboere.</w:t>
      </w:r>
    </w:p>
  </w:footnote>
  <w:footnote w:id="11">
    <w:p w14:paraId="1A92FFB0" w14:textId="77777777" w:rsidR="003D053D" w:rsidRDefault="003D053D" w:rsidP="00E05117">
      <w:pPr>
        <w:pStyle w:val="Fotnotetekst"/>
      </w:pPr>
      <w:r>
        <w:rPr>
          <w:rStyle w:val="Fotnotereferanse"/>
        </w:rPr>
        <w:footnoteRef/>
      </w:r>
      <w:r>
        <w:t xml:space="preserve"> 3 prosent av pensjonsgrunnlaget opp til 6 G og 69 prosent fra pensjonsgrunnlaget fra 6 G til 12 G</w:t>
      </w:r>
    </w:p>
  </w:footnote>
  <w:footnote w:id="12">
    <w:p w14:paraId="0F7B23A1" w14:textId="77777777" w:rsidR="003D053D" w:rsidRDefault="003D053D" w:rsidP="007D7BB4">
      <w:pPr>
        <w:pStyle w:val="Fotnotetekst"/>
      </w:pPr>
      <w:r>
        <w:rPr>
          <w:rStyle w:val="Fotnotereferanse"/>
        </w:rPr>
        <w:footnoteRef/>
      </w:r>
      <w:r>
        <w:t xml:space="preserve"> </w:t>
      </w:r>
      <w:r w:rsidRPr="005631DE">
        <w:t xml:space="preserve">Omfatter virksomheter som eies og drives av private organisasjoner og/eller stiftelser innen helse, undervisning og kultur.   </w:t>
      </w:r>
    </w:p>
  </w:footnote>
  <w:footnote w:id="13">
    <w:p w14:paraId="079895E9" w14:textId="77777777" w:rsidR="003D053D" w:rsidRDefault="003D053D" w:rsidP="00435783">
      <w:pPr>
        <w:pStyle w:val="Fotnotetekst"/>
      </w:pPr>
      <w:r>
        <w:rPr>
          <w:rStyle w:val="Fotnotereferanse"/>
        </w:rPr>
        <w:footnoteRef/>
      </w:r>
      <w:r>
        <w:t xml:space="preserve"> Med overtidstillegg menes her all lønn som mottas for overtidsperioden.</w:t>
      </w:r>
    </w:p>
  </w:footnote>
  <w:footnote w:id="14">
    <w:p w14:paraId="03BBB708" w14:textId="77777777" w:rsidR="003D053D" w:rsidRDefault="003D053D" w:rsidP="00435783">
      <w:pPr>
        <w:pStyle w:val="Fotnotetekst"/>
      </w:pPr>
      <w:r>
        <w:rPr>
          <w:rStyle w:val="Fotnotereferanse"/>
        </w:rPr>
        <w:footnoteRef/>
      </w:r>
      <w:r>
        <w:t xml:space="preserve"> Med stillingsprosent menes hvor stor andel arbeidsforholdet utgjør av full stilling. </w:t>
      </w:r>
    </w:p>
  </w:footnote>
  <w:footnote w:id="15">
    <w:p w14:paraId="536967E6" w14:textId="77777777" w:rsidR="003D053D" w:rsidRPr="006C2102" w:rsidRDefault="003D053D" w:rsidP="00435783">
      <w:pPr>
        <w:spacing w:after="0"/>
        <w:rPr>
          <w:sz w:val="20"/>
        </w:rPr>
      </w:pPr>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p w14:paraId="0DC3D307" w14:textId="77777777" w:rsidR="003D053D" w:rsidRDefault="003D053D" w:rsidP="00435783">
      <w:pPr>
        <w:spacing w:after="0"/>
      </w:pPr>
    </w:p>
  </w:footnote>
  <w:footnote w:id="16">
    <w:p w14:paraId="2C83594F" w14:textId="77777777" w:rsidR="003D053D" w:rsidRDefault="003D053D" w:rsidP="00435783">
      <w:pPr>
        <w:pStyle w:val="Fotnotetekst"/>
      </w:pPr>
      <w:r>
        <w:rPr>
          <w:rStyle w:val="Fotnotereferanse"/>
        </w:rPr>
        <w:footnoteRef/>
      </w:r>
      <w:r>
        <w:t xml:space="preserve"> For kommuneansatte er tellingspunktet 1. desember.</w:t>
      </w:r>
    </w:p>
  </w:footnote>
  <w:footnote w:id="17">
    <w:p w14:paraId="4605F428" w14:textId="77777777" w:rsidR="003D053D" w:rsidRDefault="003D053D" w:rsidP="00435783">
      <w:r>
        <w:rPr>
          <w:rStyle w:val="Fotnotereferanse"/>
        </w:rPr>
        <w:footnoteRef/>
      </w:r>
      <w:r>
        <w:t xml:space="preserve"> </w:t>
      </w:r>
      <w:r w:rsidRPr="006C2102">
        <w:rPr>
          <w:sz w:val="20"/>
        </w:rPr>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18">
    <w:p w14:paraId="25FE0EAD" w14:textId="77777777" w:rsidR="003D053D" w:rsidRDefault="003D053D" w:rsidP="0080730E">
      <w:pPr>
        <w:pStyle w:val="Fotnotetekst"/>
      </w:pPr>
      <w:r>
        <w:rPr>
          <w:rStyle w:val="Fotnotereferanse"/>
        </w:rPr>
        <w:footnoteRef/>
      </w:r>
      <w:r>
        <w:t xml:space="preserve"> Tallene for konkurransekursindeksen strekker seg tilbake til desember 1981. </w:t>
      </w:r>
    </w:p>
  </w:footnote>
  <w:footnote w:id="19">
    <w:p w14:paraId="1B55C28B" w14:textId="77777777" w:rsidR="003D053D" w:rsidRDefault="003D053D" w:rsidP="00086FB8">
      <w:pPr>
        <w:pStyle w:val="Fotnotetekst"/>
      </w:pPr>
      <w:r>
        <w:rPr>
          <w:rStyle w:val="Fotnotereferanse"/>
        </w:rPr>
        <w:footnoteRef/>
      </w:r>
      <w:r>
        <w:t xml:space="preserve"> Definert som andelen lønnstakere som er medlem av en arbeidstakerorganisasjon.</w:t>
      </w:r>
    </w:p>
  </w:footnote>
  <w:footnote w:id="20">
    <w:p w14:paraId="44151DBC" w14:textId="77777777" w:rsidR="003D053D" w:rsidRDefault="003D053D" w:rsidP="00086FB8">
      <w:pPr>
        <w:pStyle w:val="Fotnotetekst"/>
      </w:pPr>
      <w:r>
        <w:rPr>
          <w:rStyle w:val="Fotnotereferanse"/>
        </w:rPr>
        <w:footnoteRef/>
      </w:r>
      <w:r>
        <w:t xml:space="preserve"> Se Tariffnemndas hjemmeside: </w:t>
      </w:r>
      <w:hyperlink r:id="rId1" w:history="1">
        <w:r w:rsidRPr="00907CEA">
          <w:rPr>
            <w:rStyle w:val="Hyperkobling"/>
          </w:rPr>
          <w:t>https://www.regjeringen.no/no/dep/asd/org/nemnder-styrer-rad-og-utvalg/permanente-nemnder-rad-og-utvalg/tariffnemnda/id508679/</w:t>
        </w:r>
      </w:hyperlink>
    </w:p>
  </w:footnote>
  <w:footnote w:id="21">
    <w:p w14:paraId="79227F36" w14:textId="77777777" w:rsidR="003D053D" w:rsidRDefault="003D053D" w:rsidP="00086FB8">
      <w:pPr>
        <w:pStyle w:val="Fotnotetekst"/>
      </w:pPr>
      <w:r>
        <w:rPr>
          <w:rStyle w:val="Fotnotereferanse"/>
        </w:rPr>
        <w:footnoteRef/>
      </w:r>
      <w:r>
        <w:t xml:space="preserve"> Lønnssatsene i de allmenngjorte tariffavtalene framgår på Arbeidstilsynets hjemmeside: </w:t>
      </w:r>
      <w:hyperlink r:id="rId2" w:history="1">
        <w:r w:rsidRPr="00A174BB">
          <w:rPr>
            <w:rStyle w:val="Hyperkobling"/>
          </w:rPr>
          <w:t>http://www.arbeidstilsynet.no/fakta.html?tid=90849</w:t>
        </w:r>
      </w:hyperlink>
      <w:r>
        <w:t xml:space="preserve"> </w:t>
      </w:r>
    </w:p>
  </w:footnote>
  <w:footnote w:id="22">
    <w:p w14:paraId="24FD23A0" w14:textId="77777777" w:rsidR="003D053D" w:rsidRDefault="003D053D" w:rsidP="009D6E11">
      <w:pPr>
        <w:pStyle w:val="Fotnotetekst"/>
      </w:pPr>
      <w:r>
        <w:rPr>
          <w:noProof/>
          <w:vertAlign w:val="superscript"/>
        </w:rPr>
        <w:t xml:space="preserve">1  </w:t>
      </w:r>
      <w:r>
        <w:rPr>
          <w:noProof/>
        </w:rPr>
        <w:t>jf. NOU 2013: 13. Lønnsdannelsen og utfordringer for norsk økonomi, se definisjon i boks 6.1.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479FF" w14:textId="77777777" w:rsidR="003D053D" w:rsidRDefault="003D053D">
    <w:pPr>
      <w:pStyle w:val="Topptekst"/>
      <w:jc w:val="right"/>
    </w:pPr>
  </w:p>
  <w:p w14:paraId="1DF90DDF" w14:textId="77777777" w:rsidR="003D053D" w:rsidRDefault="003D053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74D6" w14:textId="77777777" w:rsidR="003D053D" w:rsidRDefault="003D053D">
    <w:pPr>
      <w:pStyle w:val="Topptekst"/>
      <w:jc w:val="right"/>
    </w:pPr>
  </w:p>
  <w:p w14:paraId="40F8E9F8" w14:textId="77777777" w:rsidR="003D053D" w:rsidRDefault="003D053D">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BB847" w14:textId="77777777" w:rsidR="003D053D" w:rsidRDefault="003D053D">
    <w:pPr>
      <w:pStyle w:val="Topptekst"/>
      <w:jc w:val="right"/>
    </w:pPr>
  </w:p>
  <w:p w14:paraId="1A8944C7" w14:textId="77777777" w:rsidR="003D053D" w:rsidRDefault="003D053D">
    <w:pPr>
      <w:pStyle w:val="Top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538DD" w14:textId="77777777" w:rsidR="003D053D" w:rsidRDefault="003D053D">
    <w:pPr>
      <w:pStyle w:val="Top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B9CFF" w14:textId="77777777" w:rsidR="003D053D" w:rsidRPr="005E76EB" w:rsidRDefault="003D053D">
    <w:pPr>
      <w:pStyle w:val="Topptekst"/>
      <w:rPr>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7C5" w14:textId="77777777" w:rsidR="003D053D" w:rsidRDefault="003D053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50519E"/>
    <w:multiLevelType w:val="hybridMultilevel"/>
    <w:tmpl w:val="04548996"/>
    <w:lvl w:ilvl="0" w:tplc="D52A6988">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4172275"/>
    <w:multiLevelType w:val="multilevel"/>
    <w:tmpl w:val="5A80725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4" w15:restartNumberingAfterBreak="0">
    <w:nsid w:val="07F028A0"/>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83873F8"/>
    <w:multiLevelType w:val="multilevel"/>
    <w:tmpl w:val="6A6E5F00"/>
    <w:lvl w:ilvl="0">
      <w:start w:val="1"/>
      <w:numFmt w:val="decimal"/>
      <w:pStyle w:val="Komb-liste"/>
      <w:lvlText w:val="%1."/>
      <w:lvlJc w:val="left"/>
      <w:pPr>
        <w:tabs>
          <w:tab w:val="num" w:pos="357"/>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077"/>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797"/>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17"/>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6" w15:restartNumberingAfterBreak="0">
    <w:nsid w:val="092615C4"/>
    <w:multiLevelType w:val="hybridMultilevel"/>
    <w:tmpl w:val="85E08A18"/>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AED50A5"/>
    <w:multiLevelType w:val="hybridMultilevel"/>
    <w:tmpl w:val="E0AE2AF6"/>
    <w:lvl w:ilvl="0" w:tplc="9154E854">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9" w15:restartNumberingAfterBreak="0">
    <w:nsid w:val="11FF2784"/>
    <w:multiLevelType w:val="multilevel"/>
    <w:tmpl w:val="643A673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553423D"/>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3344D0"/>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A8F17F9"/>
    <w:multiLevelType w:val="multilevel"/>
    <w:tmpl w:val="56D8109E"/>
    <w:lvl w:ilvl="0">
      <w:start w:val="2"/>
      <w:numFmt w:val="decimal"/>
      <w:lvlText w:val="%1"/>
      <w:lvlJc w:val="left"/>
      <w:pPr>
        <w:ind w:left="720" w:hanging="360"/>
      </w:pPr>
      <w:rPr>
        <w:rFonts w:hint="default"/>
        <w:strike w:val="0"/>
        <w:dstrike w:val="0"/>
        <w:vertAlign w:val="baseline"/>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B739FB"/>
    <w:multiLevelType w:val="hybridMultilevel"/>
    <w:tmpl w:val="C554A9F4"/>
    <w:lvl w:ilvl="0" w:tplc="FFFFFFFF">
      <w:start w:val="1"/>
      <w:numFmt w:val="bullet"/>
      <w:lvlText w:val="-"/>
      <w:lvlJc w:val="left"/>
      <w:pPr>
        <w:ind w:left="720" w:hanging="360"/>
      </w:pPr>
      <w:rPr>
        <w:rFonts w:ascii="Courier New" w:hAnsi="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E252E4C"/>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EF422D8"/>
    <w:multiLevelType w:val="multilevel"/>
    <w:tmpl w:val="86DAF25C"/>
    <w:numStyleLink w:val="l-AlfaListeStil"/>
  </w:abstractNum>
  <w:abstractNum w:abstractNumId="16" w15:restartNumberingAfterBreak="0">
    <w:nsid w:val="1F2F0B44"/>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10B4A47"/>
    <w:multiLevelType w:val="hybridMultilevel"/>
    <w:tmpl w:val="881AEC8A"/>
    <w:lvl w:ilvl="0" w:tplc="68CE0064">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36B6D0E"/>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1" w15:restartNumberingAfterBreak="0">
    <w:nsid w:val="27C32164"/>
    <w:multiLevelType w:val="hybridMultilevel"/>
    <w:tmpl w:val="81C83B4A"/>
    <w:lvl w:ilvl="0" w:tplc="FFFFFFFF">
      <w:start w:val="1"/>
      <w:numFmt w:val="bullet"/>
      <w:lvlText w:val=""/>
      <w:lvlJc w:val="left"/>
      <w:pPr>
        <w:ind w:left="720" w:hanging="360"/>
      </w:pPr>
      <w:rPr>
        <w:rFonts w:ascii="Symbol" w:hAnsi="Symbol" w:hint="default"/>
      </w:rPr>
    </w:lvl>
    <w:lvl w:ilvl="1" w:tplc="63DA2AE0"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88D67F0"/>
    <w:multiLevelType w:val="hybridMultilevel"/>
    <w:tmpl w:val="A4B06ED6"/>
    <w:lvl w:ilvl="0" w:tplc="FFFFFFFF">
      <w:start w:val="1"/>
      <w:numFmt w:val="decimal"/>
      <w:lvlText w:val="%1"/>
      <w:lvlJc w:val="left"/>
      <w:pPr>
        <w:ind w:left="720" w:hanging="360"/>
      </w:pPr>
      <w:rPr>
        <w:rFonts w:hint="default"/>
        <w:b w:val="0"/>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pStyle w:val="Stil2"/>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17086D"/>
    <w:multiLevelType w:val="multilevel"/>
    <w:tmpl w:val="F5C2DDEE"/>
    <w:lvl w:ilvl="0">
      <w:start w:val="2"/>
      <w:numFmt w:val="decimal"/>
      <w:lvlText w:val="%1"/>
      <w:lvlJc w:val="left"/>
      <w:pPr>
        <w:ind w:left="720" w:hanging="360"/>
      </w:pPr>
      <w:rPr>
        <w:rFonts w:hint="default"/>
        <w:strike w:val="0"/>
        <w:dstrike w:val="0"/>
        <w:vertAlign w:val="baseline"/>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A0B1566"/>
    <w:multiLevelType w:val="hybridMultilevel"/>
    <w:tmpl w:val="49DE27AC"/>
    <w:lvl w:ilvl="0" w:tplc="EB92090A">
      <w:start w:val="1"/>
      <w:numFmt w:val="bullet"/>
      <w:lvlText w:val=""/>
      <w:lvlJc w:val="left"/>
      <w:pPr>
        <w:ind w:left="644" w:hanging="360"/>
      </w:pPr>
      <w:rPr>
        <w:rFonts w:ascii="Symbol" w:hAnsi="Symbol" w:hint="default"/>
      </w:rPr>
    </w:lvl>
    <w:lvl w:ilvl="1" w:tplc="1D92B83E" w:tentative="1">
      <w:start w:val="1"/>
      <w:numFmt w:val="bullet"/>
      <w:lvlText w:val="o"/>
      <w:lvlJc w:val="left"/>
      <w:pPr>
        <w:ind w:left="1364" w:hanging="360"/>
      </w:pPr>
      <w:rPr>
        <w:rFonts w:ascii="Courier New" w:hAnsi="Courier New" w:cs="Courier New" w:hint="default"/>
      </w:rPr>
    </w:lvl>
    <w:lvl w:ilvl="2" w:tplc="C0C28AF8" w:tentative="1">
      <w:start w:val="1"/>
      <w:numFmt w:val="bullet"/>
      <w:lvlText w:val=""/>
      <w:lvlJc w:val="left"/>
      <w:pPr>
        <w:ind w:left="2084" w:hanging="360"/>
      </w:pPr>
      <w:rPr>
        <w:rFonts w:ascii="Wingdings" w:hAnsi="Wingdings" w:hint="default"/>
      </w:rPr>
    </w:lvl>
    <w:lvl w:ilvl="3" w:tplc="D97E6C64" w:tentative="1">
      <w:start w:val="1"/>
      <w:numFmt w:val="bullet"/>
      <w:lvlText w:val=""/>
      <w:lvlJc w:val="left"/>
      <w:pPr>
        <w:ind w:left="2804" w:hanging="360"/>
      </w:pPr>
      <w:rPr>
        <w:rFonts w:ascii="Symbol" w:hAnsi="Symbol" w:hint="default"/>
      </w:rPr>
    </w:lvl>
    <w:lvl w:ilvl="4" w:tplc="92B0D7D2" w:tentative="1">
      <w:start w:val="1"/>
      <w:numFmt w:val="bullet"/>
      <w:lvlText w:val="o"/>
      <w:lvlJc w:val="left"/>
      <w:pPr>
        <w:ind w:left="3524" w:hanging="360"/>
      </w:pPr>
      <w:rPr>
        <w:rFonts w:ascii="Courier New" w:hAnsi="Courier New" w:cs="Courier New" w:hint="default"/>
      </w:rPr>
    </w:lvl>
    <w:lvl w:ilvl="5" w:tplc="3D844EDE" w:tentative="1">
      <w:start w:val="1"/>
      <w:numFmt w:val="bullet"/>
      <w:lvlText w:val=""/>
      <w:lvlJc w:val="left"/>
      <w:pPr>
        <w:ind w:left="4244" w:hanging="360"/>
      </w:pPr>
      <w:rPr>
        <w:rFonts w:ascii="Wingdings" w:hAnsi="Wingdings" w:hint="default"/>
      </w:rPr>
    </w:lvl>
    <w:lvl w:ilvl="6" w:tplc="0C101342" w:tentative="1">
      <w:start w:val="1"/>
      <w:numFmt w:val="bullet"/>
      <w:lvlText w:val=""/>
      <w:lvlJc w:val="left"/>
      <w:pPr>
        <w:ind w:left="4964" w:hanging="360"/>
      </w:pPr>
      <w:rPr>
        <w:rFonts w:ascii="Symbol" w:hAnsi="Symbol" w:hint="default"/>
      </w:rPr>
    </w:lvl>
    <w:lvl w:ilvl="7" w:tplc="305A748E" w:tentative="1">
      <w:start w:val="1"/>
      <w:numFmt w:val="bullet"/>
      <w:lvlText w:val="o"/>
      <w:lvlJc w:val="left"/>
      <w:pPr>
        <w:ind w:left="5684" w:hanging="360"/>
      </w:pPr>
      <w:rPr>
        <w:rFonts w:ascii="Courier New" w:hAnsi="Courier New" w:cs="Courier New" w:hint="default"/>
      </w:rPr>
    </w:lvl>
    <w:lvl w:ilvl="8" w:tplc="E6CCDDC6" w:tentative="1">
      <w:start w:val="1"/>
      <w:numFmt w:val="bullet"/>
      <w:lvlText w:val=""/>
      <w:lvlJc w:val="left"/>
      <w:pPr>
        <w:ind w:left="6404" w:hanging="360"/>
      </w:pPr>
      <w:rPr>
        <w:rFonts w:ascii="Wingdings" w:hAnsi="Wingdings" w:hint="default"/>
      </w:rPr>
    </w:lvl>
  </w:abstractNum>
  <w:abstractNum w:abstractNumId="25" w15:restartNumberingAfterBreak="0">
    <w:nsid w:val="2B115FD6"/>
    <w:multiLevelType w:val="hybridMultilevel"/>
    <w:tmpl w:val="E07E04DA"/>
    <w:lvl w:ilvl="0" w:tplc="04140001">
      <w:start w:val="1"/>
      <w:numFmt w:val="decimal"/>
      <w:lvlText w:val="%1"/>
      <w:lvlJc w:val="left"/>
      <w:pPr>
        <w:ind w:left="741" w:hanging="360"/>
      </w:pPr>
      <w:rPr>
        <w:rFonts w:hint="default"/>
        <w:strike w:val="0"/>
        <w:dstrike w:val="0"/>
        <w:vertAlign w:val="superscript"/>
      </w:rPr>
    </w:lvl>
    <w:lvl w:ilvl="1" w:tplc="04140003" w:tentative="1">
      <w:start w:val="1"/>
      <w:numFmt w:val="lowerLetter"/>
      <w:lvlText w:val="%2."/>
      <w:lvlJc w:val="left"/>
      <w:pPr>
        <w:ind w:left="1461" w:hanging="360"/>
      </w:pPr>
    </w:lvl>
    <w:lvl w:ilvl="2" w:tplc="04140005" w:tentative="1">
      <w:start w:val="1"/>
      <w:numFmt w:val="lowerRoman"/>
      <w:lvlText w:val="%3."/>
      <w:lvlJc w:val="right"/>
      <w:pPr>
        <w:ind w:left="2181" w:hanging="180"/>
      </w:pPr>
    </w:lvl>
    <w:lvl w:ilvl="3" w:tplc="04140001" w:tentative="1">
      <w:start w:val="1"/>
      <w:numFmt w:val="decimal"/>
      <w:lvlText w:val="%4."/>
      <w:lvlJc w:val="left"/>
      <w:pPr>
        <w:ind w:left="2901" w:hanging="360"/>
      </w:pPr>
    </w:lvl>
    <w:lvl w:ilvl="4" w:tplc="04140003" w:tentative="1">
      <w:start w:val="1"/>
      <w:numFmt w:val="lowerLetter"/>
      <w:lvlText w:val="%5."/>
      <w:lvlJc w:val="left"/>
      <w:pPr>
        <w:ind w:left="3621" w:hanging="360"/>
      </w:pPr>
    </w:lvl>
    <w:lvl w:ilvl="5" w:tplc="04140005" w:tentative="1">
      <w:start w:val="1"/>
      <w:numFmt w:val="lowerRoman"/>
      <w:lvlText w:val="%6."/>
      <w:lvlJc w:val="right"/>
      <w:pPr>
        <w:ind w:left="4341" w:hanging="180"/>
      </w:pPr>
    </w:lvl>
    <w:lvl w:ilvl="6" w:tplc="04140001" w:tentative="1">
      <w:start w:val="1"/>
      <w:numFmt w:val="decimal"/>
      <w:lvlText w:val="%7."/>
      <w:lvlJc w:val="left"/>
      <w:pPr>
        <w:ind w:left="5061" w:hanging="360"/>
      </w:pPr>
    </w:lvl>
    <w:lvl w:ilvl="7" w:tplc="04140003" w:tentative="1">
      <w:start w:val="1"/>
      <w:numFmt w:val="lowerLetter"/>
      <w:lvlText w:val="%8."/>
      <w:lvlJc w:val="left"/>
      <w:pPr>
        <w:ind w:left="5781" w:hanging="360"/>
      </w:pPr>
    </w:lvl>
    <w:lvl w:ilvl="8" w:tplc="04140005" w:tentative="1">
      <w:start w:val="1"/>
      <w:numFmt w:val="lowerRoman"/>
      <w:lvlText w:val="%9."/>
      <w:lvlJc w:val="right"/>
      <w:pPr>
        <w:ind w:left="6501" w:hanging="180"/>
      </w:pPr>
    </w:lvl>
  </w:abstractNum>
  <w:abstractNum w:abstractNumId="26" w15:restartNumberingAfterBreak="0">
    <w:nsid w:val="2D275C21"/>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331B54E0"/>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347B1F5F"/>
    <w:multiLevelType w:val="multilevel"/>
    <w:tmpl w:val="5A54D90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9" w15:restartNumberingAfterBreak="0">
    <w:nsid w:val="350C3B7F"/>
    <w:multiLevelType w:val="multilevel"/>
    <w:tmpl w:val="45F08E52"/>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31" w15:restartNumberingAfterBreak="0">
    <w:nsid w:val="355A7F5D"/>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35E13A16"/>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36A219A9"/>
    <w:multiLevelType w:val="hybridMultilevel"/>
    <w:tmpl w:val="5E44B7B2"/>
    <w:lvl w:ilvl="0" w:tplc="9E5CDED4">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39BE7394"/>
    <w:multiLevelType w:val="hybridMultilevel"/>
    <w:tmpl w:val="E0AE2AF6"/>
    <w:lvl w:ilvl="0" w:tplc="9154E854">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3AD77DA8"/>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7"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38" w15:restartNumberingAfterBreak="0">
    <w:nsid w:val="3F9A2D89"/>
    <w:multiLevelType w:val="hybridMultilevel"/>
    <w:tmpl w:val="E0AE2AF6"/>
    <w:lvl w:ilvl="0" w:tplc="9154E854">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41B753CA"/>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434F643C"/>
    <w:multiLevelType w:val="hybridMultilevel"/>
    <w:tmpl w:val="694E6CFE"/>
    <w:lvl w:ilvl="0" w:tplc="1EA05024">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4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43" w15:restartNumberingAfterBreak="0">
    <w:nsid w:val="45214B91"/>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45" w15:restartNumberingAfterBreak="0">
    <w:nsid w:val="48EF2F58"/>
    <w:multiLevelType w:val="hybridMultilevel"/>
    <w:tmpl w:val="E422B332"/>
    <w:lvl w:ilvl="0" w:tplc="9E5CDED4">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4A206F68"/>
    <w:multiLevelType w:val="hybridMultilevel"/>
    <w:tmpl w:val="B0AE7404"/>
    <w:lvl w:ilvl="0" w:tplc="4A786C36">
      <w:start w:val="1"/>
      <w:numFmt w:val="decimal"/>
      <w:lvlText w:val="%1"/>
      <w:lvlJc w:val="left"/>
      <w:pPr>
        <w:ind w:left="360" w:hanging="360"/>
      </w:pPr>
      <w:rPr>
        <w:rFonts w:hint="default"/>
        <w:i w:val="0"/>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4A636AAE"/>
    <w:multiLevelType w:val="hybridMultilevel"/>
    <w:tmpl w:val="36E0869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4A72482F"/>
    <w:multiLevelType w:val="hybridMultilevel"/>
    <w:tmpl w:val="D79059B6"/>
    <w:lvl w:ilvl="0" w:tplc="FFFFFFFF">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9" w15:restartNumberingAfterBreak="0">
    <w:nsid w:val="4B542B37"/>
    <w:multiLevelType w:val="multilevel"/>
    <w:tmpl w:val="26CA5F94"/>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0" w15:restartNumberingAfterBreak="0">
    <w:nsid w:val="4BB470D0"/>
    <w:multiLevelType w:val="hybridMultilevel"/>
    <w:tmpl w:val="6D421A90"/>
    <w:lvl w:ilvl="0" w:tplc="A400042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4F2B7A96"/>
    <w:multiLevelType w:val="multilevel"/>
    <w:tmpl w:val="9670DB8E"/>
    <w:lvl w:ilvl="0">
      <w:start w:val="5"/>
      <w:numFmt w:val="decimal"/>
      <w:lvlText w:val="%1"/>
      <w:lvlJc w:val="left"/>
      <w:pPr>
        <w:ind w:left="720" w:hanging="360"/>
      </w:pPr>
      <w:rPr>
        <w:rFonts w:hint="default"/>
        <w:strike w:val="0"/>
        <w:dstrike w:val="0"/>
        <w:vertAlign w:val="baseline"/>
      </w:rPr>
    </w:lvl>
    <w:lvl w:ilvl="1">
      <w:start w:val="1"/>
      <w:numFmt w:val="decimal"/>
      <w:isLgl/>
      <w:lvlText w:val="%1.%2"/>
      <w:lvlJc w:val="left"/>
      <w:pPr>
        <w:ind w:left="951"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1E9171C"/>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52A558FA"/>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53357176"/>
    <w:multiLevelType w:val="multilevel"/>
    <w:tmpl w:val="2804A09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55" w15:restartNumberingAfterBreak="0">
    <w:nsid w:val="546C0BD9"/>
    <w:multiLevelType w:val="hybridMultilevel"/>
    <w:tmpl w:val="CB2CD5CA"/>
    <w:lvl w:ilvl="0" w:tplc="64709402">
      <w:numFmt w:val="bullet"/>
      <w:lvlText w:val="-"/>
      <w:lvlJc w:val="left"/>
      <w:pPr>
        <w:tabs>
          <w:tab w:val="num" w:pos="720"/>
        </w:tabs>
        <w:ind w:left="720" w:hanging="360"/>
      </w:pPr>
      <w:rPr>
        <w:rFonts w:ascii="Times New Roman" w:eastAsia="Times New Roman" w:hAnsi="Times New Roman" w:cs="Times New Roman" w:hint="default"/>
      </w:rPr>
    </w:lvl>
    <w:lvl w:ilvl="1" w:tplc="7E60C8CA">
      <w:start w:val="1"/>
      <w:numFmt w:val="bullet"/>
      <w:lvlText w:val="o"/>
      <w:lvlJc w:val="left"/>
      <w:pPr>
        <w:tabs>
          <w:tab w:val="num" w:pos="1440"/>
        </w:tabs>
        <w:ind w:left="1440" w:hanging="360"/>
      </w:pPr>
      <w:rPr>
        <w:rFonts w:ascii="Courier New" w:hAnsi="Courier New" w:cs="Courier New" w:hint="default"/>
      </w:rPr>
    </w:lvl>
    <w:lvl w:ilvl="2" w:tplc="7C264944">
      <w:start w:val="1"/>
      <w:numFmt w:val="bullet"/>
      <w:lvlText w:val=""/>
      <w:lvlJc w:val="left"/>
      <w:pPr>
        <w:tabs>
          <w:tab w:val="num" w:pos="2160"/>
        </w:tabs>
        <w:ind w:left="2160" w:hanging="360"/>
      </w:pPr>
      <w:rPr>
        <w:rFonts w:ascii="Wingdings" w:hAnsi="Wingdings" w:cs="Times New Roman" w:hint="default"/>
      </w:rPr>
    </w:lvl>
    <w:lvl w:ilvl="3" w:tplc="2EAE4CB0">
      <w:start w:val="1"/>
      <w:numFmt w:val="bullet"/>
      <w:lvlText w:val=""/>
      <w:lvlJc w:val="left"/>
      <w:pPr>
        <w:tabs>
          <w:tab w:val="num" w:pos="2880"/>
        </w:tabs>
        <w:ind w:left="2880" w:hanging="360"/>
      </w:pPr>
      <w:rPr>
        <w:rFonts w:ascii="Symbol" w:hAnsi="Symbol" w:cs="Times New Roman" w:hint="default"/>
      </w:rPr>
    </w:lvl>
    <w:lvl w:ilvl="4" w:tplc="603EBBFA">
      <w:start w:val="1"/>
      <w:numFmt w:val="bullet"/>
      <w:lvlText w:val="o"/>
      <w:lvlJc w:val="left"/>
      <w:pPr>
        <w:tabs>
          <w:tab w:val="num" w:pos="3600"/>
        </w:tabs>
        <w:ind w:left="3600" w:hanging="360"/>
      </w:pPr>
      <w:rPr>
        <w:rFonts w:ascii="Courier New" w:hAnsi="Courier New" w:cs="Courier New" w:hint="default"/>
      </w:rPr>
    </w:lvl>
    <w:lvl w:ilvl="5" w:tplc="EA486E90">
      <w:start w:val="1"/>
      <w:numFmt w:val="bullet"/>
      <w:lvlText w:val=""/>
      <w:lvlJc w:val="left"/>
      <w:pPr>
        <w:tabs>
          <w:tab w:val="num" w:pos="4320"/>
        </w:tabs>
        <w:ind w:left="4320" w:hanging="360"/>
      </w:pPr>
      <w:rPr>
        <w:rFonts w:ascii="Wingdings" w:hAnsi="Wingdings" w:cs="Times New Roman" w:hint="default"/>
      </w:rPr>
    </w:lvl>
    <w:lvl w:ilvl="6" w:tplc="1BF8521E">
      <w:start w:val="1"/>
      <w:numFmt w:val="bullet"/>
      <w:lvlText w:val=""/>
      <w:lvlJc w:val="left"/>
      <w:pPr>
        <w:tabs>
          <w:tab w:val="num" w:pos="5040"/>
        </w:tabs>
        <w:ind w:left="5040" w:hanging="360"/>
      </w:pPr>
      <w:rPr>
        <w:rFonts w:ascii="Symbol" w:hAnsi="Symbol" w:cs="Times New Roman" w:hint="default"/>
      </w:rPr>
    </w:lvl>
    <w:lvl w:ilvl="7" w:tplc="9CC6D0B0">
      <w:start w:val="1"/>
      <w:numFmt w:val="bullet"/>
      <w:lvlText w:val="o"/>
      <w:lvlJc w:val="left"/>
      <w:pPr>
        <w:tabs>
          <w:tab w:val="num" w:pos="5760"/>
        </w:tabs>
        <w:ind w:left="5760" w:hanging="360"/>
      </w:pPr>
      <w:rPr>
        <w:rFonts w:ascii="Courier New" w:hAnsi="Courier New" w:cs="Courier New" w:hint="default"/>
      </w:rPr>
    </w:lvl>
    <w:lvl w:ilvl="8" w:tplc="A0686242">
      <w:start w:val="1"/>
      <w:numFmt w:val="bullet"/>
      <w:lvlText w:val=""/>
      <w:lvlJc w:val="left"/>
      <w:pPr>
        <w:tabs>
          <w:tab w:val="num" w:pos="6480"/>
        </w:tabs>
        <w:ind w:left="6480" w:hanging="360"/>
      </w:pPr>
      <w:rPr>
        <w:rFonts w:ascii="Wingdings" w:hAnsi="Wingdings" w:cs="Times New Roman" w:hint="default"/>
      </w:rPr>
    </w:lvl>
  </w:abstractNum>
  <w:abstractNum w:abstractNumId="5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57" w15:restartNumberingAfterBreak="0">
    <w:nsid w:val="561E7BCE"/>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572166E8"/>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60" w15:restartNumberingAfterBreak="0">
    <w:nsid w:val="588D5228"/>
    <w:multiLevelType w:val="hybridMultilevel"/>
    <w:tmpl w:val="982677EA"/>
    <w:lvl w:ilvl="0" w:tplc="F0F6C6A2">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2" w15:restartNumberingAfterBreak="0">
    <w:nsid w:val="59F724D7"/>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63" w15:restartNumberingAfterBreak="0">
    <w:nsid w:val="5A234983"/>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5BEF26CA"/>
    <w:multiLevelType w:val="hybridMultilevel"/>
    <w:tmpl w:val="804085E0"/>
    <w:lvl w:ilvl="0" w:tplc="EE2A7192">
      <w:start w:val="1"/>
      <w:numFmt w:val="decimal"/>
      <w:lvlText w:val="%1"/>
      <w:lvlJc w:val="left"/>
      <w:pPr>
        <w:tabs>
          <w:tab w:val="num" w:pos="360"/>
        </w:tabs>
        <w:ind w:left="360" w:hanging="360"/>
      </w:pPr>
      <w:rPr>
        <w:rFonts w:hint="default"/>
        <w:i w:val="0"/>
        <w:strike w:val="0"/>
        <w:dstrike w:val="0"/>
        <w:vertAlign w:val="superscript"/>
      </w:rPr>
    </w:lvl>
    <w:lvl w:ilvl="1" w:tplc="04140003" w:tentative="1">
      <w:start w:val="1"/>
      <w:numFmt w:val="lowerLetter"/>
      <w:lvlText w:val="%2."/>
      <w:lvlJc w:val="left"/>
      <w:pPr>
        <w:tabs>
          <w:tab w:val="num" w:pos="1080"/>
        </w:tabs>
        <w:ind w:left="1080" w:hanging="360"/>
      </w:pPr>
    </w:lvl>
    <w:lvl w:ilvl="2" w:tplc="04140005" w:tentative="1">
      <w:start w:val="1"/>
      <w:numFmt w:val="lowerRoman"/>
      <w:lvlText w:val="%3."/>
      <w:lvlJc w:val="right"/>
      <w:pPr>
        <w:tabs>
          <w:tab w:val="num" w:pos="1800"/>
        </w:tabs>
        <w:ind w:left="1800" w:hanging="180"/>
      </w:pPr>
    </w:lvl>
    <w:lvl w:ilvl="3" w:tplc="04140001" w:tentative="1">
      <w:start w:val="1"/>
      <w:numFmt w:val="decimal"/>
      <w:lvlText w:val="%4."/>
      <w:lvlJc w:val="left"/>
      <w:pPr>
        <w:tabs>
          <w:tab w:val="num" w:pos="2520"/>
        </w:tabs>
        <w:ind w:left="2520" w:hanging="360"/>
      </w:pPr>
    </w:lvl>
    <w:lvl w:ilvl="4" w:tplc="04140003" w:tentative="1">
      <w:start w:val="1"/>
      <w:numFmt w:val="lowerLetter"/>
      <w:lvlText w:val="%5."/>
      <w:lvlJc w:val="left"/>
      <w:pPr>
        <w:tabs>
          <w:tab w:val="num" w:pos="3240"/>
        </w:tabs>
        <w:ind w:left="3240" w:hanging="360"/>
      </w:pPr>
    </w:lvl>
    <w:lvl w:ilvl="5" w:tplc="04140005" w:tentative="1">
      <w:start w:val="1"/>
      <w:numFmt w:val="lowerRoman"/>
      <w:lvlText w:val="%6."/>
      <w:lvlJc w:val="right"/>
      <w:pPr>
        <w:tabs>
          <w:tab w:val="num" w:pos="3960"/>
        </w:tabs>
        <w:ind w:left="3960" w:hanging="180"/>
      </w:pPr>
    </w:lvl>
    <w:lvl w:ilvl="6" w:tplc="04140001" w:tentative="1">
      <w:start w:val="1"/>
      <w:numFmt w:val="decimal"/>
      <w:lvlText w:val="%7."/>
      <w:lvlJc w:val="left"/>
      <w:pPr>
        <w:tabs>
          <w:tab w:val="num" w:pos="4680"/>
        </w:tabs>
        <w:ind w:left="4680" w:hanging="360"/>
      </w:pPr>
    </w:lvl>
    <w:lvl w:ilvl="7" w:tplc="04140003" w:tentative="1">
      <w:start w:val="1"/>
      <w:numFmt w:val="lowerLetter"/>
      <w:lvlText w:val="%8."/>
      <w:lvlJc w:val="left"/>
      <w:pPr>
        <w:tabs>
          <w:tab w:val="num" w:pos="5400"/>
        </w:tabs>
        <w:ind w:left="5400" w:hanging="360"/>
      </w:pPr>
    </w:lvl>
    <w:lvl w:ilvl="8" w:tplc="04140005" w:tentative="1">
      <w:start w:val="1"/>
      <w:numFmt w:val="lowerRoman"/>
      <w:lvlText w:val="%9."/>
      <w:lvlJc w:val="right"/>
      <w:pPr>
        <w:tabs>
          <w:tab w:val="num" w:pos="6120"/>
        </w:tabs>
        <w:ind w:left="6120" w:hanging="180"/>
      </w:pPr>
    </w:lvl>
  </w:abstractNum>
  <w:abstractNum w:abstractNumId="65" w15:restartNumberingAfterBreak="0">
    <w:nsid w:val="5C0F6A21"/>
    <w:multiLevelType w:val="hybridMultilevel"/>
    <w:tmpl w:val="7C403E50"/>
    <w:lvl w:ilvl="0" w:tplc="E03611C0">
      <w:start w:val="1"/>
      <w:numFmt w:val="bullet"/>
      <w:lvlText w:val="-"/>
      <w:lvlJc w:val="left"/>
      <w:pPr>
        <w:ind w:left="720" w:hanging="360"/>
      </w:pPr>
      <w:rPr>
        <w:rFonts w:ascii="Times New Roman" w:hAnsi="Times New Roman" w:hint="default"/>
      </w:rPr>
    </w:lvl>
    <w:lvl w:ilvl="1" w:tplc="9E5CDED4">
      <w:start w:val="1"/>
      <w:numFmt w:val="bullet"/>
      <w:lvlText w:val=""/>
      <w:lvlJc w:val="left"/>
      <w:pPr>
        <w:ind w:left="1440" w:hanging="360"/>
      </w:pPr>
      <w:rPr>
        <w:rFonts w:ascii="Symbol" w:hAnsi="Symbol" w:hint="default"/>
      </w:rPr>
    </w:lvl>
    <w:lvl w:ilvl="2" w:tplc="BC7A0CB4" w:tentative="1">
      <w:start w:val="1"/>
      <w:numFmt w:val="bullet"/>
      <w:lvlText w:val=""/>
      <w:lvlJc w:val="left"/>
      <w:pPr>
        <w:ind w:left="2160" w:hanging="360"/>
      </w:pPr>
      <w:rPr>
        <w:rFonts w:ascii="Wingdings" w:hAnsi="Wingdings" w:hint="default"/>
      </w:rPr>
    </w:lvl>
    <w:lvl w:ilvl="3" w:tplc="A9722144" w:tentative="1">
      <w:start w:val="1"/>
      <w:numFmt w:val="bullet"/>
      <w:lvlText w:val=""/>
      <w:lvlJc w:val="left"/>
      <w:pPr>
        <w:ind w:left="2880" w:hanging="360"/>
      </w:pPr>
      <w:rPr>
        <w:rFonts w:ascii="Symbol" w:hAnsi="Symbol" w:hint="default"/>
      </w:rPr>
    </w:lvl>
    <w:lvl w:ilvl="4" w:tplc="92A2B682" w:tentative="1">
      <w:start w:val="1"/>
      <w:numFmt w:val="bullet"/>
      <w:lvlText w:val="o"/>
      <w:lvlJc w:val="left"/>
      <w:pPr>
        <w:ind w:left="3600" w:hanging="360"/>
      </w:pPr>
      <w:rPr>
        <w:rFonts w:ascii="Courier New" w:hAnsi="Courier New" w:cs="Courier New" w:hint="default"/>
      </w:rPr>
    </w:lvl>
    <w:lvl w:ilvl="5" w:tplc="4FFCF64C" w:tentative="1">
      <w:start w:val="1"/>
      <w:numFmt w:val="bullet"/>
      <w:lvlText w:val=""/>
      <w:lvlJc w:val="left"/>
      <w:pPr>
        <w:ind w:left="4320" w:hanging="360"/>
      </w:pPr>
      <w:rPr>
        <w:rFonts w:ascii="Wingdings" w:hAnsi="Wingdings" w:hint="default"/>
      </w:rPr>
    </w:lvl>
    <w:lvl w:ilvl="6" w:tplc="7F205D04" w:tentative="1">
      <w:start w:val="1"/>
      <w:numFmt w:val="bullet"/>
      <w:lvlText w:val=""/>
      <w:lvlJc w:val="left"/>
      <w:pPr>
        <w:ind w:left="5040" w:hanging="360"/>
      </w:pPr>
      <w:rPr>
        <w:rFonts w:ascii="Symbol" w:hAnsi="Symbol" w:hint="default"/>
      </w:rPr>
    </w:lvl>
    <w:lvl w:ilvl="7" w:tplc="DF229C8C" w:tentative="1">
      <w:start w:val="1"/>
      <w:numFmt w:val="bullet"/>
      <w:lvlText w:val="o"/>
      <w:lvlJc w:val="left"/>
      <w:pPr>
        <w:ind w:left="5760" w:hanging="360"/>
      </w:pPr>
      <w:rPr>
        <w:rFonts w:ascii="Courier New" w:hAnsi="Courier New" w:cs="Courier New" w:hint="default"/>
      </w:rPr>
    </w:lvl>
    <w:lvl w:ilvl="8" w:tplc="0F5A5C76" w:tentative="1">
      <w:start w:val="1"/>
      <w:numFmt w:val="bullet"/>
      <w:lvlText w:val=""/>
      <w:lvlJc w:val="left"/>
      <w:pPr>
        <w:ind w:left="6480" w:hanging="360"/>
      </w:pPr>
      <w:rPr>
        <w:rFonts w:ascii="Wingdings" w:hAnsi="Wingdings" w:hint="default"/>
      </w:rPr>
    </w:lvl>
  </w:abstractNum>
  <w:abstractNum w:abstractNumId="66" w15:restartNumberingAfterBreak="0">
    <w:nsid w:val="5F260759"/>
    <w:multiLevelType w:val="hybridMultilevel"/>
    <w:tmpl w:val="694E6CFE"/>
    <w:lvl w:ilvl="0" w:tplc="1EA05024">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604923FC"/>
    <w:multiLevelType w:val="multilevel"/>
    <w:tmpl w:val="A9B2A050"/>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25D4721"/>
    <w:multiLevelType w:val="hybridMultilevel"/>
    <w:tmpl w:val="E61A26F2"/>
    <w:lvl w:ilvl="0" w:tplc="9E5CDED4">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9" w15:restartNumberingAfterBreak="0">
    <w:nsid w:val="62A6542F"/>
    <w:multiLevelType w:val="multilevel"/>
    <w:tmpl w:val="F4EA7A2E"/>
    <w:numStyleLink w:val="RomListeStil"/>
  </w:abstractNum>
  <w:abstractNum w:abstractNumId="70" w15:restartNumberingAfterBreak="0">
    <w:nsid w:val="639A6A32"/>
    <w:multiLevelType w:val="hybridMultilevel"/>
    <w:tmpl w:val="04548996"/>
    <w:lvl w:ilvl="0" w:tplc="D52A6988">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1" w15:restartNumberingAfterBreak="0">
    <w:nsid w:val="66CD06AC"/>
    <w:multiLevelType w:val="hybridMultilevel"/>
    <w:tmpl w:val="D07A95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73" w15:restartNumberingAfterBreak="0">
    <w:nsid w:val="68CD3C03"/>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4" w15:restartNumberingAfterBreak="0">
    <w:nsid w:val="694666A6"/>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697D3936"/>
    <w:multiLevelType w:val="hybridMultilevel"/>
    <w:tmpl w:val="101C419E"/>
    <w:lvl w:ilvl="0" w:tplc="FFFFFFFF">
      <w:start w:val="1"/>
      <w:numFmt w:val="bullet"/>
      <w:lvlText w:val=""/>
      <w:lvlJc w:val="left"/>
      <w:pPr>
        <w:ind w:left="765" w:hanging="360"/>
      </w:pPr>
      <w:rPr>
        <w:rFonts w:ascii="Symbol" w:hAnsi="Symbol" w:hint="default"/>
      </w:rPr>
    </w:lvl>
    <w:lvl w:ilvl="1" w:tplc="04140019" w:tentative="1">
      <w:start w:val="1"/>
      <w:numFmt w:val="bullet"/>
      <w:lvlText w:val="o"/>
      <w:lvlJc w:val="left"/>
      <w:pPr>
        <w:ind w:left="1440" w:hanging="360"/>
      </w:pPr>
      <w:rPr>
        <w:rFonts w:ascii="Courier New" w:hAnsi="Courier New" w:cs="Courier New" w:hint="default"/>
      </w:rPr>
    </w:lvl>
    <w:lvl w:ilvl="2" w:tplc="0414001B" w:tentative="1">
      <w:start w:val="1"/>
      <w:numFmt w:val="bullet"/>
      <w:lvlText w:val=""/>
      <w:lvlJc w:val="left"/>
      <w:pPr>
        <w:ind w:left="2160" w:hanging="360"/>
      </w:pPr>
      <w:rPr>
        <w:rFonts w:ascii="Wingdings" w:hAnsi="Wingdings" w:hint="default"/>
      </w:rPr>
    </w:lvl>
    <w:lvl w:ilvl="3" w:tplc="0414000F" w:tentative="1">
      <w:start w:val="1"/>
      <w:numFmt w:val="bullet"/>
      <w:lvlText w:val=""/>
      <w:lvlJc w:val="left"/>
      <w:pPr>
        <w:ind w:left="2880" w:hanging="360"/>
      </w:pPr>
      <w:rPr>
        <w:rFonts w:ascii="Symbol" w:hAnsi="Symbol" w:hint="default"/>
      </w:rPr>
    </w:lvl>
    <w:lvl w:ilvl="4" w:tplc="04140019" w:tentative="1">
      <w:start w:val="1"/>
      <w:numFmt w:val="bullet"/>
      <w:lvlText w:val="o"/>
      <w:lvlJc w:val="left"/>
      <w:pPr>
        <w:ind w:left="3600" w:hanging="360"/>
      </w:pPr>
      <w:rPr>
        <w:rFonts w:ascii="Courier New" w:hAnsi="Courier New" w:cs="Courier New" w:hint="default"/>
      </w:rPr>
    </w:lvl>
    <w:lvl w:ilvl="5" w:tplc="0414001B" w:tentative="1">
      <w:start w:val="1"/>
      <w:numFmt w:val="bullet"/>
      <w:lvlText w:val=""/>
      <w:lvlJc w:val="left"/>
      <w:pPr>
        <w:ind w:left="4320" w:hanging="360"/>
      </w:pPr>
      <w:rPr>
        <w:rFonts w:ascii="Wingdings" w:hAnsi="Wingdings" w:hint="default"/>
      </w:rPr>
    </w:lvl>
    <w:lvl w:ilvl="6" w:tplc="0414000F" w:tentative="1">
      <w:start w:val="1"/>
      <w:numFmt w:val="bullet"/>
      <w:lvlText w:val=""/>
      <w:lvlJc w:val="left"/>
      <w:pPr>
        <w:ind w:left="5040" w:hanging="360"/>
      </w:pPr>
      <w:rPr>
        <w:rFonts w:ascii="Symbol" w:hAnsi="Symbol" w:hint="default"/>
      </w:rPr>
    </w:lvl>
    <w:lvl w:ilvl="7" w:tplc="04140019" w:tentative="1">
      <w:start w:val="1"/>
      <w:numFmt w:val="bullet"/>
      <w:lvlText w:val="o"/>
      <w:lvlJc w:val="left"/>
      <w:pPr>
        <w:ind w:left="5760" w:hanging="360"/>
      </w:pPr>
      <w:rPr>
        <w:rFonts w:ascii="Courier New" w:hAnsi="Courier New" w:cs="Courier New" w:hint="default"/>
      </w:rPr>
    </w:lvl>
    <w:lvl w:ilvl="8" w:tplc="0414001B" w:tentative="1">
      <w:start w:val="1"/>
      <w:numFmt w:val="bullet"/>
      <w:lvlText w:val=""/>
      <w:lvlJc w:val="left"/>
      <w:pPr>
        <w:ind w:left="6480" w:hanging="360"/>
      </w:pPr>
      <w:rPr>
        <w:rFonts w:ascii="Wingdings" w:hAnsi="Wingdings" w:hint="default"/>
      </w:rPr>
    </w:lvl>
  </w:abstractNum>
  <w:abstractNum w:abstractNumId="76" w15:restartNumberingAfterBreak="0">
    <w:nsid w:val="69BB0097"/>
    <w:multiLevelType w:val="hybridMultilevel"/>
    <w:tmpl w:val="7A00BE40"/>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6A2966AC"/>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8" w15:restartNumberingAfterBreak="0">
    <w:nsid w:val="6C861947"/>
    <w:multiLevelType w:val="hybridMultilevel"/>
    <w:tmpl w:val="D7E297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6F642800"/>
    <w:multiLevelType w:val="hybridMultilevel"/>
    <w:tmpl w:val="8B607FC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707340CE"/>
    <w:multiLevelType w:val="hybridMultilevel"/>
    <w:tmpl w:val="CC06940A"/>
    <w:lvl w:ilvl="0" w:tplc="FFFFFFFF">
      <w:start w:val="1"/>
      <w:numFmt w:val="decimal"/>
      <w:lvlText w:val="%1"/>
      <w:lvlJc w:val="left"/>
      <w:pPr>
        <w:ind w:left="1004" w:hanging="360"/>
      </w:pPr>
      <w:rPr>
        <w:rFonts w:hint="default"/>
        <w:strike w:val="0"/>
        <w:dstrike w:val="0"/>
        <w:vertAlign w:val="superscrip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1" w15:restartNumberingAfterBreak="0">
    <w:nsid w:val="739151B1"/>
    <w:multiLevelType w:val="hybridMultilevel"/>
    <w:tmpl w:val="854EA55C"/>
    <w:lvl w:ilvl="0" w:tplc="0414000F">
      <w:start w:val="1"/>
      <w:numFmt w:val="decimal"/>
      <w:lvlText w:val="%1"/>
      <w:lvlJc w:val="left"/>
      <w:pPr>
        <w:ind w:left="72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2" w15:restartNumberingAfterBreak="0">
    <w:nsid w:val="75B90F71"/>
    <w:multiLevelType w:val="multilevel"/>
    <w:tmpl w:val="426A6CB2"/>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723"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75BB50DA"/>
    <w:multiLevelType w:val="hybridMultilevel"/>
    <w:tmpl w:val="9F26F20A"/>
    <w:lvl w:ilvl="0" w:tplc="FFFFFFFF">
      <w:start w:val="1"/>
      <w:numFmt w:val="decimal"/>
      <w:lvlText w:val="%1"/>
      <w:lvlJc w:val="left"/>
      <w:pPr>
        <w:tabs>
          <w:tab w:val="num" w:pos="720"/>
        </w:tabs>
        <w:ind w:left="720" w:hanging="360"/>
      </w:pPr>
      <w:rPr>
        <w:rFonts w:cs="Times New Roman" w:hint="default"/>
        <w:strike w:val="0"/>
        <w:dstrike w:val="0"/>
        <w:vertAlign w:val="superscrip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4" w15:restartNumberingAfterBreak="0">
    <w:nsid w:val="764214FD"/>
    <w:multiLevelType w:val="hybridMultilevel"/>
    <w:tmpl w:val="94C00A1E"/>
    <w:lvl w:ilvl="0" w:tplc="04140001">
      <w:start w:val="3"/>
      <w:numFmt w:val="bullet"/>
      <w:lvlText w:val="-"/>
      <w:lvlJc w:val="left"/>
      <w:pPr>
        <w:tabs>
          <w:tab w:val="num" w:pos="360"/>
        </w:tabs>
        <w:ind w:left="360" w:hanging="360"/>
      </w:pPr>
      <w:rPr>
        <w:rFonts w:ascii="Times New Roman" w:eastAsia="Times New Roman" w:hAnsi="Times New Roman" w:cs="Times New Roman"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79701ED1"/>
    <w:multiLevelType w:val="hybridMultilevel"/>
    <w:tmpl w:val="04548996"/>
    <w:lvl w:ilvl="0" w:tplc="D52A6988">
      <w:start w:val="1"/>
      <w:numFmt w:val="decimal"/>
      <w:lvlText w:val="%1"/>
      <w:lvlJc w:val="left"/>
      <w:pPr>
        <w:ind w:left="360" w:hanging="360"/>
      </w:pPr>
      <w:rPr>
        <w:rFonts w:hint="default"/>
        <w:strike w:val="0"/>
        <w:dstrike w:val="0"/>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79894A77"/>
    <w:multiLevelType w:val="hybridMultilevel"/>
    <w:tmpl w:val="17EC2782"/>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79DB23D4"/>
    <w:multiLevelType w:val="multilevel"/>
    <w:tmpl w:val="2804A092"/>
    <w:lvl w:ilvl="0">
      <w:start w:val="1"/>
      <w:numFmt w:val="decimal"/>
      <w:lvlText w:val="%1"/>
      <w:lvlJc w:val="left"/>
      <w:pPr>
        <w:tabs>
          <w:tab w:val="num" w:pos="397"/>
        </w:tabs>
        <w:ind w:left="397" w:hanging="397"/>
      </w:pPr>
      <w:rPr>
        <w:rFonts w:hint="default"/>
        <w:strike w:val="0"/>
        <w:dstrike w:val="0"/>
        <w:vertAlign w:val="superscrip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8" w15:restartNumberingAfterBreak="0">
    <w:nsid w:val="7BCD3FA0"/>
    <w:multiLevelType w:val="hybridMultilevel"/>
    <w:tmpl w:val="5BF2DAEA"/>
    <w:lvl w:ilvl="0" w:tplc="0C8C9996">
      <w:start w:val="1"/>
      <w:numFmt w:val="decimal"/>
      <w:lvlText w:val="%1."/>
      <w:lvlJc w:val="left"/>
      <w:pPr>
        <w:ind w:left="720" w:hanging="360"/>
      </w:pPr>
      <w:rPr>
        <w:rFonts w:hint="default"/>
      </w:rPr>
    </w:lvl>
    <w:lvl w:ilvl="1" w:tplc="8ADA6A96" w:tentative="1">
      <w:start w:val="1"/>
      <w:numFmt w:val="lowerLetter"/>
      <w:lvlText w:val="%2."/>
      <w:lvlJc w:val="left"/>
      <w:pPr>
        <w:ind w:left="1440" w:hanging="360"/>
      </w:pPr>
    </w:lvl>
    <w:lvl w:ilvl="2" w:tplc="56543E64" w:tentative="1">
      <w:start w:val="1"/>
      <w:numFmt w:val="lowerRoman"/>
      <w:lvlText w:val="%3."/>
      <w:lvlJc w:val="right"/>
      <w:pPr>
        <w:ind w:left="2160" w:hanging="180"/>
      </w:pPr>
    </w:lvl>
    <w:lvl w:ilvl="3" w:tplc="E8081A30" w:tentative="1">
      <w:start w:val="1"/>
      <w:numFmt w:val="decimal"/>
      <w:lvlText w:val="%4."/>
      <w:lvlJc w:val="left"/>
      <w:pPr>
        <w:ind w:left="2880" w:hanging="360"/>
      </w:pPr>
    </w:lvl>
    <w:lvl w:ilvl="4" w:tplc="F6DC08F6" w:tentative="1">
      <w:start w:val="1"/>
      <w:numFmt w:val="lowerLetter"/>
      <w:lvlText w:val="%5."/>
      <w:lvlJc w:val="left"/>
      <w:pPr>
        <w:ind w:left="3600" w:hanging="360"/>
      </w:pPr>
    </w:lvl>
    <w:lvl w:ilvl="5" w:tplc="1988E1C6" w:tentative="1">
      <w:start w:val="1"/>
      <w:numFmt w:val="lowerRoman"/>
      <w:lvlText w:val="%6."/>
      <w:lvlJc w:val="right"/>
      <w:pPr>
        <w:ind w:left="4320" w:hanging="180"/>
      </w:pPr>
    </w:lvl>
    <w:lvl w:ilvl="6" w:tplc="27F070FE" w:tentative="1">
      <w:start w:val="1"/>
      <w:numFmt w:val="decimal"/>
      <w:lvlText w:val="%7."/>
      <w:lvlJc w:val="left"/>
      <w:pPr>
        <w:ind w:left="5040" w:hanging="360"/>
      </w:pPr>
    </w:lvl>
    <w:lvl w:ilvl="7" w:tplc="1A161790" w:tentative="1">
      <w:start w:val="1"/>
      <w:numFmt w:val="lowerLetter"/>
      <w:lvlText w:val="%8."/>
      <w:lvlJc w:val="left"/>
      <w:pPr>
        <w:ind w:left="5760" w:hanging="360"/>
      </w:pPr>
    </w:lvl>
    <w:lvl w:ilvl="8" w:tplc="321A5D3A" w:tentative="1">
      <w:start w:val="1"/>
      <w:numFmt w:val="lowerRoman"/>
      <w:lvlText w:val="%9."/>
      <w:lvlJc w:val="right"/>
      <w:pPr>
        <w:ind w:left="6480" w:hanging="180"/>
      </w:pPr>
    </w:lvl>
  </w:abstractNum>
  <w:abstractNum w:abstractNumId="89" w15:restartNumberingAfterBreak="0">
    <w:nsid w:val="7DC07746"/>
    <w:multiLevelType w:val="hybridMultilevel"/>
    <w:tmpl w:val="5824DB1A"/>
    <w:lvl w:ilvl="0" w:tplc="1EA05024">
      <w:start w:val="1"/>
      <w:numFmt w:val="decimal"/>
      <w:lvlText w:val="%1"/>
      <w:lvlJc w:val="left"/>
      <w:pPr>
        <w:ind w:left="720" w:hanging="360"/>
      </w:pPr>
      <w:rPr>
        <w:rFonts w:hint="default"/>
        <w:vertAlign w:val="superscrip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0" w15:restartNumberingAfterBreak="0">
    <w:nsid w:val="7E96105E"/>
    <w:multiLevelType w:val="hybridMultilevel"/>
    <w:tmpl w:val="3DCC18DE"/>
    <w:lvl w:ilvl="0" w:tplc="9E5CDED4">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7F507A5F"/>
    <w:multiLevelType w:val="hybridMultilevel"/>
    <w:tmpl w:val="3DE04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56"/>
  </w:num>
  <w:num w:numId="4">
    <w:abstractNumId w:val="44"/>
  </w:num>
  <w:num w:numId="5">
    <w:abstractNumId w:val="41"/>
  </w:num>
  <w:num w:numId="6">
    <w:abstractNumId w:val="1"/>
  </w:num>
  <w:num w:numId="7">
    <w:abstractNumId w:val="30"/>
  </w:num>
  <w:num w:numId="8">
    <w:abstractNumId w:val="8"/>
  </w:num>
  <w:num w:numId="9">
    <w:abstractNumId w:val="42"/>
  </w:num>
  <w:num w:numId="10">
    <w:abstractNumId w:val="15"/>
  </w:num>
  <w:num w:numId="11">
    <w:abstractNumId w:val="69"/>
  </w:num>
  <w:num w:numId="12">
    <w:abstractNumId w:val="0"/>
  </w:num>
  <w:num w:numId="13">
    <w:abstractNumId w:val="17"/>
  </w:num>
  <w:num w:numId="14">
    <w:abstractNumId w:val="59"/>
  </w:num>
  <w:num w:numId="15">
    <w:abstractNumId w:val="72"/>
  </w:num>
  <w:num w:numId="16">
    <w:abstractNumId w:val="36"/>
  </w:num>
  <w:num w:numId="17">
    <w:abstractNumId w:val="37"/>
  </w:num>
  <w:num w:numId="18">
    <w:abstractNumId w:val="55"/>
  </w:num>
  <w:num w:numId="19">
    <w:abstractNumId w:val="22"/>
  </w:num>
  <w:num w:numId="20">
    <w:abstractNumId w:val="75"/>
  </w:num>
  <w:num w:numId="21">
    <w:abstractNumId w:val="48"/>
  </w:num>
  <w:num w:numId="22">
    <w:abstractNumId w:val="61"/>
  </w:num>
  <w:num w:numId="23">
    <w:abstractNumId w:val="13"/>
  </w:num>
  <w:num w:numId="24">
    <w:abstractNumId w:val="82"/>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9"/>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ascii="Arial" w:hAnsi="Arial" w:cs="Arial" w:hint="default"/>
          <w:b/>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8">
    <w:abstractNumId w:val="84"/>
  </w:num>
  <w:num w:numId="29">
    <w:abstractNumId w:val="9"/>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nothing"/>
        <w:lvlText w:val="Figur %1.%6 "/>
        <w:lvlJc w:val="left"/>
        <w:pPr>
          <w:ind w:left="0" w:firstLine="0"/>
        </w:pPr>
        <w:rPr>
          <w:rFonts w:hint="default"/>
        </w:rPr>
      </w:lvl>
    </w:lvlOverride>
    <w:lvlOverride w:ilvl="6">
      <w:startOverride w:val="1"/>
      <w:lvl w:ilvl="6">
        <w:start w:val="1"/>
        <w:numFmt w:val="decimal"/>
        <w:lvlRestart w:val="1"/>
        <w:pStyle w:val="tabell-tittel"/>
        <w:suff w:val="nothing"/>
        <w:lvlText w:val="Tabell %1.%7 "/>
        <w:lvlJc w:val="left"/>
        <w:pPr>
          <w:ind w:left="0" w:firstLine="0"/>
        </w:pPr>
        <w:rPr>
          <w:rFonts w:hint="default"/>
        </w:rPr>
      </w:lvl>
    </w:lvlOverride>
    <w:lvlOverride w:ilvl="7">
      <w:startOverride w:val="1"/>
      <w:lvl w:ilvl="7">
        <w:start w:val="1"/>
        <w:numFmt w:val="decimal"/>
        <w:lvlRestart w:val="1"/>
        <w:pStyle w:val="tittel-ramme"/>
        <w:suff w:val="nothing"/>
        <w:lvlText w:val="Boks %1.%8 "/>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30">
    <w:abstractNumId w:val="9"/>
    <w:lvlOverride w:ilvl="0">
      <w:lvl w:ilvl="0">
        <w:start w:val="1"/>
        <w:numFmt w:val="decimal"/>
        <w:pStyle w:val="Overskrift1"/>
        <w:lvlText w:val="%1"/>
        <w:lvlJc w:val="left"/>
        <w:pPr>
          <w:ind w:left="5111"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nothing"/>
        <w:lvlText w:val="Figur %1.%6 "/>
        <w:lvlJc w:val="left"/>
        <w:pPr>
          <w:ind w:left="0" w:firstLine="0"/>
        </w:pPr>
        <w:rPr>
          <w:rFonts w:hint="default"/>
        </w:rPr>
      </w:lvl>
    </w:lvlOverride>
    <w:lvlOverride w:ilvl="6">
      <w:lvl w:ilvl="6">
        <w:start w:val="1"/>
        <w:numFmt w:val="decimal"/>
        <w:lvlRestart w:val="1"/>
        <w:pStyle w:val="tabell-tittel"/>
        <w:suff w:val="nothing"/>
        <w:lvlText w:val="Tabell %1.%7 "/>
        <w:lvlJc w:val="left"/>
        <w:pPr>
          <w:ind w:left="0" w:firstLine="0"/>
        </w:pPr>
        <w:rPr>
          <w:rFonts w:hint="default"/>
        </w:rPr>
      </w:lvl>
    </w:lvlOverride>
    <w:lvlOverride w:ilvl="7">
      <w:lvl w:ilvl="7">
        <w:start w:val="1"/>
        <w:numFmt w:val="decimal"/>
        <w:lvlRestart w:val="1"/>
        <w:pStyle w:val="tittel-ramme"/>
        <w:suff w:val="nothing"/>
        <w:lvlText w:val="Boks %1.%8 "/>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31">
    <w:abstractNumId w:val="54"/>
  </w:num>
  <w:num w:numId="32">
    <w:abstractNumId w:val="79"/>
  </w:num>
  <w:num w:numId="33">
    <w:abstractNumId w:val="88"/>
  </w:num>
  <w:num w:numId="34">
    <w:abstractNumId w:val="9"/>
    <w:lvlOverride w:ilvl="0">
      <w:startOverride w:val="1"/>
      <w:lvl w:ilvl="0">
        <w:start w:val="1"/>
        <w:numFmt w:val="decimal"/>
        <w:pStyle w:val="Overskrift1"/>
        <w:lvlText w:val=""/>
        <w:lvlJc w:val="left"/>
      </w:lvl>
    </w:lvlOverride>
    <w:lvlOverride w:ilvl="1">
      <w:startOverride w:val="1"/>
      <w:lvl w:ilvl="1">
        <w:start w:val="1"/>
        <w:numFmt w:val="decimal"/>
        <w:pStyle w:val="Overskrift2"/>
        <w:lvlText w:val=""/>
        <w:lvlJc w:val="left"/>
      </w:lvl>
    </w:lvlOverride>
    <w:lvlOverride w:ilvl="2">
      <w:startOverride w:val="1"/>
      <w:lvl w:ilvl="2">
        <w:start w:val="1"/>
        <w:numFmt w:val="decimal"/>
        <w:pStyle w:val="Overskrift3"/>
        <w:lvlText w:val=""/>
        <w:lvlJc w:val="left"/>
      </w:lvl>
    </w:lvlOverride>
    <w:lvlOverride w:ilvl="3">
      <w:startOverride w:val="1"/>
      <w:lvl w:ilvl="3">
        <w:start w:val="1"/>
        <w:numFmt w:val="decimal"/>
        <w:pStyle w:val="Overskrift4"/>
        <w:lvlText w:val=""/>
        <w:lvlJc w:val="left"/>
      </w:lvl>
    </w:lvlOverride>
    <w:lvlOverride w:ilvl="4">
      <w:startOverride w:val="1"/>
      <w:lvl w:ilvl="4">
        <w:start w:val="1"/>
        <w:numFmt w:val="decimal"/>
        <w:pStyle w:val="Overskrift5"/>
        <w:lvlText w:val=""/>
        <w:lvlJc w:val="left"/>
      </w:lvl>
    </w:lvlOverride>
    <w:lvlOverride w:ilvl="5">
      <w:startOverride w:val="1"/>
      <w:lvl w:ilvl="5">
        <w:start w:val="1"/>
        <w:numFmt w:val="decimal"/>
        <w:pStyle w:val="figur-tittel"/>
        <w:lvlText w:val=""/>
        <w:lvlJc w:val="left"/>
      </w:lvl>
    </w:lvlOverride>
    <w:lvlOverride w:ilvl="6">
      <w:startOverride w:val="1"/>
      <w:lvl w:ilvl="6">
        <w:start w:val="1"/>
        <w:numFmt w:val="decimal"/>
        <w:lvlRestart w:val="1"/>
        <w:pStyle w:val="tabell-tittel"/>
        <w:suff w:val="nothing"/>
        <w:lvlText w:val="Tabell %1.%7 "/>
        <w:lvlJc w:val="left"/>
        <w:pPr>
          <w:ind w:left="0" w:firstLine="0"/>
        </w:pPr>
        <w:rPr>
          <w:rFonts w:hint="default"/>
          <w:b w:val="0"/>
          <w:color w:val="000000" w:themeColor="text1"/>
        </w:rPr>
      </w:lvl>
    </w:lvlOverride>
    <w:lvlOverride w:ilvl="7">
      <w:startOverride w:val="1"/>
      <w:lvl w:ilvl="7">
        <w:start w:val="1"/>
        <w:numFmt w:val="decimal"/>
        <w:pStyle w:val="tittel-ramme"/>
        <w:lvlText w:val=""/>
        <w:lvlJc w:val="left"/>
      </w:lvl>
    </w:lvlOverride>
    <w:lvlOverride w:ilvl="8">
      <w:startOverride w:val="1"/>
      <w:lvl w:ilvl="8">
        <w:start w:val="1"/>
        <w:numFmt w:val="decimal"/>
        <w:lvlText w:val=""/>
        <w:lvlJc w:val="left"/>
      </w:lvl>
    </w:lvlOverride>
  </w:num>
  <w:num w:numId="35">
    <w:abstractNumId w:val="21"/>
  </w:num>
  <w:num w:numId="36">
    <w:abstractNumId w:val="65"/>
  </w:num>
  <w:num w:numId="37">
    <w:abstractNumId w:val="76"/>
  </w:num>
  <w:num w:numId="38">
    <w:abstractNumId w:val="86"/>
  </w:num>
  <w:num w:numId="39">
    <w:abstractNumId w:val="6"/>
  </w:num>
  <w:num w:numId="40">
    <w:abstractNumId w:val="45"/>
  </w:num>
  <w:num w:numId="41">
    <w:abstractNumId w:val="71"/>
  </w:num>
  <w:num w:numId="42">
    <w:abstractNumId w:val="78"/>
  </w:num>
  <w:num w:numId="43">
    <w:abstractNumId w:val="91"/>
  </w:num>
  <w:num w:numId="44">
    <w:abstractNumId w:val="68"/>
  </w:num>
  <w:num w:numId="45">
    <w:abstractNumId w:val="33"/>
  </w:num>
  <w:num w:numId="46">
    <w:abstractNumId w:val="90"/>
  </w:num>
  <w:num w:numId="47">
    <w:abstractNumId w:val="23"/>
  </w:num>
  <w:num w:numId="48">
    <w:abstractNumId w:val="28"/>
  </w:num>
  <w:num w:numId="49">
    <w:abstractNumId w:val="43"/>
  </w:num>
  <w:num w:numId="50">
    <w:abstractNumId w:val="12"/>
  </w:num>
  <w:num w:numId="51">
    <w:abstractNumId w:val="35"/>
  </w:num>
  <w:num w:numId="52">
    <w:abstractNumId w:val="11"/>
  </w:num>
  <w:num w:numId="53">
    <w:abstractNumId w:val="62"/>
  </w:num>
  <w:num w:numId="54">
    <w:abstractNumId w:val="83"/>
  </w:num>
  <w:num w:numId="55">
    <w:abstractNumId w:val="80"/>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num>
  <w:num w:numId="58">
    <w:abstractNumId w:val="3"/>
  </w:num>
  <w:num w:numId="59">
    <w:abstractNumId w:val="25"/>
  </w:num>
  <w:num w:numId="60">
    <w:abstractNumId w:val="51"/>
  </w:num>
  <w:num w:numId="61">
    <w:abstractNumId w:val="49"/>
  </w:num>
  <w:num w:numId="62">
    <w:abstractNumId w:val="89"/>
  </w:num>
  <w:num w:numId="63">
    <w:abstractNumId w:val="26"/>
  </w:num>
  <w:num w:numId="64">
    <w:abstractNumId w:val="67"/>
  </w:num>
  <w:num w:numId="65">
    <w:abstractNumId w:val="29"/>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num>
  <w:num w:numId="68">
    <w:abstractNumId w:val="46"/>
  </w:num>
  <w:num w:numId="69">
    <w:abstractNumId w:val="34"/>
  </w:num>
  <w:num w:numId="70">
    <w:abstractNumId w:val="7"/>
  </w:num>
  <w:num w:numId="71">
    <w:abstractNumId w:val="85"/>
  </w:num>
  <w:num w:numId="72">
    <w:abstractNumId w:val="70"/>
  </w:num>
  <w:num w:numId="73">
    <w:abstractNumId w:val="2"/>
  </w:num>
  <w:num w:numId="74">
    <w:abstractNumId w:val="87"/>
  </w:num>
  <w:num w:numId="75">
    <w:abstractNumId w:val="9"/>
    <w:lvlOverride w:ilvl="5">
      <w:lvl w:ilvl="5">
        <w:start w:val="1"/>
        <w:numFmt w:val="decimal"/>
        <w:lvlRestart w:val="1"/>
        <w:pStyle w:val="figur-tittel"/>
        <w:suff w:val="nothing"/>
        <w:lvlText w:val="Figur %1.%6 "/>
        <w:lvlJc w:val="left"/>
        <w:pPr>
          <w:ind w:left="0" w:firstLine="0"/>
        </w:pPr>
        <w:rPr>
          <w:rFonts w:hint="default"/>
          <w:color w:val="auto"/>
        </w:rPr>
      </w:lvl>
    </w:lvlOverride>
    <w:lvlOverride w:ilvl="6">
      <w:lvl w:ilvl="6">
        <w:start w:val="1"/>
        <w:numFmt w:val="decimal"/>
        <w:lvlRestart w:val="1"/>
        <w:pStyle w:val="tabell-tittel"/>
        <w:suff w:val="nothing"/>
        <w:lvlText w:val="Tabell %1.%7 "/>
        <w:lvlJc w:val="left"/>
        <w:pPr>
          <w:ind w:left="0" w:firstLine="0"/>
        </w:pPr>
        <w:rPr>
          <w:rFonts w:hint="default"/>
        </w:rPr>
      </w:lvl>
    </w:lvlOverride>
  </w:num>
  <w:num w:numId="76">
    <w:abstractNumId w:val="18"/>
  </w:num>
  <w:num w:numId="77">
    <w:abstractNumId w:val="52"/>
  </w:num>
  <w:num w:numId="78">
    <w:abstractNumId w:val="14"/>
  </w:num>
  <w:num w:numId="79">
    <w:abstractNumId w:val="16"/>
  </w:num>
  <w:num w:numId="80">
    <w:abstractNumId w:val="27"/>
  </w:num>
  <w:num w:numId="81">
    <w:abstractNumId w:val="57"/>
  </w:num>
  <w:num w:numId="82">
    <w:abstractNumId w:val="73"/>
  </w:num>
  <w:num w:numId="83">
    <w:abstractNumId w:val="77"/>
  </w:num>
  <w:num w:numId="84">
    <w:abstractNumId w:val="32"/>
  </w:num>
  <w:num w:numId="85">
    <w:abstractNumId w:val="53"/>
  </w:num>
  <w:num w:numId="86">
    <w:abstractNumId w:val="63"/>
  </w:num>
  <w:num w:numId="87">
    <w:abstractNumId w:val="4"/>
  </w:num>
  <w:num w:numId="88">
    <w:abstractNumId w:val="19"/>
  </w:num>
  <w:num w:numId="89">
    <w:abstractNumId w:val="81"/>
  </w:num>
  <w:num w:numId="90">
    <w:abstractNumId w:val="39"/>
  </w:num>
  <w:num w:numId="91">
    <w:abstractNumId w:val="58"/>
  </w:num>
  <w:num w:numId="92">
    <w:abstractNumId w:val="31"/>
  </w:num>
  <w:num w:numId="93">
    <w:abstractNumId w:val="74"/>
  </w:num>
  <w:num w:numId="94">
    <w:abstractNumId w:val="66"/>
  </w:num>
  <w:num w:numId="95">
    <w:abstractNumId w:val="47"/>
  </w:num>
  <w:num w:numId="96">
    <w:abstractNumId w:val="64"/>
  </w:num>
  <w:num w:numId="97">
    <w:abstractNumId w:val="10"/>
  </w:num>
  <w:num w:numId="98">
    <w:abstractNumId w:val="40"/>
  </w:num>
  <w:num w:numId="99">
    <w:abstractNumId w:val="60"/>
  </w:num>
  <w:num w:numId="100">
    <w:abstractNumId w:val="9"/>
    <w:lvlOverride w:ilvl="5">
      <w:lvl w:ilvl="5">
        <w:start w:val="1"/>
        <w:numFmt w:val="decimal"/>
        <w:lvlRestart w:val="1"/>
        <w:pStyle w:val="figur-tittel"/>
        <w:suff w:val="nothing"/>
        <w:lvlText w:val="Figur %1.%6 "/>
        <w:lvlJc w:val="left"/>
        <w:pPr>
          <w:ind w:left="0" w:firstLine="0"/>
        </w:pPr>
        <w:rPr>
          <w:rFonts w:hint="default"/>
          <w:color w:val="auto"/>
        </w:rPr>
      </w:lvl>
    </w:lvlOverride>
  </w:num>
  <w:num w:numId="101">
    <w:abstractNumId w:val="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03F"/>
    <w:rsid w:val="00000483"/>
    <w:rsid w:val="0000059B"/>
    <w:rsid w:val="00000676"/>
    <w:rsid w:val="00000C65"/>
    <w:rsid w:val="00000DD1"/>
    <w:rsid w:val="00001629"/>
    <w:rsid w:val="00003078"/>
    <w:rsid w:val="000031F6"/>
    <w:rsid w:val="000032B0"/>
    <w:rsid w:val="00003925"/>
    <w:rsid w:val="00004B30"/>
    <w:rsid w:val="00004BAE"/>
    <w:rsid w:val="000053B3"/>
    <w:rsid w:val="000053C3"/>
    <w:rsid w:val="000065D5"/>
    <w:rsid w:val="00006AE2"/>
    <w:rsid w:val="00006EAB"/>
    <w:rsid w:val="00006F88"/>
    <w:rsid w:val="000077BA"/>
    <w:rsid w:val="000101CE"/>
    <w:rsid w:val="00010E58"/>
    <w:rsid w:val="00010EE0"/>
    <w:rsid w:val="000113CE"/>
    <w:rsid w:val="000116D2"/>
    <w:rsid w:val="000123E8"/>
    <w:rsid w:val="00012A22"/>
    <w:rsid w:val="00012CDB"/>
    <w:rsid w:val="00013897"/>
    <w:rsid w:val="00014223"/>
    <w:rsid w:val="0001493A"/>
    <w:rsid w:val="00015DF1"/>
    <w:rsid w:val="00016E67"/>
    <w:rsid w:val="00017275"/>
    <w:rsid w:val="00017386"/>
    <w:rsid w:val="0001787B"/>
    <w:rsid w:val="000202F4"/>
    <w:rsid w:val="00020344"/>
    <w:rsid w:val="00022754"/>
    <w:rsid w:val="00022A8F"/>
    <w:rsid w:val="00023930"/>
    <w:rsid w:val="00023A71"/>
    <w:rsid w:val="000243B1"/>
    <w:rsid w:val="000243EE"/>
    <w:rsid w:val="000245B9"/>
    <w:rsid w:val="00024B45"/>
    <w:rsid w:val="00025785"/>
    <w:rsid w:val="000259F9"/>
    <w:rsid w:val="000266BE"/>
    <w:rsid w:val="00026CD5"/>
    <w:rsid w:val="00027BE7"/>
    <w:rsid w:val="00027C5B"/>
    <w:rsid w:val="00027E67"/>
    <w:rsid w:val="0003000E"/>
    <w:rsid w:val="000300DE"/>
    <w:rsid w:val="00030A13"/>
    <w:rsid w:val="00031000"/>
    <w:rsid w:val="0003153D"/>
    <w:rsid w:val="00031BA1"/>
    <w:rsid w:val="0003214A"/>
    <w:rsid w:val="000323D3"/>
    <w:rsid w:val="00034097"/>
    <w:rsid w:val="0003432E"/>
    <w:rsid w:val="0003545A"/>
    <w:rsid w:val="00036712"/>
    <w:rsid w:val="00036984"/>
    <w:rsid w:val="00036B23"/>
    <w:rsid w:val="00036BA5"/>
    <w:rsid w:val="00036E6E"/>
    <w:rsid w:val="000371A4"/>
    <w:rsid w:val="0004009A"/>
    <w:rsid w:val="000416D9"/>
    <w:rsid w:val="00041A5E"/>
    <w:rsid w:val="00041CA2"/>
    <w:rsid w:val="00042776"/>
    <w:rsid w:val="00042AA7"/>
    <w:rsid w:val="00042FC5"/>
    <w:rsid w:val="00043040"/>
    <w:rsid w:val="000434B0"/>
    <w:rsid w:val="00043E26"/>
    <w:rsid w:val="00044BA2"/>
    <w:rsid w:val="00044E8C"/>
    <w:rsid w:val="00044FC9"/>
    <w:rsid w:val="0004569C"/>
    <w:rsid w:val="000459E7"/>
    <w:rsid w:val="00045FAD"/>
    <w:rsid w:val="00046131"/>
    <w:rsid w:val="000463DA"/>
    <w:rsid w:val="00046D62"/>
    <w:rsid w:val="0004709C"/>
    <w:rsid w:val="000477F0"/>
    <w:rsid w:val="000477F4"/>
    <w:rsid w:val="00050D02"/>
    <w:rsid w:val="00050D06"/>
    <w:rsid w:val="0005188B"/>
    <w:rsid w:val="00051E25"/>
    <w:rsid w:val="00052CF6"/>
    <w:rsid w:val="00053028"/>
    <w:rsid w:val="000536DA"/>
    <w:rsid w:val="0005382A"/>
    <w:rsid w:val="00054035"/>
    <w:rsid w:val="00054A78"/>
    <w:rsid w:val="00054D3C"/>
    <w:rsid w:val="00054EC6"/>
    <w:rsid w:val="00055102"/>
    <w:rsid w:val="000604D3"/>
    <w:rsid w:val="000617D2"/>
    <w:rsid w:val="00061819"/>
    <w:rsid w:val="000618FF"/>
    <w:rsid w:val="000621D4"/>
    <w:rsid w:val="00062F0E"/>
    <w:rsid w:val="000633E3"/>
    <w:rsid w:val="000642BB"/>
    <w:rsid w:val="00064C18"/>
    <w:rsid w:val="00064FE5"/>
    <w:rsid w:val="00065983"/>
    <w:rsid w:val="00065D7B"/>
    <w:rsid w:val="00065E6B"/>
    <w:rsid w:val="0006699B"/>
    <w:rsid w:val="0006780D"/>
    <w:rsid w:val="0006788A"/>
    <w:rsid w:val="00067DB4"/>
    <w:rsid w:val="00070492"/>
    <w:rsid w:val="0007074A"/>
    <w:rsid w:val="00070E6B"/>
    <w:rsid w:val="000720D1"/>
    <w:rsid w:val="00072CAA"/>
    <w:rsid w:val="00072DFA"/>
    <w:rsid w:val="00072F19"/>
    <w:rsid w:val="00073508"/>
    <w:rsid w:val="000748C0"/>
    <w:rsid w:val="000748E9"/>
    <w:rsid w:val="000756AA"/>
    <w:rsid w:val="00075864"/>
    <w:rsid w:val="000764F9"/>
    <w:rsid w:val="0007691C"/>
    <w:rsid w:val="00076DA5"/>
    <w:rsid w:val="00077077"/>
    <w:rsid w:val="000777F3"/>
    <w:rsid w:val="00077A3C"/>
    <w:rsid w:val="000804AA"/>
    <w:rsid w:val="00080603"/>
    <w:rsid w:val="00080FA1"/>
    <w:rsid w:val="000814F9"/>
    <w:rsid w:val="000819E7"/>
    <w:rsid w:val="00081D0A"/>
    <w:rsid w:val="00081DB9"/>
    <w:rsid w:val="0008288A"/>
    <w:rsid w:val="0008354D"/>
    <w:rsid w:val="00083940"/>
    <w:rsid w:val="00084544"/>
    <w:rsid w:val="000849A7"/>
    <w:rsid w:val="000856AD"/>
    <w:rsid w:val="00086230"/>
    <w:rsid w:val="00086565"/>
    <w:rsid w:val="00086FB8"/>
    <w:rsid w:val="00087073"/>
    <w:rsid w:val="0008731A"/>
    <w:rsid w:val="000874D8"/>
    <w:rsid w:val="0008763F"/>
    <w:rsid w:val="00087DC3"/>
    <w:rsid w:val="000903B7"/>
    <w:rsid w:val="0009043D"/>
    <w:rsid w:val="00092B46"/>
    <w:rsid w:val="00092B5F"/>
    <w:rsid w:val="00092DB8"/>
    <w:rsid w:val="00093140"/>
    <w:rsid w:val="0009338C"/>
    <w:rsid w:val="00093534"/>
    <w:rsid w:val="0009391D"/>
    <w:rsid w:val="000944E7"/>
    <w:rsid w:val="0009518A"/>
    <w:rsid w:val="00095F8A"/>
    <w:rsid w:val="00097419"/>
    <w:rsid w:val="000A032A"/>
    <w:rsid w:val="000A0507"/>
    <w:rsid w:val="000A06D3"/>
    <w:rsid w:val="000A0DC2"/>
    <w:rsid w:val="000A0EDA"/>
    <w:rsid w:val="000A148B"/>
    <w:rsid w:val="000A16F5"/>
    <w:rsid w:val="000A1D76"/>
    <w:rsid w:val="000A1EA9"/>
    <w:rsid w:val="000A2012"/>
    <w:rsid w:val="000A2913"/>
    <w:rsid w:val="000A2941"/>
    <w:rsid w:val="000A339F"/>
    <w:rsid w:val="000A3536"/>
    <w:rsid w:val="000A3D12"/>
    <w:rsid w:val="000A4178"/>
    <w:rsid w:val="000A5D63"/>
    <w:rsid w:val="000A5DDD"/>
    <w:rsid w:val="000A5EC3"/>
    <w:rsid w:val="000A62CC"/>
    <w:rsid w:val="000A6853"/>
    <w:rsid w:val="000A7A47"/>
    <w:rsid w:val="000A7B27"/>
    <w:rsid w:val="000A7DB1"/>
    <w:rsid w:val="000B0A8F"/>
    <w:rsid w:val="000B228D"/>
    <w:rsid w:val="000B24E4"/>
    <w:rsid w:val="000B2588"/>
    <w:rsid w:val="000B3250"/>
    <w:rsid w:val="000B3334"/>
    <w:rsid w:val="000B374C"/>
    <w:rsid w:val="000B3AB9"/>
    <w:rsid w:val="000B42C3"/>
    <w:rsid w:val="000B4524"/>
    <w:rsid w:val="000B4E80"/>
    <w:rsid w:val="000B522E"/>
    <w:rsid w:val="000B53EB"/>
    <w:rsid w:val="000B5D80"/>
    <w:rsid w:val="000B6974"/>
    <w:rsid w:val="000B6AA7"/>
    <w:rsid w:val="000C05A4"/>
    <w:rsid w:val="000C08ED"/>
    <w:rsid w:val="000C0D53"/>
    <w:rsid w:val="000C10D5"/>
    <w:rsid w:val="000C1254"/>
    <w:rsid w:val="000C150F"/>
    <w:rsid w:val="000C1899"/>
    <w:rsid w:val="000C18B9"/>
    <w:rsid w:val="000C1D6D"/>
    <w:rsid w:val="000C2EED"/>
    <w:rsid w:val="000C38FC"/>
    <w:rsid w:val="000C4EC6"/>
    <w:rsid w:val="000C67D9"/>
    <w:rsid w:val="000C7E8F"/>
    <w:rsid w:val="000D0235"/>
    <w:rsid w:val="000D08A3"/>
    <w:rsid w:val="000D160C"/>
    <w:rsid w:val="000D1B65"/>
    <w:rsid w:val="000D2248"/>
    <w:rsid w:val="000D23A6"/>
    <w:rsid w:val="000D2920"/>
    <w:rsid w:val="000D31D0"/>
    <w:rsid w:val="000D3401"/>
    <w:rsid w:val="000D451B"/>
    <w:rsid w:val="000D4FB8"/>
    <w:rsid w:val="000D5E11"/>
    <w:rsid w:val="000D7514"/>
    <w:rsid w:val="000D78C0"/>
    <w:rsid w:val="000E135D"/>
    <w:rsid w:val="000E189E"/>
    <w:rsid w:val="000E1980"/>
    <w:rsid w:val="000E1CC9"/>
    <w:rsid w:val="000E1E77"/>
    <w:rsid w:val="000E2906"/>
    <w:rsid w:val="000E3AA5"/>
    <w:rsid w:val="000E3E03"/>
    <w:rsid w:val="000E426A"/>
    <w:rsid w:val="000E44BD"/>
    <w:rsid w:val="000E498D"/>
    <w:rsid w:val="000E5486"/>
    <w:rsid w:val="000E59B2"/>
    <w:rsid w:val="000E6303"/>
    <w:rsid w:val="000E634C"/>
    <w:rsid w:val="000E691C"/>
    <w:rsid w:val="000E6DC9"/>
    <w:rsid w:val="000E6E07"/>
    <w:rsid w:val="000E6F8B"/>
    <w:rsid w:val="000E71BA"/>
    <w:rsid w:val="000E7907"/>
    <w:rsid w:val="000E7EA6"/>
    <w:rsid w:val="000F0406"/>
    <w:rsid w:val="000F09AF"/>
    <w:rsid w:val="000F14A7"/>
    <w:rsid w:val="000F19E8"/>
    <w:rsid w:val="000F1DE1"/>
    <w:rsid w:val="000F31A6"/>
    <w:rsid w:val="000F38C9"/>
    <w:rsid w:val="000F4FFB"/>
    <w:rsid w:val="000F5005"/>
    <w:rsid w:val="000F5E69"/>
    <w:rsid w:val="000F6A19"/>
    <w:rsid w:val="000F6C6E"/>
    <w:rsid w:val="000F6D32"/>
    <w:rsid w:val="000F7176"/>
    <w:rsid w:val="000F7498"/>
    <w:rsid w:val="000F75F9"/>
    <w:rsid w:val="000F79AD"/>
    <w:rsid w:val="000F7C04"/>
    <w:rsid w:val="00100093"/>
    <w:rsid w:val="00100F06"/>
    <w:rsid w:val="0010118E"/>
    <w:rsid w:val="00102062"/>
    <w:rsid w:val="00102335"/>
    <w:rsid w:val="00102609"/>
    <w:rsid w:val="00103155"/>
    <w:rsid w:val="001037E8"/>
    <w:rsid w:val="001046BE"/>
    <w:rsid w:val="00104E22"/>
    <w:rsid w:val="001051F4"/>
    <w:rsid w:val="00105598"/>
    <w:rsid w:val="00106716"/>
    <w:rsid w:val="00106A2B"/>
    <w:rsid w:val="001072BF"/>
    <w:rsid w:val="001074F6"/>
    <w:rsid w:val="00107C4A"/>
    <w:rsid w:val="00110185"/>
    <w:rsid w:val="0011169E"/>
    <w:rsid w:val="00112240"/>
    <w:rsid w:val="00112B57"/>
    <w:rsid w:val="00113696"/>
    <w:rsid w:val="001136E5"/>
    <w:rsid w:val="00114037"/>
    <w:rsid w:val="00114873"/>
    <w:rsid w:val="00115100"/>
    <w:rsid w:val="00115936"/>
    <w:rsid w:val="0011602F"/>
    <w:rsid w:val="00117391"/>
    <w:rsid w:val="001173B6"/>
    <w:rsid w:val="0011769A"/>
    <w:rsid w:val="00117A6C"/>
    <w:rsid w:val="001205D3"/>
    <w:rsid w:val="00121488"/>
    <w:rsid w:val="00121D27"/>
    <w:rsid w:val="0012283F"/>
    <w:rsid w:val="00123426"/>
    <w:rsid w:val="001236B9"/>
    <w:rsid w:val="00124653"/>
    <w:rsid w:val="0012484A"/>
    <w:rsid w:val="00127262"/>
    <w:rsid w:val="00127442"/>
    <w:rsid w:val="00127A34"/>
    <w:rsid w:val="00127C36"/>
    <w:rsid w:val="00130C9A"/>
    <w:rsid w:val="0013321E"/>
    <w:rsid w:val="00134137"/>
    <w:rsid w:val="0013476D"/>
    <w:rsid w:val="001349BF"/>
    <w:rsid w:val="0013553C"/>
    <w:rsid w:val="001359A6"/>
    <w:rsid w:val="00135ABE"/>
    <w:rsid w:val="00135B87"/>
    <w:rsid w:val="0013650B"/>
    <w:rsid w:val="00136713"/>
    <w:rsid w:val="00136A21"/>
    <w:rsid w:val="00136CFE"/>
    <w:rsid w:val="001376FE"/>
    <w:rsid w:val="00137810"/>
    <w:rsid w:val="001379B2"/>
    <w:rsid w:val="00137E8B"/>
    <w:rsid w:val="00137EDD"/>
    <w:rsid w:val="00137F4C"/>
    <w:rsid w:val="001404D1"/>
    <w:rsid w:val="00140733"/>
    <w:rsid w:val="00140CE9"/>
    <w:rsid w:val="0014107E"/>
    <w:rsid w:val="0014110D"/>
    <w:rsid w:val="001415C5"/>
    <w:rsid w:val="001420EB"/>
    <w:rsid w:val="00142771"/>
    <w:rsid w:val="001428E4"/>
    <w:rsid w:val="0014330A"/>
    <w:rsid w:val="00143426"/>
    <w:rsid w:val="001438F2"/>
    <w:rsid w:val="00143AE0"/>
    <w:rsid w:val="0014427F"/>
    <w:rsid w:val="00144E25"/>
    <w:rsid w:val="001460FD"/>
    <w:rsid w:val="001466C4"/>
    <w:rsid w:val="00146965"/>
    <w:rsid w:val="00146A56"/>
    <w:rsid w:val="00146F74"/>
    <w:rsid w:val="001471F1"/>
    <w:rsid w:val="00147B4D"/>
    <w:rsid w:val="00147B70"/>
    <w:rsid w:val="001501EA"/>
    <w:rsid w:val="0015036C"/>
    <w:rsid w:val="001507E4"/>
    <w:rsid w:val="001513A3"/>
    <w:rsid w:val="00151C7C"/>
    <w:rsid w:val="00152516"/>
    <w:rsid w:val="00152C33"/>
    <w:rsid w:val="00152E57"/>
    <w:rsid w:val="00153AF1"/>
    <w:rsid w:val="00154636"/>
    <w:rsid w:val="00154DA8"/>
    <w:rsid w:val="00154DE9"/>
    <w:rsid w:val="001552D9"/>
    <w:rsid w:val="00156133"/>
    <w:rsid w:val="001572D1"/>
    <w:rsid w:val="0015736D"/>
    <w:rsid w:val="0016022D"/>
    <w:rsid w:val="00160275"/>
    <w:rsid w:val="0016069F"/>
    <w:rsid w:val="00161237"/>
    <w:rsid w:val="001618C8"/>
    <w:rsid w:val="00161FAC"/>
    <w:rsid w:val="0016203D"/>
    <w:rsid w:val="0016453F"/>
    <w:rsid w:val="00164810"/>
    <w:rsid w:val="001649DF"/>
    <w:rsid w:val="00164FC8"/>
    <w:rsid w:val="001658A9"/>
    <w:rsid w:val="00165E12"/>
    <w:rsid w:val="00166A13"/>
    <w:rsid w:val="00170922"/>
    <w:rsid w:val="00170DD4"/>
    <w:rsid w:val="001718B4"/>
    <w:rsid w:val="00172520"/>
    <w:rsid w:val="001728FE"/>
    <w:rsid w:val="0017480B"/>
    <w:rsid w:val="00175592"/>
    <w:rsid w:val="001762F6"/>
    <w:rsid w:val="00177151"/>
    <w:rsid w:val="001801E9"/>
    <w:rsid w:val="001805E3"/>
    <w:rsid w:val="001808D0"/>
    <w:rsid w:val="00180A8B"/>
    <w:rsid w:val="00180E65"/>
    <w:rsid w:val="00183891"/>
    <w:rsid w:val="001838E8"/>
    <w:rsid w:val="00183DAA"/>
    <w:rsid w:val="00183E8A"/>
    <w:rsid w:val="001853F3"/>
    <w:rsid w:val="00186523"/>
    <w:rsid w:val="00186B84"/>
    <w:rsid w:val="00186C80"/>
    <w:rsid w:val="001875C2"/>
    <w:rsid w:val="001902FA"/>
    <w:rsid w:val="00190C32"/>
    <w:rsid w:val="00190DEE"/>
    <w:rsid w:val="00191054"/>
    <w:rsid w:val="0019189B"/>
    <w:rsid w:val="00192466"/>
    <w:rsid w:val="00192E47"/>
    <w:rsid w:val="00192EBB"/>
    <w:rsid w:val="00194930"/>
    <w:rsid w:val="00195445"/>
    <w:rsid w:val="00195AF5"/>
    <w:rsid w:val="0019694A"/>
    <w:rsid w:val="00196CA6"/>
    <w:rsid w:val="00196CCF"/>
    <w:rsid w:val="00197238"/>
    <w:rsid w:val="001A046E"/>
    <w:rsid w:val="001A0DC5"/>
    <w:rsid w:val="001A1474"/>
    <w:rsid w:val="001A1F92"/>
    <w:rsid w:val="001A3262"/>
    <w:rsid w:val="001A34C7"/>
    <w:rsid w:val="001A3DAB"/>
    <w:rsid w:val="001A43CB"/>
    <w:rsid w:val="001A4819"/>
    <w:rsid w:val="001A5144"/>
    <w:rsid w:val="001A552B"/>
    <w:rsid w:val="001A573E"/>
    <w:rsid w:val="001A5FF7"/>
    <w:rsid w:val="001A66B9"/>
    <w:rsid w:val="001A6B21"/>
    <w:rsid w:val="001A7055"/>
    <w:rsid w:val="001A712F"/>
    <w:rsid w:val="001A7CD4"/>
    <w:rsid w:val="001A7F81"/>
    <w:rsid w:val="001B0045"/>
    <w:rsid w:val="001B0A39"/>
    <w:rsid w:val="001B0D91"/>
    <w:rsid w:val="001B0E67"/>
    <w:rsid w:val="001B24C0"/>
    <w:rsid w:val="001B2C1D"/>
    <w:rsid w:val="001B31F2"/>
    <w:rsid w:val="001B35AF"/>
    <w:rsid w:val="001B39AE"/>
    <w:rsid w:val="001B3B0B"/>
    <w:rsid w:val="001B4757"/>
    <w:rsid w:val="001B487B"/>
    <w:rsid w:val="001B4DEE"/>
    <w:rsid w:val="001B53C9"/>
    <w:rsid w:val="001B567E"/>
    <w:rsid w:val="001B6B67"/>
    <w:rsid w:val="001B75BB"/>
    <w:rsid w:val="001B766D"/>
    <w:rsid w:val="001B7739"/>
    <w:rsid w:val="001B798B"/>
    <w:rsid w:val="001C036A"/>
    <w:rsid w:val="001C0E84"/>
    <w:rsid w:val="001C1230"/>
    <w:rsid w:val="001C15F7"/>
    <w:rsid w:val="001C1E78"/>
    <w:rsid w:val="001C1EE2"/>
    <w:rsid w:val="001C22ED"/>
    <w:rsid w:val="001C261E"/>
    <w:rsid w:val="001C2B75"/>
    <w:rsid w:val="001C30B7"/>
    <w:rsid w:val="001C3310"/>
    <w:rsid w:val="001C3910"/>
    <w:rsid w:val="001C3E2D"/>
    <w:rsid w:val="001C4E0E"/>
    <w:rsid w:val="001C5D9A"/>
    <w:rsid w:val="001C5E38"/>
    <w:rsid w:val="001C62FC"/>
    <w:rsid w:val="001C69CD"/>
    <w:rsid w:val="001C72FC"/>
    <w:rsid w:val="001C7384"/>
    <w:rsid w:val="001C7A32"/>
    <w:rsid w:val="001C7B8E"/>
    <w:rsid w:val="001C7B94"/>
    <w:rsid w:val="001D11EC"/>
    <w:rsid w:val="001D1CA2"/>
    <w:rsid w:val="001D1F92"/>
    <w:rsid w:val="001D1FD7"/>
    <w:rsid w:val="001D2703"/>
    <w:rsid w:val="001D2B2E"/>
    <w:rsid w:val="001D3146"/>
    <w:rsid w:val="001D3A58"/>
    <w:rsid w:val="001D3EF2"/>
    <w:rsid w:val="001D532C"/>
    <w:rsid w:val="001D581C"/>
    <w:rsid w:val="001D5F54"/>
    <w:rsid w:val="001D682C"/>
    <w:rsid w:val="001E07D8"/>
    <w:rsid w:val="001E0C42"/>
    <w:rsid w:val="001E0E83"/>
    <w:rsid w:val="001E1D6F"/>
    <w:rsid w:val="001E2BC6"/>
    <w:rsid w:val="001E3856"/>
    <w:rsid w:val="001E3A1E"/>
    <w:rsid w:val="001E3B69"/>
    <w:rsid w:val="001E3BAC"/>
    <w:rsid w:val="001E510A"/>
    <w:rsid w:val="001E527C"/>
    <w:rsid w:val="001E5849"/>
    <w:rsid w:val="001E6462"/>
    <w:rsid w:val="001E68B9"/>
    <w:rsid w:val="001E6C4C"/>
    <w:rsid w:val="001E79A0"/>
    <w:rsid w:val="001E7F03"/>
    <w:rsid w:val="001F025D"/>
    <w:rsid w:val="001F047F"/>
    <w:rsid w:val="001F07B3"/>
    <w:rsid w:val="001F16A4"/>
    <w:rsid w:val="001F2D50"/>
    <w:rsid w:val="001F3FE6"/>
    <w:rsid w:val="001F436B"/>
    <w:rsid w:val="001F551D"/>
    <w:rsid w:val="001F5BDC"/>
    <w:rsid w:val="001F62FE"/>
    <w:rsid w:val="001F691B"/>
    <w:rsid w:val="001F6B94"/>
    <w:rsid w:val="001F7001"/>
    <w:rsid w:val="001F7D52"/>
    <w:rsid w:val="00200D24"/>
    <w:rsid w:val="00201293"/>
    <w:rsid w:val="002019F1"/>
    <w:rsid w:val="00202466"/>
    <w:rsid w:val="00202CEA"/>
    <w:rsid w:val="00206448"/>
    <w:rsid w:val="002073A1"/>
    <w:rsid w:val="00207721"/>
    <w:rsid w:val="002103F7"/>
    <w:rsid w:val="002104CC"/>
    <w:rsid w:val="00210880"/>
    <w:rsid w:val="00210EA3"/>
    <w:rsid w:val="002111C4"/>
    <w:rsid w:val="002111C5"/>
    <w:rsid w:val="00211743"/>
    <w:rsid w:val="00211EF5"/>
    <w:rsid w:val="002124A0"/>
    <w:rsid w:val="002129D7"/>
    <w:rsid w:val="0021383E"/>
    <w:rsid w:val="00214AC5"/>
    <w:rsid w:val="002155AE"/>
    <w:rsid w:val="00216930"/>
    <w:rsid w:val="00216A4D"/>
    <w:rsid w:val="00216BDC"/>
    <w:rsid w:val="00216D6A"/>
    <w:rsid w:val="00217951"/>
    <w:rsid w:val="00217B84"/>
    <w:rsid w:val="00217E95"/>
    <w:rsid w:val="002209E8"/>
    <w:rsid w:val="00221970"/>
    <w:rsid w:val="00221E39"/>
    <w:rsid w:val="002230A4"/>
    <w:rsid w:val="00223290"/>
    <w:rsid w:val="0022390E"/>
    <w:rsid w:val="00223C3E"/>
    <w:rsid w:val="00223F84"/>
    <w:rsid w:val="0022401A"/>
    <w:rsid w:val="00224165"/>
    <w:rsid w:val="00224205"/>
    <w:rsid w:val="00224C3D"/>
    <w:rsid w:val="00224C3F"/>
    <w:rsid w:val="00224E09"/>
    <w:rsid w:val="0022572D"/>
    <w:rsid w:val="002257A6"/>
    <w:rsid w:val="002257F8"/>
    <w:rsid w:val="00225F53"/>
    <w:rsid w:val="002261D4"/>
    <w:rsid w:val="0022664A"/>
    <w:rsid w:val="00226905"/>
    <w:rsid w:val="00226F94"/>
    <w:rsid w:val="0022787F"/>
    <w:rsid w:val="00227C30"/>
    <w:rsid w:val="00227E52"/>
    <w:rsid w:val="0023009B"/>
    <w:rsid w:val="00230EB0"/>
    <w:rsid w:val="002316D1"/>
    <w:rsid w:val="00231817"/>
    <w:rsid w:val="002318FD"/>
    <w:rsid w:val="002333D8"/>
    <w:rsid w:val="00233F7D"/>
    <w:rsid w:val="002347DC"/>
    <w:rsid w:val="00234819"/>
    <w:rsid w:val="00234E27"/>
    <w:rsid w:val="00235C30"/>
    <w:rsid w:val="00235DA1"/>
    <w:rsid w:val="002363D3"/>
    <w:rsid w:val="00236E87"/>
    <w:rsid w:val="00237016"/>
    <w:rsid w:val="00237CC1"/>
    <w:rsid w:val="00240473"/>
    <w:rsid w:val="002409F7"/>
    <w:rsid w:val="00241DDE"/>
    <w:rsid w:val="00242DA9"/>
    <w:rsid w:val="00243426"/>
    <w:rsid w:val="00244799"/>
    <w:rsid w:val="002456E4"/>
    <w:rsid w:val="002457B8"/>
    <w:rsid w:val="00245AF8"/>
    <w:rsid w:val="00246816"/>
    <w:rsid w:val="00246993"/>
    <w:rsid w:val="00246C73"/>
    <w:rsid w:val="00246C78"/>
    <w:rsid w:val="00246CAA"/>
    <w:rsid w:val="002478C5"/>
    <w:rsid w:val="00247FE6"/>
    <w:rsid w:val="002504A4"/>
    <w:rsid w:val="002511D0"/>
    <w:rsid w:val="002515CA"/>
    <w:rsid w:val="00251A01"/>
    <w:rsid w:val="0025219E"/>
    <w:rsid w:val="00252FA9"/>
    <w:rsid w:val="002530ED"/>
    <w:rsid w:val="0025317F"/>
    <w:rsid w:val="0025342A"/>
    <w:rsid w:val="002536DB"/>
    <w:rsid w:val="00253A7B"/>
    <w:rsid w:val="00253BBC"/>
    <w:rsid w:val="00253BE8"/>
    <w:rsid w:val="00253C2A"/>
    <w:rsid w:val="00253C32"/>
    <w:rsid w:val="00255491"/>
    <w:rsid w:val="00255839"/>
    <w:rsid w:val="00256C7F"/>
    <w:rsid w:val="00256EE0"/>
    <w:rsid w:val="00260A70"/>
    <w:rsid w:val="00261A1E"/>
    <w:rsid w:val="002639F0"/>
    <w:rsid w:val="00263E01"/>
    <w:rsid w:val="00264021"/>
    <w:rsid w:val="00264030"/>
    <w:rsid w:val="002641FA"/>
    <w:rsid w:val="002642F9"/>
    <w:rsid w:val="00264AE0"/>
    <w:rsid w:val="00265243"/>
    <w:rsid w:val="00265934"/>
    <w:rsid w:val="00265BCA"/>
    <w:rsid w:val="00266CEC"/>
    <w:rsid w:val="00266F2B"/>
    <w:rsid w:val="002677F6"/>
    <w:rsid w:val="002701F1"/>
    <w:rsid w:val="0027044E"/>
    <w:rsid w:val="0027240B"/>
    <w:rsid w:val="002727DC"/>
    <w:rsid w:val="002739CC"/>
    <w:rsid w:val="002740D7"/>
    <w:rsid w:val="0027458F"/>
    <w:rsid w:val="00274851"/>
    <w:rsid w:val="00274A67"/>
    <w:rsid w:val="002752D3"/>
    <w:rsid w:val="0027535D"/>
    <w:rsid w:val="00275971"/>
    <w:rsid w:val="00276206"/>
    <w:rsid w:val="00276A09"/>
    <w:rsid w:val="00276C35"/>
    <w:rsid w:val="00276CDD"/>
    <w:rsid w:val="00277273"/>
    <w:rsid w:val="0027779D"/>
    <w:rsid w:val="002777DE"/>
    <w:rsid w:val="0028062F"/>
    <w:rsid w:val="002811FE"/>
    <w:rsid w:val="00281A31"/>
    <w:rsid w:val="00281F28"/>
    <w:rsid w:val="00282582"/>
    <w:rsid w:val="00282CD8"/>
    <w:rsid w:val="00282E2B"/>
    <w:rsid w:val="002832AE"/>
    <w:rsid w:val="002839AF"/>
    <w:rsid w:val="002840C4"/>
    <w:rsid w:val="002842DB"/>
    <w:rsid w:val="002842F1"/>
    <w:rsid w:val="00284CE6"/>
    <w:rsid w:val="00286177"/>
    <w:rsid w:val="00286325"/>
    <w:rsid w:val="0028683E"/>
    <w:rsid w:val="002900F4"/>
    <w:rsid w:val="00290352"/>
    <w:rsid w:val="0029069D"/>
    <w:rsid w:val="00290B90"/>
    <w:rsid w:val="00290FE6"/>
    <w:rsid w:val="00291299"/>
    <w:rsid w:val="00291411"/>
    <w:rsid w:val="00291430"/>
    <w:rsid w:val="00291FB0"/>
    <w:rsid w:val="002920AC"/>
    <w:rsid w:val="002921D5"/>
    <w:rsid w:val="00292705"/>
    <w:rsid w:val="00292F61"/>
    <w:rsid w:val="002930E3"/>
    <w:rsid w:val="0029318E"/>
    <w:rsid w:val="00293900"/>
    <w:rsid w:val="00294353"/>
    <w:rsid w:val="0029536E"/>
    <w:rsid w:val="002955CD"/>
    <w:rsid w:val="00295A57"/>
    <w:rsid w:val="00296111"/>
    <w:rsid w:val="002961D1"/>
    <w:rsid w:val="002969F6"/>
    <w:rsid w:val="00297466"/>
    <w:rsid w:val="00297753"/>
    <w:rsid w:val="00297E5A"/>
    <w:rsid w:val="002A06FA"/>
    <w:rsid w:val="002A087D"/>
    <w:rsid w:val="002A1C08"/>
    <w:rsid w:val="002A1C9F"/>
    <w:rsid w:val="002A23EF"/>
    <w:rsid w:val="002A2A96"/>
    <w:rsid w:val="002A3026"/>
    <w:rsid w:val="002A31C4"/>
    <w:rsid w:val="002A448D"/>
    <w:rsid w:val="002A451A"/>
    <w:rsid w:val="002A51C9"/>
    <w:rsid w:val="002A56E8"/>
    <w:rsid w:val="002A5BD9"/>
    <w:rsid w:val="002A7A8B"/>
    <w:rsid w:val="002A7BBD"/>
    <w:rsid w:val="002A7F7A"/>
    <w:rsid w:val="002B0485"/>
    <w:rsid w:val="002B050F"/>
    <w:rsid w:val="002B0702"/>
    <w:rsid w:val="002B0858"/>
    <w:rsid w:val="002B195C"/>
    <w:rsid w:val="002B1A0B"/>
    <w:rsid w:val="002B2162"/>
    <w:rsid w:val="002B2172"/>
    <w:rsid w:val="002B2710"/>
    <w:rsid w:val="002B2EA1"/>
    <w:rsid w:val="002B3E68"/>
    <w:rsid w:val="002B4493"/>
    <w:rsid w:val="002B4E9B"/>
    <w:rsid w:val="002B506F"/>
    <w:rsid w:val="002B6289"/>
    <w:rsid w:val="002B664A"/>
    <w:rsid w:val="002B6AD2"/>
    <w:rsid w:val="002B736C"/>
    <w:rsid w:val="002B7E2F"/>
    <w:rsid w:val="002C04A6"/>
    <w:rsid w:val="002C04C7"/>
    <w:rsid w:val="002C103F"/>
    <w:rsid w:val="002C1741"/>
    <w:rsid w:val="002C2C6A"/>
    <w:rsid w:val="002C321E"/>
    <w:rsid w:val="002C3810"/>
    <w:rsid w:val="002C4098"/>
    <w:rsid w:val="002C4E78"/>
    <w:rsid w:val="002C5095"/>
    <w:rsid w:val="002C50C0"/>
    <w:rsid w:val="002C5A2C"/>
    <w:rsid w:val="002C5E7C"/>
    <w:rsid w:val="002C627F"/>
    <w:rsid w:val="002C69E1"/>
    <w:rsid w:val="002C6FCC"/>
    <w:rsid w:val="002C7123"/>
    <w:rsid w:val="002C7A07"/>
    <w:rsid w:val="002C7E59"/>
    <w:rsid w:val="002D0804"/>
    <w:rsid w:val="002D153B"/>
    <w:rsid w:val="002D242A"/>
    <w:rsid w:val="002D2C31"/>
    <w:rsid w:val="002D2CEC"/>
    <w:rsid w:val="002D2E25"/>
    <w:rsid w:val="002D34F7"/>
    <w:rsid w:val="002D397E"/>
    <w:rsid w:val="002D4225"/>
    <w:rsid w:val="002D5EA6"/>
    <w:rsid w:val="002D66E0"/>
    <w:rsid w:val="002D6BF7"/>
    <w:rsid w:val="002D7623"/>
    <w:rsid w:val="002E093D"/>
    <w:rsid w:val="002E0AE0"/>
    <w:rsid w:val="002E12A3"/>
    <w:rsid w:val="002E13CB"/>
    <w:rsid w:val="002E24CE"/>
    <w:rsid w:val="002E3804"/>
    <w:rsid w:val="002E3B36"/>
    <w:rsid w:val="002E3FAB"/>
    <w:rsid w:val="002E4081"/>
    <w:rsid w:val="002E46A9"/>
    <w:rsid w:val="002E5440"/>
    <w:rsid w:val="002E5608"/>
    <w:rsid w:val="002E5648"/>
    <w:rsid w:val="002E5D26"/>
    <w:rsid w:val="002E6368"/>
    <w:rsid w:val="002E769D"/>
    <w:rsid w:val="002F03E4"/>
    <w:rsid w:val="002F095F"/>
    <w:rsid w:val="002F0F01"/>
    <w:rsid w:val="002F1644"/>
    <w:rsid w:val="002F1D16"/>
    <w:rsid w:val="002F25A6"/>
    <w:rsid w:val="002F2C23"/>
    <w:rsid w:val="002F3915"/>
    <w:rsid w:val="002F3B49"/>
    <w:rsid w:val="002F3B7E"/>
    <w:rsid w:val="002F3C69"/>
    <w:rsid w:val="002F4CB9"/>
    <w:rsid w:val="002F5137"/>
    <w:rsid w:val="002F52B6"/>
    <w:rsid w:val="002F60F6"/>
    <w:rsid w:val="002F6426"/>
    <w:rsid w:val="002F69E3"/>
    <w:rsid w:val="002F6B20"/>
    <w:rsid w:val="002F7B4D"/>
    <w:rsid w:val="002F7FC5"/>
    <w:rsid w:val="00302737"/>
    <w:rsid w:val="00302A12"/>
    <w:rsid w:val="00302E60"/>
    <w:rsid w:val="003031B8"/>
    <w:rsid w:val="003049E3"/>
    <w:rsid w:val="0030531D"/>
    <w:rsid w:val="00306820"/>
    <w:rsid w:val="00306E9C"/>
    <w:rsid w:val="0030710A"/>
    <w:rsid w:val="00307407"/>
    <w:rsid w:val="0030751B"/>
    <w:rsid w:val="0030795B"/>
    <w:rsid w:val="00307F55"/>
    <w:rsid w:val="003105EE"/>
    <w:rsid w:val="00311128"/>
    <w:rsid w:val="003112B6"/>
    <w:rsid w:val="00311367"/>
    <w:rsid w:val="00311378"/>
    <w:rsid w:val="00311A8F"/>
    <w:rsid w:val="00311CAA"/>
    <w:rsid w:val="00311D1E"/>
    <w:rsid w:val="0031262B"/>
    <w:rsid w:val="00312640"/>
    <w:rsid w:val="00312D3A"/>
    <w:rsid w:val="00312EDC"/>
    <w:rsid w:val="00313501"/>
    <w:rsid w:val="003136A1"/>
    <w:rsid w:val="003145AA"/>
    <w:rsid w:val="00315FF3"/>
    <w:rsid w:val="003162BD"/>
    <w:rsid w:val="003168DF"/>
    <w:rsid w:val="00316981"/>
    <w:rsid w:val="00317204"/>
    <w:rsid w:val="00317248"/>
    <w:rsid w:val="00320DCE"/>
    <w:rsid w:val="00320ECD"/>
    <w:rsid w:val="00321598"/>
    <w:rsid w:val="00321889"/>
    <w:rsid w:val="00321C4F"/>
    <w:rsid w:val="003223BF"/>
    <w:rsid w:val="00322A62"/>
    <w:rsid w:val="003232D5"/>
    <w:rsid w:val="00323AB1"/>
    <w:rsid w:val="003241DD"/>
    <w:rsid w:val="00324551"/>
    <w:rsid w:val="00324854"/>
    <w:rsid w:val="00325077"/>
    <w:rsid w:val="00325A9D"/>
    <w:rsid w:val="00325D04"/>
    <w:rsid w:val="00326019"/>
    <w:rsid w:val="00326CDB"/>
    <w:rsid w:val="00326E65"/>
    <w:rsid w:val="003279C1"/>
    <w:rsid w:val="0033027A"/>
    <w:rsid w:val="00330EC7"/>
    <w:rsid w:val="00332659"/>
    <w:rsid w:val="00332C45"/>
    <w:rsid w:val="00332D80"/>
    <w:rsid w:val="00333B6A"/>
    <w:rsid w:val="0033472F"/>
    <w:rsid w:val="00335AA8"/>
    <w:rsid w:val="00336035"/>
    <w:rsid w:val="00336E39"/>
    <w:rsid w:val="00340519"/>
    <w:rsid w:val="0034056C"/>
    <w:rsid w:val="00340775"/>
    <w:rsid w:val="00341155"/>
    <w:rsid w:val="00341A03"/>
    <w:rsid w:val="00341BC9"/>
    <w:rsid w:val="003428F4"/>
    <w:rsid w:val="00343F33"/>
    <w:rsid w:val="0034426D"/>
    <w:rsid w:val="00344487"/>
    <w:rsid w:val="003453CD"/>
    <w:rsid w:val="00345582"/>
    <w:rsid w:val="0034600C"/>
    <w:rsid w:val="003464D7"/>
    <w:rsid w:val="00346646"/>
    <w:rsid w:val="00346695"/>
    <w:rsid w:val="00346A0E"/>
    <w:rsid w:val="0035066C"/>
    <w:rsid w:val="00350B2D"/>
    <w:rsid w:val="00350DA1"/>
    <w:rsid w:val="00351706"/>
    <w:rsid w:val="00351D13"/>
    <w:rsid w:val="00352293"/>
    <w:rsid w:val="00353612"/>
    <w:rsid w:val="00353C63"/>
    <w:rsid w:val="003540EF"/>
    <w:rsid w:val="00355026"/>
    <w:rsid w:val="00355E99"/>
    <w:rsid w:val="00356AB1"/>
    <w:rsid w:val="00357A9A"/>
    <w:rsid w:val="00357C61"/>
    <w:rsid w:val="003621AD"/>
    <w:rsid w:val="00362852"/>
    <w:rsid w:val="0036311B"/>
    <w:rsid w:val="00363B75"/>
    <w:rsid w:val="00364642"/>
    <w:rsid w:val="00364674"/>
    <w:rsid w:val="0036498F"/>
    <w:rsid w:val="00364CF0"/>
    <w:rsid w:val="0036535C"/>
    <w:rsid w:val="00366265"/>
    <w:rsid w:val="0036688F"/>
    <w:rsid w:val="00366918"/>
    <w:rsid w:val="0036738D"/>
    <w:rsid w:val="00367552"/>
    <w:rsid w:val="003679E8"/>
    <w:rsid w:val="00367EA9"/>
    <w:rsid w:val="003700C7"/>
    <w:rsid w:val="00370926"/>
    <w:rsid w:val="0037143F"/>
    <w:rsid w:val="00371FB0"/>
    <w:rsid w:val="00372507"/>
    <w:rsid w:val="00372C81"/>
    <w:rsid w:val="00372D6E"/>
    <w:rsid w:val="00373038"/>
    <w:rsid w:val="003744D5"/>
    <w:rsid w:val="0037479D"/>
    <w:rsid w:val="00374F16"/>
    <w:rsid w:val="0037548C"/>
    <w:rsid w:val="003754FF"/>
    <w:rsid w:val="00375D4A"/>
    <w:rsid w:val="00377857"/>
    <w:rsid w:val="003811EF"/>
    <w:rsid w:val="003822BC"/>
    <w:rsid w:val="0038264C"/>
    <w:rsid w:val="00384CFA"/>
    <w:rsid w:val="00385396"/>
    <w:rsid w:val="0038539F"/>
    <w:rsid w:val="00386993"/>
    <w:rsid w:val="00386FE3"/>
    <w:rsid w:val="00387766"/>
    <w:rsid w:val="00387884"/>
    <w:rsid w:val="0039016B"/>
    <w:rsid w:val="00390E3A"/>
    <w:rsid w:val="00391114"/>
    <w:rsid w:val="00392151"/>
    <w:rsid w:val="0039254F"/>
    <w:rsid w:val="003926F9"/>
    <w:rsid w:val="003927D1"/>
    <w:rsid w:val="003933C6"/>
    <w:rsid w:val="0039399C"/>
    <w:rsid w:val="00394537"/>
    <w:rsid w:val="003946FE"/>
    <w:rsid w:val="00394FB4"/>
    <w:rsid w:val="0039521E"/>
    <w:rsid w:val="00395B5C"/>
    <w:rsid w:val="00395F5B"/>
    <w:rsid w:val="00396194"/>
    <w:rsid w:val="00396A22"/>
    <w:rsid w:val="003973F8"/>
    <w:rsid w:val="003A10FC"/>
    <w:rsid w:val="003A153E"/>
    <w:rsid w:val="003A1897"/>
    <w:rsid w:val="003A1C40"/>
    <w:rsid w:val="003A225B"/>
    <w:rsid w:val="003A24C5"/>
    <w:rsid w:val="003A3037"/>
    <w:rsid w:val="003A3138"/>
    <w:rsid w:val="003A4558"/>
    <w:rsid w:val="003A4736"/>
    <w:rsid w:val="003A4AD5"/>
    <w:rsid w:val="003A4F5E"/>
    <w:rsid w:val="003A5FD7"/>
    <w:rsid w:val="003A64B4"/>
    <w:rsid w:val="003A6940"/>
    <w:rsid w:val="003A718B"/>
    <w:rsid w:val="003A7757"/>
    <w:rsid w:val="003B000C"/>
    <w:rsid w:val="003B0A5C"/>
    <w:rsid w:val="003B125B"/>
    <w:rsid w:val="003B19AA"/>
    <w:rsid w:val="003B296C"/>
    <w:rsid w:val="003B3204"/>
    <w:rsid w:val="003B3444"/>
    <w:rsid w:val="003B42E3"/>
    <w:rsid w:val="003B4A70"/>
    <w:rsid w:val="003B51B2"/>
    <w:rsid w:val="003B5C77"/>
    <w:rsid w:val="003B6BD9"/>
    <w:rsid w:val="003B7418"/>
    <w:rsid w:val="003B77EF"/>
    <w:rsid w:val="003B7A58"/>
    <w:rsid w:val="003C18DE"/>
    <w:rsid w:val="003C1ABC"/>
    <w:rsid w:val="003C1F92"/>
    <w:rsid w:val="003C2AC9"/>
    <w:rsid w:val="003C37BD"/>
    <w:rsid w:val="003C3D4C"/>
    <w:rsid w:val="003C44B2"/>
    <w:rsid w:val="003C4F89"/>
    <w:rsid w:val="003C56E3"/>
    <w:rsid w:val="003C64E7"/>
    <w:rsid w:val="003C6C99"/>
    <w:rsid w:val="003C7A17"/>
    <w:rsid w:val="003D053D"/>
    <w:rsid w:val="003D0A47"/>
    <w:rsid w:val="003D0FF8"/>
    <w:rsid w:val="003D2444"/>
    <w:rsid w:val="003D357D"/>
    <w:rsid w:val="003D44CE"/>
    <w:rsid w:val="003D4C06"/>
    <w:rsid w:val="003D5DEB"/>
    <w:rsid w:val="003D5F39"/>
    <w:rsid w:val="003D629D"/>
    <w:rsid w:val="003D7C83"/>
    <w:rsid w:val="003D7EA9"/>
    <w:rsid w:val="003D7F7A"/>
    <w:rsid w:val="003E08B4"/>
    <w:rsid w:val="003E0B56"/>
    <w:rsid w:val="003E1596"/>
    <w:rsid w:val="003E1B79"/>
    <w:rsid w:val="003E1D7C"/>
    <w:rsid w:val="003E2312"/>
    <w:rsid w:val="003E2B81"/>
    <w:rsid w:val="003E3545"/>
    <w:rsid w:val="003E37F5"/>
    <w:rsid w:val="003E3800"/>
    <w:rsid w:val="003E3C62"/>
    <w:rsid w:val="003E495B"/>
    <w:rsid w:val="003E540B"/>
    <w:rsid w:val="003E5957"/>
    <w:rsid w:val="003E5B00"/>
    <w:rsid w:val="003E5D29"/>
    <w:rsid w:val="003E62E9"/>
    <w:rsid w:val="003E670F"/>
    <w:rsid w:val="003E701B"/>
    <w:rsid w:val="003E727B"/>
    <w:rsid w:val="003E7404"/>
    <w:rsid w:val="003E757E"/>
    <w:rsid w:val="003F0A66"/>
    <w:rsid w:val="003F12B7"/>
    <w:rsid w:val="003F12ED"/>
    <w:rsid w:val="003F13C3"/>
    <w:rsid w:val="003F14A2"/>
    <w:rsid w:val="003F2180"/>
    <w:rsid w:val="003F2259"/>
    <w:rsid w:val="003F2D91"/>
    <w:rsid w:val="003F334F"/>
    <w:rsid w:val="003F44AC"/>
    <w:rsid w:val="003F4A7E"/>
    <w:rsid w:val="003F5070"/>
    <w:rsid w:val="003F5905"/>
    <w:rsid w:val="003F5F82"/>
    <w:rsid w:val="003F69B5"/>
    <w:rsid w:val="003F6C60"/>
    <w:rsid w:val="003F7750"/>
    <w:rsid w:val="004003DD"/>
    <w:rsid w:val="004009C3"/>
    <w:rsid w:val="004013D8"/>
    <w:rsid w:val="004015A4"/>
    <w:rsid w:val="00403AD5"/>
    <w:rsid w:val="00403E7B"/>
    <w:rsid w:val="004054FD"/>
    <w:rsid w:val="00405FF8"/>
    <w:rsid w:val="004065E8"/>
    <w:rsid w:val="004067BF"/>
    <w:rsid w:val="00407ACF"/>
    <w:rsid w:val="00407C6D"/>
    <w:rsid w:val="00407FA4"/>
    <w:rsid w:val="00410393"/>
    <w:rsid w:val="004104FE"/>
    <w:rsid w:val="00410E70"/>
    <w:rsid w:val="00410F3C"/>
    <w:rsid w:val="00411D2E"/>
    <w:rsid w:val="0041294A"/>
    <w:rsid w:val="004135E5"/>
    <w:rsid w:val="00413DFF"/>
    <w:rsid w:val="00414066"/>
    <w:rsid w:val="004143F9"/>
    <w:rsid w:val="00414A0B"/>
    <w:rsid w:val="00414A73"/>
    <w:rsid w:val="00414EA8"/>
    <w:rsid w:val="0041507A"/>
    <w:rsid w:val="00415411"/>
    <w:rsid w:val="00415816"/>
    <w:rsid w:val="00415BA4"/>
    <w:rsid w:val="00415DEA"/>
    <w:rsid w:val="00416512"/>
    <w:rsid w:val="00417FF8"/>
    <w:rsid w:val="004200C1"/>
    <w:rsid w:val="00420398"/>
    <w:rsid w:val="00420C13"/>
    <w:rsid w:val="00420E18"/>
    <w:rsid w:val="00420FF6"/>
    <w:rsid w:val="0042150A"/>
    <w:rsid w:val="00422655"/>
    <w:rsid w:val="00423A13"/>
    <w:rsid w:val="004257AC"/>
    <w:rsid w:val="00426CFB"/>
    <w:rsid w:val="00426D84"/>
    <w:rsid w:val="004272F5"/>
    <w:rsid w:val="0042770E"/>
    <w:rsid w:val="00430049"/>
    <w:rsid w:val="00430DF7"/>
    <w:rsid w:val="0043142B"/>
    <w:rsid w:val="00431506"/>
    <w:rsid w:val="00431E2F"/>
    <w:rsid w:val="00432132"/>
    <w:rsid w:val="0043263C"/>
    <w:rsid w:val="0043281F"/>
    <w:rsid w:val="00432B5F"/>
    <w:rsid w:val="004330EB"/>
    <w:rsid w:val="0043411C"/>
    <w:rsid w:val="00434936"/>
    <w:rsid w:val="00434A45"/>
    <w:rsid w:val="00434C45"/>
    <w:rsid w:val="004355FB"/>
    <w:rsid w:val="00435783"/>
    <w:rsid w:val="00436A7E"/>
    <w:rsid w:val="00437357"/>
    <w:rsid w:val="00437BE6"/>
    <w:rsid w:val="00437DD2"/>
    <w:rsid w:val="00437DE1"/>
    <w:rsid w:val="004407FB"/>
    <w:rsid w:val="00440B8A"/>
    <w:rsid w:val="00440F52"/>
    <w:rsid w:val="004423C0"/>
    <w:rsid w:val="0044277C"/>
    <w:rsid w:val="004428B3"/>
    <w:rsid w:val="00442B96"/>
    <w:rsid w:val="004432E2"/>
    <w:rsid w:val="0044337C"/>
    <w:rsid w:val="00444886"/>
    <w:rsid w:val="00445648"/>
    <w:rsid w:val="00445968"/>
    <w:rsid w:val="00446E8A"/>
    <w:rsid w:val="00447614"/>
    <w:rsid w:val="00447B44"/>
    <w:rsid w:val="00447F8B"/>
    <w:rsid w:val="00450308"/>
    <w:rsid w:val="00450DCF"/>
    <w:rsid w:val="00450E0B"/>
    <w:rsid w:val="004510A8"/>
    <w:rsid w:val="00451BEE"/>
    <w:rsid w:val="00451F47"/>
    <w:rsid w:val="0045274F"/>
    <w:rsid w:val="004529D0"/>
    <w:rsid w:val="004529D9"/>
    <w:rsid w:val="00452CAD"/>
    <w:rsid w:val="00452DE3"/>
    <w:rsid w:val="00452EFE"/>
    <w:rsid w:val="00453C58"/>
    <w:rsid w:val="004554E2"/>
    <w:rsid w:val="004566FC"/>
    <w:rsid w:val="0045786B"/>
    <w:rsid w:val="00460432"/>
    <w:rsid w:val="00460514"/>
    <w:rsid w:val="00461EE7"/>
    <w:rsid w:val="00462003"/>
    <w:rsid w:val="00462A96"/>
    <w:rsid w:val="00462ABE"/>
    <w:rsid w:val="00462B43"/>
    <w:rsid w:val="00462CEA"/>
    <w:rsid w:val="004632F3"/>
    <w:rsid w:val="004635F6"/>
    <w:rsid w:val="00463C39"/>
    <w:rsid w:val="00465FA4"/>
    <w:rsid w:val="00466EC9"/>
    <w:rsid w:val="00467526"/>
    <w:rsid w:val="00467A04"/>
    <w:rsid w:val="00467A82"/>
    <w:rsid w:val="00467E96"/>
    <w:rsid w:val="004703E3"/>
    <w:rsid w:val="004713B2"/>
    <w:rsid w:val="00471ADC"/>
    <w:rsid w:val="004721BB"/>
    <w:rsid w:val="0047239E"/>
    <w:rsid w:val="00472604"/>
    <w:rsid w:val="004726A5"/>
    <w:rsid w:val="00472E0F"/>
    <w:rsid w:val="00472EF9"/>
    <w:rsid w:val="004736BF"/>
    <w:rsid w:val="00473E2A"/>
    <w:rsid w:val="00473F28"/>
    <w:rsid w:val="00474799"/>
    <w:rsid w:val="00474AEA"/>
    <w:rsid w:val="00474C10"/>
    <w:rsid w:val="00474F4B"/>
    <w:rsid w:val="00475B64"/>
    <w:rsid w:val="00475C6B"/>
    <w:rsid w:val="00475D72"/>
    <w:rsid w:val="00476D1C"/>
    <w:rsid w:val="004779A9"/>
    <w:rsid w:val="00477CEE"/>
    <w:rsid w:val="00480321"/>
    <w:rsid w:val="00480F2F"/>
    <w:rsid w:val="00481935"/>
    <w:rsid w:val="00482BB6"/>
    <w:rsid w:val="004837C0"/>
    <w:rsid w:val="004841C5"/>
    <w:rsid w:val="00484926"/>
    <w:rsid w:val="00485185"/>
    <w:rsid w:val="00485468"/>
    <w:rsid w:val="00485EC6"/>
    <w:rsid w:val="004869A6"/>
    <w:rsid w:val="00486EBB"/>
    <w:rsid w:val="00486FBF"/>
    <w:rsid w:val="00487558"/>
    <w:rsid w:val="0048770F"/>
    <w:rsid w:val="00490108"/>
    <w:rsid w:val="00490AEF"/>
    <w:rsid w:val="00490EF9"/>
    <w:rsid w:val="00491C1A"/>
    <w:rsid w:val="00491FBA"/>
    <w:rsid w:val="00492767"/>
    <w:rsid w:val="0049295C"/>
    <w:rsid w:val="00492A87"/>
    <w:rsid w:val="00493084"/>
    <w:rsid w:val="00493602"/>
    <w:rsid w:val="00493842"/>
    <w:rsid w:val="00493A9C"/>
    <w:rsid w:val="004942F3"/>
    <w:rsid w:val="004948B5"/>
    <w:rsid w:val="00495539"/>
    <w:rsid w:val="004957F2"/>
    <w:rsid w:val="00495EFF"/>
    <w:rsid w:val="004A0016"/>
    <w:rsid w:val="004A0C93"/>
    <w:rsid w:val="004A1732"/>
    <w:rsid w:val="004A2A13"/>
    <w:rsid w:val="004A2D75"/>
    <w:rsid w:val="004A3324"/>
    <w:rsid w:val="004A341B"/>
    <w:rsid w:val="004A3997"/>
    <w:rsid w:val="004A4DEF"/>
    <w:rsid w:val="004A4E83"/>
    <w:rsid w:val="004A53B2"/>
    <w:rsid w:val="004A5729"/>
    <w:rsid w:val="004A58B0"/>
    <w:rsid w:val="004A5A10"/>
    <w:rsid w:val="004A5AB1"/>
    <w:rsid w:val="004A5B77"/>
    <w:rsid w:val="004A63D5"/>
    <w:rsid w:val="004A6F1D"/>
    <w:rsid w:val="004A712A"/>
    <w:rsid w:val="004A7801"/>
    <w:rsid w:val="004B1201"/>
    <w:rsid w:val="004B18C7"/>
    <w:rsid w:val="004B1A77"/>
    <w:rsid w:val="004B1CF6"/>
    <w:rsid w:val="004B1E5C"/>
    <w:rsid w:val="004B1EC9"/>
    <w:rsid w:val="004B23CF"/>
    <w:rsid w:val="004B4A9B"/>
    <w:rsid w:val="004B51F0"/>
    <w:rsid w:val="004B57F7"/>
    <w:rsid w:val="004B6D0E"/>
    <w:rsid w:val="004B6E88"/>
    <w:rsid w:val="004C21EE"/>
    <w:rsid w:val="004C2407"/>
    <w:rsid w:val="004C2BB7"/>
    <w:rsid w:val="004C39DB"/>
    <w:rsid w:val="004C3A1B"/>
    <w:rsid w:val="004C4A6C"/>
    <w:rsid w:val="004C502D"/>
    <w:rsid w:val="004C5037"/>
    <w:rsid w:val="004C510F"/>
    <w:rsid w:val="004C57D3"/>
    <w:rsid w:val="004C5B45"/>
    <w:rsid w:val="004D0806"/>
    <w:rsid w:val="004D0A96"/>
    <w:rsid w:val="004D11CA"/>
    <w:rsid w:val="004D15AD"/>
    <w:rsid w:val="004D1BA3"/>
    <w:rsid w:val="004D2308"/>
    <w:rsid w:val="004D2BFD"/>
    <w:rsid w:val="004D3249"/>
    <w:rsid w:val="004D3549"/>
    <w:rsid w:val="004D3875"/>
    <w:rsid w:val="004D4C03"/>
    <w:rsid w:val="004D5301"/>
    <w:rsid w:val="004D69A7"/>
    <w:rsid w:val="004D728C"/>
    <w:rsid w:val="004D79C5"/>
    <w:rsid w:val="004D7E65"/>
    <w:rsid w:val="004E0189"/>
    <w:rsid w:val="004E086F"/>
    <w:rsid w:val="004E0F84"/>
    <w:rsid w:val="004E11F5"/>
    <w:rsid w:val="004E1709"/>
    <w:rsid w:val="004E1C1A"/>
    <w:rsid w:val="004E43BC"/>
    <w:rsid w:val="004E46FD"/>
    <w:rsid w:val="004E4B8B"/>
    <w:rsid w:val="004E56A5"/>
    <w:rsid w:val="004E6CC3"/>
    <w:rsid w:val="004E6D51"/>
    <w:rsid w:val="004E761E"/>
    <w:rsid w:val="004E788C"/>
    <w:rsid w:val="004E7BE9"/>
    <w:rsid w:val="004F0303"/>
    <w:rsid w:val="004F042B"/>
    <w:rsid w:val="004F04B8"/>
    <w:rsid w:val="004F08EC"/>
    <w:rsid w:val="004F124E"/>
    <w:rsid w:val="004F1FF4"/>
    <w:rsid w:val="004F2322"/>
    <w:rsid w:val="004F3723"/>
    <w:rsid w:val="004F37F8"/>
    <w:rsid w:val="004F39B0"/>
    <w:rsid w:val="004F3C3B"/>
    <w:rsid w:val="004F4EF1"/>
    <w:rsid w:val="004F66AA"/>
    <w:rsid w:val="004F6B8F"/>
    <w:rsid w:val="004F7B12"/>
    <w:rsid w:val="0050014A"/>
    <w:rsid w:val="00500F40"/>
    <w:rsid w:val="005021DE"/>
    <w:rsid w:val="005026C6"/>
    <w:rsid w:val="00502C40"/>
    <w:rsid w:val="00503612"/>
    <w:rsid w:val="00504110"/>
    <w:rsid w:val="005046B7"/>
    <w:rsid w:val="00504C4A"/>
    <w:rsid w:val="0050719F"/>
    <w:rsid w:val="00507DC9"/>
    <w:rsid w:val="00510204"/>
    <w:rsid w:val="00510BD0"/>
    <w:rsid w:val="00510D76"/>
    <w:rsid w:val="00511515"/>
    <w:rsid w:val="00512593"/>
    <w:rsid w:val="0051299D"/>
    <w:rsid w:val="00512B16"/>
    <w:rsid w:val="0051322A"/>
    <w:rsid w:val="00513D86"/>
    <w:rsid w:val="0051408B"/>
    <w:rsid w:val="00514B12"/>
    <w:rsid w:val="005157FC"/>
    <w:rsid w:val="00515B03"/>
    <w:rsid w:val="00515E71"/>
    <w:rsid w:val="00516174"/>
    <w:rsid w:val="00517392"/>
    <w:rsid w:val="0052332F"/>
    <w:rsid w:val="00523EE1"/>
    <w:rsid w:val="005253CA"/>
    <w:rsid w:val="005259C4"/>
    <w:rsid w:val="00526511"/>
    <w:rsid w:val="005268E7"/>
    <w:rsid w:val="00526929"/>
    <w:rsid w:val="0052707B"/>
    <w:rsid w:val="00527D91"/>
    <w:rsid w:val="00527EEC"/>
    <w:rsid w:val="00527F1D"/>
    <w:rsid w:val="00527F72"/>
    <w:rsid w:val="00530C0F"/>
    <w:rsid w:val="005314CC"/>
    <w:rsid w:val="00532180"/>
    <w:rsid w:val="00534700"/>
    <w:rsid w:val="00534ECA"/>
    <w:rsid w:val="0053512B"/>
    <w:rsid w:val="00535C9A"/>
    <w:rsid w:val="00535E03"/>
    <w:rsid w:val="00536044"/>
    <w:rsid w:val="005360D7"/>
    <w:rsid w:val="005362EE"/>
    <w:rsid w:val="00536460"/>
    <w:rsid w:val="00536D17"/>
    <w:rsid w:val="005376FF"/>
    <w:rsid w:val="00537B22"/>
    <w:rsid w:val="005400B7"/>
    <w:rsid w:val="005401B9"/>
    <w:rsid w:val="005408AA"/>
    <w:rsid w:val="005409CE"/>
    <w:rsid w:val="00541051"/>
    <w:rsid w:val="005414E4"/>
    <w:rsid w:val="005415FF"/>
    <w:rsid w:val="005419A5"/>
    <w:rsid w:val="00541CA4"/>
    <w:rsid w:val="005422DE"/>
    <w:rsid w:val="0054354B"/>
    <w:rsid w:val="005435E7"/>
    <w:rsid w:val="005446A1"/>
    <w:rsid w:val="005448FE"/>
    <w:rsid w:val="00545BD3"/>
    <w:rsid w:val="00546A02"/>
    <w:rsid w:val="005474A4"/>
    <w:rsid w:val="00550FEE"/>
    <w:rsid w:val="00551287"/>
    <w:rsid w:val="005525F5"/>
    <w:rsid w:val="0055323F"/>
    <w:rsid w:val="00553599"/>
    <w:rsid w:val="00553894"/>
    <w:rsid w:val="00553CF9"/>
    <w:rsid w:val="00555625"/>
    <w:rsid w:val="00555BDC"/>
    <w:rsid w:val="00556B43"/>
    <w:rsid w:val="0055728F"/>
    <w:rsid w:val="00557C3A"/>
    <w:rsid w:val="00560697"/>
    <w:rsid w:val="005607AA"/>
    <w:rsid w:val="005610BC"/>
    <w:rsid w:val="00561F13"/>
    <w:rsid w:val="00562DE5"/>
    <w:rsid w:val="0056409D"/>
    <w:rsid w:val="00564C44"/>
    <w:rsid w:val="00565095"/>
    <w:rsid w:val="00565336"/>
    <w:rsid w:val="00566007"/>
    <w:rsid w:val="005667E5"/>
    <w:rsid w:val="00566B80"/>
    <w:rsid w:val="00566C60"/>
    <w:rsid w:val="0056763E"/>
    <w:rsid w:val="00567A12"/>
    <w:rsid w:val="00567E2C"/>
    <w:rsid w:val="00567EA2"/>
    <w:rsid w:val="00567EE8"/>
    <w:rsid w:val="00570510"/>
    <w:rsid w:val="00570DDC"/>
    <w:rsid w:val="00571069"/>
    <w:rsid w:val="0057174C"/>
    <w:rsid w:val="005720BD"/>
    <w:rsid w:val="005723BA"/>
    <w:rsid w:val="00572686"/>
    <w:rsid w:val="005731B5"/>
    <w:rsid w:val="00573205"/>
    <w:rsid w:val="0057399C"/>
    <w:rsid w:val="005739B4"/>
    <w:rsid w:val="00574312"/>
    <w:rsid w:val="00574AD5"/>
    <w:rsid w:val="00574D01"/>
    <w:rsid w:val="00574F7B"/>
    <w:rsid w:val="005756DE"/>
    <w:rsid w:val="005756F8"/>
    <w:rsid w:val="00575A84"/>
    <w:rsid w:val="0057632F"/>
    <w:rsid w:val="005769A6"/>
    <w:rsid w:val="00576FD1"/>
    <w:rsid w:val="00577286"/>
    <w:rsid w:val="00577CA6"/>
    <w:rsid w:val="005802C2"/>
    <w:rsid w:val="0058073C"/>
    <w:rsid w:val="00580825"/>
    <w:rsid w:val="00581677"/>
    <w:rsid w:val="00581985"/>
    <w:rsid w:val="00581BC5"/>
    <w:rsid w:val="00582357"/>
    <w:rsid w:val="0058298C"/>
    <w:rsid w:val="00582B3E"/>
    <w:rsid w:val="00582DC1"/>
    <w:rsid w:val="005835D9"/>
    <w:rsid w:val="00583ED0"/>
    <w:rsid w:val="005845B4"/>
    <w:rsid w:val="005855B1"/>
    <w:rsid w:val="00585DCA"/>
    <w:rsid w:val="00586701"/>
    <w:rsid w:val="005876E1"/>
    <w:rsid w:val="00587B71"/>
    <w:rsid w:val="00587FD1"/>
    <w:rsid w:val="00590C55"/>
    <w:rsid w:val="005911FE"/>
    <w:rsid w:val="00591D15"/>
    <w:rsid w:val="00592F36"/>
    <w:rsid w:val="00593AE9"/>
    <w:rsid w:val="00593B7B"/>
    <w:rsid w:val="00593E4E"/>
    <w:rsid w:val="00594048"/>
    <w:rsid w:val="0059421E"/>
    <w:rsid w:val="0059427A"/>
    <w:rsid w:val="00595000"/>
    <w:rsid w:val="00595385"/>
    <w:rsid w:val="00597855"/>
    <w:rsid w:val="005979E3"/>
    <w:rsid w:val="00597FFD"/>
    <w:rsid w:val="005A0930"/>
    <w:rsid w:val="005A12A2"/>
    <w:rsid w:val="005A1533"/>
    <w:rsid w:val="005A1541"/>
    <w:rsid w:val="005A1547"/>
    <w:rsid w:val="005A1678"/>
    <w:rsid w:val="005A2369"/>
    <w:rsid w:val="005A2F3C"/>
    <w:rsid w:val="005A32D7"/>
    <w:rsid w:val="005A3799"/>
    <w:rsid w:val="005A4203"/>
    <w:rsid w:val="005A44A7"/>
    <w:rsid w:val="005A482C"/>
    <w:rsid w:val="005A4A42"/>
    <w:rsid w:val="005A4EBF"/>
    <w:rsid w:val="005A5B9C"/>
    <w:rsid w:val="005A5CA6"/>
    <w:rsid w:val="005A5CB5"/>
    <w:rsid w:val="005A6FAC"/>
    <w:rsid w:val="005A70FE"/>
    <w:rsid w:val="005A7BC9"/>
    <w:rsid w:val="005A7E3D"/>
    <w:rsid w:val="005B02DA"/>
    <w:rsid w:val="005B0969"/>
    <w:rsid w:val="005B0A6B"/>
    <w:rsid w:val="005B0DC3"/>
    <w:rsid w:val="005B137A"/>
    <w:rsid w:val="005B195E"/>
    <w:rsid w:val="005B1B1A"/>
    <w:rsid w:val="005B1CD2"/>
    <w:rsid w:val="005B284B"/>
    <w:rsid w:val="005B2AD6"/>
    <w:rsid w:val="005B2B39"/>
    <w:rsid w:val="005B2BD3"/>
    <w:rsid w:val="005B3209"/>
    <w:rsid w:val="005B3A26"/>
    <w:rsid w:val="005B48D4"/>
    <w:rsid w:val="005B5F0A"/>
    <w:rsid w:val="005B7703"/>
    <w:rsid w:val="005C02FB"/>
    <w:rsid w:val="005C191F"/>
    <w:rsid w:val="005C1B98"/>
    <w:rsid w:val="005C2CC2"/>
    <w:rsid w:val="005C2D7B"/>
    <w:rsid w:val="005C3B94"/>
    <w:rsid w:val="005C3D99"/>
    <w:rsid w:val="005C6233"/>
    <w:rsid w:val="005C6886"/>
    <w:rsid w:val="005C7091"/>
    <w:rsid w:val="005C72E3"/>
    <w:rsid w:val="005D0EC7"/>
    <w:rsid w:val="005D1D4C"/>
    <w:rsid w:val="005D2548"/>
    <w:rsid w:val="005D2795"/>
    <w:rsid w:val="005D30DC"/>
    <w:rsid w:val="005D355F"/>
    <w:rsid w:val="005D361E"/>
    <w:rsid w:val="005D37E1"/>
    <w:rsid w:val="005D3935"/>
    <w:rsid w:val="005D3C22"/>
    <w:rsid w:val="005D462C"/>
    <w:rsid w:val="005D4F6E"/>
    <w:rsid w:val="005D67EF"/>
    <w:rsid w:val="005D72E3"/>
    <w:rsid w:val="005E02F9"/>
    <w:rsid w:val="005E0DF6"/>
    <w:rsid w:val="005E1734"/>
    <w:rsid w:val="005E17A5"/>
    <w:rsid w:val="005E1808"/>
    <w:rsid w:val="005E1E31"/>
    <w:rsid w:val="005E26E3"/>
    <w:rsid w:val="005E28A0"/>
    <w:rsid w:val="005E45B4"/>
    <w:rsid w:val="005E4682"/>
    <w:rsid w:val="005E46E9"/>
    <w:rsid w:val="005E47E8"/>
    <w:rsid w:val="005E5838"/>
    <w:rsid w:val="005E69B4"/>
    <w:rsid w:val="005E6A64"/>
    <w:rsid w:val="005E6D23"/>
    <w:rsid w:val="005F0085"/>
    <w:rsid w:val="005F053C"/>
    <w:rsid w:val="005F0A3A"/>
    <w:rsid w:val="005F1413"/>
    <w:rsid w:val="005F160D"/>
    <w:rsid w:val="005F1A02"/>
    <w:rsid w:val="005F1E84"/>
    <w:rsid w:val="005F2429"/>
    <w:rsid w:val="005F2B91"/>
    <w:rsid w:val="005F35C8"/>
    <w:rsid w:val="005F400D"/>
    <w:rsid w:val="005F412B"/>
    <w:rsid w:val="005F4526"/>
    <w:rsid w:val="005F4B8D"/>
    <w:rsid w:val="005F5037"/>
    <w:rsid w:val="005F6B6D"/>
    <w:rsid w:val="005F6F20"/>
    <w:rsid w:val="005F74FA"/>
    <w:rsid w:val="005F76BF"/>
    <w:rsid w:val="005F7DAE"/>
    <w:rsid w:val="00600161"/>
    <w:rsid w:val="006001A5"/>
    <w:rsid w:val="006009DF"/>
    <w:rsid w:val="00600D8A"/>
    <w:rsid w:val="00601228"/>
    <w:rsid w:val="006019AA"/>
    <w:rsid w:val="00601B24"/>
    <w:rsid w:val="00601D9A"/>
    <w:rsid w:val="00602705"/>
    <w:rsid w:val="00602A5F"/>
    <w:rsid w:val="00602E50"/>
    <w:rsid w:val="00603048"/>
    <w:rsid w:val="00603BF7"/>
    <w:rsid w:val="00605065"/>
    <w:rsid w:val="006052A4"/>
    <w:rsid w:val="00605EAB"/>
    <w:rsid w:val="00607530"/>
    <w:rsid w:val="00607C75"/>
    <w:rsid w:val="00610F5D"/>
    <w:rsid w:val="00611626"/>
    <w:rsid w:val="00612888"/>
    <w:rsid w:val="00612C58"/>
    <w:rsid w:val="00612F0C"/>
    <w:rsid w:val="006134B4"/>
    <w:rsid w:val="006139B3"/>
    <w:rsid w:val="00614513"/>
    <w:rsid w:val="0061481D"/>
    <w:rsid w:val="00614F5A"/>
    <w:rsid w:val="00615020"/>
    <w:rsid w:val="0061527D"/>
    <w:rsid w:val="00616578"/>
    <w:rsid w:val="006169EE"/>
    <w:rsid w:val="00616C6C"/>
    <w:rsid w:val="00617676"/>
    <w:rsid w:val="0062059B"/>
    <w:rsid w:val="00620BF2"/>
    <w:rsid w:val="00620E61"/>
    <w:rsid w:val="00621169"/>
    <w:rsid w:val="00621B28"/>
    <w:rsid w:val="006220EC"/>
    <w:rsid w:val="00622A7A"/>
    <w:rsid w:val="00622B7C"/>
    <w:rsid w:val="00622BE8"/>
    <w:rsid w:val="00622DC4"/>
    <w:rsid w:val="0062468D"/>
    <w:rsid w:val="00624C69"/>
    <w:rsid w:val="00625CE1"/>
    <w:rsid w:val="00626DC7"/>
    <w:rsid w:val="00627886"/>
    <w:rsid w:val="00627ADE"/>
    <w:rsid w:val="00630046"/>
    <w:rsid w:val="00630133"/>
    <w:rsid w:val="006301E1"/>
    <w:rsid w:val="00630C10"/>
    <w:rsid w:val="00631820"/>
    <w:rsid w:val="006318C3"/>
    <w:rsid w:val="00632882"/>
    <w:rsid w:val="0063471A"/>
    <w:rsid w:val="006351C8"/>
    <w:rsid w:val="00635656"/>
    <w:rsid w:val="00636802"/>
    <w:rsid w:val="00637814"/>
    <w:rsid w:val="0064081C"/>
    <w:rsid w:val="00640C26"/>
    <w:rsid w:val="00640D8F"/>
    <w:rsid w:val="006413B6"/>
    <w:rsid w:val="00641B8A"/>
    <w:rsid w:val="0064299E"/>
    <w:rsid w:val="006434FA"/>
    <w:rsid w:val="0064375A"/>
    <w:rsid w:val="00643863"/>
    <w:rsid w:val="00644287"/>
    <w:rsid w:val="0064430C"/>
    <w:rsid w:val="0064433F"/>
    <w:rsid w:val="00644BEC"/>
    <w:rsid w:val="00644CA4"/>
    <w:rsid w:val="00644E3C"/>
    <w:rsid w:val="00644FE6"/>
    <w:rsid w:val="00645687"/>
    <w:rsid w:val="006461B2"/>
    <w:rsid w:val="0064642E"/>
    <w:rsid w:val="00647122"/>
    <w:rsid w:val="00647BF3"/>
    <w:rsid w:val="00647CD7"/>
    <w:rsid w:val="00651C1E"/>
    <w:rsid w:val="006524D6"/>
    <w:rsid w:val="00652768"/>
    <w:rsid w:val="0065294F"/>
    <w:rsid w:val="0065326E"/>
    <w:rsid w:val="00653A4D"/>
    <w:rsid w:val="00653B0C"/>
    <w:rsid w:val="006543D6"/>
    <w:rsid w:val="00654A27"/>
    <w:rsid w:val="00654E0F"/>
    <w:rsid w:val="006557B7"/>
    <w:rsid w:val="00655E7D"/>
    <w:rsid w:val="006560B5"/>
    <w:rsid w:val="00656723"/>
    <w:rsid w:val="00657210"/>
    <w:rsid w:val="0065791D"/>
    <w:rsid w:val="00657BBF"/>
    <w:rsid w:val="00657C3E"/>
    <w:rsid w:val="00660608"/>
    <w:rsid w:val="00660836"/>
    <w:rsid w:val="00662A60"/>
    <w:rsid w:val="00662B3F"/>
    <w:rsid w:val="00663486"/>
    <w:rsid w:val="00663770"/>
    <w:rsid w:val="00663B75"/>
    <w:rsid w:val="00664BEB"/>
    <w:rsid w:val="00664E98"/>
    <w:rsid w:val="006654E0"/>
    <w:rsid w:val="006671FD"/>
    <w:rsid w:val="006678BD"/>
    <w:rsid w:val="00670319"/>
    <w:rsid w:val="006704BD"/>
    <w:rsid w:val="0067075A"/>
    <w:rsid w:val="006708D3"/>
    <w:rsid w:val="0067095D"/>
    <w:rsid w:val="00670B48"/>
    <w:rsid w:val="00670FD1"/>
    <w:rsid w:val="006717F6"/>
    <w:rsid w:val="006721D0"/>
    <w:rsid w:val="006755B8"/>
    <w:rsid w:val="006757F3"/>
    <w:rsid w:val="00675B8C"/>
    <w:rsid w:val="0067697E"/>
    <w:rsid w:val="00677464"/>
    <w:rsid w:val="006777B6"/>
    <w:rsid w:val="00680005"/>
    <w:rsid w:val="00680B77"/>
    <w:rsid w:val="00680E52"/>
    <w:rsid w:val="006816BA"/>
    <w:rsid w:val="00682B59"/>
    <w:rsid w:val="00683B63"/>
    <w:rsid w:val="00683EE7"/>
    <w:rsid w:val="00683F89"/>
    <w:rsid w:val="006848EE"/>
    <w:rsid w:val="00685331"/>
    <w:rsid w:val="0068575D"/>
    <w:rsid w:val="006859B1"/>
    <w:rsid w:val="006859DC"/>
    <w:rsid w:val="006869BF"/>
    <w:rsid w:val="00691161"/>
    <w:rsid w:val="00691D46"/>
    <w:rsid w:val="00692614"/>
    <w:rsid w:val="00692983"/>
    <w:rsid w:val="00692EB6"/>
    <w:rsid w:val="00692FF3"/>
    <w:rsid w:val="006930C2"/>
    <w:rsid w:val="0069439E"/>
    <w:rsid w:val="006944CC"/>
    <w:rsid w:val="00694EE4"/>
    <w:rsid w:val="00695347"/>
    <w:rsid w:val="00695630"/>
    <w:rsid w:val="006957DD"/>
    <w:rsid w:val="006964B1"/>
    <w:rsid w:val="00696F93"/>
    <w:rsid w:val="006A0763"/>
    <w:rsid w:val="006A0AC2"/>
    <w:rsid w:val="006A1577"/>
    <w:rsid w:val="006A1589"/>
    <w:rsid w:val="006A189E"/>
    <w:rsid w:val="006A22C8"/>
    <w:rsid w:val="006A380D"/>
    <w:rsid w:val="006A572F"/>
    <w:rsid w:val="006A5C49"/>
    <w:rsid w:val="006A5FAD"/>
    <w:rsid w:val="006A6146"/>
    <w:rsid w:val="006A6171"/>
    <w:rsid w:val="006A7084"/>
    <w:rsid w:val="006A729B"/>
    <w:rsid w:val="006A772A"/>
    <w:rsid w:val="006A784E"/>
    <w:rsid w:val="006A7E49"/>
    <w:rsid w:val="006A7F60"/>
    <w:rsid w:val="006B060B"/>
    <w:rsid w:val="006B0714"/>
    <w:rsid w:val="006B091D"/>
    <w:rsid w:val="006B14FE"/>
    <w:rsid w:val="006B1D50"/>
    <w:rsid w:val="006B2627"/>
    <w:rsid w:val="006B280D"/>
    <w:rsid w:val="006B403E"/>
    <w:rsid w:val="006B452E"/>
    <w:rsid w:val="006B45F4"/>
    <w:rsid w:val="006B4F37"/>
    <w:rsid w:val="006B5362"/>
    <w:rsid w:val="006B56EA"/>
    <w:rsid w:val="006B61EE"/>
    <w:rsid w:val="006B62D8"/>
    <w:rsid w:val="006B77A9"/>
    <w:rsid w:val="006C022E"/>
    <w:rsid w:val="006C12CD"/>
    <w:rsid w:val="006C15C9"/>
    <w:rsid w:val="006C2288"/>
    <w:rsid w:val="006C26DF"/>
    <w:rsid w:val="006C3502"/>
    <w:rsid w:val="006C43F9"/>
    <w:rsid w:val="006C4497"/>
    <w:rsid w:val="006C52FE"/>
    <w:rsid w:val="006C5955"/>
    <w:rsid w:val="006C6138"/>
    <w:rsid w:val="006C64B5"/>
    <w:rsid w:val="006C6B6D"/>
    <w:rsid w:val="006C6CF5"/>
    <w:rsid w:val="006C7AA8"/>
    <w:rsid w:val="006C7D21"/>
    <w:rsid w:val="006D0408"/>
    <w:rsid w:val="006D054C"/>
    <w:rsid w:val="006D0741"/>
    <w:rsid w:val="006D0AEC"/>
    <w:rsid w:val="006D1B3D"/>
    <w:rsid w:val="006D2BFA"/>
    <w:rsid w:val="006D361A"/>
    <w:rsid w:val="006D37A7"/>
    <w:rsid w:val="006D3C50"/>
    <w:rsid w:val="006D3CB4"/>
    <w:rsid w:val="006D4595"/>
    <w:rsid w:val="006D4BF0"/>
    <w:rsid w:val="006D5553"/>
    <w:rsid w:val="006D55B1"/>
    <w:rsid w:val="006D6603"/>
    <w:rsid w:val="006D72DE"/>
    <w:rsid w:val="006D7A17"/>
    <w:rsid w:val="006D7EBC"/>
    <w:rsid w:val="006E00F5"/>
    <w:rsid w:val="006E1CB0"/>
    <w:rsid w:val="006E23E0"/>
    <w:rsid w:val="006E2C5D"/>
    <w:rsid w:val="006E305B"/>
    <w:rsid w:val="006E34F6"/>
    <w:rsid w:val="006E3C9C"/>
    <w:rsid w:val="006E3F45"/>
    <w:rsid w:val="006E455A"/>
    <w:rsid w:val="006E5150"/>
    <w:rsid w:val="006E5163"/>
    <w:rsid w:val="006E5993"/>
    <w:rsid w:val="006E5A61"/>
    <w:rsid w:val="006E5D86"/>
    <w:rsid w:val="006E654F"/>
    <w:rsid w:val="006E657D"/>
    <w:rsid w:val="006F0647"/>
    <w:rsid w:val="006F079A"/>
    <w:rsid w:val="006F07E2"/>
    <w:rsid w:val="006F0E4D"/>
    <w:rsid w:val="006F222C"/>
    <w:rsid w:val="006F3413"/>
    <w:rsid w:val="006F36AD"/>
    <w:rsid w:val="006F3C96"/>
    <w:rsid w:val="006F417B"/>
    <w:rsid w:val="006F463A"/>
    <w:rsid w:val="006F4671"/>
    <w:rsid w:val="006F55F8"/>
    <w:rsid w:val="006F57BF"/>
    <w:rsid w:val="006F5876"/>
    <w:rsid w:val="006F719B"/>
    <w:rsid w:val="006F7564"/>
    <w:rsid w:val="00700EAF"/>
    <w:rsid w:val="00700F64"/>
    <w:rsid w:val="007023C6"/>
    <w:rsid w:val="0070243D"/>
    <w:rsid w:val="007025F3"/>
    <w:rsid w:val="0070329D"/>
    <w:rsid w:val="00703520"/>
    <w:rsid w:val="00703C8A"/>
    <w:rsid w:val="007046C8"/>
    <w:rsid w:val="007046FF"/>
    <w:rsid w:val="007047D4"/>
    <w:rsid w:val="00704930"/>
    <w:rsid w:val="00704BC0"/>
    <w:rsid w:val="007053EA"/>
    <w:rsid w:val="00705B76"/>
    <w:rsid w:val="007062E2"/>
    <w:rsid w:val="007063FF"/>
    <w:rsid w:val="00706938"/>
    <w:rsid w:val="00706D61"/>
    <w:rsid w:val="0070714B"/>
    <w:rsid w:val="007076B2"/>
    <w:rsid w:val="007078AB"/>
    <w:rsid w:val="00710C50"/>
    <w:rsid w:val="00710CEA"/>
    <w:rsid w:val="007113FE"/>
    <w:rsid w:val="0071176F"/>
    <w:rsid w:val="00712B36"/>
    <w:rsid w:val="00713762"/>
    <w:rsid w:val="00713CB8"/>
    <w:rsid w:val="00714959"/>
    <w:rsid w:val="00714A0D"/>
    <w:rsid w:val="00714A30"/>
    <w:rsid w:val="00715919"/>
    <w:rsid w:val="00717364"/>
    <w:rsid w:val="0071743A"/>
    <w:rsid w:val="00717805"/>
    <w:rsid w:val="0072017C"/>
    <w:rsid w:val="007206C9"/>
    <w:rsid w:val="00721B73"/>
    <w:rsid w:val="007223D5"/>
    <w:rsid w:val="00723129"/>
    <w:rsid w:val="007231B9"/>
    <w:rsid w:val="0072348A"/>
    <w:rsid w:val="00723524"/>
    <w:rsid w:val="00723C9C"/>
    <w:rsid w:val="00724D80"/>
    <w:rsid w:val="007255B5"/>
    <w:rsid w:val="00725935"/>
    <w:rsid w:val="00725D97"/>
    <w:rsid w:val="00727233"/>
    <w:rsid w:val="00727AA4"/>
    <w:rsid w:val="00727DAC"/>
    <w:rsid w:val="0073003D"/>
    <w:rsid w:val="007322A3"/>
    <w:rsid w:val="007323A0"/>
    <w:rsid w:val="007330FE"/>
    <w:rsid w:val="00734B18"/>
    <w:rsid w:val="00734F32"/>
    <w:rsid w:val="007353C6"/>
    <w:rsid w:val="00735843"/>
    <w:rsid w:val="00735922"/>
    <w:rsid w:val="00735F9E"/>
    <w:rsid w:val="00735FDA"/>
    <w:rsid w:val="00736690"/>
    <w:rsid w:val="00736A14"/>
    <w:rsid w:val="00736FBF"/>
    <w:rsid w:val="007376EF"/>
    <w:rsid w:val="00737C7D"/>
    <w:rsid w:val="00737F07"/>
    <w:rsid w:val="00740D91"/>
    <w:rsid w:val="00740E18"/>
    <w:rsid w:val="00741DA5"/>
    <w:rsid w:val="0074200B"/>
    <w:rsid w:val="00742EFB"/>
    <w:rsid w:val="007431D7"/>
    <w:rsid w:val="00743B19"/>
    <w:rsid w:val="00743BAE"/>
    <w:rsid w:val="00744638"/>
    <w:rsid w:val="00744D34"/>
    <w:rsid w:val="00745151"/>
    <w:rsid w:val="007451F5"/>
    <w:rsid w:val="00745286"/>
    <w:rsid w:val="007454C4"/>
    <w:rsid w:val="0074657E"/>
    <w:rsid w:val="007476A6"/>
    <w:rsid w:val="00747A3C"/>
    <w:rsid w:val="00747CFF"/>
    <w:rsid w:val="007503B6"/>
    <w:rsid w:val="00750EB8"/>
    <w:rsid w:val="00751D23"/>
    <w:rsid w:val="00751EF2"/>
    <w:rsid w:val="00752425"/>
    <w:rsid w:val="00752567"/>
    <w:rsid w:val="00752DA0"/>
    <w:rsid w:val="00753555"/>
    <w:rsid w:val="00753D75"/>
    <w:rsid w:val="00753F6E"/>
    <w:rsid w:val="0075454C"/>
    <w:rsid w:val="00755D53"/>
    <w:rsid w:val="00755F01"/>
    <w:rsid w:val="0075712A"/>
    <w:rsid w:val="007578E6"/>
    <w:rsid w:val="00757991"/>
    <w:rsid w:val="00757F70"/>
    <w:rsid w:val="00760177"/>
    <w:rsid w:val="00760749"/>
    <w:rsid w:val="00760BD8"/>
    <w:rsid w:val="00762223"/>
    <w:rsid w:val="00762528"/>
    <w:rsid w:val="00762ACF"/>
    <w:rsid w:val="00762D37"/>
    <w:rsid w:val="007637A4"/>
    <w:rsid w:val="0076432D"/>
    <w:rsid w:val="00764809"/>
    <w:rsid w:val="00764F01"/>
    <w:rsid w:val="00765043"/>
    <w:rsid w:val="007650A5"/>
    <w:rsid w:val="007653D1"/>
    <w:rsid w:val="007666FF"/>
    <w:rsid w:val="007668B7"/>
    <w:rsid w:val="00766D5A"/>
    <w:rsid w:val="00766EB0"/>
    <w:rsid w:val="0077057D"/>
    <w:rsid w:val="0077085F"/>
    <w:rsid w:val="00770895"/>
    <w:rsid w:val="00771F7C"/>
    <w:rsid w:val="00771FA9"/>
    <w:rsid w:val="00772493"/>
    <w:rsid w:val="007724CB"/>
    <w:rsid w:val="00773154"/>
    <w:rsid w:val="007740B0"/>
    <w:rsid w:val="00774942"/>
    <w:rsid w:val="00774D1C"/>
    <w:rsid w:val="00774F4C"/>
    <w:rsid w:val="0077502C"/>
    <w:rsid w:val="00775D3F"/>
    <w:rsid w:val="00775D49"/>
    <w:rsid w:val="00775D88"/>
    <w:rsid w:val="007763B1"/>
    <w:rsid w:val="00776581"/>
    <w:rsid w:val="0077691F"/>
    <w:rsid w:val="00776B4B"/>
    <w:rsid w:val="007772D7"/>
    <w:rsid w:val="00777671"/>
    <w:rsid w:val="00777977"/>
    <w:rsid w:val="00780CC4"/>
    <w:rsid w:val="00780EBC"/>
    <w:rsid w:val="007813C1"/>
    <w:rsid w:val="00781BE3"/>
    <w:rsid w:val="0078222F"/>
    <w:rsid w:val="00782AB0"/>
    <w:rsid w:val="007834A4"/>
    <w:rsid w:val="00784383"/>
    <w:rsid w:val="00785222"/>
    <w:rsid w:val="00786D71"/>
    <w:rsid w:val="00787611"/>
    <w:rsid w:val="00790637"/>
    <w:rsid w:val="00790F50"/>
    <w:rsid w:val="00790FE7"/>
    <w:rsid w:val="00791192"/>
    <w:rsid w:val="007911EB"/>
    <w:rsid w:val="00791739"/>
    <w:rsid w:val="00791E34"/>
    <w:rsid w:val="00792508"/>
    <w:rsid w:val="00792C3D"/>
    <w:rsid w:val="00792D58"/>
    <w:rsid w:val="007934DC"/>
    <w:rsid w:val="007938D0"/>
    <w:rsid w:val="00793EFB"/>
    <w:rsid w:val="00794948"/>
    <w:rsid w:val="00794B49"/>
    <w:rsid w:val="00794ED3"/>
    <w:rsid w:val="00795516"/>
    <w:rsid w:val="00795948"/>
    <w:rsid w:val="00795A2A"/>
    <w:rsid w:val="00795A8B"/>
    <w:rsid w:val="00795FF6"/>
    <w:rsid w:val="007973DB"/>
    <w:rsid w:val="007975B6"/>
    <w:rsid w:val="007A0359"/>
    <w:rsid w:val="007A1F4F"/>
    <w:rsid w:val="007A299C"/>
    <w:rsid w:val="007A2B45"/>
    <w:rsid w:val="007A2FC8"/>
    <w:rsid w:val="007A55B4"/>
    <w:rsid w:val="007A5E82"/>
    <w:rsid w:val="007B06B9"/>
    <w:rsid w:val="007B0A29"/>
    <w:rsid w:val="007B2A0F"/>
    <w:rsid w:val="007B384E"/>
    <w:rsid w:val="007B485E"/>
    <w:rsid w:val="007B4EA8"/>
    <w:rsid w:val="007B562B"/>
    <w:rsid w:val="007B5718"/>
    <w:rsid w:val="007B6156"/>
    <w:rsid w:val="007B66E1"/>
    <w:rsid w:val="007B6A42"/>
    <w:rsid w:val="007B6FB2"/>
    <w:rsid w:val="007B7A08"/>
    <w:rsid w:val="007C0422"/>
    <w:rsid w:val="007C0F6D"/>
    <w:rsid w:val="007C2B5E"/>
    <w:rsid w:val="007C35C1"/>
    <w:rsid w:val="007C4B21"/>
    <w:rsid w:val="007C50E5"/>
    <w:rsid w:val="007C5345"/>
    <w:rsid w:val="007C623E"/>
    <w:rsid w:val="007C629C"/>
    <w:rsid w:val="007C65CD"/>
    <w:rsid w:val="007C6C93"/>
    <w:rsid w:val="007D0D8C"/>
    <w:rsid w:val="007D3721"/>
    <w:rsid w:val="007D377B"/>
    <w:rsid w:val="007D3BFD"/>
    <w:rsid w:val="007D4E45"/>
    <w:rsid w:val="007D588E"/>
    <w:rsid w:val="007D6504"/>
    <w:rsid w:val="007D6547"/>
    <w:rsid w:val="007D6E16"/>
    <w:rsid w:val="007D72FB"/>
    <w:rsid w:val="007D7BB4"/>
    <w:rsid w:val="007D7CF2"/>
    <w:rsid w:val="007E00C5"/>
    <w:rsid w:val="007E01F3"/>
    <w:rsid w:val="007E0639"/>
    <w:rsid w:val="007E13A6"/>
    <w:rsid w:val="007E1E66"/>
    <w:rsid w:val="007E262C"/>
    <w:rsid w:val="007E27D3"/>
    <w:rsid w:val="007E27E0"/>
    <w:rsid w:val="007E2AF2"/>
    <w:rsid w:val="007E2C6B"/>
    <w:rsid w:val="007E3BAB"/>
    <w:rsid w:val="007E4AD0"/>
    <w:rsid w:val="007E519A"/>
    <w:rsid w:val="007E569E"/>
    <w:rsid w:val="007E579D"/>
    <w:rsid w:val="007E5EA0"/>
    <w:rsid w:val="007E66FA"/>
    <w:rsid w:val="007E686A"/>
    <w:rsid w:val="007E6932"/>
    <w:rsid w:val="007E6986"/>
    <w:rsid w:val="007E6C3A"/>
    <w:rsid w:val="007E6C9E"/>
    <w:rsid w:val="007E6CF4"/>
    <w:rsid w:val="007E6ED5"/>
    <w:rsid w:val="007E79D8"/>
    <w:rsid w:val="007E7F54"/>
    <w:rsid w:val="007F060B"/>
    <w:rsid w:val="007F0706"/>
    <w:rsid w:val="007F0E05"/>
    <w:rsid w:val="007F1286"/>
    <w:rsid w:val="007F12A3"/>
    <w:rsid w:val="007F18E1"/>
    <w:rsid w:val="007F2388"/>
    <w:rsid w:val="007F2446"/>
    <w:rsid w:val="007F31B1"/>
    <w:rsid w:val="007F3CE0"/>
    <w:rsid w:val="007F441E"/>
    <w:rsid w:val="007F466C"/>
    <w:rsid w:val="007F57D7"/>
    <w:rsid w:val="007F5B2E"/>
    <w:rsid w:val="007F62C4"/>
    <w:rsid w:val="007F65F2"/>
    <w:rsid w:val="007F686A"/>
    <w:rsid w:val="007F6CCB"/>
    <w:rsid w:val="007F6D76"/>
    <w:rsid w:val="007F7AB2"/>
    <w:rsid w:val="007F7DDD"/>
    <w:rsid w:val="008000FA"/>
    <w:rsid w:val="0080109D"/>
    <w:rsid w:val="00801476"/>
    <w:rsid w:val="008014ED"/>
    <w:rsid w:val="00801510"/>
    <w:rsid w:val="00802166"/>
    <w:rsid w:val="0080236D"/>
    <w:rsid w:val="008025A1"/>
    <w:rsid w:val="00802BCD"/>
    <w:rsid w:val="00802D96"/>
    <w:rsid w:val="00803449"/>
    <w:rsid w:val="00803A90"/>
    <w:rsid w:val="00803F12"/>
    <w:rsid w:val="0080446F"/>
    <w:rsid w:val="0080482E"/>
    <w:rsid w:val="00804CB2"/>
    <w:rsid w:val="00804D37"/>
    <w:rsid w:val="00805C43"/>
    <w:rsid w:val="00806C4C"/>
    <w:rsid w:val="008070DD"/>
    <w:rsid w:val="0080730E"/>
    <w:rsid w:val="008079D8"/>
    <w:rsid w:val="00807A90"/>
    <w:rsid w:val="0081003A"/>
    <w:rsid w:val="0081267E"/>
    <w:rsid w:val="008129CC"/>
    <w:rsid w:val="008131CA"/>
    <w:rsid w:val="008139B1"/>
    <w:rsid w:val="00814A65"/>
    <w:rsid w:val="00814FCD"/>
    <w:rsid w:val="00815999"/>
    <w:rsid w:val="00816246"/>
    <w:rsid w:val="008162EE"/>
    <w:rsid w:val="00817B0C"/>
    <w:rsid w:val="00817C3E"/>
    <w:rsid w:val="0082048F"/>
    <w:rsid w:val="008212E9"/>
    <w:rsid w:val="008216AA"/>
    <w:rsid w:val="00821DD2"/>
    <w:rsid w:val="00822C8A"/>
    <w:rsid w:val="00822EAA"/>
    <w:rsid w:val="0082392B"/>
    <w:rsid w:val="00824196"/>
    <w:rsid w:val="008247BE"/>
    <w:rsid w:val="00824B47"/>
    <w:rsid w:val="00824BEA"/>
    <w:rsid w:val="00825DF4"/>
    <w:rsid w:val="008266B3"/>
    <w:rsid w:val="00826B5A"/>
    <w:rsid w:val="0082747E"/>
    <w:rsid w:val="00830A70"/>
    <w:rsid w:val="00831418"/>
    <w:rsid w:val="00831494"/>
    <w:rsid w:val="00831CC3"/>
    <w:rsid w:val="00832420"/>
    <w:rsid w:val="0083271E"/>
    <w:rsid w:val="00832AC5"/>
    <w:rsid w:val="00832EEE"/>
    <w:rsid w:val="008332F2"/>
    <w:rsid w:val="00833607"/>
    <w:rsid w:val="00833EA8"/>
    <w:rsid w:val="008340C8"/>
    <w:rsid w:val="0083434C"/>
    <w:rsid w:val="00835A19"/>
    <w:rsid w:val="00835A4F"/>
    <w:rsid w:val="00835C40"/>
    <w:rsid w:val="00836013"/>
    <w:rsid w:val="008360DD"/>
    <w:rsid w:val="00837348"/>
    <w:rsid w:val="008378A7"/>
    <w:rsid w:val="00841012"/>
    <w:rsid w:val="008411E4"/>
    <w:rsid w:val="00841316"/>
    <w:rsid w:val="0084140C"/>
    <w:rsid w:val="0084147D"/>
    <w:rsid w:val="00842E96"/>
    <w:rsid w:val="00842F21"/>
    <w:rsid w:val="00843884"/>
    <w:rsid w:val="00845085"/>
    <w:rsid w:val="008452D9"/>
    <w:rsid w:val="008459AC"/>
    <w:rsid w:val="00846451"/>
    <w:rsid w:val="00846677"/>
    <w:rsid w:val="00846B2B"/>
    <w:rsid w:val="008473FC"/>
    <w:rsid w:val="00850A27"/>
    <w:rsid w:val="00850C51"/>
    <w:rsid w:val="00850FD1"/>
    <w:rsid w:val="0085181F"/>
    <w:rsid w:val="008521C4"/>
    <w:rsid w:val="00852D6A"/>
    <w:rsid w:val="008532CE"/>
    <w:rsid w:val="00853AA8"/>
    <w:rsid w:val="00853D19"/>
    <w:rsid w:val="008541BD"/>
    <w:rsid w:val="008546E5"/>
    <w:rsid w:val="00854A5A"/>
    <w:rsid w:val="00854DD6"/>
    <w:rsid w:val="008551D4"/>
    <w:rsid w:val="0085522F"/>
    <w:rsid w:val="008554C7"/>
    <w:rsid w:val="0085560B"/>
    <w:rsid w:val="008575EC"/>
    <w:rsid w:val="008575FA"/>
    <w:rsid w:val="0086050F"/>
    <w:rsid w:val="00860717"/>
    <w:rsid w:val="00860821"/>
    <w:rsid w:val="00860867"/>
    <w:rsid w:val="00860D84"/>
    <w:rsid w:val="00860D89"/>
    <w:rsid w:val="00861090"/>
    <w:rsid w:val="008611A3"/>
    <w:rsid w:val="0086161A"/>
    <w:rsid w:val="00861D77"/>
    <w:rsid w:val="00861ED7"/>
    <w:rsid w:val="00862093"/>
    <w:rsid w:val="008620CF"/>
    <w:rsid w:val="0086287E"/>
    <w:rsid w:val="00862A11"/>
    <w:rsid w:val="00862ED1"/>
    <w:rsid w:val="008636B1"/>
    <w:rsid w:val="008637B7"/>
    <w:rsid w:val="00863B9D"/>
    <w:rsid w:val="008643D6"/>
    <w:rsid w:val="00864599"/>
    <w:rsid w:val="00864782"/>
    <w:rsid w:val="008648E0"/>
    <w:rsid w:val="00865852"/>
    <w:rsid w:val="00866B71"/>
    <w:rsid w:val="008679FB"/>
    <w:rsid w:val="00867E4B"/>
    <w:rsid w:val="00867F5E"/>
    <w:rsid w:val="008701C5"/>
    <w:rsid w:val="008701F8"/>
    <w:rsid w:val="00870AF3"/>
    <w:rsid w:val="00870F49"/>
    <w:rsid w:val="008714DB"/>
    <w:rsid w:val="008716BC"/>
    <w:rsid w:val="008718E6"/>
    <w:rsid w:val="00871A59"/>
    <w:rsid w:val="00872650"/>
    <w:rsid w:val="008726A8"/>
    <w:rsid w:val="008747B7"/>
    <w:rsid w:val="00874949"/>
    <w:rsid w:val="008753FB"/>
    <w:rsid w:val="0087640F"/>
    <w:rsid w:val="00877C61"/>
    <w:rsid w:val="00877D35"/>
    <w:rsid w:val="00877DF7"/>
    <w:rsid w:val="00880EF3"/>
    <w:rsid w:val="0088141B"/>
    <w:rsid w:val="00881AA7"/>
    <w:rsid w:val="00883B66"/>
    <w:rsid w:val="00883E2A"/>
    <w:rsid w:val="00884D7F"/>
    <w:rsid w:val="00887847"/>
    <w:rsid w:val="00887FBC"/>
    <w:rsid w:val="00890F3C"/>
    <w:rsid w:val="00891003"/>
    <w:rsid w:val="0089150C"/>
    <w:rsid w:val="00891CA1"/>
    <w:rsid w:val="00892A02"/>
    <w:rsid w:val="00894438"/>
    <w:rsid w:val="00895622"/>
    <w:rsid w:val="0089566F"/>
    <w:rsid w:val="00895762"/>
    <w:rsid w:val="0089628E"/>
    <w:rsid w:val="008970A7"/>
    <w:rsid w:val="008978D6"/>
    <w:rsid w:val="00897B3A"/>
    <w:rsid w:val="00897C82"/>
    <w:rsid w:val="00897DED"/>
    <w:rsid w:val="008A0330"/>
    <w:rsid w:val="008A0E0A"/>
    <w:rsid w:val="008A1AB5"/>
    <w:rsid w:val="008A24A8"/>
    <w:rsid w:val="008A24DB"/>
    <w:rsid w:val="008A2593"/>
    <w:rsid w:val="008A3235"/>
    <w:rsid w:val="008A3515"/>
    <w:rsid w:val="008A380F"/>
    <w:rsid w:val="008A4340"/>
    <w:rsid w:val="008A4553"/>
    <w:rsid w:val="008A4732"/>
    <w:rsid w:val="008A657E"/>
    <w:rsid w:val="008A6957"/>
    <w:rsid w:val="008A71F2"/>
    <w:rsid w:val="008A7614"/>
    <w:rsid w:val="008B046F"/>
    <w:rsid w:val="008B086C"/>
    <w:rsid w:val="008B0B15"/>
    <w:rsid w:val="008B12C2"/>
    <w:rsid w:val="008B17EF"/>
    <w:rsid w:val="008B1A05"/>
    <w:rsid w:val="008B27AF"/>
    <w:rsid w:val="008B3449"/>
    <w:rsid w:val="008B348E"/>
    <w:rsid w:val="008B3B27"/>
    <w:rsid w:val="008B3E58"/>
    <w:rsid w:val="008B3F81"/>
    <w:rsid w:val="008B402F"/>
    <w:rsid w:val="008B428E"/>
    <w:rsid w:val="008B43B3"/>
    <w:rsid w:val="008B43D9"/>
    <w:rsid w:val="008B45A6"/>
    <w:rsid w:val="008B4E55"/>
    <w:rsid w:val="008B4EDE"/>
    <w:rsid w:val="008B59F4"/>
    <w:rsid w:val="008B5EFE"/>
    <w:rsid w:val="008B5F70"/>
    <w:rsid w:val="008B5FC1"/>
    <w:rsid w:val="008B6778"/>
    <w:rsid w:val="008B6A44"/>
    <w:rsid w:val="008B720F"/>
    <w:rsid w:val="008C0079"/>
    <w:rsid w:val="008C08DB"/>
    <w:rsid w:val="008C1BEF"/>
    <w:rsid w:val="008C1E3D"/>
    <w:rsid w:val="008C24E1"/>
    <w:rsid w:val="008C2CEB"/>
    <w:rsid w:val="008C34B4"/>
    <w:rsid w:val="008C37C6"/>
    <w:rsid w:val="008C41A6"/>
    <w:rsid w:val="008C4A15"/>
    <w:rsid w:val="008C4FE7"/>
    <w:rsid w:val="008C5318"/>
    <w:rsid w:val="008C5D52"/>
    <w:rsid w:val="008C5E7F"/>
    <w:rsid w:val="008C67BC"/>
    <w:rsid w:val="008C6D91"/>
    <w:rsid w:val="008C7121"/>
    <w:rsid w:val="008C7C7C"/>
    <w:rsid w:val="008D0426"/>
    <w:rsid w:val="008D0657"/>
    <w:rsid w:val="008D0749"/>
    <w:rsid w:val="008D0EBC"/>
    <w:rsid w:val="008D1762"/>
    <w:rsid w:val="008D32BA"/>
    <w:rsid w:val="008D36F4"/>
    <w:rsid w:val="008D3D6C"/>
    <w:rsid w:val="008D40BF"/>
    <w:rsid w:val="008D4670"/>
    <w:rsid w:val="008D4A1E"/>
    <w:rsid w:val="008D4C9B"/>
    <w:rsid w:val="008D56E5"/>
    <w:rsid w:val="008D6C49"/>
    <w:rsid w:val="008D6C4D"/>
    <w:rsid w:val="008D79D4"/>
    <w:rsid w:val="008E1D3F"/>
    <w:rsid w:val="008E2336"/>
    <w:rsid w:val="008E2953"/>
    <w:rsid w:val="008E3713"/>
    <w:rsid w:val="008E4002"/>
    <w:rsid w:val="008E4229"/>
    <w:rsid w:val="008E4BEB"/>
    <w:rsid w:val="008E53F4"/>
    <w:rsid w:val="008E54B2"/>
    <w:rsid w:val="008E5759"/>
    <w:rsid w:val="008E57C7"/>
    <w:rsid w:val="008E5AE1"/>
    <w:rsid w:val="008E5D53"/>
    <w:rsid w:val="008E641C"/>
    <w:rsid w:val="008E7312"/>
    <w:rsid w:val="008E7C89"/>
    <w:rsid w:val="008E7FE3"/>
    <w:rsid w:val="008F0052"/>
    <w:rsid w:val="008F06F8"/>
    <w:rsid w:val="008F0D87"/>
    <w:rsid w:val="008F0E69"/>
    <w:rsid w:val="008F12F1"/>
    <w:rsid w:val="008F1986"/>
    <w:rsid w:val="008F24A8"/>
    <w:rsid w:val="008F25D3"/>
    <w:rsid w:val="008F48FF"/>
    <w:rsid w:val="008F4B7D"/>
    <w:rsid w:val="008F4BE0"/>
    <w:rsid w:val="008F59C7"/>
    <w:rsid w:val="008F6A6A"/>
    <w:rsid w:val="008F71CE"/>
    <w:rsid w:val="008F753C"/>
    <w:rsid w:val="0090039F"/>
    <w:rsid w:val="00900545"/>
    <w:rsid w:val="00900D1E"/>
    <w:rsid w:val="009011FC"/>
    <w:rsid w:val="009016BA"/>
    <w:rsid w:val="00901A5E"/>
    <w:rsid w:val="00901A80"/>
    <w:rsid w:val="00901E0F"/>
    <w:rsid w:val="00901E3F"/>
    <w:rsid w:val="00901F22"/>
    <w:rsid w:val="00902002"/>
    <w:rsid w:val="009029BE"/>
    <w:rsid w:val="00902BB6"/>
    <w:rsid w:val="00902D4A"/>
    <w:rsid w:val="0090322D"/>
    <w:rsid w:val="00903286"/>
    <w:rsid w:val="00903829"/>
    <w:rsid w:val="00903F23"/>
    <w:rsid w:val="00904D9D"/>
    <w:rsid w:val="00905559"/>
    <w:rsid w:val="009058E5"/>
    <w:rsid w:val="00905D31"/>
    <w:rsid w:val="00905FDE"/>
    <w:rsid w:val="00906F88"/>
    <w:rsid w:val="00907E9F"/>
    <w:rsid w:val="009100EA"/>
    <w:rsid w:val="00910B97"/>
    <w:rsid w:val="00910C17"/>
    <w:rsid w:val="00910E25"/>
    <w:rsid w:val="00912110"/>
    <w:rsid w:val="009139C6"/>
    <w:rsid w:val="00913E35"/>
    <w:rsid w:val="00914833"/>
    <w:rsid w:val="00914E69"/>
    <w:rsid w:val="009153EE"/>
    <w:rsid w:val="00915511"/>
    <w:rsid w:val="00915575"/>
    <w:rsid w:val="009168DA"/>
    <w:rsid w:val="00916A29"/>
    <w:rsid w:val="009178F0"/>
    <w:rsid w:val="00920330"/>
    <w:rsid w:val="0092039B"/>
    <w:rsid w:val="00922154"/>
    <w:rsid w:val="00923454"/>
    <w:rsid w:val="00923FC7"/>
    <w:rsid w:val="00924F8E"/>
    <w:rsid w:val="009269A9"/>
    <w:rsid w:val="00927077"/>
    <w:rsid w:val="00927FE5"/>
    <w:rsid w:val="00930519"/>
    <w:rsid w:val="00930AD1"/>
    <w:rsid w:val="00930B74"/>
    <w:rsid w:val="009315CF"/>
    <w:rsid w:val="00932419"/>
    <w:rsid w:val="009327DB"/>
    <w:rsid w:val="009332AA"/>
    <w:rsid w:val="00933EEF"/>
    <w:rsid w:val="00934096"/>
    <w:rsid w:val="009351D9"/>
    <w:rsid w:val="00936B12"/>
    <w:rsid w:val="00937438"/>
    <w:rsid w:val="00937C68"/>
    <w:rsid w:val="00940052"/>
    <w:rsid w:val="0094012F"/>
    <w:rsid w:val="00940529"/>
    <w:rsid w:val="00941C53"/>
    <w:rsid w:val="00942019"/>
    <w:rsid w:val="009424E2"/>
    <w:rsid w:val="009429D8"/>
    <w:rsid w:val="00942E01"/>
    <w:rsid w:val="00943B75"/>
    <w:rsid w:val="00943C05"/>
    <w:rsid w:val="0094426D"/>
    <w:rsid w:val="0094448A"/>
    <w:rsid w:val="0094532B"/>
    <w:rsid w:val="0094534D"/>
    <w:rsid w:val="009453C3"/>
    <w:rsid w:val="009461FB"/>
    <w:rsid w:val="009464AB"/>
    <w:rsid w:val="009479F6"/>
    <w:rsid w:val="00950829"/>
    <w:rsid w:val="0095105C"/>
    <w:rsid w:val="0095191C"/>
    <w:rsid w:val="00951EDA"/>
    <w:rsid w:val="00952679"/>
    <w:rsid w:val="009529DF"/>
    <w:rsid w:val="00952DDB"/>
    <w:rsid w:val="0095358F"/>
    <w:rsid w:val="009539FD"/>
    <w:rsid w:val="00954177"/>
    <w:rsid w:val="009543A0"/>
    <w:rsid w:val="00957870"/>
    <w:rsid w:val="00957C27"/>
    <w:rsid w:val="00957F01"/>
    <w:rsid w:val="00960074"/>
    <w:rsid w:val="009601E3"/>
    <w:rsid w:val="00960423"/>
    <w:rsid w:val="0096056E"/>
    <w:rsid w:val="00960C2A"/>
    <w:rsid w:val="009619A9"/>
    <w:rsid w:val="00961AD6"/>
    <w:rsid w:val="009626F2"/>
    <w:rsid w:val="00962B2F"/>
    <w:rsid w:val="00962C86"/>
    <w:rsid w:val="00962F75"/>
    <w:rsid w:val="00962F76"/>
    <w:rsid w:val="00963042"/>
    <w:rsid w:val="00963170"/>
    <w:rsid w:val="009631E5"/>
    <w:rsid w:val="009634D9"/>
    <w:rsid w:val="00963712"/>
    <w:rsid w:val="00963D11"/>
    <w:rsid w:val="00964232"/>
    <w:rsid w:val="00964401"/>
    <w:rsid w:val="009652F4"/>
    <w:rsid w:val="00965B9C"/>
    <w:rsid w:val="00965EB7"/>
    <w:rsid w:val="009663C0"/>
    <w:rsid w:val="009664AB"/>
    <w:rsid w:val="00966A76"/>
    <w:rsid w:val="00966E8A"/>
    <w:rsid w:val="00967C9B"/>
    <w:rsid w:val="00967EE2"/>
    <w:rsid w:val="00967F4E"/>
    <w:rsid w:val="00970242"/>
    <w:rsid w:val="0097142C"/>
    <w:rsid w:val="0097285B"/>
    <w:rsid w:val="0097335E"/>
    <w:rsid w:val="00973C11"/>
    <w:rsid w:val="00973DC8"/>
    <w:rsid w:val="00973E51"/>
    <w:rsid w:val="009740E1"/>
    <w:rsid w:val="00974ABA"/>
    <w:rsid w:val="00974B78"/>
    <w:rsid w:val="00974C7F"/>
    <w:rsid w:val="00974D36"/>
    <w:rsid w:val="00974D4B"/>
    <w:rsid w:val="00975697"/>
    <w:rsid w:val="00975925"/>
    <w:rsid w:val="00975ABB"/>
    <w:rsid w:val="00975AD2"/>
    <w:rsid w:val="00976165"/>
    <w:rsid w:val="009762A9"/>
    <w:rsid w:val="0097682A"/>
    <w:rsid w:val="00977676"/>
    <w:rsid w:val="0097775B"/>
    <w:rsid w:val="0097791A"/>
    <w:rsid w:val="00977F76"/>
    <w:rsid w:val="00980ED6"/>
    <w:rsid w:val="0098137E"/>
    <w:rsid w:val="009814B9"/>
    <w:rsid w:val="00983373"/>
    <w:rsid w:val="009834CB"/>
    <w:rsid w:val="00983FD2"/>
    <w:rsid w:val="0098427C"/>
    <w:rsid w:val="00984412"/>
    <w:rsid w:val="00984F90"/>
    <w:rsid w:val="0098642A"/>
    <w:rsid w:val="009869F2"/>
    <w:rsid w:val="0098700C"/>
    <w:rsid w:val="00987DBD"/>
    <w:rsid w:val="00990A52"/>
    <w:rsid w:val="00991114"/>
    <w:rsid w:val="00991386"/>
    <w:rsid w:val="00992A64"/>
    <w:rsid w:val="00992BA6"/>
    <w:rsid w:val="009936FC"/>
    <w:rsid w:val="00993946"/>
    <w:rsid w:val="009940C1"/>
    <w:rsid w:val="009941D1"/>
    <w:rsid w:val="00994EC8"/>
    <w:rsid w:val="00995482"/>
    <w:rsid w:val="0099571F"/>
    <w:rsid w:val="00996494"/>
    <w:rsid w:val="0099654F"/>
    <w:rsid w:val="009968F0"/>
    <w:rsid w:val="00997A70"/>
    <w:rsid w:val="00997DF3"/>
    <w:rsid w:val="00997E0C"/>
    <w:rsid w:val="009A043E"/>
    <w:rsid w:val="009A08E3"/>
    <w:rsid w:val="009A144C"/>
    <w:rsid w:val="009A145E"/>
    <w:rsid w:val="009A16C6"/>
    <w:rsid w:val="009A1DCB"/>
    <w:rsid w:val="009A2236"/>
    <w:rsid w:val="009A2CD7"/>
    <w:rsid w:val="009A3E42"/>
    <w:rsid w:val="009A44D5"/>
    <w:rsid w:val="009A477E"/>
    <w:rsid w:val="009A4D52"/>
    <w:rsid w:val="009A4E2B"/>
    <w:rsid w:val="009A5154"/>
    <w:rsid w:val="009A5D73"/>
    <w:rsid w:val="009A69C2"/>
    <w:rsid w:val="009A7A55"/>
    <w:rsid w:val="009B025E"/>
    <w:rsid w:val="009B08B6"/>
    <w:rsid w:val="009B0BE5"/>
    <w:rsid w:val="009B1558"/>
    <w:rsid w:val="009B1CA5"/>
    <w:rsid w:val="009B3BE2"/>
    <w:rsid w:val="009B3D12"/>
    <w:rsid w:val="009B4C44"/>
    <w:rsid w:val="009B551F"/>
    <w:rsid w:val="009B611B"/>
    <w:rsid w:val="009B6AC2"/>
    <w:rsid w:val="009B76DF"/>
    <w:rsid w:val="009C1675"/>
    <w:rsid w:val="009C2B20"/>
    <w:rsid w:val="009C329F"/>
    <w:rsid w:val="009C3B46"/>
    <w:rsid w:val="009C49F1"/>
    <w:rsid w:val="009C4B1A"/>
    <w:rsid w:val="009C4F44"/>
    <w:rsid w:val="009C56D9"/>
    <w:rsid w:val="009C6AC8"/>
    <w:rsid w:val="009D034B"/>
    <w:rsid w:val="009D0BB8"/>
    <w:rsid w:val="009D259F"/>
    <w:rsid w:val="009D285C"/>
    <w:rsid w:val="009D37AB"/>
    <w:rsid w:val="009D3900"/>
    <w:rsid w:val="009D44DD"/>
    <w:rsid w:val="009D49B9"/>
    <w:rsid w:val="009D520E"/>
    <w:rsid w:val="009D6DEF"/>
    <w:rsid w:val="009D6E11"/>
    <w:rsid w:val="009D707D"/>
    <w:rsid w:val="009D735B"/>
    <w:rsid w:val="009E0AA1"/>
    <w:rsid w:val="009E14B3"/>
    <w:rsid w:val="009E1615"/>
    <w:rsid w:val="009E2425"/>
    <w:rsid w:val="009E2DB4"/>
    <w:rsid w:val="009E3E31"/>
    <w:rsid w:val="009E49D4"/>
    <w:rsid w:val="009E4FD7"/>
    <w:rsid w:val="009E59E0"/>
    <w:rsid w:val="009E6412"/>
    <w:rsid w:val="009E6736"/>
    <w:rsid w:val="009E6889"/>
    <w:rsid w:val="009E6A99"/>
    <w:rsid w:val="009E6BB0"/>
    <w:rsid w:val="009E7898"/>
    <w:rsid w:val="009E7BC9"/>
    <w:rsid w:val="009F08B3"/>
    <w:rsid w:val="009F0BB9"/>
    <w:rsid w:val="009F0FBE"/>
    <w:rsid w:val="009F2041"/>
    <w:rsid w:val="009F2398"/>
    <w:rsid w:val="009F275E"/>
    <w:rsid w:val="009F2E3C"/>
    <w:rsid w:val="009F3247"/>
    <w:rsid w:val="009F3480"/>
    <w:rsid w:val="009F3595"/>
    <w:rsid w:val="009F408D"/>
    <w:rsid w:val="009F52DF"/>
    <w:rsid w:val="009F56CE"/>
    <w:rsid w:val="009F5931"/>
    <w:rsid w:val="009F6CA8"/>
    <w:rsid w:val="009F6D37"/>
    <w:rsid w:val="009F7F50"/>
    <w:rsid w:val="00A011F5"/>
    <w:rsid w:val="00A014C6"/>
    <w:rsid w:val="00A02148"/>
    <w:rsid w:val="00A02468"/>
    <w:rsid w:val="00A02B3A"/>
    <w:rsid w:val="00A03079"/>
    <w:rsid w:val="00A03464"/>
    <w:rsid w:val="00A036C1"/>
    <w:rsid w:val="00A03D5D"/>
    <w:rsid w:val="00A03E9F"/>
    <w:rsid w:val="00A0486A"/>
    <w:rsid w:val="00A04E72"/>
    <w:rsid w:val="00A04EC7"/>
    <w:rsid w:val="00A0517F"/>
    <w:rsid w:val="00A05360"/>
    <w:rsid w:val="00A07954"/>
    <w:rsid w:val="00A10032"/>
    <w:rsid w:val="00A10A3A"/>
    <w:rsid w:val="00A10A9C"/>
    <w:rsid w:val="00A1116D"/>
    <w:rsid w:val="00A112EA"/>
    <w:rsid w:val="00A12275"/>
    <w:rsid w:val="00A12808"/>
    <w:rsid w:val="00A13DA3"/>
    <w:rsid w:val="00A13F29"/>
    <w:rsid w:val="00A14364"/>
    <w:rsid w:val="00A146DA"/>
    <w:rsid w:val="00A1483A"/>
    <w:rsid w:val="00A14A52"/>
    <w:rsid w:val="00A14EDD"/>
    <w:rsid w:val="00A15957"/>
    <w:rsid w:val="00A15AB9"/>
    <w:rsid w:val="00A16240"/>
    <w:rsid w:val="00A16257"/>
    <w:rsid w:val="00A16F33"/>
    <w:rsid w:val="00A17133"/>
    <w:rsid w:val="00A17606"/>
    <w:rsid w:val="00A177E1"/>
    <w:rsid w:val="00A17A5B"/>
    <w:rsid w:val="00A2224C"/>
    <w:rsid w:val="00A22633"/>
    <w:rsid w:val="00A22932"/>
    <w:rsid w:val="00A2393F"/>
    <w:rsid w:val="00A23A21"/>
    <w:rsid w:val="00A24A0A"/>
    <w:rsid w:val="00A2587B"/>
    <w:rsid w:val="00A26BEB"/>
    <w:rsid w:val="00A277C3"/>
    <w:rsid w:val="00A2795D"/>
    <w:rsid w:val="00A302C6"/>
    <w:rsid w:val="00A3047B"/>
    <w:rsid w:val="00A305D7"/>
    <w:rsid w:val="00A3089A"/>
    <w:rsid w:val="00A3148C"/>
    <w:rsid w:val="00A31C66"/>
    <w:rsid w:val="00A324AF"/>
    <w:rsid w:val="00A326AD"/>
    <w:rsid w:val="00A32B4B"/>
    <w:rsid w:val="00A32DD5"/>
    <w:rsid w:val="00A32E47"/>
    <w:rsid w:val="00A33796"/>
    <w:rsid w:val="00A35083"/>
    <w:rsid w:val="00A3511A"/>
    <w:rsid w:val="00A35384"/>
    <w:rsid w:val="00A35D27"/>
    <w:rsid w:val="00A37580"/>
    <w:rsid w:val="00A379C4"/>
    <w:rsid w:val="00A37D3C"/>
    <w:rsid w:val="00A401E4"/>
    <w:rsid w:val="00A41346"/>
    <w:rsid w:val="00A41B7D"/>
    <w:rsid w:val="00A41ED9"/>
    <w:rsid w:val="00A431EE"/>
    <w:rsid w:val="00A43486"/>
    <w:rsid w:val="00A44A3F"/>
    <w:rsid w:val="00A451BA"/>
    <w:rsid w:val="00A457A3"/>
    <w:rsid w:val="00A457D2"/>
    <w:rsid w:val="00A46D90"/>
    <w:rsid w:val="00A470F2"/>
    <w:rsid w:val="00A47276"/>
    <w:rsid w:val="00A47538"/>
    <w:rsid w:val="00A47D92"/>
    <w:rsid w:val="00A47F02"/>
    <w:rsid w:val="00A50003"/>
    <w:rsid w:val="00A50226"/>
    <w:rsid w:val="00A50F73"/>
    <w:rsid w:val="00A52B29"/>
    <w:rsid w:val="00A52FC8"/>
    <w:rsid w:val="00A52FFF"/>
    <w:rsid w:val="00A532B0"/>
    <w:rsid w:val="00A53B4F"/>
    <w:rsid w:val="00A53FE6"/>
    <w:rsid w:val="00A54005"/>
    <w:rsid w:val="00A5409C"/>
    <w:rsid w:val="00A5438A"/>
    <w:rsid w:val="00A5517D"/>
    <w:rsid w:val="00A557E3"/>
    <w:rsid w:val="00A56849"/>
    <w:rsid w:val="00A56893"/>
    <w:rsid w:val="00A56917"/>
    <w:rsid w:val="00A57D04"/>
    <w:rsid w:val="00A60305"/>
    <w:rsid w:val="00A608C4"/>
    <w:rsid w:val="00A61513"/>
    <w:rsid w:val="00A615C5"/>
    <w:rsid w:val="00A61C73"/>
    <w:rsid w:val="00A61F59"/>
    <w:rsid w:val="00A62259"/>
    <w:rsid w:val="00A62777"/>
    <w:rsid w:val="00A6339E"/>
    <w:rsid w:val="00A64399"/>
    <w:rsid w:val="00A643CB"/>
    <w:rsid w:val="00A654B0"/>
    <w:rsid w:val="00A659D9"/>
    <w:rsid w:val="00A659E2"/>
    <w:rsid w:val="00A65A9A"/>
    <w:rsid w:val="00A66632"/>
    <w:rsid w:val="00A67BF8"/>
    <w:rsid w:val="00A7061E"/>
    <w:rsid w:val="00A70CDA"/>
    <w:rsid w:val="00A72040"/>
    <w:rsid w:val="00A725AD"/>
    <w:rsid w:val="00A72778"/>
    <w:rsid w:val="00A73DD0"/>
    <w:rsid w:val="00A73DD5"/>
    <w:rsid w:val="00A74917"/>
    <w:rsid w:val="00A74D88"/>
    <w:rsid w:val="00A7503D"/>
    <w:rsid w:val="00A75A84"/>
    <w:rsid w:val="00A76956"/>
    <w:rsid w:val="00A76B11"/>
    <w:rsid w:val="00A76C50"/>
    <w:rsid w:val="00A779B6"/>
    <w:rsid w:val="00A77D40"/>
    <w:rsid w:val="00A808FF"/>
    <w:rsid w:val="00A809DF"/>
    <w:rsid w:val="00A80DAB"/>
    <w:rsid w:val="00A81216"/>
    <w:rsid w:val="00A81738"/>
    <w:rsid w:val="00A82478"/>
    <w:rsid w:val="00A827D6"/>
    <w:rsid w:val="00A82AB9"/>
    <w:rsid w:val="00A8320D"/>
    <w:rsid w:val="00A83D98"/>
    <w:rsid w:val="00A845AE"/>
    <w:rsid w:val="00A84E21"/>
    <w:rsid w:val="00A864A2"/>
    <w:rsid w:val="00A908D1"/>
    <w:rsid w:val="00A90EB2"/>
    <w:rsid w:val="00A91024"/>
    <w:rsid w:val="00A9341C"/>
    <w:rsid w:val="00A9360B"/>
    <w:rsid w:val="00A94298"/>
    <w:rsid w:val="00A944D4"/>
    <w:rsid w:val="00A949B4"/>
    <w:rsid w:val="00A94A79"/>
    <w:rsid w:val="00A94B58"/>
    <w:rsid w:val="00A9598E"/>
    <w:rsid w:val="00A96192"/>
    <w:rsid w:val="00A96733"/>
    <w:rsid w:val="00A9740F"/>
    <w:rsid w:val="00A97443"/>
    <w:rsid w:val="00A97533"/>
    <w:rsid w:val="00A97BBA"/>
    <w:rsid w:val="00A97C3E"/>
    <w:rsid w:val="00AA031B"/>
    <w:rsid w:val="00AA057C"/>
    <w:rsid w:val="00AA1201"/>
    <w:rsid w:val="00AA1D87"/>
    <w:rsid w:val="00AA1FE4"/>
    <w:rsid w:val="00AA20A6"/>
    <w:rsid w:val="00AA238A"/>
    <w:rsid w:val="00AA2C6C"/>
    <w:rsid w:val="00AA328B"/>
    <w:rsid w:val="00AA43D5"/>
    <w:rsid w:val="00AA5191"/>
    <w:rsid w:val="00AA5543"/>
    <w:rsid w:val="00AA5D0A"/>
    <w:rsid w:val="00AA5E97"/>
    <w:rsid w:val="00AA62A3"/>
    <w:rsid w:val="00AA6AD4"/>
    <w:rsid w:val="00AA6B24"/>
    <w:rsid w:val="00AB029E"/>
    <w:rsid w:val="00AB0749"/>
    <w:rsid w:val="00AB0A76"/>
    <w:rsid w:val="00AB0E0E"/>
    <w:rsid w:val="00AB1CB5"/>
    <w:rsid w:val="00AB276F"/>
    <w:rsid w:val="00AB2C03"/>
    <w:rsid w:val="00AB3AE2"/>
    <w:rsid w:val="00AB4268"/>
    <w:rsid w:val="00AB46A9"/>
    <w:rsid w:val="00AB4890"/>
    <w:rsid w:val="00AB4D07"/>
    <w:rsid w:val="00AB572D"/>
    <w:rsid w:val="00AB5758"/>
    <w:rsid w:val="00AB625C"/>
    <w:rsid w:val="00AB694C"/>
    <w:rsid w:val="00AB77F3"/>
    <w:rsid w:val="00AC00DC"/>
    <w:rsid w:val="00AC1936"/>
    <w:rsid w:val="00AC1B43"/>
    <w:rsid w:val="00AC22A5"/>
    <w:rsid w:val="00AC2422"/>
    <w:rsid w:val="00AC36D7"/>
    <w:rsid w:val="00AC485B"/>
    <w:rsid w:val="00AC48AF"/>
    <w:rsid w:val="00AC4EAD"/>
    <w:rsid w:val="00AC53DF"/>
    <w:rsid w:val="00AC57B1"/>
    <w:rsid w:val="00AC59A9"/>
    <w:rsid w:val="00AC61D0"/>
    <w:rsid w:val="00AC6E0F"/>
    <w:rsid w:val="00AC7FA1"/>
    <w:rsid w:val="00AD08DF"/>
    <w:rsid w:val="00AD18B6"/>
    <w:rsid w:val="00AD1C3A"/>
    <w:rsid w:val="00AD25E9"/>
    <w:rsid w:val="00AD2C05"/>
    <w:rsid w:val="00AD31BF"/>
    <w:rsid w:val="00AD47AB"/>
    <w:rsid w:val="00AD51C0"/>
    <w:rsid w:val="00AD54FB"/>
    <w:rsid w:val="00AD5898"/>
    <w:rsid w:val="00AD5FDD"/>
    <w:rsid w:val="00AD625C"/>
    <w:rsid w:val="00AD63F0"/>
    <w:rsid w:val="00AD666D"/>
    <w:rsid w:val="00AD6E73"/>
    <w:rsid w:val="00AD703F"/>
    <w:rsid w:val="00AD76CB"/>
    <w:rsid w:val="00AD7836"/>
    <w:rsid w:val="00AD78A0"/>
    <w:rsid w:val="00AD7D9B"/>
    <w:rsid w:val="00AE0120"/>
    <w:rsid w:val="00AE0701"/>
    <w:rsid w:val="00AE09DA"/>
    <w:rsid w:val="00AE0C11"/>
    <w:rsid w:val="00AE1940"/>
    <w:rsid w:val="00AE1F5C"/>
    <w:rsid w:val="00AE2460"/>
    <w:rsid w:val="00AE26CF"/>
    <w:rsid w:val="00AE2F0A"/>
    <w:rsid w:val="00AE3930"/>
    <w:rsid w:val="00AE3A27"/>
    <w:rsid w:val="00AE6161"/>
    <w:rsid w:val="00AE78AB"/>
    <w:rsid w:val="00AF2A0E"/>
    <w:rsid w:val="00AF2E4E"/>
    <w:rsid w:val="00AF34BB"/>
    <w:rsid w:val="00AF51A5"/>
    <w:rsid w:val="00AF56A6"/>
    <w:rsid w:val="00AF57A1"/>
    <w:rsid w:val="00AF611A"/>
    <w:rsid w:val="00AF65D6"/>
    <w:rsid w:val="00AF6955"/>
    <w:rsid w:val="00AF6DCE"/>
    <w:rsid w:val="00AF7196"/>
    <w:rsid w:val="00B002EE"/>
    <w:rsid w:val="00B01079"/>
    <w:rsid w:val="00B01562"/>
    <w:rsid w:val="00B01801"/>
    <w:rsid w:val="00B01830"/>
    <w:rsid w:val="00B01846"/>
    <w:rsid w:val="00B01FD6"/>
    <w:rsid w:val="00B027EB"/>
    <w:rsid w:val="00B030B1"/>
    <w:rsid w:val="00B04249"/>
    <w:rsid w:val="00B04350"/>
    <w:rsid w:val="00B04A77"/>
    <w:rsid w:val="00B04BB4"/>
    <w:rsid w:val="00B04C35"/>
    <w:rsid w:val="00B0500A"/>
    <w:rsid w:val="00B059DC"/>
    <w:rsid w:val="00B05A18"/>
    <w:rsid w:val="00B0787B"/>
    <w:rsid w:val="00B07CEB"/>
    <w:rsid w:val="00B07E71"/>
    <w:rsid w:val="00B1013C"/>
    <w:rsid w:val="00B10285"/>
    <w:rsid w:val="00B104DA"/>
    <w:rsid w:val="00B10B6C"/>
    <w:rsid w:val="00B110A4"/>
    <w:rsid w:val="00B1114A"/>
    <w:rsid w:val="00B111B4"/>
    <w:rsid w:val="00B11F12"/>
    <w:rsid w:val="00B12A3C"/>
    <w:rsid w:val="00B12C74"/>
    <w:rsid w:val="00B12DAD"/>
    <w:rsid w:val="00B12E93"/>
    <w:rsid w:val="00B1394A"/>
    <w:rsid w:val="00B13B36"/>
    <w:rsid w:val="00B13F00"/>
    <w:rsid w:val="00B141DA"/>
    <w:rsid w:val="00B147A0"/>
    <w:rsid w:val="00B149C9"/>
    <w:rsid w:val="00B14DD7"/>
    <w:rsid w:val="00B1555A"/>
    <w:rsid w:val="00B158B7"/>
    <w:rsid w:val="00B15E56"/>
    <w:rsid w:val="00B15EEC"/>
    <w:rsid w:val="00B1690A"/>
    <w:rsid w:val="00B16BED"/>
    <w:rsid w:val="00B16FBB"/>
    <w:rsid w:val="00B1707D"/>
    <w:rsid w:val="00B17105"/>
    <w:rsid w:val="00B17166"/>
    <w:rsid w:val="00B17601"/>
    <w:rsid w:val="00B179E7"/>
    <w:rsid w:val="00B2028C"/>
    <w:rsid w:val="00B20500"/>
    <w:rsid w:val="00B2081F"/>
    <w:rsid w:val="00B20A65"/>
    <w:rsid w:val="00B20B72"/>
    <w:rsid w:val="00B20CA7"/>
    <w:rsid w:val="00B20ED1"/>
    <w:rsid w:val="00B20FD1"/>
    <w:rsid w:val="00B21367"/>
    <w:rsid w:val="00B21D35"/>
    <w:rsid w:val="00B2205D"/>
    <w:rsid w:val="00B2207F"/>
    <w:rsid w:val="00B22D28"/>
    <w:rsid w:val="00B22F9F"/>
    <w:rsid w:val="00B23392"/>
    <w:rsid w:val="00B23533"/>
    <w:rsid w:val="00B246B9"/>
    <w:rsid w:val="00B24B4E"/>
    <w:rsid w:val="00B257E0"/>
    <w:rsid w:val="00B25BC9"/>
    <w:rsid w:val="00B304C6"/>
    <w:rsid w:val="00B30559"/>
    <w:rsid w:val="00B31682"/>
    <w:rsid w:val="00B31DC5"/>
    <w:rsid w:val="00B329C3"/>
    <w:rsid w:val="00B335F2"/>
    <w:rsid w:val="00B355E6"/>
    <w:rsid w:val="00B377A6"/>
    <w:rsid w:val="00B4166D"/>
    <w:rsid w:val="00B41FB2"/>
    <w:rsid w:val="00B420EF"/>
    <w:rsid w:val="00B42CBD"/>
    <w:rsid w:val="00B440A9"/>
    <w:rsid w:val="00B45989"/>
    <w:rsid w:val="00B46B37"/>
    <w:rsid w:val="00B46DD1"/>
    <w:rsid w:val="00B47086"/>
    <w:rsid w:val="00B4780A"/>
    <w:rsid w:val="00B50D44"/>
    <w:rsid w:val="00B5174E"/>
    <w:rsid w:val="00B51DF2"/>
    <w:rsid w:val="00B52925"/>
    <w:rsid w:val="00B53456"/>
    <w:rsid w:val="00B5399C"/>
    <w:rsid w:val="00B544AA"/>
    <w:rsid w:val="00B54AD4"/>
    <w:rsid w:val="00B5658E"/>
    <w:rsid w:val="00B56A65"/>
    <w:rsid w:val="00B56D82"/>
    <w:rsid w:val="00B5732C"/>
    <w:rsid w:val="00B60211"/>
    <w:rsid w:val="00B611B5"/>
    <w:rsid w:val="00B61CD1"/>
    <w:rsid w:val="00B61E20"/>
    <w:rsid w:val="00B62BE0"/>
    <w:rsid w:val="00B636AE"/>
    <w:rsid w:val="00B63DF5"/>
    <w:rsid w:val="00B63FD0"/>
    <w:rsid w:val="00B640D0"/>
    <w:rsid w:val="00B645F0"/>
    <w:rsid w:val="00B64DEC"/>
    <w:rsid w:val="00B65100"/>
    <w:rsid w:val="00B65CBE"/>
    <w:rsid w:val="00B660BC"/>
    <w:rsid w:val="00B663A9"/>
    <w:rsid w:val="00B66F41"/>
    <w:rsid w:val="00B6763E"/>
    <w:rsid w:val="00B679AD"/>
    <w:rsid w:val="00B7021C"/>
    <w:rsid w:val="00B704F1"/>
    <w:rsid w:val="00B70683"/>
    <w:rsid w:val="00B714AA"/>
    <w:rsid w:val="00B72276"/>
    <w:rsid w:val="00B72482"/>
    <w:rsid w:val="00B72788"/>
    <w:rsid w:val="00B729A7"/>
    <w:rsid w:val="00B72A1F"/>
    <w:rsid w:val="00B72A81"/>
    <w:rsid w:val="00B72C73"/>
    <w:rsid w:val="00B72F2B"/>
    <w:rsid w:val="00B73D0F"/>
    <w:rsid w:val="00B73E45"/>
    <w:rsid w:val="00B73EA7"/>
    <w:rsid w:val="00B749B5"/>
    <w:rsid w:val="00B75AD1"/>
    <w:rsid w:val="00B762A0"/>
    <w:rsid w:val="00B76920"/>
    <w:rsid w:val="00B76DCB"/>
    <w:rsid w:val="00B771B1"/>
    <w:rsid w:val="00B772B1"/>
    <w:rsid w:val="00B775EE"/>
    <w:rsid w:val="00B77C5B"/>
    <w:rsid w:val="00B80A44"/>
    <w:rsid w:val="00B80C4D"/>
    <w:rsid w:val="00B81350"/>
    <w:rsid w:val="00B81732"/>
    <w:rsid w:val="00B81A56"/>
    <w:rsid w:val="00B8263D"/>
    <w:rsid w:val="00B82ADB"/>
    <w:rsid w:val="00B833B3"/>
    <w:rsid w:val="00B83C1A"/>
    <w:rsid w:val="00B8412A"/>
    <w:rsid w:val="00B847C1"/>
    <w:rsid w:val="00B8535E"/>
    <w:rsid w:val="00B86340"/>
    <w:rsid w:val="00B864F8"/>
    <w:rsid w:val="00B86573"/>
    <w:rsid w:val="00B865B6"/>
    <w:rsid w:val="00B86DAF"/>
    <w:rsid w:val="00B86FF3"/>
    <w:rsid w:val="00B875E4"/>
    <w:rsid w:val="00B8792B"/>
    <w:rsid w:val="00B87D47"/>
    <w:rsid w:val="00B87D76"/>
    <w:rsid w:val="00B87FD2"/>
    <w:rsid w:val="00B903AF"/>
    <w:rsid w:val="00B906D2"/>
    <w:rsid w:val="00B90737"/>
    <w:rsid w:val="00B90920"/>
    <w:rsid w:val="00B91C5F"/>
    <w:rsid w:val="00B922C8"/>
    <w:rsid w:val="00B92FE9"/>
    <w:rsid w:val="00B930FA"/>
    <w:rsid w:val="00B94209"/>
    <w:rsid w:val="00B946E2"/>
    <w:rsid w:val="00B94FB0"/>
    <w:rsid w:val="00B95316"/>
    <w:rsid w:val="00B9595D"/>
    <w:rsid w:val="00B959A2"/>
    <w:rsid w:val="00B95C4C"/>
    <w:rsid w:val="00B96100"/>
    <w:rsid w:val="00B97044"/>
    <w:rsid w:val="00B97A43"/>
    <w:rsid w:val="00BA0145"/>
    <w:rsid w:val="00BA0253"/>
    <w:rsid w:val="00BA06B9"/>
    <w:rsid w:val="00BA0B94"/>
    <w:rsid w:val="00BA0BE9"/>
    <w:rsid w:val="00BA0F27"/>
    <w:rsid w:val="00BA1C84"/>
    <w:rsid w:val="00BA2224"/>
    <w:rsid w:val="00BA2B37"/>
    <w:rsid w:val="00BA2C02"/>
    <w:rsid w:val="00BA2DDB"/>
    <w:rsid w:val="00BA3804"/>
    <w:rsid w:val="00BA4488"/>
    <w:rsid w:val="00BA48D7"/>
    <w:rsid w:val="00BA4ED2"/>
    <w:rsid w:val="00BA4FB2"/>
    <w:rsid w:val="00BA5D7A"/>
    <w:rsid w:val="00BA5F99"/>
    <w:rsid w:val="00BA6222"/>
    <w:rsid w:val="00BA6621"/>
    <w:rsid w:val="00BA6890"/>
    <w:rsid w:val="00BA71E1"/>
    <w:rsid w:val="00BA7336"/>
    <w:rsid w:val="00BA73E9"/>
    <w:rsid w:val="00BA7A82"/>
    <w:rsid w:val="00BA7B4F"/>
    <w:rsid w:val="00BB0035"/>
    <w:rsid w:val="00BB0FA3"/>
    <w:rsid w:val="00BB1363"/>
    <w:rsid w:val="00BB197A"/>
    <w:rsid w:val="00BB2038"/>
    <w:rsid w:val="00BB3C61"/>
    <w:rsid w:val="00BB3D36"/>
    <w:rsid w:val="00BB45AC"/>
    <w:rsid w:val="00BB4BAB"/>
    <w:rsid w:val="00BB4FCB"/>
    <w:rsid w:val="00BB5281"/>
    <w:rsid w:val="00BB6F00"/>
    <w:rsid w:val="00BB701C"/>
    <w:rsid w:val="00BB737E"/>
    <w:rsid w:val="00BB7EB9"/>
    <w:rsid w:val="00BC040D"/>
    <w:rsid w:val="00BC1C1C"/>
    <w:rsid w:val="00BC2998"/>
    <w:rsid w:val="00BC2D77"/>
    <w:rsid w:val="00BC3A02"/>
    <w:rsid w:val="00BC4147"/>
    <w:rsid w:val="00BC4CCA"/>
    <w:rsid w:val="00BC50F1"/>
    <w:rsid w:val="00BC5652"/>
    <w:rsid w:val="00BC5A24"/>
    <w:rsid w:val="00BC63ED"/>
    <w:rsid w:val="00BC7084"/>
    <w:rsid w:val="00BD043B"/>
    <w:rsid w:val="00BD059C"/>
    <w:rsid w:val="00BD08AE"/>
    <w:rsid w:val="00BD157E"/>
    <w:rsid w:val="00BD2420"/>
    <w:rsid w:val="00BD24FD"/>
    <w:rsid w:val="00BD2B41"/>
    <w:rsid w:val="00BD2E87"/>
    <w:rsid w:val="00BD3307"/>
    <w:rsid w:val="00BD356D"/>
    <w:rsid w:val="00BD5020"/>
    <w:rsid w:val="00BD5064"/>
    <w:rsid w:val="00BD518F"/>
    <w:rsid w:val="00BD5695"/>
    <w:rsid w:val="00BD56AE"/>
    <w:rsid w:val="00BD6084"/>
    <w:rsid w:val="00BD6674"/>
    <w:rsid w:val="00BD6DF6"/>
    <w:rsid w:val="00BD7489"/>
    <w:rsid w:val="00BD7C81"/>
    <w:rsid w:val="00BD7FDC"/>
    <w:rsid w:val="00BE08EA"/>
    <w:rsid w:val="00BE0BB9"/>
    <w:rsid w:val="00BE1326"/>
    <w:rsid w:val="00BE1882"/>
    <w:rsid w:val="00BE18A1"/>
    <w:rsid w:val="00BE1AB8"/>
    <w:rsid w:val="00BE1F86"/>
    <w:rsid w:val="00BE294B"/>
    <w:rsid w:val="00BE3FA4"/>
    <w:rsid w:val="00BE434D"/>
    <w:rsid w:val="00BE5A19"/>
    <w:rsid w:val="00BE5BD6"/>
    <w:rsid w:val="00BE6280"/>
    <w:rsid w:val="00BE650B"/>
    <w:rsid w:val="00BF11EF"/>
    <w:rsid w:val="00BF1327"/>
    <w:rsid w:val="00BF159B"/>
    <w:rsid w:val="00BF18CE"/>
    <w:rsid w:val="00BF1CCB"/>
    <w:rsid w:val="00BF213D"/>
    <w:rsid w:val="00BF2880"/>
    <w:rsid w:val="00BF2C9F"/>
    <w:rsid w:val="00BF317C"/>
    <w:rsid w:val="00BF3ACF"/>
    <w:rsid w:val="00BF3F51"/>
    <w:rsid w:val="00BF501F"/>
    <w:rsid w:val="00BF51F4"/>
    <w:rsid w:val="00BF592C"/>
    <w:rsid w:val="00BF5A2C"/>
    <w:rsid w:val="00BF625F"/>
    <w:rsid w:val="00BF6407"/>
    <w:rsid w:val="00BF6B30"/>
    <w:rsid w:val="00BF6BBE"/>
    <w:rsid w:val="00BF6CFB"/>
    <w:rsid w:val="00BF6F38"/>
    <w:rsid w:val="00BF7293"/>
    <w:rsid w:val="00C00AD6"/>
    <w:rsid w:val="00C00C2C"/>
    <w:rsid w:val="00C00F67"/>
    <w:rsid w:val="00C011A8"/>
    <w:rsid w:val="00C01AC8"/>
    <w:rsid w:val="00C02B05"/>
    <w:rsid w:val="00C030E9"/>
    <w:rsid w:val="00C035E6"/>
    <w:rsid w:val="00C04355"/>
    <w:rsid w:val="00C04514"/>
    <w:rsid w:val="00C06245"/>
    <w:rsid w:val="00C07688"/>
    <w:rsid w:val="00C07743"/>
    <w:rsid w:val="00C07982"/>
    <w:rsid w:val="00C10FE6"/>
    <w:rsid w:val="00C118AE"/>
    <w:rsid w:val="00C12B31"/>
    <w:rsid w:val="00C133C1"/>
    <w:rsid w:val="00C1350A"/>
    <w:rsid w:val="00C13960"/>
    <w:rsid w:val="00C139EF"/>
    <w:rsid w:val="00C146D0"/>
    <w:rsid w:val="00C147D6"/>
    <w:rsid w:val="00C14E56"/>
    <w:rsid w:val="00C158E9"/>
    <w:rsid w:val="00C15B15"/>
    <w:rsid w:val="00C15B2E"/>
    <w:rsid w:val="00C16ED0"/>
    <w:rsid w:val="00C20C2D"/>
    <w:rsid w:val="00C2179E"/>
    <w:rsid w:val="00C220D9"/>
    <w:rsid w:val="00C223BD"/>
    <w:rsid w:val="00C22DB3"/>
    <w:rsid w:val="00C233B1"/>
    <w:rsid w:val="00C23BC1"/>
    <w:rsid w:val="00C25594"/>
    <w:rsid w:val="00C259D6"/>
    <w:rsid w:val="00C25B4F"/>
    <w:rsid w:val="00C262A6"/>
    <w:rsid w:val="00C26E0B"/>
    <w:rsid w:val="00C26FFF"/>
    <w:rsid w:val="00C27B10"/>
    <w:rsid w:val="00C27FDB"/>
    <w:rsid w:val="00C30241"/>
    <w:rsid w:val="00C30624"/>
    <w:rsid w:val="00C308BE"/>
    <w:rsid w:val="00C31100"/>
    <w:rsid w:val="00C31815"/>
    <w:rsid w:val="00C31852"/>
    <w:rsid w:val="00C31E08"/>
    <w:rsid w:val="00C3234E"/>
    <w:rsid w:val="00C32CED"/>
    <w:rsid w:val="00C34645"/>
    <w:rsid w:val="00C34CB7"/>
    <w:rsid w:val="00C34D46"/>
    <w:rsid w:val="00C3509F"/>
    <w:rsid w:val="00C35AF2"/>
    <w:rsid w:val="00C35BD9"/>
    <w:rsid w:val="00C35E05"/>
    <w:rsid w:val="00C36840"/>
    <w:rsid w:val="00C3694E"/>
    <w:rsid w:val="00C36A0E"/>
    <w:rsid w:val="00C3705A"/>
    <w:rsid w:val="00C37520"/>
    <w:rsid w:val="00C37C94"/>
    <w:rsid w:val="00C402E5"/>
    <w:rsid w:val="00C40687"/>
    <w:rsid w:val="00C4124B"/>
    <w:rsid w:val="00C412B1"/>
    <w:rsid w:val="00C41B8C"/>
    <w:rsid w:val="00C42640"/>
    <w:rsid w:val="00C427C5"/>
    <w:rsid w:val="00C42E92"/>
    <w:rsid w:val="00C431C0"/>
    <w:rsid w:val="00C43524"/>
    <w:rsid w:val="00C436A3"/>
    <w:rsid w:val="00C45167"/>
    <w:rsid w:val="00C45FDA"/>
    <w:rsid w:val="00C46569"/>
    <w:rsid w:val="00C46C5F"/>
    <w:rsid w:val="00C46EC2"/>
    <w:rsid w:val="00C472DF"/>
    <w:rsid w:val="00C51037"/>
    <w:rsid w:val="00C51114"/>
    <w:rsid w:val="00C52B77"/>
    <w:rsid w:val="00C52CFE"/>
    <w:rsid w:val="00C5324E"/>
    <w:rsid w:val="00C539DD"/>
    <w:rsid w:val="00C53C25"/>
    <w:rsid w:val="00C53F15"/>
    <w:rsid w:val="00C54362"/>
    <w:rsid w:val="00C5680C"/>
    <w:rsid w:val="00C60194"/>
    <w:rsid w:val="00C60381"/>
    <w:rsid w:val="00C6047D"/>
    <w:rsid w:val="00C6077B"/>
    <w:rsid w:val="00C60A5F"/>
    <w:rsid w:val="00C61C17"/>
    <w:rsid w:val="00C622CA"/>
    <w:rsid w:val="00C62346"/>
    <w:rsid w:val="00C62A58"/>
    <w:rsid w:val="00C63062"/>
    <w:rsid w:val="00C63676"/>
    <w:rsid w:val="00C63E44"/>
    <w:rsid w:val="00C6401B"/>
    <w:rsid w:val="00C64715"/>
    <w:rsid w:val="00C65607"/>
    <w:rsid w:val="00C666EF"/>
    <w:rsid w:val="00C66D05"/>
    <w:rsid w:val="00C67156"/>
    <w:rsid w:val="00C677F0"/>
    <w:rsid w:val="00C67EFD"/>
    <w:rsid w:val="00C67FA6"/>
    <w:rsid w:val="00C70CDE"/>
    <w:rsid w:val="00C7107E"/>
    <w:rsid w:val="00C71084"/>
    <w:rsid w:val="00C71972"/>
    <w:rsid w:val="00C72BD5"/>
    <w:rsid w:val="00C72D72"/>
    <w:rsid w:val="00C73090"/>
    <w:rsid w:val="00C7336A"/>
    <w:rsid w:val="00C73D6E"/>
    <w:rsid w:val="00C743C8"/>
    <w:rsid w:val="00C754FA"/>
    <w:rsid w:val="00C80168"/>
    <w:rsid w:val="00C817E8"/>
    <w:rsid w:val="00C81AF1"/>
    <w:rsid w:val="00C822EB"/>
    <w:rsid w:val="00C82660"/>
    <w:rsid w:val="00C830DB"/>
    <w:rsid w:val="00C83B65"/>
    <w:rsid w:val="00C86E6B"/>
    <w:rsid w:val="00C87792"/>
    <w:rsid w:val="00C877FC"/>
    <w:rsid w:val="00C8786F"/>
    <w:rsid w:val="00C87ABD"/>
    <w:rsid w:val="00C90301"/>
    <w:rsid w:val="00C90F73"/>
    <w:rsid w:val="00C91752"/>
    <w:rsid w:val="00C91F4C"/>
    <w:rsid w:val="00C9202B"/>
    <w:rsid w:val="00C92BDE"/>
    <w:rsid w:val="00C92C41"/>
    <w:rsid w:val="00C92D78"/>
    <w:rsid w:val="00C93819"/>
    <w:rsid w:val="00C94986"/>
    <w:rsid w:val="00C96798"/>
    <w:rsid w:val="00C97356"/>
    <w:rsid w:val="00C976F2"/>
    <w:rsid w:val="00CA08B3"/>
    <w:rsid w:val="00CA0F89"/>
    <w:rsid w:val="00CA14C6"/>
    <w:rsid w:val="00CA14E1"/>
    <w:rsid w:val="00CA33DE"/>
    <w:rsid w:val="00CA494F"/>
    <w:rsid w:val="00CA49DC"/>
    <w:rsid w:val="00CA4D1B"/>
    <w:rsid w:val="00CA6490"/>
    <w:rsid w:val="00CA69DA"/>
    <w:rsid w:val="00CB0737"/>
    <w:rsid w:val="00CB0C96"/>
    <w:rsid w:val="00CB10B2"/>
    <w:rsid w:val="00CB1AB7"/>
    <w:rsid w:val="00CB2071"/>
    <w:rsid w:val="00CB2957"/>
    <w:rsid w:val="00CB2DF4"/>
    <w:rsid w:val="00CB34E0"/>
    <w:rsid w:val="00CB3C59"/>
    <w:rsid w:val="00CB3EE3"/>
    <w:rsid w:val="00CB4AF4"/>
    <w:rsid w:val="00CB5744"/>
    <w:rsid w:val="00CB6252"/>
    <w:rsid w:val="00CB6588"/>
    <w:rsid w:val="00CB69F4"/>
    <w:rsid w:val="00CB70E9"/>
    <w:rsid w:val="00CB7187"/>
    <w:rsid w:val="00CB778D"/>
    <w:rsid w:val="00CC06B0"/>
    <w:rsid w:val="00CC08D0"/>
    <w:rsid w:val="00CC09A5"/>
    <w:rsid w:val="00CC15E8"/>
    <w:rsid w:val="00CC2ECA"/>
    <w:rsid w:val="00CC3283"/>
    <w:rsid w:val="00CC375F"/>
    <w:rsid w:val="00CC3C05"/>
    <w:rsid w:val="00CC4215"/>
    <w:rsid w:val="00CC4873"/>
    <w:rsid w:val="00CC52E9"/>
    <w:rsid w:val="00CC559E"/>
    <w:rsid w:val="00CC607F"/>
    <w:rsid w:val="00CC6F1D"/>
    <w:rsid w:val="00CC71B3"/>
    <w:rsid w:val="00CC745B"/>
    <w:rsid w:val="00CD02C6"/>
    <w:rsid w:val="00CD03F5"/>
    <w:rsid w:val="00CD05A2"/>
    <w:rsid w:val="00CD0D2A"/>
    <w:rsid w:val="00CD285D"/>
    <w:rsid w:val="00CD2F91"/>
    <w:rsid w:val="00CD32F2"/>
    <w:rsid w:val="00CD3557"/>
    <w:rsid w:val="00CD3719"/>
    <w:rsid w:val="00CD48F1"/>
    <w:rsid w:val="00CD4D81"/>
    <w:rsid w:val="00CD521B"/>
    <w:rsid w:val="00CD5434"/>
    <w:rsid w:val="00CD5B4A"/>
    <w:rsid w:val="00CD60D0"/>
    <w:rsid w:val="00CD63C4"/>
    <w:rsid w:val="00CD7BE2"/>
    <w:rsid w:val="00CE01CF"/>
    <w:rsid w:val="00CE1089"/>
    <w:rsid w:val="00CE1626"/>
    <w:rsid w:val="00CE2A95"/>
    <w:rsid w:val="00CE3CB2"/>
    <w:rsid w:val="00CE3D3F"/>
    <w:rsid w:val="00CE3DC7"/>
    <w:rsid w:val="00CE5266"/>
    <w:rsid w:val="00CE527C"/>
    <w:rsid w:val="00CE5895"/>
    <w:rsid w:val="00CE6A06"/>
    <w:rsid w:val="00CE72E7"/>
    <w:rsid w:val="00CE76C0"/>
    <w:rsid w:val="00CF0372"/>
    <w:rsid w:val="00CF0E6A"/>
    <w:rsid w:val="00CF16BE"/>
    <w:rsid w:val="00CF280D"/>
    <w:rsid w:val="00CF2C6A"/>
    <w:rsid w:val="00CF31FF"/>
    <w:rsid w:val="00CF4EB1"/>
    <w:rsid w:val="00CF59F9"/>
    <w:rsid w:val="00CF613C"/>
    <w:rsid w:val="00CF62B4"/>
    <w:rsid w:val="00CF6B97"/>
    <w:rsid w:val="00CF76B0"/>
    <w:rsid w:val="00D00C7C"/>
    <w:rsid w:val="00D01C01"/>
    <w:rsid w:val="00D02488"/>
    <w:rsid w:val="00D03785"/>
    <w:rsid w:val="00D041CB"/>
    <w:rsid w:val="00D04F6B"/>
    <w:rsid w:val="00D0502A"/>
    <w:rsid w:val="00D06C1A"/>
    <w:rsid w:val="00D06EBF"/>
    <w:rsid w:val="00D0746D"/>
    <w:rsid w:val="00D07609"/>
    <w:rsid w:val="00D076C2"/>
    <w:rsid w:val="00D0784B"/>
    <w:rsid w:val="00D07A2D"/>
    <w:rsid w:val="00D10133"/>
    <w:rsid w:val="00D10490"/>
    <w:rsid w:val="00D10524"/>
    <w:rsid w:val="00D10754"/>
    <w:rsid w:val="00D10BD0"/>
    <w:rsid w:val="00D10C15"/>
    <w:rsid w:val="00D119E1"/>
    <w:rsid w:val="00D11C3E"/>
    <w:rsid w:val="00D11DBE"/>
    <w:rsid w:val="00D124B1"/>
    <w:rsid w:val="00D132EB"/>
    <w:rsid w:val="00D143DB"/>
    <w:rsid w:val="00D14581"/>
    <w:rsid w:val="00D149D3"/>
    <w:rsid w:val="00D1506A"/>
    <w:rsid w:val="00D156E7"/>
    <w:rsid w:val="00D169D2"/>
    <w:rsid w:val="00D1799A"/>
    <w:rsid w:val="00D17C77"/>
    <w:rsid w:val="00D17CCC"/>
    <w:rsid w:val="00D17CD2"/>
    <w:rsid w:val="00D17E19"/>
    <w:rsid w:val="00D17E25"/>
    <w:rsid w:val="00D207BA"/>
    <w:rsid w:val="00D210DE"/>
    <w:rsid w:val="00D211FF"/>
    <w:rsid w:val="00D2208C"/>
    <w:rsid w:val="00D22192"/>
    <w:rsid w:val="00D22CFA"/>
    <w:rsid w:val="00D24841"/>
    <w:rsid w:val="00D24B71"/>
    <w:rsid w:val="00D25A2A"/>
    <w:rsid w:val="00D26AC1"/>
    <w:rsid w:val="00D26ADE"/>
    <w:rsid w:val="00D26D86"/>
    <w:rsid w:val="00D27386"/>
    <w:rsid w:val="00D279C7"/>
    <w:rsid w:val="00D30258"/>
    <w:rsid w:val="00D31552"/>
    <w:rsid w:val="00D31CA6"/>
    <w:rsid w:val="00D31FD0"/>
    <w:rsid w:val="00D320C5"/>
    <w:rsid w:val="00D32783"/>
    <w:rsid w:val="00D33295"/>
    <w:rsid w:val="00D33B43"/>
    <w:rsid w:val="00D343D7"/>
    <w:rsid w:val="00D34B97"/>
    <w:rsid w:val="00D35CC5"/>
    <w:rsid w:val="00D37132"/>
    <w:rsid w:val="00D37732"/>
    <w:rsid w:val="00D37B45"/>
    <w:rsid w:val="00D40408"/>
    <w:rsid w:val="00D416C2"/>
    <w:rsid w:val="00D41D05"/>
    <w:rsid w:val="00D425A0"/>
    <w:rsid w:val="00D42C4E"/>
    <w:rsid w:val="00D4372F"/>
    <w:rsid w:val="00D43A46"/>
    <w:rsid w:val="00D43BE4"/>
    <w:rsid w:val="00D44660"/>
    <w:rsid w:val="00D474BC"/>
    <w:rsid w:val="00D53D73"/>
    <w:rsid w:val="00D542E1"/>
    <w:rsid w:val="00D54DD8"/>
    <w:rsid w:val="00D54E94"/>
    <w:rsid w:val="00D55D43"/>
    <w:rsid w:val="00D55E37"/>
    <w:rsid w:val="00D5650B"/>
    <w:rsid w:val="00D56935"/>
    <w:rsid w:val="00D56BAC"/>
    <w:rsid w:val="00D56E2A"/>
    <w:rsid w:val="00D571EC"/>
    <w:rsid w:val="00D57D8B"/>
    <w:rsid w:val="00D6039E"/>
    <w:rsid w:val="00D60466"/>
    <w:rsid w:val="00D6053E"/>
    <w:rsid w:val="00D60C7F"/>
    <w:rsid w:val="00D60DD2"/>
    <w:rsid w:val="00D6112D"/>
    <w:rsid w:val="00D6143E"/>
    <w:rsid w:val="00D6156C"/>
    <w:rsid w:val="00D616B2"/>
    <w:rsid w:val="00D61EB1"/>
    <w:rsid w:val="00D634B0"/>
    <w:rsid w:val="00D647B2"/>
    <w:rsid w:val="00D64A0E"/>
    <w:rsid w:val="00D64DA5"/>
    <w:rsid w:val="00D66BB2"/>
    <w:rsid w:val="00D67307"/>
    <w:rsid w:val="00D674F2"/>
    <w:rsid w:val="00D67BE4"/>
    <w:rsid w:val="00D67EFE"/>
    <w:rsid w:val="00D70C11"/>
    <w:rsid w:val="00D70D37"/>
    <w:rsid w:val="00D70E93"/>
    <w:rsid w:val="00D71008"/>
    <w:rsid w:val="00D710F4"/>
    <w:rsid w:val="00D71AC2"/>
    <w:rsid w:val="00D71CBB"/>
    <w:rsid w:val="00D74956"/>
    <w:rsid w:val="00D74FFE"/>
    <w:rsid w:val="00D75CE5"/>
    <w:rsid w:val="00D760C8"/>
    <w:rsid w:val="00D77093"/>
    <w:rsid w:val="00D77818"/>
    <w:rsid w:val="00D77FA2"/>
    <w:rsid w:val="00D8139C"/>
    <w:rsid w:val="00D822F3"/>
    <w:rsid w:val="00D843A6"/>
    <w:rsid w:val="00D8463F"/>
    <w:rsid w:val="00D84CB9"/>
    <w:rsid w:val="00D851EB"/>
    <w:rsid w:val="00D85C22"/>
    <w:rsid w:val="00D86FDB"/>
    <w:rsid w:val="00D8719D"/>
    <w:rsid w:val="00D8732A"/>
    <w:rsid w:val="00D87553"/>
    <w:rsid w:val="00D87C14"/>
    <w:rsid w:val="00D87C78"/>
    <w:rsid w:val="00D87FB5"/>
    <w:rsid w:val="00D908F8"/>
    <w:rsid w:val="00D90A11"/>
    <w:rsid w:val="00D90E76"/>
    <w:rsid w:val="00D91A77"/>
    <w:rsid w:val="00D92057"/>
    <w:rsid w:val="00D921AA"/>
    <w:rsid w:val="00D923C1"/>
    <w:rsid w:val="00D92CDC"/>
    <w:rsid w:val="00D94000"/>
    <w:rsid w:val="00D9435C"/>
    <w:rsid w:val="00D9502B"/>
    <w:rsid w:val="00D95951"/>
    <w:rsid w:val="00D95C65"/>
    <w:rsid w:val="00D95DF3"/>
    <w:rsid w:val="00D9605C"/>
    <w:rsid w:val="00D965A3"/>
    <w:rsid w:val="00D96F02"/>
    <w:rsid w:val="00D97716"/>
    <w:rsid w:val="00DA00AC"/>
    <w:rsid w:val="00DA0696"/>
    <w:rsid w:val="00DA07DD"/>
    <w:rsid w:val="00DA0C3C"/>
    <w:rsid w:val="00DA1D00"/>
    <w:rsid w:val="00DA1F90"/>
    <w:rsid w:val="00DA2C4A"/>
    <w:rsid w:val="00DA3C9E"/>
    <w:rsid w:val="00DA437D"/>
    <w:rsid w:val="00DA4537"/>
    <w:rsid w:val="00DA47B5"/>
    <w:rsid w:val="00DA51FC"/>
    <w:rsid w:val="00DA54C0"/>
    <w:rsid w:val="00DA55FE"/>
    <w:rsid w:val="00DA680E"/>
    <w:rsid w:val="00DA7267"/>
    <w:rsid w:val="00DA7C32"/>
    <w:rsid w:val="00DA7C70"/>
    <w:rsid w:val="00DB1221"/>
    <w:rsid w:val="00DB16AB"/>
    <w:rsid w:val="00DB20CB"/>
    <w:rsid w:val="00DB221B"/>
    <w:rsid w:val="00DB239B"/>
    <w:rsid w:val="00DB31FD"/>
    <w:rsid w:val="00DB3A7E"/>
    <w:rsid w:val="00DB3AE3"/>
    <w:rsid w:val="00DB7DA0"/>
    <w:rsid w:val="00DC02C4"/>
    <w:rsid w:val="00DC08FE"/>
    <w:rsid w:val="00DC2E98"/>
    <w:rsid w:val="00DC2F23"/>
    <w:rsid w:val="00DC3227"/>
    <w:rsid w:val="00DC3585"/>
    <w:rsid w:val="00DC4E3F"/>
    <w:rsid w:val="00DC4FDB"/>
    <w:rsid w:val="00DC5053"/>
    <w:rsid w:val="00DC571D"/>
    <w:rsid w:val="00DC5DD8"/>
    <w:rsid w:val="00DC6848"/>
    <w:rsid w:val="00DD0426"/>
    <w:rsid w:val="00DD051B"/>
    <w:rsid w:val="00DD0563"/>
    <w:rsid w:val="00DD0E2A"/>
    <w:rsid w:val="00DD1986"/>
    <w:rsid w:val="00DD2073"/>
    <w:rsid w:val="00DD23B0"/>
    <w:rsid w:val="00DD29FC"/>
    <w:rsid w:val="00DD2B2B"/>
    <w:rsid w:val="00DD31CF"/>
    <w:rsid w:val="00DD3411"/>
    <w:rsid w:val="00DD3422"/>
    <w:rsid w:val="00DD3C11"/>
    <w:rsid w:val="00DD4517"/>
    <w:rsid w:val="00DD46C9"/>
    <w:rsid w:val="00DD4AC3"/>
    <w:rsid w:val="00DD5117"/>
    <w:rsid w:val="00DD51F1"/>
    <w:rsid w:val="00DD5239"/>
    <w:rsid w:val="00DD6103"/>
    <w:rsid w:val="00DD66D7"/>
    <w:rsid w:val="00DD6860"/>
    <w:rsid w:val="00DD7163"/>
    <w:rsid w:val="00DD7589"/>
    <w:rsid w:val="00DD7CEC"/>
    <w:rsid w:val="00DD7E0B"/>
    <w:rsid w:val="00DE01FF"/>
    <w:rsid w:val="00DE069E"/>
    <w:rsid w:val="00DE0885"/>
    <w:rsid w:val="00DE0B52"/>
    <w:rsid w:val="00DE0CF9"/>
    <w:rsid w:val="00DE20EB"/>
    <w:rsid w:val="00DE22B3"/>
    <w:rsid w:val="00DE234A"/>
    <w:rsid w:val="00DE29AE"/>
    <w:rsid w:val="00DE32E4"/>
    <w:rsid w:val="00DE42DB"/>
    <w:rsid w:val="00DE5237"/>
    <w:rsid w:val="00DE5275"/>
    <w:rsid w:val="00DE5328"/>
    <w:rsid w:val="00DE5388"/>
    <w:rsid w:val="00DE5726"/>
    <w:rsid w:val="00DE58B9"/>
    <w:rsid w:val="00DE7C19"/>
    <w:rsid w:val="00DE7C65"/>
    <w:rsid w:val="00DF028B"/>
    <w:rsid w:val="00DF0C83"/>
    <w:rsid w:val="00DF1FF6"/>
    <w:rsid w:val="00DF2342"/>
    <w:rsid w:val="00DF2B16"/>
    <w:rsid w:val="00DF352F"/>
    <w:rsid w:val="00DF3A71"/>
    <w:rsid w:val="00DF3E85"/>
    <w:rsid w:val="00DF4B92"/>
    <w:rsid w:val="00DF5060"/>
    <w:rsid w:val="00DF51E7"/>
    <w:rsid w:val="00DF58C3"/>
    <w:rsid w:val="00DF5A70"/>
    <w:rsid w:val="00DF6B98"/>
    <w:rsid w:val="00E010C3"/>
    <w:rsid w:val="00E018FD"/>
    <w:rsid w:val="00E02130"/>
    <w:rsid w:val="00E021DB"/>
    <w:rsid w:val="00E02575"/>
    <w:rsid w:val="00E02C55"/>
    <w:rsid w:val="00E02CD4"/>
    <w:rsid w:val="00E03340"/>
    <w:rsid w:val="00E036A3"/>
    <w:rsid w:val="00E03C84"/>
    <w:rsid w:val="00E0439B"/>
    <w:rsid w:val="00E04418"/>
    <w:rsid w:val="00E04CB4"/>
    <w:rsid w:val="00E05117"/>
    <w:rsid w:val="00E05A3C"/>
    <w:rsid w:val="00E072CE"/>
    <w:rsid w:val="00E0745E"/>
    <w:rsid w:val="00E07F42"/>
    <w:rsid w:val="00E10746"/>
    <w:rsid w:val="00E112B8"/>
    <w:rsid w:val="00E12660"/>
    <w:rsid w:val="00E12CBA"/>
    <w:rsid w:val="00E12E82"/>
    <w:rsid w:val="00E130A0"/>
    <w:rsid w:val="00E13D95"/>
    <w:rsid w:val="00E1438E"/>
    <w:rsid w:val="00E159C1"/>
    <w:rsid w:val="00E15D5D"/>
    <w:rsid w:val="00E15E45"/>
    <w:rsid w:val="00E15E9B"/>
    <w:rsid w:val="00E16900"/>
    <w:rsid w:val="00E20B57"/>
    <w:rsid w:val="00E20BAD"/>
    <w:rsid w:val="00E20F63"/>
    <w:rsid w:val="00E214C0"/>
    <w:rsid w:val="00E2166E"/>
    <w:rsid w:val="00E21E64"/>
    <w:rsid w:val="00E229E3"/>
    <w:rsid w:val="00E23A3C"/>
    <w:rsid w:val="00E246D2"/>
    <w:rsid w:val="00E247B5"/>
    <w:rsid w:val="00E2483A"/>
    <w:rsid w:val="00E253AE"/>
    <w:rsid w:val="00E2543C"/>
    <w:rsid w:val="00E256ED"/>
    <w:rsid w:val="00E25820"/>
    <w:rsid w:val="00E25CB5"/>
    <w:rsid w:val="00E25F36"/>
    <w:rsid w:val="00E2629C"/>
    <w:rsid w:val="00E27050"/>
    <w:rsid w:val="00E275C3"/>
    <w:rsid w:val="00E27BC7"/>
    <w:rsid w:val="00E27E96"/>
    <w:rsid w:val="00E30294"/>
    <w:rsid w:val="00E30B4C"/>
    <w:rsid w:val="00E3119D"/>
    <w:rsid w:val="00E31F50"/>
    <w:rsid w:val="00E31FA5"/>
    <w:rsid w:val="00E326F3"/>
    <w:rsid w:val="00E32778"/>
    <w:rsid w:val="00E33264"/>
    <w:rsid w:val="00E337A7"/>
    <w:rsid w:val="00E33D0A"/>
    <w:rsid w:val="00E34087"/>
    <w:rsid w:val="00E34106"/>
    <w:rsid w:val="00E343E6"/>
    <w:rsid w:val="00E34CD9"/>
    <w:rsid w:val="00E351C9"/>
    <w:rsid w:val="00E361FC"/>
    <w:rsid w:val="00E365D8"/>
    <w:rsid w:val="00E371E3"/>
    <w:rsid w:val="00E37B13"/>
    <w:rsid w:val="00E37BC2"/>
    <w:rsid w:val="00E37E36"/>
    <w:rsid w:val="00E40BC9"/>
    <w:rsid w:val="00E4124F"/>
    <w:rsid w:val="00E42023"/>
    <w:rsid w:val="00E438D2"/>
    <w:rsid w:val="00E448FD"/>
    <w:rsid w:val="00E44BFB"/>
    <w:rsid w:val="00E46124"/>
    <w:rsid w:val="00E4613F"/>
    <w:rsid w:val="00E46329"/>
    <w:rsid w:val="00E46379"/>
    <w:rsid w:val="00E463F2"/>
    <w:rsid w:val="00E46E8D"/>
    <w:rsid w:val="00E46FFA"/>
    <w:rsid w:val="00E4797B"/>
    <w:rsid w:val="00E50820"/>
    <w:rsid w:val="00E51327"/>
    <w:rsid w:val="00E513B9"/>
    <w:rsid w:val="00E529EE"/>
    <w:rsid w:val="00E52E20"/>
    <w:rsid w:val="00E53A9D"/>
    <w:rsid w:val="00E543D1"/>
    <w:rsid w:val="00E54427"/>
    <w:rsid w:val="00E55407"/>
    <w:rsid w:val="00E55BDF"/>
    <w:rsid w:val="00E55CF0"/>
    <w:rsid w:val="00E55F14"/>
    <w:rsid w:val="00E561A0"/>
    <w:rsid w:val="00E56863"/>
    <w:rsid w:val="00E5700B"/>
    <w:rsid w:val="00E57232"/>
    <w:rsid w:val="00E5781B"/>
    <w:rsid w:val="00E611C6"/>
    <w:rsid w:val="00E61279"/>
    <w:rsid w:val="00E618ED"/>
    <w:rsid w:val="00E619D8"/>
    <w:rsid w:val="00E61CD5"/>
    <w:rsid w:val="00E624ED"/>
    <w:rsid w:val="00E62A17"/>
    <w:rsid w:val="00E62E61"/>
    <w:rsid w:val="00E6303F"/>
    <w:rsid w:val="00E634A6"/>
    <w:rsid w:val="00E637FB"/>
    <w:rsid w:val="00E63B48"/>
    <w:rsid w:val="00E641BF"/>
    <w:rsid w:val="00E64363"/>
    <w:rsid w:val="00E655BC"/>
    <w:rsid w:val="00E65F23"/>
    <w:rsid w:val="00E6626F"/>
    <w:rsid w:val="00E67200"/>
    <w:rsid w:val="00E70203"/>
    <w:rsid w:val="00E702D4"/>
    <w:rsid w:val="00E70A00"/>
    <w:rsid w:val="00E70A54"/>
    <w:rsid w:val="00E70C88"/>
    <w:rsid w:val="00E71132"/>
    <w:rsid w:val="00E711E6"/>
    <w:rsid w:val="00E712FB"/>
    <w:rsid w:val="00E7193D"/>
    <w:rsid w:val="00E71FDB"/>
    <w:rsid w:val="00E727D7"/>
    <w:rsid w:val="00E73A78"/>
    <w:rsid w:val="00E73AE6"/>
    <w:rsid w:val="00E741AC"/>
    <w:rsid w:val="00E7480D"/>
    <w:rsid w:val="00E74D38"/>
    <w:rsid w:val="00E754BA"/>
    <w:rsid w:val="00E7650B"/>
    <w:rsid w:val="00E76716"/>
    <w:rsid w:val="00E77038"/>
    <w:rsid w:val="00E77417"/>
    <w:rsid w:val="00E803A2"/>
    <w:rsid w:val="00E80888"/>
    <w:rsid w:val="00E808A6"/>
    <w:rsid w:val="00E80A80"/>
    <w:rsid w:val="00E81CF6"/>
    <w:rsid w:val="00E81D72"/>
    <w:rsid w:val="00E827E5"/>
    <w:rsid w:val="00E8363A"/>
    <w:rsid w:val="00E838A3"/>
    <w:rsid w:val="00E83E0B"/>
    <w:rsid w:val="00E847A6"/>
    <w:rsid w:val="00E84850"/>
    <w:rsid w:val="00E858DE"/>
    <w:rsid w:val="00E85B97"/>
    <w:rsid w:val="00E85E66"/>
    <w:rsid w:val="00E863EF"/>
    <w:rsid w:val="00E86568"/>
    <w:rsid w:val="00E867A5"/>
    <w:rsid w:val="00E90251"/>
    <w:rsid w:val="00E9117A"/>
    <w:rsid w:val="00E91A17"/>
    <w:rsid w:val="00E91BDC"/>
    <w:rsid w:val="00E91D00"/>
    <w:rsid w:val="00E91E4E"/>
    <w:rsid w:val="00E91E9E"/>
    <w:rsid w:val="00E92F9A"/>
    <w:rsid w:val="00E935C2"/>
    <w:rsid w:val="00E93BB4"/>
    <w:rsid w:val="00E94089"/>
    <w:rsid w:val="00E944D0"/>
    <w:rsid w:val="00E948CF"/>
    <w:rsid w:val="00E949C7"/>
    <w:rsid w:val="00E94D2E"/>
    <w:rsid w:val="00E95EBC"/>
    <w:rsid w:val="00E96AE6"/>
    <w:rsid w:val="00E97024"/>
    <w:rsid w:val="00E97982"/>
    <w:rsid w:val="00E97C78"/>
    <w:rsid w:val="00E97C9D"/>
    <w:rsid w:val="00EA0201"/>
    <w:rsid w:val="00EA063C"/>
    <w:rsid w:val="00EA07FE"/>
    <w:rsid w:val="00EA0E12"/>
    <w:rsid w:val="00EA1156"/>
    <w:rsid w:val="00EA1922"/>
    <w:rsid w:val="00EA1E84"/>
    <w:rsid w:val="00EA2AD1"/>
    <w:rsid w:val="00EA363D"/>
    <w:rsid w:val="00EA3912"/>
    <w:rsid w:val="00EA3AE1"/>
    <w:rsid w:val="00EA4D7A"/>
    <w:rsid w:val="00EA5024"/>
    <w:rsid w:val="00EA7BDC"/>
    <w:rsid w:val="00EB064C"/>
    <w:rsid w:val="00EB086D"/>
    <w:rsid w:val="00EB0878"/>
    <w:rsid w:val="00EB0D8B"/>
    <w:rsid w:val="00EB0E2E"/>
    <w:rsid w:val="00EB167B"/>
    <w:rsid w:val="00EB18DE"/>
    <w:rsid w:val="00EB190B"/>
    <w:rsid w:val="00EB1D84"/>
    <w:rsid w:val="00EB1F3B"/>
    <w:rsid w:val="00EB23A2"/>
    <w:rsid w:val="00EB2572"/>
    <w:rsid w:val="00EB308D"/>
    <w:rsid w:val="00EB31AE"/>
    <w:rsid w:val="00EB33B0"/>
    <w:rsid w:val="00EB357F"/>
    <w:rsid w:val="00EB370F"/>
    <w:rsid w:val="00EB39FD"/>
    <w:rsid w:val="00EB3A8A"/>
    <w:rsid w:val="00EB3FB8"/>
    <w:rsid w:val="00EB4584"/>
    <w:rsid w:val="00EB476D"/>
    <w:rsid w:val="00EB5CB1"/>
    <w:rsid w:val="00EB5D54"/>
    <w:rsid w:val="00EB649E"/>
    <w:rsid w:val="00EB68C9"/>
    <w:rsid w:val="00EB73E3"/>
    <w:rsid w:val="00EB7AE3"/>
    <w:rsid w:val="00EC0480"/>
    <w:rsid w:val="00EC177F"/>
    <w:rsid w:val="00EC1FCE"/>
    <w:rsid w:val="00EC21B9"/>
    <w:rsid w:val="00EC36A8"/>
    <w:rsid w:val="00EC3C5B"/>
    <w:rsid w:val="00EC3D71"/>
    <w:rsid w:val="00EC5DA8"/>
    <w:rsid w:val="00EC5E52"/>
    <w:rsid w:val="00EC6185"/>
    <w:rsid w:val="00EC66E7"/>
    <w:rsid w:val="00EC6C3F"/>
    <w:rsid w:val="00EC6DCF"/>
    <w:rsid w:val="00EC7482"/>
    <w:rsid w:val="00EC76F7"/>
    <w:rsid w:val="00ED08F7"/>
    <w:rsid w:val="00ED1120"/>
    <w:rsid w:val="00ED14C1"/>
    <w:rsid w:val="00ED1CC9"/>
    <w:rsid w:val="00ED1EDF"/>
    <w:rsid w:val="00ED226A"/>
    <w:rsid w:val="00ED2445"/>
    <w:rsid w:val="00ED2BFD"/>
    <w:rsid w:val="00ED3B72"/>
    <w:rsid w:val="00ED3F51"/>
    <w:rsid w:val="00ED45C3"/>
    <w:rsid w:val="00ED4697"/>
    <w:rsid w:val="00ED485F"/>
    <w:rsid w:val="00ED51CB"/>
    <w:rsid w:val="00ED562E"/>
    <w:rsid w:val="00ED571E"/>
    <w:rsid w:val="00ED6058"/>
    <w:rsid w:val="00ED617C"/>
    <w:rsid w:val="00ED6211"/>
    <w:rsid w:val="00ED66D1"/>
    <w:rsid w:val="00ED6A8D"/>
    <w:rsid w:val="00ED73A3"/>
    <w:rsid w:val="00ED7448"/>
    <w:rsid w:val="00EE074E"/>
    <w:rsid w:val="00EE08BF"/>
    <w:rsid w:val="00EE0DCC"/>
    <w:rsid w:val="00EE2075"/>
    <w:rsid w:val="00EE2A44"/>
    <w:rsid w:val="00EE400C"/>
    <w:rsid w:val="00EE44A5"/>
    <w:rsid w:val="00EE44DC"/>
    <w:rsid w:val="00EE49AD"/>
    <w:rsid w:val="00EE5138"/>
    <w:rsid w:val="00EE53B1"/>
    <w:rsid w:val="00EE56D9"/>
    <w:rsid w:val="00EE6BCB"/>
    <w:rsid w:val="00EE6E7E"/>
    <w:rsid w:val="00EE780F"/>
    <w:rsid w:val="00EF0D6E"/>
    <w:rsid w:val="00EF0E82"/>
    <w:rsid w:val="00EF0F9B"/>
    <w:rsid w:val="00EF0FEE"/>
    <w:rsid w:val="00EF1150"/>
    <w:rsid w:val="00EF1F5D"/>
    <w:rsid w:val="00EF1F72"/>
    <w:rsid w:val="00EF3C97"/>
    <w:rsid w:val="00EF4B55"/>
    <w:rsid w:val="00EF4E8C"/>
    <w:rsid w:val="00EF535E"/>
    <w:rsid w:val="00EF56BE"/>
    <w:rsid w:val="00EF5AD5"/>
    <w:rsid w:val="00EF5E33"/>
    <w:rsid w:val="00EF61AB"/>
    <w:rsid w:val="00EF67B8"/>
    <w:rsid w:val="00EF6F89"/>
    <w:rsid w:val="00EF7989"/>
    <w:rsid w:val="00EF7EFE"/>
    <w:rsid w:val="00F000CB"/>
    <w:rsid w:val="00F0116D"/>
    <w:rsid w:val="00F036E4"/>
    <w:rsid w:val="00F03BF5"/>
    <w:rsid w:val="00F04A44"/>
    <w:rsid w:val="00F052CB"/>
    <w:rsid w:val="00F0578F"/>
    <w:rsid w:val="00F058A3"/>
    <w:rsid w:val="00F059FD"/>
    <w:rsid w:val="00F0636C"/>
    <w:rsid w:val="00F06504"/>
    <w:rsid w:val="00F0666C"/>
    <w:rsid w:val="00F11467"/>
    <w:rsid w:val="00F11752"/>
    <w:rsid w:val="00F12194"/>
    <w:rsid w:val="00F124D6"/>
    <w:rsid w:val="00F12769"/>
    <w:rsid w:val="00F12C40"/>
    <w:rsid w:val="00F12DFF"/>
    <w:rsid w:val="00F12E73"/>
    <w:rsid w:val="00F13457"/>
    <w:rsid w:val="00F13B21"/>
    <w:rsid w:val="00F147F8"/>
    <w:rsid w:val="00F15451"/>
    <w:rsid w:val="00F16333"/>
    <w:rsid w:val="00F173DC"/>
    <w:rsid w:val="00F1748D"/>
    <w:rsid w:val="00F17DC3"/>
    <w:rsid w:val="00F20190"/>
    <w:rsid w:val="00F20481"/>
    <w:rsid w:val="00F20C05"/>
    <w:rsid w:val="00F20C5F"/>
    <w:rsid w:val="00F20C7C"/>
    <w:rsid w:val="00F21222"/>
    <w:rsid w:val="00F2162B"/>
    <w:rsid w:val="00F22241"/>
    <w:rsid w:val="00F22A73"/>
    <w:rsid w:val="00F231C8"/>
    <w:rsid w:val="00F23796"/>
    <w:rsid w:val="00F2388F"/>
    <w:rsid w:val="00F238BC"/>
    <w:rsid w:val="00F2433E"/>
    <w:rsid w:val="00F262B5"/>
    <w:rsid w:val="00F264BA"/>
    <w:rsid w:val="00F27386"/>
    <w:rsid w:val="00F27E25"/>
    <w:rsid w:val="00F301B5"/>
    <w:rsid w:val="00F305F3"/>
    <w:rsid w:val="00F30C06"/>
    <w:rsid w:val="00F32075"/>
    <w:rsid w:val="00F3261B"/>
    <w:rsid w:val="00F32AEF"/>
    <w:rsid w:val="00F32B2A"/>
    <w:rsid w:val="00F33511"/>
    <w:rsid w:val="00F33799"/>
    <w:rsid w:val="00F33B0E"/>
    <w:rsid w:val="00F33E58"/>
    <w:rsid w:val="00F340F7"/>
    <w:rsid w:val="00F342AC"/>
    <w:rsid w:val="00F34666"/>
    <w:rsid w:val="00F34AB3"/>
    <w:rsid w:val="00F363FA"/>
    <w:rsid w:val="00F3641A"/>
    <w:rsid w:val="00F36F8D"/>
    <w:rsid w:val="00F37719"/>
    <w:rsid w:val="00F37A55"/>
    <w:rsid w:val="00F37BD5"/>
    <w:rsid w:val="00F37BDC"/>
    <w:rsid w:val="00F40331"/>
    <w:rsid w:val="00F40D57"/>
    <w:rsid w:val="00F423DC"/>
    <w:rsid w:val="00F42556"/>
    <w:rsid w:val="00F4289F"/>
    <w:rsid w:val="00F43603"/>
    <w:rsid w:val="00F4427C"/>
    <w:rsid w:val="00F442AE"/>
    <w:rsid w:val="00F4433B"/>
    <w:rsid w:val="00F444AC"/>
    <w:rsid w:val="00F44C65"/>
    <w:rsid w:val="00F44FDC"/>
    <w:rsid w:val="00F45788"/>
    <w:rsid w:val="00F45FB1"/>
    <w:rsid w:val="00F462E2"/>
    <w:rsid w:val="00F47E4C"/>
    <w:rsid w:val="00F50301"/>
    <w:rsid w:val="00F50A41"/>
    <w:rsid w:val="00F50C91"/>
    <w:rsid w:val="00F510AF"/>
    <w:rsid w:val="00F520D9"/>
    <w:rsid w:val="00F534B5"/>
    <w:rsid w:val="00F53D39"/>
    <w:rsid w:val="00F54480"/>
    <w:rsid w:val="00F54B08"/>
    <w:rsid w:val="00F55219"/>
    <w:rsid w:val="00F5628E"/>
    <w:rsid w:val="00F567DB"/>
    <w:rsid w:val="00F5762F"/>
    <w:rsid w:val="00F577D6"/>
    <w:rsid w:val="00F57933"/>
    <w:rsid w:val="00F60ADF"/>
    <w:rsid w:val="00F62171"/>
    <w:rsid w:val="00F624C0"/>
    <w:rsid w:val="00F62887"/>
    <w:rsid w:val="00F6326C"/>
    <w:rsid w:val="00F634C2"/>
    <w:rsid w:val="00F63B8C"/>
    <w:rsid w:val="00F64418"/>
    <w:rsid w:val="00F646F4"/>
    <w:rsid w:val="00F64D1D"/>
    <w:rsid w:val="00F65151"/>
    <w:rsid w:val="00F65A56"/>
    <w:rsid w:val="00F65BE8"/>
    <w:rsid w:val="00F65D3A"/>
    <w:rsid w:val="00F677DE"/>
    <w:rsid w:val="00F67994"/>
    <w:rsid w:val="00F72401"/>
    <w:rsid w:val="00F7244D"/>
    <w:rsid w:val="00F73006"/>
    <w:rsid w:val="00F73518"/>
    <w:rsid w:val="00F741EC"/>
    <w:rsid w:val="00F7441A"/>
    <w:rsid w:val="00F74AAA"/>
    <w:rsid w:val="00F7605C"/>
    <w:rsid w:val="00F76713"/>
    <w:rsid w:val="00F76887"/>
    <w:rsid w:val="00F76A7A"/>
    <w:rsid w:val="00F76F4E"/>
    <w:rsid w:val="00F77B1D"/>
    <w:rsid w:val="00F77DC9"/>
    <w:rsid w:val="00F80F45"/>
    <w:rsid w:val="00F8173F"/>
    <w:rsid w:val="00F818BA"/>
    <w:rsid w:val="00F81C2E"/>
    <w:rsid w:val="00F827CD"/>
    <w:rsid w:val="00F83D85"/>
    <w:rsid w:val="00F8400D"/>
    <w:rsid w:val="00F84FD4"/>
    <w:rsid w:val="00F85030"/>
    <w:rsid w:val="00F87455"/>
    <w:rsid w:val="00F877C3"/>
    <w:rsid w:val="00F87FDD"/>
    <w:rsid w:val="00F9025E"/>
    <w:rsid w:val="00F90866"/>
    <w:rsid w:val="00F90FD5"/>
    <w:rsid w:val="00F9119C"/>
    <w:rsid w:val="00F915A2"/>
    <w:rsid w:val="00F91F4F"/>
    <w:rsid w:val="00F92434"/>
    <w:rsid w:val="00F93CAF"/>
    <w:rsid w:val="00F9495F"/>
    <w:rsid w:val="00F94A30"/>
    <w:rsid w:val="00F950A2"/>
    <w:rsid w:val="00F95C56"/>
    <w:rsid w:val="00F96C2B"/>
    <w:rsid w:val="00F96DB2"/>
    <w:rsid w:val="00F97112"/>
    <w:rsid w:val="00FA080D"/>
    <w:rsid w:val="00FA11FB"/>
    <w:rsid w:val="00FA1204"/>
    <w:rsid w:val="00FA152E"/>
    <w:rsid w:val="00FA2003"/>
    <w:rsid w:val="00FA2947"/>
    <w:rsid w:val="00FA2BE9"/>
    <w:rsid w:val="00FA3233"/>
    <w:rsid w:val="00FA4055"/>
    <w:rsid w:val="00FA4077"/>
    <w:rsid w:val="00FA414C"/>
    <w:rsid w:val="00FA47A7"/>
    <w:rsid w:val="00FA4CE2"/>
    <w:rsid w:val="00FA5E9F"/>
    <w:rsid w:val="00FA6216"/>
    <w:rsid w:val="00FA637F"/>
    <w:rsid w:val="00FA63A1"/>
    <w:rsid w:val="00FA70A5"/>
    <w:rsid w:val="00FA712E"/>
    <w:rsid w:val="00FA79F4"/>
    <w:rsid w:val="00FB018D"/>
    <w:rsid w:val="00FB102C"/>
    <w:rsid w:val="00FB130C"/>
    <w:rsid w:val="00FB147C"/>
    <w:rsid w:val="00FB1F92"/>
    <w:rsid w:val="00FB25BF"/>
    <w:rsid w:val="00FB27F6"/>
    <w:rsid w:val="00FB2981"/>
    <w:rsid w:val="00FB33BE"/>
    <w:rsid w:val="00FB4143"/>
    <w:rsid w:val="00FB50B3"/>
    <w:rsid w:val="00FB5133"/>
    <w:rsid w:val="00FB51DA"/>
    <w:rsid w:val="00FB5872"/>
    <w:rsid w:val="00FB619F"/>
    <w:rsid w:val="00FB659E"/>
    <w:rsid w:val="00FB685D"/>
    <w:rsid w:val="00FB6CD7"/>
    <w:rsid w:val="00FB7A33"/>
    <w:rsid w:val="00FC0303"/>
    <w:rsid w:val="00FC100A"/>
    <w:rsid w:val="00FC2371"/>
    <w:rsid w:val="00FC2521"/>
    <w:rsid w:val="00FC2958"/>
    <w:rsid w:val="00FC3B51"/>
    <w:rsid w:val="00FC453A"/>
    <w:rsid w:val="00FC493F"/>
    <w:rsid w:val="00FC4C1C"/>
    <w:rsid w:val="00FC4D90"/>
    <w:rsid w:val="00FC5273"/>
    <w:rsid w:val="00FC5E39"/>
    <w:rsid w:val="00FC6A74"/>
    <w:rsid w:val="00FC6E28"/>
    <w:rsid w:val="00FC6E8C"/>
    <w:rsid w:val="00FC7594"/>
    <w:rsid w:val="00FC7763"/>
    <w:rsid w:val="00FC7FCD"/>
    <w:rsid w:val="00FC7FE4"/>
    <w:rsid w:val="00FD015F"/>
    <w:rsid w:val="00FD116F"/>
    <w:rsid w:val="00FD1493"/>
    <w:rsid w:val="00FD1F35"/>
    <w:rsid w:val="00FD200F"/>
    <w:rsid w:val="00FD286C"/>
    <w:rsid w:val="00FD3229"/>
    <w:rsid w:val="00FD43C8"/>
    <w:rsid w:val="00FD43F7"/>
    <w:rsid w:val="00FD5210"/>
    <w:rsid w:val="00FD5BD3"/>
    <w:rsid w:val="00FD5D1F"/>
    <w:rsid w:val="00FD605A"/>
    <w:rsid w:val="00FD6507"/>
    <w:rsid w:val="00FD655B"/>
    <w:rsid w:val="00FD6C5F"/>
    <w:rsid w:val="00FD7789"/>
    <w:rsid w:val="00FD7CA8"/>
    <w:rsid w:val="00FE006D"/>
    <w:rsid w:val="00FE134D"/>
    <w:rsid w:val="00FE13EA"/>
    <w:rsid w:val="00FE1400"/>
    <w:rsid w:val="00FE23D7"/>
    <w:rsid w:val="00FE286A"/>
    <w:rsid w:val="00FE425C"/>
    <w:rsid w:val="00FE45F6"/>
    <w:rsid w:val="00FE474B"/>
    <w:rsid w:val="00FE4CAD"/>
    <w:rsid w:val="00FE4E4A"/>
    <w:rsid w:val="00FE4FFB"/>
    <w:rsid w:val="00FE5660"/>
    <w:rsid w:val="00FE5685"/>
    <w:rsid w:val="00FE5915"/>
    <w:rsid w:val="00FE5B6B"/>
    <w:rsid w:val="00FE5CD3"/>
    <w:rsid w:val="00FE5DC2"/>
    <w:rsid w:val="00FE5F5E"/>
    <w:rsid w:val="00FE7148"/>
    <w:rsid w:val="00FF0C1C"/>
    <w:rsid w:val="00FF0F3C"/>
    <w:rsid w:val="00FF1A0B"/>
    <w:rsid w:val="00FF284E"/>
    <w:rsid w:val="00FF2A73"/>
    <w:rsid w:val="00FF2B6F"/>
    <w:rsid w:val="00FF2BA7"/>
    <w:rsid w:val="00FF3227"/>
    <w:rsid w:val="00FF3490"/>
    <w:rsid w:val="00FF3C26"/>
    <w:rsid w:val="00FF52A6"/>
    <w:rsid w:val="00FF5509"/>
    <w:rsid w:val="00FF5727"/>
    <w:rsid w:val="00FF681D"/>
    <w:rsid w:val="00FF696C"/>
    <w:rsid w:val="00FF6CB7"/>
    <w:rsid w:val="00FF6D5E"/>
    <w:rsid w:val="00FF77EA"/>
    <w:rsid w:val="00FF7C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54F9860"/>
  <w15:docId w15:val="{1B494621-D1B3-4FFC-91A0-D928C8959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209"/>
    <w:pPr>
      <w:spacing w:after="120"/>
    </w:pPr>
    <w:rPr>
      <w:rFonts w:ascii="Times" w:eastAsia="Batang" w:hAnsi="Times"/>
      <w:sz w:val="24"/>
    </w:rPr>
  </w:style>
  <w:style w:type="paragraph" w:styleId="Overskrift1">
    <w:name w:val="heading 1"/>
    <w:basedOn w:val="Normal"/>
    <w:next w:val="Normal"/>
    <w:link w:val="Overskrift1Tegn"/>
    <w:qFormat/>
    <w:rsid w:val="005B3209"/>
    <w:pPr>
      <w:keepNext/>
      <w:keepLines/>
      <w:numPr>
        <w:numId w:val="101"/>
      </w:numPr>
      <w:spacing w:before="360" w:after="80" w:line="276" w:lineRule="auto"/>
      <w:outlineLvl w:val="0"/>
    </w:pPr>
    <w:rPr>
      <w:rFonts w:ascii="Arial" w:eastAsia="Times New Roman" w:hAnsi="Arial" w:cstheme="minorBidi"/>
      <w:b/>
      <w:kern w:val="28"/>
      <w:sz w:val="32"/>
      <w:szCs w:val="22"/>
    </w:rPr>
  </w:style>
  <w:style w:type="paragraph" w:styleId="Overskrift2">
    <w:name w:val="heading 2"/>
    <w:aliases w:val="Overskrift 2 Tegn Tegn,Overskrift 2 Tegn Tegn Tegn Tegn"/>
    <w:basedOn w:val="Normal"/>
    <w:next w:val="Normal"/>
    <w:link w:val="Overskrift2Tegn"/>
    <w:qFormat/>
    <w:rsid w:val="005B3209"/>
    <w:pPr>
      <w:keepNext/>
      <w:keepLines/>
      <w:numPr>
        <w:ilvl w:val="1"/>
        <w:numId w:val="101"/>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aliases w:val="Overskrift 3 Tegn Tegn Tegn Tegn"/>
    <w:basedOn w:val="Normal"/>
    <w:next w:val="Normal"/>
    <w:link w:val="Overskrift3Tegn"/>
    <w:qFormat/>
    <w:rsid w:val="005B3209"/>
    <w:pPr>
      <w:keepNext/>
      <w:keepLines/>
      <w:numPr>
        <w:ilvl w:val="2"/>
        <w:numId w:val="101"/>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B3209"/>
    <w:pPr>
      <w:keepNext/>
      <w:keepLines/>
      <w:numPr>
        <w:ilvl w:val="3"/>
        <w:numId w:val="101"/>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B3209"/>
    <w:pPr>
      <w:keepNext/>
      <w:numPr>
        <w:ilvl w:val="4"/>
        <w:numId w:val="101"/>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B3209"/>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5B3209"/>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5B3209"/>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5B3209"/>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B320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B3209"/>
  </w:style>
  <w:style w:type="character" w:customStyle="1" w:styleId="kursiv">
    <w:name w:val="kursiv"/>
    <w:basedOn w:val="Standardskriftforavsnitt"/>
    <w:rsid w:val="005B3209"/>
    <w:rPr>
      <w:i/>
    </w:rPr>
  </w:style>
  <w:style w:type="character" w:customStyle="1" w:styleId="halvfet">
    <w:name w:val="halvfet"/>
    <w:basedOn w:val="Standardskriftforavsnitt"/>
    <w:rsid w:val="005B3209"/>
    <w:rPr>
      <w:b/>
    </w:rPr>
  </w:style>
  <w:style w:type="paragraph" w:customStyle="1" w:styleId="avsnitt-tit">
    <w:name w:val="avsnitt-tit"/>
    <w:basedOn w:val="Normal"/>
    <w:next w:val="Normal"/>
    <w:link w:val="avsnitt-titTegn"/>
    <w:rsid w:val="00715919"/>
    <w:pPr>
      <w:spacing w:before="120" w:after="60"/>
    </w:pPr>
    <w:rPr>
      <w:i/>
    </w:rPr>
  </w:style>
  <w:style w:type="character" w:customStyle="1" w:styleId="sitat">
    <w:name w:val="sitat"/>
    <w:basedOn w:val="Standardskriftforavsnitt"/>
    <w:rsid w:val="00715919"/>
    <w:rPr>
      <w:spacing w:val="-12"/>
      <w:kern w:val="0"/>
    </w:rPr>
  </w:style>
  <w:style w:type="paragraph" w:customStyle="1" w:styleId="tabell-tit">
    <w:name w:val="tabell-tit"/>
    <w:basedOn w:val="Normal"/>
    <w:next w:val="Normal"/>
    <w:link w:val="tabell-titTegn"/>
    <w:rsid w:val="00715919"/>
    <w:rPr>
      <w:i/>
    </w:rPr>
  </w:style>
  <w:style w:type="paragraph" w:styleId="Undertittel">
    <w:name w:val="Subtitle"/>
    <w:basedOn w:val="Normal"/>
    <w:next w:val="Normal"/>
    <w:link w:val="UndertittelTegn"/>
    <w:qFormat/>
    <w:rsid w:val="005B3209"/>
    <w:pPr>
      <w:keepNext/>
      <w:keepLines/>
      <w:spacing w:before="360" w:line="276" w:lineRule="auto"/>
    </w:pPr>
    <w:rPr>
      <w:rFonts w:ascii="Arial" w:eastAsia="Times New Roman" w:hAnsi="Arial" w:cstheme="minorBidi"/>
      <w:b/>
      <w:spacing w:val="4"/>
      <w:sz w:val="28"/>
      <w:szCs w:val="22"/>
    </w:rPr>
  </w:style>
  <w:style w:type="paragraph" w:customStyle="1" w:styleId="underkap-tit">
    <w:name w:val="underkap-tit"/>
    <w:basedOn w:val="Normal"/>
    <w:next w:val="Normal"/>
    <w:rsid w:val="00715919"/>
    <w:rPr>
      <w:b/>
    </w:rPr>
  </w:style>
  <w:style w:type="paragraph" w:customStyle="1" w:styleId="heng-innrykk">
    <w:name w:val="heng-innrykk"/>
    <w:basedOn w:val="Normal"/>
    <w:next w:val="Normal"/>
    <w:rsid w:val="00715919"/>
    <w:pPr>
      <w:ind w:left="1418" w:hanging="1418"/>
    </w:pPr>
  </w:style>
  <w:style w:type="paragraph" w:customStyle="1" w:styleId="vedlegg-tit">
    <w:name w:val="vedlegg-tit"/>
    <w:basedOn w:val="Normal"/>
    <w:next w:val="Normal"/>
    <w:rsid w:val="005B3209"/>
    <w:pPr>
      <w:keepNext/>
      <w:spacing w:before="360" w:after="80" w:line="276" w:lineRule="auto"/>
      <w:jc w:val="center"/>
    </w:pPr>
    <w:rPr>
      <w:rFonts w:ascii="Arial" w:eastAsia="Times New Roman" w:hAnsi="Arial" w:cstheme="minorBidi"/>
      <w:b/>
      <w:spacing w:val="4"/>
      <w:sz w:val="28"/>
      <w:szCs w:val="22"/>
    </w:rPr>
  </w:style>
  <w:style w:type="paragraph" w:styleId="Liste">
    <w:name w:val="List"/>
    <w:basedOn w:val="Normal"/>
    <w:rsid w:val="005B3209"/>
    <w:pPr>
      <w:numPr>
        <w:numId w:val="22"/>
      </w:numPr>
      <w:contextualSpacing/>
    </w:pPr>
    <w:rPr>
      <w:rFonts w:ascii="Times New Roman" w:eastAsia="Times New Roman" w:hAnsi="Times New Roman" w:cstheme="minorBidi"/>
      <w:spacing w:val="4"/>
      <w:szCs w:val="22"/>
    </w:rPr>
  </w:style>
  <w:style w:type="paragraph" w:styleId="INNH1">
    <w:name w:val="toc 1"/>
    <w:basedOn w:val="Normal"/>
    <w:next w:val="Normal"/>
    <w:rsid w:val="005B3209"/>
    <w:pPr>
      <w:tabs>
        <w:tab w:val="right" w:pos="8306"/>
      </w:tabs>
      <w:spacing w:before="360"/>
    </w:pPr>
    <w:rPr>
      <w:rFonts w:ascii="Arial" w:hAnsi="Arial"/>
      <w:b/>
      <w:caps/>
    </w:rPr>
  </w:style>
  <w:style w:type="paragraph" w:customStyle="1" w:styleId="Uvedl-tit">
    <w:name w:val="Uvedl-tit"/>
    <w:basedOn w:val="Normal"/>
    <w:next w:val="Normal"/>
    <w:rsid w:val="00715919"/>
    <w:pPr>
      <w:spacing w:before="360" w:after="240"/>
      <w:jc w:val="center"/>
    </w:pPr>
    <w:rPr>
      <w:b/>
      <w:sz w:val="28"/>
    </w:rPr>
  </w:style>
  <w:style w:type="paragraph" w:customStyle="1" w:styleId="littlist-tit">
    <w:name w:val="littlist-tit"/>
    <w:basedOn w:val="Normal"/>
    <w:next w:val="Normal"/>
    <w:rsid w:val="00715919"/>
    <w:pPr>
      <w:spacing w:before="360" w:after="240"/>
      <w:jc w:val="center"/>
    </w:pPr>
    <w:rPr>
      <w:b/>
      <w:sz w:val="28"/>
    </w:rPr>
  </w:style>
  <w:style w:type="paragraph" w:customStyle="1" w:styleId="tit-ordforkl">
    <w:name w:val="tit-ordforkl"/>
    <w:basedOn w:val="Normal"/>
    <w:next w:val="Normal"/>
    <w:rsid w:val="00715919"/>
    <w:pPr>
      <w:spacing w:before="360" w:after="240"/>
      <w:jc w:val="center"/>
    </w:pPr>
    <w:rPr>
      <w:b/>
      <w:sz w:val="28"/>
    </w:rPr>
  </w:style>
  <w:style w:type="character" w:customStyle="1" w:styleId="skrift-hevet">
    <w:name w:val="skrift-hevet"/>
    <w:basedOn w:val="Standardskriftforavsnitt"/>
    <w:rsid w:val="005B3209"/>
    <w:rPr>
      <w:vertAlign w:val="superscript"/>
    </w:rPr>
  </w:style>
  <w:style w:type="character" w:customStyle="1" w:styleId="skrift-senket">
    <w:name w:val="skrift-senket"/>
    <w:basedOn w:val="Standardskriftforavsnitt"/>
    <w:rsid w:val="005B3209"/>
    <w:rPr>
      <w:vertAlign w:val="subscript"/>
    </w:rPr>
  </w:style>
  <w:style w:type="paragraph" w:customStyle="1" w:styleId="tittel-ramme">
    <w:name w:val="tittel-ramme"/>
    <w:basedOn w:val="Normal"/>
    <w:next w:val="Normal"/>
    <w:rsid w:val="005B3209"/>
    <w:pPr>
      <w:keepNext/>
      <w:keepLines/>
      <w:numPr>
        <w:ilvl w:val="7"/>
        <w:numId w:val="101"/>
      </w:numPr>
      <w:spacing w:before="360" w:after="80" w:line="276" w:lineRule="auto"/>
      <w:jc w:val="center"/>
    </w:pPr>
    <w:rPr>
      <w:rFonts w:ascii="Arial" w:eastAsia="Times New Roman" w:hAnsi="Arial" w:cstheme="minorBidi"/>
      <w:b/>
      <w:spacing w:val="4"/>
      <w:szCs w:val="22"/>
    </w:rPr>
  </w:style>
  <w:style w:type="paragraph" w:customStyle="1" w:styleId="dato">
    <w:name w:val="dato"/>
    <w:basedOn w:val="Normal"/>
    <w:next w:val="Normal"/>
    <w:rsid w:val="005B3209"/>
  </w:style>
  <w:style w:type="paragraph" w:customStyle="1" w:styleId="signatur">
    <w:name w:val="signatur"/>
    <w:basedOn w:val="Normal"/>
    <w:next w:val="Normal"/>
    <w:rsid w:val="005B3209"/>
  </w:style>
  <w:style w:type="paragraph" w:customStyle="1" w:styleId="figur-beskr">
    <w:name w:val="figur-beskr"/>
    <w:basedOn w:val="Normal"/>
    <w:next w:val="Normal"/>
    <w:rsid w:val="005B3209"/>
    <w:rPr>
      <w:i/>
    </w:rPr>
  </w:style>
  <w:style w:type="paragraph" w:customStyle="1" w:styleId="figur-tittel">
    <w:name w:val="figur-tittel"/>
    <w:basedOn w:val="Normal"/>
    <w:next w:val="Normal"/>
    <w:link w:val="figur-tittelTegn"/>
    <w:rsid w:val="005B3209"/>
    <w:pPr>
      <w:numPr>
        <w:ilvl w:val="5"/>
        <w:numId w:val="101"/>
      </w:numPr>
      <w:spacing w:line="276" w:lineRule="auto"/>
    </w:pPr>
    <w:rPr>
      <w:rFonts w:ascii="Arial" w:eastAsia="Times New Roman" w:hAnsi="Arial" w:cstheme="minorBidi"/>
      <w:spacing w:val="4"/>
      <w:szCs w:val="22"/>
    </w:rPr>
  </w:style>
  <w:style w:type="paragraph" w:customStyle="1" w:styleId="forfatter">
    <w:name w:val="forfatter"/>
    <w:basedOn w:val="Normal"/>
    <w:next w:val="Normal"/>
    <w:rsid w:val="005B3209"/>
    <w:pPr>
      <w:spacing w:before="240"/>
      <w:jc w:val="center"/>
    </w:pPr>
  </w:style>
  <w:style w:type="paragraph" w:customStyle="1" w:styleId="Kilde">
    <w:name w:val="Kilde"/>
    <w:basedOn w:val="Normal"/>
    <w:next w:val="Normal"/>
    <w:link w:val="KildeTegn"/>
    <w:rsid w:val="005B3209"/>
    <w:pPr>
      <w:spacing w:after="240"/>
    </w:pPr>
    <w:rPr>
      <w:sz w:val="20"/>
    </w:rPr>
  </w:style>
  <w:style w:type="paragraph" w:customStyle="1" w:styleId="tabell-noter">
    <w:name w:val="tabell-noter"/>
    <w:basedOn w:val="Normal"/>
    <w:next w:val="Normal"/>
    <w:link w:val="tabell-noterTegn"/>
    <w:rsid w:val="005B3209"/>
    <w:pPr>
      <w:tabs>
        <w:tab w:val="left" w:pos="284"/>
      </w:tabs>
      <w:spacing w:before="120"/>
      <w:contextualSpacing/>
    </w:pPr>
    <w:rPr>
      <w:rFonts w:cstheme="minorBidi"/>
      <w:sz w:val="20"/>
    </w:rPr>
  </w:style>
  <w:style w:type="paragraph" w:customStyle="1" w:styleId="vedlegg-nr">
    <w:name w:val="vedlegg-nr"/>
    <w:basedOn w:val="Normal"/>
    <w:next w:val="Normal"/>
    <w:rsid w:val="005B3209"/>
    <w:pPr>
      <w:keepNext/>
      <w:numPr>
        <w:numId w:val="12"/>
      </w:numPr>
      <w:spacing w:line="276" w:lineRule="auto"/>
    </w:pPr>
    <w:rPr>
      <w:rFonts w:ascii="Arial" w:eastAsia="Times New Roman" w:hAnsi="Arial" w:cstheme="minorBidi"/>
      <w:b/>
      <w:spacing w:val="4"/>
      <w:szCs w:val="22"/>
      <w:u w:val="single"/>
    </w:rPr>
  </w:style>
  <w:style w:type="paragraph" w:customStyle="1" w:styleId="Nou-nr">
    <w:name w:val="Nou-nr"/>
    <w:basedOn w:val="Normal"/>
    <w:next w:val="Normal"/>
    <w:rsid w:val="005B3209"/>
    <w:pPr>
      <w:jc w:val="center"/>
    </w:pPr>
    <w:rPr>
      <w:b/>
    </w:rPr>
  </w:style>
  <w:style w:type="paragraph" w:customStyle="1" w:styleId="Nou-tit">
    <w:name w:val="Nou-tit"/>
    <w:basedOn w:val="Normal"/>
    <w:next w:val="Normal"/>
    <w:rsid w:val="005B3209"/>
    <w:pPr>
      <w:spacing w:before="640" w:after="640" w:line="640" w:lineRule="exact"/>
      <w:jc w:val="center"/>
    </w:pPr>
    <w:rPr>
      <w:b/>
      <w:sz w:val="50"/>
    </w:rPr>
  </w:style>
  <w:style w:type="paragraph" w:customStyle="1" w:styleId="Nou-undertit">
    <w:name w:val="Nou-undertit"/>
    <w:basedOn w:val="Normal"/>
    <w:next w:val="Normal"/>
    <w:rsid w:val="005B3209"/>
    <w:pPr>
      <w:jc w:val="center"/>
    </w:pPr>
    <w:rPr>
      <w:i/>
      <w:sz w:val="32"/>
    </w:rPr>
  </w:style>
  <w:style w:type="paragraph" w:customStyle="1" w:styleId="oppnevnelse">
    <w:name w:val="oppnevnelse"/>
    <w:basedOn w:val="Normal"/>
    <w:next w:val="Normal"/>
    <w:rsid w:val="005B3209"/>
    <w:pPr>
      <w:jc w:val="center"/>
    </w:pPr>
    <w:rPr>
      <w:b/>
    </w:rPr>
  </w:style>
  <w:style w:type="paragraph" w:customStyle="1" w:styleId="Del-tittel">
    <w:name w:val="Del-tittel"/>
    <w:basedOn w:val="Normal"/>
    <w:next w:val="Normal"/>
    <w:link w:val="Del-tittelTegn"/>
    <w:rsid w:val="00715919"/>
    <w:pPr>
      <w:jc w:val="center"/>
    </w:pPr>
    <w:rPr>
      <w:i/>
      <w:sz w:val="44"/>
    </w:rPr>
  </w:style>
  <w:style w:type="paragraph" w:customStyle="1" w:styleId="tillmatr-tit">
    <w:name w:val="tillmatr-tit"/>
    <w:basedOn w:val="Normal"/>
    <w:next w:val="Normal"/>
    <w:rsid w:val="005B3209"/>
    <w:rPr>
      <w:i/>
      <w:sz w:val="28"/>
    </w:rPr>
  </w:style>
  <w:style w:type="paragraph" w:styleId="INNH2">
    <w:name w:val="toc 2"/>
    <w:basedOn w:val="Normal"/>
    <w:next w:val="Normal"/>
    <w:rsid w:val="005B3209"/>
    <w:pPr>
      <w:tabs>
        <w:tab w:val="right" w:pos="8306"/>
      </w:tabs>
      <w:spacing w:before="240"/>
      <w:ind w:left="200"/>
    </w:pPr>
    <w:rPr>
      <w:b/>
    </w:rPr>
  </w:style>
  <w:style w:type="paragraph" w:styleId="INNH3">
    <w:name w:val="toc 3"/>
    <w:basedOn w:val="Normal"/>
    <w:next w:val="Normal"/>
    <w:rsid w:val="005B3209"/>
    <w:pPr>
      <w:tabs>
        <w:tab w:val="right" w:pos="8306"/>
      </w:tabs>
      <w:ind w:left="400"/>
    </w:pPr>
  </w:style>
  <w:style w:type="paragraph" w:customStyle="1" w:styleId="Vedl-overs1">
    <w:name w:val="Vedl-overs 1"/>
    <w:basedOn w:val="Normal"/>
    <w:next w:val="Normal"/>
    <w:rsid w:val="00715919"/>
    <w:pPr>
      <w:ind w:left="720" w:hanging="720"/>
    </w:pPr>
    <w:rPr>
      <w:b/>
    </w:rPr>
  </w:style>
  <w:style w:type="paragraph" w:customStyle="1" w:styleId="oversend-tit">
    <w:name w:val="oversend-tit"/>
    <w:basedOn w:val="Normal"/>
    <w:next w:val="Normal"/>
    <w:rsid w:val="005B3209"/>
    <w:rPr>
      <w:i/>
      <w:sz w:val="28"/>
    </w:rPr>
  </w:style>
  <w:style w:type="paragraph" w:customStyle="1" w:styleId="Vedl-overs2">
    <w:name w:val="Vedl-overs 2"/>
    <w:basedOn w:val="Normal"/>
    <w:next w:val="Normal"/>
    <w:rsid w:val="00715919"/>
    <w:rPr>
      <w:b/>
    </w:rPr>
  </w:style>
  <w:style w:type="paragraph" w:customStyle="1" w:styleId="Vedl-overs3">
    <w:name w:val="Vedl-overs 3"/>
    <w:basedOn w:val="Normal"/>
    <w:next w:val="Normal"/>
    <w:rsid w:val="00715919"/>
    <w:rPr>
      <w:i/>
    </w:rPr>
  </w:style>
  <w:style w:type="paragraph" w:customStyle="1" w:styleId="Vedl-overs4">
    <w:name w:val="Vedl-overs 4"/>
    <w:basedOn w:val="Normal"/>
    <w:next w:val="Normal"/>
    <w:rsid w:val="00715919"/>
    <w:rPr>
      <w:i/>
    </w:rPr>
  </w:style>
  <w:style w:type="paragraph" w:customStyle="1" w:styleId="Vedl-overs5">
    <w:name w:val="Vedl-overs 5"/>
    <w:basedOn w:val="Normal"/>
    <w:next w:val="Normal"/>
    <w:rsid w:val="00715919"/>
    <w:rPr>
      <w:i/>
    </w:rPr>
  </w:style>
  <w:style w:type="paragraph" w:customStyle="1" w:styleId="Num-liste">
    <w:name w:val="Num-liste"/>
    <w:basedOn w:val="Normal"/>
    <w:rsid w:val="00715919"/>
    <w:pPr>
      <w:ind w:left="284" w:hanging="284"/>
    </w:pPr>
  </w:style>
  <w:style w:type="paragraph" w:customStyle="1" w:styleId="Komb-liste">
    <w:name w:val="Komb-liste"/>
    <w:basedOn w:val="Normal"/>
    <w:rsid w:val="00715919"/>
    <w:pPr>
      <w:numPr>
        <w:numId w:val="1"/>
      </w:numPr>
    </w:pPr>
  </w:style>
  <w:style w:type="paragraph" w:styleId="INNH4">
    <w:name w:val="toc 4"/>
    <w:basedOn w:val="Normal"/>
    <w:next w:val="Normal"/>
    <w:rsid w:val="005B3209"/>
    <w:pPr>
      <w:tabs>
        <w:tab w:val="right" w:pos="8306"/>
      </w:tabs>
      <w:ind w:left="600"/>
    </w:pPr>
  </w:style>
  <w:style w:type="paragraph" w:styleId="INNH5">
    <w:name w:val="toc 5"/>
    <w:basedOn w:val="Normal"/>
    <w:next w:val="Normal"/>
    <w:rsid w:val="005B3209"/>
    <w:pPr>
      <w:tabs>
        <w:tab w:val="right" w:pos="8306"/>
      </w:tabs>
      <w:ind w:left="800"/>
    </w:pPr>
  </w:style>
  <w:style w:type="paragraph" w:styleId="INNH6">
    <w:name w:val="toc 6"/>
    <w:basedOn w:val="Normal"/>
    <w:next w:val="Normal"/>
    <w:rsid w:val="005B3209"/>
    <w:pPr>
      <w:tabs>
        <w:tab w:val="right" w:pos="8306"/>
      </w:tabs>
      <w:ind w:left="1000"/>
    </w:pPr>
  </w:style>
  <w:style w:type="paragraph" w:styleId="INNH7">
    <w:name w:val="toc 7"/>
    <w:basedOn w:val="Normal"/>
    <w:next w:val="Normal"/>
    <w:rsid w:val="005B3209"/>
    <w:pPr>
      <w:tabs>
        <w:tab w:val="right" w:pos="8306"/>
      </w:tabs>
      <w:ind w:left="1200"/>
    </w:pPr>
  </w:style>
  <w:style w:type="paragraph" w:styleId="INNH8">
    <w:name w:val="toc 8"/>
    <w:basedOn w:val="Normal"/>
    <w:next w:val="Normal"/>
    <w:rsid w:val="005B3209"/>
    <w:pPr>
      <w:tabs>
        <w:tab w:val="right" w:pos="8306"/>
      </w:tabs>
      <w:ind w:left="1400"/>
    </w:pPr>
  </w:style>
  <w:style w:type="paragraph" w:styleId="INNH9">
    <w:name w:val="toc 9"/>
    <w:basedOn w:val="Normal"/>
    <w:next w:val="Normal"/>
    <w:rsid w:val="005B3209"/>
    <w:pPr>
      <w:tabs>
        <w:tab w:val="right" w:pos="8306"/>
      </w:tabs>
      <w:ind w:left="1600"/>
    </w:pPr>
  </w:style>
  <w:style w:type="paragraph" w:styleId="Liste2">
    <w:name w:val="List 2"/>
    <w:basedOn w:val="Normal"/>
    <w:rsid w:val="005B3209"/>
    <w:pPr>
      <w:numPr>
        <w:ilvl w:val="1"/>
        <w:numId w:val="22"/>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B3209"/>
    <w:pPr>
      <w:numPr>
        <w:ilvl w:val="2"/>
        <w:numId w:val="22"/>
      </w:numPr>
      <w:spacing w:after="0" w:line="276" w:lineRule="auto"/>
    </w:pPr>
    <w:rPr>
      <w:rFonts w:ascii="Times New Roman" w:eastAsia="Times New Roman" w:hAnsi="Times New Roman" w:cstheme="minorBidi"/>
      <w:szCs w:val="22"/>
    </w:rPr>
  </w:style>
  <w:style w:type="paragraph" w:customStyle="1" w:styleId="Alfaliste0">
    <w:name w:val="Alfaliste"/>
    <w:basedOn w:val="Liste"/>
    <w:rsid w:val="00715919"/>
  </w:style>
  <w:style w:type="paragraph" w:customStyle="1" w:styleId="Alfaliste20">
    <w:name w:val="Alfaliste 2"/>
    <w:basedOn w:val="Alfaliste0"/>
    <w:rsid w:val="00715919"/>
    <w:pPr>
      <w:ind w:left="568"/>
    </w:pPr>
  </w:style>
  <w:style w:type="paragraph" w:styleId="Punktliste">
    <w:name w:val="List Bullet"/>
    <w:basedOn w:val="Normal"/>
    <w:rsid w:val="005B3209"/>
    <w:pPr>
      <w:ind w:left="283" w:hanging="283"/>
    </w:pPr>
  </w:style>
  <w:style w:type="paragraph" w:customStyle="1" w:styleId="alfaliste3">
    <w:name w:val="alfaliste 3"/>
    <w:basedOn w:val="Normal"/>
    <w:rsid w:val="005B3209"/>
    <w:pPr>
      <w:numPr>
        <w:ilvl w:val="2"/>
        <w:numId w:val="3"/>
      </w:numPr>
      <w:spacing w:after="0" w:line="276" w:lineRule="auto"/>
    </w:pPr>
    <w:rPr>
      <w:rFonts w:ascii="Times New Roman" w:eastAsia="Times New Roman" w:hAnsi="Times New Roman"/>
      <w:szCs w:val="22"/>
    </w:rPr>
  </w:style>
  <w:style w:type="paragraph" w:styleId="Liste4">
    <w:name w:val="List 4"/>
    <w:basedOn w:val="Normal"/>
    <w:rsid w:val="005B3209"/>
    <w:pPr>
      <w:numPr>
        <w:ilvl w:val="3"/>
        <w:numId w:val="22"/>
      </w:numPr>
      <w:spacing w:after="0" w:line="276" w:lineRule="auto"/>
    </w:pPr>
    <w:rPr>
      <w:rFonts w:ascii="Times New Roman" w:eastAsia="Times New Roman" w:hAnsi="Times New Roman" w:cstheme="minorBidi"/>
      <w:szCs w:val="22"/>
    </w:rPr>
  </w:style>
  <w:style w:type="paragraph" w:customStyle="1" w:styleId="romertallliste">
    <w:name w:val="romertall liste"/>
    <w:basedOn w:val="Normal"/>
    <w:rsid w:val="005B3209"/>
    <w:pPr>
      <w:numPr>
        <w:numId w:val="11"/>
      </w:numPr>
      <w:spacing w:after="0"/>
    </w:pPr>
    <w:rPr>
      <w:rFonts w:cstheme="minorBidi"/>
    </w:rPr>
  </w:style>
  <w:style w:type="paragraph" w:customStyle="1" w:styleId="romertallliste2">
    <w:name w:val="romertall liste 2"/>
    <w:basedOn w:val="Normal"/>
    <w:rsid w:val="005B3209"/>
    <w:pPr>
      <w:numPr>
        <w:ilvl w:val="1"/>
        <w:numId w:val="11"/>
      </w:numPr>
      <w:spacing w:after="0"/>
    </w:pPr>
  </w:style>
  <w:style w:type="paragraph" w:customStyle="1" w:styleId="romertallliste3">
    <w:name w:val="romertall liste 3"/>
    <w:basedOn w:val="Normal"/>
    <w:rsid w:val="005B3209"/>
    <w:pPr>
      <w:numPr>
        <w:ilvl w:val="2"/>
        <w:numId w:val="11"/>
      </w:numPr>
      <w:spacing w:after="0"/>
    </w:pPr>
  </w:style>
  <w:style w:type="character" w:customStyle="1" w:styleId="Overskrift1Tegn">
    <w:name w:val="Overskrift 1 Tegn"/>
    <w:basedOn w:val="Standardskriftforavsnitt"/>
    <w:link w:val="Overskrift1"/>
    <w:rsid w:val="005B3209"/>
    <w:rPr>
      <w:rFonts w:ascii="Arial" w:hAnsi="Arial" w:cstheme="minorBidi"/>
      <w:b/>
      <w:kern w:val="28"/>
      <w:sz w:val="32"/>
      <w:szCs w:val="22"/>
    </w:rPr>
  </w:style>
  <w:style w:type="character" w:customStyle="1" w:styleId="Overskrift2Tegn">
    <w:name w:val="Overskrift 2 Tegn"/>
    <w:aliases w:val="Overskrift 2 Tegn Tegn Tegn,Overskrift 2 Tegn Tegn Tegn Tegn Tegn1"/>
    <w:basedOn w:val="Standardskriftforavsnitt"/>
    <w:link w:val="Overskrift2"/>
    <w:rsid w:val="005B3209"/>
    <w:rPr>
      <w:rFonts w:ascii="Arial" w:hAnsi="Arial" w:cstheme="minorBidi"/>
      <w:b/>
      <w:spacing w:val="4"/>
      <w:sz w:val="28"/>
      <w:szCs w:val="22"/>
    </w:rPr>
  </w:style>
  <w:style w:type="character" w:customStyle="1" w:styleId="Overskrift3Tegn">
    <w:name w:val="Overskrift 3 Tegn"/>
    <w:aliases w:val="Overskrift 3 Tegn Tegn Tegn Tegn Tegn"/>
    <w:basedOn w:val="Standardskriftforavsnitt"/>
    <w:link w:val="Overskrift3"/>
    <w:rsid w:val="005B3209"/>
    <w:rPr>
      <w:rFonts w:ascii="Arial" w:hAnsi="Arial" w:cstheme="minorBidi"/>
      <w:b/>
      <w:sz w:val="24"/>
      <w:szCs w:val="22"/>
    </w:rPr>
  </w:style>
  <w:style w:type="character" w:customStyle="1" w:styleId="Overskrift4Tegn">
    <w:name w:val="Overskrift 4 Tegn"/>
    <w:basedOn w:val="Standardskriftforavsnitt"/>
    <w:link w:val="Overskrift4"/>
    <w:rsid w:val="005B3209"/>
    <w:rPr>
      <w:rFonts w:ascii="Arial" w:hAnsi="Arial" w:cstheme="minorBidi"/>
      <w:i/>
      <w:spacing w:val="4"/>
      <w:sz w:val="24"/>
      <w:szCs w:val="22"/>
    </w:rPr>
  </w:style>
  <w:style w:type="character" w:customStyle="1" w:styleId="Overskrift5Tegn">
    <w:name w:val="Overskrift 5 Tegn"/>
    <w:basedOn w:val="Standardskriftforavsnitt"/>
    <w:link w:val="Overskrift5"/>
    <w:rsid w:val="005B3209"/>
    <w:rPr>
      <w:rFonts w:ascii="Arial" w:hAnsi="Arial" w:cstheme="minorBidi"/>
      <w:i/>
      <w:sz w:val="24"/>
      <w:szCs w:val="22"/>
    </w:rPr>
  </w:style>
  <w:style w:type="character" w:customStyle="1" w:styleId="Overskrift6Tegn">
    <w:name w:val="Overskrift 6 Tegn"/>
    <w:basedOn w:val="Standardskriftforavsnitt"/>
    <w:link w:val="Overskrift6"/>
    <w:rsid w:val="005B3209"/>
    <w:rPr>
      <w:rFonts w:ascii="Arial" w:eastAsia="Batang" w:hAnsi="Arial"/>
      <w:i/>
      <w:sz w:val="24"/>
    </w:rPr>
  </w:style>
  <w:style w:type="character" w:customStyle="1" w:styleId="Overskrift7Tegn">
    <w:name w:val="Overskrift 7 Tegn"/>
    <w:basedOn w:val="Standardskriftforavsnitt"/>
    <w:link w:val="Overskrift7"/>
    <w:rsid w:val="005B3209"/>
    <w:rPr>
      <w:rFonts w:ascii="Arial" w:eastAsia="Batang" w:hAnsi="Arial"/>
      <w:sz w:val="24"/>
    </w:rPr>
  </w:style>
  <w:style w:type="character" w:customStyle="1" w:styleId="Overskrift8Tegn">
    <w:name w:val="Overskrift 8 Tegn"/>
    <w:basedOn w:val="Standardskriftforavsnitt"/>
    <w:link w:val="Overskrift8"/>
    <w:rsid w:val="005B3209"/>
    <w:rPr>
      <w:rFonts w:ascii="Arial" w:eastAsia="Batang" w:hAnsi="Arial"/>
      <w:i/>
      <w:sz w:val="24"/>
    </w:rPr>
  </w:style>
  <w:style w:type="character" w:customStyle="1" w:styleId="Overskrift9Tegn">
    <w:name w:val="Overskrift 9 Tegn"/>
    <w:basedOn w:val="Standardskriftforavsnitt"/>
    <w:link w:val="Overskrift9"/>
    <w:rsid w:val="005B3209"/>
    <w:rPr>
      <w:rFonts w:ascii="Arial" w:eastAsia="Batang" w:hAnsi="Arial"/>
      <w:i/>
      <w:sz w:val="22"/>
    </w:rPr>
  </w:style>
  <w:style w:type="character" w:customStyle="1" w:styleId="UndertittelTegn">
    <w:name w:val="Undertittel Tegn"/>
    <w:basedOn w:val="Standardskriftforavsnitt"/>
    <w:link w:val="Undertittel"/>
    <w:rsid w:val="005B3209"/>
    <w:rPr>
      <w:rFonts w:ascii="Arial" w:hAnsi="Arial" w:cstheme="minorBidi"/>
      <w:b/>
      <w:spacing w:val="4"/>
      <w:sz w:val="28"/>
      <w:szCs w:val="22"/>
    </w:rPr>
  </w:style>
  <w:style w:type="character" w:customStyle="1" w:styleId="avsnitt-titTegn">
    <w:name w:val="avsnitt-tit Tegn"/>
    <w:basedOn w:val="Standardskriftforavsnitt"/>
    <w:link w:val="avsnitt-tit"/>
    <w:rsid w:val="00D542E1"/>
    <w:rPr>
      <w:i/>
      <w:sz w:val="24"/>
    </w:rPr>
  </w:style>
  <w:style w:type="character" w:customStyle="1" w:styleId="tabell-titTegn">
    <w:name w:val="tabell-tit Tegn"/>
    <w:basedOn w:val="Standardskriftforavsnitt"/>
    <w:link w:val="tabell-tit"/>
    <w:rsid w:val="00D542E1"/>
    <w:rPr>
      <w:i/>
      <w:sz w:val="24"/>
    </w:rPr>
  </w:style>
  <w:style w:type="character" w:customStyle="1" w:styleId="figur-tittelTegn">
    <w:name w:val="figur-tittel Tegn"/>
    <w:basedOn w:val="Standardskriftforavsnitt"/>
    <w:link w:val="figur-tittel"/>
    <w:rsid w:val="002511D0"/>
    <w:rPr>
      <w:rFonts w:ascii="Arial" w:hAnsi="Arial" w:cstheme="minorBidi"/>
      <w:spacing w:val="4"/>
      <w:sz w:val="24"/>
      <w:szCs w:val="22"/>
    </w:rPr>
  </w:style>
  <w:style w:type="character" w:customStyle="1" w:styleId="KildeTegn">
    <w:name w:val="Kilde Tegn"/>
    <w:basedOn w:val="Standardskriftforavsnitt"/>
    <w:link w:val="Kilde"/>
    <w:rsid w:val="00D542E1"/>
    <w:rPr>
      <w:rFonts w:ascii="Times" w:eastAsia="Batang" w:hAnsi="Times"/>
    </w:rPr>
  </w:style>
  <w:style w:type="character" w:customStyle="1" w:styleId="tabell-noterTegn">
    <w:name w:val="tabell-noter Tegn"/>
    <w:basedOn w:val="Standardskriftforavsnitt"/>
    <w:link w:val="tabell-noter"/>
    <w:rsid w:val="00D542E1"/>
    <w:rPr>
      <w:rFonts w:ascii="Times" w:eastAsia="Batang" w:hAnsi="Times" w:cstheme="minorBidi"/>
    </w:rPr>
  </w:style>
  <w:style w:type="character" w:customStyle="1" w:styleId="Del-tittelTegn">
    <w:name w:val="Del-tittel Tegn"/>
    <w:basedOn w:val="Standardskriftforavsnitt"/>
    <w:link w:val="Del-tittel"/>
    <w:rsid w:val="00D542E1"/>
    <w:rPr>
      <w:i/>
      <w:sz w:val="44"/>
    </w:rPr>
  </w:style>
  <w:style w:type="paragraph" w:customStyle="1" w:styleId="tabell-tittel">
    <w:name w:val="tabell-tittel"/>
    <w:basedOn w:val="Normal"/>
    <w:next w:val="Normal"/>
    <w:rsid w:val="005B3209"/>
    <w:pPr>
      <w:keepNext/>
      <w:keepLines/>
      <w:numPr>
        <w:ilvl w:val="6"/>
        <w:numId w:val="101"/>
      </w:numPr>
      <w:spacing w:before="240" w:line="276" w:lineRule="auto"/>
    </w:pPr>
    <w:rPr>
      <w:rFonts w:ascii="Arial" w:eastAsia="Times New Roman" w:hAnsi="Arial" w:cstheme="minorBidi"/>
      <w:spacing w:val="4"/>
      <w:szCs w:val="22"/>
    </w:rPr>
  </w:style>
  <w:style w:type="paragraph" w:styleId="Fotnotetekst">
    <w:name w:val="footnote text"/>
    <w:basedOn w:val="Normal"/>
    <w:link w:val="FotnotetekstTegn"/>
    <w:rsid w:val="005B3209"/>
    <w:rPr>
      <w:sz w:val="20"/>
    </w:rPr>
  </w:style>
  <w:style w:type="character" w:customStyle="1" w:styleId="FotnotetekstTegn">
    <w:name w:val="Fotnotetekst Tegn"/>
    <w:basedOn w:val="Standardskriftforavsnitt"/>
    <w:link w:val="Fotnotetekst"/>
    <w:rsid w:val="005B3209"/>
    <w:rPr>
      <w:rFonts w:ascii="Times" w:eastAsia="Batang" w:hAnsi="Times"/>
    </w:rPr>
  </w:style>
  <w:style w:type="character" w:styleId="Fotnotereferanse">
    <w:name w:val="footnote reference"/>
    <w:basedOn w:val="Standardskriftforavsnitt"/>
    <w:rsid w:val="005B3209"/>
    <w:rPr>
      <w:vertAlign w:val="superscript"/>
    </w:rPr>
  </w:style>
  <w:style w:type="paragraph" w:styleId="Bunntekst">
    <w:name w:val="footer"/>
    <w:basedOn w:val="Normal"/>
    <w:link w:val="BunntekstTegn"/>
    <w:rsid w:val="005B3209"/>
    <w:pPr>
      <w:tabs>
        <w:tab w:val="center" w:pos="4153"/>
        <w:tab w:val="right" w:pos="8306"/>
      </w:tabs>
    </w:pPr>
    <w:rPr>
      <w:sz w:val="20"/>
    </w:rPr>
  </w:style>
  <w:style w:type="character" w:customStyle="1" w:styleId="BunntekstTegn">
    <w:name w:val="Bunntekst Tegn"/>
    <w:basedOn w:val="Standardskriftforavsnitt"/>
    <w:link w:val="Bunntekst"/>
    <w:rsid w:val="005B3209"/>
    <w:rPr>
      <w:rFonts w:ascii="Times" w:eastAsia="Batang" w:hAnsi="Times"/>
    </w:rPr>
  </w:style>
  <w:style w:type="character" w:styleId="Sidetall">
    <w:name w:val="page number"/>
    <w:basedOn w:val="Standardskriftforavsnitt"/>
    <w:rsid w:val="005B3209"/>
  </w:style>
  <w:style w:type="paragraph" w:customStyle="1" w:styleId="Tabelltekst">
    <w:name w:val="Tabelltekst"/>
    <w:rsid w:val="00D542E1"/>
    <w:pPr>
      <w:widowControl w:val="0"/>
    </w:pPr>
    <w:rPr>
      <w:color w:val="000000"/>
      <w:sz w:val="24"/>
    </w:rPr>
  </w:style>
  <w:style w:type="character" w:customStyle="1" w:styleId="Overskrift3TegnTegn">
    <w:name w:val="Overskrift 3 Tegn Tegn"/>
    <w:basedOn w:val="Standardskriftforavsnitt"/>
    <w:rsid w:val="00D542E1"/>
    <w:rPr>
      <w:b/>
      <w:bCs/>
      <w:sz w:val="26"/>
      <w:szCs w:val="26"/>
      <w:lang w:val="nb-NO" w:eastAsia="nb-NO"/>
    </w:rPr>
  </w:style>
  <w:style w:type="paragraph" w:customStyle="1" w:styleId="Boksoverskrift">
    <w:name w:val="Boks overskrift"/>
    <w:basedOn w:val="Normal"/>
    <w:next w:val="Normal"/>
    <w:rsid w:val="00D542E1"/>
    <w:pPr>
      <w:keepNext/>
      <w:pBdr>
        <w:top w:val="single" w:sz="4" w:space="1" w:color="auto"/>
        <w:left w:val="single" w:sz="4" w:space="4" w:color="auto"/>
        <w:bottom w:val="single" w:sz="4" w:space="1" w:color="auto"/>
        <w:right w:val="single" w:sz="4" w:space="4" w:color="auto"/>
      </w:pBdr>
      <w:suppressAutoHyphens/>
    </w:pPr>
    <w:rPr>
      <w:b/>
      <w:sz w:val="22"/>
    </w:rPr>
  </w:style>
  <w:style w:type="paragraph" w:styleId="Brdtekstinnrykk2">
    <w:name w:val="Body Text Indent 2"/>
    <w:basedOn w:val="Normal"/>
    <w:link w:val="Brdtekstinnrykk2Tegn"/>
    <w:uiPriority w:val="99"/>
    <w:unhideWhenUsed/>
    <w:rsid w:val="005B3209"/>
    <w:pPr>
      <w:spacing w:line="480" w:lineRule="auto"/>
      <w:ind w:left="283"/>
    </w:pPr>
  </w:style>
  <w:style w:type="character" w:customStyle="1" w:styleId="Brdtekstinnrykk2Tegn">
    <w:name w:val="Brødtekstinnrykk 2 Tegn"/>
    <w:basedOn w:val="Standardskriftforavsnitt"/>
    <w:link w:val="Brdtekstinnrykk2"/>
    <w:uiPriority w:val="99"/>
    <w:rsid w:val="005B3209"/>
    <w:rPr>
      <w:rFonts w:ascii="Times" w:eastAsia="Batang" w:hAnsi="Times"/>
      <w:sz w:val="24"/>
    </w:rPr>
  </w:style>
  <w:style w:type="paragraph" w:styleId="Brdtekstinnrykk3">
    <w:name w:val="Body Text Indent 3"/>
    <w:basedOn w:val="Normal"/>
    <w:link w:val="Brdtekstinnrykk3Tegn"/>
    <w:uiPriority w:val="99"/>
    <w:unhideWhenUsed/>
    <w:rsid w:val="005B3209"/>
    <w:pPr>
      <w:ind w:left="283"/>
    </w:pPr>
    <w:rPr>
      <w:sz w:val="16"/>
      <w:szCs w:val="16"/>
    </w:rPr>
  </w:style>
  <w:style w:type="character" w:customStyle="1" w:styleId="Brdtekstinnrykk3Tegn">
    <w:name w:val="Brødtekstinnrykk 3 Tegn"/>
    <w:basedOn w:val="Standardskriftforavsnitt"/>
    <w:link w:val="Brdtekstinnrykk3"/>
    <w:uiPriority w:val="99"/>
    <w:rsid w:val="005B3209"/>
    <w:rPr>
      <w:rFonts w:ascii="Times" w:eastAsia="Batang" w:hAnsi="Times"/>
      <w:sz w:val="16"/>
      <w:szCs w:val="16"/>
    </w:rPr>
  </w:style>
  <w:style w:type="paragraph" w:styleId="Brdtekst">
    <w:name w:val="Body Text"/>
    <w:basedOn w:val="Normal"/>
    <w:link w:val="BrdtekstTegn"/>
    <w:uiPriority w:val="99"/>
    <w:unhideWhenUsed/>
    <w:rsid w:val="005B3209"/>
  </w:style>
  <w:style w:type="character" w:customStyle="1" w:styleId="BrdtekstTegn">
    <w:name w:val="Brødtekst Tegn"/>
    <w:basedOn w:val="Standardskriftforavsnitt"/>
    <w:link w:val="Brdtekst"/>
    <w:uiPriority w:val="99"/>
    <w:rsid w:val="005B3209"/>
    <w:rPr>
      <w:rFonts w:ascii="Times" w:eastAsia="Batang" w:hAnsi="Times"/>
      <w:sz w:val="24"/>
    </w:rPr>
  </w:style>
  <w:style w:type="paragraph" w:styleId="Brdtekst2">
    <w:name w:val="Body Text 2"/>
    <w:basedOn w:val="Normal"/>
    <w:link w:val="Brdtekst2Tegn"/>
    <w:uiPriority w:val="99"/>
    <w:unhideWhenUsed/>
    <w:rsid w:val="005B3209"/>
    <w:pPr>
      <w:spacing w:line="480" w:lineRule="auto"/>
    </w:pPr>
  </w:style>
  <w:style w:type="character" w:customStyle="1" w:styleId="Brdtekst2Tegn">
    <w:name w:val="Brødtekst 2 Tegn"/>
    <w:basedOn w:val="Standardskriftforavsnitt"/>
    <w:link w:val="Brdtekst2"/>
    <w:uiPriority w:val="99"/>
    <w:rsid w:val="005B3209"/>
    <w:rPr>
      <w:rFonts w:ascii="Times" w:eastAsia="Batang" w:hAnsi="Times"/>
      <w:sz w:val="24"/>
    </w:rPr>
  </w:style>
  <w:style w:type="paragraph" w:styleId="NormalWeb">
    <w:name w:val="Normal (Web)"/>
    <w:basedOn w:val="Normal"/>
    <w:uiPriority w:val="99"/>
    <w:unhideWhenUsed/>
    <w:rsid w:val="005B3209"/>
    <w:rPr>
      <w:szCs w:val="24"/>
    </w:rPr>
  </w:style>
  <w:style w:type="character" w:customStyle="1" w:styleId="Overskrift21">
    <w:name w:val="Overskrift 21"/>
    <w:aliases w:val="Overskrift 2 Tegn Tegn1,Overskrift 2 Tegn Tegn Tegn Tegn Tegn"/>
    <w:basedOn w:val="Standardskriftforavsnitt"/>
    <w:rsid w:val="00D542E1"/>
    <w:rPr>
      <w:b/>
      <w:bCs/>
      <w:sz w:val="28"/>
      <w:szCs w:val="28"/>
      <w:lang w:val="nb-NO" w:eastAsia="nb-NO"/>
    </w:rPr>
  </w:style>
  <w:style w:type="character" w:styleId="Sterk">
    <w:name w:val="Strong"/>
    <w:basedOn w:val="Standardskriftforavsnitt"/>
    <w:uiPriority w:val="22"/>
    <w:qFormat/>
    <w:rsid w:val="005B3209"/>
    <w:rPr>
      <w:b/>
      <w:bCs/>
    </w:rPr>
  </w:style>
  <w:style w:type="paragraph" w:styleId="Bobletekst">
    <w:name w:val="Balloon Text"/>
    <w:basedOn w:val="Normal"/>
    <w:link w:val="BobletekstTegn"/>
    <w:uiPriority w:val="99"/>
    <w:semiHidden/>
    <w:unhideWhenUsed/>
    <w:rsid w:val="005B3209"/>
    <w:rPr>
      <w:rFonts w:ascii="Tahoma" w:hAnsi="Tahoma" w:cs="Tahoma"/>
      <w:sz w:val="16"/>
      <w:szCs w:val="16"/>
    </w:rPr>
  </w:style>
  <w:style w:type="character" w:customStyle="1" w:styleId="BobletekstTegn">
    <w:name w:val="Bobletekst Tegn"/>
    <w:basedOn w:val="Standardskriftforavsnitt"/>
    <w:link w:val="Bobletekst"/>
    <w:uiPriority w:val="99"/>
    <w:semiHidden/>
    <w:rsid w:val="005B3209"/>
    <w:rPr>
      <w:rFonts w:ascii="Tahoma" w:eastAsia="Batang" w:hAnsi="Tahoma" w:cs="Tahoma"/>
      <w:sz w:val="16"/>
      <w:szCs w:val="16"/>
    </w:rPr>
  </w:style>
  <w:style w:type="paragraph" w:customStyle="1" w:styleId="Bokstekst">
    <w:name w:val="Boks tekst"/>
    <w:basedOn w:val="Normal"/>
    <w:next w:val="Normal"/>
    <w:rsid w:val="00D542E1"/>
    <w:pPr>
      <w:keepNext/>
      <w:keepLines/>
      <w:pBdr>
        <w:top w:val="single" w:sz="4" w:space="1" w:color="auto"/>
        <w:left w:val="single" w:sz="4" w:space="4" w:color="auto"/>
        <w:bottom w:val="single" w:sz="4" w:space="1" w:color="auto"/>
        <w:right w:val="single" w:sz="4" w:space="4" w:color="auto"/>
      </w:pBdr>
    </w:pPr>
    <w:rPr>
      <w:sz w:val="22"/>
    </w:rPr>
  </w:style>
  <w:style w:type="character" w:styleId="Utheving">
    <w:name w:val="Emphasis"/>
    <w:basedOn w:val="Standardskriftforavsnitt"/>
    <w:uiPriority w:val="20"/>
    <w:qFormat/>
    <w:rsid w:val="005B3209"/>
    <w:rPr>
      <w:i/>
      <w:iCs/>
    </w:rPr>
  </w:style>
  <w:style w:type="paragraph" w:customStyle="1" w:styleId="DWStyle">
    <w:name w:val="DW Style"/>
    <w:rsid w:val="00D542E1"/>
    <w:rPr>
      <w:rFonts w:ascii="Helvetica" w:hAnsi="Helvetica"/>
      <w:snapToGrid w:val="0"/>
      <w:color w:val="000000"/>
      <w:sz w:val="24"/>
    </w:rPr>
  </w:style>
  <w:style w:type="paragraph" w:customStyle="1" w:styleId="Fotnote">
    <w:name w:val="Fotnote"/>
    <w:basedOn w:val="Normal"/>
    <w:rsid w:val="00D542E1"/>
    <w:pPr>
      <w:suppressAutoHyphens/>
      <w:autoSpaceDE w:val="0"/>
      <w:autoSpaceDN w:val="0"/>
      <w:adjustRightInd w:val="0"/>
      <w:spacing w:line="240" w:lineRule="exact"/>
    </w:pPr>
    <w:rPr>
      <w:noProof/>
      <w:sz w:val="20"/>
    </w:rPr>
  </w:style>
  <w:style w:type="paragraph" w:customStyle="1" w:styleId="B">
    <w:name w:val="B"/>
    <w:basedOn w:val="Normal"/>
    <w:rsid w:val="00D542E1"/>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styleId="Topptekst">
    <w:name w:val="header"/>
    <w:basedOn w:val="Normal"/>
    <w:link w:val="TopptekstTegn"/>
    <w:rsid w:val="005B3209"/>
    <w:pPr>
      <w:tabs>
        <w:tab w:val="center" w:pos="4536"/>
        <w:tab w:val="right" w:pos="9072"/>
      </w:tabs>
    </w:pPr>
    <w:rPr>
      <w:sz w:val="20"/>
    </w:rPr>
  </w:style>
  <w:style w:type="character" w:customStyle="1" w:styleId="TopptekstTegn">
    <w:name w:val="Topptekst Tegn"/>
    <w:basedOn w:val="Standardskriftforavsnitt"/>
    <w:link w:val="Topptekst"/>
    <w:rsid w:val="005B3209"/>
    <w:rPr>
      <w:rFonts w:ascii="Times" w:eastAsia="Batang" w:hAnsi="Times"/>
    </w:rPr>
  </w:style>
  <w:style w:type="paragraph" w:styleId="Brdtekstinnrykk">
    <w:name w:val="Body Text Indent"/>
    <w:basedOn w:val="Normal"/>
    <w:link w:val="BrdtekstinnrykkTegn"/>
    <w:uiPriority w:val="99"/>
    <w:unhideWhenUsed/>
    <w:rsid w:val="005B3209"/>
    <w:pPr>
      <w:ind w:left="283"/>
    </w:pPr>
  </w:style>
  <w:style w:type="character" w:customStyle="1" w:styleId="BrdtekstinnrykkTegn">
    <w:name w:val="Brødtekstinnrykk Tegn"/>
    <w:basedOn w:val="Standardskriftforavsnitt"/>
    <w:link w:val="Brdtekstinnrykk"/>
    <w:uiPriority w:val="99"/>
    <w:rsid w:val="005B3209"/>
    <w:rPr>
      <w:rFonts w:ascii="Times" w:eastAsia="Batang" w:hAnsi="Times"/>
      <w:sz w:val="24"/>
    </w:rPr>
  </w:style>
  <w:style w:type="paragraph" w:customStyle="1" w:styleId="avsnitt-tittel">
    <w:name w:val="avsnitt-tittel"/>
    <w:basedOn w:val="Normal"/>
    <w:next w:val="Normal"/>
    <w:rsid w:val="005B3209"/>
    <w:pPr>
      <w:keepNext/>
      <w:keepLines/>
      <w:spacing w:before="360" w:after="60" w:line="276" w:lineRule="auto"/>
    </w:pPr>
    <w:rPr>
      <w:rFonts w:ascii="Arial" w:eastAsia="Times New Roman" w:hAnsi="Arial" w:cstheme="minorBidi"/>
      <w:spacing w:val="4"/>
      <w:sz w:val="26"/>
      <w:szCs w:val="22"/>
    </w:rPr>
  </w:style>
  <w:style w:type="paragraph" w:customStyle="1" w:styleId="Ramme">
    <w:name w:val="Ramme"/>
    <w:basedOn w:val="Normal"/>
    <w:rsid w:val="00D542E1"/>
    <w:pPr>
      <w:suppressAutoHyphens/>
      <w:autoSpaceDE w:val="0"/>
      <w:autoSpaceDN w:val="0"/>
      <w:adjustRightInd w:val="0"/>
      <w:spacing w:line="220" w:lineRule="exact"/>
    </w:pPr>
    <w:rPr>
      <w:noProof/>
      <w:sz w:val="20"/>
    </w:rPr>
  </w:style>
  <w:style w:type="paragraph" w:styleId="Sitat0">
    <w:name w:val="Quote"/>
    <w:basedOn w:val="Normal"/>
    <w:next w:val="Normal"/>
    <w:link w:val="SitatTegn"/>
    <w:uiPriority w:val="29"/>
    <w:qFormat/>
    <w:rsid w:val="005B3209"/>
    <w:rPr>
      <w:i/>
      <w:iCs/>
      <w:color w:val="000000" w:themeColor="text1"/>
    </w:rPr>
  </w:style>
  <w:style w:type="character" w:customStyle="1" w:styleId="SitatTegn">
    <w:name w:val="Sitat Tegn"/>
    <w:basedOn w:val="Standardskriftforavsnitt"/>
    <w:link w:val="Sitat0"/>
    <w:uiPriority w:val="29"/>
    <w:rsid w:val="005B3209"/>
    <w:rPr>
      <w:rFonts w:ascii="Times" w:eastAsia="Batang" w:hAnsi="Times"/>
      <w:i/>
      <w:iCs/>
      <w:color w:val="000000" w:themeColor="text1"/>
      <w:sz w:val="24"/>
    </w:rPr>
  </w:style>
  <w:style w:type="paragraph" w:customStyle="1" w:styleId="Ingress">
    <w:name w:val="Ingress"/>
    <w:basedOn w:val="Normal"/>
    <w:next w:val="Normal"/>
    <w:rsid w:val="00D542E1"/>
    <w:pPr>
      <w:suppressAutoHyphens/>
      <w:spacing w:after="480"/>
    </w:pPr>
    <w:rPr>
      <w:i/>
      <w:sz w:val="22"/>
    </w:rPr>
  </w:style>
  <w:style w:type="paragraph" w:customStyle="1" w:styleId="font5">
    <w:name w:val="font5"/>
    <w:basedOn w:val="Normal"/>
    <w:rsid w:val="00D542E1"/>
    <w:pPr>
      <w:spacing w:before="100" w:beforeAutospacing="1" w:after="100" w:afterAutospacing="1"/>
    </w:pPr>
    <w:rPr>
      <w:rFonts w:ascii="Symbol" w:hAnsi="Symbol"/>
      <w:sz w:val="20"/>
    </w:rPr>
  </w:style>
  <w:style w:type="paragraph" w:customStyle="1" w:styleId="font6">
    <w:name w:val="font6"/>
    <w:basedOn w:val="Normal"/>
    <w:rsid w:val="00D542E1"/>
    <w:pPr>
      <w:spacing w:before="100" w:beforeAutospacing="1" w:after="100" w:afterAutospacing="1"/>
    </w:pPr>
    <w:rPr>
      <w:rFonts w:ascii="Times New (W1)" w:hAnsi="Times New (W1)"/>
      <w:sz w:val="20"/>
    </w:rPr>
  </w:style>
  <w:style w:type="paragraph" w:customStyle="1" w:styleId="xl24">
    <w:name w:val="xl24"/>
    <w:basedOn w:val="Normal"/>
    <w:rsid w:val="00D542E1"/>
    <w:pPr>
      <w:spacing w:before="100" w:beforeAutospacing="1" w:after="100" w:afterAutospacing="1"/>
      <w:jc w:val="right"/>
      <w:textAlignment w:val="top"/>
    </w:pPr>
    <w:rPr>
      <w:sz w:val="22"/>
      <w:szCs w:val="22"/>
    </w:rPr>
  </w:style>
  <w:style w:type="paragraph" w:customStyle="1" w:styleId="xl25">
    <w:name w:val="xl25"/>
    <w:basedOn w:val="Normal"/>
    <w:rsid w:val="00D542E1"/>
    <w:pPr>
      <w:spacing w:before="100" w:beforeAutospacing="1" w:after="100" w:afterAutospacing="1"/>
      <w:jc w:val="center"/>
      <w:textAlignment w:val="top"/>
    </w:pPr>
    <w:rPr>
      <w:sz w:val="22"/>
      <w:szCs w:val="22"/>
    </w:rPr>
  </w:style>
  <w:style w:type="paragraph" w:customStyle="1" w:styleId="xl26">
    <w:name w:val="xl26"/>
    <w:basedOn w:val="Normal"/>
    <w:rsid w:val="00D542E1"/>
    <w:pPr>
      <w:pBdr>
        <w:bottom w:val="single" w:sz="4" w:space="0" w:color="auto"/>
      </w:pBdr>
      <w:spacing w:before="100" w:beforeAutospacing="1" w:after="100" w:afterAutospacing="1"/>
      <w:jc w:val="center"/>
      <w:textAlignment w:val="top"/>
    </w:pPr>
    <w:rPr>
      <w:sz w:val="22"/>
      <w:szCs w:val="22"/>
    </w:rPr>
  </w:style>
  <w:style w:type="paragraph" w:customStyle="1" w:styleId="xl27">
    <w:name w:val="xl27"/>
    <w:basedOn w:val="Normal"/>
    <w:rsid w:val="00D542E1"/>
    <w:pPr>
      <w:spacing w:before="100" w:beforeAutospacing="1" w:after="100" w:afterAutospacing="1"/>
      <w:jc w:val="right"/>
      <w:textAlignment w:val="top"/>
    </w:pPr>
    <w:rPr>
      <w:szCs w:val="24"/>
    </w:rPr>
  </w:style>
  <w:style w:type="paragraph" w:customStyle="1" w:styleId="xl28">
    <w:name w:val="xl28"/>
    <w:basedOn w:val="Normal"/>
    <w:rsid w:val="00D542E1"/>
    <w:pPr>
      <w:pBdr>
        <w:bottom w:val="single" w:sz="4" w:space="0" w:color="auto"/>
      </w:pBdr>
      <w:spacing w:before="100" w:beforeAutospacing="1" w:after="100" w:afterAutospacing="1"/>
      <w:jc w:val="center"/>
      <w:textAlignment w:val="top"/>
    </w:pPr>
    <w:rPr>
      <w:szCs w:val="24"/>
    </w:rPr>
  </w:style>
  <w:style w:type="paragraph" w:styleId="Tittel">
    <w:name w:val="Title"/>
    <w:basedOn w:val="Normal"/>
    <w:next w:val="Normal"/>
    <w:link w:val="TittelTegn"/>
    <w:uiPriority w:val="10"/>
    <w:qFormat/>
    <w:rsid w:val="005B32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5B3209"/>
    <w:rPr>
      <w:rFonts w:asciiTheme="majorHAnsi" w:eastAsiaTheme="majorEastAsia" w:hAnsiTheme="majorHAnsi" w:cstheme="majorBidi"/>
      <w:color w:val="17365D" w:themeColor="text2" w:themeShade="BF"/>
      <w:spacing w:val="5"/>
      <w:kern w:val="28"/>
      <w:sz w:val="52"/>
      <w:szCs w:val="52"/>
    </w:rPr>
  </w:style>
  <w:style w:type="paragraph" w:styleId="Brdtekst3">
    <w:name w:val="Body Text 3"/>
    <w:basedOn w:val="Normal"/>
    <w:link w:val="Brdtekst3Tegn"/>
    <w:uiPriority w:val="99"/>
    <w:unhideWhenUsed/>
    <w:rsid w:val="005B3209"/>
    <w:rPr>
      <w:sz w:val="16"/>
      <w:szCs w:val="16"/>
    </w:rPr>
  </w:style>
  <w:style w:type="character" w:customStyle="1" w:styleId="Brdtekst3Tegn">
    <w:name w:val="Brødtekst 3 Tegn"/>
    <w:basedOn w:val="Standardskriftforavsnitt"/>
    <w:link w:val="Brdtekst3"/>
    <w:uiPriority w:val="99"/>
    <w:rsid w:val="005B3209"/>
    <w:rPr>
      <w:rFonts w:ascii="Times" w:eastAsia="Batang" w:hAnsi="Times"/>
      <w:sz w:val="16"/>
      <w:szCs w:val="16"/>
    </w:rPr>
  </w:style>
  <w:style w:type="paragraph" w:customStyle="1" w:styleId="xl33">
    <w:name w:val="xl33"/>
    <w:basedOn w:val="Normal"/>
    <w:rsid w:val="00D542E1"/>
    <w:pPr>
      <w:spacing w:before="100" w:beforeAutospacing="1" w:after="100" w:afterAutospacing="1"/>
      <w:ind w:firstLineChars="100" w:firstLine="100"/>
      <w:textAlignment w:val="top"/>
    </w:pPr>
    <w:rPr>
      <w:szCs w:val="24"/>
    </w:rPr>
  </w:style>
  <w:style w:type="paragraph" w:customStyle="1" w:styleId="Brevtittel">
    <w:name w:val="Brevtittel"/>
    <w:basedOn w:val="Normal"/>
    <w:next w:val="Normal"/>
    <w:rsid w:val="00D542E1"/>
    <w:pPr>
      <w:spacing w:line="300" w:lineRule="exact"/>
    </w:pPr>
    <w:rPr>
      <w:rFonts w:ascii="DepCentury Old Style" w:hAnsi="DepCentury Old Style"/>
      <w:b/>
      <w:caps/>
    </w:rPr>
  </w:style>
  <w:style w:type="paragraph" w:customStyle="1" w:styleId="Forfatter0">
    <w:name w:val="Forfatter"/>
    <w:basedOn w:val="Normal"/>
    <w:next w:val="Normal"/>
    <w:rsid w:val="00D542E1"/>
    <w:pPr>
      <w:suppressAutoHyphens/>
      <w:spacing w:before="120" w:after="240"/>
    </w:pPr>
    <w:rPr>
      <w:i/>
      <w:sz w:val="26"/>
    </w:rPr>
  </w:style>
  <w:style w:type="paragraph" w:customStyle="1" w:styleId="Mellomtittel">
    <w:name w:val="Mellomtittel"/>
    <w:basedOn w:val="Normal"/>
    <w:next w:val="Normal"/>
    <w:rsid w:val="00D542E1"/>
    <w:pPr>
      <w:keepNext/>
      <w:spacing w:before="240"/>
    </w:pPr>
    <w:rPr>
      <w:b/>
      <w:sz w:val="22"/>
    </w:rPr>
  </w:style>
  <w:style w:type="paragraph" w:customStyle="1" w:styleId="Normalinnrykk">
    <w:name w:val="Normal + innrykk"/>
    <w:basedOn w:val="Normal"/>
    <w:next w:val="Normal"/>
    <w:rsid w:val="00D542E1"/>
    <w:pPr>
      <w:ind w:left="567"/>
    </w:pPr>
    <w:rPr>
      <w:sz w:val="22"/>
    </w:rPr>
  </w:style>
  <w:style w:type="paragraph" w:customStyle="1" w:styleId="Spesialbehandles">
    <w:name w:val="Spesialbehandles"/>
    <w:basedOn w:val="Normal"/>
    <w:next w:val="Normal"/>
    <w:rsid w:val="00D542E1"/>
    <w:rPr>
      <w:color w:val="000080"/>
      <w:sz w:val="22"/>
    </w:rPr>
  </w:style>
  <w:style w:type="paragraph" w:customStyle="1" w:styleId="Stikktittel">
    <w:name w:val="Stikktittel"/>
    <w:basedOn w:val="Normal"/>
    <w:next w:val="Tittel"/>
    <w:rsid w:val="00D542E1"/>
    <w:pPr>
      <w:spacing w:after="240"/>
    </w:pPr>
    <w:rPr>
      <w:i/>
      <w:sz w:val="22"/>
    </w:rPr>
  </w:style>
  <w:style w:type="paragraph" w:customStyle="1" w:styleId="ReferanserSSP">
    <w:name w:val="Referanser SSP"/>
    <w:basedOn w:val="Normal"/>
    <w:rsid w:val="00D542E1"/>
    <w:rPr>
      <w:sz w:val="18"/>
    </w:rPr>
  </w:style>
  <w:style w:type="paragraph" w:customStyle="1" w:styleId="VedleggnummerA">
    <w:name w:val="Vedlegg nummer (A"/>
    <w:aliases w:val=" B, ...),B1,...),B11,B111,B1111,B4"/>
    <w:basedOn w:val="Normal"/>
    <w:next w:val="Vedleggoverskrift"/>
    <w:rsid w:val="00D542E1"/>
    <w:pPr>
      <w:keepNext/>
      <w:pageBreakBefore/>
      <w:spacing w:after="240"/>
      <w:jc w:val="right"/>
      <w:outlineLvl w:val="0"/>
    </w:pPr>
    <w:rPr>
      <w:b/>
      <w:sz w:val="22"/>
    </w:rPr>
  </w:style>
  <w:style w:type="paragraph" w:customStyle="1" w:styleId="Vedleggoverskrift">
    <w:name w:val="Vedlegg overskrift"/>
    <w:next w:val="Normal"/>
    <w:rsid w:val="00D542E1"/>
    <w:pPr>
      <w:keepNext/>
      <w:suppressAutoHyphens/>
      <w:spacing w:after="240"/>
    </w:pPr>
    <w:rPr>
      <w:b/>
      <w:sz w:val="32"/>
    </w:rPr>
  </w:style>
  <w:style w:type="paragraph" w:customStyle="1" w:styleId="Emnekode">
    <w:name w:val="Emnekode"/>
    <w:basedOn w:val="Normal"/>
    <w:next w:val="Normal"/>
    <w:rsid w:val="00D542E1"/>
    <w:rPr>
      <w:vanish/>
      <w:color w:val="808080"/>
      <w:sz w:val="22"/>
    </w:rPr>
  </w:style>
  <w:style w:type="paragraph" w:customStyle="1" w:styleId="Emneord">
    <w:name w:val="Emneord"/>
    <w:basedOn w:val="Normal"/>
    <w:next w:val="Normal"/>
    <w:rsid w:val="00D542E1"/>
    <w:rPr>
      <w:vanish/>
      <w:color w:val="808080"/>
      <w:sz w:val="22"/>
    </w:rPr>
  </w:style>
  <w:style w:type="paragraph" w:customStyle="1" w:styleId="Frigivningstid">
    <w:name w:val="Frigivningstid"/>
    <w:basedOn w:val="Normal"/>
    <w:next w:val="Normal"/>
    <w:rsid w:val="00D542E1"/>
    <w:rPr>
      <w:vanish/>
      <w:color w:val="808080"/>
      <w:sz w:val="22"/>
    </w:rPr>
  </w:style>
  <w:style w:type="paragraph" w:customStyle="1" w:styleId="Kortstikktittel">
    <w:name w:val="Kort stikktittel"/>
    <w:basedOn w:val="Normal"/>
    <w:next w:val="Normal"/>
    <w:rsid w:val="00D542E1"/>
    <w:rPr>
      <w:vanish/>
      <w:color w:val="808080"/>
      <w:sz w:val="22"/>
    </w:rPr>
  </w:style>
  <w:style w:type="paragraph" w:customStyle="1" w:styleId="Korttittel">
    <w:name w:val="Kort tittel"/>
    <w:basedOn w:val="Normal"/>
    <w:next w:val="Normal"/>
    <w:rsid w:val="00D542E1"/>
    <w:rPr>
      <w:vanish/>
      <w:color w:val="808080"/>
      <w:sz w:val="22"/>
    </w:rPr>
  </w:style>
  <w:style w:type="paragraph" w:customStyle="1" w:styleId="Kortnavn">
    <w:name w:val="Kortnavn"/>
    <w:basedOn w:val="Normal"/>
    <w:next w:val="Normal"/>
    <w:rsid w:val="00D542E1"/>
    <w:rPr>
      <w:vanish/>
      <w:color w:val="808080"/>
      <w:sz w:val="22"/>
    </w:rPr>
  </w:style>
  <w:style w:type="paragraph" w:customStyle="1" w:styleId="Meta">
    <w:name w:val="Meta"/>
    <w:basedOn w:val="Normal"/>
    <w:next w:val="Normal"/>
    <w:rsid w:val="00D542E1"/>
    <w:rPr>
      <w:vanish/>
      <w:color w:val="808080"/>
      <w:sz w:val="22"/>
    </w:rPr>
  </w:style>
  <w:style w:type="paragraph" w:customStyle="1" w:styleId="Regionaltniv">
    <w:name w:val="Regionalt nivå"/>
    <w:basedOn w:val="Normal"/>
    <w:next w:val="Normal"/>
    <w:rsid w:val="00D542E1"/>
    <w:rPr>
      <w:vanish/>
      <w:color w:val="808080"/>
      <w:sz w:val="22"/>
    </w:rPr>
  </w:style>
  <w:style w:type="paragraph" w:styleId="Liste-forts">
    <w:name w:val="List Continue"/>
    <w:basedOn w:val="Normal"/>
    <w:uiPriority w:val="99"/>
    <w:unhideWhenUsed/>
    <w:rsid w:val="005B3209"/>
    <w:pPr>
      <w:ind w:left="283"/>
      <w:contextualSpacing/>
    </w:pPr>
  </w:style>
  <w:style w:type="paragraph" w:customStyle="1" w:styleId="Nummerliste2">
    <w:name w:val="Nummerliste_2"/>
    <w:basedOn w:val="Nummerertliste"/>
    <w:rsid w:val="00D542E1"/>
    <w:pPr>
      <w:spacing w:line="300" w:lineRule="exact"/>
      <w:ind w:left="567" w:hanging="567"/>
    </w:pPr>
    <w:rPr>
      <w:rFonts w:ascii="DepCentury Old Style" w:hAnsi="DepCentury Old Style"/>
      <w:lang w:eastAsia="en-US"/>
    </w:rPr>
  </w:style>
  <w:style w:type="paragraph" w:styleId="Nummerertliste">
    <w:name w:val="List Number"/>
    <w:basedOn w:val="Normal"/>
    <w:uiPriority w:val="99"/>
    <w:unhideWhenUsed/>
    <w:rsid w:val="005B3209"/>
    <w:pPr>
      <w:numPr>
        <w:numId w:val="7"/>
      </w:numPr>
      <w:contextualSpacing/>
    </w:pPr>
  </w:style>
  <w:style w:type="paragraph" w:customStyle="1" w:styleId="NormalsitatTegn">
    <w:name w:val="Normal sitat Tegn"/>
    <w:basedOn w:val="Normal"/>
    <w:rsid w:val="00D542E1"/>
    <w:pPr>
      <w:spacing w:line="360" w:lineRule="auto"/>
    </w:pPr>
    <w:rPr>
      <w:b/>
      <w:bCs/>
      <w:szCs w:val="24"/>
    </w:rPr>
  </w:style>
  <w:style w:type="paragraph" w:customStyle="1" w:styleId="NormalLinjeavstandHalvannen">
    <w:name w:val="Normal + Linjeavstand:  Halvannen"/>
    <w:basedOn w:val="Normal"/>
    <w:rsid w:val="00D542E1"/>
    <w:pPr>
      <w:spacing w:line="360" w:lineRule="auto"/>
    </w:pPr>
    <w:rPr>
      <w:szCs w:val="24"/>
    </w:rPr>
  </w:style>
  <w:style w:type="paragraph" w:styleId="Blokktekst">
    <w:name w:val="Block Text"/>
    <w:basedOn w:val="Normal"/>
    <w:uiPriority w:val="99"/>
    <w:unhideWhenUsed/>
    <w:rsid w:val="005B320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HTML-forhndsformatert">
    <w:name w:val="HTML Preformatted"/>
    <w:basedOn w:val="Normal"/>
    <w:link w:val="HTML-forhndsformatertTegn"/>
    <w:uiPriority w:val="99"/>
    <w:unhideWhenUsed/>
    <w:rsid w:val="005B3209"/>
    <w:rPr>
      <w:rFonts w:ascii="Consolas" w:hAnsi="Consolas"/>
      <w:sz w:val="20"/>
    </w:rPr>
  </w:style>
  <w:style w:type="character" w:customStyle="1" w:styleId="HTML-forhndsformatertTegn">
    <w:name w:val="HTML-forhåndsformatert Tegn"/>
    <w:basedOn w:val="Standardskriftforavsnitt"/>
    <w:link w:val="HTML-forhndsformatert"/>
    <w:uiPriority w:val="99"/>
    <w:rsid w:val="005B3209"/>
    <w:rPr>
      <w:rFonts w:ascii="Consolas" w:eastAsia="Batang" w:hAnsi="Consolas"/>
    </w:rPr>
  </w:style>
  <w:style w:type="paragraph" w:customStyle="1" w:styleId="Normalpetit">
    <w:name w:val="Normal petit"/>
    <w:basedOn w:val="Normal"/>
    <w:rsid w:val="00D542E1"/>
    <w:rPr>
      <w:sz w:val="18"/>
      <w:szCs w:val="18"/>
    </w:rPr>
  </w:style>
  <w:style w:type="paragraph" w:styleId="Rentekst">
    <w:name w:val="Plain Text"/>
    <w:basedOn w:val="Normal"/>
    <w:link w:val="RentekstTegn"/>
    <w:uiPriority w:val="99"/>
    <w:unhideWhenUsed/>
    <w:rsid w:val="005B3209"/>
    <w:rPr>
      <w:rFonts w:ascii="Consolas" w:hAnsi="Consolas"/>
      <w:sz w:val="21"/>
      <w:szCs w:val="21"/>
    </w:rPr>
  </w:style>
  <w:style w:type="character" w:customStyle="1" w:styleId="RentekstTegn">
    <w:name w:val="Ren tekst Tegn"/>
    <w:basedOn w:val="Standardskriftforavsnitt"/>
    <w:link w:val="Rentekst"/>
    <w:uiPriority w:val="99"/>
    <w:rsid w:val="005B3209"/>
    <w:rPr>
      <w:rFonts w:ascii="Consolas" w:eastAsia="Batang" w:hAnsi="Consolas"/>
      <w:sz w:val="21"/>
      <w:szCs w:val="21"/>
    </w:rPr>
  </w:style>
  <w:style w:type="paragraph" w:customStyle="1" w:styleId="Petit">
    <w:name w:val="Petit"/>
    <w:basedOn w:val="Normal"/>
    <w:next w:val="Normal"/>
    <w:qFormat/>
    <w:rsid w:val="005B3209"/>
    <w:pPr>
      <w:spacing w:line="276" w:lineRule="auto"/>
    </w:pPr>
    <w:rPr>
      <w:rFonts w:ascii="Times New Roman" w:eastAsia="Times New Roman" w:hAnsi="Times New Roman" w:cstheme="minorBidi"/>
      <w:spacing w:val="6"/>
      <w:sz w:val="19"/>
      <w:szCs w:val="22"/>
    </w:rPr>
  </w:style>
  <w:style w:type="paragraph" w:customStyle="1" w:styleId="StilOverskrift215ptIkkeFet">
    <w:name w:val="Stil Overskrift 2 + 15 pt Ikke Fet"/>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215ptIkkeFetLinjeavstandHalvannen">
    <w:name w:val="Stil Overskrift 2 + 15 pt Ikke Fet Linjeavstand:  Halvannen"/>
    <w:basedOn w:val="Overskrift2"/>
    <w:autoRedefine/>
    <w:rsid w:val="00D542E1"/>
    <w:pPr>
      <w:numPr>
        <w:ilvl w:val="0"/>
        <w:numId w:val="0"/>
      </w:numPr>
      <w:tabs>
        <w:tab w:val="num" w:pos="360"/>
      </w:tabs>
      <w:spacing w:before="240" w:after="60" w:line="360" w:lineRule="auto"/>
    </w:pPr>
    <w:rPr>
      <w:rFonts w:cs="Arial"/>
      <w:b w:val="0"/>
      <w:i/>
      <w:iCs/>
      <w:szCs w:val="28"/>
    </w:rPr>
  </w:style>
  <w:style w:type="paragraph" w:customStyle="1" w:styleId="StilOverskrift313ptLinjeavstandHalvannen">
    <w:name w:val="Stil Overskrift 3 + 13 pt Linjeavstand:  Halvannen"/>
    <w:basedOn w:val="Overskrift3"/>
    <w:autoRedefine/>
    <w:rsid w:val="00D542E1"/>
    <w:pPr>
      <w:numPr>
        <w:ilvl w:val="0"/>
        <w:numId w:val="0"/>
      </w:numPr>
      <w:tabs>
        <w:tab w:val="num" w:pos="360"/>
      </w:tabs>
      <w:spacing w:before="0" w:after="0"/>
      <w:jc w:val="both"/>
    </w:pPr>
    <w:rPr>
      <w:bCs/>
      <w:i/>
      <w:iCs/>
      <w:noProof/>
      <w:snapToGrid w:val="0"/>
      <w:szCs w:val="26"/>
    </w:rPr>
  </w:style>
  <w:style w:type="paragraph" w:customStyle="1" w:styleId="StilOverskrift412ptIkkeFetKursivLinjeavstandHalvan">
    <w:name w:val="Stil Overskrift 4 + 12 pt Ikke Fet Kursiv Linjeavstand:  Halvan..."/>
    <w:basedOn w:val="Overskrift4"/>
    <w:autoRedefine/>
    <w:rsid w:val="00D542E1"/>
    <w:pPr>
      <w:numPr>
        <w:ilvl w:val="0"/>
        <w:numId w:val="0"/>
      </w:numPr>
      <w:tabs>
        <w:tab w:val="num" w:pos="864"/>
      </w:tabs>
    </w:pPr>
    <w:rPr>
      <w:b/>
      <w:bCs/>
      <w:i w:val="0"/>
      <w:szCs w:val="24"/>
    </w:rPr>
  </w:style>
  <w:style w:type="paragraph" w:customStyle="1" w:styleId="StilOverskrift412ptIkkeFetBlokkjustertLinjeavstand">
    <w:name w:val="Stil Overskrift 4 + 12 pt Ikke Fet Blokkjustert Linjeavstand:  ..."/>
    <w:basedOn w:val="Overskrift4"/>
    <w:autoRedefine/>
    <w:rsid w:val="00D542E1"/>
    <w:pPr>
      <w:numPr>
        <w:ilvl w:val="0"/>
        <w:numId w:val="0"/>
      </w:numPr>
      <w:tabs>
        <w:tab w:val="num" w:pos="864"/>
      </w:tabs>
      <w:spacing w:line="360" w:lineRule="auto"/>
      <w:jc w:val="both"/>
    </w:pPr>
    <w:rPr>
      <w:b/>
      <w:bCs/>
      <w:i w:val="0"/>
      <w:szCs w:val="24"/>
    </w:rPr>
  </w:style>
  <w:style w:type="paragraph" w:customStyle="1" w:styleId="StilFrstelinje125cm">
    <w:name w:val="Stil Første linje:  125 cm"/>
    <w:basedOn w:val="Normal"/>
    <w:autoRedefine/>
    <w:rsid w:val="00D542E1"/>
    <w:pPr>
      <w:spacing w:before="120" w:line="360" w:lineRule="auto"/>
      <w:ind w:firstLine="708"/>
    </w:pPr>
    <w:rPr>
      <w:sz w:val="28"/>
      <w:szCs w:val="28"/>
    </w:rPr>
  </w:style>
  <w:style w:type="paragraph" w:customStyle="1" w:styleId="registre">
    <w:name w:val="registre"/>
    <w:basedOn w:val="Normal"/>
    <w:rsid w:val="00D542E1"/>
    <w:pPr>
      <w:jc w:val="both"/>
    </w:pPr>
    <w:rPr>
      <w:sz w:val="18"/>
      <w:szCs w:val="18"/>
    </w:rPr>
  </w:style>
  <w:style w:type="paragraph" w:styleId="Nummerertliste2">
    <w:name w:val="List Number 2"/>
    <w:basedOn w:val="Normal"/>
    <w:rsid w:val="005B3209"/>
    <w:pPr>
      <w:numPr>
        <w:ilvl w:val="1"/>
        <w:numId w:val="7"/>
      </w:numPr>
      <w:spacing w:after="0"/>
    </w:pPr>
    <w:rPr>
      <w:rFonts w:cstheme="minorBidi"/>
    </w:rPr>
  </w:style>
  <w:style w:type="paragraph" w:styleId="Nummerertliste3">
    <w:name w:val="List Number 3"/>
    <w:basedOn w:val="Normal"/>
    <w:rsid w:val="005B3209"/>
    <w:pPr>
      <w:numPr>
        <w:ilvl w:val="2"/>
        <w:numId w:val="7"/>
      </w:numPr>
      <w:spacing w:after="0"/>
    </w:pPr>
  </w:style>
  <w:style w:type="paragraph" w:customStyle="1" w:styleId="i-dep">
    <w:name w:val="i-dep."/>
    <w:basedOn w:val="romertallliste3"/>
    <w:rsid w:val="00D542E1"/>
    <w:pPr>
      <w:numPr>
        <w:numId w:val="0"/>
      </w:numPr>
      <w:tabs>
        <w:tab w:val="num" w:pos="705"/>
        <w:tab w:val="num" w:pos="926"/>
      </w:tabs>
      <w:ind w:left="926" w:hanging="284"/>
    </w:pPr>
    <w:rPr>
      <w:noProof/>
      <w:sz w:val="20"/>
    </w:rPr>
  </w:style>
  <w:style w:type="paragraph" w:customStyle="1" w:styleId="Figur">
    <w:name w:val="Figur"/>
    <w:basedOn w:val="Normal"/>
    <w:uiPriority w:val="99"/>
    <w:rsid w:val="005B3209"/>
    <w:pPr>
      <w:suppressAutoHyphens/>
      <w:spacing w:before="400" w:after="200" w:line="240" w:lineRule="exact"/>
      <w:jc w:val="center"/>
    </w:pPr>
    <w:rPr>
      <w:b/>
      <w:bCs/>
      <w:color w:val="FF0000"/>
    </w:rPr>
  </w:style>
  <w:style w:type="paragraph" w:customStyle="1" w:styleId="hengende-innrykk">
    <w:name w:val="hengende-innrykk"/>
    <w:basedOn w:val="Normal"/>
    <w:next w:val="Normal"/>
    <w:rsid w:val="005B3209"/>
    <w:pPr>
      <w:ind w:left="1418" w:hanging="1418"/>
    </w:pPr>
  </w:style>
  <w:style w:type="paragraph" w:customStyle="1" w:styleId="v-Overskrift1">
    <w:name w:val="v-Overskrift 1"/>
    <w:basedOn w:val="Normal"/>
    <w:rsid w:val="00D542E1"/>
    <w:pPr>
      <w:suppressAutoHyphens/>
      <w:autoSpaceDE w:val="0"/>
      <w:autoSpaceDN w:val="0"/>
      <w:adjustRightInd w:val="0"/>
      <w:spacing w:line="220" w:lineRule="exact"/>
    </w:pPr>
    <w:rPr>
      <w:noProof/>
      <w:sz w:val="20"/>
    </w:rPr>
  </w:style>
  <w:style w:type="paragraph" w:customStyle="1" w:styleId="v-Overskrift2">
    <w:name w:val="v-Overskrift 2"/>
    <w:basedOn w:val="Normal"/>
    <w:rsid w:val="00D542E1"/>
    <w:pPr>
      <w:suppressAutoHyphens/>
      <w:autoSpaceDE w:val="0"/>
      <w:autoSpaceDN w:val="0"/>
      <w:adjustRightInd w:val="0"/>
      <w:spacing w:line="220" w:lineRule="exact"/>
    </w:pPr>
    <w:rPr>
      <w:noProof/>
      <w:sz w:val="20"/>
    </w:rPr>
  </w:style>
  <w:style w:type="paragraph" w:customStyle="1" w:styleId="Undervedl-tittel">
    <w:name w:val="Undervedl-tittel"/>
    <w:basedOn w:val="Normal"/>
    <w:next w:val="Normal"/>
    <w:rsid w:val="005B3209"/>
    <w:pPr>
      <w:keepNext/>
      <w:spacing w:before="360" w:after="240"/>
    </w:pPr>
    <w:rPr>
      <w:rFonts w:ascii="Arial" w:hAnsi="Arial" w:cstheme="minorBidi"/>
      <w:b/>
      <w:sz w:val="28"/>
    </w:rPr>
  </w:style>
  <w:style w:type="paragraph" w:customStyle="1" w:styleId="undervedl-nr">
    <w:name w:val="undervedl-nr"/>
    <w:basedOn w:val="vedlegg-nr"/>
    <w:next w:val="Normal"/>
    <w:qFormat/>
    <w:rsid w:val="005B3209"/>
    <w:rPr>
      <w:b w:val="0"/>
    </w:rPr>
  </w:style>
  <w:style w:type="paragraph" w:customStyle="1" w:styleId="Kule">
    <w:name w:val="Kule"/>
    <w:rsid w:val="00D542E1"/>
    <w:pPr>
      <w:widowControl w:val="0"/>
      <w:ind w:left="289"/>
    </w:pPr>
    <w:rPr>
      <w:color w:val="000000"/>
      <w:sz w:val="24"/>
    </w:rPr>
  </w:style>
  <w:style w:type="character" w:customStyle="1" w:styleId="hovedtekst">
    <w:name w:val="hovedtekst"/>
    <w:basedOn w:val="Standardskriftforavsnitt"/>
    <w:rsid w:val="00D542E1"/>
  </w:style>
  <w:style w:type="paragraph" w:customStyle="1" w:styleId="H3">
    <w:name w:val="H3"/>
    <w:basedOn w:val="Normal"/>
    <w:next w:val="Normal"/>
    <w:rsid w:val="00D542E1"/>
    <w:pPr>
      <w:keepNext/>
      <w:spacing w:before="100" w:after="100"/>
      <w:outlineLvl w:val="3"/>
    </w:pPr>
    <w:rPr>
      <w:b/>
      <w:snapToGrid w:val="0"/>
      <w:sz w:val="28"/>
    </w:rPr>
  </w:style>
  <w:style w:type="paragraph" w:customStyle="1" w:styleId="font7">
    <w:name w:val="font7"/>
    <w:basedOn w:val="Normal"/>
    <w:rsid w:val="00D542E1"/>
    <w:pPr>
      <w:spacing w:before="100" w:beforeAutospacing="1" w:after="100" w:afterAutospacing="1"/>
    </w:pPr>
    <w:rPr>
      <w:rFonts w:ascii="Arial" w:hAnsi="Arial" w:cs="Arial"/>
      <w:sz w:val="20"/>
    </w:rPr>
  </w:style>
  <w:style w:type="paragraph" w:customStyle="1" w:styleId="Innrykk1">
    <w:name w:val="Innrykk_1"/>
    <w:basedOn w:val="Normal"/>
    <w:rsid w:val="00D542E1"/>
    <w:pPr>
      <w:spacing w:line="300" w:lineRule="exact"/>
      <w:ind w:left="567"/>
    </w:pPr>
    <w:rPr>
      <w:rFonts w:ascii="DepCentury Old Style" w:hAnsi="DepCentury Old Style"/>
    </w:rPr>
  </w:style>
  <w:style w:type="paragraph" w:customStyle="1" w:styleId="font8">
    <w:name w:val="font8"/>
    <w:basedOn w:val="Normal"/>
    <w:rsid w:val="00D542E1"/>
    <w:pPr>
      <w:spacing w:before="100" w:beforeAutospacing="1" w:after="100" w:afterAutospacing="1"/>
    </w:pPr>
    <w:rPr>
      <w:rFonts w:eastAsia="Arial Unicode MS"/>
      <w:b/>
      <w:bCs/>
      <w:color w:val="000000"/>
      <w:szCs w:val="24"/>
    </w:rPr>
  </w:style>
  <w:style w:type="paragraph" w:customStyle="1" w:styleId="xl22">
    <w:name w:val="xl22"/>
    <w:basedOn w:val="Normal"/>
    <w:rsid w:val="00D542E1"/>
    <w:pPr>
      <w:spacing w:before="100" w:beforeAutospacing="1" w:after="100" w:afterAutospacing="1"/>
    </w:pPr>
    <w:rPr>
      <w:rFonts w:eastAsia="Arial Unicode MS"/>
      <w:color w:val="000000"/>
      <w:szCs w:val="24"/>
    </w:rPr>
  </w:style>
  <w:style w:type="paragraph" w:customStyle="1" w:styleId="xl23">
    <w:name w:val="xl23"/>
    <w:basedOn w:val="Normal"/>
    <w:rsid w:val="00D542E1"/>
    <w:pPr>
      <w:spacing w:before="100" w:beforeAutospacing="1" w:after="100" w:afterAutospacing="1"/>
    </w:pPr>
    <w:rPr>
      <w:rFonts w:eastAsia="Arial Unicode MS"/>
      <w:b/>
      <w:bCs/>
      <w:color w:val="000000"/>
      <w:szCs w:val="24"/>
    </w:rPr>
  </w:style>
  <w:style w:type="paragraph" w:customStyle="1" w:styleId="H4">
    <w:name w:val="H4"/>
    <w:basedOn w:val="Normal"/>
    <w:next w:val="Normal"/>
    <w:rsid w:val="00D542E1"/>
    <w:pPr>
      <w:keepNext/>
      <w:spacing w:before="100" w:after="100"/>
      <w:outlineLvl w:val="4"/>
    </w:pPr>
    <w:rPr>
      <w:b/>
      <w:snapToGrid w:val="0"/>
    </w:rPr>
  </w:style>
  <w:style w:type="paragraph" w:customStyle="1" w:styleId="Figuroverskrift">
    <w:name w:val="Figuroverskrift"/>
    <w:next w:val="Normal"/>
    <w:link w:val="FiguroverskriftTegn"/>
    <w:rsid w:val="00D542E1"/>
    <w:pPr>
      <w:keepNext/>
      <w:spacing w:before="240" w:after="60"/>
      <w:ind w:left="1134" w:hanging="1134"/>
    </w:pPr>
    <w:rPr>
      <w:b/>
      <w:sz w:val="22"/>
    </w:rPr>
  </w:style>
  <w:style w:type="paragraph" w:customStyle="1" w:styleId="Figuroverskrift-engelsk">
    <w:name w:val="Figuroverskrift - engelsk"/>
    <w:next w:val="Normal"/>
    <w:rsid w:val="00D542E1"/>
    <w:pPr>
      <w:keepNext/>
      <w:spacing w:after="60"/>
      <w:ind w:left="1134"/>
    </w:pPr>
    <w:rPr>
      <w:i/>
      <w:sz w:val="22"/>
      <w:lang w:val="en-GB"/>
    </w:rPr>
  </w:style>
  <w:style w:type="paragraph" w:customStyle="1" w:styleId="Forfatteropplysning">
    <w:name w:val="Forfatteropplysning"/>
    <w:next w:val="Normal"/>
    <w:rsid w:val="00D542E1"/>
    <w:pPr>
      <w:keepLines/>
      <w:pBdr>
        <w:top w:val="single" w:sz="4" w:space="1" w:color="auto"/>
        <w:left w:val="single" w:sz="4" w:space="4" w:color="auto"/>
        <w:bottom w:val="single" w:sz="4" w:space="1" w:color="auto"/>
        <w:right w:val="single" w:sz="4" w:space="4" w:color="auto"/>
      </w:pBdr>
      <w:spacing w:before="120" w:after="120"/>
    </w:pPr>
    <w:rPr>
      <w:i/>
      <w:sz w:val="22"/>
    </w:rPr>
  </w:style>
  <w:style w:type="paragraph" w:customStyle="1" w:styleId="KildeFotnotetilTabFig">
    <w:name w:val="Kilde/Fotnote til Tab/Fig"/>
    <w:next w:val="Normal"/>
    <w:rsid w:val="00D542E1"/>
    <w:pPr>
      <w:keepLines/>
      <w:spacing w:before="120"/>
    </w:pPr>
    <w:rPr>
      <w:sz w:val="16"/>
    </w:rPr>
  </w:style>
  <w:style w:type="paragraph" w:customStyle="1" w:styleId="Tabelloverskrift">
    <w:name w:val="Tabelloverskrift"/>
    <w:next w:val="Normal"/>
    <w:rsid w:val="00D542E1"/>
    <w:pPr>
      <w:keepNext/>
      <w:spacing w:before="240" w:after="60"/>
      <w:ind w:left="1134" w:hanging="1134"/>
    </w:pPr>
    <w:rPr>
      <w:b/>
      <w:sz w:val="22"/>
    </w:rPr>
  </w:style>
  <w:style w:type="paragraph" w:customStyle="1" w:styleId="Tabelloverskrift-engelsk">
    <w:name w:val="Tabelloverskrift - engelsk"/>
    <w:next w:val="Normal"/>
    <w:rsid w:val="00D542E1"/>
    <w:pPr>
      <w:keepNext/>
      <w:spacing w:after="60"/>
      <w:ind w:left="1134"/>
    </w:pPr>
    <w:rPr>
      <w:i/>
      <w:sz w:val="22"/>
      <w:lang w:val="en-GB"/>
    </w:rPr>
  </w:style>
  <w:style w:type="paragraph" w:customStyle="1" w:styleId="Overskrift48">
    <w:name w:val="Overskrift 48"/>
    <w:basedOn w:val="Normal"/>
    <w:rsid w:val="00D542E1"/>
    <w:pPr>
      <w:spacing w:before="100" w:beforeAutospacing="1" w:after="100" w:afterAutospacing="1"/>
      <w:outlineLvl w:val="4"/>
    </w:pPr>
    <w:rPr>
      <w:b/>
      <w:bCs/>
      <w:szCs w:val="24"/>
    </w:rPr>
  </w:style>
  <w:style w:type="paragraph" w:customStyle="1" w:styleId="Sak">
    <w:name w:val="Sak"/>
    <w:basedOn w:val="Normal"/>
    <w:rsid w:val="00D542E1"/>
    <w:rPr>
      <w:rFonts w:ascii="Garamond" w:hAnsi="Garamond"/>
      <w:b/>
    </w:rPr>
  </w:style>
  <w:style w:type="paragraph" w:customStyle="1" w:styleId="Stil1">
    <w:name w:val="Stil1"/>
    <w:basedOn w:val="Normal"/>
    <w:rsid w:val="00D542E1"/>
    <w:rPr>
      <w:rFonts w:ascii="AGaramond" w:hAnsi="AGaramond"/>
      <w:b/>
    </w:rPr>
  </w:style>
  <w:style w:type="paragraph" w:customStyle="1" w:styleId="apibody">
    <w:name w:val="apibody"/>
    <w:basedOn w:val="Normal"/>
    <w:rsid w:val="00D542E1"/>
    <w:pPr>
      <w:spacing w:before="100" w:beforeAutospacing="1" w:after="100" w:afterAutospacing="1"/>
    </w:pPr>
    <w:rPr>
      <w:szCs w:val="24"/>
    </w:rPr>
  </w:style>
  <w:style w:type="paragraph" w:customStyle="1" w:styleId="Overskrift44">
    <w:name w:val="Overskrift 44"/>
    <w:basedOn w:val="Normal"/>
    <w:rsid w:val="00D542E1"/>
    <w:pPr>
      <w:spacing w:before="100" w:beforeAutospacing="1" w:after="100" w:afterAutospacing="1"/>
      <w:outlineLvl w:val="4"/>
    </w:pPr>
    <w:rPr>
      <w:b/>
      <w:bCs/>
      <w:szCs w:val="24"/>
    </w:rPr>
  </w:style>
  <w:style w:type="paragraph" w:customStyle="1" w:styleId="Niv3">
    <w:name w:val="Nivå 3"/>
    <w:basedOn w:val="Normal"/>
    <w:autoRedefine/>
    <w:rsid w:val="00D542E1"/>
    <w:rPr>
      <w:szCs w:val="24"/>
    </w:rPr>
  </w:style>
  <w:style w:type="paragraph" w:customStyle="1" w:styleId="apileadtext">
    <w:name w:val="apileadtext"/>
    <w:basedOn w:val="Normal"/>
    <w:rsid w:val="00D542E1"/>
    <w:pPr>
      <w:spacing w:before="100" w:beforeAutospacing="1" w:after="100" w:afterAutospacing="1"/>
    </w:pPr>
    <w:rPr>
      <w:szCs w:val="24"/>
    </w:rPr>
  </w:style>
  <w:style w:type="paragraph" w:customStyle="1" w:styleId="Overskriftfigur">
    <w:name w:val="Overskrift figur"/>
    <w:basedOn w:val="Normal"/>
    <w:next w:val="Normal"/>
    <w:link w:val="OverskriftfigurTegn"/>
    <w:rsid w:val="00D542E1"/>
    <w:pPr>
      <w:tabs>
        <w:tab w:val="left" w:pos="284"/>
      </w:tabs>
      <w:suppressAutoHyphens/>
    </w:pPr>
    <w:rPr>
      <w:rFonts w:cs="Arial"/>
      <w:bCs/>
      <w:i/>
      <w:iCs/>
      <w:sz w:val="22"/>
      <w:szCs w:val="22"/>
    </w:rPr>
  </w:style>
  <w:style w:type="character" w:customStyle="1" w:styleId="OverskriftfigurTegn">
    <w:name w:val="Overskrift figur Tegn"/>
    <w:basedOn w:val="Standardskriftforavsnitt"/>
    <w:link w:val="Overskriftfigur"/>
    <w:rsid w:val="00D542E1"/>
    <w:rPr>
      <w:rFonts w:cs="Arial"/>
      <w:bCs/>
      <w:i/>
      <w:iCs/>
      <w:sz w:val="22"/>
      <w:szCs w:val="22"/>
    </w:rPr>
  </w:style>
  <w:style w:type="paragraph" w:customStyle="1" w:styleId="Overskrift38">
    <w:name w:val="Overskrift 38"/>
    <w:basedOn w:val="Normal"/>
    <w:rsid w:val="00D542E1"/>
    <w:pPr>
      <w:spacing w:before="100" w:beforeAutospacing="1" w:after="100" w:afterAutospacing="1"/>
      <w:outlineLvl w:val="3"/>
    </w:pPr>
    <w:rPr>
      <w:b/>
      <w:bCs/>
      <w:sz w:val="28"/>
      <w:szCs w:val="28"/>
    </w:rPr>
  </w:style>
  <w:style w:type="paragraph" w:customStyle="1" w:styleId="embedded">
    <w:name w:val="embedded"/>
    <w:basedOn w:val="Normal"/>
    <w:rsid w:val="00D542E1"/>
    <w:rPr>
      <w:rFonts w:ascii="Arial" w:hAnsi="Arial" w:cs="Arial"/>
      <w:b/>
      <w:bCs/>
      <w:sz w:val="14"/>
      <w:szCs w:val="14"/>
    </w:rPr>
  </w:style>
  <w:style w:type="paragraph" w:customStyle="1" w:styleId="column">
    <w:name w:val="column"/>
    <w:basedOn w:val="Normal"/>
    <w:rsid w:val="00D542E1"/>
    <w:pPr>
      <w:spacing w:before="100" w:beforeAutospacing="1" w:after="100" w:afterAutospacing="1"/>
    </w:pPr>
    <w:rPr>
      <w:rFonts w:ascii="Arial" w:hAnsi="Arial" w:cs="Arial"/>
      <w:color w:val="000000"/>
      <w:sz w:val="19"/>
      <w:szCs w:val="19"/>
    </w:rPr>
  </w:style>
  <w:style w:type="paragraph" w:customStyle="1" w:styleId="smalltext">
    <w:name w:val="smalltext"/>
    <w:basedOn w:val="Normal"/>
    <w:rsid w:val="00D542E1"/>
    <w:pPr>
      <w:spacing w:before="100" w:beforeAutospacing="1" w:after="100" w:afterAutospacing="1"/>
    </w:pPr>
    <w:rPr>
      <w:rFonts w:ascii="Arial" w:hAnsi="Arial" w:cs="Arial"/>
      <w:color w:val="000000"/>
      <w:sz w:val="17"/>
      <w:szCs w:val="17"/>
    </w:rPr>
  </w:style>
  <w:style w:type="paragraph" w:customStyle="1" w:styleId="rcolumn">
    <w:name w:val="rcolumn"/>
    <w:basedOn w:val="Normal"/>
    <w:rsid w:val="00D542E1"/>
    <w:pPr>
      <w:spacing w:before="100" w:beforeAutospacing="1" w:after="100" w:afterAutospacing="1"/>
    </w:pPr>
    <w:rPr>
      <w:rFonts w:ascii="Arial" w:hAnsi="Arial" w:cs="Arial"/>
      <w:szCs w:val="24"/>
    </w:rPr>
  </w:style>
  <w:style w:type="paragraph" w:customStyle="1" w:styleId="alert">
    <w:name w:val="alert"/>
    <w:basedOn w:val="Normal"/>
    <w:rsid w:val="00D542E1"/>
    <w:pPr>
      <w:spacing w:before="100" w:beforeAutospacing="1" w:after="100" w:afterAutospacing="1"/>
    </w:pPr>
    <w:rPr>
      <w:color w:val="FF0000"/>
      <w:sz w:val="19"/>
      <w:szCs w:val="19"/>
    </w:rPr>
  </w:style>
  <w:style w:type="paragraph" w:customStyle="1" w:styleId="hidden">
    <w:name w:val="hidden"/>
    <w:basedOn w:val="Normal"/>
    <w:rsid w:val="00D542E1"/>
    <w:pPr>
      <w:spacing w:before="100" w:beforeAutospacing="1" w:after="100" w:afterAutospacing="1"/>
    </w:pPr>
    <w:rPr>
      <w:vanish/>
      <w:szCs w:val="24"/>
    </w:rPr>
  </w:style>
  <w:style w:type="paragraph" w:customStyle="1" w:styleId="vmlink">
    <w:name w:val="vmlink"/>
    <w:basedOn w:val="Normal"/>
    <w:rsid w:val="00D542E1"/>
    <w:pPr>
      <w:spacing w:before="100" w:beforeAutospacing="1" w:after="154"/>
    </w:pPr>
    <w:rPr>
      <w:szCs w:val="24"/>
    </w:rPr>
  </w:style>
  <w:style w:type="paragraph" w:customStyle="1" w:styleId="lmheading">
    <w:name w:val="lmheading"/>
    <w:basedOn w:val="Normal"/>
    <w:rsid w:val="00D542E1"/>
    <w:pPr>
      <w:pBdr>
        <w:bottom w:val="single" w:sz="4" w:space="0" w:color="CCCCCC"/>
      </w:pBdr>
      <w:spacing w:after="26"/>
    </w:pPr>
    <w:rPr>
      <w:b/>
      <w:bCs/>
      <w:color w:val="000000"/>
      <w:sz w:val="26"/>
      <w:szCs w:val="26"/>
    </w:rPr>
  </w:style>
  <w:style w:type="paragraph" w:customStyle="1" w:styleId="contents">
    <w:name w:val="contents"/>
    <w:basedOn w:val="Normal"/>
    <w:rsid w:val="00D542E1"/>
    <w:pPr>
      <w:spacing w:before="100" w:beforeAutospacing="1" w:after="100" w:afterAutospacing="1"/>
    </w:pPr>
    <w:rPr>
      <w:color w:val="000000"/>
      <w:sz w:val="19"/>
      <w:szCs w:val="19"/>
    </w:rPr>
  </w:style>
  <w:style w:type="paragraph" w:customStyle="1" w:styleId="globalmenu">
    <w:name w:val="globalmenu"/>
    <w:basedOn w:val="Normal"/>
    <w:rsid w:val="00D542E1"/>
    <w:pPr>
      <w:spacing w:before="100" w:beforeAutospacing="1" w:after="100" w:afterAutospacing="1"/>
    </w:pPr>
    <w:rPr>
      <w:rFonts w:ascii="Arial" w:hAnsi="Arial" w:cs="Arial"/>
      <w:color w:val="FFFFFF"/>
      <w:sz w:val="15"/>
      <w:szCs w:val="15"/>
    </w:rPr>
  </w:style>
  <w:style w:type="paragraph" w:customStyle="1" w:styleId="localmenu">
    <w:name w:val="localmenu"/>
    <w:basedOn w:val="Normal"/>
    <w:rsid w:val="00D542E1"/>
    <w:pPr>
      <w:spacing w:before="100" w:beforeAutospacing="1" w:after="100" w:afterAutospacing="1"/>
    </w:pPr>
    <w:rPr>
      <w:rFonts w:ascii="Arial" w:hAnsi="Arial" w:cs="Arial"/>
      <w:color w:val="FFFFFF"/>
      <w:sz w:val="17"/>
      <w:szCs w:val="17"/>
    </w:rPr>
  </w:style>
  <w:style w:type="paragraph" w:customStyle="1" w:styleId="funcmenu">
    <w:name w:val="funcmenu"/>
    <w:basedOn w:val="Normal"/>
    <w:rsid w:val="00D542E1"/>
    <w:pPr>
      <w:spacing w:before="100" w:beforeAutospacing="1" w:after="100" w:afterAutospacing="1"/>
    </w:pPr>
    <w:rPr>
      <w:rFonts w:ascii="Arial" w:hAnsi="Arial" w:cs="Arial"/>
      <w:color w:val="000066"/>
      <w:sz w:val="17"/>
      <w:szCs w:val="17"/>
    </w:rPr>
  </w:style>
  <w:style w:type="paragraph" w:customStyle="1" w:styleId="inactive">
    <w:name w:val="inactive"/>
    <w:basedOn w:val="Normal"/>
    <w:rsid w:val="00D542E1"/>
    <w:pPr>
      <w:spacing w:before="100" w:beforeAutospacing="1" w:after="100" w:afterAutospacing="1"/>
    </w:pPr>
    <w:rPr>
      <w:color w:val="666699"/>
      <w:szCs w:val="24"/>
    </w:rPr>
  </w:style>
  <w:style w:type="paragraph" w:customStyle="1" w:styleId="Overskrift11">
    <w:name w:val="Overskrift 11"/>
    <w:basedOn w:val="Normal"/>
    <w:rsid w:val="00D542E1"/>
    <w:pPr>
      <w:spacing w:before="100" w:beforeAutospacing="1"/>
      <w:outlineLvl w:val="1"/>
    </w:pPr>
    <w:rPr>
      <w:b/>
      <w:bCs/>
      <w:kern w:val="36"/>
      <w:sz w:val="40"/>
      <w:szCs w:val="40"/>
    </w:rPr>
  </w:style>
  <w:style w:type="paragraph" w:customStyle="1" w:styleId="Overskrift31">
    <w:name w:val="Overskrift 31"/>
    <w:basedOn w:val="Normal"/>
    <w:rsid w:val="00D542E1"/>
    <w:pPr>
      <w:spacing w:before="100" w:beforeAutospacing="1"/>
      <w:outlineLvl w:val="3"/>
    </w:pPr>
    <w:rPr>
      <w:b/>
      <w:bCs/>
      <w:sz w:val="28"/>
      <w:szCs w:val="28"/>
    </w:rPr>
  </w:style>
  <w:style w:type="paragraph" w:customStyle="1" w:styleId="Overskrift41">
    <w:name w:val="Overskrift 41"/>
    <w:basedOn w:val="Normal"/>
    <w:rsid w:val="00D542E1"/>
    <w:pPr>
      <w:spacing w:before="100" w:beforeAutospacing="1"/>
      <w:outlineLvl w:val="4"/>
    </w:pPr>
    <w:rPr>
      <w:b/>
      <w:bCs/>
      <w:szCs w:val="24"/>
    </w:rPr>
  </w:style>
  <w:style w:type="paragraph" w:customStyle="1" w:styleId="Overskrift51">
    <w:name w:val="Overskrift 51"/>
    <w:basedOn w:val="Normal"/>
    <w:rsid w:val="00D542E1"/>
    <w:pPr>
      <w:spacing w:before="100" w:beforeAutospacing="1"/>
      <w:outlineLvl w:val="5"/>
    </w:pPr>
    <w:rPr>
      <w:b/>
      <w:bCs/>
      <w:sz w:val="22"/>
      <w:szCs w:val="22"/>
    </w:rPr>
  </w:style>
  <w:style w:type="paragraph" w:customStyle="1" w:styleId="NormalWeb1">
    <w:name w:val="Normal (Web)1"/>
    <w:basedOn w:val="Normal"/>
    <w:rsid w:val="00D542E1"/>
    <w:pPr>
      <w:spacing w:after="100" w:afterAutospacing="1"/>
    </w:pPr>
    <w:rPr>
      <w:szCs w:val="24"/>
    </w:rPr>
  </w:style>
  <w:style w:type="paragraph" w:customStyle="1" w:styleId="Overskrift12">
    <w:name w:val="Overskrift 12"/>
    <w:basedOn w:val="Normal"/>
    <w:rsid w:val="00D542E1"/>
    <w:pPr>
      <w:spacing w:before="100" w:beforeAutospacing="1"/>
      <w:outlineLvl w:val="1"/>
    </w:pPr>
    <w:rPr>
      <w:b/>
      <w:bCs/>
      <w:kern w:val="36"/>
      <w:sz w:val="36"/>
      <w:szCs w:val="36"/>
    </w:rPr>
  </w:style>
  <w:style w:type="paragraph" w:customStyle="1" w:styleId="Overskrift22">
    <w:name w:val="Overskrift 22"/>
    <w:basedOn w:val="Normal"/>
    <w:rsid w:val="00D542E1"/>
    <w:pPr>
      <w:spacing w:before="100" w:beforeAutospacing="1"/>
      <w:outlineLvl w:val="2"/>
    </w:pPr>
    <w:rPr>
      <w:b/>
      <w:bCs/>
      <w:sz w:val="31"/>
      <w:szCs w:val="31"/>
    </w:rPr>
  </w:style>
  <w:style w:type="paragraph" w:customStyle="1" w:styleId="Overskrift32">
    <w:name w:val="Overskrift 32"/>
    <w:basedOn w:val="Normal"/>
    <w:rsid w:val="00D542E1"/>
    <w:pPr>
      <w:spacing w:before="100" w:beforeAutospacing="1"/>
      <w:outlineLvl w:val="3"/>
    </w:pPr>
    <w:rPr>
      <w:b/>
      <w:bCs/>
      <w:sz w:val="28"/>
      <w:szCs w:val="28"/>
    </w:rPr>
  </w:style>
  <w:style w:type="paragraph" w:customStyle="1" w:styleId="Overskrift42">
    <w:name w:val="Overskrift 42"/>
    <w:basedOn w:val="Normal"/>
    <w:rsid w:val="00D542E1"/>
    <w:pPr>
      <w:spacing w:before="100" w:beforeAutospacing="1"/>
      <w:outlineLvl w:val="4"/>
    </w:pPr>
    <w:rPr>
      <w:b/>
      <w:bCs/>
      <w:szCs w:val="24"/>
    </w:rPr>
  </w:style>
  <w:style w:type="paragraph" w:customStyle="1" w:styleId="Overskrift52">
    <w:name w:val="Overskrift 52"/>
    <w:basedOn w:val="Normal"/>
    <w:rsid w:val="00D542E1"/>
    <w:pPr>
      <w:spacing w:before="100" w:beforeAutospacing="1"/>
      <w:outlineLvl w:val="5"/>
    </w:pPr>
    <w:rPr>
      <w:b/>
      <w:bCs/>
      <w:sz w:val="23"/>
      <w:szCs w:val="23"/>
    </w:rPr>
  </w:style>
  <w:style w:type="paragraph" w:customStyle="1" w:styleId="NormalWeb2">
    <w:name w:val="Normal (Web)2"/>
    <w:basedOn w:val="Normal"/>
    <w:rsid w:val="00D542E1"/>
    <w:pPr>
      <w:spacing w:after="100" w:afterAutospacing="1"/>
    </w:pPr>
    <w:rPr>
      <w:szCs w:val="24"/>
    </w:rPr>
  </w:style>
  <w:style w:type="paragraph" w:customStyle="1" w:styleId="NormalWeb3">
    <w:name w:val="Normal (Web)3"/>
    <w:basedOn w:val="Normal"/>
    <w:rsid w:val="00D542E1"/>
    <w:rPr>
      <w:szCs w:val="24"/>
    </w:rPr>
  </w:style>
  <w:style w:type="paragraph" w:customStyle="1" w:styleId="Overskrift43">
    <w:name w:val="Overskrift 43"/>
    <w:basedOn w:val="Normal"/>
    <w:rsid w:val="00D542E1"/>
    <w:pPr>
      <w:outlineLvl w:val="4"/>
    </w:pPr>
    <w:rPr>
      <w:b/>
      <w:bCs/>
      <w:szCs w:val="24"/>
    </w:rPr>
  </w:style>
  <w:style w:type="paragraph" w:customStyle="1" w:styleId="Overskrift13">
    <w:name w:val="Overskrift 13"/>
    <w:basedOn w:val="Normal"/>
    <w:rsid w:val="00D542E1"/>
    <w:pPr>
      <w:spacing w:before="100" w:beforeAutospacing="1"/>
      <w:outlineLvl w:val="1"/>
    </w:pPr>
    <w:rPr>
      <w:b/>
      <w:bCs/>
      <w:kern w:val="36"/>
      <w:sz w:val="40"/>
      <w:szCs w:val="40"/>
    </w:rPr>
  </w:style>
  <w:style w:type="paragraph" w:customStyle="1" w:styleId="Overskrift23">
    <w:name w:val="Overskrift 23"/>
    <w:basedOn w:val="Normal"/>
    <w:rsid w:val="00D542E1"/>
    <w:pPr>
      <w:spacing w:before="100" w:beforeAutospacing="1"/>
      <w:outlineLvl w:val="2"/>
    </w:pPr>
    <w:rPr>
      <w:b/>
      <w:bCs/>
      <w:sz w:val="34"/>
      <w:szCs w:val="34"/>
    </w:rPr>
  </w:style>
  <w:style w:type="paragraph" w:customStyle="1" w:styleId="Overskrift33">
    <w:name w:val="Overskrift 33"/>
    <w:basedOn w:val="Normal"/>
    <w:rsid w:val="00D542E1"/>
    <w:pPr>
      <w:spacing w:before="100" w:beforeAutospacing="1"/>
      <w:outlineLvl w:val="3"/>
    </w:pPr>
    <w:rPr>
      <w:b/>
      <w:bCs/>
      <w:sz w:val="28"/>
      <w:szCs w:val="28"/>
    </w:rPr>
  </w:style>
  <w:style w:type="paragraph" w:customStyle="1" w:styleId="NormalWeb4">
    <w:name w:val="Normal (Web)4"/>
    <w:basedOn w:val="Normal"/>
    <w:rsid w:val="00D542E1"/>
    <w:rPr>
      <w:szCs w:val="24"/>
    </w:rPr>
  </w:style>
  <w:style w:type="paragraph" w:customStyle="1" w:styleId="NormalWeb5">
    <w:name w:val="Normal (Web)5"/>
    <w:basedOn w:val="Normal"/>
    <w:rsid w:val="00D542E1"/>
    <w:rPr>
      <w:szCs w:val="24"/>
    </w:rPr>
  </w:style>
  <w:style w:type="paragraph" w:customStyle="1" w:styleId="Overskrift14">
    <w:name w:val="Overskrift 14"/>
    <w:basedOn w:val="Normal"/>
    <w:rsid w:val="00D542E1"/>
    <w:pPr>
      <w:spacing w:before="100" w:beforeAutospacing="1" w:after="100" w:afterAutospacing="1"/>
      <w:outlineLvl w:val="1"/>
    </w:pPr>
    <w:rPr>
      <w:b/>
      <w:bCs/>
      <w:kern w:val="36"/>
      <w:sz w:val="40"/>
      <w:szCs w:val="40"/>
    </w:rPr>
  </w:style>
  <w:style w:type="paragraph" w:customStyle="1" w:styleId="Overskrift24">
    <w:name w:val="Overskrift 24"/>
    <w:basedOn w:val="Normal"/>
    <w:rsid w:val="00D542E1"/>
    <w:pPr>
      <w:spacing w:before="100" w:beforeAutospacing="1" w:after="100" w:afterAutospacing="1"/>
      <w:outlineLvl w:val="2"/>
    </w:pPr>
    <w:rPr>
      <w:b/>
      <w:bCs/>
      <w:sz w:val="34"/>
      <w:szCs w:val="34"/>
    </w:rPr>
  </w:style>
  <w:style w:type="paragraph" w:customStyle="1" w:styleId="Overskrift34">
    <w:name w:val="Overskrift 34"/>
    <w:basedOn w:val="Normal"/>
    <w:rsid w:val="00D542E1"/>
    <w:pPr>
      <w:spacing w:before="100" w:beforeAutospacing="1" w:after="100" w:afterAutospacing="1"/>
      <w:outlineLvl w:val="3"/>
    </w:pPr>
    <w:rPr>
      <w:b/>
      <w:bCs/>
      <w:sz w:val="28"/>
      <w:szCs w:val="28"/>
    </w:rPr>
  </w:style>
  <w:style w:type="paragraph" w:customStyle="1" w:styleId="Overskrift53">
    <w:name w:val="Overskrift 53"/>
    <w:basedOn w:val="Normal"/>
    <w:rsid w:val="00D542E1"/>
    <w:pPr>
      <w:spacing w:before="100" w:beforeAutospacing="1" w:after="100" w:afterAutospacing="1"/>
      <w:outlineLvl w:val="5"/>
    </w:pPr>
    <w:rPr>
      <w:b/>
      <w:bCs/>
      <w:sz w:val="22"/>
      <w:szCs w:val="22"/>
    </w:rPr>
  </w:style>
  <w:style w:type="paragraph" w:customStyle="1" w:styleId="HTML-forhndsformatert1">
    <w:name w:val="HTML-forhåndsformatert1"/>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Overskrift15">
    <w:name w:val="Overskrift 15"/>
    <w:basedOn w:val="Normal"/>
    <w:rsid w:val="00D542E1"/>
    <w:pPr>
      <w:spacing w:before="100" w:beforeAutospacing="1"/>
      <w:outlineLvl w:val="1"/>
    </w:pPr>
    <w:rPr>
      <w:b/>
      <w:bCs/>
      <w:kern w:val="36"/>
      <w:sz w:val="40"/>
      <w:szCs w:val="40"/>
    </w:rPr>
  </w:style>
  <w:style w:type="paragraph" w:customStyle="1" w:styleId="Overskrift25">
    <w:name w:val="Overskrift 25"/>
    <w:basedOn w:val="Normal"/>
    <w:rsid w:val="00D542E1"/>
    <w:pPr>
      <w:spacing w:before="100" w:beforeAutospacing="1"/>
      <w:outlineLvl w:val="2"/>
    </w:pPr>
    <w:rPr>
      <w:b/>
      <w:bCs/>
      <w:sz w:val="34"/>
      <w:szCs w:val="34"/>
    </w:rPr>
  </w:style>
  <w:style w:type="paragraph" w:customStyle="1" w:styleId="Overskrift35">
    <w:name w:val="Overskrift 35"/>
    <w:basedOn w:val="Normal"/>
    <w:rsid w:val="00D542E1"/>
    <w:pPr>
      <w:spacing w:before="100" w:beforeAutospacing="1"/>
      <w:outlineLvl w:val="3"/>
    </w:pPr>
    <w:rPr>
      <w:b/>
      <w:bCs/>
      <w:sz w:val="28"/>
      <w:szCs w:val="28"/>
    </w:rPr>
  </w:style>
  <w:style w:type="paragraph" w:customStyle="1" w:styleId="Overskrift45">
    <w:name w:val="Overskrift 45"/>
    <w:basedOn w:val="Normal"/>
    <w:rsid w:val="00D542E1"/>
    <w:pPr>
      <w:spacing w:before="100" w:beforeAutospacing="1"/>
      <w:outlineLvl w:val="4"/>
    </w:pPr>
    <w:rPr>
      <w:b/>
      <w:bCs/>
      <w:szCs w:val="24"/>
    </w:rPr>
  </w:style>
  <w:style w:type="paragraph" w:customStyle="1" w:styleId="Overskrift54">
    <w:name w:val="Overskrift 54"/>
    <w:basedOn w:val="Normal"/>
    <w:rsid w:val="00D542E1"/>
    <w:pPr>
      <w:spacing w:before="100" w:beforeAutospacing="1"/>
      <w:outlineLvl w:val="5"/>
    </w:pPr>
    <w:rPr>
      <w:b/>
      <w:bCs/>
      <w:sz w:val="22"/>
      <w:szCs w:val="22"/>
    </w:rPr>
  </w:style>
  <w:style w:type="paragraph" w:customStyle="1" w:styleId="NormalWeb6">
    <w:name w:val="Normal (Web)6"/>
    <w:basedOn w:val="Normal"/>
    <w:rsid w:val="00D542E1"/>
    <w:pPr>
      <w:spacing w:after="100" w:afterAutospacing="1"/>
    </w:pPr>
    <w:rPr>
      <w:szCs w:val="24"/>
    </w:rPr>
  </w:style>
  <w:style w:type="paragraph" w:customStyle="1" w:styleId="Overskrift16">
    <w:name w:val="Overskrift 16"/>
    <w:basedOn w:val="Normal"/>
    <w:rsid w:val="00D542E1"/>
    <w:pPr>
      <w:spacing w:before="100" w:beforeAutospacing="1"/>
      <w:outlineLvl w:val="1"/>
    </w:pPr>
    <w:rPr>
      <w:b/>
      <w:bCs/>
      <w:kern w:val="36"/>
      <w:sz w:val="36"/>
      <w:szCs w:val="36"/>
    </w:rPr>
  </w:style>
  <w:style w:type="paragraph" w:customStyle="1" w:styleId="Overskrift26">
    <w:name w:val="Overskrift 26"/>
    <w:basedOn w:val="Normal"/>
    <w:rsid w:val="00D542E1"/>
    <w:pPr>
      <w:spacing w:before="100" w:beforeAutospacing="1"/>
      <w:outlineLvl w:val="2"/>
    </w:pPr>
    <w:rPr>
      <w:b/>
      <w:bCs/>
      <w:sz w:val="31"/>
      <w:szCs w:val="31"/>
    </w:rPr>
  </w:style>
  <w:style w:type="paragraph" w:customStyle="1" w:styleId="Overskrift36">
    <w:name w:val="Overskrift 36"/>
    <w:basedOn w:val="Normal"/>
    <w:rsid w:val="00D542E1"/>
    <w:pPr>
      <w:spacing w:before="100" w:beforeAutospacing="1"/>
      <w:outlineLvl w:val="3"/>
    </w:pPr>
    <w:rPr>
      <w:b/>
      <w:bCs/>
      <w:sz w:val="28"/>
      <w:szCs w:val="28"/>
    </w:rPr>
  </w:style>
  <w:style w:type="paragraph" w:customStyle="1" w:styleId="Overskrift46">
    <w:name w:val="Overskrift 46"/>
    <w:basedOn w:val="Normal"/>
    <w:rsid w:val="00D542E1"/>
    <w:pPr>
      <w:spacing w:before="100" w:beforeAutospacing="1"/>
      <w:outlineLvl w:val="4"/>
    </w:pPr>
    <w:rPr>
      <w:b/>
      <w:bCs/>
      <w:szCs w:val="24"/>
    </w:rPr>
  </w:style>
  <w:style w:type="paragraph" w:customStyle="1" w:styleId="Overskrift55">
    <w:name w:val="Overskrift 55"/>
    <w:basedOn w:val="Normal"/>
    <w:rsid w:val="00D542E1"/>
    <w:pPr>
      <w:spacing w:before="100" w:beforeAutospacing="1"/>
      <w:outlineLvl w:val="5"/>
    </w:pPr>
    <w:rPr>
      <w:b/>
      <w:bCs/>
      <w:sz w:val="23"/>
      <w:szCs w:val="23"/>
    </w:rPr>
  </w:style>
  <w:style w:type="paragraph" w:customStyle="1" w:styleId="NormalWeb7">
    <w:name w:val="Normal (Web)7"/>
    <w:basedOn w:val="Normal"/>
    <w:rsid w:val="00D542E1"/>
    <w:pPr>
      <w:spacing w:after="100" w:afterAutospacing="1"/>
    </w:pPr>
    <w:rPr>
      <w:szCs w:val="24"/>
    </w:rPr>
  </w:style>
  <w:style w:type="paragraph" w:customStyle="1" w:styleId="NormalWeb8">
    <w:name w:val="Normal (Web)8"/>
    <w:basedOn w:val="Normal"/>
    <w:rsid w:val="00D542E1"/>
    <w:rPr>
      <w:szCs w:val="24"/>
    </w:rPr>
  </w:style>
  <w:style w:type="paragraph" w:customStyle="1" w:styleId="Overskrift47">
    <w:name w:val="Overskrift 47"/>
    <w:basedOn w:val="Normal"/>
    <w:rsid w:val="00D542E1"/>
    <w:pPr>
      <w:outlineLvl w:val="4"/>
    </w:pPr>
    <w:rPr>
      <w:b/>
      <w:bCs/>
      <w:szCs w:val="24"/>
    </w:rPr>
  </w:style>
  <w:style w:type="paragraph" w:customStyle="1" w:styleId="Overskrift17">
    <w:name w:val="Overskrift 17"/>
    <w:basedOn w:val="Normal"/>
    <w:rsid w:val="00D542E1"/>
    <w:pPr>
      <w:spacing w:before="100" w:beforeAutospacing="1"/>
      <w:outlineLvl w:val="1"/>
    </w:pPr>
    <w:rPr>
      <w:b/>
      <w:bCs/>
      <w:kern w:val="36"/>
      <w:sz w:val="40"/>
      <w:szCs w:val="40"/>
    </w:rPr>
  </w:style>
  <w:style w:type="paragraph" w:customStyle="1" w:styleId="Overskrift27">
    <w:name w:val="Overskrift 27"/>
    <w:basedOn w:val="Normal"/>
    <w:rsid w:val="00D542E1"/>
    <w:pPr>
      <w:spacing w:before="100" w:beforeAutospacing="1"/>
      <w:outlineLvl w:val="2"/>
    </w:pPr>
    <w:rPr>
      <w:b/>
      <w:bCs/>
      <w:sz w:val="34"/>
      <w:szCs w:val="34"/>
    </w:rPr>
  </w:style>
  <w:style w:type="paragraph" w:customStyle="1" w:styleId="Overskrift37">
    <w:name w:val="Overskrift 37"/>
    <w:basedOn w:val="Normal"/>
    <w:rsid w:val="00D542E1"/>
    <w:pPr>
      <w:spacing w:before="100" w:beforeAutospacing="1"/>
      <w:outlineLvl w:val="3"/>
    </w:pPr>
    <w:rPr>
      <w:b/>
      <w:bCs/>
      <w:sz w:val="28"/>
      <w:szCs w:val="28"/>
    </w:rPr>
  </w:style>
  <w:style w:type="paragraph" w:customStyle="1" w:styleId="NormalWeb9">
    <w:name w:val="Normal (Web)9"/>
    <w:basedOn w:val="Normal"/>
    <w:rsid w:val="00D542E1"/>
    <w:rPr>
      <w:szCs w:val="24"/>
    </w:rPr>
  </w:style>
  <w:style w:type="paragraph" w:customStyle="1" w:styleId="NormalWeb10">
    <w:name w:val="Normal (Web)10"/>
    <w:basedOn w:val="Normal"/>
    <w:rsid w:val="00D542E1"/>
    <w:rPr>
      <w:szCs w:val="24"/>
    </w:rPr>
  </w:style>
  <w:style w:type="paragraph" w:customStyle="1" w:styleId="Overskrift18">
    <w:name w:val="Overskrift 18"/>
    <w:basedOn w:val="Normal"/>
    <w:rsid w:val="00D542E1"/>
    <w:pPr>
      <w:spacing w:before="100" w:beforeAutospacing="1" w:after="100" w:afterAutospacing="1"/>
      <w:outlineLvl w:val="1"/>
    </w:pPr>
    <w:rPr>
      <w:b/>
      <w:bCs/>
      <w:kern w:val="36"/>
      <w:sz w:val="40"/>
      <w:szCs w:val="40"/>
    </w:rPr>
  </w:style>
  <w:style w:type="paragraph" w:customStyle="1" w:styleId="Overskrift28">
    <w:name w:val="Overskrift 28"/>
    <w:basedOn w:val="Normal"/>
    <w:rsid w:val="00D542E1"/>
    <w:pPr>
      <w:spacing w:before="100" w:beforeAutospacing="1" w:after="100" w:afterAutospacing="1"/>
      <w:outlineLvl w:val="2"/>
    </w:pPr>
    <w:rPr>
      <w:b/>
      <w:bCs/>
      <w:sz w:val="34"/>
      <w:szCs w:val="34"/>
    </w:rPr>
  </w:style>
  <w:style w:type="paragraph" w:customStyle="1" w:styleId="Overskrift56">
    <w:name w:val="Overskrift 56"/>
    <w:basedOn w:val="Normal"/>
    <w:rsid w:val="00D542E1"/>
    <w:pPr>
      <w:spacing w:before="100" w:beforeAutospacing="1" w:after="100" w:afterAutospacing="1"/>
      <w:outlineLvl w:val="5"/>
    </w:pPr>
    <w:rPr>
      <w:b/>
      <w:bCs/>
      <w:sz w:val="22"/>
      <w:szCs w:val="22"/>
    </w:rPr>
  </w:style>
  <w:style w:type="paragraph" w:customStyle="1" w:styleId="HTML-forhndsformatert2">
    <w:name w:val="HTML-forhåndsformatert2"/>
    <w:basedOn w:val="Normal"/>
    <w:rsid w:val="00D5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sz w:val="20"/>
    </w:rPr>
  </w:style>
  <w:style w:type="paragraph" w:customStyle="1" w:styleId="Default">
    <w:name w:val="Default"/>
    <w:rsid w:val="00D542E1"/>
    <w:pPr>
      <w:autoSpaceDE w:val="0"/>
      <w:autoSpaceDN w:val="0"/>
      <w:adjustRightInd w:val="0"/>
    </w:pPr>
    <w:rPr>
      <w:color w:val="000000"/>
      <w:sz w:val="24"/>
      <w:szCs w:val="24"/>
    </w:rPr>
  </w:style>
  <w:style w:type="paragraph" w:styleId="Merknadstekst">
    <w:name w:val="annotation text"/>
    <w:basedOn w:val="Normal"/>
    <w:link w:val="MerknadstekstTegn"/>
    <w:rsid w:val="005B3209"/>
    <w:rPr>
      <w:sz w:val="20"/>
    </w:rPr>
  </w:style>
  <w:style w:type="character" w:customStyle="1" w:styleId="MerknadstekstTegn">
    <w:name w:val="Merknadstekst Tegn"/>
    <w:basedOn w:val="Standardskriftforavsnitt"/>
    <w:link w:val="Merknadstekst"/>
    <w:rsid w:val="005B3209"/>
    <w:rPr>
      <w:rFonts w:ascii="Times" w:eastAsia="Batang" w:hAnsi="Times"/>
    </w:rPr>
  </w:style>
  <w:style w:type="paragraph" w:styleId="Kommentaremne">
    <w:name w:val="annotation subject"/>
    <w:basedOn w:val="Merknadstekst"/>
    <w:next w:val="Merknadstekst"/>
    <w:link w:val="KommentaremneTegn"/>
    <w:uiPriority w:val="99"/>
    <w:unhideWhenUsed/>
    <w:rsid w:val="005B3209"/>
    <w:rPr>
      <w:b/>
      <w:bCs/>
    </w:rPr>
  </w:style>
  <w:style w:type="character" w:customStyle="1" w:styleId="KommentaremneTegn">
    <w:name w:val="Kommentaremne Tegn"/>
    <w:basedOn w:val="MerknadstekstTegn"/>
    <w:link w:val="Kommentaremne"/>
    <w:uiPriority w:val="99"/>
    <w:rsid w:val="005B3209"/>
    <w:rPr>
      <w:rFonts w:ascii="Times" w:eastAsia="Batang" w:hAnsi="Times"/>
      <w:b/>
      <w:bCs/>
    </w:rPr>
  </w:style>
  <w:style w:type="paragraph" w:customStyle="1" w:styleId="k-a3">
    <w:name w:val="k-a3"/>
    <w:basedOn w:val="Normal"/>
    <w:rsid w:val="00D542E1"/>
    <w:pPr>
      <w:shd w:val="clear" w:color="auto" w:fill="FFFFFF"/>
      <w:spacing w:line="336" w:lineRule="atLeast"/>
    </w:pPr>
    <w:rPr>
      <w:szCs w:val="24"/>
    </w:rPr>
  </w:style>
  <w:style w:type="paragraph" w:customStyle="1" w:styleId="k-a2">
    <w:name w:val="k-a2"/>
    <w:basedOn w:val="Normal"/>
    <w:rsid w:val="00D542E1"/>
    <w:pPr>
      <w:shd w:val="clear" w:color="auto" w:fill="FFFFFF"/>
      <w:spacing w:line="336" w:lineRule="atLeast"/>
    </w:pPr>
    <w:rPr>
      <w:szCs w:val="24"/>
    </w:rPr>
  </w:style>
  <w:style w:type="paragraph" w:customStyle="1" w:styleId="H2">
    <w:name w:val="H2"/>
    <w:basedOn w:val="Normal"/>
    <w:next w:val="Normal"/>
    <w:rsid w:val="00D542E1"/>
    <w:pPr>
      <w:keepNext/>
      <w:autoSpaceDE w:val="0"/>
      <w:autoSpaceDN w:val="0"/>
      <w:adjustRightInd w:val="0"/>
      <w:spacing w:before="100" w:after="100"/>
      <w:outlineLvl w:val="2"/>
    </w:pPr>
    <w:rPr>
      <w:b/>
      <w:bCs/>
      <w:sz w:val="36"/>
      <w:szCs w:val="36"/>
      <w:lang w:val="nn-NO"/>
    </w:rPr>
  </w:style>
  <w:style w:type="paragraph" w:customStyle="1" w:styleId="Num-liste2">
    <w:name w:val="Num-liste 2"/>
    <w:basedOn w:val="Num-liste"/>
    <w:rsid w:val="00D542E1"/>
    <w:pPr>
      <w:tabs>
        <w:tab w:val="left" w:pos="363"/>
        <w:tab w:val="num" w:pos="726"/>
      </w:tabs>
      <w:ind w:left="726" w:hanging="363"/>
    </w:pPr>
    <w:rPr>
      <w:lang w:val="en-GB"/>
    </w:rPr>
  </w:style>
  <w:style w:type="paragraph" w:customStyle="1" w:styleId="Num-liste3">
    <w:name w:val="Num-liste 3"/>
    <w:basedOn w:val="Normal"/>
    <w:rsid w:val="00D542E1"/>
    <w:pPr>
      <w:tabs>
        <w:tab w:val="num" w:pos="1089"/>
      </w:tabs>
      <w:ind w:left="1089" w:hanging="363"/>
    </w:pPr>
  </w:style>
  <w:style w:type="paragraph" w:styleId="Revisjon">
    <w:name w:val="Revision"/>
    <w:hidden/>
    <w:uiPriority w:val="99"/>
    <w:semiHidden/>
    <w:rsid w:val="00D542E1"/>
    <w:rPr>
      <w:sz w:val="24"/>
    </w:rPr>
  </w:style>
  <w:style w:type="paragraph" w:styleId="Overskriftforinnholdsfortegnelse">
    <w:name w:val="TOC Heading"/>
    <w:basedOn w:val="Overskrift1"/>
    <w:next w:val="Normal"/>
    <w:uiPriority w:val="39"/>
    <w:unhideWhenUsed/>
    <w:qFormat/>
    <w:rsid w:val="005B3209"/>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k-a7">
    <w:name w:val="k-a7"/>
    <w:basedOn w:val="Normal"/>
    <w:rsid w:val="00D542E1"/>
    <w:pPr>
      <w:spacing w:line="312" w:lineRule="atLeast"/>
    </w:pPr>
    <w:rPr>
      <w:szCs w:val="24"/>
    </w:rPr>
  </w:style>
  <w:style w:type="paragraph" w:styleId="Listeavsnitt">
    <w:name w:val="List Paragraph"/>
    <w:basedOn w:val="Normal"/>
    <w:link w:val="ListeavsnittTegn"/>
    <w:uiPriority w:val="34"/>
    <w:qFormat/>
    <w:rsid w:val="005B3209"/>
    <w:pPr>
      <w:spacing w:before="60" w:after="0" w:line="276" w:lineRule="auto"/>
      <w:ind w:left="397"/>
    </w:pPr>
    <w:rPr>
      <w:rFonts w:ascii="Times New Roman" w:eastAsia="Times New Roman" w:hAnsi="Times New Roman" w:cstheme="minorBidi"/>
      <w:szCs w:val="22"/>
    </w:rPr>
  </w:style>
  <w:style w:type="character" w:customStyle="1" w:styleId="Overskrift3Tegn2">
    <w:name w:val="Overskrift 3 Tegn2"/>
    <w:aliases w:val="Overskrift 3 Tegn Tegn3,Overskrift 3 Tegn Tegn4"/>
    <w:basedOn w:val="Standardskriftforavsnitt"/>
    <w:rsid w:val="00D542E1"/>
    <w:rPr>
      <w:b/>
      <w:sz w:val="26"/>
    </w:rPr>
  </w:style>
  <w:style w:type="character" w:styleId="Merknadsreferanse">
    <w:name w:val="annotation reference"/>
    <w:basedOn w:val="Standardskriftforavsnitt"/>
    <w:rsid w:val="005B3209"/>
    <w:rPr>
      <w:sz w:val="16"/>
    </w:rPr>
  </w:style>
  <w:style w:type="character" w:customStyle="1" w:styleId="Overskrift3Tegn1">
    <w:name w:val="Overskrift 3 Tegn1"/>
    <w:aliases w:val="Overskrift 3 Tegn Tegn1"/>
    <w:basedOn w:val="Standardskriftforavsnitt"/>
    <w:rsid w:val="00D542E1"/>
    <w:rPr>
      <w:b/>
      <w:sz w:val="26"/>
      <w:lang w:val="nb-NO" w:eastAsia="nb-NO" w:bidi="ar-SA"/>
    </w:rPr>
  </w:style>
  <w:style w:type="character" w:customStyle="1" w:styleId="Kursiv0">
    <w:name w:val="Kursiv"/>
    <w:basedOn w:val="Standardskriftforavsnitt"/>
    <w:rsid w:val="00D542E1"/>
    <w:rPr>
      <w:i/>
    </w:rPr>
  </w:style>
  <w:style w:type="character" w:customStyle="1" w:styleId="brodtekst1">
    <w:name w:val="brodtekst1"/>
    <w:basedOn w:val="Standardskriftforavsnitt"/>
    <w:rsid w:val="00D542E1"/>
    <w:rPr>
      <w:rFonts w:ascii="Arial" w:hAnsi="Arial" w:cs="Arial" w:hint="default"/>
      <w:b w:val="0"/>
      <w:bCs w:val="0"/>
      <w:sz w:val="20"/>
      <w:szCs w:val="20"/>
    </w:rPr>
  </w:style>
  <w:style w:type="character" w:customStyle="1" w:styleId="Overskrift2TegnTegnTegnTegn1">
    <w:name w:val="Overskrift 2 Tegn Tegn Tegn Tegn1"/>
    <w:basedOn w:val="Standardskriftforavsnitt"/>
    <w:rsid w:val="00D542E1"/>
    <w:rPr>
      <w:b/>
      <w:bCs/>
      <w:sz w:val="28"/>
      <w:szCs w:val="28"/>
      <w:lang w:val="nb-NO" w:eastAsia="nb-NO"/>
    </w:rPr>
  </w:style>
  <w:style w:type="character" w:customStyle="1" w:styleId="ingress0">
    <w:name w:val="ingress"/>
    <w:basedOn w:val="Standardskriftforavsnitt"/>
    <w:rsid w:val="00D542E1"/>
  </w:style>
  <w:style w:type="character" w:styleId="Hyperkobling">
    <w:name w:val="Hyperlink"/>
    <w:basedOn w:val="Standardskriftforavsnitt"/>
    <w:uiPriority w:val="99"/>
    <w:unhideWhenUsed/>
    <w:rsid w:val="005B3209"/>
    <w:rPr>
      <w:color w:val="0000FF" w:themeColor="hyperlink"/>
      <w:u w:val="single"/>
    </w:rPr>
  </w:style>
  <w:style w:type="character" w:customStyle="1" w:styleId="innhold1">
    <w:name w:val="innhold1"/>
    <w:basedOn w:val="Standardskriftforavsnitt"/>
    <w:rsid w:val="00D542E1"/>
    <w:rPr>
      <w:rFonts w:ascii="Verdana" w:hAnsi="Verdana" w:hint="default"/>
      <w:color w:val="000000"/>
      <w:sz w:val="20"/>
      <w:szCs w:val="20"/>
    </w:rPr>
  </w:style>
  <w:style w:type="character" w:customStyle="1" w:styleId="artingress1">
    <w:name w:val="art_ingress1"/>
    <w:basedOn w:val="Standardskriftforavsnitt"/>
    <w:rsid w:val="00D542E1"/>
    <w:rPr>
      <w:rFonts w:ascii="Verdana" w:hAnsi="Verdana" w:hint="default"/>
      <w:b/>
      <w:bCs/>
      <w:color w:val="333333"/>
      <w:sz w:val="18"/>
      <w:szCs w:val="18"/>
    </w:rPr>
  </w:style>
  <w:style w:type="character" w:customStyle="1" w:styleId="Overskrift4TegnTegn">
    <w:name w:val="Overskrift 4 Tegn Tegn"/>
    <w:basedOn w:val="Standardskriftforavsnitt"/>
    <w:rsid w:val="00D542E1"/>
    <w:rPr>
      <w:i/>
      <w:iCs/>
      <w:sz w:val="24"/>
      <w:szCs w:val="24"/>
      <w:lang w:val="nb-NO" w:eastAsia="nb-NO"/>
    </w:rPr>
  </w:style>
  <w:style w:type="character" w:customStyle="1" w:styleId="sitatTegnTegn">
    <w:name w:val="sitat Tegn Tegn"/>
    <w:basedOn w:val="Standardskriftforavsnitt"/>
    <w:rsid w:val="00D542E1"/>
    <w:rPr>
      <w:spacing w:val="-12"/>
      <w:kern w:val="0"/>
    </w:rPr>
  </w:style>
  <w:style w:type="character" w:customStyle="1" w:styleId="sitatTegn0">
    <w:name w:val="sitat Tegn"/>
    <w:basedOn w:val="NormalsitatTegnTegn"/>
    <w:rsid w:val="00D542E1"/>
    <w:rPr>
      <w:b/>
      <w:bCs/>
      <w:sz w:val="24"/>
      <w:szCs w:val="24"/>
      <w:lang w:val="nb-NO" w:eastAsia="nb-NO"/>
    </w:rPr>
  </w:style>
  <w:style w:type="character" w:customStyle="1" w:styleId="NormalsitatTegnTegn">
    <w:name w:val="Normal sitat Tegn Tegn"/>
    <w:basedOn w:val="Standardskriftforavsnitt"/>
    <w:rsid w:val="00D542E1"/>
    <w:rPr>
      <w:b/>
      <w:bCs/>
      <w:sz w:val="24"/>
      <w:szCs w:val="24"/>
      <w:lang w:val="nb-NO" w:eastAsia="nb-NO"/>
    </w:rPr>
  </w:style>
  <w:style w:type="character" w:customStyle="1" w:styleId="Tegn">
    <w:name w:val="Tegn"/>
    <w:basedOn w:val="Standardskriftforavsnitt"/>
    <w:rsid w:val="00D542E1"/>
    <w:rPr>
      <w:i/>
      <w:iCs/>
      <w:sz w:val="28"/>
      <w:szCs w:val="28"/>
      <w:lang w:val="nb-NO" w:eastAsia="nb-NO"/>
    </w:rPr>
  </w:style>
  <w:style w:type="character" w:customStyle="1" w:styleId="Overskrift5Tegn2">
    <w:name w:val="Overskrift 5 Tegn2"/>
    <w:basedOn w:val="Standardskriftforavsnitt"/>
    <w:rsid w:val="00D542E1"/>
    <w:rPr>
      <w:b/>
      <w:bCs/>
      <w:i/>
      <w:iCs/>
      <w:sz w:val="26"/>
      <w:szCs w:val="26"/>
      <w:lang w:val="nb-NO" w:eastAsia="nb-NO"/>
    </w:rPr>
  </w:style>
  <w:style w:type="character" w:customStyle="1" w:styleId="Overskrift5Tegn1">
    <w:name w:val="Overskrift 5 Tegn1"/>
    <w:basedOn w:val="Standardskriftforavsnitt"/>
    <w:rsid w:val="00D542E1"/>
    <w:rPr>
      <w:i/>
      <w:iCs/>
      <w:sz w:val="24"/>
      <w:szCs w:val="24"/>
      <w:lang w:val="nb-NO" w:eastAsia="nb-NO"/>
    </w:rPr>
  </w:style>
  <w:style w:type="character" w:customStyle="1" w:styleId="TegnTegn">
    <w:name w:val="Tegn Tegn"/>
    <w:basedOn w:val="Standardskriftforavsnitt"/>
    <w:rsid w:val="00D542E1"/>
    <w:rPr>
      <w:b/>
      <w:sz w:val="26"/>
      <w:lang w:val="nb-NO" w:eastAsia="nb-NO" w:bidi="ar-SA"/>
    </w:rPr>
  </w:style>
  <w:style w:type="character" w:styleId="Fulgthyperkobling">
    <w:name w:val="FollowedHyperlink"/>
    <w:basedOn w:val="Standardskriftforavsnitt"/>
    <w:uiPriority w:val="99"/>
    <w:unhideWhenUsed/>
    <w:rsid w:val="005B3209"/>
    <w:rPr>
      <w:color w:val="800080" w:themeColor="followedHyperlink"/>
      <w:u w:val="single"/>
    </w:rPr>
  </w:style>
  <w:style w:type="character" w:customStyle="1" w:styleId="Tegn3">
    <w:name w:val="Tegn3"/>
    <w:basedOn w:val="Standardskriftforavsnitt"/>
    <w:uiPriority w:val="99"/>
    <w:rsid w:val="00D542E1"/>
    <w:rPr>
      <w:b/>
      <w:sz w:val="32"/>
      <w:lang w:val="nb-NO" w:eastAsia="nb-NO" w:bidi="ar-SA"/>
    </w:rPr>
  </w:style>
  <w:style w:type="character" w:customStyle="1" w:styleId="menucontainer1">
    <w:name w:val="menucontainer1"/>
    <w:basedOn w:val="Standardskriftforavsnitt"/>
    <w:rsid w:val="00D542E1"/>
    <w:rPr>
      <w:rFonts w:ascii="Arial" w:hAnsi="Arial" w:cs="Arial" w:hint="default"/>
      <w:strike w:val="0"/>
      <w:dstrike w:val="0"/>
      <w:color w:val="000000"/>
      <w:sz w:val="18"/>
      <w:szCs w:val="18"/>
      <w:u w:val="none"/>
      <w:effect w:val="none"/>
    </w:rPr>
  </w:style>
  <w:style w:type="character" w:customStyle="1" w:styleId="Tegn1">
    <w:name w:val="Tegn1"/>
    <w:basedOn w:val="Standardskriftforavsnitt"/>
    <w:rsid w:val="00D542E1"/>
    <w:rPr>
      <w:b/>
      <w:sz w:val="32"/>
      <w:lang w:val="nb-NO" w:eastAsia="nb-NO" w:bidi="ar-SA"/>
    </w:rPr>
  </w:style>
  <w:style w:type="character" w:customStyle="1" w:styleId="Overskrift3TegnTegn2">
    <w:name w:val="Overskrift 3 Tegn Tegn2"/>
    <w:basedOn w:val="Standardskriftforavsnitt"/>
    <w:rsid w:val="00D542E1"/>
    <w:rPr>
      <w:b/>
      <w:sz w:val="26"/>
      <w:lang w:val="nb-NO" w:eastAsia="nb-NO" w:bidi="ar-SA"/>
    </w:rPr>
  </w:style>
  <w:style w:type="character" w:customStyle="1" w:styleId="body1">
    <w:name w:val="body1"/>
    <w:basedOn w:val="Standardskriftforavsnitt"/>
    <w:rsid w:val="00D542E1"/>
    <w:rPr>
      <w:rFonts w:ascii="Verdana" w:hAnsi="Verdana" w:hint="default"/>
      <w:sz w:val="17"/>
      <w:szCs w:val="17"/>
    </w:rPr>
  </w:style>
  <w:style w:type="character" w:customStyle="1" w:styleId="caption1">
    <w:name w:val="caption1"/>
    <w:basedOn w:val="Standardskriftforavsnitt"/>
    <w:rsid w:val="00D542E1"/>
    <w:rPr>
      <w:rFonts w:ascii="Verdana" w:hAnsi="Verdana" w:hint="default"/>
      <w:b/>
      <w:bCs/>
      <w:color w:val="000000"/>
      <w:sz w:val="22"/>
      <w:szCs w:val="22"/>
    </w:rPr>
  </w:style>
  <w:style w:type="character" w:customStyle="1" w:styleId="Overskrift3TegnTegnTegn">
    <w:name w:val="Overskrift 3 Tegn Tegn Tegn"/>
    <w:basedOn w:val="Standardskriftforavsnitt"/>
    <w:rsid w:val="00D542E1"/>
    <w:rPr>
      <w:b/>
      <w:sz w:val="26"/>
      <w:lang w:val="nb-NO" w:eastAsia="nb-NO" w:bidi="ar-SA"/>
    </w:rPr>
  </w:style>
  <w:style w:type="character" w:customStyle="1" w:styleId="Fulgthyperkobling1">
    <w:name w:val="Fulgt hyperkobling1"/>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2">
    <w:name w:val="Fulgt hyperkobling2"/>
    <w:basedOn w:val="Standardskriftforavsnitt"/>
    <w:rsid w:val="00D542E1"/>
    <w:rPr>
      <w:strike w:val="0"/>
      <w:dstrike w:val="0"/>
      <w:vanish w:val="0"/>
      <w:webHidden w:val="0"/>
      <w:color w:val="000000"/>
      <w:sz w:val="24"/>
      <w:szCs w:val="24"/>
      <w:u w:val="none"/>
      <w:effect w:val="none"/>
      <w:specVanish w:val="0"/>
    </w:rPr>
  </w:style>
  <w:style w:type="character" w:customStyle="1" w:styleId="Sterk1">
    <w:name w:val="Sterk1"/>
    <w:basedOn w:val="Standardskriftforavsnitt"/>
    <w:rsid w:val="00D542E1"/>
    <w:rPr>
      <w:b w:val="0"/>
      <w:bCs w:val="0"/>
    </w:rPr>
  </w:style>
  <w:style w:type="character" w:customStyle="1" w:styleId="Sterk2">
    <w:name w:val="Sterk2"/>
    <w:basedOn w:val="Standardskriftforavsnitt"/>
    <w:rsid w:val="00D542E1"/>
    <w:rPr>
      <w:b w:val="0"/>
      <w:bCs w:val="0"/>
    </w:rPr>
  </w:style>
  <w:style w:type="character" w:customStyle="1" w:styleId="Hyperkobling1">
    <w:name w:val="Hyperkobling1"/>
    <w:basedOn w:val="Standardskriftforavsnitt"/>
    <w:rsid w:val="00D542E1"/>
    <w:rPr>
      <w:strike w:val="0"/>
      <w:dstrike w:val="0"/>
      <w:color w:val="000066"/>
      <w:u w:val="none"/>
      <w:effect w:val="none"/>
    </w:rPr>
  </w:style>
  <w:style w:type="character" w:customStyle="1" w:styleId="Fulgthyperkobling3">
    <w:name w:val="Fulgt hyperkobling3"/>
    <w:basedOn w:val="Standardskriftforavsnitt"/>
    <w:rsid w:val="00D542E1"/>
    <w:rPr>
      <w:strike w:val="0"/>
      <w:dstrike w:val="0"/>
      <w:color w:val="000066"/>
      <w:u w:val="none"/>
      <w:effect w:val="none"/>
    </w:rPr>
  </w:style>
  <w:style w:type="character" w:customStyle="1" w:styleId="Fulgthyperkobling4">
    <w:name w:val="Fulgt hyperkobling4"/>
    <w:basedOn w:val="Standardskriftforavsnitt"/>
    <w:rsid w:val="00D542E1"/>
    <w:rPr>
      <w:strike w:val="0"/>
      <w:dstrike w:val="0"/>
      <w:color w:val="000000"/>
      <w:u w:val="none"/>
      <w:effect w:val="none"/>
    </w:rPr>
  </w:style>
  <w:style w:type="character" w:customStyle="1" w:styleId="Fulgthyperkobling5">
    <w:name w:val="Fulgt hyperkobling5"/>
    <w:basedOn w:val="Standardskriftforavsnitt"/>
    <w:rsid w:val="00D542E1"/>
    <w:rPr>
      <w:strike w:val="0"/>
      <w:dstrike w:val="0"/>
      <w:vanish w:val="0"/>
      <w:webHidden w:val="0"/>
      <w:color w:val="000000"/>
      <w:sz w:val="24"/>
      <w:szCs w:val="24"/>
      <w:u w:val="none"/>
      <w:effect w:val="none"/>
      <w:specVanish w:val="0"/>
    </w:rPr>
  </w:style>
  <w:style w:type="character" w:customStyle="1" w:styleId="Fulgthyperkobling6">
    <w:name w:val="Fulgt hyperkobling6"/>
    <w:basedOn w:val="Standardskriftforavsnitt"/>
    <w:rsid w:val="00D542E1"/>
    <w:rPr>
      <w:strike w:val="0"/>
      <w:dstrike w:val="0"/>
      <w:vanish w:val="0"/>
      <w:webHidden w:val="0"/>
      <w:color w:val="000000"/>
      <w:sz w:val="24"/>
      <w:szCs w:val="24"/>
      <w:u w:val="none"/>
      <w:effect w:val="none"/>
      <w:specVanish w:val="0"/>
    </w:rPr>
  </w:style>
  <w:style w:type="character" w:customStyle="1" w:styleId="Sterk3">
    <w:name w:val="Sterk3"/>
    <w:basedOn w:val="Standardskriftforavsnitt"/>
    <w:rsid w:val="00D542E1"/>
    <w:rPr>
      <w:b w:val="0"/>
      <w:bCs w:val="0"/>
    </w:rPr>
  </w:style>
  <w:style w:type="character" w:customStyle="1" w:styleId="Sterk4">
    <w:name w:val="Sterk4"/>
    <w:basedOn w:val="Standardskriftforavsnitt"/>
    <w:rsid w:val="00D542E1"/>
    <w:rPr>
      <w:b w:val="0"/>
      <w:bCs w:val="0"/>
    </w:rPr>
  </w:style>
  <w:style w:type="character" w:customStyle="1" w:styleId="Hyperkobling2">
    <w:name w:val="Hyperkobling2"/>
    <w:basedOn w:val="Standardskriftforavsnitt"/>
    <w:rsid w:val="00D542E1"/>
    <w:rPr>
      <w:strike w:val="0"/>
      <w:dstrike w:val="0"/>
      <w:color w:val="000066"/>
      <w:u w:val="none"/>
      <w:effect w:val="none"/>
    </w:rPr>
  </w:style>
  <w:style w:type="character" w:customStyle="1" w:styleId="Fulgthyperkobling7">
    <w:name w:val="Fulgt hyperkobling7"/>
    <w:basedOn w:val="Standardskriftforavsnitt"/>
    <w:rsid w:val="00D542E1"/>
    <w:rPr>
      <w:strike w:val="0"/>
      <w:dstrike w:val="0"/>
      <w:color w:val="000066"/>
      <w:u w:val="none"/>
      <w:effect w:val="none"/>
    </w:rPr>
  </w:style>
  <w:style w:type="character" w:customStyle="1" w:styleId="Fulgthyperkobling8">
    <w:name w:val="Fulgt hyperkobling8"/>
    <w:basedOn w:val="Standardskriftforavsnitt"/>
    <w:rsid w:val="00D542E1"/>
    <w:rPr>
      <w:strike w:val="0"/>
      <w:dstrike w:val="0"/>
      <w:color w:val="000000"/>
      <w:u w:val="none"/>
      <w:effect w:val="none"/>
    </w:rPr>
  </w:style>
  <w:style w:type="character" w:customStyle="1" w:styleId="Overskrift1Tegn1">
    <w:name w:val="Overskrift 1 Tegn1"/>
    <w:basedOn w:val="Standardskriftforavsnitt"/>
    <w:rsid w:val="00D542E1"/>
    <w:rPr>
      <w:b/>
      <w:sz w:val="32"/>
    </w:rPr>
  </w:style>
  <w:style w:type="character" w:customStyle="1" w:styleId="TegnTegn2">
    <w:name w:val="Tegn Tegn2"/>
    <w:basedOn w:val="Standardskriftforavsnitt"/>
    <w:uiPriority w:val="99"/>
    <w:rsid w:val="00D542E1"/>
    <w:rPr>
      <w:b/>
      <w:sz w:val="26"/>
      <w:lang w:val="nb-NO" w:eastAsia="nb-NO" w:bidi="ar-SA"/>
    </w:rPr>
  </w:style>
  <w:style w:type="character" w:customStyle="1" w:styleId="Tegn12">
    <w:name w:val="Tegn12"/>
    <w:basedOn w:val="Standardskriftforavsnitt"/>
    <w:uiPriority w:val="99"/>
    <w:rsid w:val="00D542E1"/>
    <w:rPr>
      <w:b/>
      <w:sz w:val="32"/>
      <w:lang w:val="nb-NO" w:eastAsia="nb-NO" w:bidi="ar-SA"/>
    </w:rPr>
  </w:style>
  <w:style w:type="character" w:customStyle="1" w:styleId="k-text">
    <w:name w:val="k-text"/>
    <w:basedOn w:val="Standardskriftforavsnitt"/>
    <w:rsid w:val="00D542E1"/>
    <w:rPr>
      <w:shd w:val="clear" w:color="auto" w:fill="FFFFFF"/>
    </w:rPr>
  </w:style>
  <w:style w:type="character" w:customStyle="1" w:styleId="Overskrift3Overskrift3TegnTegn">
    <w:name w:val="Overskrift 3;Overskrift 3 Tegn Tegn"/>
    <w:basedOn w:val="Standardskriftforavsnitt"/>
    <w:rsid w:val="00D542E1"/>
    <w:rPr>
      <w:b/>
      <w:sz w:val="26"/>
      <w:lang w:val="nb-NO" w:eastAsia="nb-NO" w:bidi="ar-SA"/>
    </w:rPr>
  </w:style>
  <w:style w:type="table" w:styleId="Tabelltemaer">
    <w:name w:val="Table Theme"/>
    <w:basedOn w:val="Vanligtabell"/>
    <w:uiPriority w:val="99"/>
    <w:semiHidden/>
    <w:unhideWhenUsed/>
    <w:rsid w:val="005B320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
    <w:name w:val="Def"/>
    <w:basedOn w:val="NormalWeb"/>
    <w:qFormat/>
    <w:rsid w:val="005B3209"/>
  </w:style>
  <w:style w:type="paragraph" w:customStyle="1" w:styleId="figur-noter">
    <w:name w:val="figur-noter"/>
    <w:basedOn w:val="Normal"/>
    <w:next w:val="Normal"/>
    <w:rsid w:val="005B3209"/>
    <w:pPr>
      <w:tabs>
        <w:tab w:val="left" w:pos="284"/>
      </w:tabs>
      <w:spacing w:before="120"/>
      <w:contextualSpacing/>
    </w:pPr>
    <w:rPr>
      <w:rFonts w:cstheme="minorBidi"/>
      <w:sz w:val="20"/>
    </w:rPr>
  </w:style>
  <w:style w:type="character" w:customStyle="1" w:styleId="l-endring">
    <w:name w:val="l-endring"/>
    <w:basedOn w:val="Standardskriftforavsnitt"/>
    <w:rsid w:val="005B3209"/>
    <w:rPr>
      <w:i/>
    </w:rPr>
  </w:style>
  <w:style w:type="paragraph" w:customStyle="1" w:styleId="l-lovdeltit">
    <w:name w:val="l-lovdeltit"/>
    <w:basedOn w:val="Normal"/>
    <w:next w:val="Normal"/>
    <w:rsid w:val="005B3209"/>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5B3209"/>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5B3209"/>
    <w:pPr>
      <w:keepNext/>
      <w:spacing w:before="120" w:after="60" w:line="276" w:lineRule="auto"/>
    </w:pPr>
    <w:rPr>
      <w:rFonts w:ascii="Times New Roman" w:eastAsia="Times New Roman" w:hAnsi="Times New Roman" w:cstheme="minorBidi"/>
      <w:b/>
      <w:spacing w:val="4"/>
      <w:szCs w:val="22"/>
    </w:rPr>
  </w:style>
  <w:style w:type="paragraph" w:customStyle="1" w:styleId="l-paragraf">
    <w:name w:val="l-paragraf"/>
    <w:basedOn w:val="Normal"/>
    <w:next w:val="Normal"/>
    <w:rsid w:val="005B3209"/>
    <w:pPr>
      <w:spacing w:before="180" w:after="0" w:line="276" w:lineRule="auto"/>
    </w:pPr>
    <w:rPr>
      <w:rFonts w:eastAsia="Times New Roman" w:cstheme="minorBidi"/>
      <w:i/>
      <w:spacing w:val="4"/>
      <w:szCs w:val="22"/>
    </w:rPr>
  </w:style>
  <w:style w:type="paragraph" w:customStyle="1" w:styleId="ramme-noter">
    <w:name w:val="ramme-noter"/>
    <w:basedOn w:val="Normal"/>
    <w:next w:val="Normal"/>
    <w:rsid w:val="005B3209"/>
    <w:pPr>
      <w:tabs>
        <w:tab w:val="left" w:pos="284"/>
      </w:tabs>
      <w:spacing w:before="120"/>
      <w:contextualSpacing/>
    </w:pPr>
    <w:rPr>
      <w:rFonts w:cstheme="minorBidi"/>
      <w:sz w:val="20"/>
    </w:rPr>
  </w:style>
  <w:style w:type="paragraph" w:customStyle="1" w:styleId="Ramme-slutt">
    <w:name w:val="Ramme-slutt"/>
    <w:basedOn w:val="Normal"/>
    <w:autoRedefine/>
    <w:rsid w:val="005B3209"/>
    <w:pPr>
      <w:spacing w:before="120"/>
    </w:pPr>
    <w:rPr>
      <w:b/>
      <w:color w:val="800000"/>
    </w:rPr>
  </w:style>
  <w:style w:type="character" w:customStyle="1" w:styleId="sperret">
    <w:name w:val="sperret"/>
    <w:basedOn w:val="Standardskriftforavsnitt"/>
    <w:rsid w:val="005B3209"/>
    <w:rPr>
      <w:spacing w:val="30"/>
    </w:rPr>
  </w:style>
  <w:style w:type="character" w:customStyle="1" w:styleId="Stikkord">
    <w:name w:val="Stikkord"/>
    <w:basedOn w:val="Standardskriftforavsnitt"/>
    <w:qFormat/>
    <w:rsid w:val="005B3209"/>
    <w:rPr>
      <w:color w:val="0070C0"/>
    </w:rPr>
  </w:style>
  <w:style w:type="paragraph" w:customStyle="1" w:styleId="Tabellnavn">
    <w:name w:val="Tabellnavn"/>
    <w:basedOn w:val="NormalWeb"/>
    <w:qFormat/>
    <w:rsid w:val="005B3209"/>
    <w:rPr>
      <w:vanish/>
      <w:color w:val="00B050"/>
    </w:rPr>
  </w:style>
  <w:style w:type="paragraph" w:customStyle="1" w:styleId="Term">
    <w:name w:val="Term"/>
    <w:basedOn w:val="NormalWeb"/>
    <w:qFormat/>
    <w:rsid w:val="005B3209"/>
  </w:style>
  <w:style w:type="paragraph" w:customStyle="1" w:styleId="tittel-ordforkl">
    <w:name w:val="tittel-ordforkl"/>
    <w:basedOn w:val="Normal"/>
    <w:next w:val="Normal"/>
    <w:rsid w:val="005B3209"/>
    <w:pPr>
      <w:keepNext/>
      <w:keepLines/>
      <w:spacing w:before="360" w:after="240" w:line="276" w:lineRule="auto"/>
      <w:jc w:val="center"/>
    </w:pPr>
    <w:rPr>
      <w:rFonts w:ascii="Arial" w:eastAsia="Times New Roman" w:hAnsi="Arial" w:cstheme="minorBidi"/>
      <w:b/>
      <w:spacing w:val="4"/>
      <w:sz w:val="28"/>
      <w:szCs w:val="22"/>
    </w:rPr>
  </w:style>
  <w:style w:type="table" w:customStyle="1" w:styleId="StandardTabell">
    <w:name w:val="StandardTabell"/>
    <w:basedOn w:val="Vanligtabell"/>
    <w:uiPriority w:val="99"/>
    <w:qFormat/>
    <w:rsid w:val="005B3209"/>
    <w:rPr>
      <w:rFonts w:ascii="Times" w:eastAsiaTheme="minorHAnsi" w:hAnsi="Times"/>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B3209"/>
    <w:rPr>
      <w:rFonts w:ascii="Times" w:eastAsiaTheme="minorHAnsi" w:hAnsi="Times"/>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B3209"/>
    <w:pPr>
      <w:ind w:left="240" w:hanging="240"/>
    </w:pPr>
  </w:style>
  <w:style w:type="paragraph" w:styleId="Indeks2">
    <w:name w:val="index 2"/>
    <w:basedOn w:val="Normal"/>
    <w:next w:val="Normal"/>
    <w:autoRedefine/>
    <w:uiPriority w:val="99"/>
    <w:semiHidden/>
    <w:unhideWhenUsed/>
    <w:rsid w:val="005B3209"/>
    <w:pPr>
      <w:ind w:left="480" w:hanging="240"/>
    </w:pPr>
  </w:style>
  <w:style w:type="paragraph" w:styleId="Indeks3">
    <w:name w:val="index 3"/>
    <w:basedOn w:val="Normal"/>
    <w:next w:val="Normal"/>
    <w:autoRedefine/>
    <w:uiPriority w:val="99"/>
    <w:semiHidden/>
    <w:unhideWhenUsed/>
    <w:rsid w:val="005B3209"/>
    <w:pPr>
      <w:ind w:left="720" w:hanging="240"/>
    </w:pPr>
  </w:style>
  <w:style w:type="paragraph" w:styleId="Indeks4">
    <w:name w:val="index 4"/>
    <w:basedOn w:val="Normal"/>
    <w:next w:val="Normal"/>
    <w:autoRedefine/>
    <w:uiPriority w:val="99"/>
    <w:semiHidden/>
    <w:unhideWhenUsed/>
    <w:rsid w:val="005B3209"/>
    <w:pPr>
      <w:ind w:left="960" w:hanging="240"/>
    </w:pPr>
  </w:style>
  <w:style w:type="paragraph" w:styleId="Indeks5">
    <w:name w:val="index 5"/>
    <w:basedOn w:val="Normal"/>
    <w:next w:val="Normal"/>
    <w:autoRedefine/>
    <w:uiPriority w:val="99"/>
    <w:semiHidden/>
    <w:unhideWhenUsed/>
    <w:rsid w:val="005B3209"/>
    <w:pPr>
      <w:ind w:left="1200" w:hanging="240"/>
    </w:pPr>
  </w:style>
  <w:style w:type="paragraph" w:styleId="Indeks6">
    <w:name w:val="index 6"/>
    <w:basedOn w:val="Normal"/>
    <w:next w:val="Normal"/>
    <w:autoRedefine/>
    <w:uiPriority w:val="99"/>
    <w:semiHidden/>
    <w:unhideWhenUsed/>
    <w:rsid w:val="005B3209"/>
    <w:pPr>
      <w:ind w:left="1440" w:hanging="240"/>
    </w:pPr>
  </w:style>
  <w:style w:type="paragraph" w:styleId="Indeks7">
    <w:name w:val="index 7"/>
    <w:basedOn w:val="Normal"/>
    <w:next w:val="Normal"/>
    <w:autoRedefine/>
    <w:uiPriority w:val="99"/>
    <w:semiHidden/>
    <w:unhideWhenUsed/>
    <w:rsid w:val="005B3209"/>
    <w:pPr>
      <w:ind w:left="1680" w:hanging="240"/>
    </w:pPr>
  </w:style>
  <w:style w:type="paragraph" w:styleId="Indeks8">
    <w:name w:val="index 8"/>
    <w:basedOn w:val="Normal"/>
    <w:next w:val="Normal"/>
    <w:autoRedefine/>
    <w:uiPriority w:val="99"/>
    <w:semiHidden/>
    <w:unhideWhenUsed/>
    <w:rsid w:val="005B3209"/>
    <w:pPr>
      <w:ind w:left="1920" w:hanging="240"/>
    </w:pPr>
  </w:style>
  <w:style w:type="paragraph" w:styleId="Indeks9">
    <w:name w:val="index 9"/>
    <w:basedOn w:val="Normal"/>
    <w:next w:val="Normal"/>
    <w:autoRedefine/>
    <w:uiPriority w:val="99"/>
    <w:semiHidden/>
    <w:unhideWhenUsed/>
    <w:rsid w:val="005B3209"/>
    <w:pPr>
      <w:ind w:left="2160" w:hanging="240"/>
    </w:pPr>
  </w:style>
  <w:style w:type="paragraph" w:styleId="Vanliginnrykk">
    <w:name w:val="Normal Indent"/>
    <w:basedOn w:val="Normal"/>
    <w:uiPriority w:val="99"/>
    <w:unhideWhenUsed/>
    <w:rsid w:val="005B3209"/>
    <w:pPr>
      <w:ind w:left="708"/>
    </w:pPr>
  </w:style>
  <w:style w:type="paragraph" w:styleId="Stikkordregisteroverskrift">
    <w:name w:val="index heading"/>
    <w:basedOn w:val="Normal"/>
    <w:next w:val="Indeks1"/>
    <w:uiPriority w:val="99"/>
    <w:semiHidden/>
    <w:unhideWhenUsed/>
    <w:rsid w:val="005B3209"/>
    <w:rPr>
      <w:rFonts w:asciiTheme="majorHAnsi" w:eastAsiaTheme="majorEastAsia" w:hAnsiTheme="majorHAnsi" w:cstheme="majorBidi"/>
      <w:b/>
      <w:bCs/>
    </w:rPr>
  </w:style>
  <w:style w:type="paragraph" w:styleId="Bildetekst">
    <w:name w:val="caption"/>
    <w:basedOn w:val="Normal"/>
    <w:next w:val="Normal"/>
    <w:uiPriority w:val="35"/>
    <w:unhideWhenUsed/>
    <w:qFormat/>
    <w:rsid w:val="005B3209"/>
    <w:pPr>
      <w:spacing w:after="200"/>
    </w:pPr>
    <w:rPr>
      <w:b/>
      <w:bCs/>
      <w:color w:val="4F81BD" w:themeColor="accent1"/>
      <w:sz w:val="18"/>
      <w:szCs w:val="18"/>
    </w:rPr>
  </w:style>
  <w:style w:type="paragraph" w:styleId="Figurliste">
    <w:name w:val="table of figures"/>
    <w:basedOn w:val="Normal"/>
    <w:next w:val="Normal"/>
    <w:uiPriority w:val="99"/>
    <w:semiHidden/>
    <w:unhideWhenUsed/>
    <w:rsid w:val="005B3209"/>
  </w:style>
  <w:style w:type="paragraph" w:styleId="Konvoluttadresse">
    <w:name w:val="envelope address"/>
    <w:basedOn w:val="Normal"/>
    <w:uiPriority w:val="99"/>
    <w:semiHidden/>
    <w:unhideWhenUsed/>
    <w:rsid w:val="005B3209"/>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B3209"/>
    <w:rPr>
      <w:rFonts w:asciiTheme="majorHAnsi" w:eastAsiaTheme="majorEastAsia" w:hAnsiTheme="majorHAnsi" w:cstheme="majorBidi"/>
      <w:sz w:val="20"/>
    </w:rPr>
  </w:style>
  <w:style w:type="character" w:styleId="Linjenummer">
    <w:name w:val="line number"/>
    <w:basedOn w:val="Standardskriftforavsnitt"/>
    <w:uiPriority w:val="99"/>
    <w:semiHidden/>
    <w:unhideWhenUsed/>
    <w:rsid w:val="005B3209"/>
  </w:style>
  <w:style w:type="character" w:styleId="Sluttnotereferanse">
    <w:name w:val="endnote reference"/>
    <w:basedOn w:val="Standardskriftforavsnitt"/>
    <w:uiPriority w:val="99"/>
    <w:semiHidden/>
    <w:unhideWhenUsed/>
    <w:rsid w:val="005B3209"/>
    <w:rPr>
      <w:vertAlign w:val="superscript"/>
    </w:rPr>
  </w:style>
  <w:style w:type="paragraph" w:styleId="Sluttnotetekst">
    <w:name w:val="endnote text"/>
    <w:basedOn w:val="Normal"/>
    <w:link w:val="SluttnotetekstTegn"/>
    <w:uiPriority w:val="99"/>
    <w:semiHidden/>
    <w:unhideWhenUsed/>
    <w:rsid w:val="005B3209"/>
    <w:rPr>
      <w:sz w:val="20"/>
    </w:rPr>
  </w:style>
  <w:style w:type="character" w:customStyle="1" w:styleId="SluttnotetekstTegn">
    <w:name w:val="Sluttnotetekst Tegn"/>
    <w:basedOn w:val="Standardskriftforavsnitt"/>
    <w:link w:val="Sluttnotetekst"/>
    <w:uiPriority w:val="99"/>
    <w:semiHidden/>
    <w:rsid w:val="005B3209"/>
    <w:rPr>
      <w:rFonts w:ascii="Times" w:eastAsia="Batang" w:hAnsi="Times"/>
    </w:rPr>
  </w:style>
  <w:style w:type="paragraph" w:styleId="Kildeliste">
    <w:name w:val="table of authorities"/>
    <w:basedOn w:val="Normal"/>
    <w:next w:val="Normal"/>
    <w:uiPriority w:val="99"/>
    <w:semiHidden/>
    <w:unhideWhenUsed/>
    <w:rsid w:val="005B3209"/>
    <w:pPr>
      <w:ind w:left="240" w:hanging="240"/>
    </w:pPr>
  </w:style>
  <w:style w:type="paragraph" w:styleId="Makrotekst">
    <w:name w:val="macro"/>
    <w:link w:val="MakrotekstTegn"/>
    <w:uiPriority w:val="99"/>
    <w:semiHidden/>
    <w:unhideWhenUsed/>
    <w:rsid w:val="005B320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5B3209"/>
    <w:rPr>
      <w:rFonts w:ascii="Consolas" w:hAnsi="Consolas"/>
    </w:rPr>
  </w:style>
  <w:style w:type="paragraph" w:styleId="Kildelisteoverskrift">
    <w:name w:val="toa heading"/>
    <w:basedOn w:val="Normal"/>
    <w:next w:val="Normal"/>
    <w:uiPriority w:val="99"/>
    <w:semiHidden/>
    <w:unhideWhenUsed/>
    <w:rsid w:val="005B3209"/>
    <w:pPr>
      <w:spacing w:before="120"/>
    </w:pPr>
    <w:rPr>
      <w:rFonts w:asciiTheme="majorHAnsi" w:eastAsiaTheme="majorEastAsia" w:hAnsiTheme="majorHAnsi" w:cstheme="majorBidi"/>
      <w:b/>
      <w:bCs/>
      <w:szCs w:val="24"/>
    </w:rPr>
  </w:style>
  <w:style w:type="paragraph" w:styleId="Liste5">
    <w:name w:val="List 5"/>
    <w:basedOn w:val="Normal"/>
    <w:rsid w:val="005B3209"/>
    <w:pPr>
      <w:numPr>
        <w:ilvl w:val="4"/>
        <w:numId w:val="22"/>
      </w:numPr>
      <w:spacing w:after="0" w:line="276" w:lineRule="auto"/>
    </w:pPr>
    <w:rPr>
      <w:rFonts w:ascii="Times New Roman" w:eastAsia="Times New Roman" w:hAnsi="Times New Roman" w:cstheme="minorBidi"/>
      <w:szCs w:val="22"/>
    </w:rPr>
  </w:style>
  <w:style w:type="paragraph" w:styleId="Punktliste2">
    <w:name w:val="List Bullet 2"/>
    <w:basedOn w:val="Normal"/>
    <w:rsid w:val="005B3209"/>
    <w:pPr>
      <w:spacing w:after="0"/>
      <w:ind w:left="568" w:hanging="284"/>
    </w:pPr>
  </w:style>
  <w:style w:type="paragraph" w:styleId="Punktliste3">
    <w:name w:val="List Bullet 3"/>
    <w:basedOn w:val="Normal"/>
    <w:rsid w:val="005B3209"/>
    <w:pPr>
      <w:spacing w:after="0"/>
      <w:ind w:left="851" w:hanging="284"/>
    </w:pPr>
  </w:style>
  <w:style w:type="paragraph" w:styleId="Punktliste4">
    <w:name w:val="List Bullet 4"/>
    <w:basedOn w:val="Normal"/>
    <w:rsid w:val="005B3209"/>
    <w:pPr>
      <w:spacing w:after="0"/>
      <w:ind w:left="1135" w:hanging="284"/>
    </w:pPr>
  </w:style>
  <w:style w:type="paragraph" w:styleId="Punktliste5">
    <w:name w:val="List Bullet 5"/>
    <w:basedOn w:val="Normal"/>
    <w:rsid w:val="005B3209"/>
    <w:pPr>
      <w:spacing w:after="0"/>
      <w:ind w:left="1418" w:hanging="284"/>
    </w:pPr>
  </w:style>
  <w:style w:type="paragraph" w:styleId="Nummerertliste4">
    <w:name w:val="List Number 4"/>
    <w:basedOn w:val="Normal"/>
    <w:rsid w:val="005B3209"/>
    <w:pPr>
      <w:numPr>
        <w:ilvl w:val="3"/>
        <w:numId w:val="7"/>
      </w:numPr>
      <w:spacing w:after="0"/>
    </w:pPr>
  </w:style>
  <w:style w:type="paragraph" w:styleId="Nummerertliste5">
    <w:name w:val="List Number 5"/>
    <w:basedOn w:val="Normal"/>
    <w:rsid w:val="005B3209"/>
    <w:pPr>
      <w:numPr>
        <w:ilvl w:val="4"/>
        <w:numId w:val="7"/>
      </w:numPr>
      <w:spacing w:after="0"/>
    </w:pPr>
  </w:style>
  <w:style w:type="paragraph" w:styleId="Hilsen">
    <w:name w:val="Closing"/>
    <w:basedOn w:val="Normal"/>
    <w:link w:val="HilsenTegn"/>
    <w:uiPriority w:val="99"/>
    <w:semiHidden/>
    <w:unhideWhenUsed/>
    <w:rsid w:val="005B3209"/>
    <w:pPr>
      <w:ind w:left="4252"/>
    </w:pPr>
  </w:style>
  <w:style w:type="character" w:customStyle="1" w:styleId="HilsenTegn">
    <w:name w:val="Hilsen Tegn"/>
    <w:basedOn w:val="Standardskriftforavsnitt"/>
    <w:link w:val="Hilsen"/>
    <w:uiPriority w:val="99"/>
    <w:semiHidden/>
    <w:rsid w:val="005B3209"/>
    <w:rPr>
      <w:rFonts w:ascii="Times" w:eastAsia="Batang" w:hAnsi="Times"/>
      <w:sz w:val="24"/>
    </w:rPr>
  </w:style>
  <w:style w:type="paragraph" w:styleId="Underskrift">
    <w:name w:val="Signature"/>
    <w:basedOn w:val="Normal"/>
    <w:link w:val="UnderskriftTegn"/>
    <w:uiPriority w:val="99"/>
    <w:unhideWhenUsed/>
    <w:rsid w:val="005B3209"/>
    <w:pPr>
      <w:ind w:left="4252"/>
    </w:pPr>
  </w:style>
  <w:style w:type="character" w:customStyle="1" w:styleId="UnderskriftTegn">
    <w:name w:val="Underskrift Tegn"/>
    <w:basedOn w:val="Standardskriftforavsnitt"/>
    <w:link w:val="Underskrift"/>
    <w:uiPriority w:val="99"/>
    <w:rsid w:val="005B3209"/>
    <w:rPr>
      <w:rFonts w:ascii="Times" w:eastAsia="Batang" w:hAnsi="Times"/>
      <w:sz w:val="24"/>
    </w:rPr>
  </w:style>
  <w:style w:type="paragraph" w:styleId="Liste-forts2">
    <w:name w:val="List Continue 2"/>
    <w:basedOn w:val="Normal"/>
    <w:uiPriority w:val="99"/>
    <w:semiHidden/>
    <w:unhideWhenUsed/>
    <w:rsid w:val="005B3209"/>
    <w:pPr>
      <w:ind w:left="566"/>
      <w:contextualSpacing/>
    </w:pPr>
  </w:style>
  <w:style w:type="paragraph" w:styleId="Liste-forts3">
    <w:name w:val="List Continue 3"/>
    <w:basedOn w:val="Normal"/>
    <w:uiPriority w:val="99"/>
    <w:semiHidden/>
    <w:unhideWhenUsed/>
    <w:rsid w:val="005B3209"/>
    <w:pPr>
      <w:ind w:left="849"/>
      <w:contextualSpacing/>
    </w:pPr>
  </w:style>
  <w:style w:type="paragraph" w:styleId="Liste-forts4">
    <w:name w:val="List Continue 4"/>
    <w:basedOn w:val="Normal"/>
    <w:uiPriority w:val="99"/>
    <w:semiHidden/>
    <w:unhideWhenUsed/>
    <w:rsid w:val="005B3209"/>
    <w:pPr>
      <w:ind w:left="1132"/>
      <w:contextualSpacing/>
    </w:pPr>
  </w:style>
  <w:style w:type="paragraph" w:styleId="Liste-forts5">
    <w:name w:val="List Continue 5"/>
    <w:basedOn w:val="Normal"/>
    <w:uiPriority w:val="99"/>
    <w:semiHidden/>
    <w:unhideWhenUsed/>
    <w:rsid w:val="005B3209"/>
    <w:pPr>
      <w:ind w:left="1415"/>
      <w:contextualSpacing/>
    </w:pPr>
  </w:style>
  <w:style w:type="paragraph" w:styleId="Meldingshode">
    <w:name w:val="Message Header"/>
    <w:basedOn w:val="Normal"/>
    <w:link w:val="MeldingshodeTegn"/>
    <w:uiPriority w:val="99"/>
    <w:unhideWhenUsed/>
    <w:rsid w:val="005B320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B3209"/>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B3209"/>
  </w:style>
  <w:style w:type="character" w:customStyle="1" w:styleId="InnledendehilsenTegn">
    <w:name w:val="Innledende hilsen Tegn"/>
    <w:basedOn w:val="Standardskriftforavsnitt"/>
    <w:link w:val="Innledendehilsen"/>
    <w:uiPriority w:val="99"/>
    <w:semiHidden/>
    <w:rsid w:val="005B3209"/>
    <w:rPr>
      <w:rFonts w:ascii="Times" w:eastAsia="Batang" w:hAnsi="Times"/>
      <w:sz w:val="24"/>
    </w:rPr>
  </w:style>
  <w:style w:type="paragraph" w:styleId="Dato0">
    <w:name w:val="Date"/>
    <w:basedOn w:val="Normal"/>
    <w:next w:val="Normal"/>
    <w:link w:val="DatoTegn"/>
    <w:uiPriority w:val="99"/>
    <w:semiHidden/>
    <w:unhideWhenUsed/>
    <w:rsid w:val="005B3209"/>
  </w:style>
  <w:style w:type="character" w:customStyle="1" w:styleId="DatoTegn">
    <w:name w:val="Dato Tegn"/>
    <w:basedOn w:val="Standardskriftforavsnitt"/>
    <w:link w:val="Dato0"/>
    <w:uiPriority w:val="99"/>
    <w:semiHidden/>
    <w:rsid w:val="005B3209"/>
    <w:rPr>
      <w:rFonts w:ascii="Times" w:eastAsia="Batang" w:hAnsi="Times"/>
      <w:sz w:val="24"/>
    </w:rPr>
  </w:style>
  <w:style w:type="paragraph" w:styleId="Brdtekst-frsteinnrykk">
    <w:name w:val="Body Text First Indent"/>
    <w:basedOn w:val="Brdtekst"/>
    <w:link w:val="Brdtekst-frsteinnrykkTegn"/>
    <w:uiPriority w:val="99"/>
    <w:unhideWhenUsed/>
    <w:rsid w:val="005B3209"/>
    <w:pPr>
      <w:spacing w:after="0"/>
      <w:ind w:firstLine="360"/>
    </w:pPr>
  </w:style>
  <w:style w:type="character" w:customStyle="1" w:styleId="Brdtekst-frsteinnrykkTegn">
    <w:name w:val="Brødtekst - første innrykk Tegn"/>
    <w:basedOn w:val="BrdtekstTegn"/>
    <w:link w:val="Brdtekst-frsteinnrykk"/>
    <w:uiPriority w:val="99"/>
    <w:rsid w:val="005B3209"/>
    <w:rPr>
      <w:rFonts w:ascii="Times" w:eastAsia="Batang" w:hAnsi="Times"/>
      <w:sz w:val="24"/>
    </w:rPr>
  </w:style>
  <w:style w:type="paragraph" w:styleId="Brdtekst-frsteinnrykk2">
    <w:name w:val="Body Text First Indent 2"/>
    <w:basedOn w:val="Brdtekstinnrykk"/>
    <w:link w:val="Brdtekst-frsteinnrykk2Tegn"/>
    <w:uiPriority w:val="99"/>
    <w:unhideWhenUsed/>
    <w:rsid w:val="005B3209"/>
    <w:pPr>
      <w:spacing w:after="0"/>
      <w:ind w:left="360" w:firstLine="360"/>
    </w:pPr>
  </w:style>
  <w:style w:type="character" w:customStyle="1" w:styleId="Brdtekst-frsteinnrykk2Tegn">
    <w:name w:val="Brødtekst - første innrykk 2 Tegn"/>
    <w:basedOn w:val="BrdtekstinnrykkTegn"/>
    <w:link w:val="Brdtekst-frsteinnrykk2"/>
    <w:uiPriority w:val="99"/>
    <w:rsid w:val="005B3209"/>
    <w:rPr>
      <w:rFonts w:ascii="Times" w:eastAsia="Batang" w:hAnsi="Times"/>
      <w:sz w:val="24"/>
    </w:rPr>
  </w:style>
  <w:style w:type="paragraph" w:styleId="Notatoverskrift">
    <w:name w:val="Note Heading"/>
    <w:basedOn w:val="Normal"/>
    <w:next w:val="Normal"/>
    <w:link w:val="NotatoverskriftTegn"/>
    <w:uiPriority w:val="99"/>
    <w:semiHidden/>
    <w:unhideWhenUsed/>
    <w:rsid w:val="005B3209"/>
  </w:style>
  <w:style w:type="character" w:customStyle="1" w:styleId="NotatoverskriftTegn">
    <w:name w:val="Notatoverskrift Tegn"/>
    <w:basedOn w:val="Standardskriftforavsnitt"/>
    <w:link w:val="Notatoverskrift"/>
    <w:uiPriority w:val="99"/>
    <w:semiHidden/>
    <w:rsid w:val="005B3209"/>
    <w:rPr>
      <w:rFonts w:ascii="Times" w:eastAsia="Batang" w:hAnsi="Times"/>
      <w:sz w:val="24"/>
    </w:rPr>
  </w:style>
  <w:style w:type="paragraph" w:styleId="Dokumentkart">
    <w:name w:val="Document Map"/>
    <w:basedOn w:val="Normal"/>
    <w:link w:val="DokumentkartTegn"/>
    <w:uiPriority w:val="99"/>
    <w:semiHidden/>
    <w:unhideWhenUsed/>
    <w:rsid w:val="005B3209"/>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B3209"/>
    <w:rPr>
      <w:rFonts w:ascii="Tahoma" w:eastAsia="Batang" w:hAnsi="Tahoma" w:cs="Tahoma"/>
      <w:sz w:val="16"/>
      <w:szCs w:val="16"/>
    </w:rPr>
  </w:style>
  <w:style w:type="paragraph" w:styleId="E-postsignatur">
    <w:name w:val="E-mail Signature"/>
    <w:basedOn w:val="Normal"/>
    <w:link w:val="E-postsignaturTegn"/>
    <w:uiPriority w:val="99"/>
    <w:semiHidden/>
    <w:unhideWhenUsed/>
    <w:rsid w:val="005B3209"/>
  </w:style>
  <w:style w:type="character" w:customStyle="1" w:styleId="E-postsignaturTegn">
    <w:name w:val="E-postsignatur Tegn"/>
    <w:basedOn w:val="Standardskriftforavsnitt"/>
    <w:link w:val="E-postsignatur"/>
    <w:uiPriority w:val="99"/>
    <w:semiHidden/>
    <w:rsid w:val="005B3209"/>
    <w:rPr>
      <w:rFonts w:ascii="Times" w:eastAsia="Batang" w:hAnsi="Times"/>
      <w:sz w:val="24"/>
    </w:rPr>
  </w:style>
  <w:style w:type="character" w:styleId="HTML-akronym">
    <w:name w:val="HTML Acronym"/>
    <w:basedOn w:val="Standardskriftforavsnitt"/>
    <w:uiPriority w:val="99"/>
    <w:semiHidden/>
    <w:unhideWhenUsed/>
    <w:rsid w:val="005B3209"/>
  </w:style>
  <w:style w:type="paragraph" w:styleId="HTML-adresse">
    <w:name w:val="HTML Address"/>
    <w:basedOn w:val="Normal"/>
    <w:link w:val="HTML-adresseTegn"/>
    <w:uiPriority w:val="99"/>
    <w:semiHidden/>
    <w:unhideWhenUsed/>
    <w:rsid w:val="005B3209"/>
    <w:rPr>
      <w:i/>
      <w:iCs/>
    </w:rPr>
  </w:style>
  <w:style w:type="character" w:customStyle="1" w:styleId="HTML-adresseTegn">
    <w:name w:val="HTML-adresse Tegn"/>
    <w:basedOn w:val="Standardskriftforavsnitt"/>
    <w:link w:val="HTML-adresse"/>
    <w:uiPriority w:val="99"/>
    <w:semiHidden/>
    <w:rsid w:val="005B3209"/>
    <w:rPr>
      <w:rFonts w:ascii="Times" w:eastAsia="Batang" w:hAnsi="Times"/>
      <w:i/>
      <w:iCs/>
      <w:sz w:val="24"/>
    </w:rPr>
  </w:style>
  <w:style w:type="character" w:styleId="HTML-sitat">
    <w:name w:val="HTML Cite"/>
    <w:basedOn w:val="Standardskriftforavsnitt"/>
    <w:uiPriority w:val="99"/>
    <w:semiHidden/>
    <w:unhideWhenUsed/>
    <w:rsid w:val="005B3209"/>
    <w:rPr>
      <w:i/>
      <w:iCs/>
    </w:rPr>
  </w:style>
  <w:style w:type="character" w:styleId="HTML-kode">
    <w:name w:val="HTML Code"/>
    <w:basedOn w:val="Standardskriftforavsnitt"/>
    <w:uiPriority w:val="99"/>
    <w:semiHidden/>
    <w:unhideWhenUsed/>
    <w:rsid w:val="005B3209"/>
    <w:rPr>
      <w:rFonts w:ascii="Consolas" w:hAnsi="Consolas"/>
      <w:sz w:val="20"/>
      <w:szCs w:val="20"/>
    </w:rPr>
  </w:style>
  <w:style w:type="character" w:styleId="HTML-definisjon">
    <w:name w:val="HTML Definition"/>
    <w:basedOn w:val="Standardskriftforavsnitt"/>
    <w:uiPriority w:val="99"/>
    <w:semiHidden/>
    <w:unhideWhenUsed/>
    <w:rsid w:val="005B3209"/>
    <w:rPr>
      <w:i/>
      <w:iCs/>
    </w:rPr>
  </w:style>
  <w:style w:type="character" w:styleId="HTML-tastatur">
    <w:name w:val="HTML Keyboard"/>
    <w:basedOn w:val="Standardskriftforavsnitt"/>
    <w:uiPriority w:val="99"/>
    <w:semiHidden/>
    <w:unhideWhenUsed/>
    <w:rsid w:val="005B3209"/>
    <w:rPr>
      <w:rFonts w:ascii="Consolas" w:hAnsi="Consolas"/>
      <w:sz w:val="20"/>
      <w:szCs w:val="20"/>
    </w:rPr>
  </w:style>
  <w:style w:type="character" w:styleId="HTML-eksempel">
    <w:name w:val="HTML Sample"/>
    <w:basedOn w:val="Standardskriftforavsnitt"/>
    <w:uiPriority w:val="99"/>
    <w:semiHidden/>
    <w:unhideWhenUsed/>
    <w:rsid w:val="005B3209"/>
    <w:rPr>
      <w:rFonts w:ascii="Consolas" w:hAnsi="Consolas"/>
      <w:sz w:val="24"/>
      <w:szCs w:val="24"/>
    </w:rPr>
  </w:style>
  <w:style w:type="character" w:styleId="HTML-skrivemaskin">
    <w:name w:val="HTML Typewriter"/>
    <w:basedOn w:val="Standardskriftforavsnitt"/>
    <w:uiPriority w:val="99"/>
    <w:semiHidden/>
    <w:unhideWhenUsed/>
    <w:rsid w:val="005B3209"/>
    <w:rPr>
      <w:rFonts w:ascii="Consolas" w:hAnsi="Consolas"/>
      <w:sz w:val="20"/>
      <w:szCs w:val="20"/>
    </w:rPr>
  </w:style>
  <w:style w:type="character" w:styleId="HTML-variabel">
    <w:name w:val="HTML Variable"/>
    <w:basedOn w:val="Standardskriftforavsnitt"/>
    <w:uiPriority w:val="99"/>
    <w:semiHidden/>
    <w:unhideWhenUsed/>
    <w:rsid w:val="005B3209"/>
    <w:rPr>
      <w:i/>
      <w:iCs/>
    </w:rPr>
  </w:style>
  <w:style w:type="character" w:styleId="Plassholdertekst">
    <w:name w:val="Placeholder Text"/>
    <w:basedOn w:val="Standardskriftforavsnitt"/>
    <w:uiPriority w:val="99"/>
    <w:rsid w:val="005B3209"/>
    <w:rPr>
      <w:color w:val="808080"/>
    </w:rPr>
  </w:style>
  <w:style w:type="paragraph" w:styleId="Ingenmellomrom">
    <w:name w:val="No Spacing"/>
    <w:uiPriority w:val="1"/>
    <w:qFormat/>
    <w:rsid w:val="005B3209"/>
    <w:rPr>
      <w:rFonts w:ascii="Times" w:hAnsi="Times"/>
      <w:sz w:val="24"/>
    </w:rPr>
  </w:style>
  <w:style w:type="paragraph" w:styleId="Sterktsitat">
    <w:name w:val="Intense Quote"/>
    <w:basedOn w:val="Normal"/>
    <w:next w:val="Normal"/>
    <w:link w:val="SterktsitatTegn"/>
    <w:uiPriority w:val="30"/>
    <w:qFormat/>
    <w:rsid w:val="005B3209"/>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5B3209"/>
    <w:rPr>
      <w:rFonts w:ascii="Times" w:eastAsia="Batang" w:hAnsi="Times"/>
      <w:b/>
      <w:bCs/>
      <w:i/>
      <w:iCs/>
      <w:color w:val="4F81BD" w:themeColor="accent1"/>
      <w:sz w:val="24"/>
    </w:rPr>
  </w:style>
  <w:style w:type="character" w:styleId="Svakutheving">
    <w:name w:val="Subtle Emphasis"/>
    <w:basedOn w:val="Standardskriftforavsnitt"/>
    <w:uiPriority w:val="19"/>
    <w:qFormat/>
    <w:rsid w:val="005B3209"/>
    <w:rPr>
      <w:i/>
      <w:iCs/>
      <w:color w:val="808080" w:themeColor="text1" w:themeTint="7F"/>
    </w:rPr>
  </w:style>
  <w:style w:type="character" w:styleId="Sterkutheving">
    <w:name w:val="Intense Emphasis"/>
    <w:basedOn w:val="Standardskriftforavsnitt"/>
    <w:uiPriority w:val="21"/>
    <w:qFormat/>
    <w:rsid w:val="005B3209"/>
    <w:rPr>
      <w:b/>
      <w:bCs/>
      <w:i/>
      <w:iCs/>
      <w:color w:val="4F81BD" w:themeColor="accent1"/>
    </w:rPr>
  </w:style>
  <w:style w:type="character" w:styleId="Svakreferanse">
    <w:name w:val="Subtle Reference"/>
    <w:basedOn w:val="Standardskriftforavsnitt"/>
    <w:uiPriority w:val="31"/>
    <w:qFormat/>
    <w:rsid w:val="005B3209"/>
    <w:rPr>
      <w:smallCaps/>
      <w:color w:val="C0504D" w:themeColor="accent2"/>
      <w:u w:val="single"/>
    </w:rPr>
  </w:style>
  <w:style w:type="character" w:styleId="Sterkreferanse">
    <w:name w:val="Intense Reference"/>
    <w:basedOn w:val="Standardskriftforavsnitt"/>
    <w:uiPriority w:val="32"/>
    <w:qFormat/>
    <w:rsid w:val="005B3209"/>
    <w:rPr>
      <w:b/>
      <w:bCs/>
      <w:smallCaps/>
      <w:color w:val="C0504D" w:themeColor="accent2"/>
      <w:spacing w:val="5"/>
      <w:u w:val="single"/>
    </w:rPr>
  </w:style>
  <w:style w:type="character" w:styleId="Boktittel">
    <w:name w:val="Book Title"/>
    <w:basedOn w:val="Standardskriftforavsnitt"/>
    <w:uiPriority w:val="33"/>
    <w:qFormat/>
    <w:rsid w:val="005B3209"/>
    <w:rPr>
      <w:b/>
      <w:bCs/>
      <w:smallCaps/>
      <w:spacing w:val="5"/>
    </w:rPr>
  </w:style>
  <w:style w:type="paragraph" w:styleId="Bibliografi">
    <w:name w:val="Bibliography"/>
    <w:basedOn w:val="Normal"/>
    <w:next w:val="Normal"/>
    <w:uiPriority w:val="37"/>
    <w:semiHidden/>
    <w:unhideWhenUsed/>
    <w:rsid w:val="005B3209"/>
  </w:style>
  <w:style w:type="paragraph" w:customStyle="1" w:styleId="alfaliste2">
    <w:name w:val="alfaliste 2"/>
    <w:basedOn w:val="Liste2"/>
    <w:rsid w:val="005B3209"/>
    <w:pPr>
      <w:numPr>
        <w:numId w:val="3"/>
      </w:numPr>
    </w:pPr>
  </w:style>
  <w:style w:type="paragraph" w:customStyle="1" w:styleId="alfaliste4">
    <w:name w:val="alfaliste 4"/>
    <w:basedOn w:val="Normal"/>
    <w:rsid w:val="005B3209"/>
    <w:pPr>
      <w:numPr>
        <w:ilvl w:val="3"/>
        <w:numId w:val="3"/>
      </w:numPr>
      <w:spacing w:after="0" w:line="276" w:lineRule="auto"/>
    </w:pPr>
    <w:rPr>
      <w:rFonts w:ascii="Times New Roman" w:eastAsia="Times New Roman" w:hAnsi="Times New Roman"/>
      <w:szCs w:val="22"/>
    </w:rPr>
  </w:style>
  <w:style w:type="paragraph" w:customStyle="1" w:styleId="alfaliste5">
    <w:name w:val="alfaliste 5"/>
    <w:basedOn w:val="Normal"/>
    <w:rsid w:val="005B3209"/>
    <w:pPr>
      <w:numPr>
        <w:ilvl w:val="4"/>
        <w:numId w:val="3"/>
      </w:numPr>
      <w:spacing w:after="0" w:line="276" w:lineRule="auto"/>
    </w:pPr>
    <w:rPr>
      <w:rFonts w:ascii="Times New Roman" w:eastAsia="Times New Roman" w:hAnsi="Times New Roman"/>
      <w:szCs w:val="22"/>
    </w:rPr>
  </w:style>
  <w:style w:type="paragraph" w:customStyle="1" w:styleId="opplisting">
    <w:name w:val="opplisting"/>
    <w:basedOn w:val="Normal"/>
    <w:rsid w:val="005B3209"/>
    <w:pPr>
      <w:spacing w:after="0" w:line="276" w:lineRule="auto"/>
    </w:pPr>
    <w:rPr>
      <w:rFonts w:eastAsia="Times New Roman"/>
      <w:szCs w:val="22"/>
    </w:rPr>
  </w:style>
  <w:style w:type="paragraph" w:customStyle="1" w:styleId="romertallliste4">
    <w:name w:val="romertall liste 4"/>
    <w:basedOn w:val="Normal"/>
    <w:rsid w:val="005B3209"/>
    <w:pPr>
      <w:numPr>
        <w:ilvl w:val="3"/>
        <w:numId w:val="11"/>
      </w:numPr>
      <w:spacing w:after="0"/>
    </w:pPr>
  </w:style>
  <w:style w:type="table" w:customStyle="1" w:styleId="Tabell-VM">
    <w:name w:val="Tabell-VM"/>
    <w:basedOn w:val="Tabelltemaer"/>
    <w:uiPriority w:val="99"/>
    <w:qFormat/>
    <w:rsid w:val="005B3209"/>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5B3209"/>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5B3209"/>
    <w:rPr>
      <w:rFonts w:ascii="Times" w:eastAsiaTheme="minorHAnsi" w:hAnsi="Time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B3209"/>
    <w:rPr>
      <w:rFonts w:ascii="Times" w:eastAsiaTheme="minorHAnsi" w:hAnsi="Time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paragraph" w:customStyle="1" w:styleId="l-alfaliste">
    <w:name w:val="l-alfaliste"/>
    <w:basedOn w:val="Normal"/>
    <w:qFormat/>
    <w:rsid w:val="005B3209"/>
    <w:pPr>
      <w:numPr>
        <w:numId w:val="10"/>
      </w:numPr>
      <w:spacing w:after="0" w:line="276" w:lineRule="auto"/>
    </w:pPr>
    <w:rPr>
      <w:rFonts w:ascii="Times New Roman" w:eastAsiaTheme="minorEastAsia" w:hAnsi="Times New Roman" w:cstheme="minorBidi"/>
      <w:spacing w:val="4"/>
      <w:szCs w:val="22"/>
    </w:rPr>
  </w:style>
  <w:style w:type="paragraph" w:customStyle="1" w:styleId="l-ledd">
    <w:name w:val="l-ledd"/>
    <w:basedOn w:val="Normal"/>
    <w:qFormat/>
    <w:rsid w:val="005B3209"/>
    <w:pPr>
      <w:spacing w:after="0" w:line="276" w:lineRule="auto"/>
      <w:ind w:firstLine="397"/>
    </w:pPr>
    <w:rPr>
      <w:rFonts w:eastAsia="Times New Roman" w:cstheme="minorBidi"/>
      <w:spacing w:val="4"/>
      <w:szCs w:val="22"/>
    </w:rPr>
  </w:style>
  <w:style w:type="paragraph" w:customStyle="1" w:styleId="l-punktum">
    <w:name w:val="l-punktum"/>
    <w:basedOn w:val="Normal"/>
    <w:qFormat/>
    <w:rsid w:val="005B3209"/>
    <w:pPr>
      <w:spacing w:after="0" w:line="276" w:lineRule="auto"/>
    </w:pPr>
    <w:rPr>
      <w:rFonts w:ascii="Times New Roman" w:eastAsia="Times New Roman" w:hAnsi="Times New Roman" w:cstheme="minorBidi"/>
      <w:spacing w:val="4"/>
      <w:szCs w:val="22"/>
    </w:rPr>
  </w:style>
  <w:style w:type="paragraph" w:customStyle="1" w:styleId="l-tit-endr-lovkap">
    <w:name w:val="l-tit-endr-lovkap"/>
    <w:basedOn w:val="Normal"/>
    <w:qFormat/>
    <w:rsid w:val="005B3209"/>
    <w:pPr>
      <w:keepNext/>
      <w:spacing w:before="240" w:after="0"/>
    </w:pPr>
    <w:rPr>
      <w:rFonts w:eastAsia="Times New Roman" w:cstheme="minorBidi"/>
      <w:noProof/>
      <w:spacing w:val="4"/>
      <w:szCs w:val="22"/>
      <w:lang w:val="nn-NO"/>
    </w:rPr>
  </w:style>
  <w:style w:type="paragraph" w:customStyle="1" w:styleId="l-tit-endr-ledd">
    <w:name w:val="l-tit-endr-ledd"/>
    <w:basedOn w:val="Normal"/>
    <w:qFormat/>
    <w:rsid w:val="005B3209"/>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B3209"/>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5B3209"/>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B3209"/>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B3209"/>
  </w:style>
  <w:style w:type="paragraph" w:customStyle="1" w:styleId="del-nr">
    <w:name w:val="del-nr"/>
    <w:basedOn w:val="Normal"/>
    <w:qFormat/>
    <w:rsid w:val="005B3209"/>
    <w:pPr>
      <w:keepNext/>
      <w:keepLines/>
      <w:spacing w:before="360" w:after="0"/>
      <w:jc w:val="center"/>
    </w:pPr>
    <w:rPr>
      <w:rFonts w:ascii="Times New Roman" w:hAnsi="Times New Roman" w:cstheme="minorBidi"/>
      <w:i/>
      <w:sz w:val="48"/>
    </w:rPr>
  </w:style>
  <w:style w:type="paragraph" w:customStyle="1" w:styleId="del-tittel0">
    <w:name w:val="del-tittel"/>
    <w:uiPriority w:val="99"/>
    <w:rsid w:val="005B3209"/>
    <w:pPr>
      <w:autoSpaceDE w:val="0"/>
      <w:autoSpaceDN w:val="0"/>
      <w:adjustRightInd w:val="0"/>
      <w:spacing w:after="200" w:line="580" w:lineRule="atLeast"/>
      <w:jc w:val="center"/>
    </w:pPr>
    <w:rPr>
      <w:rFonts w:eastAsiaTheme="minorEastAsia" w:cs="UniCentury Old Style"/>
      <w:i/>
      <w:iCs/>
      <w:color w:val="000000"/>
      <w:w w:val="0"/>
      <w:sz w:val="46"/>
      <w:szCs w:val="46"/>
    </w:rPr>
  </w:style>
  <w:style w:type="numbering" w:customStyle="1" w:styleId="AlfaListeStil">
    <w:name w:val="AlfaListeStil"/>
    <w:uiPriority w:val="99"/>
    <w:rsid w:val="005B3209"/>
    <w:pPr>
      <w:numPr>
        <w:numId w:val="3"/>
      </w:numPr>
    </w:pPr>
  </w:style>
  <w:style w:type="paragraph" w:customStyle="1" w:styleId="l-alfaliste2">
    <w:name w:val="l-alfaliste 2"/>
    <w:basedOn w:val="alfaliste2"/>
    <w:qFormat/>
    <w:rsid w:val="005B3209"/>
    <w:pPr>
      <w:numPr>
        <w:numId w:val="10"/>
      </w:numPr>
    </w:pPr>
  </w:style>
  <w:style w:type="paragraph" w:customStyle="1" w:styleId="l-alfaliste3">
    <w:name w:val="l-alfaliste 3"/>
    <w:basedOn w:val="alfaliste3"/>
    <w:qFormat/>
    <w:rsid w:val="005B3209"/>
    <w:pPr>
      <w:numPr>
        <w:numId w:val="10"/>
      </w:numPr>
    </w:pPr>
    <w:rPr>
      <w:rFonts w:cstheme="minorBidi"/>
    </w:rPr>
  </w:style>
  <w:style w:type="paragraph" w:customStyle="1" w:styleId="l-alfaliste4">
    <w:name w:val="l-alfaliste 4"/>
    <w:basedOn w:val="alfaliste4"/>
    <w:qFormat/>
    <w:rsid w:val="005B3209"/>
    <w:pPr>
      <w:numPr>
        <w:numId w:val="10"/>
      </w:numPr>
    </w:pPr>
    <w:rPr>
      <w:rFonts w:cstheme="minorBidi"/>
    </w:rPr>
  </w:style>
  <w:style w:type="paragraph" w:customStyle="1" w:styleId="l-alfaliste5">
    <w:name w:val="l-alfaliste 5"/>
    <w:basedOn w:val="alfaliste5"/>
    <w:qFormat/>
    <w:rsid w:val="005B3209"/>
    <w:pPr>
      <w:numPr>
        <w:numId w:val="10"/>
      </w:numPr>
    </w:pPr>
  </w:style>
  <w:style w:type="numbering" w:customStyle="1" w:styleId="l-AlfaListeStil">
    <w:name w:val="l-AlfaListeStil"/>
    <w:uiPriority w:val="99"/>
    <w:rsid w:val="005B3209"/>
    <w:pPr>
      <w:numPr>
        <w:numId w:val="4"/>
      </w:numPr>
    </w:pPr>
  </w:style>
  <w:style w:type="numbering" w:customStyle="1" w:styleId="l-ListeStilMal">
    <w:name w:val="l-ListeStilMal"/>
    <w:uiPriority w:val="99"/>
    <w:rsid w:val="005B3209"/>
    <w:pPr>
      <w:numPr>
        <w:numId w:val="5"/>
      </w:numPr>
    </w:pPr>
  </w:style>
  <w:style w:type="numbering" w:customStyle="1" w:styleId="l-NummerertListeStil">
    <w:name w:val="l-NummerertListeStil"/>
    <w:uiPriority w:val="99"/>
    <w:rsid w:val="005B3209"/>
    <w:pPr>
      <w:numPr>
        <w:numId w:val="6"/>
      </w:numPr>
    </w:pPr>
  </w:style>
  <w:style w:type="numbering" w:customStyle="1" w:styleId="NrListeStil">
    <w:name w:val="NrListeStil"/>
    <w:uiPriority w:val="99"/>
    <w:rsid w:val="005B3209"/>
    <w:pPr>
      <w:numPr>
        <w:numId w:val="7"/>
      </w:numPr>
    </w:pPr>
  </w:style>
  <w:style w:type="numbering" w:customStyle="1" w:styleId="OpplistingListeStil">
    <w:name w:val="OpplistingListeStil"/>
    <w:uiPriority w:val="99"/>
    <w:rsid w:val="005B3209"/>
    <w:pPr>
      <w:numPr>
        <w:numId w:val="8"/>
      </w:numPr>
    </w:pPr>
  </w:style>
  <w:style w:type="numbering" w:customStyle="1" w:styleId="OverskrifterListeStil">
    <w:name w:val="OverskrifterListeStil"/>
    <w:uiPriority w:val="99"/>
    <w:rsid w:val="005B3209"/>
    <w:pPr>
      <w:numPr>
        <w:numId w:val="101"/>
      </w:numPr>
    </w:pPr>
  </w:style>
  <w:style w:type="numbering" w:customStyle="1" w:styleId="RomListeStil">
    <w:name w:val="RomListeStil"/>
    <w:uiPriority w:val="99"/>
    <w:rsid w:val="005B3209"/>
    <w:pPr>
      <w:numPr>
        <w:numId w:val="9"/>
      </w:numPr>
    </w:pPr>
  </w:style>
  <w:style w:type="numbering" w:customStyle="1" w:styleId="StrekListeStil">
    <w:name w:val="StrekListeStil"/>
    <w:uiPriority w:val="99"/>
    <w:rsid w:val="005B3209"/>
    <w:pPr>
      <w:numPr>
        <w:numId w:val="22"/>
      </w:numPr>
    </w:pPr>
  </w:style>
  <w:style w:type="paragraph" w:customStyle="1" w:styleId="romertallliste5">
    <w:name w:val="romertall liste 5"/>
    <w:basedOn w:val="Normal"/>
    <w:qFormat/>
    <w:rsid w:val="005B3209"/>
    <w:pPr>
      <w:numPr>
        <w:ilvl w:val="4"/>
        <w:numId w:val="11"/>
      </w:numPr>
      <w:spacing w:after="0" w:line="276" w:lineRule="auto"/>
    </w:pPr>
    <w:rPr>
      <w:rFonts w:ascii="Times New Roman" w:eastAsia="Times New Roman" w:hAnsi="Times New Roman" w:cstheme="minorBidi"/>
      <w:spacing w:val="4"/>
      <w:szCs w:val="22"/>
    </w:rPr>
  </w:style>
  <w:style w:type="paragraph" w:customStyle="1" w:styleId="Tabellnavn-kode">
    <w:name w:val="Tabellnavn-kode"/>
    <w:basedOn w:val="Tabellnavn"/>
    <w:qFormat/>
    <w:rsid w:val="005A0930"/>
    <w:rPr>
      <w:rFonts w:cstheme="minorBidi"/>
      <w:vanish w:val="0"/>
      <w:color w:val="FF0000"/>
    </w:rPr>
  </w:style>
  <w:style w:type="paragraph" w:customStyle="1" w:styleId="friliste">
    <w:name w:val="friliste"/>
    <w:basedOn w:val="Normal"/>
    <w:qFormat/>
    <w:rsid w:val="005B3209"/>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B3209"/>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B3209"/>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B3209"/>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B3209"/>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opplisting2">
    <w:name w:val="opplisting 2"/>
    <w:basedOn w:val="Normal"/>
    <w:qFormat/>
    <w:rsid w:val="005B3209"/>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B3209"/>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B3209"/>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B3209"/>
    <w:pPr>
      <w:spacing w:after="0" w:line="276" w:lineRule="auto"/>
      <w:ind w:left="1588"/>
    </w:pPr>
    <w:rPr>
      <w:rFonts w:ascii="Times New Roman" w:eastAsia="Times New Roman" w:hAnsi="Times New Roman" w:cstheme="minorBidi"/>
      <w:szCs w:val="22"/>
    </w:rPr>
  </w:style>
  <w:style w:type="paragraph" w:customStyle="1" w:styleId="blokksit">
    <w:name w:val="blokksit"/>
    <w:basedOn w:val="Normal"/>
    <w:qFormat/>
    <w:rsid w:val="005B3209"/>
    <w:pPr>
      <w:ind w:left="397"/>
    </w:pPr>
    <w:rPr>
      <w:rFonts w:eastAsia="Times New Roman" w:cstheme="minorBidi"/>
      <w:spacing w:val="-2"/>
      <w:szCs w:val="22"/>
    </w:rPr>
  </w:style>
  <w:style w:type="character" w:customStyle="1" w:styleId="regular">
    <w:name w:val="regular"/>
    <w:basedOn w:val="Standardskriftforavsnitt"/>
    <w:uiPriority w:val="1"/>
    <w:qFormat/>
    <w:rsid w:val="005B3209"/>
    <w:rPr>
      <w:i/>
    </w:rPr>
  </w:style>
  <w:style w:type="paragraph" w:customStyle="1" w:styleId="medlem">
    <w:name w:val="medlem"/>
    <w:basedOn w:val="Normal"/>
    <w:qFormat/>
    <w:rsid w:val="005B3209"/>
  </w:style>
  <w:style w:type="paragraph" w:customStyle="1" w:styleId="sekr">
    <w:name w:val="sekr"/>
    <w:basedOn w:val="Normal"/>
    <w:qFormat/>
    <w:rsid w:val="005B3209"/>
  </w:style>
  <w:style w:type="paragraph" w:customStyle="1" w:styleId="avgivelse">
    <w:name w:val="avgivelse"/>
    <w:basedOn w:val="oppnevnelse"/>
    <w:qFormat/>
    <w:rsid w:val="005B3209"/>
  </w:style>
  <w:style w:type="character" w:customStyle="1" w:styleId="gjennomstreket">
    <w:name w:val="gjennomstreket"/>
    <w:uiPriority w:val="1"/>
    <w:rsid w:val="005B3209"/>
    <w:rPr>
      <w:strike/>
      <w:dstrike w:val="0"/>
    </w:rPr>
  </w:style>
  <w:style w:type="paragraph" w:customStyle="1" w:styleId="l-avsnitt">
    <w:name w:val="l-avsnitt"/>
    <w:basedOn w:val="l-lovkap"/>
    <w:qFormat/>
    <w:rsid w:val="005B3209"/>
    <w:rPr>
      <w:lang w:val="nn-NO"/>
    </w:rPr>
  </w:style>
  <w:style w:type="paragraph" w:customStyle="1" w:styleId="l-tit-endr-avsnitt">
    <w:name w:val="l-tit-endr-avsnitt"/>
    <w:basedOn w:val="l-tit-endr-lovkap"/>
    <w:qFormat/>
    <w:rsid w:val="005B3209"/>
  </w:style>
  <w:style w:type="paragraph" w:customStyle="1" w:styleId="tittel-litteraturliste">
    <w:name w:val="tittel-litteraturliste"/>
    <w:basedOn w:val="Normal"/>
    <w:next w:val="Normal"/>
    <w:rsid w:val="005B3209"/>
    <w:pPr>
      <w:keepNext/>
      <w:keepLines/>
      <w:spacing w:before="360" w:after="240" w:line="276" w:lineRule="auto"/>
      <w:jc w:val="center"/>
    </w:pPr>
    <w:rPr>
      <w:rFonts w:ascii="Arial" w:eastAsia="Times New Roman" w:hAnsi="Arial" w:cstheme="minorBidi"/>
      <w:b/>
      <w:spacing w:val="4"/>
      <w:sz w:val="28"/>
      <w:szCs w:val="22"/>
    </w:rPr>
  </w:style>
  <w:style w:type="paragraph" w:customStyle="1" w:styleId="Listebombe">
    <w:name w:val="Liste bombe"/>
    <w:basedOn w:val="Liste"/>
    <w:qFormat/>
    <w:rsid w:val="005B3209"/>
    <w:pPr>
      <w:numPr>
        <w:numId w:val="13"/>
      </w:numPr>
    </w:pPr>
  </w:style>
  <w:style w:type="paragraph" w:customStyle="1" w:styleId="Listebombe2">
    <w:name w:val="Liste bombe 2"/>
    <w:basedOn w:val="Liste2"/>
    <w:qFormat/>
    <w:rsid w:val="005B3209"/>
    <w:pPr>
      <w:numPr>
        <w:ilvl w:val="0"/>
        <w:numId w:val="14"/>
      </w:numPr>
      <w:ind w:left="794" w:hanging="397"/>
    </w:pPr>
  </w:style>
  <w:style w:type="paragraph" w:customStyle="1" w:styleId="Listebombe3">
    <w:name w:val="Liste bombe 3"/>
    <w:basedOn w:val="Liste3"/>
    <w:qFormat/>
    <w:rsid w:val="005B3209"/>
    <w:pPr>
      <w:numPr>
        <w:ilvl w:val="0"/>
        <w:numId w:val="15"/>
      </w:numPr>
      <w:ind w:left="1191" w:hanging="397"/>
    </w:pPr>
  </w:style>
  <w:style w:type="paragraph" w:customStyle="1" w:styleId="Listebombe4">
    <w:name w:val="Liste bombe 4"/>
    <w:basedOn w:val="Liste4"/>
    <w:qFormat/>
    <w:rsid w:val="005B3209"/>
    <w:pPr>
      <w:numPr>
        <w:ilvl w:val="0"/>
        <w:numId w:val="16"/>
      </w:numPr>
      <w:ind w:left="1588" w:hanging="397"/>
    </w:pPr>
  </w:style>
  <w:style w:type="paragraph" w:customStyle="1" w:styleId="Listebombe5">
    <w:name w:val="Liste bombe 5"/>
    <w:basedOn w:val="Liste5"/>
    <w:qFormat/>
    <w:rsid w:val="005B3209"/>
    <w:pPr>
      <w:numPr>
        <w:ilvl w:val="0"/>
        <w:numId w:val="17"/>
      </w:numPr>
      <w:ind w:left="1985" w:hanging="397"/>
    </w:pPr>
  </w:style>
  <w:style w:type="paragraph" w:customStyle="1" w:styleId="alfaliste">
    <w:name w:val="alfaliste"/>
    <w:basedOn w:val="Normal"/>
    <w:rsid w:val="005B3209"/>
    <w:pPr>
      <w:numPr>
        <w:numId w:val="3"/>
      </w:numPr>
      <w:spacing w:after="0" w:line="276" w:lineRule="auto"/>
    </w:pPr>
    <w:rPr>
      <w:rFonts w:ascii="Times New Roman" w:eastAsia="Times New Roman" w:hAnsi="Times New Roman" w:cstheme="minorBidi"/>
      <w:spacing w:val="4"/>
      <w:szCs w:val="22"/>
    </w:rPr>
  </w:style>
  <w:style w:type="paragraph" w:customStyle="1" w:styleId="tittel-forord">
    <w:name w:val="tittel-forord"/>
    <w:basedOn w:val="Normal"/>
    <w:next w:val="Normal"/>
    <w:rsid w:val="005B3209"/>
    <w:pPr>
      <w:keepNext/>
      <w:keepLines/>
      <w:spacing w:line="276" w:lineRule="auto"/>
      <w:jc w:val="center"/>
    </w:pPr>
    <w:rPr>
      <w:rFonts w:ascii="Arial" w:eastAsia="Times New Roman" w:hAnsi="Arial" w:cstheme="minorBidi"/>
      <w:b/>
      <w:sz w:val="28"/>
      <w:szCs w:val="22"/>
    </w:rPr>
  </w:style>
  <w:style w:type="paragraph" w:customStyle="1" w:styleId="avsnitt-undertittel">
    <w:name w:val="avsnitt-undertittel"/>
    <w:basedOn w:val="Normal"/>
    <w:next w:val="Normal"/>
    <w:rsid w:val="005B3209"/>
    <w:pPr>
      <w:keepNext/>
      <w:keepLines/>
      <w:spacing w:before="360" w:after="60"/>
    </w:pPr>
    <w:rPr>
      <w:rFonts w:ascii="Arial" w:hAnsi="Arial" w:cstheme="minorBidi"/>
      <w:i/>
    </w:rPr>
  </w:style>
  <w:style w:type="paragraph" w:customStyle="1" w:styleId="avsnitt-under-undertittel">
    <w:name w:val="avsnitt-under-undertittel"/>
    <w:basedOn w:val="Normal"/>
    <w:next w:val="Normal"/>
    <w:rsid w:val="005B3209"/>
    <w:pPr>
      <w:keepNext/>
      <w:keepLines/>
      <w:spacing w:before="360"/>
    </w:pPr>
    <w:rPr>
      <w:rFonts w:ascii="Times New Roman" w:hAnsi="Times New Roman" w:cstheme="minorBidi"/>
      <w:i/>
    </w:rPr>
  </w:style>
  <w:style w:type="paragraph" w:customStyle="1" w:styleId="Listeavsnitt2">
    <w:name w:val="Listeavsnitt 2"/>
    <w:basedOn w:val="Normal"/>
    <w:qFormat/>
    <w:rsid w:val="005B3209"/>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B3209"/>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B3209"/>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B3209"/>
    <w:pPr>
      <w:spacing w:before="60" w:after="0" w:line="276" w:lineRule="auto"/>
      <w:ind w:left="1985"/>
    </w:pPr>
    <w:rPr>
      <w:rFonts w:ascii="Times New Roman" w:eastAsia="Times New Roman" w:hAnsi="Times New Roman" w:cstheme="minorBidi"/>
      <w:szCs w:val="22"/>
    </w:rPr>
  </w:style>
  <w:style w:type="paragraph" w:customStyle="1" w:styleId="Normalref">
    <w:name w:val="Normalref"/>
    <w:basedOn w:val="Normal"/>
    <w:qFormat/>
    <w:rsid w:val="005B3209"/>
    <w:pPr>
      <w:spacing w:line="276" w:lineRule="auto"/>
      <w:ind w:left="357" w:hanging="357"/>
    </w:pPr>
    <w:rPr>
      <w:rFonts w:ascii="Times New Roman" w:eastAsia="Times New Roman" w:hAnsi="Times New Roman" w:cstheme="minorBidi"/>
      <w:szCs w:val="22"/>
    </w:rPr>
  </w:style>
  <w:style w:type="paragraph" w:customStyle="1" w:styleId="Ingenmellomrom1">
    <w:name w:val="Ingen mellomrom1"/>
    <w:rsid w:val="008753FB"/>
    <w:rPr>
      <w:rFonts w:ascii="Calibri" w:hAnsi="Calibri"/>
      <w:sz w:val="22"/>
      <w:szCs w:val="22"/>
      <w:lang w:eastAsia="en-US"/>
    </w:rPr>
  </w:style>
  <w:style w:type="character" w:customStyle="1" w:styleId="TegnTegn1">
    <w:name w:val="Tegn Tegn1"/>
    <w:basedOn w:val="Standardskriftforavsnitt"/>
    <w:uiPriority w:val="99"/>
    <w:rsid w:val="00E55F14"/>
    <w:rPr>
      <w:b/>
      <w:sz w:val="26"/>
      <w:lang w:val="nb-NO" w:eastAsia="nb-NO" w:bidi="ar-SA"/>
    </w:rPr>
  </w:style>
  <w:style w:type="character" w:customStyle="1" w:styleId="Tegn2">
    <w:name w:val="Tegn2"/>
    <w:basedOn w:val="Standardskriftforavsnitt"/>
    <w:uiPriority w:val="99"/>
    <w:rsid w:val="00E55F14"/>
    <w:rPr>
      <w:b/>
      <w:sz w:val="32"/>
      <w:lang w:val="nb-NO" w:eastAsia="nb-NO" w:bidi="ar-SA"/>
    </w:rPr>
  </w:style>
  <w:style w:type="character" w:customStyle="1" w:styleId="Tegn11">
    <w:name w:val="Tegn11"/>
    <w:basedOn w:val="Standardskriftforavsnitt"/>
    <w:uiPriority w:val="99"/>
    <w:rsid w:val="00E55F14"/>
    <w:rPr>
      <w:b/>
      <w:sz w:val="32"/>
      <w:lang w:val="nb-NO" w:eastAsia="nb-NO" w:bidi="ar-SA"/>
    </w:rPr>
  </w:style>
  <w:style w:type="paragraph" w:customStyle="1" w:styleId="k-a8">
    <w:name w:val="k-a8"/>
    <w:basedOn w:val="Normal"/>
    <w:rsid w:val="00B865B6"/>
    <w:pPr>
      <w:spacing w:line="312" w:lineRule="atLeast"/>
    </w:pPr>
    <w:rPr>
      <w:szCs w:val="24"/>
    </w:rPr>
  </w:style>
  <w:style w:type="character" w:customStyle="1" w:styleId="DokumentkartTegn1">
    <w:name w:val="Dokumentkart Tegn1"/>
    <w:basedOn w:val="Standardskriftforavsnitt"/>
    <w:uiPriority w:val="99"/>
    <w:semiHidden/>
    <w:rsid w:val="00B865B6"/>
    <w:rPr>
      <w:rFonts w:ascii="Tahoma" w:eastAsia="Batang" w:hAnsi="Tahoma" w:cs="Tahoma"/>
      <w:sz w:val="16"/>
      <w:szCs w:val="16"/>
    </w:rPr>
  </w:style>
  <w:style w:type="paragraph" w:customStyle="1" w:styleId="apiinline3">
    <w:name w:val="apiinline3"/>
    <w:basedOn w:val="Normal"/>
    <w:rsid w:val="00B865B6"/>
    <w:pPr>
      <w:spacing w:before="100" w:beforeAutospacing="1" w:after="225" w:line="240" w:lineRule="atLeast"/>
    </w:pPr>
    <w:rPr>
      <w:szCs w:val="24"/>
    </w:rPr>
  </w:style>
  <w:style w:type="character" w:customStyle="1" w:styleId="inyhet21">
    <w:name w:val="inyhet21"/>
    <w:basedOn w:val="Standardskriftforavsnitt"/>
    <w:rsid w:val="00B865B6"/>
    <w:rPr>
      <w:b/>
      <w:bCs/>
      <w:sz w:val="18"/>
      <w:szCs w:val="18"/>
    </w:rPr>
  </w:style>
  <w:style w:type="table" w:styleId="Tabellrutenett">
    <w:name w:val="Table Grid"/>
    <w:basedOn w:val="Vanligtabell"/>
    <w:uiPriority w:val="59"/>
    <w:rsid w:val="00BA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Standardskriftforavsnitt"/>
    <w:rsid w:val="00E97982"/>
  </w:style>
  <w:style w:type="character" w:customStyle="1" w:styleId="msodel0">
    <w:name w:val="msodel"/>
    <w:basedOn w:val="Standardskriftforavsnitt"/>
    <w:rsid w:val="004529D0"/>
  </w:style>
  <w:style w:type="character" w:customStyle="1" w:styleId="StilTimes">
    <w:name w:val="Stil Times"/>
    <w:basedOn w:val="Standardskriftforavsnitt"/>
    <w:rsid w:val="00386993"/>
    <w:rPr>
      <w:rFonts w:ascii="Times New Roman" w:hAnsi="Times New Roman" w:cs="Times New Roman" w:hint="default"/>
    </w:rPr>
  </w:style>
  <w:style w:type="paragraph" w:customStyle="1" w:styleId="tittel-sammendr">
    <w:name w:val="tittel-sammendr"/>
    <w:uiPriority w:val="99"/>
    <w:rsid w:val="000202F4"/>
    <w:pPr>
      <w:keepNext/>
      <w:pageBreakBefore/>
      <w:widowControl w:val="0"/>
      <w:pBdr>
        <w:top w:val="single" w:sz="8" w:space="0" w:color="auto"/>
        <w:bottom w:val="single" w:sz="8" w:space="0" w:color="auto"/>
      </w:pBdr>
      <w:suppressAutoHyphens/>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CM16">
    <w:name w:val="CM16"/>
    <w:basedOn w:val="Normal"/>
    <w:next w:val="Normal"/>
    <w:uiPriority w:val="99"/>
    <w:rsid w:val="000202F4"/>
    <w:pPr>
      <w:autoSpaceDE w:val="0"/>
      <w:autoSpaceDN w:val="0"/>
      <w:adjustRightInd w:val="0"/>
      <w:spacing w:after="0" w:line="260" w:lineRule="atLeast"/>
    </w:pPr>
    <w:rPr>
      <w:rFonts w:ascii="MMONL F+ Dep Century Old Style" w:eastAsia="Times New Roman" w:hAnsi="MMONL F+ Dep Century Old Style"/>
      <w:szCs w:val="24"/>
    </w:rPr>
  </w:style>
  <w:style w:type="paragraph" w:customStyle="1" w:styleId="CM68">
    <w:name w:val="CM68"/>
    <w:basedOn w:val="Default"/>
    <w:next w:val="Default"/>
    <w:uiPriority w:val="99"/>
    <w:rsid w:val="000202F4"/>
    <w:rPr>
      <w:rFonts w:ascii="MMONL F+ Dep Century Old Style" w:hAnsi="MMONL F+ Dep Century Old Style"/>
      <w:color w:val="auto"/>
    </w:rPr>
  </w:style>
  <w:style w:type="paragraph" w:customStyle="1" w:styleId="CM70">
    <w:name w:val="CM70"/>
    <w:basedOn w:val="Default"/>
    <w:next w:val="Default"/>
    <w:uiPriority w:val="99"/>
    <w:rsid w:val="000202F4"/>
    <w:rPr>
      <w:rFonts w:ascii="MMONL F+ Dep Century Old Style" w:hAnsi="MMONL F+ Dep Century Old Style"/>
      <w:color w:val="auto"/>
    </w:rPr>
  </w:style>
  <w:style w:type="paragraph" w:customStyle="1" w:styleId="CM69">
    <w:name w:val="CM69"/>
    <w:basedOn w:val="Default"/>
    <w:next w:val="Default"/>
    <w:uiPriority w:val="99"/>
    <w:rsid w:val="000202F4"/>
    <w:rPr>
      <w:rFonts w:ascii="MMONL F+ Dep Century Old Style" w:hAnsi="MMONL F+ Dep Century Old Style"/>
      <w:color w:val="auto"/>
    </w:rPr>
  </w:style>
  <w:style w:type="paragraph" w:customStyle="1" w:styleId="CM12">
    <w:name w:val="CM12"/>
    <w:basedOn w:val="Default"/>
    <w:next w:val="Default"/>
    <w:uiPriority w:val="99"/>
    <w:rsid w:val="000202F4"/>
    <w:pPr>
      <w:spacing w:line="246" w:lineRule="atLeast"/>
    </w:pPr>
    <w:rPr>
      <w:rFonts w:ascii="MMONL F+ Dep Century Old Style" w:hAnsi="MMONL F+ Dep Century Old Style"/>
      <w:color w:val="auto"/>
    </w:rPr>
  </w:style>
  <w:style w:type="paragraph" w:customStyle="1" w:styleId="CM13">
    <w:name w:val="CM13"/>
    <w:basedOn w:val="Default"/>
    <w:next w:val="Default"/>
    <w:uiPriority w:val="99"/>
    <w:rsid w:val="000202F4"/>
    <w:pPr>
      <w:spacing w:line="240" w:lineRule="atLeast"/>
    </w:pPr>
    <w:rPr>
      <w:rFonts w:ascii="MMONL F+ Dep Century Old Style" w:hAnsi="MMONL F+ Dep Century Old Style"/>
      <w:color w:val="auto"/>
    </w:rPr>
  </w:style>
  <w:style w:type="character" w:customStyle="1" w:styleId="Heading3Char1">
    <w:name w:val="Heading 3 Char1"/>
    <w:aliases w:val="Overskrift 3 Tegn Tegn Char1"/>
    <w:basedOn w:val="Standardskriftforavsnitt"/>
    <w:locked/>
    <w:rsid w:val="000202F4"/>
    <w:rPr>
      <w:rFonts w:ascii="Arial" w:hAnsi="Arial"/>
      <w:b/>
      <w:sz w:val="24"/>
      <w:szCs w:val="22"/>
      <w:lang w:val="nb-NO" w:eastAsia="nb-NO" w:bidi="ar-SA"/>
    </w:rPr>
  </w:style>
  <w:style w:type="paragraph" w:customStyle="1" w:styleId="Sitat1">
    <w:name w:val="Sitat1"/>
    <w:basedOn w:val="Normal"/>
    <w:next w:val="Normal"/>
    <w:link w:val="QuoteChar"/>
    <w:rsid w:val="000202F4"/>
    <w:rPr>
      <w:i/>
      <w:iCs/>
      <w:color w:val="000000"/>
    </w:rPr>
  </w:style>
  <w:style w:type="character" w:customStyle="1" w:styleId="QuoteChar">
    <w:name w:val="Quote Char"/>
    <w:basedOn w:val="Standardskriftforavsnitt"/>
    <w:link w:val="Sitat1"/>
    <w:locked/>
    <w:rsid w:val="000202F4"/>
    <w:rPr>
      <w:rFonts w:ascii="Times" w:eastAsia="Batang" w:hAnsi="Times"/>
      <w:i/>
      <w:iCs/>
      <w:color w:val="000000"/>
      <w:sz w:val="24"/>
    </w:rPr>
  </w:style>
  <w:style w:type="paragraph" w:customStyle="1" w:styleId="Revisjon1">
    <w:name w:val="Revisjon1"/>
    <w:hidden/>
    <w:semiHidden/>
    <w:rsid w:val="000202F4"/>
    <w:rPr>
      <w:sz w:val="24"/>
    </w:rPr>
  </w:style>
  <w:style w:type="paragraph" w:customStyle="1" w:styleId="Overskriftforinnholdsfortegnelse1">
    <w:name w:val="Overskrift for innholdsfortegnelse1"/>
    <w:basedOn w:val="Overskrift1"/>
    <w:next w:val="Normal"/>
    <w:rsid w:val="000202F4"/>
    <w:pPr>
      <w:numPr>
        <w:numId w:val="0"/>
      </w:numPr>
      <w:spacing w:before="480" w:after="0"/>
      <w:outlineLvl w:val="9"/>
    </w:pPr>
    <w:rPr>
      <w:rFonts w:ascii="Cambria" w:eastAsia="Batang" w:hAnsi="Cambria" w:cs="Times New Roman"/>
      <w:bCs/>
      <w:color w:val="365F91"/>
      <w:sz w:val="28"/>
      <w:szCs w:val="28"/>
    </w:rPr>
  </w:style>
  <w:style w:type="paragraph" w:customStyle="1" w:styleId="Listeavsnitt1">
    <w:name w:val="Listeavsnitt1"/>
    <w:basedOn w:val="Normal"/>
    <w:rsid w:val="000202F4"/>
    <w:pPr>
      <w:spacing w:before="60" w:after="0" w:line="276" w:lineRule="auto"/>
      <w:ind w:left="397"/>
    </w:pPr>
    <w:rPr>
      <w:rFonts w:ascii="Times New Roman" w:eastAsia="Times New Roman" w:hAnsi="Times New Roman"/>
      <w:szCs w:val="22"/>
    </w:rPr>
  </w:style>
  <w:style w:type="character" w:customStyle="1" w:styleId="Plassholdertekst1">
    <w:name w:val="Plassholdertekst1"/>
    <w:basedOn w:val="Standardskriftforavsnitt"/>
    <w:semiHidden/>
    <w:rsid w:val="000202F4"/>
    <w:rPr>
      <w:rFonts w:cs="Times New Roman"/>
      <w:color w:val="808080"/>
    </w:rPr>
  </w:style>
  <w:style w:type="paragraph" w:customStyle="1" w:styleId="Sterktsitat1">
    <w:name w:val="Sterkt sitat1"/>
    <w:basedOn w:val="Normal"/>
    <w:next w:val="Normal"/>
    <w:link w:val="IntenseQuoteChar"/>
    <w:rsid w:val="000202F4"/>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rdskriftforavsnitt"/>
    <w:link w:val="Sterktsitat1"/>
    <w:locked/>
    <w:rsid w:val="000202F4"/>
    <w:rPr>
      <w:rFonts w:ascii="Times" w:eastAsia="Batang" w:hAnsi="Times"/>
      <w:b/>
      <w:bCs/>
      <w:i/>
      <w:iCs/>
      <w:color w:val="4F81BD"/>
      <w:sz w:val="24"/>
    </w:rPr>
  </w:style>
  <w:style w:type="character" w:customStyle="1" w:styleId="Svakutheving1">
    <w:name w:val="Svak utheving1"/>
    <w:basedOn w:val="Standardskriftforavsnitt"/>
    <w:rsid w:val="000202F4"/>
    <w:rPr>
      <w:rFonts w:cs="Times New Roman"/>
      <w:i/>
      <w:iCs/>
      <w:color w:val="808080"/>
    </w:rPr>
  </w:style>
  <w:style w:type="character" w:customStyle="1" w:styleId="Sterkutheving1">
    <w:name w:val="Sterk utheving1"/>
    <w:basedOn w:val="Standardskriftforavsnitt"/>
    <w:rsid w:val="000202F4"/>
    <w:rPr>
      <w:rFonts w:cs="Times New Roman"/>
      <w:b/>
      <w:bCs/>
      <w:i/>
      <w:iCs/>
      <w:color w:val="4F81BD"/>
    </w:rPr>
  </w:style>
  <w:style w:type="character" w:customStyle="1" w:styleId="Svakreferanse1">
    <w:name w:val="Svak referanse1"/>
    <w:basedOn w:val="Standardskriftforavsnitt"/>
    <w:rsid w:val="000202F4"/>
    <w:rPr>
      <w:rFonts w:cs="Times New Roman"/>
      <w:smallCaps/>
      <w:color w:val="C0504D"/>
      <w:u w:val="single"/>
    </w:rPr>
  </w:style>
  <w:style w:type="character" w:customStyle="1" w:styleId="Sterkreferanse1">
    <w:name w:val="Sterk referanse1"/>
    <w:basedOn w:val="Standardskriftforavsnitt"/>
    <w:rsid w:val="000202F4"/>
    <w:rPr>
      <w:rFonts w:cs="Times New Roman"/>
      <w:b/>
      <w:bCs/>
      <w:smallCaps/>
      <w:color w:val="C0504D"/>
      <w:spacing w:val="5"/>
      <w:u w:val="single"/>
    </w:rPr>
  </w:style>
  <w:style w:type="character" w:customStyle="1" w:styleId="Boktittel1">
    <w:name w:val="Boktittel1"/>
    <w:basedOn w:val="Standardskriftforavsnitt"/>
    <w:rsid w:val="000202F4"/>
    <w:rPr>
      <w:rFonts w:cs="Times New Roman"/>
      <w:b/>
      <w:bCs/>
      <w:smallCaps/>
      <w:spacing w:val="5"/>
    </w:rPr>
  </w:style>
  <w:style w:type="paragraph" w:customStyle="1" w:styleId="Bibliografi1">
    <w:name w:val="Bibliografi1"/>
    <w:basedOn w:val="Normal"/>
    <w:next w:val="Normal"/>
    <w:semiHidden/>
    <w:rsid w:val="000202F4"/>
  </w:style>
  <w:style w:type="paragraph" w:customStyle="1" w:styleId="B2">
    <w:name w:val="B2"/>
    <w:basedOn w:val="Normal"/>
    <w:uiPriority w:val="99"/>
    <w:rsid w:val="000202F4"/>
    <w:pPr>
      <w:tabs>
        <w:tab w:val="right" w:pos="4536"/>
        <w:tab w:val="right" w:pos="5245"/>
        <w:tab w:val="right" w:pos="5954"/>
        <w:tab w:val="right" w:pos="6804"/>
        <w:tab w:val="right" w:pos="7513"/>
        <w:tab w:val="right" w:pos="8364"/>
        <w:tab w:val="right" w:pos="9356"/>
      </w:tabs>
    </w:pPr>
    <w:rPr>
      <w:rFonts w:ascii="Tms Rmn" w:hAnsi="Tms Rmn"/>
      <w:noProof/>
      <w:sz w:val="20"/>
    </w:rPr>
  </w:style>
  <w:style w:type="paragraph" w:customStyle="1" w:styleId="Listeavsnitt20">
    <w:name w:val="Listeavsnitt2"/>
    <w:basedOn w:val="Normal"/>
    <w:rsid w:val="000202F4"/>
    <w:pPr>
      <w:spacing w:before="60" w:after="0" w:line="276" w:lineRule="auto"/>
      <w:ind w:left="397"/>
    </w:pPr>
    <w:rPr>
      <w:rFonts w:ascii="Times New Roman" w:eastAsia="Calibri" w:hAnsi="Times New Roman"/>
      <w:szCs w:val="22"/>
    </w:rPr>
  </w:style>
  <w:style w:type="paragraph" w:customStyle="1" w:styleId="Sammendrag">
    <w:name w:val="Sammendrag"/>
    <w:basedOn w:val="Overskrift1"/>
    <w:qFormat/>
    <w:rsid w:val="005B3209"/>
    <w:pPr>
      <w:numPr>
        <w:numId w:val="0"/>
      </w:numPr>
    </w:pPr>
  </w:style>
  <w:style w:type="paragraph" w:customStyle="1" w:styleId="TrykkeriMerknad">
    <w:name w:val="TrykkeriMerknad"/>
    <w:basedOn w:val="Normal"/>
    <w:qFormat/>
    <w:rsid w:val="005A0930"/>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TrykkeriMerknad"/>
    <w:qFormat/>
    <w:rsid w:val="005A0930"/>
    <w:pPr>
      <w:shd w:val="clear" w:color="auto" w:fill="FFFF99"/>
      <w:spacing w:line="240" w:lineRule="auto"/>
    </w:pPr>
    <w:rPr>
      <w:color w:val="632423" w:themeColor="accent2" w:themeShade="80"/>
    </w:rPr>
  </w:style>
  <w:style w:type="paragraph" w:customStyle="1" w:styleId="NoSpacing1">
    <w:name w:val="No Spacing1"/>
    <w:uiPriority w:val="99"/>
    <w:rsid w:val="007D3721"/>
    <w:rPr>
      <w:rFonts w:ascii="Times" w:hAnsi="Times" w:cstheme="minorBidi"/>
      <w:spacing w:val="4"/>
      <w:sz w:val="24"/>
      <w:szCs w:val="22"/>
    </w:rPr>
  </w:style>
  <w:style w:type="paragraph" w:customStyle="1" w:styleId="TOCHeading1">
    <w:name w:val="TOC Heading1"/>
    <w:basedOn w:val="Overskrift1"/>
    <w:next w:val="Normal"/>
    <w:uiPriority w:val="99"/>
    <w:rsid w:val="007D3721"/>
    <w:pPr>
      <w:numPr>
        <w:numId w:val="0"/>
      </w:numPr>
      <w:spacing w:before="480" w:after="0"/>
      <w:outlineLvl w:val="9"/>
    </w:pPr>
    <w:rPr>
      <w:rFonts w:ascii="Cambria" w:hAnsi="Cambria"/>
      <w:bCs/>
      <w:color w:val="365F91"/>
      <w:sz w:val="28"/>
      <w:szCs w:val="28"/>
    </w:rPr>
  </w:style>
  <w:style w:type="character" w:customStyle="1" w:styleId="PlaceholderText1">
    <w:name w:val="Placeholder Text1"/>
    <w:basedOn w:val="Standardskriftforavsnitt"/>
    <w:uiPriority w:val="99"/>
    <w:rsid w:val="007D3721"/>
    <w:rPr>
      <w:rFonts w:cs="Times New Roman"/>
      <w:color w:val="808080"/>
    </w:rPr>
  </w:style>
  <w:style w:type="paragraph" w:customStyle="1" w:styleId="IntenseQuote1">
    <w:name w:val="Intense Quote1"/>
    <w:basedOn w:val="Normal"/>
    <w:next w:val="Normal"/>
    <w:link w:val="IntenseQuoteChar1"/>
    <w:uiPriority w:val="99"/>
    <w:rsid w:val="007D3721"/>
    <w:pPr>
      <w:pBdr>
        <w:bottom w:val="single" w:sz="4" w:space="4" w:color="4F81BD"/>
      </w:pBdr>
      <w:spacing w:before="200" w:after="280"/>
      <w:ind w:left="936" w:right="936"/>
    </w:pPr>
    <w:rPr>
      <w:b/>
      <w:bCs/>
      <w:i/>
      <w:iCs/>
      <w:color w:val="4F81BD"/>
    </w:rPr>
  </w:style>
  <w:style w:type="character" w:customStyle="1" w:styleId="IntenseQuoteChar1">
    <w:name w:val="Intense Quote Char1"/>
    <w:basedOn w:val="Standardskriftforavsnitt"/>
    <w:link w:val="IntenseQuote1"/>
    <w:uiPriority w:val="99"/>
    <w:locked/>
    <w:rsid w:val="007D3721"/>
    <w:rPr>
      <w:rFonts w:ascii="Times" w:eastAsia="Batang" w:hAnsi="Times"/>
      <w:b/>
      <w:bCs/>
      <w:i/>
      <w:iCs/>
      <w:color w:val="4F81BD"/>
      <w:sz w:val="24"/>
    </w:rPr>
  </w:style>
  <w:style w:type="character" w:customStyle="1" w:styleId="SubtleEmphasis1">
    <w:name w:val="Subtle Emphasis1"/>
    <w:basedOn w:val="Standardskriftforavsnitt"/>
    <w:uiPriority w:val="99"/>
    <w:rsid w:val="007D3721"/>
    <w:rPr>
      <w:rFonts w:cs="Times New Roman"/>
      <w:i/>
      <w:iCs/>
      <w:color w:val="808080"/>
    </w:rPr>
  </w:style>
  <w:style w:type="paragraph" w:customStyle="1" w:styleId="ListParagraph1">
    <w:name w:val="List Paragraph1"/>
    <w:basedOn w:val="Normal"/>
    <w:uiPriority w:val="99"/>
    <w:rsid w:val="007D3721"/>
    <w:pPr>
      <w:spacing w:before="60" w:after="0" w:line="276" w:lineRule="auto"/>
      <w:ind w:left="397"/>
    </w:pPr>
    <w:rPr>
      <w:rFonts w:ascii="Times New Roman" w:eastAsia="Times New Roman" w:hAnsi="Times New Roman"/>
    </w:rPr>
  </w:style>
  <w:style w:type="paragraph" w:customStyle="1" w:styleId="Quote1">
    <w:name w:val="Quote1"/>
    <w:basedOn w:val="Normal"/>
    <w:next w:val="Normal"/>
    <w:link w:val="QuoteChar1"/>
    <w:uiPriority w:val="99"/>
    <w:rsid w:val="007D3721"/>
    <w:rPr>
      <w:i/>
      <w:iCs/>
      <w:color w:val="000000"/>
    </w:rPr>
  </w:style>
  <w:style w:type="character" w:customStyle="1" w:styleId="QuoteChar1">
    <w:name w:val="Quote Char1"/>
    <w:basedOn w:val="Standardskriftforavsnitt"/>
    <w:link w:val="Quote1"/>
    <w:uiPriority w:val="99"/>
    <w:locked/>
    <w:rsid w:val="007D3721"/>
    <w:rPr>
      <w:rFonts w:ascii="Times" w:eastAsia="Batang" w:hAnsi="Times"/>
      <w:i/>
      <w:iCs/>
      <w:color w:val="000000"/>
      <w:sz w:val="24"/>
    </w:rPr>
  </w:style>
  <w:style w:type="character" w:customStyle="1" w:styleId="IntenseEmphasis1">
    <w:name w:val="Intense Emphasis1"/>
    <w:basedOn w:val="Standardskriftforavsnitt"/>
    <w:uiPriority w:val="99"/>
    <w:rsid w:val="007D3721"/>
    <w:rPr>
      <w:rFonts w:cs="Times New Roman"/>
      <w:b/>
      <w:bCs/>
      <w:i/>
      <w:iCs/>
      <w:color w:val="4F81BD"/>
    </w:rPr>
  </w:style>
  <w:style w:type="character" w:customStyle="1" w:styleId="SubtleReference1">
    <w:name w:val="Subtle Reference1"/>
    <w:basedOn w:val="Standardskriftforavsnitt"/>
    <w:uiPriority w:val="99"/>
    <w:rsid w:val="007D3721"/>
    <w:rPr>
      <w:rFonts w:cs="Times New Roman"/>
      <w:smallCaps/>
      <w:color w:val="C0504D"/>
      <w:u w:val="single"/>
    </w:rPr>
  </w:style>
  <w:style w:type="character" w:customStyle="1" w:styleId="IntenseReference1">
    <w:name w:val="Intense Reference1"/>
    <w:basedOn w:val="Standardskriftforavsnitt"/>
    <w:uiPriority w:val="99"/>
    <w:rsid w:val="007D3721"/>
    <w:rPr>
      <w:rFonts w:cs="Times New Roman"/>
      <w:b/>
      <w:bCs/>
      <w:smallCaps/>
      <w:color w:val="C0504D"/>
      <w:spacing w:val="5"/>
      <w:u w:val="single"/>
    </w:rPr>
  </w:style>
  <w:style w:type="character" w:customStyle="1" w:styleId="BookTitle1">
    <w:name w:val="Book Title1"/>
    <w:basedOn w:val="Standardskriftforavsnitt"/>
    <w:uiPriority w:val="99"/>
    <w:rsid w:val="007D3721"/>
    <w:rPr>
      <w:rFonts w:cs="Times New Roman"/>
      <w:b/>
      <w:bCs/>
      <w:smallCaps/>
      <w:spacing w:val="5"/>
    </w:rPr>
  </w:style>
  <w:style w:type="paragraph" w:customStyle="1" w:styleId="Bibliography1">
    <w:name w:val="Bibliography1"/>
    <w:basedOn w:val="Normal"/>
    <w:next w:val="Normal"/>
    <w:uiPriority w:val="99"/>
    <w:semiHidden/>
    <w:rsid w:val="007D3721"/>
  </w:style>
  <w:style w:type="paragraph" w:customStyle="1" w:styleId="Revision1">
    <w:name w:val="Revision1"/>
    <w:hidden/>
    <w:uiPriority w:val="99"/>
    <w:semiHidden/>
    <w:rsid w:val="007D3721"/>
    <w:rPr>
      <w:rFonts w:ascii="Arial" w:hAnsi="Arial" w:cstheme="minorBidi"/>
      <w:spacing w:val="4"/>
      <w:sz w:val="24"/>
      <w:szCs w:val="22"/>
    </w:rPr>
  </w:style>
  <w:style w:type="paragraph" w:customStyle="1" w:styleId="apiinline">
    <w:name w:val="apiinline"/>
    <w:basedOn w:val="Normal"/>
    <w:uiPriority w:val="99"/>
    <w:rsid w:val="007D3721"/>
    <w:pPr>
      <w:spacing w:before="100" w:beforeAutospacing="1" w:after="100" w:afterAutospacing="1"/>
    </w:pPr>
    <w:rPr>
      <w:rFonts w:ascii="Times New Roman" w:eastAsia="Times New Roman" w:hAnsi="Times New Roman"/>
      <w:szCs w:val="24"/>
    </w:rPr>
  </w:style>
  <w:style w:type="paragraph" w:customStyle="1" w:styleId="font9">
    <w:name w:val="font9"/>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font10">
    <w:name w:val="font10"/>
    <w:basedOn w:val="Normal"/>
    <w:uiPriority w:val="99"/>
    <w:rsid w:val="007D3721"/>
    <w:pPr>
      <w:spacing w:before="100" w:beforeAutospacing="1" w:after="100" w:afterAutospacing="1"/>
    </w:pPr>
    <w:rPr>
      <w:rFonts w:ascii="Times New Roman" w:eastAsia="Times New Roman" w:hAnsi="Times New Roman"/>
      <w:sz w:val="14"/>
      <w:szCs w:val="14"/>
    </w:rPr>
  </w:style>
  <w:style w:type="paragraph" w:customStyle="1" w:styleId="font11">
    <w:name w:val="font11"/>
    <w:basedOn w:val="Normal"/>
    <w:uiPriority w:val="99"/>
    <w:rsid w:val="007D3721"/>
    <w:pPr>
      <w:spacing w:before="100" w:beforeAutospacing="1" w:after="100" w:afterAutospacing="1"/>
    </w:pPr>
    <w:rPr>
      <w:rFonts w:ascii="Arial" w:eastAsia="Times New Roman" w:hAnsi="Arial" w:cs="Arial"/>
      <w:szCs w:val="24"/>
    </w:rPr>
  </w:style>
  <w:style w:type="paragraph" w:customStyle="1" w:styleId="xl70">
    <w:name w:val="xl70"/>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1">
    <w:name w:val="xl71"/>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72">
    <w:name w:val="xl72"/>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3">
    <w:name w:val="xl73"/>
    <w:basedOn w:val="Normal"/>
    <w:uiPriority w:val="99"/>
    <w:rsid w:val="007D3721"/>
    <w:pPr>
      <w:pBdr>
        <w:bottom w:val="single" w:sz="8" w:space="0" w:color="auto"/>
      </w:pBdr>
      <w:spacing w:before="100" w:beforeAutospacing="1" w:after="100" w:afterAutospacing="1"/>
    </w:pPr>
    <w:rPr>
      <w:rFonts w:ascii="Times New Roman" w:eastAsia="Times New Roman" w:hAnsi="Times New Roman"/>
      <w:b/>
      <w:bCs/>
      <w:sz w:val="20"/>
    </w:rPr>
  </w:style>
  <w:style w:type="paragraph" w:customStyle="1" w:styleId="xl74">
    <w:name w:val="xl74"/>
    <w:basedOn w:val="Normal"/>
    <w:uiPriority w:val="99"/>
    <w:rsid w:val="007D3721"/>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75">
    <w:name w:val="xl75"/>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76">
    <w:name w:val="xl76"/>
    <w:basedOn w:val="Normal"/>
    <w:uiPriority w:val="99"/>
    <w:rsid w:val="007D3721"/>
    <w:pPr>
      <w:spacing w:before="100" w:beforeAutospacing="1" w:after="100" w:afterAutospacing="1"/>
      <w:jc w:val="right"/>
    </w:pPr>
    <w:rPr>
      <w:rFonts w:ascii="Times New Roman" w:eastAsia="Times New Roman" w:hAnsi="Times New Roman"/>
      <w:sz w:val="20"/>
    </w:rPr>
  </w:style>
  <w:style w:type="paragraph" w:customStyle="1" w:styleId="xl77">
    <w:name w:val="xl77"/>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78">
    <w:name w:val="xl78"/>
    <w:basedOn w:val="Normal"/>
    <w:uiPriority w:val="99"/>
    <w:rsid w:val="007D3721"/>
    <w:pPr>
      <w:spacing w:before="100" w:beforeAutospacing="1" w:after="100" w:afterAutospacing="1"/>
    </w:pPr>
    <w:rPr>
      <w:rFonts w:ascii="Times New Roman" w:eastAsia="Times New Roman" w:hAnsi="Times New Roman"/>
      <w:sz w:val="20"/>
    </w:rPr>
  </w:style>
  <w:style w:type="paragraph" w:customStyle="1" w:styleId="xl79">
    <w:name w:val="xl79"/>
    <w:basedOn w:val="Normal"/>
    <w:uiPriority w:val="99"/>
    <w:rsid w:val="007D3721"/>
    <w:pPr>
      <w:spacing w:before="100" w:beforeAutospacing="1" w:after="100" w:afterAutospacing="1"/>
      <w:ind w:firstLineChars="100" w:firstLine="100"/>
    </w:pPr>
    <w:rPr>
      <w:rFonts w:ascii="Times New Roman" w:eastAsia="Times New Roman" w:hAnsi="Times New Roman"/>
      <w:sz w:val="20"/>
    </w:rPr>
  </w:style>
  <w:style w:type="paragraph" w:customStyle="1" w:styleId="xl80">
    <w:name w:val="xl80"/>
    <w:basedOn w:val="Normal"/>
    <w:uiPriority w:val="99"/>
    <w:rsid w:val="007D3721"/>
    <w:pPr>
      <w:spacing w:before="100" w:beforeAutospacing="1" w:after="100" w:afterAutospacing="1"/>
      <w:ind w:firstLineChars="300" w:firstLine="300"/>
    </w:pPr>
    <w:rPr>
      <w:rFonts w:ascii="Symbol" w:eastAsia="Times New Roman" w:hAnsi="Symbol"/>
      <w:sz w:val="20"/>
    </w:rPr>
  </w:style>
  <w:style w:type="paragraph" w:customStyle="1" w:styleId="xl81">
    <w:name w:val="xl81"/>
    <w:basedOn w:val="Normal"/>
    <w:uiPriority w:val="99"/>
    <w:rsid w:val="007D3721"/>
    <w:pPr>
      <w:spacing w:before="100" w:beforeAutospacing="1" w:after="100" w:afterAutospacing="1"/>
      <w:ind w:firstLineChars="100" w:firstLine="100"/>
    </w:pPr>
    <w:rPr>
      <w:rFonts w:ascii="Times New Roman" w:eastAsia="Times New Roman" w:hAnsi="Times New Roman"/>
      <w:b/>
      <w:bCs/>
      <w:sz w:val="20"/>
    </w:rPr>
  </w:style>
  <w:style w:type="paragraph" w:customStyle="1" w:styleId="xl82">
    <w:name w:val="xl82"/>
    <w:basedOn w:val="Normal"/>
    <w:uiPriority w:val="99"/>
    <w:rsid w:val="007D3721"/>
    <w:pPr>
      <w:spacing w:before="100" w:beforeAutospacing="1" w:after="100" w:afterAutospacing="1"/>
      <w:ind w:firstLineChars="100" w:firstLine="100"/>
    </w:pPr>
    <w:rPr>
      <w:rFonts w:ascii="Symbol" w:eastAsia="Times New Roman" w:hAnsi="Symbol"/>
      <w:sz w:val="20"/>
    </w:rPr>
  </w:style>
  <w:style w:type="paragraph" w:customStyle="1" w:styleId="xl83">
    <w:name w:val="xl83"/>
    <w:basedOn w:val="Normal"/>
    <w:uiPriority w:val="99"/>
    <w:rsid w:val="007D3721"/>
    <w:pPr>
      <w:pBdr>
        <w:top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84">
    <w:name w:val="xl84"/>
    <w:basedOn w:val="Normal"/>
    <w:uiPriority w:val="99"/>
    <w:rsid w:val="007D3721"/>
    <w:pPr>
      <w:spacing w:before="100" w:beforeAutospacing="1" w:after="100" w:afterAutospacing="1"/>
    </w:pPr>
    <w:rPr>
      <w:rFonts w:ascii="Arial" w:eastAsia="Times New Roman" w:hAnsi="Arial" w:cs="Arial"/>
      <w:color w:val="000000"/>
      <w:szCs w:val="24"/>
    </w:rPr>
  </w:style>
  <w:style w:type="paragraph" w:customStyle="1" w:styleId="xl85">
    <w:name w:val="xl85"/>
    <w:basedOn w:val="Normal"/>
    <w:uiPriority w:val="99"/>
    <w:rsid w:val="007D3721"/>
    <w:pPr>
      <w:pBdr>
        <w:top w:val="single" w:sz="8" w:space="0" w:color="auto"/>
      </w:pBdr>
      <w:spacing w:before="100" w:beforeAutospacing="1" w:after="100" w:afterAutospacing="1"/>
      <w:jc w:val="right"/>
    </w:pPr>
    <w:rPr>
      <w:rFonts w:ascii="Times New Roman" w:eastAsia="Times New Roman" w:hAnsi="Times New Roman"/>
      <w:sz w:val="20"/>
    </w:rPr>
  </w:style>
  <w:style w:type="paragraph" w:customStyle="1" w:styleId="xl86">
    <w:name w:val="xl86"/>
    <w:basedOn w:val="Normal"/>
    <w:uiPriority w:val="99"/>
    <w:rsid w:val="007D3721"/>
    <w:pPr>
      <w:spacing w:before="100" w:beforeAutospacing="1" w:after="100" w:afterAutospacing="1"/>
      <w:jc w:val="center"/>
    </w:pPr>
    <w:rPr>
      <w:rFonts w:ascii="Times New Roman" w:eastAsia="Times New Roman" w:hAnsi="Times New Roman"/>
      <w:color w:val="008080"/>
      <w:sz w:val="20"/>
      <w:u w:val="single"/>
    </w:rPr>
  </w:style>
  <w:style w:type="paragraph" w:customStyle="1" w:styleId="xl87">
    <w:name w:val="xl87"/>
    <w:basedOn w:val="Normal"/>
    <w:uiPriority w:val="99"/>
    <w:rsid w:val="007D3721"/>
    <w:pPr>
      <w:spacing w:before="100" w:beforeAutospacing="1" w:after="100" w:afterAutospacing="1"/>
      <w:jc w:val="right"/>
    </w:pPr>
    <w:rPr>
      <w:rFonts w:ascii="Times New Roman" w:eastAsia="Times New Roman" w:hAnsi="Times New Roman"/>
      <w:color w:val="008080"/>
      <w:sz w:val="20"/>
      <w:u w:val="single"/>
    </w:rPr>
  </w:style>
  <w:style w:type="paragraph" w:customStyle="1" w:styleId="xl88">
    <w:name w:val="xl88"/>
    <w:basedOn w:val="Normal"/>
    <w:uiPriority w:val="99"/>
    <w:rsid w:val="007D3721"/>
    <w:pPr>
      <w:spacing w:before="100" w:beforeAutospacing="1" w:after="100" w:afterAutospacing="1"/>
      <w:ind w:firstLineChars="200" w:firstLine="200"/>
      <w:jc w:val="right"/>
    </w:pPr>
    <w:rPr>
      <w:rFonts w:ascii="Times New Roman" w:eastAsia="Times New Roman" w:hAnsi="Times New Roman"/>
      <w:sz w:val="20"/>
    </w:rPr>
  </w:style>
  <w:style w:type="paragraph" w:customStyle="1" w:styleId="xl89">
    <w:name w:val="xl89"/>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color w:val="008080"/>
      <w:sz w:val="20"/>
      <w:u w:val="single"/>
    </w:rPr>
  </w:style>
  <w:style w:type="paragraph" w:customStyle="1" w:styleId="xl90">
    <w:name w:val="xl90"/>
    <w:basedOn w:val="Normal"/>
    <w:uiPriority w:val="99"/>
    <w:rsid w:val="007D3721"/>
    <w:pPr>
      <w:pBdr>
        <w:bottom w:val="single" w:sz="8" w:space="0" w:color="auto"/>
      </w:pBdr>
      <w:spacing w:before="100" w:beforeAutospacing="1" w:after="100" w:afterAutospacing="1"/>
      <w:jc w:val="right"/>
    </w:pPr>
    <w:rPr>
      <w:rFonts w:ascii="Times New Roman" w:eastAsia="Times New Roman" w:hAnsi="Times New Roman"/>
      <w:color w:val="008080"/>
      <w:sz w:val="20"/>
      <w:u w:val="single"/>
    </w:rPr>
  </w:style>
  <w:style w:type="paragraph" w:customStyle="1" w:styleId="xl91">
    <w:name w:val="xl91"/>
    <w:basedOn w:val="Normal"/>
    <w:uiPriority w:val="99"/>
    <w:rsid w:val="007D3721"/>
    <w:pPr>
      <w:spacing w:before="100" w:beforeAutospacing="1" w:after="100" w:afterAutospacing="1"/>
    </w:pPr>
    <w:rPr>
      <w:rFonts w:ascii="Times New Roman" w:eastAsia="Times New Roman" w:hAnsi="Times New Roman"/>
      <w:i/>
      <w:iCs/>
      <w:sz w:val="20"/>
    </w:rPr>
  </w:style>
  <w:style w:type="paragraph" w:customStyle="1" w:styleId="xl92">
    <w:name w:val="xl92"/>
    <w:basedOn w:val="Normal"/>
    <w:uiPriority w:val="99"/>
    <w:rsid w:val="007D3721"/>
    <w:pPr>
      <w:spacing w:before="100" w:beforeAutospacing="1" w:after="100" w:afterAutospacing="1"/>
    </w:pPr>
    <w:rPr>
      <w:rFonts w:ascii="Times New Roman" w:eastAsia="Times New Roman" w:hAnsi="Times New Roman"/>
      <w:b/>
      <w:bCs/>
      <w:sz w:val="20"/>
    </w:rPr>
  </w:style>
  <w:style w:type="paragraph" w:customStyle="1" w:styleId="xl93">
    <w:name w:val="xl93"/>
    <w:basedOn w:val="Normal"/>
    <w:uiPriority w:val="99"/>
    <w:rsid w:val="007D3721"/>
    <w:pPr>
      <w:pBdr>
        <w:bottom w:val="single" w:sz="8" w:space="0" w:color="auto"/>
      </w:pBdr>
      <w:spacing w:before="100" w:beforeAutospacing="1" w:after="100" w:afterAutospacing="1"/>
    </w:pPr>
    <w:rPr>
      <w:rFonts w:ascii="Times New Roman" w:eastAsia="Times New Roman" w:hAnsi="Times New Roman"/>
      <w:sz w:val="20"/>
    </w:rPr>
  </w:style>
  <w:style w:type="paragraph" w:customStyle="1" w:styleId="xl94">
    <w:name w:val="xl94"/>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5">
    <w:name w:val="xl95"/>
    <w:basedOn w:val="Normal"/>
    <w:uiPriority w:val="99"/>
    <w:rsid w:val="007D3721"/>
    <w:pPr>
      <w:pBdr>
        <w:bottom w:val="single" w:sz="8" w:space="0" w:color="auto"/>
      </w:pBdr>
      <w:spacing w:before="100" w:beforeAutospacing="1" w:after="100" w:afterAutospacing="1"/>
      <w:jc w:val="center"/>
    </w:pPr>
    <w:rPr>
      <w:rFonts w:ascii="Times New Roman" w:eastAsia="Times New Roman" w:hAnsi="Times New Roman"/>
      <w:sz w:val="20"/>
    </w:rPr>
  </w:style>
  <w:style w:type="paragraph" w:customStyle="1" w:styleId="xl96">
    <w:name w:val="xl96"/>
    <w:basedOn w:val="Normal"/>
    <w:uiPriority w:val="99"/>
    <w:rsid w:val="007D3721"/>
    <w:pPr>
      <w:spacing w:before="100" w:beforeAutospacing="1" w:after="100" w:afterAutospacing="1"/>
      <w:jc w:val="center"/>
    </w:pPr>
    <w:rPr>
      <w:rFonts w:ascii="Times New Roman" w:eastAsia="Times New Roman" w:hAnsi="Times New Roman"/>
      <w:sz w:val="20"/>
    </w:rPr>
  </w:style>
  <w:style w:type="paragraph" w:customStyle="1" w:styleId="xl97">
    <w:name w:val="xl97"/>
    <w:basedOn w:val="Normal"/>
    <w:uiPriority w:val="99"/>
    <w:rsid w:val="007D3721"/>
    <w:pPr>
      <w:pBdr>
        <w:top w:val="single" w:sz="8" w:space="0" w:color="auto"/>
      </w:pBdr>
      <w:spacing w:before="100" w:beforeAutospacing="1" w:after="100" w:afterAutospacing="1"/>
    </w:pPr>
    <w:rPr>
      <w:rFonts w:ascii="Times New Roman" w:eastAsia="Times New Roman" w:hAnsi="Times New Roman"/>
      <w:b/>
      <w:bCs/>
      <w:sz w:val="20"/>
    </w:rPr>
  </w:style>
  <w:style w:type="character" w:customStyle="1" w:styleId="Heading3Char">
    <w:name w:val="Heading 3 Char"/>
    <w:aliases w:val="Overskrift 3 Tegn Tegn Char,Overskrift 3 Tegn Tegn Tegn Tegn Char,Heading 3 Char2"/>
    <w:basedOn w:val="Standardskriftforavsnitt"/>
    <w:uiPriority w:val="99"/>
    <w:semiHidden/>
    <w:locked/>
    <w:rsid w:val="007D3721"/>
    <w:rPr>
      <w:rFonts w:ascii="Cambria" w:hAnsi="Cambria" w:cs="Times New Roman"/>
      <w:b/>
      <w:bCs/>
      <w:sz w:val="26"/>
      <w:szCs w:val="26"/>
    </w:rPr>
  </w:style>
  <w:style w:type="character" w:customStyle="1" w:styleId="k-uthevet">
    <w:name w:val="k-uthevet"/>
    <w:basedOn w:val="Standardskriftforavsnitt"/>
    <w:uiPriority w:val="99"/>
    <w:rsid w:val="00FD605A"/>
  </w:style>
  <w:style w:type="character" w:customStyle="1" w:styleId="ListeavsnittTegn">
    <w:name w:val="Listeavsnitt Tegn"/>
    <w:basedOn w:val="Standardskriftforavsnitt"/>
    <w:link w:val="Listeavsnitt"/>
    <w:uiPriority w:val="34"/>
    <w:locked/>
    <w:rsid w:val="00F33E58"/>
    <w:rPr>
      <w:rFonts w:cstheme="minorBidi"/>
      <w:sz w:val="24"/>
      <w:szCs w:val="22"/>
    </w:rPr>
  </w:style>
  <w:style w:type="paragraph" w:customStyle="1" w:styleId="B3">
    <w:name w:val="B3"/>
    <w:basedOn w:val="Normal"/>
    <w:uiPriority w:val="99"/>
    <w:rsid w:val="00180A8B"/>
    <w:pPr>
      <w:tabs>
        <w:tab w:val="right" w:pos="4536"/>
        <w:tab w:val="right" w:pos="5245"/>
        <w:tab w:val="right" w:pos="5954"/>
        <w:tab w:val="right" w:pos="6804"/>
        <w:tab w:val="right" w:pos="7513"/>
        <w:tab w:val="right" w:pos="8364"/>
        <w:tab w:val="right" w:pos="9356"/>
      </w:tabs>
    </w:pPr>
    <w:rPr>
      <w:rFonts w:ascii="Tms Rmn" w:hAnsi="Tms Rmn"/>
      <w:noProof/>
      <w:sz w:val="20"/>
    </w:rPr>
  </w:style>
  <w:style w:type="character" w:customStyle="1" w:styleId="QuoteChar2">
    <w:name w:val="Quote Char2"/>
    <w:basedOn w:val="Standardskriftforavsnitt"/>
    <w:uiPriority w:val="99"/>
    <w:locked/>
    <w:rsid w:val="00180A8B"/>
    <w:rPr>
      <w:rFonts w:ascii="Times" w:eastAsia="Batang" w:hAnsi="Times"/>
      <w:i/>
      <w:iCs/>
      <w:color w:val="000000"/>
      <w:sz w:val="24"/>
    </w:rPr>
  </w:style>
  <w:style w:type="character" w:customStyle="1" w:styleId="IntenseQuoteChar2">
    <w:name w:val="Intense Quote Char2"/>
    <w:basedOn w:val="Standardskriftforavsnitt"/>
    <w:uiPriority w:val="99"/>
    <w:locked/>
    <w:rsid w:val="00180A8B"/>
    <w:rPr>
      <w:rFonts w:ascii="Times" w:eastAsia="Batang" w:hAnsi="Times"/>
      <w:b/>
      <w:bCs/>
      <w:i/>
      <w:iCs/>
      <w:color w:val="4F81BD"/>
      <w:sz w:val="24"/>
    </w:rPr>
  </w:style>
  <w:style w:type="paragraph" w:customStyle="1" w:styleId="NoSpacing11">
    <w:name w:val="No Spacing11"/>
    <w:uiPriority w:val="99"/>
    <w:rsid w:val="00180A8B"/>
    <w:rPr>
      <w:rFonts w:ascii="Times" w:hAnsi="Times"/>
      <w:sz w:val="24"/>
    </w:rPr>
  </w:style>
  <w:style w:type="paragraph" w:customStyle="1" w:styleId="TOCHeading11">
    <w:name w:val="TOC Heading11"/>
    <w:basedOn w:val="Overskrift1"/>
    <w:next w:val="Normal"/>
    <w:uiPriority w:val="99"/>
    <w:rsid w:val="00180A8B"/>
    <w:pPr>
      <w:numPr>
        <w:numId w:val="0"/>
      </w:numPr>
      <w:spacing w:before="480" w:after="0"/>
      <w:outlineLvl w:val="9"/>
    </w:pPr>
    <w:rPr>
      <w:rFonts w:ascii="Cambria" w:eastAsia="Batang" w:hAnsi="Cambria" w:cs="Times New Roman"/>
      <w:bCs/>
      <w:color w:val="365F91"/>
      <w:sz w:val="28"/>
      <w:szCs w:val="28"/>
    </w:rPr>
  </w:style>
  <w:style w:type="character" w:customStyle="1" w:styleId="PlaceholderText11">
    <w:name w:val="Placeholder Text11"/>
    <w:basedOn w:val="Standardskriftforavsnitt"/>
    <w:uiPriority w:val="99"/>
    <w:rsid w:val="00180A8B"/>
    <w:rPr>
      <w:rFonts w:cs="Times New Roman"/>
      <w:color w:val="808080"/>
    </w:rPr>
  </w:style>
  <w:style w:type="paragraph" w:customStyle="1" w:styleId="IntenseQuote11">
    <w:name w:val="Intense Quote11"/>
    <w:basedOn w:val="Normal"/>
    <w:next w:val="Normal"/>
    <w:uiPriority w:val="99"/>
    <w:rsid w:val="00180A8B"/>
    <w:pPr>
      <w:pBdr>
        <w:bottom w:val="single" w:sz="4" w:space="4" w:color="4F81BD"/>
      </w:pBdr>
      <w:spacing w:before="200" w:after="280"/>
      <w:ind w:left="936" w:right="936"/>
    </w:pPr>
    <w:rPr>
      <w:b/>
      <w:bCs/>
      <w:i/>
      <w:iCs/>
      <w:color w:val="4F81BD"/>
    </w:rPr>
  </w:style>
  <w:style w:type="character" w:customStyle="1" w:styleId="SubtleEmphasis11">
    <w:name w:val="Subtle Emphasis11"/>
    <w:basedOn w:val="Standardskriftforavsnitt"/>
    <w:uiPriority w:val="99"/>
    <w:rsid w:val="00180A8B"/>
    <w:rPr>
      <w:rFonts w:cs="Times New Roman"/>
      <w:i/>
      <w:iCs/>
      <w:color w:val="808080"/>
    </w:rPr>
  </w:style>
  <w:style w:type="paragraph" w:customStyle="1" w:styleId="ListParagraph11">
    <w:name w:val="List Paragraph11"/>
    <w:basedOn w:val="Normal"/>
    <w:uiPriority w:val="99"/>
    <w:rsid w:val="00180A8B"/>
    <w:pPr>
      <w:spacing w:before="60" w:after="0" w:line="276" w:lineRule="auto"/>
      <w:ind w:left="397"/>
    </w:pPr>
    <w:rPr>
      <w:rFonts w:ascii="Times New Roman" w:eastAsia="Times New Roman" w:hAnsi="Times New Roman"/>
      <w:szCs w:val="22"/>
    </w:rPr>
  </w:style>
  <w:style w:type="paragraph" w:customStyle="1" w:styleId="Quote11">
    <w:name w:val="Quote11"/>
    <w:basedOn w:val="Normal"/>
    <w:next w:val="Normal"/>
    <w:uiPriority w:val="99"/>
    <w:rsid w:val="00180A8B"/>
    <w:rPr>
      <w:i/>
      <w:iCs/>
      <w:color w:val="000000"/>
    </w:rPr>
  </w:style>
  <w:style w:type="character" w:customStyle="1" w:styleId="IntenseEmphasis11">
    <w:name w:val="Intense Emphasis11"/>
    <w:basedOn w:val="Standardskriftforavsnitt"/>
    <w:uiPriority w:val="99"/>
    <w:rsid w:val="00180A8B"/>
    <w:rPr>
      <w:rFonts w:cs="Times New Roman"/>
      <w:b/>
      <w:bCs/>
      <w:i/>
      <w:iCs/>
      <w:color w:val="4F81BD"/>
    </w:rPr>
  </w:style>
  <w:style w:type="character" w:customStyle="1" w:styleId="SubtleReference11">
    <w:name w:val="Subtle Reference11"/>
    <w:basedOn w:val="Standardskriftforavsnitt"/>
    <w:uiPriority w:val="99"/>
    <w:rsid w:val="00180A8B"/>
    <w:rPr>
      <w:rFonts w:cs="Times New Roman"/>
      <w:smallCaps/>
      <w:color w:val="C0504D"/>
      <w:u w:val="single"/>
    </w:rPr>
  </w:style>
  <w:style w:type="character" w:customStyle="1" w:styleId="IntenseReference11">
    <w:name w:val="Intense Reference11"/>
    <w:basedOn w:val="Standardskriftforavsnitt"/>
    <w:uiPriority w:val="99"/>
    <w:rsid w:val="00180A8B"/>
    <w:rPr>
      <w:rFonts w:cs="Times New Roman"/>
      <w:b/>
      <w:bCs/>
      <w:smallCaps/>
      <w:color w:val="C0504D"/>
      <w:spacing w:val="5"/>
      <w:u w:val="single"/>
    </w:rPr>
  </w:style>
  <w:style w:type="character" w:customStyle="1" w:styleId="BookTitle11">
    <w:name w:val="Book Title11"/>
    <w:basedOn w:val="Standardskriftforavsnitt"/>
    <w:uiPriority w:val="99"/>
    <w:rsid w:val="00180A8B"/>
    <w:rPr>
      <w:rFonts w:cs="Times New Roman"/>
      <w:b/>
      <w:bCs/>
      <w:smallCaps/>
      <w:spacing w:val="5"/>
    </w:rPr>
  </w:style>
  <w:style w:type="paragraph" w:customStyle="1" w:styleId="Bibliography11">
    <w:name w:val="Bibliography11"/>
    <w:basedOn w:val="Normal"/>
    <w:next w:val="Normal"/>
    <w:uiPriority w:val="99"/>
    <w:semiHidden/>
    <w:rsid w:val="00180A8B"/>
  </w:style>
  <w:style w:type="paragraph" w:customStyle="1" w:styleId="Revision11">
    <w:name w:val="Revision11"/>
    <w:hidden/>
    <w:uiPriority w:val="99"/>
    <w:semiHidden/>
    <w:rsid w:val="00180A8B"/>
    <w:rPr>
      <w:sz w:val="24"/>
    </w:rPr>
  </w:style>
  <w:style w:type="character" w:customStyle="1" w:styleId="FiguroverskriftTegn">
    <w:name w:val="Figuroverskrift Tegn"/>
    <w:basedOn w:val="Standardskriftforavsnitt"/>
    <w:link w:val="Figuroverskrift"/>
    <w:locked/>
    <w:rsid w:val="00180A8B"/>
    <w:rPr>
      <w:b/>
      <w:sz w:val="22"/>
    </w:rPr>
  </w:style>
  <w:style w:type="table" w:customStyle="1" w:styleId="Lysskyggelegging1">
    <w:name w:val="Lys skyggelegging1"/>
    <w:basedOn w:val="Vanligtabell"/>
    <w:uiPriority w:val="99"/>
    <w:rsid w:val="00384C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verskrift19">
    <w:name w:val="Overskrift 19"/>
    <w:basedOn w:val="Normal"/>
    <w:uiPriority w:val="1"/>
    <w:qFormat/>
    <w:rsid w:val="001F07B3"/>
    <w:pPr>
      <w:widowControl w:val="0"/>
      <w:spacing w:after="0"/>
      <w:ind w:left="115"/>
      <w:outlineLvl w:val="1"/>
    </w:pPr>
    <w:rPr>
      <w:rFonts w:ascii="Times New Roman" w:eastAsia="Times New Roman" w:hAnsi="Times New Roman" w:cstheme="minorBidi"/>
      <w:b/>
      <w:bCs/>
      <w:szCs w:val="24"/>
      <w:lang w:val="en-US" w:eastAsia="en-US"/>
    </w:rPr>
  </w:style>
  <w:style w:type="table" w:customStyle="1" w:styleId="TableNormal">
    <w:name w:val="Table Normal"/>
    <w:uiPriority w:val="2"/>
    <w:semiHidden/>
    <w:unhideWhenUsed/>
    <w:qFormat/>
    <w:rsid w:val="001F07B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07B3"/>
    <w:pPr>
      <w:widowControl w:val="0"/>
      <w:spacing w:after="0"/>
    </w:pPr>
    <w:rPr>
      <w:rFonts w:asciiTheme="minorHAnsi" w:eastAsiaTheme="minorHAnsi" w:hAnsiTheme="minorHAnsi" w:cstheme="minorBidi"/>
      <w:sz w:val="22"/>
      <w:szCs w:val="22"/>
      <w:lang w:val="en-US" w:eastAsia="en-US"/>
    </w:rPr>
  </w:style>
  <w:style w:type="paragraph" w:customStyle="1" w:styleId="articleintro">
    <w:name w:val="articleintro"/>
    <w:basedOn w:val="Normal"/>
    <w:rsid w:val="001F07B3"/>
    <w:pPr>
      <w:spacing w:before="100" w:beforeAutospacing="1" w:after="100" w:afterAutospacing="1"/>
    </w:pPr>
    <w:rPr>
      <w:rFonts w:ascii="Times New Roman" w:eastAsia="Times New Roman" w:hAnsi="Times New Roman"/>
      <w:szCs w:val="24"/>
    </w:rPr>
  </w:style>
  <w:style w:type="paragraph" w:customStyle="1" w:styleId="mainarticle-intro">
    <w:name w:val="mainarticle-intro"/>
    <w:basedOn w:val="Normal"/>
    <w:rsid w:val="001F07B3"/>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Standardskriftforavsnitt"/>
    <w:rsid w:val="001F07B3"/>
  </w:style>
  <w:style w:type="paragraph" w:customStyle="1" w:styleId="k-a">
    <w:name w:val="k-a"/>
    <w:basedOn w:val="Normal"/>
    <w:rsid w:val="001F07B3"/>
    <w:pPr>
      <w:spacing w:before="100" w:beforeAutospacing="1" w:after="100" w:afterAutospacing="1"/>
    </w:pPr>
    <w:rPr>
      <w:rFonts w:ascii="Times New Roman" w:eastAsia="Times New Roman" w:hAnsi="Times New Roman"/>
      <w:szCs w:val="24"/>
    </w:rPr>
  </w:style>
  <w:style w:type="paragraph" w:customStyle="1" w:styleId="k-kilde">
    <w:name w:val="k-kilde"/>
    <w:basedOn w:val="Normal"/>
    <w:rsid w:val="001F07B3"/>
    <w:pPr>
      <w:spacing w:before="100" w:beforeAutospacing="1" w:after="100" w:afterAutospacing="1"/>
    </w:pPr>
    <w:rPr>
      <w:rFonts w:ascii="Times New Roman" w:eastAsia="Times New Roman" w:hAnsi="Times New Roman"/>
      <w:szCs w:val="24"/>
    </w:rPr>
  </w:style>
  <w:style w:type="paragraph" w:customStyle="1" w:styleId="Stil2">
    <w:name w:val="Stil2"/>
    <w:basedOn w:val="figur-tittel"/>
    <w:link w:val="Stil2Tegn"/>
    <w:qFormat/>
    <w:rsid w:val="006F55F8"/>
    <w:pPr>
      <w:numPr>
        <w:numId w:val="19"/>
      </w:numPr>
    </w:pPr>
  </w:style>
  <w:style w:type="character" w:customStyle="1" w:styleId="Stil2Tegn">
    <w:name w:val="Stil2 Tegn"/>
    <w:basedOn w:val="figur-tittelTegn"/>
    <w:link w:val="Stil2"/>
    <w:rsid w:val="006F55F8"/>
    <w:rPr>
      <w:rFonts w:ascii="Arial" w:hAnsi="Arial" w:cstheme="minorBidi"/>
      <w:spacing w:val="4"/>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5550">
      <w:bodyDiv w:val="1"/>
      <w:marLeft w:val="0"/>
      <w:marRight w:val="0"/>
      <w:marTop w:val="0"/>
      <w:marBottom w:val="0"/>
      <w:divBdr>
        <w:top w:val="none" w:sz="0" w:space="0" w:color="auto"/>
        <w:left w:val="none" w:sz="0" w:space="0" w:color="auto"/>
        <w:bottom w:val="none" w:sz="0" w:space="0" w:color="auto"/>
        <w:right w:val="none" w:sz="0" w:space="0" w:color="auto"/>
      </w:divBdr>
    </w:div>
    <w:div w:id="70590116">
      <w:bodyDiv w:val="1"/>
      <w:marLeft w:val="0"/>
      <w:marRight w:val="0"/>
      <w:marTop w:val="0"/>
      <w:marBottom w:val="0"/>
      <w:divBdr>
        <w:top w:val="none" w:sz="0" w:space="0" w:color="auto"/>
        <w:left w:val="none" w:sz="0" w:space="0" w:color="auto"/>
        <w:bottom w:val="none" w:sz="0" w:space="0" w:color="auto"/>
        <w:right w:val="none" w:sz="0" w:space="0" w:color="auto"/>
      </w:divBdr>
    </w:div>
    <w:div w:id="103037237">
      <w:bodyDiv w:val="1"/>
      <w:marLeft w:val="0"/>
      <w:marRight w:val="0"/>
      <w:marTop w:val="0"/>
      <w:marBottom w:val="0"/>
      <w:divBdr>
        <w:top w:val="none" w:sz="0" w:space="0" w:color="auto"/>
        <w:left w:val="none" w:sz="0" w:space="0" w:color="auto"/>
        <w:bottom w:val="none" w:sz="0" w:space="0" w:color="auto"/>
        <w:right w:val="none" w:sz="0" w:space="0" w:color="auto"/>
      </w:divBdr>
      <w:divsChild>
        <w:div w:id="135492713">
          <w:marLeft w:val="0"/>
          <w:marRight w:val="0"/>
          <w:marTop w:val="0"/>
          <w:marBottom w:val="0"/>
          <w:divBdr>
            <w:top w:val="none" w:sz="0" w:space="0" w:color="auto"/>
            <w:left w:val="none" w:sz="0" w:space="0" w:color="auto"/>
            <w:bottom w:val="none" w:sz="0" w:space="0" w:color="auto"/>
            <w:right w:val="none" w:sz="0" w:space="0" w:color="auto"/>
          </w:divBdr>
          <w:divsChild>
            <w:div w:id="1016346101">
              <w:marLeft w:val="0"/>
              <w:marRight w:val="0"/>
              <w:marTop w:val="0"/>
              <w:marBottom w:val="0"/>
              <w:divBdr>
                <w:top w:val="none" w:sz="0" w:space="0" w:color="auto"/>
                <w:left w:val="none" w:sz="0" w:space="0" w:color="auto"/>
                <w:bottom w:val="none" w:sz="0" w:space="0" w:color="auto"/>
                <w:right w:val="none" w:sz="0" w:space="0" w:color="auto"/>
              </w:divBdr>
              <w:divsChild>
                <w:div w:id="757019123">
                  <w:marLeft w:val="0"/>
                  <w:marRight w:val="0"/>
                  <w:marTop w:val="0"/>
                  <w:marBottom w:val="900"/>
                  <w:divBdr>
                    <w:top w:val="none" w:sz="0" w:space="0" w:color="auto"/>
                    <w:left w:val="none" w:sz="0" w:space="0" w:color="auto"/>
                    <w:bottom w:val="none" w:sz="0" w:space="0" w:color="auto"/>
                    <w:right w:val="none" w:sz="0" w:space="0" w:color="auto"/>
                  </w:divBdr>
                  <w:divsChild>
                    <w:div w:id="1079599602">
                      <w:marLeft w:val="0"/>
                      <w:marRight w:val="0"/>
                      <w:marTop w:val="0"/>
                      <w:marBottom w:val="0"/>
                      <w:divBdr>
                        <w:top w:val="none" w:sz="0" w:space="0" w:color="auto"/>
                        <w:left w:val="none" w:sz="0" w:space="0" w:color="auto"/>
                        <w:bottom w:val="none" w:sz="0" w:space="0" w:color="auto"/>
                        <w:right w:val="none" w:sz="0" w:space="0" w:color="auto"/>
                      </w:divBdr>
                      <w:divsChild>
                        <w:div w:id="395863069">
                          <w:marLeft w:val="0"/>
                          <w:marRight w:val="0"/>
                          <w:marTop w:val="0"/>
                          <w:marBottom w:val="0"/>
                          <w:divBdr>
                            <w:top w:val="none" w:sz="0" w:space="0" w:color="auto"/>
                            <w:left w:val="none" w:sz="0" w:space="0" w:color="auto"/>
                            <w:bottom w:val="none" w:sz="0" w:space="0" w:color="auto"/>
                            <w:right w:val="none" w:sz="0" w:space="0" w:color="auto"/>
                          </w:divBdr>
                          <w:divsChild>
                            <w:div w:id="932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90909">
      <w:bodyDiv w:val="1"/>
      <w:marLeft w:val="0"/>
      <w:marRight w:val="0"/>
      <w:marTop w:val="0"/>
      <w:marBottom w:val="0"/>
      <w:divBdr>
        <w:top w:val="none" w:sz="0" w:space="0" w:color="auto"/>
        <w:left w:val="none" w:sz="0" w:space="0" w:color="auto"/>
        <w:bottom w:val="none" w:sz="0" w:space="0" w:color="auto"/>
        <w:right w:val="none" w:sz="0" w:space="0" w:color="auto"/>
      </w:divBdr>
    </w:div>
    <w:div w:id="197397740">
      <w:bodyDiv w:val="1"/>
      <w:marLeft w:val="0"/>
      <w:marRight w:val="0"/>
      <w:marTop w:val="0"/>
      <w:marBottom w:val="0"/>
      <w:divBdr>
        <w:top w:val="none" w:sz="0" w:space="0" w:color="auto"/>
        <w:left w:val="none" w:sz="0" w:space="0" w:color="auto"/>
        <w:bottom w:val="none" w:sz="0" w:space="0" w:color="auto"/>
        <w:right w:val="none" w:sz="0" w:space="0" w:color="auto"/>
      </w:divBdr>
    </w:div>
    <w:div w:id="222302843">
      <w:bodyDiv w:val="1"/>
      <w:marLeft w:val="0"/>
      <w:marRight w:val="0"/>
      <w:marTop w:val="0"/>
      <w:marBottom w:val="0"/>
      <w:divBdr>
        <w:top w:val="none" w:sz="0" w:space="0" w:color="auto"/>
        <w:left w:val="none" w:sz="0" w:space="0" w:color="auto"/>
        <w:bottom w:val="none" w:sz="0" w:space="0" w:color="auto"/>
        <w:right w:val="none" w:sz="0" w:space="0" w:color="auto"/>
      </w:divBdr>
    </w:div>
    <w:div w:id="254217620">
      <w:bodyDiv w:val="1"/>
      <w:marLeft w:val="0"/>
      <w:marRight w:val="0"/>
      <w:marTop w:val="0"/>
      <w:marBottom w:val="0"/>
      <w:divBdr>
        <w:top w:val="none" w:sz="0" w:space="0" w:color="auto"/>
        <w:left w:val="none" w:sz="0" w:space="0" w:color="auto"/>
        <w:bottom w:val="none" w:sz="0" w:space="0" w:color="auto"/>
        <w:right w:val="none" w:sz="0" w:space="0" w:color="auto"/>
      </w:divBdr>
    </w:div>
    <w:div w:id="429355863">
      <w:bodyDiv w:val="1"/>
      <w:marLeft w:val="0"/>
      <w:marRight w:val="0"/>
      <w:marTop w:val="0"/>
      <w:marBottom w:val="0"/>
      <w:divBdr>
        <w:top w:val="none" w:sz="0" w:space="0" w:color="auto"/>
        <w:left w:val="none" w:sz="0" w:space="0" w:color="auto"/>
        <w:bottom w:val="none" w:sz="0" w:space="0" w:color="auto"/>
        <w:right w:val="none" w:sz="0" w:space="0" w:color="auto"/>
      </w:divBdr>
    </w:div>
    <w:div w:id="436751557">
      <w:bodyDiv w:val="1"/>
      <w:marLeft w:val="0"/>
      <w:marRight w:val="0"/>
      <w:marTop w:val="0"/>
      <w:marBottom w:val="0"/>
      <w:divBdr>
        <w:top w:val="none" w:sz="0" w:space="0" w:color="auto"/>
        <w:left w:val="none" w:sz="0" w:space="0" w:color="auto"/>
        <w:bottom w:val="none" w:sz="0" w:space="0" w:color="auto"/>
        <w:right w:val="none" w:sz="0" w:space="0" w:color="auto"/>
      </w:divBdr>
    </w:div>
    <w:div w:id="436826331">
      <w:bodyDiv w:val="1"/>
      <w:marLeft w:val="0"/>
      <w:marRight w:val="0"/>
      <w:marTop w:val="0"/>
      <w:marBottom w:val="0"/>
      <w:divBdr>
        <w:top w:val="none" w:sz="0" w:space="0" w:color="auto"/>
        <w:left w:val="none" w:sz="0" w:space="0" w:color="auto"/>
        <w:bottom w:val="none" w:sz="0" w:space="0" w:color="auto"/>
        <w:right w:val="none" w:sz="0" w:space="0" w:color="auto"/>
      </w:divBdr>
    </w:div>
    <w:div w:id="501700985">
      <w:bodyDiv w:val="1"/>
      <w:marLeft w:val="0"/>
      <w:marRight w:val="0"/>
      <w:marTop w:val="0"/>
      <w:marBottom w:val="0"/>
      <w:divBdr>
        <w:top w:val="none" w:sz="0" w:space="0" w:color="auto"/>
        <w:left w:val="none" w:sz="0" w:space="0" w:color="auto"/>
        <w:bottom w:val="none" w:sz="0" w:space="0" w:color="auto"/>
        <w:right w:val="none" w:sz="0" w:space="0" w:color="auto"/>
      </w:divBdr>
    </w:div>
    <w:div w:id="507141125">
      <w:bodyDiv w:val="1"/>
      <w:marLeft w:val="0"/>
      <w:marRight w:val="0"/>
      <w:marTop w:val="0"/>
      <w:marBottom w:val="0"/>
      <w:divBdr>
        <w:top w:val="none" w:sz="0" w:space="0" w:color="auto"/>
        <w:left w:val="none" w:sz="0" w:space="0" w:color="auto"/>
        <w:bottom w:val="none" w:sz="0" w:space="0" w:color="auto"/>
        <w:right w:val="none" w:sz="0" w:space="0" w:color="auto"/>
      </w:divBdr>
    </w:div>
    <w:div w:id="511918837">
      <w:bodyDiv w:val="1"/>
      <w:marLeft w:val="0"/>
      <w:marRight w:val="0"/>
      <w:marTop w:val="0"/>
      <w:marBottom w:val="0"/>
      <w:divBdr>
        <w:top w:val="none" w:sz="0" w:space="0" w:color="auto"/>
        <w:left w:val="none" w:sz="0" w:space="0" w:color="auto"/>
        <w:bottom w:val="none" w:sz="0" w:space="0" w:color="auto"/>
        <w:right w:val="none" w:sz="0" w:space="0" w:color="auto"/>
      </w:divBdr>
    </w:div>
    <w:div w:id="525145561">
      <w:bodyDiv w:val="1"/>
      <w:marLeft w:val="54"/>
      <w:marRight w:val="54"/>
      <w:marTop w:val="54"/>
      <w:marBottom w:val="54"/>
      <w:divBdr>
        <w:top w:val="none" w:sz="0" w:space="0" w:color="auto"/>
        <w:left w:val="none" w:sz="0" w:space="0" w:color="auto"/>
        <w:bottom w:val="none" w:sz="0" w:space="0" w:color="auto"/>
        <w:right w:val="none" w:sz="0" w:space="0" w:color="auto"/>
      </w:divBdr>
      <w:divsChild>
        <w:div w:id="1301156636">
          <w:marLeft w:val="0"/>
          <w:marRight w:val="0"/>
          <w:marTop w:val="322"/>
          <w:marBottom w:val="0"/>
          <w:divBdr>
            <w:top w:val="none" w:sz="0" w:space="0" w:color="auto"/>
            <w:left w:val="none" w:sz="0" w:space="0" w:color="auto"/>
            <w:bottom w:val="none" w:sz="0" w:space="0" w:color="auto"/>
            <w:right w:val="none" w:sz="0" w:space="0" w:color="auto"/>
          </w:divBdr>
          <w:divsChild>
            <w:div w:id="1623421175">
              <w:marLeft w:val="0"/>
              <w:marRight w:val="0"/>
              <w:marTop w:val="0"/>
              <w:marBottom w:val="0"/>
              <w:divBdr>
                <w:top w:val="single" w:sz="4" w:space="0" w:color="7F7F7F"/>
                <w:left w:val="single" w:sz="4" w:space="0" w:color="7F7F7F"/>
                <w:bottom w:val="single" w:sz="4" w:space="0" w:color="7F7F7F"/>
                <w:right w:val="single" w:sz="4" w:space="0" w:color="7F7F7F"/>
              </w:divBdr>
              <w:divsChild>
                <w:div w:id="1099301460">
                  <w:marLeft w:val="0"/>
                  <w:marRight w:val="0"/>
                  <w:marTop w:val="0"/>
                  <w:marBottom w:val="0"/>
                  <w:divBdr>
                    <w:top w:val="none" w:sz="0" w:space="0" w:color="auto"/>
                    <w:left w:val="none" w:sz="0" w:space="0" w:color="41566B"/>
                    <w:bottom w:val="none" w:sz="0" w:space="0" w:color="auto"/>
                    <w:right w:val="none" w:sz="0" w:space="0" w:color="F2F0E1"/>
                  </w:divBdr>
                  <w:divsChild>
                    <w:div w:id="2100322226">
                      <w:marLeft w:val="0"/>
                      <w:marRight w:val="0"/>
                      <w:marTop w:val="0"/>
                      <w:marBottom w:val="0"/>
                      <w:divBdr>
                        <w:top w:val="none" w:sz="0" w:space="0" w:color="auto"/>
                        <w:left w:val="none" w:sz="0" w:space="0" w:color="auto"/>
                        <w:bottom w:val="none" w:sz="0" w:space="0" w:color="auto"/>
                        <w:right w:val="none" w:sz="0" w:space="0" w:color="auto"/>
                      </w:divBdr>
                      <w:divsChild>
                        <w:div w:id="374936927">
                          <w:marLeft w:val="0"/>
                          <w:marRight w:val="0"/>
                          <w:marTop w:val="0"/>
                          <w:marBottom w:val="0"/>
                          <w:divBdr>
                            <w:top w:val="none" w:sz="0" w:space="0" w:color="auto"/>
                            <w:left w:val="none" w:sz="0" w:space="0" w:color="auto"/>
                            <w:bottom w:val="none" w:sz="0" w:space="0" w:color="auto"/>
                            <w:right w:val="none" w:sz="0" w:space="0" w:color="auto"/>
                          </w:divBdr>
                          <w:divsChild>
                            <w:div w:id="1393848649">
                              <w:marLeft w:val="0"/>
                              <w:marRight w:val="0"/>
                              <w:marTop w:val="0"/>
                              <w:marBottom w:val="0"/>
                              <w:divBdr>
                                <w:top w:val="none" w:sz="0" w:space="0" w:color="auto"/>
                                <w:left w:val="none" w:sz="0" w:space="0" w:color="auto"/>
                                <w:bottom w:val="none" w:sz="0" w:space="0" w:color="auto"/>
                                <w:right w:val="none" w:sz="0" w:space="0" w:color="auto"/>
                              </w:divBdr>
                              <w:divsChild>
                                <w:div w:id="1702395161">
                                  <w:marLeft w:val="0"/>
                                  <w:marRight w:val="0"/>
                                  <w:marTop w:val="0"/>
                                  <w:marBottom w:val="0"/>
                                  <w:divBdr>
                                    <w:top w:val="none" w:sz="0" w:space="0" w:color="auto"/>
                                    <w:left w:val="none" w:sz="0" w:space="0" w:color="auto"/>
                                    <w:bottom w:val="single" w:sz="4" w:space="0" w:color="E5E9C2"/>
                                    <w:right w:val="none" w:sz="0" w:space="0" w:color="auto"/>
                                  </w:divBdr>
                                  <w:divsChild>
                                    <w:div w:id="1283608527">
                                      <w:marLeft w:val="0"/>
                                      <w:marRight w:val="0"/>
                                      <w:marTop w:val="0"/>
                                      <w:marBottom w:val="0"/>
                                      <w:divBdr>
                                        <w:top w:val="none" w:sz="0" w:space="0" w:color="auto"/>
                                        <w:left w:val="none" w:sz="0" w:space="0" w:color="auto"/>
                                        <w:bottom w:val="none" w:sz="0" w:space="0" w:color="auto"/>
                                        <w:right w:val="none" w:sz="0" w:space="0" w:color="auto"/>
                                      </w:divBdr>
                                      <w:divsChild>
                                        <w:div w:id="1379209553">
                                          <w:marLeft w:val="0"/>
                                          <w:marRight w:val="0"/>
                                          <w:marTop w:val="0"/>
                                          <w:marBottom w:val="0"/>
                                          <w:divBdr>
                                            <w:top w:val="none" w:sz="0" w:space="0" w:color="auto"/>
                                            <w:left w:val="none" w:sz="0" w:space="0" w:color="auto"/>
                                            <w:bottom w:val="none" w:sz="0" w:space="0" w:color="auto"/>
                                            <w:right w:val="none" w:sz="0" w:space="0" w:color="auto"/>
                                          </w:divBdr>
                                          <w:divsChild>
                                            <w:div w:id="289558055">
                                              <w:marLeft w:val="0"/>
                                              <w:marRight w:val="0"/>
                                              <w:marTop w:val="0"/>
                                              <w:marBottom w:val="0"/>
                                              <w:divBdr>
                                                <w:top w:val="none" w:sz="0" w:space="0" w:color="auto"/>
                                                <w:left w:val="none" w:sz="0" w:space="0" w:color="auto"/>
                                                <w:bottom w:val="none" w:sz="0" w:space="0" w:color="auto"/>
                                                <w:right w:val="none" w:sz="0" w:space="0" w:color="auto"/>
                                              </w:divBdr>
                                              <w:divsChild>
                                                <w:div w:id="20928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521693">
      <w:bodyDiv w:val="1"/>
      <w:marLeft w:val="0"/>
      <w:marRight w:val="0"/>
      <w:marTop w:val="0"/>
      <w:marBottom w:val="0"/>
      <w:divBdr>
        <w:top w:val="none" w:sz="0" w:space="0" w:color="auto"/>
        <w:left w:val="none" w:sz="0" w:space="0" w:color="auto"/>
        <w:bottom w:val="none" w:sz="0" w:space="0" w:color="auto"/>
        <w:right w:val="none" w:sz="0" w:space="0" w:color="auto"/>
      </w:divBdr>
    </w:div>
    <w:div w:id="689063004">
      <w:bodyDiv w:val="1"/>
      <w:marLeft w:val="0"/>
      <w:marRight w:val="0"/>
      <w:marTop w:val="0"/>
      <w:marBottom w:val="0"/>
      <w:divBdr>
        <w:top w:val="none" w:sz="0" w:space="0" w:color="auto"/>
        <w:left w:val="none" w:sz="0" w:space="0" w:color="auto"/>
        <w:bottom w:val="none" w:sz="0" w:space="0" w:color="auto"/>
        <w:right w:val="none" w:sz="0" w:space="0" w:color="auto"/>
      </w:divBdr>
    </w:div>
    <w:div w:id="703603322">
      <w:bodyDiv w:val="1"/>
      <w:marLeft w:val="0"/>
      <w:marRight w:val="0"/>
      <w:marTop w:val="0"/>
      <w:marBottom w:val="0"/>
      <w:divBdr>
        <w:top w:val="none" w:sz="0" w:space="0" w:color="auto"/>
        <w:left w:val="none" w:sz="0" w:space="0" w:color="auto"/>
        <w:bottom w:val="none" w:sz="0" w:space="0" w:color="auto"/>
        <w:right w:val="none" w:sz="0" w:space="0" w:color="auto"/>
      </w:divBdr>
    </w:div>
    <w:div w:id="803503631">
      <w:bodyDiv w:val="1"/>
      <w:marLeft w:val="54"/>
      <w:marRight w:val="54"/>
      <w:marTop w:val="54"/>
      <w:marBottom w:val="54"/>
      <w:divBdr>
        <w:top w:val="none" w:sz="0" w:space="0" w:color="auto"/>
        <w:left w:val="none" w:sz="0" w:space="0" w:color="auto"/>
        <w:bottom w:val="none" w:sz="0" w:space="0" w:color="auto"/>
        <w:right w:val="none" w:sz="0" w:space="0" w:color="auto"/>
      </w:divBdr>
      <w:divsChild>
        <w:div w:id="1901862228">
          <w:marLeft w:val="0"/>
          <w:marRight w:val="0"/>
          <w:marTop w:val="322"/>
          <w:marBottom w:val="0"/>
          <w:divBdr>
            <w:top w:val="none" w:sz="0" w:space="0" w:color="auto"/>
            <w:left w:val="none" w:sz="0" w:space="0" w:color="auto"/>
            <w:bottom w:val="none" w:sz="0" w:space="0" w:color="auto"/>
            <w:right w:val="none" w:sz="0" w:space="0" w:color="auto"/>
          </w:divBdr>
          <w:divsChild>
            <w:div w:id="1627855750">
              <w:marLeft w:val="0"/>
              <w:marRight w:val="0"/>
              <w:marTop w:val="0"/>
              <w:marBottom w:val="0"/>
              <w:divBdr>
                <w:top w:val="single" w:sz="4" w:space="0" w:color="7F7F7F"/>
                <w:left w:val="single" w:sz="4" w:space="0" w:color="7F7F7F"/>
                <w:bottom w:val="single" w:sz="4" w:space="0" w:color="7F7F7F"/>
                <w:right w:val="single" w:sz="4" w:space="0" w:color="7F7F7F"/>
              </w:divBdr>
              <w:divsChild>
                <w:div w:id="1627928732">
                  <w:marLeft w:val="0"/>
                  <w:marRight w:val="0"/>
                  <w:marTop w:val="0"/>
                  <w:marBottom w:val="0"/>
                  <w:divBdr>
                    <w:top w:val="none" w:sz="0" w:space="0" w:color="auto"/>
                    <w:left w:val="none" w:sz="0" w:space="0" w:color="41566B"/>
                    <w:bottom w:val="none" w:sz="0" w:space="0" w:color="auto"/>
                    <w:right w:val="none" w:sz="0" w:space="0" w:color="F2F0E1"/>
                  </w:divBdr>
                  <w:divsChild>
                    <w:div w:id="2105689676">
                      <w:marLeft w:val="0"/>
                      <w:marRight w:val="0"/>
                      <w:marTop w:val="0"/>
                      <w:marBottom w:val="0"/>
                      <w:divBdr>
                        <w:top w:val="none" w:sz="0" w:space="0" w:color="auto"/>
                        <w:left w:val="none" w:sz="0" w:space="0" w:color="auto"/>
                        <w:bottom w:val="none" w:sz="0" w:space="0" w:color="auto"/>
                        <w:right w:val="none" w:sz="0" w:space="0" w:color="auto"/>
                      </w:divBdr>
                      <w:divsChild>
                        <w:div w:id="747574063">
                          <w:marLeft w:val="0"/>
                          <w:marRight w:val="0"/>
                          <w:marTop w:val="0"/>
                          <w:marBottom w:val="0"/>
                          <w:divBdr>
                            <w:top w:val="none" w:sz="0" w:space="0" w:color="auto"/>
                            <w:left w:val="none" w:sz="0" w:space="0" w:color="auto"/>
                            <w:bottom w:val="none" w:sz="0" w:space="0" w:color="auto"/>
                            <w:right w:val="none" w:sz="0" w:space="0" w:color="auto"/>
                          </w:divBdr>
                          <w:divsChild>
                            <w:div w:id="2121871681">
                              <w:marLeft w:val="0"/>
                              <w:marRight w:val="0"/>
                              <w:marTop w:val="0"/>
                              <w:marBottom w:val="0"/>
                              <w:divBdr>
                                <w:top w:val="none" w:sz="0" w:space="0" w:color="auto"/>
                                <w:left w:val="none" w:sz="0" w:space="0" w:color="auto"/>
                                <w:bottom w:val="none" w:sz="0" w:space="0" w:color="auto"/>
                                <w:right w:val="none" w:sz="0" w:space="0" w:color="auto"/>
                              </w:divBdr>
                              <w:divsChild>
                                <w:div w:id="382409967">
                                  <w:marLeft w:val="0"/>
                                  <w:marRight w:val="0"/>
                                  <w:marTop w:val="0"/>
                                  <w:marBottom w:val="0"/>
                                  <w:divBdr>
                                    <w:top w:val="none" w:sz="0" w:space="0" w:color="auto"/>
                                    <w:left w:val="none" w:sz="0" w:space="0" w:color="auto"/>
                                    <w:bottom w:val="single" w:sz="4" w:space="0" w:color="E5E9C2"/>
                                    <w:right w:val="none" w:sz="0" w:space="0" w:color="auto"/>
                                  </w:divBdr>
                                  <w:divsChild>
                                    <w:div w:id="52316396">
                                      <w:marLeft w:val="0"/>
                                      <w:marRight w:val="0"/>
                                      <w:marTop w:val="0"/>
                                      <w:marBottom w:val="0"/>
                                      <w:divBdr>
                                        <w:top w:val="none" w:sz="0" w:space="0" w:color="auto"/>
                                        <w:left w:val="none" w:sz="0" w:space="0" w:color="auto"/>
                                        <w:bottom w:val="none" w:sz="0" w:space="0" w:color="auto"/>
                                        <w:right w:val="none" w:sz="0" w:space="0" w:color="auto"/>
                                      </w:divBdr>
                                      <w:divsChild>
                                        <w:div w:id="1552689905">
                                          <w:marLeft w:val="0"/>
                                          <w:marRight w:val="0"/>
                                          <w:marTop w:val="0"/>
                                          <w:marBottom w:val="0"/>
                                          <w:divBdr>
                                            <w:top w:val="none" w:sz="0" w:space="0" w:color="auto"/>
                                            <w:left w:val="none" w:sz="0" w:space="0" w:color="auto"/>
                                            <w:bottom w:val="none" w:sz="0" w:space="0" w:color="auto"/>
                                            <w:right w:val="none" w:sz="0" w:space="0" w:color="auto"/>
                                          </w:divBdr>
                                          <w:divsChild>
                                            <w:div w:id="1306203603">
                                              <w:marLeft w:val="0"/>
                                              <w:marRight w:val="0"/>
                                              <w:marTop w:val="0"/>
                                              <w:marBottom w:val="0"/>
                                              <w:divBdr>
                                                <w:top w:val="none" w:sz="0" w:space="0" w:color="auto"/>
                                                <w:left w:val="none" w:sz="0" w:space="0" w:color="auto"/>
                                                <w:bottom w:val="none" w:sz="0" w:space="0" w:color="auto"/>
                                                <w:right w:val="none" w:sz="0" w:space="0" w:color="auto"/>
                                              </w:divBdr>
                                              <w:divsChild>
                                                <w:div w:id="20684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304535">
      <w:bodyDiv w:val="1"/>
      <w:marLeft w:val="0"/>
      <w:marRight w:val="0"/>
      <w:marTop w:val="0"/>
      <w:marBottom w:val="0"/>
      <w:divBdr>
        <w:top w:val="none" w:sz="0" w:space="0" w:color="auto"/>
        <w:left w:val="none" w:sz="0" w:space="0" w:color="auto"/>
        <w:bottom w:val="none" w:sz="0" w:space="0" w:color="auto"/>
        <w:right w:val="none" w:sz="0" w:space="0" w:color="auto"/>
      </w:divBdr>
    </w:div>
    <w:div w:id="893352220">
      <w:bodyDiv w:val="1"/>
      <w:marLeft w:val="0"/>
      <w:marRight w:val="0"/>
      <w:marTop w:val="0"/>
      <w:marBottom w:val="0"/>
      <w:divBdr>
        <w:top w:val="none" w:sz="0" w:space="0" w:color="auto"/>
        <w:left w:val="none" w:sz="0" w:space="0" w:color="auto"/>
        <w:bottom w:val="none" w:sz="0" w:space="0" w:color="auto"/>
        <w:right w:val="none" w:sz="0" w:space="0" w:color="auto"/>
      </w:divBdr>
      <w:divsChild>
        <w:div w:id="1690177482">
          <w:marLeft w:val="0"/>
          <w:marRight w:val="0"/>
          <w:marTop w:val="0"/>
          <w:marBottom w:val="0"/>
          <w:divBdr>
            <w:top w:val="none" w:sz="0" w:space="0" w:color="auto"/>
            <w:left w:val="none" w:sz="0" w:space="0" w:color="auto"/>
            <w:bottom w:val="none" w:sz="0" w:space="0" w:color="auto"/>
            <w:right w:val="none" w:sz="0" w:space="0" w:color="auto"/>
          </w:divBdr>
          <w:divsChild>
            <w:div w:id="705567762">
              <w:marLeft w:val="0"/>
              <w:marRight w:val="0"/>
              <w:marTop w:val="0"/>
              <w:marBottom w:val="0"/>
              <w:divBdr>
                <w:top w:val="none" w:sz="0" w:space="0" w:color="auto"/>
                <w:left w:val="none" w:sz="0" w:space="0" w:color="auto"/>
                <w:bottom w:val="none" w:sz="0" w:space="0" w:color="auto"/>
                <w:right w:val="none" w:sz="0" w:space="0" w:color="auto"/>
              </w:divBdr>
              <w:divsChild>
                <w:div w:id="2048525737">
                  <w:marLeft w:val="0"/>
                  <w:marRight w:val="0"/>
                  <w:marTop w:val="0"/>
                  <w:marBottom w:val="0"/>
                  <w:divBdr>
                    <w:top w:val="none" w:sz="0" w:space="0" w:color="auto"/>
                    <w:left w:val="none" w:sz="0" w:space="0" w:color="auto"/>
                    <w:bottom w:val="none" w:sz="0" w:space="0" w:color="auto"/>
                    <w:right w:val="none" w:sz="0" w:space="0" w:color="auto"/>
                  </w:divBdr>
                  <w:divsChild>
                    <w:div w:id="1240822595">
                      <w:marLeft w:val="0"/>
                      <w:marRight w:val="0"/>
                      <w:marTop w:val="0"/>
                      <w:marBottom w:val="0"/>
                      <w:divBdr>
                        <w:top w:val="none" w:sz="0" w:space="0" w:color="auto"/>
                        <w:left w:val="none" w:sz="0" w:space="0" w:color="auto"/>
                        <w:bottom w:val="none" w:sz="0" w:space="0" w:color="auto"/>
                        <w:right w:val="none" w:sz="0" w:space="0" w:color="auto"/>
                      </w:divBdr>
                      <w:divsChild>
                        <w:div w:id="621812523">
                          <w:marLeft w:val="0"/>
                          <w:marRight w:val="0"/>
                          <w:marTop w:val="0"/>
                          <w:marBottom w:val="0"/>
                          <w:divBdr>
                            <w:top w:val="none" w:sz="0" w:space="0" w:color="auto"/>
                            <w:left w:val="none" w:sz="0" w:space="0" w:color="auto"/>
                            <w:bottom w:val="none" w:sz="0" w:space="0" w:color="auto"/>
                            <w:right w:val="none" w:sz="0" w:space="0" w:color="auto"/>
                          </w:divBdr>
                          <w:divsChild>
                            <w:div w:id="1545366223">
                              <w:marLeft w:val="0"/>
                              <w:marRight w:val="0"/>
                              <w:marTop w:val="0"/>
                              <w:marBottom w:val="0"/>
                              <w:divBdr>
                                <w:top w:val="none" w:sz="0" w:space="0" w:color="auto"/>
                                <w:left w:val="none" w:sz="0" w:space="0" w:color="auto"/>
                                <w:bottom w:val="none" w:sz="0" w:space="0" w:color="auto"/>
                                <w:right w:val="none" w:sz="0" w:space="0" w:color="auto"/>
                              </w:divBdr>
                              <w:divsChild>
                                <w:div w:id="1363634716">
                                  <w:marLeft w:val="0"/>
                                  <w:marRight w:val="0"/>
                                  <w:marTop w:val="0"/>
                                  <w:marBottom w:val="0"/>
                                  <w:divBdr>
                                    <w:top w:val="none" w:sz="0" w:space="0" w:color="auto"/>
                                    <w:left w:val="none" w:sz="0" w:space="0" w:color="auto"/>
                                    <w:bottom w:val="none" w:sz="0" w:space="0" w:color="auto"/>
                                    <w:right w:val="none" w:sz="0" w:space="0" w:color="auto"/>
                                  </w:divBdr>
                                  <w:divsChild>
                                    <w:div w:id="996032125">
                                      <w:marLeft w:val="0"/>
                                      <w:marRight w:val="0"/>
                                      <w:marTop w:val="0"/>
                                      <w:marBottom w:val="0"/>
                                      <w:divBdr>
                                        <w:top w:val="none" w:sz="0" w:space="0" w:color="auto"/>
                                        <w:left w:val="none" w:sz="0" w:space="0" w:color="auto"/>
                                        <w:bottom w:val="none" w:sz="0" w:space="0" w:color="auto"/>
                                        <w:right w:val="none" w:sz="0" w:space="0" w:color="auto"/>
                                      </w:divBdr>
                                      <w:divsChild>
                                        <w:div w:id="1505826425">
                                          <w:marLeft w:val="0"/>
                                          <w:marRight w:val="0"/>
                                          <w:marTop w:val="0"/>
                                          <w:marBottom w:val="0"/>
                                          <w:divBdr>
                                            <w:top w:val="none" w:sz="0" w:space="0" w:color="auto"/>
                                            <w:left w:val="none" w:sz="0" w:space="0" w:color="auto"/>
                                            <w:bottom w:val="none" w:sz="0" w:space="0" w:color="auto"/>
                                            <w:right w:val="none" w:sz="0" w:space="0" w:color="auto"/>
                                          </w:divBdr>
                                          <w:divsChild>
                                            <w:div w:id="747120421">
                                              <w:marLeft w:val="0"/>
                                              <w:marRight w:val="0"/>
                                              <w:marTop w:val="0"/>
                                              <w:marBottom w:val="0"/>
                                              <w:divBdr>
                                                <w:top w:val="none" w:sz="0" w:space="0" w:color="auto"/>
                                                <w:left w:val="none" w:sz="0" w:space="0" w:color="auto"/>
                                                <w:bottom w:val="none" w:sz="0" w:space="0" w:color="auto"/>
                                                <w:right w:val="none" w:sz="0" w:space="0" w:color="auto"/>
                                              </w:divBdr>
                                              <w:divsChild>
                                                <w:div w:id="1736658460">
                                                  <w:marLeft w:val="0"/>
                                                  <w:marRight w:val="0"/>
                                                  <w:marTop w:val="0"/>
                                                  <w:marBottom w:val="0"/>
                                                  <w:divBdr>
                                                    <w:top w:val="none" w:sz="0" w:space="0" w:color="auto"/>
                                                    <w:left w:val="none" w:sz="0" w:space="0" w:color="auto"/>
                                                    <w:bottom w:val="none" w:sz="0" w:space="0" w:color="auto"/>
                                                    <w:right w:val="none" w:sz="0" w:space="0" w:color="auto"/>
                                                  </w:divBdr>
                                                  <w:divsChild>
                                                    <w:div w:id="16347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632419">
      <w:bodyDiv w:val="1"/>
      <w:marLeft w:val="0"/>
      <w:marRight w:val="0"/>
      <w:marTop w:val="0"/>
      <w:marBottom w:val="0"/>
      <w:divBdr>
        <w:top w:val="none" w:sz="0" w:space="0" w:color="auto"/>
        <w:left w:val="none" w:sz="0" w:space="0" w:color="auto"/>
        <w:bottom w:val="none" w:sz="0" w:space="0" w:color="auto"/>
        <w:right w:val="none" w:sz="0" w:space="0" w:color="auto"/>
      </w:divBdr>
    </w:div>
    <w:div w:id="918439810">
      <w:bodyDiv w:val="1"/>
      <w:marLeft w:val="0"/>
      <w:marRight w:val="0"/>
      <w:marTop w:val="0"/>
      <w:marBottom w:val="0"/>
      <w:divBdr>
        <w:top w:val="none" w:sz="0" w:space="0" w:color="auto"/>
        <w:left w:val="none" w:sz="0" w:space="0" w:color="auto"/>
        <w:bottom w:val="none" w:sz="0" w:space="0" w:color="auto"/>
        <w:right w:val="none" w:sz="0" w:space="0" w:color="auto"/>
      </w:divBdr>
    </w:div>
    <w:div w:id="955912288">
      <w:bodyDiv w:val="1"/>
      <w:marLeft w:val="0"/>
      <w:marRight w:val="0"/>
      <w:marTop w:val="0"/>
      <w:marBottom w:val="0"/>
      <w:divBdr>
        <w:top w:val="none" w:sz="0" w:space="0" w:color="auto"/>
        <w:left w:val="none" w:sz="0" w:space="0" w:color="auto"/>
        <w:bottom w:val="none" w:sz="0" w:space="0" w:color="auto"/>
        <w:right w:val="none" w:sz="0" w:space="0" w:color="auto"/>
      </w:divBdr>
    </w:div>
    <w:div w:id="983242538">
      <w:bodyDiv w:val="1"/>
      <w:marLeft w:val="0"/>
      <w:marRight w:val="0"/>
      <w:marTop w:val="0"/>
      <w:marBottom w:val="0"/>
      <w:divBdr>
        <w:top w:val="none" w:sz="0" w:space="0" w:color="auto"/>
        <w:left w:val="none" w:sz="0" w:space="0" w:color="auto"/>
        <w:bottom w:val="none" w:sz="0" w:space="0" w:color="auto"/>
        <w:right w:val="none" w:sz="0" w:space="0" w:color="auto"/>
      </w:divBdr>
    </w:div>
    <w:div w:id="1084448086">
      <w:bodyDiv w:val="1"/>
      <w:marLeft w:val="0"/>
      <w:marRight w:val="0"/>
      <w:marTop w:val="0"/>
      <w:marBottom w:val="0"/>
      <w:divBdr>
        <w:top w:val="none" w:sz="0" w:space="0" w:color="auto"/>
        <w:left w:val="none" w:sz="0" w:space="0" w:color="auto"/>
        <w:bottom w:val="none" w:sz="0" w:space="0" w:color="auto"/>
        <w:right w:val="none" w:sz="0" w:space="0" w:color="auto"/>
      </w:divBdr>
    </w:div>
    <w:div w:id="1160927468">
      <w:bodyDiv w:val="1"/>
      <w:marLeft w:val="0"/>
      <w:marRight w:val="0"/>
      <w:marTop w:val="0"/>
      <w:marBottom w:val="0"/>
      <w:divBdr>
        <w:top w:val="none" w:sz="0" w:space="0" w:color="auto"/>
        <w:left w:val="none" w:sz="0" w:space="0" w:color="auto"/>
        <w:bottom w:val="none" w:sz="0" w:space="0" w:color="auto"/>
        <w:right w:val="none" w:sz="0" w:space="0" w:color="auto"/>
      </w:divBdr>
    </w:div>
    <w:div w:id="1185943061">
      <w:bodyDiv w:val="1"/>
      <w:marLeft w:val="0"/>
      <w:marRight w:val="0"/>
      <w:marTop w:val="0"/>
      <w:marBottom w:val="0"/>
      <w:divBdr>
        <w:top w:val="none" w:sz="0" w:space="0" w:color="auto"/>
        <w:left w:val="none" w:sz="0" w:space="0" w:color="auto"/>
        <w:bottom w:val="none" w:sz="0" w:space="0" w:color="auto"/>
        <w:right w:val="none" w:sz="0" w:space="0" w:color="auto"/>
      </w:divBdr>
    </w:div>
    <w:div w:id="1244994093">
      <w:bodyDiv w:val="1"/>
      <w:marLeft w:val="54"/>
      <w:marRight w:val="54"/>
      <w:marTop w:val="54"/>
      <w:marBottom w:val="54"/>
      <w:divBdr>
        <w:top w:val="none" w:sz="0" w:space="0" w:color="auto"/>
        <w:left w:val="none" w:sz="0" w:space="0" w:color="auto"/>
        <w:bottom w:val="none" w:sz="0" w:space="0" w:color="auto"/>
        <w:right w:val="none" w:sz="0" w:space="0" w:color="auto"/>
      </w:divBdr>
      <w:divsChild>
        <w:div w:id="725105029">
          <w:marLeft w:val="0"/>
          <w:marRight w:val="0"/>
          <w:marTop w:val="322"/>
          <w:marBottom w:val="0"/>
          <w:divBdr>
            <w:top w:val="none" w:sz="0" w:space="0" w:color="auto"/>
            <w:left w:val="none" w:sz="0" w:space="0" w:color="auto"/>
            <w:bottom w:val="none" w:sz="0" w:space="0" w:color="auto"/>
            <w:right w:val="none" w:sz="0" w:space="0" w:color="auto"/>
          </w:divBdr>
          <w:divsChild>
            <w:div w:id="135991829">
              <w:marLeft w:val="0"/>
              <w:marRight w:val="0"/>
              <w:marTop w:val="0"/>
              <w:marBottom w:val="0"/>
              <w:divBdr>
                <w:top w:val="single" w:sz="4" w:space="0" w:color="7F7F7F"/>
                <w:left w:val="single" w:sz="4" w:space="0" w:color="7F7F7F"/>
                <w:bottom w:val="single" w:sz="4" w:space="0" w:color="7F7F7F"/>
                <w:right w:val="single" w:sz="4" w:space="0" w:color="7F7F7F"/>
              </w:divBdr>
              <w:divsChild>
                <w:div w:id="1928423171">
                  <w:marLeft w:val="0"/>
                  <w:marRight w:val="0"/>
                  <w:marTop w:val="0"/>
                  <w:marBottom w:val="0"/>
                  <w:divBdr>
                    <w:top w:val="none" w:sz="0" w:space="0" w:color="auto"/>
                    <w:left w:val="none" w:sz="0" w:space="0" w:color="41566B"/>
                    <w:bottom w:val="none" w:sz="0" w:space="0" w:color="auto"/>
                    <w:right w:val="none" w:sz="0" w:space="0" w:color="F2F0E1"/>
                  </w:divBdr>
                  <w:divsChild>
                    <w:div w:id="411582725">
                      <w:marLeft w:val="0"/>
                      <w:marRight w:val="0"/>
                      <w:marTop w:val="0"/>
                      <w:marBottom w:val="0"/>
                      <w:divBdr>
                        <w:top w:val="none" w:sz="0" w:space="0" w:color="auto"/>
                        <w:left w:val="none" w:sz="0" w:space="0" w:color="auto"/>
                        <w:bottom w:val="none" w:sz="0" w:space="0" w:color="auto"/>
                        <w:right w:val="none" w:sz="0" w:space="0" w:color="auto"/>
                      </w:divBdr>
                      <w:divsChild>
                        <w:div w:id="450974740">
                          <w:marLeft w:val="0"/>
                          <w:marRight w:val="0"/>
                          <w:marTop w:val="0"/>
                          <w:marBottom w:val="0"/>
                          <w:divBdr>
                            <w:top w:val="none" w:sz="0" w:space="0" w:color="auto"/>
                            <w:left w:val="none" w:sz="0" w:space="0" w:color="auto"/>
                            <w:bottom w:val="none" w:sz="0" w:space="0" w:color="auto"/>
                            <w:right w:val="none" w:sz="0" w:space="0" w:color="auto"/>
                          </w:divBdr>
                          <w:divsChild>
                            <w:div w:id="974945366">
                              <w:marLeft w:val="0"/>
                              <w:marRight w:val="0"/>
                              <w:marTop w:val="0"/>
                              <w:marBottom w:val="0"/>
                              <w:divBdr>
                                <w:top w:val="none" w:sz="0" w:space="0" w:color="auto"/>
                                <w:left w:val="none" w:sz="0" w:space="0" w:color="auto"/>
                                <w:bottom w:val="none" w:sz="0" w:space="0" w:color="auto"/>
                                <w:right w:val="none" w:sz="0" w:space="0" w:color="auto"/>
                              </w:divBdr>
                              <w:divsChild>
                                <w:div w:id="2010860674">
                                  <w:marLeft w:val="0"/>
                                  <w:marRight w:val="0"/>
                                  <w:marTop w:val="0"/>
                                  <w:marBottom w:val="0"/>
                                  <w:divBdr>
                                    <w:top w:val="none" w:sz="0" w:space="0" w:color="auto"/>
                                    <w:left w:val="none" w:sz="0" w:space="0" w:color="auto"/>
                                    <w:bottom w:val="single" w:sz="4" w:space="0" w:color="E5E9C2"/>
                                    <w:right w:val="none" w:sz="0" w:space="0" w:color="auto"/>
                                  </w:divBdr>
                                  <w:divsChild>
                                    <w:div w:id="792678759">
                                      <w:marLeft w:val="0"/>
                                      <w:marRight w:val="0"/>
                                      <w:marTop w:val="0"/>
                                      <w:marBottom w:val="0"/>
                                      <w:divBdr>
                                        <w:top w:val="none" w:sz="0" w:space="0" w:color="auto"/>
                                        <w:left w:val="none" w:sz="0" w:space="0" w:color="auto"/>
                                        <w:bottom w:val="none" w:sz="0" w:space="0" w:color="auto"/>
                                        <w:right w:val="none" w:sz="0" w:space="0" w:color="auto"/>
                                      </w:divBdr>
                                      <w:divsChild>
                                        <w:div w:id="1658026771">
                                          <w:marLeft w:val="0"/>
                                          <w:marRight w:val="0"/>
                                          <w:marTop w:val="0"/>
                                          <w:marBottom w:val="0"/>
                                          <w:divBdr>
                                            <w:top w:val="none" w:sz="0" w:space="0" w:color="auto"/>
                                            <w:left w:val="none" w:sz="0" w:space="0" w:color="auto"/>
                                            <w:bottom w:val="none" w:sz="0" w:space="0" w:color="auto"/>
                                            <w:right w:val="none" w:sz="0" w:space="0" w:color="auto"/>
                                          </w:divBdr>
                                          <w:divsChild>
                                            <w:div w:id="191574132">
                                              <w:marLeft w:val="0"/>
                                              <w:marRight w:val="0"/>
                                              <w:marTop w:val="0"/>
                                              <w:marBottom w:val="0"/>
                                              <w:divBdr>
                                                <w:top w:val="none" w:sz="0" w:space="0" w:color="auto"/>
                                                <w:left w:val="none" w:sz="0" w:space="0" w:color="auto"/>
                                                <w:bottom w:val="none" w:sz="0" w:space="0" w:color="auto"/>
                                                <w:right w:val="none" w:sz="0" w:space="0" w:color="auto"/>
                                              </w:divBdr>
                                              <w:divsChild>
                                                <w:div w:id="2332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6972">
      <w:bodyDiv w:val="1"/>
      <w:marLeft w:val="0"/>
      <w:marRight w:val="0"/>
      <w:marTop w:val="0"/>
      <w:marBottom w:val="0"/>
      <w:divBdr>
        <w:top w:val="none" w:sz="0" w:space="0" w:color="auto"/>
        <w:left w:val="none" w:sz="0" w:space="0" w:color="auto"/>
        <w:bottom w:val="none" w:sz="0" w:space="0" w:color="auto"/>
        <w:right w:val="none" w:sz="0" w:space="0" w:color="auto"/>
      </w:divBdr>
    </w:div>
    <w:div w:id="1528255021">
      <w:bodyDiv w:val="1"/>
      <w:marLeft w:val="0"/>
      <w:marRight w:val="0"/>
      <w:marTop w:val="0"/>
      <w:marBottom w:val="0"/>
      <w:divBdr>
        <w:top w:val="none" w:sz="0" w:space="0" w:color="auto"/>
        <w:left w:val="none" w:sz="0" w:space="0" w:color="auto"/>
        <w:bottom w:val="none" w:sz="0" w:space="0" w:color="auto"/>
        <w:right w:val="none" w:sz="0" w:space="0" w:color="auto"/>
      </w:divBdr>
    </w:div>
    <w:div w:id="1570773617">
      <w:bodyDiv w:val="1"/>
      <w:marLeft w:val="0"/>
      <w:marRight w:val="0"/>
      <w:marTop w:val="0"/>
      <w:marBottom w:val="0"/>
      <w:divBdr>
        <w:top w:val="none" w:sz="0" w:space="0" w:color="auto"/>
        <w:left w:val="none" w:sz="0" w:space="0" w:color="auto"/>
        <w:bottom w:val="none" w:sz="0" w:space="0" w:color="auto"/>
        <w:right w:val="none" w:sz="0" w:space="0" w:color="auto"/>
      </w:divBdr>
    </w:div>
    <w:div w:id="1628386465">
      <w:bodyDiv w:val="1"/>
      <w:marLeft w:val="0"/>
      <w:marRight w:val="0"/>
      <w:marTop w:val="0"/>
      <w:marBottom w:val="0"/>
      <w:divBdr>
        <w:top w:val="none" w:sz="0" w:space="0" w:color="auto"/>
        <w:left w:val="none" w:sz="0" w:space="0" w:color="auto"/>
        <w:bottom w:val="none" w:sz="0" w:space="0" w:color="auto"/>
        <w:right w:val="none" w:sz="0" w:space="0" w:color="auto"/>
      </w:divBdr>
    </w:div>
    <w:div w:id="1737512998">
      <w:bodyDiv w:val="1"/>
      <w:marLeft w:val="0"/>
      <w:marRight w:val="0"/>
      <w:marTop w:val="0"/>
      <w:marBottom w:val="0"/>
      <w:divBdr>
        <w:top w:val="none" w:sz="0" w:space="0" w:color="auto"/>
        <w:left w:val="none" w:sz="0" w:space="0" w:color="auto"/>
        <w:bottom w:val="none" w:sz="0" w:space="0" w:color="auto"/>
        <w:right w:val="none" w:sz="0" w:space="0" w:color="auto"/>
      </w:divBdr>
    </w:div>
    <w:div w:id="1740322846">
      <w:bodyDiv w:val="1"/>
      <w:marLeft w:val="0"/>
      <w:marRight w:val="0"/>
      <w:marTop w:val="0"/>
      <w:marBottom w:val="0"/>
      <w:divBdr>
        <w:top w:val="none" w:sz="0" w:space="0" w:color="auto"/>
        <w:left w:val="none" w:sz="0" w:space="0" w:color="auto"/>
        <w:bottom w:val="none" w:sz="0" w:space="0" w:color="auto"/>
        <w:right w:val="none" w:sz="0" w:space="0" w:color="auto"/>
      </w:divBdr>
    </w:div>
    <w:div w:id="1823808449">
      <w:bodyDiv w:val="1"/>
      <w:marLeft w:val="0"/>
      <w:marRight w:val="0"/>
      <w:marTop w:val="0"/>
      <w:marBottom w:val="0"/>
      <w:divBdr>
        <w:top w:val="none" w:sz="0" w:space="0" w:color="auto"/>
        <w:left w:val="none" w:sz="0" w:space="0" w:color="auto"/>
        <w:bottom w:val="none" w:sz="0" w:space="0" w:color="auto"/>
        <w:right w:val="none" w:sz="0" w:space="0" w:color="auto"/>
      </w:divBdr>
    </w:div>
    <w:div w:id="1842548620">
      <w:bodyDiv w:val="1"/>
      <w:marLeft w:val="0"/>
      <w:marRight w:val="0"/>
      <w:marTop w:val="0"/>
      <w:marBottom w:val="0"/>
      <w:divBdr>
        <w:top w:val="none" w:sz="0" w:space="0" w:color="auto"/>
        <w:left w:val="none" w:sz="0" w:space="0" w:color="auto"/>
        <w:bottom w:val="none" w:sz="0" w:space="0" w:color="auto"/>
        <w:right w:val="none" w:sz="0" w:space="0" w:color="auto"/>
      </w:divBdr>
    </w:div>
    <w:div w:id="1860777889">
      <w:bodyDiv w:val="1"/>
      <w:marLeft w:val="0"/>
      <w:marRight w:val="0"/>
      <w:marTop w:val="0"/>
      <w:marBottom w:val="0"/>
      <w:divBdr>
        <w:top w:val="none" w:sz="0" w:space="0" w:color="auto"/>
        <w:left w:val="none" w:sz="0" w:space="0" w:color="auto"/>
        <w:bottom w:val="none" w:sz="0" w:space="0" w:color="auto"/>
        <w:right w:val="none" w:sz="0" w:space="0" w:color="auto"/>
      </w:divBdr>
    </w:div>
    <w:div w:id="1866484211">
      <w:bodyDiv w:val="1"/>
      <w:marLeft w:val="0"/>
      <w:marRight w:val="0"/>
      <w:marTop w:val="0"/>
      <w:marBottom w:val="0"/>
      <w:divBdr>
        <w:top w:val="none" w:sz="0" w:space="0" w:color="auto"/>
        <w:left w:val="none" w:sz="0" w:space="0" w:color="auto"/>
        <w:bottom w:val="none" w:sz="0" w:space="0" w:color="auto"/>
        <w:right w:val="none" w:sz="0" w:space="0" w:color="auto"/>
      </w:divBdr>
    </w:div>
    <w:div w:id="188429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yperlink" Target="http://www.springer.com/alert/urltracking.do?id=Lfa15cbMbd943bSb044edc"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48.png"/><Relationship Id="rId84" Type="http://schemas.openxmlformats.org/officeDocument/2006/relationships/hyperlink" Target="http://www.lovdata.no/cgi-wift/ldles?doc=/sf/sf/sf-20101220-1763.html" TargetMode="External"/><Relationship Id="rId89" Type="http://schemas.openxmlformats.org/officeDocument/2006/relationships/hyperlink" Target="http://www.lovdata.no/for/sf/ad/xd-20121127-1196.html"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www.lovdata.no/cgi-wift/ldles?doc=/sf/sf/sf-20110621-0673.htm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3.xml"/><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image" Target="media/image54.emf"/><Relationship Id="rId79" Type="http://schemas.openxmlformats.org/officeDocument/2006/relationships/footer" Target="footer11.xml"/><Relationship Id="rId87" Type="http://schemas.openxmlformats.org/officeDocument/2006/relationships/hyperlink" Target="https://lovdata.no/dokument/SF/forskrift/2014-11-27-1805" TargetMode="External"/><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58.png"/><Relationship Id="rId90" Type="http://schemas.openxmlformats.org/officeDocument/2006/relationships/hyperlink" Target="http://www.lovdata.no/cgi-wift/ldles?doc=/sf/sf/sf-20101220-1763.html" TargetMode="External"/><Relationship Id="rId95"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www.springer.com/alert/urltracking.do?id=Lfa15cbMbd943bSb044ed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7.xml"/><Relationship Id="rId69" Type="http://schemas.openxmlformats.org/officeDocument/2006/relationships/image" Target="media/image49.emf"/><Relationship Id="rId77" Type="http://schemas.openxmlformats.org/officeDocument/2006/relationships/footer" Target="footer9.xml"/><Relationship Id="rId100" Type="http://schemas.openxmlformats.org/officeDocument/2006/relationships/footer" Target="footer14.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footer" Target="footer12.xml"/><Relationship Id="rId85" Type="http://schemas.openxmlformats.org/officeDocument/2006/relationships/hyperlink" Target="http://www.lovdata.no/cgi-wift/ldles?doc=/sf/sf/sf-20101220-1764.html" TargetMode="External"/><Relationship Id="rId93" Type="http://schemas.openxmlformats.org/officeDocument/2006/relationships/hyperlink" Target="http://www.lovdata.no/cgi-wift/ldles?doc=/sf/sf/sf-20110621-0673.html" TargetMode="External"/><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7.png"/><Relationship Id="rId103" Type="http://schemas.openxmlformats.org/officeDocument/2006/relationships/footer" Target="footer16.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hyperlink" Target="http://www.lovdata.no/for/sf/ad/xd-20121127-1196.html" TargetMode="External"/><Relationship Id="rId88" Type="http://schemas.openxmlformats.org/officeDocument/2006/relationships/image" Target="media/image59.png"/><Relationship Id="rId91" Type="http://schemas.openxmlformats.org/officeDocument/2006/relationships/hyperlink" Target="http://www.lovdata.no/cgi-wift/ldles?doc=/sf/sf/sf-20101220-1764.html" TargetMode="External"/><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8.xml"/><Relationship Id="rId73" Type="http://schemas.openxmlformats.org/officeDocument/2006/relationships/image" Target="media/image53.jpeg"/><Relationship Id="rId78" Type="http://schemas.openxmlformats.org/officeDocument/2006/relationships/footer" Target="footer10.xml"/><Relationship Id="rId81" Type="http://schemas.openxmlformats.org/officeDocument/2006/relationships/image" Target="media/image57.png"/><Relationship Id="rId86" Type="http://schemas.openxmlformats.org/officeDocument/2006/relationships/hyperlink" Target="http://www.lovdata.no/cgi-wift/ldles?doc=/sf/sf/sf-20110621-0673.html" TargetMode="External"/><Relationship Id="rId94" Type="http://schemas.openxmlformats.org/officeDocument/2006/relationships/footer" Target="footer13.xml"/><Relationship Id="rId99" Type="http://schemas.openxmlformats.org/officeDocument/2006/relationships/header" Target="header5.xml"/><Relationship Id="rId10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emf"/><Relationship Id="rId97" Type="http://schemas.openxmlformats.org/officeDocument/2006/relationships/image" Target="media/image62.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rbeidstilsynet.no/fakta.html?tid=90849" TargetMode="External"/><Relationship Id="rId1" Type="http://schemas.openxmlformats.org/officeDocument/2006/relationships/hyperlink" Target="https://www.regjeringen.no/no/dep/asd/org/nemnder-styrer-rad-og-utvalg/permanente-nemnder-rad-og-utvalg/tariffnemnda/id5086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3BFFB-88A3-4D99-A598-37F24DDE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TotalTime>
  <Pages>165</Pages>
  <Words>61084</Words>
  <Characters>323749</Characters>
  <Application>Microsoft Office Word</Application>
  <DocSecurity>0</DocSecurity>
  <Lines>2697</Lines>
  <Paragraphs>768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NOU Dokumentmal</vt:lpstr>
      <vt:lpstr>NOU Dokumentmal</vt:lpstr>
    </vt:vector>
  </TitlesOfParts>
  <Company>Statens forvaltningstjeneste</Company>
  <LinksUpToDate>false</LinksUpToDate>
  <CharactersWithSpaces>384065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NOU Dokumentmal</dc:title>
  <dc:subject>Maldokument for innskriving av NOU</dc:subject>
  <dc:creator>ad1311</dc:creator>
  <cp:keywords>NOU, SGML</cp:keywords>
  <cp:lastModifiedBy>Morten Søndergaard Henningsen</cp:lastModifiedBy>
  <cp:revision>3</cp:revision>
  <cp:lastPrinted>2016-02-23T12:27:00Z</cp:lastPrinted>
  <dcterms:created xsi:type="dcterms:W3CDTF">2016-02-23T19:30:00Z</dcterms:created>
  <dcterms:modified xsi:type="dcterms:W3CDTF">2016-02-23T19:46:00Z</dcterms:modified>
</cp:coreProperties>
</file>