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Default="00642704"/>
    <w:p w:rsidR="00642704" w:rsidRPr="00642704" w:rsidRDefault="00642704">
      <w:pPr>
        <w:rPr>
          <w:rFonts w:ascii="DepCentury Old Style" w:hAnsi="DepCentury Old Style"/>
        </w:rPr>
      </w:pPr>
    </w:p>
    <w:p w:rsidR="00642704" w:rsidRPr="00642704" w:rsidRDefault="00642704" w:rsidP="00642704">
      <w:pPr>
        <w:jc w:val="center"/>
        <w:rPr>
          <w:rFonts w:ascii="DepCentury Old Style" w:hAnsi="DepCentury Old Style"/>
          <w:b/>
          <w:sz w:val="28"/>
          <w:szCs w:val="28"/>
        </w:rPr>
      </w:pPr>
      <w:r w:rsidRPr="00642704">
        <w:rPr>
          <w:rFonts w:ascii="DepCentury Old Style" w:hAnsi="DepCentury Old Style"/>
          <w:b/>
          <w:sz w:val="28"/>
          <w:szCs w:val="28"/>
        </w:rPr>
        <w:t>HØRINGSNOTAT</w:t>
      </w:r>
    </w:p>
    <w:p w:rsidR="00642704" w:rsidRPr="00642704" w:rsidRDefault="00642704" w:rsidP="00642704">
      <w:pPr>
        <w:jc w:val="center"/>
        <w:rPr>
          <w:rFonts w:ascii="DepCentury Old Style" w:hAnsi="DepCentury Old Style"/>
          <w:b/>
          <w:sz w:val="28"/>
          <w:szCs w:val="28"/>
        </w:rPr>
      </w:pPr>
    </w:p>
    <w:p w:rsidR="00642704" w:rsidRPr="00642704" w:rsidRDefault="00642704" w:rsidP="00642704">
      <w:pPr>
        <w:jc w:val="center"/>
        <w:rPr>
          <w:rFonts w:ascii="DepCentury Old Style" w:hAnsi="DepCentury Old Style"/>
          <w:b/>
          <w:sz w:val="28"/>
          <w:szCs w:val="28"/>
        </w:rPr>
      </w:pPr>
      <w:r w:rsidRPr="00642704">
        <w:rPr>
          <w:rFonts w:ascii="DepCentury Old Style" w:hAnsi="DepCentury Old Style"/>
          <w:b/>
          <w:sz w:val="28"/>
          <w:szCs w:val="28"/>
        </w:rPr>
        <w:t>OM</w:t>
      </w:r>
    </w:p>
    <w:p w:rsidR="00642704" w:rsidRPr="00642704" w:rsidRDefault="00642704" w:rsidP="00642704">
      <w:pPr>
        <w:jc w:val="center"/>
        <w:rPr>
          <w:rFonts w:ascii="DepCentury Old Style" w:hAnsi="DepCentury Old Style"/>
          <w:b/>
          <w:sz w:val="28"/>
          <w:szCs w:val="28"/>
        </w:rPr>
      </w:pPr>
    </w:p>
    <w:p w:rsidR="00642704" w:rsidRPr="00642704" w:rsidRDefault="00642704" w:rsidP="00642704">
      <w:pPr>
        <w:jc w:val="center"/>
        <w:rPr>
          <w:rFonts w:ascii="DepCentury Old Style" w:hAnsi="DepCentury Old Style"/>
          <w:b/>
          <w:sz w:val="28"/>
          <w:szCs w:val="28"/>
        </w:rPr>
      </w:pPr>
      <w:r w:rsidRPr="00642704">
        <w:rPr>
          <w:rFonts w:ascii="DepCentury Old Style" w:hAnsi="DepCentury Old Style"/>
          <w:b/>
          <w:sz w:val="28"/>
          <w:szCs w:val="28"/>
        </w:rPr>
        <w:t>FORSLAG TIL ENDRINGER I FOLKETRYGDLOVEN</w:t>
      </w:r>
      <w:r w:rsidR="009D2C70">
        <w:rPr>
          <w:rFonts w:ascii="DepCentury Old Style" w:hAnsi="DepCentury Old Style"/>
          <w:b/>
          <w:sz w:val="28"/>
          <w:szCs w:val="28"/>
        </w:rPr>
        <w:t xml:space="preserve"> MV.</w:t>
      </w:r>
    </w:p>
    <w:p w:rsidR="00642704" w:rsidRPr="00642704" w:rsidRDefault="00642704" w:rsidP="00642704">
      <w:pPr>
        <w:jc w:val="center"/>
        <w:rPr>
          <w:b/>
          <w:sz w:val="28"/>
          <w:szCs w:val="28"/>
        </w:rPr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Default="00642704" w:rsidP="00642704">
      <w:pPr>
        <w:jc w:val="center"/>
      </w:pPr>
    </w:p>
    <w:p w:rsidR="00642704" w:rsidRPr="00642704" w:rsidRDefault="00642704" w:rsidP="00642704">
      <w:pPr>
        <w:jc w:val="center"/>
        <w:rPr>
          <w:rFonts w:ascii="DepCentury Old Style" w:hAnsi="DepCentury Old Style"/>
        </w:rPr>
      </w:pPr>
    </w:p>
    <w:p w:rsidR="00642704" w:rsidRPr="00642704" w:rsidRDefault="008D382F" w:rsidP="00642704">
      <w:pPr>
        <w:jc w:val="center"/>
        <w:rPr>
          <w:rFonts w:ascii="DepCentury Old Style" w:hAnsi="DepCentury Old Style"/>
        </w:rPr>
      </w:pPr>
      <w:r>
        <w:rPr>
          <w:rFonts w:ascii="DepCentury Old Style" w:hAnsi="DepCentury Old Style"/>
        </w:rPr>
        <w:t>20</w:t>
      </w:r>
      <w:r w:rsidR="00642704" w:rsidRPr="00642704">
        <w:rPr>
          <w:rFonts w:ascii="DepCentury Old Style" w:hAnsi="DepCentury Old Style"/>
        </w:rPr>
        <w:t>.12.2011</w:t>
      </w:r>
    </w:p>
    <w:p w:rsidR="00752B51" w:rsidRDefault="00752B51" w:rsidP="00642704">
      <w:pPr>
        <w:rPr>
          <w:rFonts w:ascii="DepCentury Old Style" w:hAnsi="DepCentury Old Style"/>
          <w:b/>
        </w:rPr>
      </w:pPr>
    </w:p>
    <w:p w:rsidR="00642704" w:rsidRPr="00642704" w:rsidRDefault="00642704" w:rsidP="00642704">
      <w:pPr>
        <w:rPr>
          <w:rFonts w:ascii="DepCentury Old Style" w:hAnsi="DepCentury Old Style"/>
          <w:b/>
        </w:rPr>
      </w:pPr>
      <w:r w:rsidRPr="00642704">
        <w:rPr>
          <w:rFonts w:ascii="DepCentury Old Style" w:hAnsi="DepCentury Old Style"/>
          <w:b/>
        </w:rPr>
        <w:lastRenderedPageBreak/>
        <w:t>1. Innledning</w:t>
      </w:r>
    </w:p>
    <w:p w:rsidR="004B3471" w:rsidRDefault="009D2C70" w:rsidP="004B3471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 xml:space="preserve">Ved den årlige reguleringen av løpende pensjoner og folketrygdens grunnbeløp er lønnsveksten en sentral faktor. </w:t>
      </w:r>
      <w:r w:rsidR="00321632">
        <w:rPr>
          <w:rFonts w:ascii="DepCentury Old Style" w:hAnsi="DepCentury Old Style"/>
        </w:rPr>
        <w:t xml:space="preserve">Fastsetting av lønnsvekst skjer på grunnlag av forventet lønnsutvikling i reguleringsåret, justert for eventuelt avvik mellom forventet og faktisk lønnsutvikling siste år. </w:t>
      </w:r>
      <w:r w:rsidR="00A91B11">
        <w:rPr>
          <w:rFonts w:ascii="DepCentury Old Style" w:hAnsi="DepCentury Old Style"/>
        </w:rPr>
        <w:t>I</w:t>
      </w:r>
      <w:r w:rsidR="00A91B11" w:rsidRPr="00642704">
        <w:rPr>
          <w:rFonts w:ascii="DepCentury Old Style" w:hAnsi="DepCentury Old Style"/>
        </w:rPr>
        <w:t xml:space="preserve"> forbindelse med regulering av folke</w:t>
      </w:r>
      <w:r w:rsidR="00A91B11">
        <w:rPr>
          <w:rFonts w:ascii="DepCentury Old Style" w:hAnsi="DepCentury Old Style"/>
        </w:rPr>
        <w:softHyphen/>
      </w:r>
      <w:r w:rsidR="00A91B11" w:rsidRPr="00642704">
        <w:rPr>
          <w:rFonts w:ascii="DepCentury Old Style" w:hAnsi="DepCentury Old Style"/>
        </w:rPr>
        <w:t>trygdens grunnbeløp og pensjoner (trygdeoppgjøret)</w:t>
      </w:r>
      <w:r w:rsidR="00A91B11">
        <w:rPr>
          <w:rFonts w:ascii="DepCentury Old Style" w:hAnsi="DepCentury Old Style"/>
        </w:rPr>
        <w:t xml:space="preserve"> fra 1. mai 2011 </w:t>
      </w:r>
      <w:r w:rsidR="00A91B11" w:rsidRPr="00642704">
        <w:rPr>
          <w:rFonts w:ascii="DepCentury Old Style" w:hAnsi="DepCentury Old Style"/>
        </w:rPr>
        <w:t xml:space="preserve">ble </w:t>
      </w:r>
      <w:r w:rsidR="00A91B11">
        <w:rPr>
          <w:rFonts w:ascii="DepCentury Old Style" w:hAnsi="DepCentury Old Style"/>
        </w:rPr>
        <w:t xml:space="preserve">det </w:t>
      </w:r>
      <w:r w:rsidR="00A91B11" w:rsidRPr="00642704">
        <w:rPr>
          <w:rFonts w:ascii="DepCentury Old Style" w:hAnsi="DepCentury Old Style"/>
        </w:rPr>
        <w:t xml:space="preserve">varslet </w:t>
      </w:r>
      <w:r w:rsidR="00A91B11">
        <w:rPr>
          <w:rFonts w:ascii="DepCentury Old Style" w:hAnsi="DepCentury Old Style"/>
        </w:rPr>
        <w:t>en vurdering av reglene for fastsetting av lønnsveksten</w:t>
      </w:r>
      <w:r w:rsidR="004B3471">
        <w:rPr>
          <w:rFonts w:ascii="DepCentury Old Style" w:hAnsi="DepCentury Old Style"/>
        </w:rPr>
        <w:t>.</w:t>
      </w:r>
    </w:p>
    <w:p w:rsidR="004B3471" w:rsidRDefault="004B3471" w:rsidP="004B3471">
      <w:pPr>
        <w:rPr>
          <w:rFonts w:ascii="DepCentury Old Style" w:hAnsi="DepCentury Old Style"/>
        </w:rPr>
      </w:pPr>
    </w:p>
    <w:p w:rsidR="004B3471" w:rsidRDefault="004B3471" w:rsidP="004B3471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 xml:space="preserve">Etter </w:t>
      </w:r>
      <w:r w:rsidR="008A73D1">
        <w:rPr>
          <w:rFonts w:ascii="DepCentury Old Style" w:hAnsi="DepCentury Old Style"/>
        </w:rPr>
        <w:t xml:space="preserve">departementets vurdering vil man </w:t>
      </w:r>
      <w:r w:rsidRPr="00642704">
        <w:rPr>
          <w:rFonts w:ascii="DepCentury Old Style" w:hAnsi="DepCentury Old Style"/>
        </w:rPr>
        <w:t xml:space="preserve">sikre </w:t>
      </w:r>
      <w:r w:rsidR="00EE2304">
        <w:rPr>
          <w:rFonts w:ascii="DepCentury Old Style" w:hAnsi="DepCentury Old Style"/>
        </w:rPr>
        <w:t>en mer presis fastsetting av lønnsveksten</w:t>
      </w:r>
      <w:r w:rsidR="008A73D1">
        <w:rPr>
          <w:rFonts w:ascii="DepCentury Old Style" w:hAnsi="DepCentury Old Style"/>
        </w:rPr>
        <w:t xml:space="preserve"> dersom det justeres for eventuelle avvik for flere år tilbake enn bare det foregående</w:t>
      </w:r>
      <w:r w:rsidRPr="00642704">
        <w:rPr>
          <w:rFonts w:ascii="DepCentury Old Style" w:hAnsi="DepCentury Old Style"/>
        </w:rPr>
        <w:t>.</w:t>
      </w:r>
      <w:r w:rsidR="00A91B11">
        <w:rPr>
          <w:rFonts w:ascii="DepCentury Old Style" w:hAnsi="DepCentury Old Style"/>
        </w:rPr>
        <w:t xml:space="preserve"> </w:t>
      </w:r>
    </w:p>
    <w:p w:rsidR="004B3471" w:rsidRDefault="004B3471" w:rsidP="004B3471">
      <w:pPr>
        <w:rPr>
          <w:rFonts w:ascii="DepCentury Old Style" w:hAnsi="DepCentury Old Style"/>
        </w:rPr>
      </w:pPr>
    </w:p>
    <w:p w:rsidR="004B3471" w:rsidRPr="00642704" w:rsidRDefault="004B3471" w:rsidP="004B3471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 xml:space="preserve">Departementet foreslår </w:t>
      </w:r>
      <w:r w:rsidRPr="00642704">
        <w:rPr>
          <w:rFonts w:ascii="DepCentury Old Style" w:hAnsi="DepCentury Old Style"/>
        </w:rPr>
        <w:t xml:space="preserve">at det </w:t>
      </w:r>
      <w:r>
        <w:rPr>
          <w:rFonts w:ascii="DepCentury Old Style" w:hAnsi="DepCentury Old Style"/>
        </w:rPr>
        <w:t xml:space="preserve">skal </w:t>
      </w:r>
      <w:r w:rsidRPr="00642704">
        <w:rPr>
          <w:rFonts w:ascii="DepCentury Old Style" w:hAnsi="DepCentury Old Style"/>
        </w:rPr>
        <w:t xml:space="preserve">tas hensyn til eventuelle avvik mellom forventet og faktisk lønnsvekt de </w:t>
      </w:r>
      <w:r w:rsidRPr="005D48BD">
        <w:rPr>
          <w:rFonts w:ascii="DepCentury Old Style" w:hAnsi="DepCentury Old Style"/>
          <w:i/>
        </w:rPr>
        <w:t>to</w:t>
      </w:r>
      <w:r w:rsidRPr="00642704">
        <w:rPr>
          <w:rFonts w:ascii="DepCentury Old Style" w:hAnsi="DepCentury Old Style"/>
        </w:rPr>
        <w:t xml:space="preserve"> siste kalenderårene</w:t>
      </w:r>
      <w:r w:rsidR="00A60807">
        <w:rPr>
          <w:rFonts w:ascii="DepCentury Old Style" w:hAnsi="DepCentury Old Style"/>
        </w:rPr>
        <w:t>.</w:t>
      </w:r>
      <w:r w:rsidRPr="00642704">
        <w:rPr>
          <w:rFonts w:ascii="DepCentury Old Style" w:hAnsi="DepCentury Old Style"/>
        </w:rPr>
        <w:t xml:space="preserve"> </w:t>
      </w:r>
    </w:p>
    <w:p w:rsidR="00617D3A" w:rsidRPr="00642704" w:rsidRDefault="00617D3A" w:rsidP="00642704">
      <w:pPr>
        <w:rPr>
          <w:rFonts w:ascii="DepCentury Old Style" w:hAnsi="DepCentury Old Style"/>
        </w:rPr>
      </w:pPr>
    </w:p>
    <w:p w:rsidR="00617D3A" w:rsidRDefault="00642704" w:rsidP="00B67B6A">
      <w:pPr>
        <w:rPr>
          <w:rFonts w:ascii="DepCentury Old Style" w:hAnsi="DepCentury Old Style"/>
        </w:rPr>
      </w:pPr>
      <w:r w:rsidRPr="00FA449F">
        <w:rPr>
          <w:rFonts w:ascii="DepCentury Old Style" w:hAnsi="DepCentury Old Style"/>
          <w:b/>
        </w:rPr>
        <w:t xml:space="preserve">2. </w:t>
      </w:r>
      <w:r w:rsidR="001F6E78" w:rsidRPr="0027564B">
        <w:rPr>
          <w:rFonts w:ascii="DepCentury Old Style" w:hAnsi="DepCentury Old Style"/>
          <w:b/>
        </w:rPr>
        <w:t>Nærmere om gjeldende bestemmelser</w:t>
      </w:r>
      <w:r w:rsidR="001F6E78" w:rsidRPr="00FA449F">
        <w:rPr>
          <w:rFonts w:ascii="DepCentury Old Style" w:hAnsi="DepCentury Old Style"/>
          <w:b/>
        </w:rPr>
        <w:t xml:space="preserve"> </w:t>
      </w:r>
    </w:p>
    <w:p w:rsidR="00042FD8" w:rsidRDefault="00042FD8" w:rsidP="00B67B6A">
      <w:pPr>
        <w:rPr>
          <w:rFonts w:ascii="DepCentury Old Style" w:hAnsi="DepCentury Old Style"/>
        </w:rPr>
      </w:pPr>
      <w:r w:rsidRPr="00042FD8">
        <w:rPr>
          <w:rFonts w:ascii="DepCentury Old Style" w:hAnsi="DepCentury Old Style"/>
        </w:rPr>
        <w:t>Grunnbeløpet reguleres årlig, og har blitt regulert etter ulike retningslinjer siden 1967 da folketrygden ble innført</w:t>
      </w:r>
      <w:r>
        <w:rPr>
          <w:rFonts w:ascii="DepCentury Old Style" w:hAnsi="DepCentury Old Style"/>
        </w:rPr>
        <w:t xml:space="preserve">. </w:t>
      </w:r>
      <w:r w:rsidRPr="00042FD8">
        <w:rPr>
          <w:rFonts w:ascii="DepCentury Old Style" w:hAnsi="DepCentury Old Style"/>
        </w:rPr>
        <w:t>Stortinget vedtok 28. mai 2003 retningslinje</w:t>
      </w:r>
      <w:r w:rsidR="00752B51">
        <w:rPr>
          <w:rFonts w:ascii="DepCentury Old Style" w:hAnsi="DepCentury Old Style"/>
        </w:rPr>
        <w:t>r</w:t>
      </w:r>
      <w:r w:rsidRPr="00042FD8">
        <w:rPr>
          <w:rFonts w:ascii="DepCentury Old Style" w:hAnsi="DepCentury Old Style"/>
        </w:rPr>
        <w:t xml:space="preserve"> for regulering av grunnbeløpet som gj</w:t>
      </w:r>
      <w:r>
        <w:rPr>
          <w:rFonts w:ascii="DepCentury Old Style" w:hAnsi="DepCentury Old Style"/>
        </w:rPr>
        <w:t>aldt fram til 1. januar 2011. I disse retningslinjene het det blant annet følgende:</w:t>
      </w:r>
    </w:p>
    <w:p w:rsidR="00042FD8" w:rsidRPr="00042FD8" w:rsidRDefault="00EA5650" w:rsidP="00EA5650">
      <w:pPr>
        <w:ind w:left="567" w:hanging="567"/>
        <w:rPr>
          <w:rFonts w:ascii="DepCentury Old Style" w:hAnsi="DepCentury Old Style"/>
          <w:i/>
          <w:sz w:val="22"/>
          <w:szCs w:val="22"/>
        </w:rPr>
      </w:pPr>
      <w:r>
        <w:rPr>
          <w:rFonts w:ascii="DepCentury Old Style" w:hAnsi="DepCentury Old Style"/>
          <w:i/>
          <w:sz w:val="22"/>
          <w:szCs w:val="22"/>
        </w:rPr>
        <w:tab/>
      </w:r>
      <w:r w:rsidR="00042FD8" w:rsidRPr="00042FD8">
        <w:rPr>
          <w:rFonts w:ascii="DepCentury Old Style" w:hAnsi="DepCentury Old Style"/>
          <w:i/>
          <w:sz w:val="22"/>
          <w:szCs w:val="22"/>
        </w:rPr>
        <w:t xml:space="preserve">”Siktemålet for reguleringa skal </w:t>
      </w:r>
      <w:proofErr w:type="spellStart"/>
      <w:r w:rsidR="00042FD8" w:rsidRPr="00042FD8">
        <w:rPr>
          <w:rFonts w:ascii="DepCentury Old Style" w:hAnsi="DepCentury Old Style"/>
          <w:i/>
          <w:sz w:val="22"/>
          <w:szCs w:val="22"/>
        </w:rPr>
        <w:t>vere</w:t>
      </w:r>
      <w:proofErr w:type="spellEnd"/>
      <w:r w:rsidR="00042FD8" w:rsidRPr="00042FD8">
        <w:rPr>
          <w:rFonts w:ascii="DepCentury Old Style" w:hAnsi="DepCentury Old Style"/>
          <w:i/>
          <w:sz w:val="22"/>
          <w:szCs w:val="22"/>
        </w:rPr>
        <w:t xml:space="preserve"> å gi </w:t>
      </w:r>
      <w:proofErr w:type="spellStart"/>
      <w:r w:rsidR="00042FD8" w:rsidRPr="00042FD8">
        <w:rPr>
          <w:rFonts w:ascii="DepCentury Old Style" w:hAnsi="DepCentury Old Style"/>
          <w:i/>
          <w:sz w:val="22"/>
          <w:szCs w:val="22"/>
        </w:rPr>
        <w:t>pensjonistar</w:t>
      </w:r>
      <w:proofErr w:type="spellEnd"/>
      <w:r w:rsidR="00042FD8" w:rsidRPr="00042FD8">
        <w:rPr>
          <w:rFonts w:ascii="DepCentury Old Style" w:hAnsi="DepCentury Old Style"/>
          <w:i/>
          <w:sz w:val="22"/>
          <w:szCs w:val="22"/>
        </w:rPr>
        <w:t xml:space="preserve"> med folketrygdpensjon ei inntekts</w:t>
      </w:r>
      <w:r w:rsidR="00042FD8" w:rsidRPr="00042FD8">
        <w:rPr>
          <w:rFonts w:ascii="DepCentury Old Style" w:hAnsi="DepCentury Old Style"/>
          <w:i/>
          <w:sz w:val="22"/>
          <w:szCs w:val="22"/>
        </w:rPr>
        <w:softHyphen/>
        <w:t xml:space="preserve">utvikling minst på linje med utviklinga for yrkesaktive, korrigert for </w:t>
      </w:r>
      <w:proofErr w:type="spellStart"/>
      <w:r w:rsidR="00042FD8" w:rsidRPr="00042FD8">
        <w:rPr>
          <w:rFonts w:ascii="DepCentury Old Style" w:hAnsi="DepCentury Old Style"/>
          <w:i/>
          <w:sz w:val="22"/>
          <w:szCs w:val="22"/>
        </w:rPr>
        <w:t>særlege</w:t>
      </w:r>
      <w:proofErr w:type="spellEnd"/>
      <w:r w:rsidR="00042FD8" w:rsidRPr="00042FD8">
        <w:rPr>
          <w:rFonts w:ascii="DepCentury Old Style" w:hAnsi="DepCentury Old Style"/>
          <w:i/>
          <w:sz w:val="22"/>
          <w:szCs w:val="22"/>
        </w:rPr>
        <w:t xml:space="preserve"> tilhøve, og i tråd med </w:t>
      </w:r>
      <w:proofErr w:type="spellStart"/>
      <w:r w:rsidR="00042FD8" w:rsidRPr="00042FD8">
        <w:rPr>
          <w:rFonts w:ascii="DepCentury Old Style" w:hAnsi="DepCentury Old Style"/>
          <w:i/>
          <w:sz w:val="22"/>
          <w:szCs w:val="22"/>
        </w:rPr>
        <w:t>dei</w:t>
      </w:r>
      <w:proofErr w:type="spellEnd"/>
      <w:r w:rsidR="00042FD8" w:rsidRPr="00042FD8">
        <w:rPr>
          <w:rFonts w:ascii="DepCentury Old Style" w:hAnsi="DepCentury Old Style"/>
          <w:i/>
          <w:sz w:val="22"/>
          <w:szCs w:val="22"/>
        </w:rPr>
        <w:t xml:space="preserve"> prinsipp og mål som er lagt til grunn for gjennomføringa av det inntekts </w:t>
      </w:r>
      <w:proofErr w:type="gramStart"/>
      <w:r w:rsidR="00042FD8" w:rsidRPr="00042FD8">
        <w:rPr>
          <w:rFonts w:ascii="DepCentury Old Style" w:hAnsi="DepCentury Old Style"/>
          <w:i/>
          <w:sz w:val="22"/>
          <w:szCs w:val="22"/>
        </w:rPr>
        <w:t>opplegget</w:t>
      </w:r>
      <w:proofErr w:type="gramEnd"/>
      <w:r w:rsidR="00042FD8" w:rsidRPr="00042FD8">
        <w:rPr>
          <w:rFonts w:ascii="DepCentury Old Style" w:hAnsi="DepCentury Old Style"/>
          <w:i/>
          <w:sz w:val="22"/>
          <w:szCs w:val="22"/>
        </w:rPr>
        <w:t xml:space="preserve"> elles. Til grunn for reguleringa skal </w:t>
      </w:r>
      <w:proofErr w:type="spellStart"/>
      <w:r w:rsidR="00042FD8" w:rsidRPr="00042FD8">
        <w:rPr>
          <w:rFonts w:ascii="DepCentury Old Style" w:hAnsi="DepCentury Old Style"/>
          <w:i/>
          <w:sz w:val="22"/>
          <w:szCs w:val="22"/>
        </w:rPr>
        <w:t>liggje</w:t>
      </w:r>
      <w:proofErr w:type="spellEnd"/>
      <w:r w:rsidR="00042FD8" w:rsidRPr="00042FD8">
        <w:rPr>
          <w:rFonts w:ascii="DepCentury Old Style" w:hAnsi="DepCentury Old Style"/>
          <w:i/>
          <w:sz w:val="22"/>
          <w:szCs w:val="22"/>
        </w:rPr>
        <w:t xml:space="preserve"> venta inntektsutvikling for </w:t>
      </w:r>
      <w:proofErr w:type="spellStart"/>
      <w:r w:rsidR="00042FD8" w:rsidRPr="00042FD8">
        <w:rPr>
          <w:rFonts w:ascii="DepCentury Old Style" w:hAnsi="DepCentury Old Style"/>
          <w:i/>
          <w:sz w:val="22"/>
          <w:szCs w:val="22"/>
        </w:rPr>
        <w:t>lønns</w:t>
      </w:r>
      <w:r w:rsidR="00042FD8" w:rsidRPr="00042FD8">
        <w:rPr>
          <w:rFonts w:ascii="DepCentury Old Style" w:hAnsi="DepCentury Old Style"/>
          <w:i/>
          <w:sz w:val="22"/>
          <w:szCs w:val="22"/>
        </w:rPr>
        <w:softHyphen/>
        <w:t>takarar</w:t>
      </w:r>
      <w:proofErr w:type="spellEnd"/>
      <w:r w:rsidR="00042FD8" w:rsidRPr="00042FD8">
        <w:rPr>
          <w:rFonts w:ascii="DepCentury Old Style" w:hAnsi="DepCentury Old Style"/>
          <w:i/>
          <w:sz w:val="22"/>
          <w:szCs w:val="22"/>
        </w:rPr>
        <w:t xml:space="preserve"> i alt i reguleringsåret etter justering av grunnbeløpet for avvik mellom venta og reell lønnsauke siste år.”</w:t>
      </w:r>
    </w:p>
    <w:p w:rsidR="00791E25" w:rsidRDefault="00791E25" w:rsidP="00B67B6A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 xml:space="preserve">Det gikk videre fram av retningslinjene at regjeringen </w:t>
      </w:r>
      <w:r w:rsidR="00EA5650">
        <w:rPr>
          <w:rFonts w:ascii="DepCentury Old Style" w:hAnsi="DepCentury Old Style"/>
        </w:rPr>
        <w:t xml:space="preserve">skulle </w:t>
      </w:r>
      <w:r>
        <w:rPr>
          <w:rFonts w:ascii="DepCentury Old Style" w:hAnsi="DepCentury Old Style"/>
        </w:rPr>
        <w:t xml:space="preserve">legge fram forslag for Stortinget om reguleringen etter drøftinger med pensjonistenes organisasjoner. </w:t>
      </w:r>
    </w:p>
    <w:p w:rsidR="00791E25" w:rsidRDefault="00791E25" w:rsidP="00B67B6A">
      <w:pPr>
        <w:rPr>
          <w:rFonts w:ascii="DepCentury Old Style" w:hAnsi="DepCentury Old Style"/>
        </w:rPr>
      </w:pPr>
    </w:p>
    <w:p w:rsidR="00967BC5" w:rsidRDefault="00042FD8" w:rsidP="00B67B6A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 xml:space="preserve">Retningslinjene ble </w:t>
      </w:r>
      <w:r w:rsidR="00791E25">
        <w:rPr>
          <w:rFonts w:ascii="DepCentury Old Style" w:hAnsi="DepCentury Old Style"/>
        </w:rPr>
        <w:t xml:space="preserve">i det alt vesentlige </w:t>
      </w:r>
      <w:r>
        <w:rPr>
          <w:rFonts w:ascii="DepCentury Old Style" w:hAnsi="DepCentury Old Style"/>
        </w:rPr>
        <w:t>videreført</w:t>
      </w:r>
      <w:r w:rsidR="00967BC5">
        <w:rPr>
          <w:rFonts w:ascii="DepCentury Old Style" w:hAnsi="DepCentury Old Style"/>
        </w:rPr>
        <w:t xml:space="preserve"> fra 2011 som en del av folketrygd</w:t>
      </w:r>
      <w:r w:rsidR="00EA5650">
        <w:rPr>
          <w:rFonts w:ascii="DepCentury Old Style" w:hAnsi="DepCentury Old Style"/>
        </w:rPr>
        <w:softHyphen/>
      </w:r>
      <w:r w:rsidR="00967BC5">
        <w:rPr>
          <w:rFonts w:ascii="DepCentury Old Style" w:hAnsi="DepCentury Old Style"/>
        </w:rPr>
        <w:t>lovens regulerings</w:t>
      </w:r>
      <w:r w:rsidR="00967BC5">
        <w:rPr>
          <w:rFonts w:ascii="DepCentury Old Style" w:hAnsi="DepCentury Old Style"/>
        </w:rPr>
        <w:softHyphen/>
        <w:t xml:space="preserve">bestemmelser, jf. § 1-4 tredje ledd, </w:t>
      </w:r>
      <w:r w:rsidR="00752B51">
        <w:rPr>
          <w:rFonts w:ascii="DepCentury Old Style" w:hAnsi="DepCentury Old Style"/>
        </w:rPr>
        <w:t xml:space="preserve">§ </w:t>
      </w:r>
      <w:r w:rsidR="00967BC5">
        <w:rPr>
          <w:rFonts w:ascii="DepCentury Old Style" w:hAnsi="DepCentury Old Style"/>
        </w:rPr>
        <w:t xml:space="preserve">19-14 sjette ledd og </w:t>
      </w:r>
      <w:r w:rsidR="00752B51">
        <w:rPr>
          <w:rFonts w:ascii="DepCentury Old Style" w:hAnsi="DepCentury Old Style"/>
        </w:rPr>
        <w:t xml:space="preserve">§ </w:t>
      </w:r>
      <w:r w:rsidR="00967BC5">
        <w:rPr>
          <w:rFonts w:ascii="DepCentury Old Style" w:hAnsi="DepCentury Old Style"/>
        </w:rPr>
        <w:t>20-18 sjette ledd, som lyder:</w:t>
      </w:r>
    </w:p>
    <w:p w:rsidR="00042FD8" w:rsidRPr="00967BC5" w:rsidRDefault="00EA5650" w:rsidP="00EA5650">
      <w:pPr>
        <w:ind w:left="567" w:hanging="567"/>
        <w:rPr>
          <w:rFonts w:ascii="DepCentury Old Style" w:hAnsi="DepCentury Old Style"/>
          <w:i/>
          <w:sz w:val="22"/>
          <w:szCs w:val="22"/>
        </w:rPr>
      </w:pPr>
      <w:r>
        <w:rPr>
          <w:rFonts w:ascii="DepCentury Old Style" w:hAnsi="DepCentury Old Style"/>
          <w:i/>
          <w:sz w:val="22"/>
          <w:szCs w:val="22"/>
        </w:rPr>
        <w:tab/>
      </w:r>
      <w:r w:rsidR="00967BC5" w:rsidRPr="00967BC5">
        <w:rPr>
          <w:rFonts w:ascii="DepCentury Old Style" w:hAnsi="DepCentury Old Style"/>
          <w:i/>
          <w:sz w:val="22"/>
          <w:szCs w:val="22"/>
        </w:rPr>
        <w:t xml:space="preserve">”Til grunn for reguleringen legges forventet lønnsutvikling i reguleringsåret justert for eventuelt avvik mellom forventet og faktisk lønnsutvikling siste år.” </w:t>
      </w:r>
      <w:r w:rsidR="00042FD8" w:rsidRPr="00967BC5">
        <w:rPr>
          <w:rFonts w:ascii="DepCentury Old Style" w:hAnsi="DepCentury Old Style"/>
          <w:i/>
          <w:sz w:val="22"/>
          <w:szCs w:val="22"/>
        </w:rPr>
        <w:t xml:space="preserve"> </w:t>
      </w:r>
    </w:p>
    <w:p w:rsidR="00EA5650" w:rsidRDefault="00EA5650" w:rsidP="00B67B6A">
      <w:pPr>
        <w:rPr>
          <w:rFonts w:ascii="DepCentury Old Style" w:hAnsi="DepCentury Old Style"/>
        </w:rPr>
      </w:pPr>
    </w:p>
    <w:p w:rsidR="00376BDD" w:rsidRDefault="00490978" w:rsidP="00376BDD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>F</w:t>
      </w:r>
      <w:r w:rsidRPr="00B67B6A">
        <w:rPr>
          <w:rFonts w:ascii="DepCentury Old Style" w:hAnsi="DepCentury Old Style"/>
        </w:rPr>
        <w:t>orventet lønns</w:t>
      </w:r>
      <w:r>
        <w:rPr>
          <w:rFonts w:ascii="DepCentury Old Style" w:hAnsi="DepCentury Old Style"/>
        </w:rPr>
        <w:softHyphen/>
      </w:r>
      <w:r w:rsidRPr="00B67B6A">
        <w:rPr>
          <w:rFonts w:ascii="DepCentury Old Style" w:hAnsi="DepCentury Old Style"/>
        </w:rPr>
        <w:t>utvikling i reguleringsåret</w:t>
      </w:r>
      <w:r>
        <w:rPr>
          <w:rFonts w:ascii="DepCentury Old Style" w:hAnsi="DepCentury Old Style"/>
        </w:rPr>
        <w:t xml:space="preserve"> </w:t>
      </w:r>
      <w:r w:rsidR="00ED7BA1">
        <w:rPr>
          <w:rFonts w:ascii="DepCentury Old Style" w:hAnsi="DepCentury Old Style"/>
        </w:rPr>
        <w:t>anslås</w:t>
      </w:r>
      <w:r>
        <w:rPr>
          <w:rFonts w:ascii="DepCentury Old Style" w:hAnsi="DepCentury Old Style"/>
        </w:rPr>
        <w:t xml:space="preserve"> i </w:t>
      </w:r>
      <w:r w:rsidRPr="00B67B6A">
        <w:rPr>
          <w:rFonts w:ascii="DepCentury Old Style" w:hAnsi="DepCentury Old Style"/>
        </w:rPr>
        <w:t>revidert nasjonalbudsjett (RNB)</w:t>
      </w:r>
      <w:r>
        <w:rPr>
          <w:rFonts w:ascii="DepCentury Old Style" w:hAnsi="DepCentury Old Style"/>
        </w:rPr>
        <w:t>. F</w:t>
      </w:r>
      <w:r w:rsidRPr="00B67B6A">
        <w:rPr>
          <w:rFonts w:ascii="DepCentury Old Style" w:hAnsi="DepCentury Old Style"/>
        </w:rPr>
        <w:t xml:space="preserve">aktisk lønnsutvikling </w:t>
      </w:r>
      <w:r>
        <w:rPr>
          <w:rFonts w:ascii="DepCentury Old Style" w:hAnsi="DepCentury Old Style"/>
        </w:rPr>
        <w:t>framgår av rapporter</w:t>
      </w:r>
      <w:r w:rsidRPr="00B67B6A">
        <w:rPr>
          <w:rFonts w:ascii="DepCentury Old Style" w:hAnsi="DepCentury Old Style"/>
        </w:rPr>
        <w:t xml:space="preserve"> fra </w:t>
      </w:r>
      <w:r>
        <w:rPr>
          <w:rFonts w:ascii="DepCentury Old Style" w:hAnsi="DepCentury Old Style"/>
        </w:rPr>
        <w:t>Det tekniske beregningsutvalget for inntektsoppgjørene (</w:t>
      </w:r>
      <w:r w:rsidRPr="00B67B6A">
        <w:rPr>
          <w:rFonts w:ascii="DepCentury Old Style" w:hAnsi="DepCentury Old Style"/>
        </w:rPr>
        <w:t>TBU</w:t>
      </w:r>
      <w:r>
        <w:rPr>
          <w:rFonts w:ascii="DepCentury Old Style" w:hAnsi="DepCentury Old Style"/>
        </w:rPr>
        <w:t>)</w:t>
      </w:r>
      <w:r w:rsidRPr="00B67B6A">
        <w:rPr>
          <w:rFonts w:ascii="DepCentury Old Style" w:hAnsi="DepCentury Old Style"/>
        </w:rPr>
        <w:t>. En foreløpig rapport fra TBU foreligger vanligvis i februar m</w:t>
      </w:r>
      <w:r w:rsidR="00ED7BA1">
        <w:rPr>
          <w:rFonts w:ascii="DepCentury Old Style" w:hAnsi="DepCentury Old Style"/>
        </w:rPr>
        <w:t>åned, med oppdateringer i mars/</w:t>
      </w:r>
      <w:r w:rsidRPr="00B67B6A">
        <w:rPr>
          <w:rFonts w:ascii="DepCentury Old Style" w:hAnsi="DepCentury Old Style"/>
        </w:rPr>
        <w:t>april, mens RNB legges fram i mai måned. Umiddel</w:t>
      </w:r>
      <w:r>
        <w:rPr>
          <w:rFonts w:ascii="DepCentury Old Style" w:hAnsi="DepCentury Old Style"/>
        </w:rPr>
        <w:softHyphen/>
      </w:r>
      <w:r w:rsidRPr="00B67B6A">
        <w:rPr>
          <w:rFonts w:ascii="DepCentury Old Style" w:hAnsi="DepCentury Old Style"/>
        </w:rPr>
        <w:t xml:space="preserve">bart etter at RNB </w:t>
      </w:r>
      <w:r>
        <w:rPr>
          <w:rFonts w:ascii="DepCentury Old Style" w:hAnsi="DepCentury Old Style"/>
        </w:rPr>
        <w:t>er lagt fram</w:t>
      </w:r>
      <w:r w:rsidRPr="00B67B6A">
        <w:rPr>
          <w:rFonts w:ascii="DepCentury Old Style" w:hAnsi="DepCentury Old Style"/>
        </w:rPr>
        <w:t xml:space="preserve"> avholdes </w:t>
      </w:r>
      <w:r>
        <w:rPr>
          <w:rFonts w:ascii="DepCentury Old Style" w:hAnsi="DepCentury Old Style"/>
        </w:rPr>
        <w:t>drøftings</w:t>
      </w:r>
      <w:r w:rsidRPr="00B67B6A">
        <w:rPr>
          <w:rFonts w:ascii="DepCentury Old Style" w:hAnsi="DepCentury Old Style"/>
        </w:rPr>
        <w:t>møtene med pensjonistenes, de funksjons</w:t>
      </w:r>
      <w:r>
        <w:rPr>
          <w:rFonts w:ascii="DepCentury Old Style" w:hAnsi="DepCentury Old Style"/>
        </w:rPr>
        <w:softHyphen/>
      </w:r>
      <w:r w:rsidRPr="00B67B6A">
        <w:rPr>
          <w:rFonts w:ascii="DepCentury Old Style" w:hAnsi="DepCentury Old Style"/>
        </w:rPr>
        <w:t>hemmedes og arbeidstakernes organisasjoner om tallgrunnlaget for reguleringen</w:t>
      </w:r>
      <w:r>
        <w:rPr>
          <w:rFonts w:ascii="DepCentury Old Style" w:hAnsi="DepCentury Old Style"/>
        </w:rPr>
        <w:t>. D</w:t>
      </w:r>
      <w:r w:rsidRPr="00B67B6A">
        <w:rPr>
          <w:rFonts w:ascii="DepCentury Old Style" w:hAnsi="DepCentury Old Style"/>
        </w:rPr>
        <w:t xml:space="preserve">et vil si det tallgrunnlaget som da er tilgjengelig. </w:t>
      </w:r>
    </w:p>
    <w:p w:rsidR="00376BDD" w:rsidRDefault="00376BDD" w:rsidP="00376BDD">
      <w:pPr>
        <w:rPr>
          <w:rFonts w:ascii="DepCentury Old Style" w:hAnsi="DepCentury Old Style"/>
        </w:rPr>
      </w:pPr>
    </w:p>
    <w:p w:rsidR="00376BDD" w:rsidRPr="00B67B6A" w:rsidRDefault="00376BDD" w:rsidP="00376BDD">
      <w:pPr>
        <w:rPr>
          <w:rFonts w:ascii="DepCentury Old Style" w:hAnsi="DepCentury Old Style"/>
        </w:rPr>
      </w:pPr>
      <w:r w:rsidRPr="00B67B6A">
        <w:rPr>
          <w:rFonts w:ascii="DepCentury Old Style" w:hAnsi="DepCentury Old Style"/>
        </w:rPr>
        <w:t>TBU avgir imidlertid en ny rapport i juni måned (”</w:t>
      </w:r>
      <w:r w:rsidRPr="00D17904">
        <w:rPr>
          <w:rFonts w:ascii="DepCentury Old Style" w:hAnsi="DepCentury Old Style"/>
          <w:i/>
        </w:rPr>
        <w:t>Etter inntekts</w:t>
      </w:r>
      <w:r w:rsidRPr="00D17904">
        <w:rPr>
          <w:rFonts w:ascii="DepCentury Old Style" w:hAnsi="DepCentury Old Style"/>
          <w:i/>
        </w:rPr>
        <w:softHyphen/>
        <w:t>oppgjørene</w:t>
      </w:r>
      <w:r w:rsidRPr="00B67B6A">
        <w:rPr>
          <w:rFonts w:ascii="DepCentury Old Style" w:hAnsi="DepCentury Old Style"/>
        </w:rPr>
        <w:t xml:space="preserve">”), der det tidligere anslaget på faktisk lønnsutvikling kan være endret. </w:t>
      </w:r>
    </w:p>
    <w:p w:rsidR="00490978" w:rsidRDefault="00490978" w:rsidP="00B67B6A">
      <w:pPr>
        <w:rPr>
          <w:rFonts w:ascii="DepCentury Old Style" w:hAnsi="DepCentury Old Style"/>
        </w:rPr>
      </w:pPr>
    </w:p>
    <w:p w:rsidR="00F037CA" w:rsidRDefault="00F037CA" w:rsidP="00B67B6A">
      <w:pPr>
        <w:rPr>
          <w:rFonts w:ascii="DepCentury Old Style" w:hAnsi="DepCentury Old Style"/>
        </w:rPr>
      </w:pPr>
    </w:p>
    <w:p w:rsidR="001F6E78" w:rsidRPr="00BF3C57" w:rsidRDefault="001F6E78" w:rsidP="001F6E78">
      <w:pPr>
        <w:autoSpaceDE w:val="0"/>
        <w:autoSpaceDN w:val="0"/>
        <w:adjustRightInd w:val="0"/>
        <w:rPr>
          <w:rFonts w:ascii="DepCentury Old Style" w:hAnsi="DepCentury Old Style"/>
          <w:b/>
        </w:rPr>
      </w:pPr>
      <w:r>
        <w:rPr>
          <w:rFonts w:ascii="DepCentury Old Style" w:hAnsi="DepCentury Old Style"/>
          <w:b/>
        </w:rPr>
        <w:lastRenderedPageBreak/>
        <w:t>3</w:t>
      </w:r>
      <w:r w:rsidRPr="00BF3C57">
        <w:rPr>
          <w:rFonts w:ascii="DepCentury Old Style" w:hAnsi="DepCentury Old Style"/>
          <w:b/>
        </w:rPr>
        <w:t xml:space="preserve">. </w:t>
      </w:r>
      <w:r>
        <w:rPr>
          <w:rFonts w:ascii="DepCentury Old Style" w:hAnsi="DepCentury Old Style"/>
          <w:b/>
        </w:rPr>
        <w:t>Departementets v</w:t>
      </w:r>
      <w:r w:rsidRPr="00BF3C57">
        <w:rPr>
          <w:rFonts w:ascii="DepCentury Old Style" w:hAnsi="DepCentury Old Style"/>
          <w:b/>
        </w:rPr>
        <w:t>urdering</w:t>
      </w:r>
      <w:r w:rsidR="00CB21B7">
        <w:rPr>
          <w:rFonts w:ascii="DepCentury Old Style" w:hAnsi="DepCentury Old Style"/>
          <w:b/>
        </w:rPr>
        <w:t xml:space="preserve"> og forslag</w:t>
      </w:r>
    </w:p>
    <w:p w:rsidR="0095383C" w:rsidRDefault="002E3080" w:rsidP="002E3080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 xml:space="preserve">Det legges til grunn </w:t>
      </w:r>
      <w:r w:rsidR="00D259A2">
        <w:rPr>
          <w:rFonts w:ascii="DepCentury Old Style" w:hAnsi="DepCentury Old Style"/>
        </w:rPr>
        <w:t xml:space="preserve">at </w:t>
      </w:r>
      <w:r w:rsidR="00752B51">
        <w:rPr>
          <w:rFonts w:ascii="DepCentury Old Style" w:hAnsi="DepCentury Old Style"/>
        </w:rPr>
        <w:t xml:space="preserve">trygdeoppgjøret </w:t>
      </w:r>
      <w:r w:rsidR="00D259A2">
        <w:rPr>
          <w:rFonts w:ascii="DepCentury Old Style" w:hAnsi="DepCentury Old Style"/>
        </w:rPr>
        <w:t xml:space="preserve">fortsatt skal </w:t>
      </w:r>
      <w:r w:rsidR="00752B51">
        <w:rPr>
          <w:rFonts w:ascii="DepCentury Old Style" w:hAnsi="DepCentury Old Style"/>
        </w:rPr>
        <w:t>gjennomføres i mai måned</w:t>
      </w:r>
      <w:r w:rsidR="00D259A2">
        <w:rPr>
          <w:rFonts w:ascii="DepCentury Old Style" w:hAnsi="DepCentury Old Style"/>
        </w:rPr>
        <w:t xml:space="preserve"> hvert år</w:t>
      </w:r>
      <w:r w:rsidR="00752B51">
        <w:rPr>
          <w:rFonts w:ascii="DepCentury Old Style" w:hAnsi="DepCentury Old Style"/>
        </w:rPr>
        <w:t xml:space="preserve">. </w:t>
      </w:r>
      <w:r w:rsidR="00D259A2">
        <w:rPr>
          <w:rFonts w:ascii="DepCentury Old Style" w:hAnsi="DepCentury Old Style"/>
        </w:rPr>
        <w:t>Likeledes at ø</w:t>
      </w:r>
      <w:r w:rsidR="00752B51">
        <w:rPr>
          <w:rFonts w:ascii="DepCentury Old Style" w:hAnsi="DepCentury Old Style"/>
        </w:rPr>
        <w:t>kningen av pensjonen</w:t>
      </w:r>
      <w:r w:rsidR="00D259A2">
        <w:rPr>
          <w:rFonts w:ascii="DepCentury Old Style" w:hAnsi="DepCentury Old Style"/>
        </w:rPr>
        <w:t>e kommer til utbetaling i</w:t>
      </w:r>
      <w:r w:rsidRPr="00B67B6A">
        <w:rPr>
          <w:rFonts w:ascii="DepCentury Old Style" w:hAnsi="DepCentury Old Style"/>
        </w:rPr>
        <w:t xml:space="preserve"> juli</w:t>
      </w:r>
      <w:r w:rsidR="00D259A2">
        <w:rPr>
          <w:rFonts w:ascii="DepCentury Old Style" w:hAnsi="DepCentury Old Style"/>
        </w:rPr>
        <w:t>, og</w:t>
      </w:r>
      <w:r w:rsidRPr="00B67B6A">
        <w:rPr>
          <w:rFonts w:ascii="DepCentury Old Style" w:hAnsi="DepCentury Old Style"/>
        </w:rPr>
        <w:t xml:space="preserve"> </w:t>
      </w:r>
      <w:r>
        <w:rPr>
          <w:rFonts w:ascii="DepCentury Old Style" w:hAnsi="DepCentury Old Style"/>
        </w:rPr>
        <w:t xml:space="preserve">med etterbetaling for mai og juni. </w:t>
      </w:r>
    </w:p>
    <w:p w:rsidR="00752B51" w:rsidRDefault="00752B51" w:rsidP="002E3080">
      <w:pPr>
        <w:rPr>
          <w:rFonts w:ascii="DepCentury Old Style" w:hAnsi="DepCentury Old Style"/>
        </w:rPr>
      </w:pPr>
    </w:p>
    <w:p w:rsidR="00747EB2" w:rsidRPr="001133CB" w:rsidRDefault="0095383C" w:rsidP="00376A70">
      <w:pPr>
        <w:rPr>
          <w:rFonts w:ascii="DepCentury Old Style" w:hAnsi="DepCentury Old Style"/>
        </w:rPr>
      </w:pPr>
      <w:r w:rsidRPr="001133CB">
        <w:rPr>
          <w:rFonts w:ascii="DepCentury Old Style" w:hAnsi="DepCentury Old Style"/>
        </w:rPr>
        <w:t xml:space="preserve">Som </w:t>
      </w:r>
      <w:r w:rsidR="00ED7BA1">
        <w:rPr>
          <w:rFonts w:ascii="DepCentury Old Style" w:hAnsi="DepCentury Old Style"/>
        </w:rPr>
        <w:t>det framgår</w:t>
      </w:r>
      <w:r w:rsidRPr="001133CB">
        <w:rPr>
          <w:rFonts w:ascii="DepCentury Old Style" w:hAnsi="DepCentury Old Style"/>
        </w:rPr>
        <w:t xml:space="preserve"> ovenfor, kan anslagene for lønnsvekst for året før bli endret etter at trygde</w:t>
      </w:r>
      <w:r w:rsidR="00376A70" w:rsidRPr="001133CB">
        <w:rPr>
          <w:rFonts w:ascii="DepCentury Old Style" w:hAnsi="DepCentury Old Style"/>
        </w:rPr>
        <w:softHyphen/>
      </w:r>
      <w:r w:rsidRPr="001133CB">
        <w:rPr>
          <w:rFonts w:ascii="DepCentury Old Style" w:hAnsi="DepCentury Old Style"/>
        </w:rPr>
        <w:t xml:space="preserve">oppgjøret er gjennomført. </w:t>
      </w:r>
      <w:r w:rsidR="00C226A7" w:rsidRPr="001133CB">
        <w:rPr>
          <w:rFonts w:ascii="DepCentury Old Style" w:hAnsi="DepCentury Old Style"/>
        </w:rPr>
        <w:t>Vi viser til erfaringene fra trygdeoppgjøret i 2010</w:t>
      </w:r>
      <w:r w:rsidR="00376A70" w:rsidRPr="001133CB">
        <w:rPr>
          <w:rFonts w:ascii="DepCentury Old Style" w:hAnsi="DepCentury Old Style"/>
        </w:rPr>
        <w:t xml:space="preserve"> hvor det framkom at a</w:t>
      </w:r>
      <w:r w:rsidR="00747EB2" w:rsidRPr="001133CB">
        <w:rPr>
          <w:rFonts w:ascii="DepCentury Old Style" w:hAnsi="DepCentury Old Style"/>
        </w:rPr>
        <w:t xml:space="preserve">nslaget for lønnsveksten i 2008 </w:t>
      </w:r>
      <w:r w:rsidR="00376A70" w:rsidRPr="001133CB">
        <w:rPr>
          <w:rFonts w:ascii="DepCentury Old Style" w:hAnsi="DepCentury Old Style"/>
        </w:rPr>
        <w:t xml:space="preserve">var </w:t>
      </w:r>
      <w:r w:rsidR="00747EB2" w:rsidRPr="001133CB">
        <w:rPr>
          <w:rFonts w:ascii="DepCentury Old Style" w:hAnsi="DepCentury Old Style"/>
        </w:rPr>
        <w:t xml:space="preserve">beregnet på nytt etter at trygdeoppgjøret 2009 var avsluttet. Hadde denne beregningen vært kjent da trygdeoppgjøret i 2009 ble gjennomført, ville grunnbeløpet blitt </w:t>
      </w:r>
      <w:r w:rsidR="00747EB2" w:rsidRPr="00ED7BA1">
        <w:rPr>
          <w:rFonts w:ascii="DepCentury Old Style" w:hAnsi="DepCentury Old Style"/>
        </w:rPr>
        <w:t>opp</w:t>
      </w:r>
      <w:r w:rsidR="00747EB2" w:rsidRPr="001133CB">
        <w:rPr>
          <w:rFonts w:ascii="DepCentury Old Style" w:hAnsi="DepCentury Old Style"/>
        </w:rPr>
        <w:t>justert med 0,3 prosentpoeng</w:t>
      </w:r>
      <w:r w:rsidR="00376A70" w:rsidRPr="001133CB">
        <w:rPr>
          <w:rFonts w:ascii="DepCentury Old Style" w:hAnsi="DepCentury Old Style"/>
        </w:rPr>
        <w:t>. Det viste seg videre at a</w:t>
      </w:r>
      <w:r w:rsidR="00747EB2" w:rsidRPr="001133CB">
        <w:rPr>
          <w:rFonts w:ascii="DepCentury Old Style" w:hAnsi="DepCentury Old Style"/>
        </w:rPr>
        <w:t>nslaget for lønnsveksten i 2009 som ble lagt til</w:t>
      </w:r>
      <w:r w:rsidR="00376A70" w:rsidRPr="001133CB">
        <w:rPr>
          <w:rFonts w:ascii="DepCentury Old Style" w:hAnsi="DepCentury Old Style"/>
        </w:rPr>
        <w:t xml:space="preserve"> grunn i trygdeopp</w:t>
      </w:r>
      <w:r w:rsidR="00376A70" w:rsidRPr="001133CB">
        <w:rPr>
          <w:rFonts w:ascii="DepCentury Old Style" w:hAnsi="DepCentury Old Style"/>
        </w:rPr>
        <w:softHyphen/>
        <w:t xml:space="preserve">gjøret 2010, </w:t>
      </w:r>
      <w:r w:rsidR="00D259A2" w:rsidRPr="001133CB">
        <w:rPr>
          <w:rFonts w:ascii="DepCentury Old Style" w:hAnsi="DepCentury Old Style"/>
        </w:rPr>
        <w:t>heller ikke var korrekt</w:t>
      </w:r>
      <w:r w:rsidR="00376A70" w:rsidRPr="001133CB">
        <w:rPr>
          <w:rFonts w:ascii="DepCentury Old Style" w:hAnsi="DepCentury Old Style"/>
        </w:rPr>
        <w:t xml:space="preserve">. Denne </w:t>
      </w:r>
      <w:r w:rsidR="00747EB2" w:rsidRPr="001133CB">
        <w:rPr>
          <w:rFonts w:ascii="DepCentury Old Style" w:hAnsi="DepCentury Old Style"/>
        </w:rPr>
        <w:t xml:space="preserve">ble senere (august 2010) </w:t>
      </w:r>
      <w:r w:rsidR="00747EB2" w:rsidRPr="00ED7BA1">
        <w:rPr>
          <w:rFonts w:ascii="DepCentury Old Style" w:hAnsi="DepCentury Old Style"/>
        </w:rPr>
        <w:t>nedj</w:t>
      </w:r>
      <w:r w:rsidR="00747EB2" w:rsidRPr="001133CB">
        <w:rPr>
          <w:rFonts w:ascii="DepCentury Old Style" w:hAnsi="DepCentury Old Style"/>
        </w:rPr>
        <w:t>ustert med 0,3 prosentpoeng.</w:t>
      </w:r>
    </w:p>
    <w:p w:rsidR="00B67B6A" w:rsidRPr="001133CB" w:rsidRDefault="00B67B6A" w:rsidP="00B67B6A">
      <w:pPr>
        <w:autoSpaceDE w:val="0"/>
        <w:autoSpaceDN w:val="0"/>
        <w:adjustRightInd w:val="0"/>
        <w:rPr>
          <w:rFonts w:ascii="DepCentury Old Style" w:hAnsi="DepCentury Old Style"/>
        </w:rPr>
      </w:pPr>
    </w:p>
    <w:p w:rsidR="00CB21B7" w:rsidRPr="00B67B6A" w:rsidRDefault="00CB21B7" w:rsidP="00CB21B7">
      <w:pPr>
        <w:rPr>
          <w:rFonts w:ascii="DepCentury Old Style" w:hAnsi="DepCentury Old Style"/>
          <w:b/>
        </w:rPr>
      </w:pPr>
      <w:r w:rsidRPr="001133CB">
        <w:rPr>
          <w:rFonts w:ascii="DepCentury Old Style" w:hAnsi="DepCentury Old Style"/>
        </w:rPr>
        <w:t xml:space="preserve">I </w:t>
      </w:r>
      <w:r w:rsidR="00CF7032" w:rsidRPr="001133CB">
        <w:rPr>
          <w:rFonts w:ascii="DepCentury Old Style" w:hAnsi="DepCentury Old Style"/>
        </w:rPr>
        <w:t>20</w:t>
      </w:r>
      <w:r w:rsidR="00CF7032">
        <w:rPr>
          <w:rFonts w:ascii="DepCentury Old Style" w:hAnsi="DepCentury Old Style"/>
        </w:rPr>
        <w:t xml:space="preserve">11 foreligger det også et endret anslag for lønnsveksten etter trygdeoppgjøret. </w:t>
      </w:r>
      <w:proofErr w:type="spellStart"/>
      <w:r w:rsidRPr="006615BA">
        <w:rPr>
          <w:rFonts w:ascii="DepCentury Old Style" w:hAnsi="DepCentury Old Style"/>
        </w:rPr>
        <w:t>TBUs</w:t>
      </w:r>
      <w:proofErr w:type="spellEnd"/>
      <w:r w:rsidRPr="006615BA">
        <w:rPr>
          <w:rFonts w:ascii="DepCentury Old Style" w:hAnsi="DepCentury Old Style"/>
        </w:rPr>
        <w:t xml:space="preserve"> foreløpig</w:t>
      </w:r>
      <w:r w:rsidR="0095383C">
        <w:rPr>
          <w:rFonts w:ascii="DepCentury Old Style" w:hAnsi="DepCentury Old Style"/>
        </w:rPr>
        <w:t>e</w:t>
      </w:r>
      <w:r w:rsidRPr="006615BA">
        <w:rPr>
          <w:rFonts w:ascii="DepCentury Old Style" w:hAnsi="DepCentury Old Style"/>
        </w:rPr>
        <w:t xml:space="preserve"> rapport 21. februar 2011 og i den endelige rapporten 5. april 2011, ble lønnsveksten fra 2009 til 2010 foreløpig anslått til 3 ¾ prosent. </w:t>
      </w:r>
      <w:r w:rsidR="002050D7">
        <w:rPr>
          <w:rFonts w:ascii="DepCentury Old Style" w:hAnsi="DepCentury Old Style"/>
        </w:rPr>
        <w:t xml:space="preserve">I trygdeoppgjøret 2011 ble det derfor lagt til grunn en lønnsvekst på 3,75 prosent. </w:t>
      </w:r>
      <w:r w:rsidRPr="006615BA">
        <w:rPr>
          <w:rFonts w:ascii="DepCentury Old Style" w:hAnsi="DepCentury Old Style"/>
        </w:rPr>
        <w:t>I rapporten ”Etter inntektsoppgjørene” fra TBU 22. juni 2011 ble det gitt oppdaterte tall over lønns</w:t>
      </w:r>
      <w:r w:rsidR="00752B51">
        <w:rPr>
          <w:rFonts w:ascii="DepCentury Old Style" w:hAnsi="DepCentury Old Style"/>
        </w:rPr>
        <w:softHyphen/>
      </w:r>
      <w:r w:rsidRPr="006615BA">
        <w:rPr>
          <w:rFonts w:ascii="DepCentury Old Style" w:hAnsi="DepCentury Old Style"/>
        </w:rPr>
        <w:t>utviklingen. TBU la da til grunn at veksten i gjennomsnittlig årslønn var 3,7 prosent</w:t>
      </w:r>
      <w:r w:rsidR="00C946F7">
        <w:rPr>
          <w:rFonts w:ascii="DepCentury Old Style" w:hAnsi="DepCentury Old Style"/>
        </w:rPr>
        <w:t>.</w:t>
      </w:r>
      <w:r w:rsidRPr="006615BA">
        <w:rPr>
          <w:rFonts w:ascii="DepCentury Old Style" w:hAnsi="DepCentury Old Style"/>
        </w:rPr>
        <w:t xml:space="preserve"> </w:t>
      </w:r>
    </w:p>
    <w:p w:rsidR="00CB21B7" w:rsidRDefault="00CB21B7" w:rsidP="00B67B6A">
      <w:pPr>
        <w:autoSpaceDE w:val="0"/>
        <w:autoSpaceDN w:val="0"/>
        <w:adjustRightInd w:val="0"/>
        <w:rPr>
          <w:rFonts w:ascii="DepCentury Old Style" w:hAnsi="DepCentury Old Style"/>
        </w:rPr>
      </w:pPr>
    </w:p>
    <w:p w:rsidR="005D73CD" w:rsidRDefault="001E773D" w:rsidP="00BF3C57">
      <w:pPr>
        <w:autoSpaceDE w:val="0"/>
        <w:autoSpaceDN w:val="0"/>
        <w:adjustRightInd w:val="0"/>
        <w:rPr>
          <w:rFonts w:ascii="DepCentury Old Style" w:hAnsi="DepCentury Old Style"/>
        </w:rPr>
      </w:pPr>
      <w:r>
        <w:rPr>
          <w:rFonts w:ascii="DepCentury Old Style" w:hAnsi="DepCentury Old Style"/>
        </w:rPr>
        <w:t>Endringer i anslagene, som legges fram etter at trygdeoppgjøret er ferdig</w:t>
      </w:r>
      <w:r w:rsidR="005D73CD">
        <w:rPr>
          <w:rFonts w:ascii="DepCentury Old Style" w:hAnsi="DepCentury Old Style"/>
        </w:rPr>
        <w:t xml:space="preserve"> i mai</w:t>
      </w:r>
      <w:r>
        <w:rPr>
          <w:rFonts w:ascii="DepCentury Old Style" w:hAnsi="DepCentury Old Style"/>
        </w:rPr>
        <w:t xml:space="preserve">, vil ved neste års trygdeoppgjør </w:t>
      </w:r>
      <w:r w:rsidR="005D73CD">
        <w:rPr>
          <w:rFonts w:ascii="DepCentury Old Style" w:hAnsi="DepCentury Old Style"/>
        </w:rPr>
        <w:t xml:space="preserve">referere seg til en periode som </w:t>
      </w:r>
      <w:r>
        <w:rPr>
          <w:rFonts w:ascii="DepCentury Old Style" w:hAnsi="DepCentury Old Style"/>
        </w:rPr>
        <w:t>ligge</w:t>
      </w:r>
      <w:r w:rsidR="005D73CD">
        <w:rPr>
          <w:rFonts w:ascii="DepCentury Old Style" w:hAnsi="DepCentury Old Style"/>
        </w:rPr>
        <w:t>r</w:t>
      </w:r>
      <w:r>
        <w:rPr>
          <w:rFonts w:ascii="DepCentury Old Style" w:hAnsi="DepCentury Old Style"/>
        </w:rPr>
        <w:t xml:space="preserve"> to år tilbake i tid</w:t>
      </w:r>
      <w:r w:rsidR="005D73CD">
        <w:rPr>
          <w:rFonts w:ascii="DepCentury Old Style" w:hAnsi="DepCentury Old Style"/>
        </w:rPr>
        <w:t>. Slike endringer kan det ikke tas hensyn til etter</w:t>
      </w:r>
      <w:r>
        <w:rPr>
          <w:rFonts w:ascii="DepCentury Old Style" w:hAnsi="DepCentury Old Style"/>
        </w:rPr>
        <w:t xml:space="preserve"> gjeldende regler</w:t>
      </w:r>
      <w:r w:rsidR="005D73CD">
        <w:rPr>
          <w:rFonts w:ascii="DepCentury Old Style" w:hAnsi="DepCentury Old Style"/>
        </w:rPr>
        <w:t>,</w:t>
      </w:r>
      <w:r>
        <w:rPr>
          <w:rFonts w:ascii="DepCentury Old Style" w:hAnsi="DepCentury Old Style"/>
        </w:rPr>
        <w:t xml:space="preserve"> </w:t>
      </w:r>
      <w:r w:rsidR="005D73CD">
        <w:rPr>
          <w:rFonts w:ascii="DepCentury Old Style" w:hAnsi="DepCentury Old Style"/>
        </w:rPr>
        <w:t xml:space="preserve">hvor det bare kan justeres for avvik mellom forventet og faktisk lønnsutvikling siste år.  </w:t>
      </w:r>
    </w:p>
    <w:p w:rsidR="005B01C3" w:rsidRDefault="005B01C3" w:rsidP="00BF3C57">
      <w:pPr>
        <w:autoSpaceDE w:val="0"/>
        <w:autoSpaceDN w:val="0"/>
        <w:adjustRightInd w:val="0"/>
        <w:rPr>
          <w:rFonts w:ascii="DepCentury Old Style" w:hAnsi="DepCentury Old Style"/>
        </w:rPr>
      </w:pPr>
    </w:p>
    <w:p w:rsidR="00593BB5" w:rsidRDefault="00B67B6A" w:rsidP="00BE449C">
      <w:pPr>
        <w:autoSpaceDE w:val="0"/>
        <w:autoSpaceDN w:val="0"/>
        <w:adjustRightInd w:val="0"/>
        <w:rPr>
          <w:rFonts w:ascii="DepCentury Old Style" w:hAnsi="DepCentury Old Style"/>
        </w:rPr>
      </w:pPr>
      <w:r w:rsidRPr="00B67B6A">
        <w:rPr>
          <w:rFonts w:ascii="DepCentury Old Style" w:hAnsi="DepCentury Old Style"/>
        </w:rPr>
        <w:t xml:space="preserve">En videreføring av gjeldende </w:t>
      </w:r>
      <w:r w:rsidR="00AF0C66">
        <w:rPr>
          <w:rFonts w:ascii="DepCentury Old Style" w:hAnsi="DepCentury Old Style"/>
        </w:rPr>
        <w:t>regler</w:t>
      </w:r>
      <w:r w:rsidRPr="00B67B6A">
        <w:rPr>
          <w:rFonts w:ascii="DepCentury Old Style" w:hAnsi="DepCentury Old Style"/>
        </w:rPr>
        <w:t xml:space="preserve"> der man kun ser på avviket i</w:t>
      </w:r>
      <w:r w:rsidR="00984B61">
        <w:rPr>
          <w:rFonts w:ascii="DepCentury Old Style" w:hAnsi="DepCentury Old Style"/>
        </w:rPr>
        <w:t xml:space="preserve"> </w:t>
      </w:r>
      <w:r w:rsidRPr="00B67B6A">
        <w:rPr>
          <w:rFonts w:ascii="DepCentury Old Style" w:hAnsi="DepCentury Old Style"/>
        </w:rPr>
        <w:t>det fore</w:t>
      </w:r>
      <w:r w:rsidR="00EB4995">
        <w:rPr>
          <w:rFonts w:ascii="DepCentury Old Style" w:hAnsi="DepCentury Old Style"/>
        </w:rPr>
        <w:softHyphen/>
      </w:r>
      <w:r w:rsidRPr="00B67B6A">
        <w:rPr>
          <w:rFonts w:ascii="DepCentury Old Style" w:hAnsi="DepCentury Old Style"/>
        </w:rPr>
        <w:t xml:space="preserve">gående året, </w:t>
      </w:r>
      <w:r w:rsidR="00376A70">
        <w:rPr>
          <w:rFonts w:ascii="DepCentury Old Style" w:hAnsi="DepCentury Old Style"/>
        </w:rPr>
        <w:t xml:space="preserve">sikrer </w:t>
      </w:r>
      <w:r w:rsidR="00AF0C66">
        <w:rPr>
          <w:rFonts w:ascii="DepCentury Old Style" w:hAnsi="DepCentury Old Style"/>
        </w:rPr>
        <w:t xml:space="preserve">etter departementets vurdering </w:t>
      </w:r>
      <w:r w:rsidRPr="00B67B6A">
        <w:rPr>
          <w:rFonts w:ascii="DepCentury Old Style" w:hAnsi="DepCentury Old Style"/>
        </w:rPr>
        <w:t xml:space="preserve">ikke </w:t>
      </w:r>
      <w:r w:rsidR="00376A70">
        <w:rPr>
          <w:rFonts w:ascii="DepCentury Old Style" w:hAnsi="DepCentury Old Style"/>
        </w:rPr>
        <w:t xml:space="preserve">i tilstrekkelig grad </w:t>
      </w:r>
      <w:r w:rsidRPr="00B67B6A">
        <w:rPr>
          <w:rFonts w:ascii="DepCentury Old Style" w:hAnsi="DepCentury Old Style"/>
        </w:rPr>
        <w:t xml:space="preserve">den </w:t>
      </w:r>
      <w:r w:rsidR="00376A70">
        <w:rPr>
          <w:rFonts w:ascii="DepCentury Old Style" w:hAnsi="DepCentury Old Style"/>
        </w:rPr>
        <w:t>reguleringen</w:t>
      </w:r>
      <w:r w:rsidRPr="00B67B6A">
        <w:rPr>
          <w:rFonts w:ascii="DepCentury Old Style" w:hAnsi="DepCentury Old Style"/>
        </w:rPr>
        <w:t xml:space="preserve"> som </w:t>
      </w:r>
      <w:r w:rsidR="002050D7">
        <w:rPr>
          <w:rFonts w:ascii="DepCentury Old Style" w:hAnsi="DepCentury Old Style"/>
        </w:rPr>
        <w:t>er forutsatt og</w:t>
      </w:r>
      <w:r w:rsidR="000F05C9">
        <w:rPr>
          <w:rFonts w:ascii="DepCentury Old Style" w:hAnsi="DepCentury Old Style"/>
        </w:rPr>
        <w:t xml:space="preserve"> </w:t>
      </w:r>
      <w:r w:rsidRPr="00B67B6A">
        <w:rPr>
          <w:rFonts w:ascii="DepCentury Old Style" w:hAnsi="DepCentury Old Style"/>
        </w:rPr>
        <w:t xml:space="preserve">vedtatt i forbindelse med pensjonsreformen. Formålet er å finne fram til den lønnsveksten som faktisk har vært. </w:t>
      </w:r>
      <w:r w:rsidR="000314C6" w:rsidRPr="000314C6">
        <w:rPr>
          <w:rFonts w:ascii="DepCentury Old Style" w:hAnsi="DepCentury Old Style"/>
        </w:rPr>
        <w:t xml:space="preserve">Det bør derfor legges opp til </w:t>
      </w:r>
      <w:r w:rsidR="006D77CE">
        <w:rPr>
          <w:rFonts w:ascii="DepCentury Old Style" w:hAnsi="DepCentury Old Style"/>
        </w:rPr>
        <w:t xml:space="preserve">å fastsette lønnsveksten basert på </w:t>
      </w:r>
      <w:r w:rsidR="00AF0C66">
        <w:rPr>
          <w:rFonts w:ascii="DepCentury Old Style" w:hAnsi="DepCentury Old Style"/>
        </w:rPr>
        <w:t>en lengre periode</w:t>
      </w:r>
      <w:r w:rsidR="000314C6" w:rsidRPr="000314C6">
        <w:rPr>
          <w:rFonts w:ascii="DepCentury Old Style" w:hAnsi="DepCentury Old Style"/>
        </w:rPr>
        <w:t xml:space="preserve"> enn det foregående året</w:t>
      </w:r>
      <w:r w:rsidR="00F8439E">
        <w:rPr>
          <w:rFonts w:ascii="DepCentury Old Style" w:hAnsi="DepCentury Old Style"/>
        </w:rPr>
        <w:t xml:space="preserve">, slik at </w:t>
      </w:r>
      <w:r w:rsidR="006D77CE">
        <w:rPr>
          <w:rFonts w:ascii="DepCentury Old Style" w:hAnsi="DepCentury Old Style"/>
        </w:rPr>
        <w:t>det kan tas hensyn til endringer i anslagene for</w:t>
      </w:r>
      <w:r w:rsidR="00F8439E">
        <w:rPr>
          <w:rFonts w:ascii="DepCentury Old Style" w:hAnsi="DepCentury Old Style"/>
        </w:rPr>
        <w:t xml:space="preserve"> lønns</w:t>
      </w:r>
      <w:r w:rsidR="00376A70">
        <w:rPr>
          <w:rFonts w:ascii="DepCentury Old Style" w:hAnsi="DepCentury Old Style"/>
        </w:rPr>
        <w:softHyphen/>
      </w:r>
      <w:r w:rsidR="00F8439E">
        <w:rPr>
          <w:rFonts w:ascii="DepCentury Old Style" w:hAnsi="DepCentury Old Style"/>
        </w:rPr>
        <w:t>veksten</w:t>
      </w:r>
      <w:r w:rsidR="00297ACB">
        <w:rPr>
          <w:rFonts w:ascii="DepCentury Old Style" w:hAnsi="DepCentury Old Style"/>
        </w:rPr>
        <w:t xml:space="preserve"> som </w:t>
      </w:r>
      <w:r w:rsidR="00CC3BDB">
        <w:rPr>
          <w:rFonts w:ascii="DepCentury Old Style" w:hAnsi="DepCentury Old Style"/>
        </w:rPr>
        <w:t xml:space="preserve">er lagt fram </w:t>
      </w:r>
      <w:r w:rsidR="00297ACB">
        <w:rPr>
          <w:rFonts w:ascii="DepCentury Old Style" w:hAnsi="DepCentury Old Style"/>
        </w:rPr>
        <w:t xml:space="preserve">etter trygdeoppgjøret. </w:t>
      </w:r>
      <w:r w:rsidR="00593BB5">
        <w:rPr>
          <w:rFonts w:ascii="DepCentury Old Style" w:hAnsi="DepCentury Old Style"/>
        </w:rPr>
        <w:t>E</w:t>
      </w:r>
      <w:r w:rsidR="006D77CE">
        <w:rPr>
          <w:rFonts w:ascii="DepCentury Old Style" w:hAnsi="DepCentury Old Style"/>
        </w:rPr>
        <w:t>rfaringer fra de siste årene</w:t>
      </w:r>
      <w:r w:rsidR="00593BB5">
        <w:rPr>
          <w:rFonts w:ascii="DepCentury Old Style" w:hAnsi="DepCentury Old Style"/>
        </w:rPr>
        <w:t xml:space="preserve"> tilsier</w:t>
      </w:r>
      <w:r w:rsidR="006D77CE">
        <w:rPr>
          <w:rFonts w:ascii="DepCentury Old Style" w:hAnsi="DepCentury Old Style"/>
        </w:rPr>
        <w:t xml:space="preserve"> at </w:t>
      </w:r>
      <w:r w:rsidR="00BE449C">
        <w:rPr>
          <w:rFonts w:ascii="DepCentury Old Style" w:hAnsi="DepCentury Old Style"/>
        </w:rPr>
        <w:t>det vil</w:t>
      </w:r>
      <w:r w:rsidR="00F8439E">
        <w:rPr>
          <w:rFonts w:ascii="DepCentury Old Style" w:hAnsi="DepCentury Old Style"/>
        </w:rPr>
        <w:t xml:space="preserve"> være tilstrekkelig å ta hensyn til </w:t>
      </w:r>
      <w:r w:rsidR="00376A70">
        <w:rPr>
          <w:rFonts w:ascii="DepCentury Old Style" w:hAnsi="DepCentury Old Style"/>
        </w:rPr>
        <w:t xml:space="preserve">eventuelle avvik </w:t>
      </w:r>
      <w:r w:rsidR="00AF0C66" w:rsidRPr="000F05C9">
        <w:rPr>
          <w:rFonts w:ascii="DepCentury Old Style" w:hAnsi="DepCentury Old Style"/>
          <w:u w:val="single"/>
        </w:rPr>
        <w:t>ett ekstra år</w:t>
      </w:r>
      <w:r w:rsidR="002E616B">
        <w:rPr>
          <w:rFonts w:ascii="DepCentury Old Style" w:hAnsi="DepCentury Old Style"/>
          <w:u w:val="single"/>
        </w:rPr>
        <w:t xml:space="preserve"> </w:t>
      </w:r>
      <w:r w:rsidR="00376A70">
        <w:rPr>
          <w:rFonts w:ascii="DepCentury Old Style" w:hAnsi="DepCentury Old Style"/>
        </w:rPr>
        <w:t xml:space="preserve">tilbake i tid </w:t>
      </w:r>
      <w:r w:rsidR="002E616B">
        <w:rPr>
          <w:rFonts w:ascii="DepCentury Old Style" w:hAnsi="DepCentury Old Style"/>
        </w:rPr>
        <w:t xml:space="preserve">ved fastsettingen av lønnsveksten. </w:t>
      </w:r>
    </w:p>
    <w:p w:rsidR="00593BB5" w:rsidRDefault="00593BB5" w:rsidP="00BE449C">
      <w:pPr>
        <w:autoSpaceDE w:val="0"/>
        <w:autoSpaceDN w:val="0"/>
        <w:adjustRightInd w:val="0"/>
        <w:rPr>
          <w:rFonts w:ascii="DepCentury Old Style" w:hAnsi="DepCentury Old Style"/>
        </w:rPr>
      </w:pPr>
    </w:p>
    <w:p w:rsidR="00B67B6A" w:rsidRPr="00B67B6A" w:rsidRDefault="00593BB5" w:rsidP="00BE449C">
      <w:pPr>
        <w:autoSpaceDE w:val="0"/>
        <w:autoSpaceDN w:val="0"/>
        <w:adjustRightInd w:val="0"/>
        <w:rPr>
          <w:rFonts w:ascii="DepCentury Old Style" w:eastAsiaTheme="minorHAnsi" w:hAnsi="DepCentury Old Style" w:cs="DepCenturyOldStyle"/>
        </w:rPr>
      </w:pPr>
      <w:r>
        <w:rPr>
          <w:rFonts w:ascii="DepCentury Old Style" w:hAnsi="DepCentury Old Style"/>
        </w:rPr>
        <w:t>På denne bakgrunn foreslår departementet at det</w:t>
      </w:r>
      <w:r w:rsidRPr="00B67B6A">
        <w:rPr>
          <w:rFonts w:ascii="DepCentury Old Style" w:hAnsi="DepCentury Old Style"/>
        </w:rPr>
        <w:t xml:space="preserve"> fra og med trygdeoppgjøret 2012 </w:t>
      </w:r>
      <w:r>
        <w:rPr>
          <w:rFonts w:ascii="DepCentury Old Style" w:hAnsi="DepCentury Old Style"/>
        </w:rPr>
        <w:t xml:space="preserve">skal </w:t>
      </w:r>
      <w:r w:rsidRPr="00B67B6A">
        <w:rPr>
          <w:rFonts w:ascii="DepCentury Old Style" w:hAnsi="DepCentury Old Style"/>
        </w:rPr>
        <w:t>ta</w:t>
      </w:r>
      <w:r>
        <w:rPr>
          <w:rFonts w:ascii="DepCentury Old Style" w:hAnsi="DepCentury Old Style"/>
        </w:rPr>
        <w:t>s</w:t>
      </w:r>
      <w:r w:rsidRPr="00B67B6A">
        <w:rPr>
          <w:rFonts w:ascii="DepCentury Old Style" w:hAnsi="DepCentury Old Style"/>
        </w:rPr>
        <w:t xml:space="preserve"> hensyn til</w:t>
      </w:r>
      <w:r>
        <w:rPr>
          <w:rFonts w:ascii="DepCentury Old Style" w:hAnsi="DepCentury Old Style"/>
        </w:rPr>
        <w:t xml:space="preserve"> </w:t>
      </w:r>
      <w:r w:rsidRPr="00B67B6A">
        <w:rPr>
          <w:rFonts w:ascii="DepCentury Old Style" w:hAnsi="DepCentury Old Style"/>
        </w:rPr>
        <w:t>av</w:t>
      </w:r>
      <w:r w:rsidRPr="00B67B6A">
        <w:rPr>
          <w:rFonts w:ascii="DepCentury Old Style" w:hAnsi="DepCentury Old Style"/>
        </w:rPr>
        <w:softHyphen/>
        <w:t xml:space="preserve">vik </w:t>
      </w:r>
      <w:r w:rsidR="00376A70">
        <w:rPr>
          <w:rFonts w:ascii="DepCentury Old Style" w:hAnsi="DepCentury Old Style"/>
        </w:rPr>
        <w:t xml:space="preserve">mellom forventet og faktisk lønnsvekst </w:t>
      </w:r>
      <w:r w:rsidRPr="00B67B6A">
        <w:rPr>
          <w:rFonts w:ascii="DepCentury Old Style" w:hAnsi="DepCentury Old Style"/>
        </w:rPr>
        <w:t xml:space="preserve">for de </w:t>
      </w:r>
      <w:r w:rsidRPr="00B67B6A">
        <w:rPr>
          <w:rFonts w:ascii="DepCentury Old Style" w:hAnsi="DepCentury Old Style"/>
          <w:u w:val="single"/>
        </w:rPr>
        <w:t>to foregående kalenderår</w:t>
      </w:r>
      <w:r w:rsidRPr="00B67B6A">
        <w:rPr>
          <w:rFonts w:ascii="DepCentury Old Style" w:hAnsi="DepCentury Old Style"/>
        </w:rPr>
        <w:t xml:space="preserve"> i tillegg til forventet lønnsvekst i inneværende år. </w:t>
      </w:r>
    </w:p>
    <w:p w:rsidR="00B67B6A" w:rsidRDefault="00B67B6A" w:rsidP="00B67B6A">
      <w:pPr>
        <w:autoSpaceDE w:val="0"/>
        <w:autoSpaceDN w:val="0"/>
        <w:adjustRightInd w:val="0"/>
        <w:rPr>
          <w:rFonts w:ascii="DepCentury Old Style" w:hAnsi="DepCentury Old Style"/>
        </w:rPr>
      </w:pPr>
    </w:p>
    <w:p w:rsidR="00BF3C57" w:rsidRPr="00BF3C57" w:rsidRDefault="00E06541" w:rsidP="00B67B6A">
      <w:pPr>
        <w:autoSpaceDE w:val="0"/>
        <w:autoSpaceDN w:val="0"/>
        <w:adjustRightInd w:val="0"/>
        <w:rPr>
          <w:rFonts w:ascii="DepCentury Old Style" w:hAnsi="DepCentury Old Style"/>
          <w:b/>
        </w:rPr>
      </w:pPr>
      <w:r>
        <w:rPr>
          <w:rFonts w:ascii="DepCentury Old Style" w:hAnsi="DepCentury Old Style"/>
          <w:b/>
        </w:rPr>
        <w:t>4</w:t>
      </w:r>
      <w:r w:rsidR="00BF3C57" w:rsidRPr="00BF3C57">
        <w:rPr>
          <w:rFonts w:ascii="DepCentury Old Style" w:hAnsi="DepCentury Old Style"/>
          <w:b/>
        </w:rPr>
        <w:t>. Økonomiske og administrative konsekvenser</w:t>
      </w:r>
    </w:p>
    <w:p w:rsidR="00BF3C57" w:rsidRDefault="004E2620" w:rsidP="00B67B6A">
      <w:pPr>
        <w:autoSpaceDE w:val="0"/>
        <w:autoSpaceDN w:val="0"/>
        <w:adjustRightInd w:val="0"/>
        <w:rPr>
          <w:rFonts w:ascii="DepCentury Old Style" w:hAnsi="DepCentury Old Style"/>
        </w:rPr>
      </w:pPr>
      <w:r w:rsidRPr="004E2620">
        <w:rPr>
          <w:rFonts w:ascii="DepCentury Old Style" w:hAnsi="DepCentury Old Style"/>
        </w:rPr>
        <w:t xml:space="preserve">Forslaget vil sikre den indekseringen som er forutsatt og vedtatt i forbindelse med pensjonsreformen. Forslaget vil dermed ikke ha økonomiske konsekvenser sammenlignet med de beregningene som ble gjort i forbindelse med Ot.prp. nr. 37 (2008-2009)om ny alderspensjon i folketrygden og </w:t>
      </w:r>
      <w:proofErr w:type="spellStart"/>
      <w:r w:rsidRPr="004E2620">
        <w:rPr>
          <w:rFonts w:ascii="DepCentury Old Style" w:hAnsi="DepCentury Old Style"/>
        </w:rPr>
        <w:t>Prop</w:t>
      </w:r>
      <w:proofErr w:type="spellEnd"/>
      <w:r w:rsidRPr="004E2620">
        <w:rPr>
          <w:rFonts w:ascii="DepCentury Old Style" w:hAnsi="DepCentury Old Style"/>
        </w:rPr>
        <w:t xml:space="preserve">. 107 L (2009-2010) om </w:t>
      </w:r>
      <w:r w:rsidRPr="004E2620">
        <w:rPr>
          <w:rFonts w:ascii="DepCentury Old Style" w:hAnsi="DepCentury Old Style"/>
        </w:rPr>
        <w:lastRenderedPageBreak/>
        <w:t>tilpasning av tjenestepensjon og AFP i offentlig sektor til ny alderspensjon i folketrygden.</w:t>
      </w:r>
    </w:p>
    <w:p w:rsidR="004E2620" w:rsidRPr="00642704" w:rsidRDefault="004E2620" w:rsidP="00642704">
      <w:pPr>
        <w:rPr>
          <w:rFonts w:ascii="DepCentury Old Style" w:hAnsi="DepCentury Old Style"/>
        </w:rPr>
      </w:pPr>
    </w:p>
    <w:p w:rsidR="00642704" w:rsidRPr="00FA449F" w:rsidRDefault="00E06541" w:rsidP="00642704">
      <w:pPr>
        <w:rPr>
          <w:rFonts w:ascii="DepCentury Old Style" w:hAnsi="DepCentury Old Style"/>
          <w:b/>
        </w:rPr>
      </w:pPr>
      <w:r>
        <w:rPr>
          <w:rFonts w:ascii="DepCentury Old Style" w:hAnsi="DepCentury Old Style"/>
          <w:b/>
        </w:rPr>
        <w:t>5</w:t>
      </w:r>
      <w:r w:rsidR="00642704" w:rsidRPr="00FA449F">
        <w:rPr>
          <w:rFonts w:ascii="DepCentury Old Style" w:hAnsi="DepCentury Old Style"/>
          <w:b/>
        </w:rPr>
        <w:t xml:space="preserve">. </w:t>
      </w:r>
      <w:r w:rsidR="00EB394C">
        <w:rPr>
          <w:rFonts w:ascii="DepCentury Old Style" w:hAnsi="DepCentury Old Style"/>
          <w:b/>
        </w:rPr>
        <w:t>F</w:t>
      </w:r>
      <w:r w:rsidR="00642704" w:rsidRPr="00FA449F">
        <w:rPr>
          <w:rFonts w:ascii="DepCentury Old Style" w:hAnsi="DepCentury Old Style"/>
          <w:b/>
        </w:rPr>
        <w:t xml:space="preserve">orslag </w:t>
      </w:r>
      <w:r w:rsidR="00EB394C">
        <w:rPr>
          <w:rFonts w:ascii="DepCentury Old Style" w:hAnsi="DepCentury Old Style"/>
          <w:b/>
        </w:rPr>
        <w:t>til</w:t>
      </w:r>
      <w:r w:rsidR="00642704" w:rsidRPr="00FA449F">
        <w:rPr>
          <w:rFonts w:ascii="DepCentury Old Style" w:hAnsi="DepCentury Old Style"/>
          <w:b/>
        </w:rPr>
        <w:t xml:space="preserve"> endringer i folketrygdloven</w:t>
      </w:r>
      <w:r w:rsidR="00EB394C">
        <w:rPr>
          <w:rFonts w:ascii="DepCentury Old Style" w:hAnsi="DepCentury Old Style"/>
          <w:b/>
        </w:rPr>
        <w:t xml:space="preserve"> mv.</w:t>
      </w:r>
    </w:p>
    <w:p w:rsidR="00FA449F" w:rsidRDefault="00FA449F" w:rsidP="00642704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>F</w:t>
      </w:r>
      <w:r w:rsidRPr="00B67B6A">
        <w:rPr>
          <w:rFonts w:ascii="DepCentury Old Style" w:hAnsi="DepCentury Old Style"/>
        </w:rPr>
        <w:t>olketrygdloven §§ 1-4 tredje ledd, 19-14 sjette ledd og 20-18 sjette ledd</w:t>
      </w:r>
      <w:r>
        <w:rPr>
          <w:rFonts w:ascii="DepCentury Old Style" w:hAnsi="DepCentury Old Style"/>
        </w:rPr>
        <w:t xml:space="preserve"> </w:t>
      </w:r>
      <w:r w:rsidR="00EB394C">
        <w:rPr>
          <w:rFonts w:ascii="DepCentury Old Style" w:hAnsi="DepCentury Old Style"/>
        </w:rPr>
        <w:t xml:space="preserve">(som </w:t>
      </w:r>
      <w:r>
        <w:rPr>
          <w:rFonts w:ascii="DepCentury Old Style" w:hAnsi="DepCentury Old Style"/>
        </w:rPr>
        <w:t>er identiske</w:t>
      </w:r>
      <w:r w:rsidR="00EB394C">
        <w:rPr>
          <w:rFonts w:ascii="DepCentury Old Style" w:hAnsi="DepCentury Old Style"/>
        </w:rPr>
        <w:t>) skal lyde:</w:t>
      </w:r>
    </w:p>
    <w:p w:rsidR="00C26F08" w:rsidRDefault="00F65AA0" w:rsidP="00EB394C">
      <w:pPr>
        <w:ind w:left="567" w:hanging="567"/>
        <w:rPr>
          <w:rFonts w:ascii="DepCentury Old Style" w:hAnsi="DepCentury Old Style"/>
        </w:rPr>
      </w:pPr>
      <w:r>
        <w:rPr>
          <w:rFonts w:ascii="DepCentury Old Style" w:hAnsi="DepCentury Old Style"/>
          <w:i/>
          <w:sz w:val="22"/>
          <w:szCs w:val="22"/>
        </w:rPr>
        <w:tab/>
      </w:r>
      <w:r w:rsidR="00C26F08">
        <w:rPr>
          <w:rFonts w:ascii="DepCentury Old Style" w:hAnsi="DepCentury Old Style"/>
        </w:rPr>
        <w:t xml:space="preserve"> </w:t>
      </w:r>
    </w:p>
    <w:p w:rsidR="00C26F08" w:rsidRPr="00C26F08" w:rsidRDefault="00F65AA0" w:rsidP="00F65AA0">
      <w:pPr>
        <w:ind w:left="567" w:hanging="567"/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ab/>
      </w:r>
      <w:r w:rsidR="00C26F08">
        <w:rPr>
          <w:rFonts w:ascii="DepCentury Old Style" w:hAnsi="DepCentury Old Style"/>
          <w:sz w:val="22"/>
          <w:szCs w:val="22"/>
        </w:rPr>
        <w:t>”</w:t>
      </w:r>
      <w:r w:rsidR="00C26F08" w:rsidRPr="00C26F08">
        <w:rPr>
          <w:rFonts w:ascii="DepCentury Old Style" w:hAnsi="DepCentury Old Style"/>
          <w:sz w:val="22"/>
          <w:szCs w:val="22"/>
        </w:rPr>
        <w:t xml:space="preserve">Til grunn for reguleringen legges forventet lønnsutvikling i reguleringsåret, justert for eventuelt avvik mellom forventet og faktisk lønnsutvikling </w:t>
      </w:r>
      <w:r w:rsidR="00C26F08" w:rsidRPr="00C26F08">
        <w:rPr>
          <w:rFonts w:ascii="DepCentury Old Style" w:hAnsi="DepCentury Old Style"/>
          <w:i/>
          <w:sz w:val="22"/>
          <w:szCs w:val="22"/>
        </w:rPr>
        <w:t>siste to</w:t>
      </w:r>
      <w:r>
        <w:rPr>
          <w:rFonts w:ascii="DepCentury Old Style" w:hAnsi="DepCentury Old Style"/>
          <w:i/>
          <w:sz w:val="22"/>
          <w:szCs w:val="22"/>
        </w:rPr>
        <w:t xml:space="preserve"> </w:t>
      </w:r>
      <w:r w:rsidR="00C26F08" w:rsidRPr="00C26F08">
        <w:rPr>
          <w:rFonts w:ascii="DepCentury Old Style" w:hAnsi="DepCentury Old Style"/>
          <w:i/>
          <w:sz w:val="22"/>
          <w:szCs w:val="22"/>
        </w:rPr>
        <w:t>år</w:t>
      </w:r>
      <w:r w:rsidR="00C26F08" w:rsidRPr="00C26F08">
        <w:rPr>
          <w:rFonts w:ascii="DepCentury Old Style" w:hAnsi="DepCentury Old Style"/>
          <w:sz w:val="22"/>
          <w:szCs w:val="22"/>
        </w:rPr>
        <w:t>.</w:t>
      </w:r>
    </w:p>
    <w:p w:rsidR="00C26F08" w:rsidRDefault="00C26F08" w:rsidP="00642704">
      <w:pPr>
        <w:rPr>
          <w:rFonts w:ascii="DepCentury Old Style" w:hAnsi="DepCentury Old Style"/>
        </w:rPr>
      </w:pPr>
    </w:p>
    <w:p w:rsidR="00051084" w:rsidRDefault="00051084" w:rsidP="00642704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>I f</w:t>
      </w:r>
      <w:r w:rsidR="00811FB5" w:rsidRPr="00B67B6A">
        <w:rPr>
          <w:rFonts w:ascii="DepCentury Old Style" w:hAnsi="DepCentury Old Style"/>
        </w:rPr>
        <w:t xml:space="preserve">orskrift </w:t>
      </w:r>
      <w:r w:rsidR="00811FB5">
        <w:rPr>
          <w:rFonts w:ascii="DepCentury Old Style" w:hAnsi="DepCentury Old Style"/>
        </w:rPr>
        <w:t xml:space="preserve">6. mai 2011 nr. 465 </w:t>
      </w:r>
      <w:r w:rsidR="00811FB5" w:rsidRPr="00B67B6A">
        <w:rPr>
          <w:rFonts w:ascii="DepCentury Old Style" w:hAnsi="DepCentury Old Style"/>
        </w:rPr>
        <w:t>om beregning av lønnsveksten som skal benyttes ved regulering av grunn</w:t>
      </w:r>
      <w:r w:rsidR="00811FB5" w:rsidRPr="00B67B6A">
        <w:rPr>
          <w:rFonts w:ascii="DepCentury Old Style" w:hAnsi="DepCentury Old Style"/>
        </w:rPr>
        <w:softHyphen/>
        <w:t xml:space="preserve">beløpet og alderspensjon i folketrygden </w:t>
      </w:r>
      <w:r>
        <w:rPr>
          <w:rFonts w:ascii="DepCentury Old Style" w:hAnsi="DepCentury Old Style"/>
        </w:rPr>
        <w:t xml:space="preserve">gjøres følgende endringer: </w:t>
      </w:r>
    </w:p>
    <w:p w:rsidR="00051084" w:rsidRDefault="00051084" w:rsidP="00642704">
      <w:pPr>
        <w:rPr>
          <w:rFonts w:ascii="DepCentury Old Style" w:hAnsi="DepCentury Old Style"/>
        </w:rPr>
      </w:pPr>
    </w:p>
    <w:p w:rsidR="00811FB5" w:rsidRDefault="00EB394C" w:rsidP="00642704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 xml:space="preserve">§ </w:t>
      </w:r>
      <w:r w:rsidR="00051084">
        <w:rPr>
          <w:rFonts w:ascii="DepCentury Old Style" w:hAnsi="DepCentury Old Style"/>
        </w:rPr>
        <w:t xml:space="preserve">2 første ledd </w:t>
      </w:r>
      <w:r>
        <w:rPr>
          <w:rFonts w:ascii="DepCentury Old Style" w:hAnsi="DepCentury Old Style"/>
        </w:rPr>
        <w:t xml:space="preserve">skal lyde: </w:t>
      </w:r>
    </w:p>
    <w:p w:rsidR="00051084" w:rsidRDefault="00051084" w:rsidP="00051084">
      <w:pPr>
        <w:ind w:left="567" w:hanging="567"/>
        <w:rPr>
          <w:rFonts w:ascii="DepCentury Old Style" w:hAnsi="DepCentury Old Style"/>
          <w:sz w:val="22"/>
          <w:szCs w:val="22"/>
        </w:rPr>
      </w:pPr>
    </w:p>
    <w:p w:rsidR="00051084" w:rsidRPr="00C26F08" w:rsidRDefault="005F455E" w:rsidP="00051084">
      <w:pPr>
        <w:ind w:left="567" w:hanging="567"/>
        <w:rPr>
          <w:rFonts w:ascii="DepCentury Old Style" w:hAnsi="DepCentury Old Style"/>
          <w:sz w:val="22"/>
          <w:szCs w:val="22"/>
        </w:rPr>
      </w:pPr>
      <w:r>
        <w:rPr>
          <w:rFonts w:ascii="DepCentury Old Style" w:hAnsi="DepCentury Old Style"/>
          <w:sz w:val="22"/>
          <w:szCs w:val="22"/>
        </w:rPr>
        <w:tab/>
      </w:r>
      <w:r w:rsidR="00051084">
        <w:rPr>
          <w:rFonts w:ascii="DepCentury Old Style" w:hAnsi="DepCentury Old Style"/>
          <w:sz w:val="22"/>
          <w:szCs w:val="22"/>
        </w:rPr>
        <w:t>”</w:t>
      </w:r>
      <w:r w:rsidR="00051084" w:rsidRPr="00C26F08">
        <w:rPr>
          <w:rFonts w:ascii="DepCentury Old Style" w:hAnsi="DepCentury Old Style"/>
          <w:sz w:val="22"/>
          <w:szCs w:val="22"/>
        </w:rPr>
        <w:t>Til grunn for reguleringen legges forventet lønnsutvikling</w:t>
      </w:r>
      <w:r w:rsidR="00051084">
        <w:rPr>
          <w:rFonts w:ascii="DepCentury Old Style" w:hAnsi="DepCentury Old Style"/>
          <w:sz w:val="22"/>
          <w:szCs w:val="22"/>
        </w:rPr>
        <w:t xml:space="preserve"> i reguleringsåret, justert for </w:t>
      </w:r>
      <w:r w:rsidR="00051084" w:rsidRPr="00C26F08">
        <w:rPr>
          <w:rFonts w:ascii="DepCentury Old Style" w:hAnsi="DepCentury Old Style"/>
          <w:sz w:val="22"/>
          <w:szCs w:val="22"/>
        </w:rPr>
        <w:t xml:space="preserve">eventuelt avvik mellom forventet og faktisk lønnsutvikling </w:t>
      </w:r>
      <w:r w:rsidR="00051084" w:rsidRPr="00C26F08">
        <w:rPr>
          <w:rFonts w:ascii="DepCentury Old Style" w:hAnsi="DepCentury Old Style"/>
          <w:i/>
          <w:sz w:val="22"/>
          <w:szCs w:val="22"/>
        </w:rPr>
        <w:t>siste to</w:t>
      </w:r>
      <w:r w:rsidR="00051084">
        <w:rPr>
          <w:rFonts w:ascii="DepCentury Old Style" w:hAnsi="DepCentury Old Style"/>
          <w:i/>
          <w:sz w:val="22"/>
          <w:szCs w:val="22"/>
        </w:rPr>
        <w:t xml:space="preserve"> </w:t>
      </w:r>
      <w:r w:rsidR="00051084" w:rsidRPr="00C26F08">
        <w:rPr>
          <w:rFonts w:ascii="DepCentury Old Style" w:hAnsi="DepCentury Old Style"/>
          <w:i/>
          <w:sz w:val="22"/>
          <w:szCs w:val="22"/>
        </w:rPr>
        <w:t>år</w:t>
      </w:r>
      <w:r w:rsidR="00051084" w:rsidRPr="00C26F08">
        <w:rPr>
          <w:rFonts w:ascii="DepCentury Old Style" w:hAnsi="DepCentury Old Style"/>
          <w:sz w:val="22"/>
          <w:szCs w:val="22"/>
        </w:rPr>
        <w:t>.</w:t>
      </w:r>
    </w:p>
    <w:p w:rsidR="00811FB5" w:rsidRDefault="00811FB5" w:rsidP="00642704">
      <w:pPr>
        <w:rPr>
          <w:rFonts w:ascii="DepCentury Old Style" w:hAnsi="DepCentury Old Style"/>
        </w:rPr>
      </w:pPr>
    </w:p>
    <w:p w:rsidR="00051084" w:rsidRDefault="00051084" w:rsidP="00642704">
      <w:pPr>
        <w:rPr>
          <w:rFonts w:ascii="DepCentury Old Style" w:hAnsi="DepCentury Old Style"/>
        </w:rPr>
      </w:pPr>
      <w:r>
        <w:rPr>
          <w:rFonts w:ascii="DepCentury Old Style" w:hAnsi="DepCentury Old Style"/>
        </w:rPr>
        <w:t>§ 3 første ledd skal lyde:</w:t>
      </w:r>
    </w:p>
    <w:p w:rsidR="00CA2E66" w:rsidRPr="00545AF9" w:rsidRDefault="005F455E" w:rsidP="00CA2E66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CA2E66" w:rsidRPr="00545AF9">
        <w:rPr>
          <w:sz w:val="22"/>
          <w:szCs w:val="22"/>
        </w:rPr>
        <w:t xml:space="preserve">”Dersom den faktiske lønnsveksten er høyere eller lavere enn forventet lønnsvekst </w:t>
      </w:r>
      <w:r w:rsidR="00CA2E66" w:rsidRPr="00545AF9">
        <w:rPr>
          <w:i/>
          <w:sz w:val="22"/>
          <w:szCs w:val="22"/>
        </w:rPr>
        <w:t>siste to år</w:t>
      </w:r>
      <w:r w:rsidR="00CA2E66" w:rsidRPr="00545AF9">
        <w:rPr>
          <w:sz w:val="22"/>
          <w:szCs w:val="22"/>
        </w:rPr>
        <w:t xml:space="preserve"> (avvik), skal det fastsettes en samlet lønnsvekst for forventet lønnsutvikling, justert for avvike</w:t>
      </w:r>
      <w:r>
        <w:rPr>
          <w:sz w:val="22"/>
          <w:szCs w:val="22"/>
        </w:rPr>
        <w:t>ne</w:t>
      </w:r>
      <w:r w:rsidR="00CA2E66" w:rsidRPr="00545AF9">
        <w:rPr>
          <w:sz w:val="22"/>
          <w:szCs w:val="22"/>
        </w:rPr>
        <w:t>. Ved fastsettelsen av den samlede prosentvise årslønnsveksten (</w:t>
      </w:r>
      <w:proofErr w:type="spellStart"/>
      <w:r w:rsidR="00CA2E66" w:rsidRPr="00545AF9">
        <w:rPr>
          <w:sz w:val="22"/>
          <w:szCs w:val="22"/>
        </w:rPr>
        <w:t>sl</w:t>
      </w:r>
      <w:proofErr w:type="spellEnd"/>
      <w:r w:rsidR="00CA2E66" w:rsidRPr="00545AF9">
        <w:rPr>
          <w:sz w:val="22"/>
          <w:szCs w:val="22"/>
        </w:rPr>
        <w:t>) skal det først tas hensyn til avvike</w:t>
      </w:r>
      <w:r>
        <w:rPr>
          <w:sz w:val="22"/>
          <w:szCs w:val="22"/>
        </w:rPr>
        <w:t>ne</w:t>
      </w:r>
      <w:r w:rsidR="00CA2E66" w:rsidRPr="00545AF9">
        <w:rPr>
          <w:sz w:val="22"/>
          <w:szCs w:val="22"/>
        </w:rPr>
        <w:t xml:space="preserve"> (a</w:t>
      </w:r>
      <w:r>
        <w:rPr>
          <w:sz w:val="22"/>
          <w:szCs w:val="22"/>
        </w:rPr>
        <w:t>1 og a2</w:t>
      </w:r>
      <w:r w:rsidR="00CA2E66" w:rsidRPr="00545AF9">
        <w:rPr>
          <w:sz w:val="22"/>
          <w:szCs w:val="22"/>
        </w:rPr>
        <w:t xml:space="preserve">) i prosentpoeng og deretter til den forventede prosentvise lønnsvekst (f) i inneværende år: </w:t>
      </w:r>
      <w:proofErr w:type="spellStart"/>
      <w:r w:rsidR="00CA2E66" w:rsidRPr="00545AF9">
        <w:rPr>
          <w:sz w:val="22"/>
          <w:szCs w:val="22"/>
        </w:rPr>
        <w:t>sl</w:t>
      </w:r>
      <w:proofErr w:type="spellEnd"/>
      <w:r w:rsidR="00CA2E66" w:rsidRPr="00545AF9">
        <w:rPr>
          <w:sz w:val="22"/>
          <w:szCs w:val="22"/>
        </w:rPr>
        <w:t xml:space="preserve"> = </w:t>
      </w:r>
      <w:r w:rsidRPr="005F455E">
        <w:rPr>
          <w:i/>
          <w:sz w:val="22"/>
          <w:szCs w:val="22"/>
        </w:rPr>
        <w:t>[</w:t>
      </w:r>
      <w:r w:rsidR="00CA2E66" w:rsidRPr="005F455E">
        <w:rPr>
          <w:i/>
          <w:sz w:val="22"/>
          <w:szCs w:val="22"/>
        </w:rPr>
        <w:t>(1 + a</w:t>
      </w:r>
      <w:r w:rsidRPr="005F455E">
        <w:rPr>
          <w:i/>
          <w:sz w:val="22"/>
          <w:szCs w:val="22"/>
        </w:rPr>
        <w:t>1</w:t>
      </w:r>
      <w:r w:rsidR="00CA2E66" w:rsidRPr="005F455E">
        <w:rPr>
          <w:i/>
          <w:sz w:val="22"/>
          <w:szCs w:val="22"/>
        </w:rPr>
        <w:t xml:space="preserve"> / 100) x </w:t>
      </w:r>
      <w:r w:rsidRPr="005F455E">
        <w:rPr>
          <w:i/>
          <w:sz w:val="22"/>
          <w:szCs w:val="22"/>
        </w:rPr>
        <w:t>(1 + a2</w:t>
      </w:r>
      <w:r>
        <w:rPr>
          <w:i/>
          <w:sz w:val="22"/>
          <w:szCs w:val="22"/>
        </w:rPr>
        <w:t xml:space="preserve"> </w:t>
      </w:r>
      <w:r w:rsidRPr="005F455E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5F455E">
        <w:rPr>
          <w:i/>
          <w:sz w:val="22"/>
          <w:szCs w:val="22"/>
        </w:rPr>
        <w:t xml:space="preserve">100) x </w:t>
      </w:r>
      <w:r w:rsidR="00CA2E66" w:rsidRPr="005F455E">
        <w:rPr>
          <w:i/>
          <w:sz w:val="22"/>
          <w:szCs w:val="22"/>
        </w:rPr>
        <w:t xml:space="preserve">(1 + f / 100) </w:t>
      </w:r>
      <w:r w:rsidRPr="005F455E">
        <w:rPr>
          <w:i/>
          <w:sz w:val="22"/>
          <w:szCs w:val="22"/>
        </w:rPr>
        <w:t>–</w:t>
      </w:r>
      <w:r w:rsidR="00CA2E66" w:rsidRPr="005F455E">
        <w:rPr>
          <w:i/>
          <w:sz w:val="22"/>
          <w:szCs w:val="22"/>
        </w:rPr>
        <w:t xml:space="preserve"> 1</w:t>
      </w:r>
      <w:r w:rsidRPr="005F455E">
        <w:rPr>
          <w:i/>
          <w:sz w:val="22"/>
          <w:szCs w:val="22"/>
        </w:rPr>
        <w:t>]</w:t>
      </w:r>
      <w:r w:rsidR="00CA2E66" w:rsidRPr="005F455E">
        <w:rPr>
          <w:i/>
          <w:sz w:val="22"/>
          <w:szCs w:val="22"/>
        </w:rPr>
        <w:t xml:space="preserve"> x 100.”</w:t>
      </w:r>
    </w:p>
    <w:p w:rsidR="00CA2E66" w:rsidRDefault="00CA2E66" w:rsidP="00CA2E66">
      <w:pPr>
        <w:ind w:left="567" w:hanging="567"/>
        <w:rPr>
          <w:i/>
          <w:sz w:val="22"/>
          <w:szCs w:val="22"/>
        </w:rPr>
      </w:pPr>
    </w:p>
    <w:sectPr w:rsidR="00CA2E66" w:rsidSect="005E2D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A1" w:rsidRDefault="00ED7BA1" w:rsidP="00545AF9">
      <w:r>
        <w:separator/>
      </w:r>
    </w:p>
  </w:endnote>
  <w:endnote w:type="continuationSeparator" w:id="0">
    <w:p w:rsidR="00ED7BA1" w:rsidRDefault="00ED7BA1" w:rsidP="0054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p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A1" w:rsidRDefault="00ED7BA1" w:rsidP="00545AF9">
      <w:r>
        <w:separator/>
      </w:r>
    </w:p>
  </w:footnote>
  <w:footnote w:type="continuationSeparator" w:id="0">
    <w:p w:rsidR="00ED7BA1" w:rsidRDefault="00ED7BA1" w:rsidP="0054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3456"/>
      <w:docPartObj>
        <w:docPartGallery w:val="Page Numbers (Top of Page)"/>
        <w:docPartUnique/>
      </w:docPartObj>
    </w:sdtPr>
    <w:sdtContent>
      <w:p w:rsidR="00ED7BA1" w:rsidRDefault="0056053E">
        <w:pPr>
          <w:pStyle w:val="Topptekst"/>
          <w:jc w:val="center"/>
        </w:pPr>
        <w:fldSimple w:instr=" PAGE   \* MERGEFORMAT ">
          <w:r w:rsidR="00E976D9">
            <w:rPr>
              <w:noProof/>
            </w:rPr>
            <w:t>1</w:t>
          </w:r>
        </w:fldSimple>
      </w:p>
    </w:sdtContent>
  </w:sdt>
  <w:p w:rsidR="00ED7BA1" w:rsidRDefault="00ED7BA1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0E85"/>
    <w:multiLevelType w:val="hybridMultilevel"/>
    <w:tmpl w:val="4EF20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42704"/>
    <w:rsid w:val="000314C6"/>
    <w:rsid w:val="00042FD8"/>
    <w:rsid w:val="00043450"/>
    <w:rsid w:val="00051084"/>
    <w:rsid w:val="000A3F61"/>
    <w:rsid w:val="000B4EE8"/>
    <w:rsid w:val="000F05C9"/>
    <w:rsid w:val="000F5A65"/>
    <w:rsid w:val="000F6D2D"/>
    <w:rsid w:val="001133CB"/>
    <w:rsid w:val="00182F48"/>
    <w:rsid w:val="001C47B4"/>
    <w:rsid w:val="001D074C"/>
    <w:rsid w:val="001E773D"/>
    <w:rsid w:val="001F166D"/>
    <w:rsid w:val="001F6E78"/>
    <w:rsid w:val="002050D7"/>
    <w:rsid w:val="0027564B"/>
    <w:rsid w:val="00297ACB"/>
    <w:rsid w:val="002E3080"/>
    <w:rsid w:val="002E45AA"/>
    <w:rsid w:val="002E616B"/>
    <w:rsid w:val="00314445"/>
    <w:rsid w:val="00321632"/>
    <w:rsid w:val="00367DEE"/>
    <w:rsid w:val="00376A70"/>
    <w:rsid w:val="00376BDD"/>
    <w:rsid w:val="003F34D5"/>
    <w:rsid w:val="004736DD"/>
    <w:rsid w:val="004809B0"/>
    <w:rsid w:val="00481851"/>
    <w:rsid w:val="00490978"/>
    <w:rsid w:val="00496F2D"/>
    <w:rsid w:val="004B3471"/>
    <w:rsid w:val="004B46F1"/>
    <w:rsid w:val="004B6CF3"/>
    <w:rsid w:val="004E2620"/>
    <w:rsid w:val="005018CF"/>
    <w:rsid w:val="00545AF9"/>
    <w:rsid w:val="0056053E"/>
    <w:rsid w:val="00593BB5"/>
    <w:rsid w:val="005A1778"/>
    <w:rsid w:val="005B01C3"/>
    <w:rsid w:val="005D1C3F"/>
    <w:rsid w:val="005D48BD"/>
    <w:rsid w:val="005D73CD"/>
    <w:rsid w:val="005E2DE2"/>
    <w:rsid w:val="005E7C32"/>
    <w:rsid w:val="005F455E"/>
    <w:rsid w:val="00617D3A"/>
    <w:rsid w:val="00627BCF"/>
    <w:rsid w:val="00642704"/>
    <w:rsid w:val="006437E5"/>
    <w:rsid w:val="00651D25"/>
    <w:rsid w:val="00655439"/>
    <w:rsid w:val="006615BA"/>
    <w:rsid w:val="00661B34"/>
    <w:rsid w:val="00690111"/>
    <w:rsid w:val="006D77CE"/>
    <w:rsid w:val="006F4D47"/>
    <w:rsid w:val="00747EB2"/>
    <w:rsid w:val="00752B51"/>
    <w:rsid w:val="00791E25"/>
    <w:rsid w:val="007A18C5"/>
    <w:rsid w:val="00811FB5"/>
    <w:rsid w:val="00832433"/>
    <w:rsid w:val="008A73D1"/>
    <w:rsid w:val="008B31C6"/>
    <w:rsid w:val="008D382F"/>
    <w:rsid w:val="008D5011"/>
    <w:rsid w:val="008F2348"/>
    <w:rsid w:val="00913F74"/>
    <w:rsid w:val="0095383C"/>
    <w:rsid w:val="00955D17"/>
    <w:rsid w:val="00967BC5"/>
    <w:rsid w:val="00980C1A"/>
    <w:rsid w:val="00984B61"/>
    <w:rsid w:val="009A6CC4"/>
    <w:rsid w:val="009D2C70"/>
    <w:rsid w:val="009E3DF7"/>
    <w:rsid w:val="009F3C5A"/>
    <w:rsid w:val="00A162EB"/>
    <w:rsid w:val="00A60807"/>
    <w:rsid w:val="00A91B11"/>
    <w:rsid w:val="00A92542"/>
    <w:rsid w:val="00AB4519"/>
    <w:rsid w:val="00AF0C66"/>
    <w:rsid w:val="00AF29AC"/>
    <w:rsid w:val="00B37A0E"/>
    <w:rsid w:val="00B67B6A"/>
    <w:rsid w:val="00B7793F"/>
    <w:rsid w:val="00BD2118"/>
    <w:rsid w:val="00BE2655"/>
    <w:rsid w:val="00BE449C"/>
    <w:rsid w:val="00BF3C57"/>
    <w:rsid w:val="00C13F40"/>
    <w:rsid w:val="00C226A7"/>
    <w:rsid w:val="00C26F08"/>
    <w:rsid w:val="00C946F7"/>
    <w:rsid w:val="00CA2E66"/>
    <w:rsid w:val="00CB21B7"/>
    <w:rsid w:val="00CC3BDB"/>
    <w:rsid w:val="00CD7F1A"/>
    <w:rsid w:val="00CF7032"/>
    <w:rsid w:val="00D17904"/>
    <w:rsid w:val="00D259A2"/>
    <w:rsid w:val="00D71310"/>
    <w:rsid w:val="00DC52C4"/>
    <w:rsid w:val="00DE4C52"/>
    <w:rsid w:val="00DE6466"/>
    <w:rsid w:val="00E05C4C"/>
    <w:rsid w:val="00E06541"/>
    <w:rsid w:val="00E17EBC"/>
    <w:rsid w:val="00E40EAE"/>
    <w:rsid w:val="00E81785"/>
    <w:rsid w:val="00E976D9"/>
    <w:rsid w:val="00EA5650"/>
    <w:rsid w:val="00EB394C"/>
    <w:rsid w:val="00EB4995"/>
    <w:rsid w:val="00ED7BA1"/>
    <w:rsid w:val="00EE2304"/>
    <w:rsid w:val="00EE683E"/>
    <w:rsid w:val="00F02FE1"/>
    <w:rsid w:val="00F037CA"/>
    <w:rsid w:val="00F03DA9"/>
    <w:rsid w:val="00F27598"/>
    <w:rsid w:val="00F27D3E"/>
    <w:rsid w:val="00F40671"/>
    <w:rsid w:val="00F43C43"/>
    <w:rsid w:val="00F65AA0"/>
    <w:rsid w:val="00F65EB9"/>
    <w:rsid w:val="00F8439E"/>
    <w:rsid w:val="00FA449F"/>
    <w:rsid w:val="00FA7724"/>
    <w:rsid w:val="00FD2920"/>
    <w:rsid w:val="00FD36BE"/>
    <w:rsid w:val="00FE031E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B6A"/>
    <w:pPr>
      <w:ind w:left="720"/>
      <w:contextualSpacing/>
    </w:pPr>
    <w:rPr>
      <w:rFonts w:ascii="DepCentury Old Style" w:hAnsi="DepCentury Old Style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545A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5AF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545A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45AF9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2C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C7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3D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3DF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3DF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3D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3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9738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161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457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450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16585"/>
                    <w:bottom w:val="none" w:sz="0" w:space="0" w:color="auto"/>
                    <w:right w:val="none" w:sz="0" w:space="0" w:color="FFFFFF"/>
                  </w:divBdr>
                  <w:divsChild>
                    <w:div w:id="1563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5E9C2"/>
                                    <w:right w:val="none" w:sz="0" w:space="0" w:color="auto"/>
                                  </w:divBdr>
                                  <w:divsChild>
                                    <w:div w:id="14519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624">
                                              <w:marLeft w:val="240"/>
                                              <w:marRight w:val="24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CDA3-754A-4D43-A519-2089FB43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Melheim</dc:creator>
  <cp:keywords/>
  <dc:description/>
  <cp:lastModifiedBy>ad1147</cp:lastModifiedBy>
  <cp:revision>2</cp:revision>
  <cp:lastPrinted>2011-12-20T10:20:00Z</cp:lastPrinted>
  <dcterms:created xsi:type="dcterms:W3CDTF">2011-12-20T10:37:00Z</dcterms:created>
  <dcterms:modified xsi:type="dcterms:W3CDTF">2011-12-20T10:37:00Z</dcterms:modified>
</cp:coreProperties>
</file>