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58C4C" w14:textId="1CE0F333" w:rsidR="00DD0428" w:rsidRPr="00B20AC1" w:rsidRDefault="00B20AC1" w:rsidP="00B20AC1">
      <w:pPr>
        <w:pStyle w:val="is-dep"/>
      </w:pPr>
      <w:r w:rsidRPr="00B20AC1">
        <w:t>Digitaliserings- og forvaltningsdepartementet</w:t>
      </w:r>
    </w:p>
    <w:p w14:paraId="1E63E347" w14:textId="77777777" w:rsidR="00DD0428" w:rsidRPr="00B20AC1" w:rsidRDefault="00DD0428" w:rsidP="00B20AC1">
      <w:pPr>
        <w:pStyle w:val="i-hode"/>
      </w:pPr>
      <w:proofErr w:type="spellStart"/>
      <w:r w:rsidRPr="00B20AC1">
        <w:t>Prop</w:t>
      </w:r>
      <w:proofErr w:type="spellEnd"/>
      <w:r w:rsidRPr="00B20AC1">
        <w:t>. 52 L</w:t>
      </w:r>
    </w:p>
    <w:p w14:paraId="7912DFF3" w14:textId="77777777" w:rsidR="00DD0428" w:rsidRPr="00B20AC1" w:rsidRDefault="00DD0428" w:rsidP="00B20AC1">
      <w:pPr>
        <w:pStyle w:val="i-sesjon"/>
      </w:pPr>
      <w:r w:rsidRPr="00B20AC1">
        <w:t>(2023–2024)</w:t>
      </w:r>
    </w:p>
    <w:p w14:paraId="64266BB8" w14:textId="77777777" w:rsidR="00DD0428" w:rsidRPr="00B20AC1" w:rsidRDefault="00DD0428" w:rsidP="00B20AC1">
      <w:pPr>
        <w:pStyle w:val="i-hode-tit"/>
      </w:pPr>
      <w:r w:rsidRPr="00B20AC1">
        <w:t>Proposisjon til Stortinget (forslag til lovvedtak)</w:t>
      </w:r>
    </w:p>
    <w:p w14:paraId="30FF4C6F" w14:textId="77777777" w:rsidR="00DD0428" w:rsidRPr="00B20AC1" w:rsidRDefault="00DD0428" w:rsidP="00B20AC1">
      <w:pPr>
        <w:pStyle w:val="i-tit"/>
      </w:pPr>
      <w:r w:rsidRPr="00B20AC1">
        <w:t>Endringer i lov om elektroniske tillitstjenester (adgang til innhenting av opplysninger fra Folkeregisteret)</w:t>
      </w:r>
    </w:p>
    <w:p w14:paraId="4D2408F4" w14:textId="76BDA665" w:rsidR="00DD0428" w:rsidRPr="00B20AC1" w:rsidRDefault="00B20AC1" w:rsidP="00B20AC1">
      <w:pPr>
        <w:pStyle w:val="i-dep"/>
      </w:pPr>
      <w:r w:rsidRPr="00B20AC1">
        <w:lastRenderedPageBreak/>
        <w:t>Digitaliserings- og forvaltningsdepartementet</w:t>
      </w:r>
    </w:p>
    <w:p w14:paraId="7A784F2E" w14:textId="77777777" w:rsidR="00DD0428" w:rsidRPr="00B20AC1" w:rsidRDefault="00DD0428" w:rsidP="00B20AC1">
      <w:pPr>
        <w:pStyle w:val="i-hode"/>
      </w:pPr>
      <w:proofErr w:type="spellStart"/>
      <w:r w:rsidRPr="00B20AC1">
        <w:t>Prop</w:t>
      </w:r>
      <w:proofErr w:type="spellEnd"/>
      <w:r w:rsidRPr="00B20AC1">
        <w:t>. 52 L</w:t>
      </w:r>
    </w:p>
    <w:p w14:paraId="7482900B" w14:textId="77777777" w:rsidR="00DD0428" w:rsidRPr="00B20AC1" w:rsidRDefault="00DD0428" w:rsidP="00B20AC1">
      <w:pPr>
        <w:pStyle w:val="i-sesjon"/>
      </w:pPr>
      <w:r w:rsidRPr="00B20AC1">
        <w:t>(2023–2024)</w:t>
      </w:r>
    </w:p>
    <w:p w14:paraId="4FDCEB68" w14:textId="77777777" w:rsidR="00DD0428" w:rsidRPr="00B20AC1" w:rsidRDefault="00DD0428" w:rsidP="00B20AC1">
      <w:pPr>
        <w:pStyle w:val="i-hode-tit"/>
      </w:pPr>
      <w:r w:rsidRPr="00B20AC1">
        <w:t>Proposisjon til Stortinget (forslag til lovvedtak)</w:t>
      </w:r>
    </w:p>
    <w:p w14:paraId="693FE6E5" w14:textId="77777777" w:rsidR="00DD0428" w:rsidRPr="00B20AC1" w:rsidRDefault="00DD0428" w:rsidP="00B20AC1">
      <w:pPr>
        <w:pStyle w:val="i-tit"/>
      </w:pPr>
      <w:r w:rsidRPr="00B20AC1">
        <w:t>Endringer i lov om elektroniske till</w:t>
      </w:r>
      <w:r w:rsidRPr="00B20AC1">
        <w:t>itstjenester (adgang til innhenting av opplysninger fra Folkeregisteret)</w:t>
      </w:r>
    </w:p>
    <w:p w14:paraId="5389D188" w14:textId="77777777" w:rsidR="00DD0428" w:rsidRPr="00B20AC1" w:rsidRDefault="00DD0428" w:rsidP="00B20AC1">
      <w:pPr>
        <w:pStyle w:val="i-statsrdato"/>
      </w:pPr>
      <w:r w:rsidRPr="00B20AC1">
        <w:t xml:space="preserve">Tilråding fra </w:t>
      </w:r>
      <w:bookmarkStart w:id="0" w:name="_Hlk159828304"/>
      <w:r w:rsidRPr="00B20AC1">
        <w:t xml:space="preserve">Digitaliserings- og forvaltningsdepartementet </w:t>
      </w:r>
      <w:bookmarkEnd w:id="0"/>
      <w:r w:rsidRPr="00B20AC1">
        <w:t xml:space="preserve">1. mars 2024, </w:t>
      </w:r>
      <w:r w:rsidRPr="00B20AC1">
        <w:br/>
        <w:t xml:space="preserve">godkjent i statsråd samme dag. </w:t>
      </w:r>
      <w:r w:rsidRPr="00B20AC1">
        <w:br/>
        <w:t>(Regjeringen Støre)</w:t>
      </w:r>
    </w:p>
    <w:p w14:paraId="69382F49" w14:textId="77777777" w:rsidR="00DD0428" w:rsidRPr="00B20AC1" w:rsidRDefault="00DD0428" w:rsidP="00B20AC1">
      <w:pPr>
        <w:pStyle w:val="Overskrift1"/>
      </w:pPr>
      <w:r w:rsidRPr="00B20AC1">
        <w:t>Proposisjonens hovedinnhold</w:t>
      </w:r>
    </w:p>
    <w:p w14:paraId="2B7AFE67" w14:textId="77777777" w:rsidR="00DD0428" w:rsidRPr="00B20AC1" w:rsidRDefault="00DD0428" w:rsidP="00B20AC1">
      <w:r w:rsidRPr="00B20AC1">
        <w:t>Digitaliserings- og forvaltningsdepartementet fremmer i denne proposisjonen forslag til endringer i lov 15. juni 2018 nr. 44 om gjennomføring av EUs forordning om elektronisk identifikasjon og tillitstjenester for elektroniske t</w:t>
      </w:r>
      <w:r w:rsidRPr="00B20AC1">
        <w:t>ransaksjoner i det indre marked (lov om elektroniske tillitstjenester). Formålet med lovforslaget er å gi tilbydere av elektroniske tillitstjenester mulighet til å innhente opplysninger om utenlandske identifikasjonsnumre fra Folkeregisteret uten hinder av</w:t>
      </w:r>
      <w:r w:rsidRPr="00B20AC1">
        <w:t xml:space="preserve"> taushetsplikt i forbindelse med utstedelse og bruk av elektronisk identifikasjon (</w:t>
      </w:r>
      <w:proofErr w:type="spellStart"/>
      <w:r w:rsidRPr="00B20AC1">
        <w:t>eID</w:t>
      </w:r>
      <w:proofErr w:type="spellEnd"/>
      <w:r w:rsidRPr="00B20AC1">
        <w:t>).</w:t>
      </w:r>
    </w:p>
    <w:p w14:paraId="287E8B10" w14:textId="77777777" w:rsidR="00DD0428" w:rsidRPr="00B20AC1" w:rsidRDefault="00DD0428" w:rsidP="00B20AC1">
      <w:r w:rsidRPr="00B20AC1">
        <w:t xml:space="preserve">Endringen innebærer at det fastsettes en hjemmel i lov om elektroniske tillitstjenester for utstedere av elektroniske identitetsbevis til uten hinder av taushetsplikt </w:t>
      </w:r>
      <w:r w:rsidRPr="00B20AC1">
        <w:t>å innhente opplysninger fra Folkeregisteret når det er nødvendig for å utføre oppgaver etter loven. Departementet gis myndighet til å fastsette nærmere i forskrift hvilke opplysninger som kan innhentes.</w:t>
      </w:r>
    </w:p>
    <w:p w14:paraId="19A9AFE5" w14:textId="77777777" w:rsidR="00DD0428" w:rsidRPr="00B20AC1" w:rsidRDefault="00DD0428" w:rsidP="00B20AC1">
      <w:r w:rsidRPr="00B20AC1">
        <w:t xml:space="preserve">Endringen som foreslås i denne proposisjonen, vil gi </w:t>
      </w:r>
      <w:r w:rsidRPr="00B20AC1">
        <w:t xml:space="preserve">adgang for tilbydere av elektroniske tillitstjenester til innhenting av opplysninger fra Folkeregisteret som er nødvendig for utstedelse og bruk av </w:t>
      </w:r>
      <w:proofErr w:type="spellStart"/>
      <w:r w:rsidRPr="00B20AC1">
        <w:t>eID</w:t>
      </w:r>
      <w:proofErr w:type="spellEnd"/>
      <w:r w:rsidRPr="00B20AC1">
        <w:t xml:space="preserve">. Nærmere konkretisering av adgangen til å innhente opplysninger om utenlandske identifikasjonsnumre vil </w:t>
      </w:r>
      <w:r w:rsidRPr="00B20AC1">
        <w:t>bli fastsatt i forskrift.</w:t>
      </w:r>
    </w:p>
    <w:p w14:paraId="1DCD97D2" w14:textId="77777777" w:rsidR="00DD0428" w:rsidRPr="00B20AC1" w:rsidRDefault="00DD0428" w:rsidP="00B20AC1">
      <w:pPr>
        <w:pStyle w:val="Overskrift1"/>
      </w:pPr>
      <w:r w:rsidRPr="00B20AC1">
        <w:lastRenderedPageBreak/>
        <w:t>Bakgrunnen for lovforslaget</w:t>
      </w:r>
    </w:p>
    <w:p w14:paraId="73460C88" w14:textId="77777777" w:rsidR="00DD0428" w:rsidRPr="00B20AC1" w:rsidRDefault="00DD0428" w:rsidP="00B20AC1">
      <w:pPr>
        <w:pStyle w:val="Overskrift2"/>
      </w:pPr>
      <w:r w:rsidRPr="00B20AC1">
        <w:t>Behovet for å</w:t>
      </w:r>
      <w:r w:rsidRPr="00B20AC1">
        <w:t xml:space="preserve"> innhente opplysninger om en persons utenlandske identifikasjonsnummer fra Folkeregisteret</w:t>
      </w:r>
    </w:p>
    <w:p w14:paraId="615BB4EA" w14:textId="77777777" w:rsidR="00DD0428" w:rsidRPr="00B20AC1" w:rsidRDefault="00DD0428" w:rsidP="00B20AC1">
      <w:r w:rsidRPr="00B20AC1">
        <w:t xml:space="preserve">Bakgrunnen for forslaget er </w:t>
      </w:r>
      <w:proofErr w:type="spellStart"/>
      <w:r w:rsidRPr="00B20AC1">
        <w:t>eID</w:t>
      </w:r>
      <w:proofErr w:type="spellEnd"/>
      <w:r w:rsidRPr="00B20AC1">
        <w:t>-tilbyderes behov for å kunne innhente opplysninger om en persons utenlandske identifikasjonsnummer fra Folkeregisteret uten hinder av</w:t>
      </w:r>
      <w:r w:rsidRPr="00B20AC1">
        <w:t xml:space="preserve"> taushetsplikt i forbindelse med utstedelse og bruk av norsk elektronisk identifikasjon (</w:t>
      </w:r>
      <w:proofErr w:type="spellStart"/>
      <w:r w:rsidRPr="00B20AC1">
        <w:t>eID</w:t>
      </w:r>
      <w:proofErr w:type="spellEnd"/>
      <w:r w:rsidRPr="00B20AC1">
        <w:t>).</w:t>
      </w:r>
    </w:p>
    <w:p w14:paraId="16386A6C" w14:textId="77777777" w:rsidR="00DD0428" w:rsidRPr="00B20AC1" w:rsidRDefault="00DD0428" w:rsidP="00B20AC1">
      <w:r w:rsidRPr="00B20AC1">
        <w:t>Det ble vedtatt en midlertidig bestemmelse i selvdeklarasjonsforskriften § 18 fjerde punktum i forbindelse med utbruddet av covid-19. Dette ga tilbydere av elekt</w:t>
      </w:r>
      <w:r w:rsidRPr="00B20AC1">
        <w:t xml:space="preserve">ronisk identifikasjon hjemmel til å innhente opplysninger fra folkeregistermyndigheten om en persons utenlandske identifikasjonsnummer uten hinder av taushetsplikt. Hjemmelen ble første gang vedtatt 28. mai 2020 med virkning til 31. desember 2020, men har </w:t>
      </w:r>
      <w:r w:rsidRPr="00B20AC1">
        <w:t>senere blitt forlenget to ganger, senest i vedtak av 26. april 2022 med virkning til 31. desember 2023.</w:t>
      </w:r>
    </w:p>
    <w:p w14:paraId="0D577CEA" w14:textId="77777777" w:rsidR="00DD0428" w:rsidRPr="00B20AC1" w:rsidRDefault="00DD0428" w:rsidP="00B20AC1">
      <w:r w:rsidRPr="00B20AC1">
        <w:t>Utenlandske identifikasjonsnumre er opplysninger som registreres i Folkeregisteret, for eksempel i forbindelse med at en person får tildelt et norsk ide</w:t>
      </w:r>
      <w:r w:rsidRPr="00B20AC1">
        <w:t>ntitetsnummer. Etter dagens praksis kan dette for eksempel være et utenlandsk personnummer eller passnummer.</w:t>
      </w:r>
    </w:p>
    <w:p w14:paraId="705FE204" w14:textId="77777777" w:rsidR="00DD0428" w:rsidRPr="00B20AC1" w:rsidRDefault="00DD0428" w:rsidP="00B20AC1">
      <w:r w:rsidRPr="00B20AC1">
        <w:t xml:space="preserve">Utenlandske identifikasjonsnumre er underlagt taushetsplikt etter lov om folkeregistrering. Den midlertidige hjemmelen ble vedtatt for å gjøre det </w:t>
      </w:r>
      <w:r w:rsidRPr="00B20AC1">
        <w:t xml:space="preserve">mulig å utstede </w:t>
      </w:r>
      <w:proofErr w:type="spellStart"/>
      <w:r w:rsidRPr="00B20AC1">
        <w:t>eID</w:t>
      </w:r>
      <w:proofErr w:type="spellEnd"/>
      <w:r w:rsidRPr="00B20AC1">
        <w:t xml:space="preserve"> til EØS-borgere som var blitt permittert pga. pandemien og hadde reist tilbake til hjemlandet. Det ble utviklet en løsning for digital ID-kontroll, </w:t>
      </w:r>
      <w:proofErr w:type="spellStart"/>
      <w:r w:rsidRPr="00B20AC1">
        <w:t>MinID</w:t>
      </w:r>
      <w:proofErr w:type="spellEnd"/>
      <w:r w:rsidRPr="00B20AC1">
        <w:t xml:space="preserve"> Passport, som forutsatte kontroll av personens pass opp mot opplysninger om person</w:t>
      </w:r>
      <w:r w:rsidRPr="00B20AC1">
        <w:t>ens utenlandske identifikasjonsnummer registrert i Folkeregisteret.</w:t>
      </w:r>
    </w:p>
    <w:p w14:paraId="296E9875" w14:textId="77777777" w:rsidR="00DD0428" w:rsidRPr="00B20AC1" w:rsidRDefault="00DD0428" w:rsidP="00B20AC1">
      <w:r w:rsidRPr="00B20AC1">
        <w:t xml:space="preserve">Det viser seg fortsatt å være et behov for innhenting av utenlandske identifikasjonsnumre i forbindelse med utstedelse av </w:t>
      </w:r>
      <w:proofErr w:type="spellStart"/>
      <w:r w:rsidRPr="00B20AC1">
        <w:t>eID</w:t>
      </w:r>
      <w:proofErr w:type="spellEnd"/>
      <w:r w:rsidRPr="00B20AC1">
        <w:t xml:space="preserve"> til utlendinger. Hjemmelen bør fastsettes i lov for å tilfreds</w:t>
      </w:r>
      <w:r w:rsidRPr="00B20AC1">
        <w:t xml:space="preserve">stille folkeregisterlovens krav om lovhjemmel. Hvilke opplysninger som kan innhentes for å oppnå en sikker og entydig identifikasjon i forbindelse med utstedelse og bruk av </w:t>
      </w:r>
      <w:proofErr w:type="spellStart"/>
      <w:r w:rsidRPr="00B20AC1">
        <w:t>eID</w:t>
      </w:r>
      <w:proofErr w:type="spellEnd"/>
      <w:r w:rsidRPr="00B20AC1">
        <w:t>, kan konkretiseres nærmere i forskrift.</w:t>
      </w:r>
    </w:p>
    <w:p w14:paraId="12DB94A7" w14:textId="77777777" w:rsidR="00DD0428" w:rsidRPr="00B20AC1" w:rsidRDefault="00DD0428" w:rsidP="00B20AC1">
      <w:pPr>
        <w:pStyle w:val="Overskrift2"/>
      </w:pPr>
      <w:r w:rsidRPr="00B20AC1">
        <w:t>Behovet for en permanent hjemme</w:t>
      </w:r>
      <w:r w:rsidRPr="00B20AC1">
        <w:t>l og for endringer</w:t>
      </w:r>
    </w:p>
    <w:p w14:paraId="0CE27D79" w14:textId="77777777" w:rsidR="00DD0428" w:rsidRPr="00B20AC1" w:rsidRDefault="00DD0428" w:rsidP="00B20AC1">
      <w:pPr>
        <w:pStyle w:val="Overskrift3"/>
      </w:pPr>
      <w:r w:rsidRPr="00B20AC1">
        <w:t>Erfaringer fra tidligere høring og kartlegging</w:t>
      </w:r>
    </w:p>
    <w:p w14:paraId="67F44446" w14:textId="77777777" w:rsidR="00DD0428" w:rsidRPr="00B20AC1" w:rsidRDefault="00DD0428" w:rsidP="00B20AC1">
      <w:r w:rsidRPr="00B20AC1">
        <w:t>I forbindelse med høringen av forslaget om den midlertidige hjemmelen ga flere av hør</w:t>
      </w:r>
      <w:r w:rsidRPr="00B20AC1">
        <w:t xml:space="preserve">ingsinstansene uttrykk for at det er behov for tilgang til utenlandske </w:t>
      </w:r>
      <w:proofErr w:type="spellStart"/>
      <w:r w:rsidRPr="00B20AC1">
        <w:t>identifkasjonsnumre</w:t>
      </w:r>
      <w:proofErr w:type="spellEnd"/>
      <w:r w:rsidRPr="00B20AC1">
        <w:t xml:space="preserve"> også ved ordinær utstedelse av </w:t>
      </w:r>
      <w:proofErr w:type="spellStart"/>
      <w:r w:rsidRPr="00B20AC1">
        <w:t>eID</w:t>
      </w:r>
      <w:proofErr w:type="spellEnd"/>
      <w:r w:rsidRPr="00B20AC1">
        <w:t xml:space="preserve"> til utlendinger i Norge. Det ble også pekt på at det kan være behov for identitetsmatching i forbindelse med bruk av utenlandske </w:t>
      </w:r>
      <w:proofErr w:type="spellStart"/>
      <w:r w:rsidRPr="00B20AC1">
        <w:t>e</w:t>
      </w:r>
      <w:r w:rsidRPr="00B20AC1">
        <w:t>ID</w:t>
      </w:r>
      <w:proofErr w:type="spellEnd"/>
      <w:r w:rsidRPr="00B20AC1">
        <w:t xml:space="preserve">-er i Norge, jf. </w:t>
      </w:r>
      <w:proofErr w:type="spellStart"/>
      <w:r w:rsidRPr="00B20AC1">
        <w:t>eIDAS</w:t>
      </w:r>
      <w:proofErr w:type="spellEnd"/>
      <w:r w:rsidRPr="00B20AC1">
        <w:t>-forordningen.</w:t>
      </w:r>
    </w:p>
    <w:p w14:paraId="20EC2FE9" w14:textId="77777777" w:rsidR="00DD0428" w:rsidRPr="00B20AC1" w:rsidRDefault="00DD0428" w:rsidP="00B20AC1">
      <w:r w:rsidRPr="00B20AC1">
        <w:t xml:space="preserve">Digitaliseringsdirektoratet og Skattedirektoratet foretok i forkant av høringen en egen utredning på oppdrag fra Kommunal- og </w:t>
      </w:r>
      <w:proofErr w:type="spellStart"/>
      <w:r w:rsidRPr="00B20AC1">
        <w:t>distriktsdepartementet</w:t>
      </w:r>
      <w:proofErr w:type="spellEnd"/>
      <w:r w:rsidRPr="00B20AC1">
        <w:t xml:space="preserve"> og Finansdepartementet. Her ble det vurdert hvilke behov som forelig</w:t>
      </w:r>
      <w:r w:rsidRPr="00B20AC1">
        <w:t>ger og hvilke konsekvenser det vil ha å etablere en permanent hjemmel.</w:t>
      </w:r>
    </w:p>
    <w:p w14:paraId="1FF6C880" w14:textId="77777777" w:rsidR="00DD0428" w:rsidRPr="00B20AC1" w:rsidRDefault="00DD0428" w:rsidP="00B20AC1">
      <w:r w:rsidRPr="00B20AC1">
        <w:t xml:space="preserve">I forbindelse med utstedelse og re-utstedelse av </w:t>
      </w:r>
      <w:proofErr w:type="spellStart"/>
      <w:r w:rsidRPr="00B20AC1">
        <w:t>eID</w:t>
      </w:r>
      <w:proofErr w:type="spellEnd"/>
      <w:r w:rsidRPr="00B20AC1">
        <w:t xml:space="preserve"> vil det, som en del av identitetskontrollen som skal gjennomføres, være behov for å sammenligne utenlandske </w:t>
      </w:r>
      <w:proofErr w:type="spellStart"/>
      <w:r w:rsidRPr="00B20AC1">
        <w:t>identifkasjonsnumre</w:t>
      </w:r>
      <w:proofErr w:type="spellEnd"/>
      <w:r w:rsidRPr="00B20AC1">
        <w:t xml:space="preserve"> som </w:t>
      </w:r>
      <w:r w:rsidRPr="00B20AC1">
        <w:t xml:space="preserve">innhentes av </w:t>
      </w:r>
      <w:proofErr w:type="spellStart"/>
      <w:r w:rsidRPr="00B20AC1">
        <w:t>eID</w:t>
      </w:r>
      <w:proofErr w:type="spellEnd"/>
      <w:r w:rsidRPr="00B20AC1">
        <w:t>-utstederne opp mot utenlandske identifikasjonsnumre som er registrert i Folkeregisteret. Ved en eventuell «match» vil kravet i selvdeklarasjonsforskriften om entydig kobling til folkeregistrert person kunne være oppfylt.</w:t>
      </w:r>
    </w:p>
    <w:p w14:paraId="59769B95" w14:textId="77777777" w:rsidR="00DD0428" w:rsidRPr="00B20AC1" w:rsidRDefault="00DD0428" w:rsidP="00B20AC1">
      <w:r w:rsidRPr="00B20AC1">
        <w:t>Kartleggingen av b</w:t>
      </w:r>
      <w:r w:rsidRPr="00B20AC1">
        <w:t xml:space="preserve">ehovet hos de ulike </w:t>
      </w:r>
      <w:proofErr w:type="spellStart"/>
      <w:r w:rsidRPr="00B20AC1">
        <w:t>eID</w:t>
      </w:r>
      <w:proofErr w:type="spellEnd"/>
      <w:r w:rsidRPr="00B20AC1">
        <w:t xml:space="preserve">-utstederne viser at det fortsatt er behov for å kunne gjennomføre en slik identitetskontroll for å muliggjøre </w:t>
      </w:r>
      <w:proofErr w:type="spellStart"/>
      <w:r w:rsidRPr="00B20AC1">
        <w:t>eID</w:t>
      </w:r>
      <w:proofErr w:type="spellEnd"/>
      <w:r w:rsidRPr="00B20AC1">
        <w:t xml:space="preserve">-utstedelse til enkelte grupper som per i dag har utfordringer med å få </w:t>
      </w:r>
      <w:proofErr w:type="spellStart"/>
      <w:r w:rsidRPr="00B20AC1">
        <w:t>eID</w:t>
      </w:r>
      <w:proofErr w:type="spellEnd"/>
      <w:r w:rsidRPr="00B20AC1">
        <w:t xml:space="preserve">. Dette gjelder blant annet EØS-borgere med </w:t>
      </w:r>
      <w:r w:rsidRPr="00B20AC1">
        <w:t xml:space="preserve">d-nummer. Enkelte brukere i denne gruppen vil ikke kunne bevise eierskap til et norsk identitetsnummer i henhold til kravene i selvdeklarasjonsforskriften uten at </w:t>
      </w:r>
      <w:proofErr w:type="spellStart"/>
      <w:r w:rsidRPr="00B20AC1">
        <w:t>eID</w:t>
      </w:r>
      <w:proofErr w:type="spellEnd"/>
      <w:r w:rsidRPr="00B20AC1">
        <w:t>-utstedere har tilgang til utenlandske identifikasjonsnumre i Folkeregisteret.</w:t>
      </w:r>
    </w:p>
    <w:p w14:paraId="363B8F1A" w14:textId="77777777" w:rsidR="00DD0428" w:rsidRPr="00B20AC1" w:rsidRDefault="00DD0428" w:rsidP="00B20AC1">
      <w:r w:rsidRPr="00B20AC1">
        <w:t>I regjering</w:t>
      </w:r>
      <w:r w:rsidRPr="00B20AC1">
        <w:t xml:space="preserve">ens </w:t>
      </w:r>
      <w:proofErr w:type="spellStart"/>
      <w:r w:rsidRPr="00B20AC1">
        <w:t>eID</w:t>
      </w:r>
      <w:proofErr w:type="spellEnd"/>
      <w:r w:rsidRPr="00B20AC1">
        <w:t xml:space="preserve">-strategi for offentlig sektor, som ble publisert i april 2023, er det en viktig målsetting at alle relevante brukergrupper enkelt skal kunne skaffe seg en </w:t>
      </w:r>
      <w:proofErr w:type="spellStart"/>
      <w:r w:rsidRPr="00B20AC1">
        <w:t>eID</w:t>
      </w:r>
      <w:proofErr w:type="spellEnd"/>
      <w:r w:rsidRPr="00B20AC1">
        <w:t xml:space="preserve"> på det sikkerhetsnivået de har behov for, og at regjeringen vil sørge for at staten på en</w:t>
      </w:r>
      <w:r w:rsidRPr="00B20AC1">
        <w:t xml:space="preserve"> sikker måte kan koble en identitet fra utlandet mot en norsk identitet som brukeren allerede har. En hjemmel for </w:t>
      </w:r>
      <w:proofErr w:type="spellStart"/>
      <w:r w:rsidRPr="00B20AC1">
        <w:t>eID</w:t>
      </w:r>
      <w:proofErr w:type="spellEnd"/>
      <w:r w:rsidRPr="00B20AC1">
        <w:t>-utstedere til å få utlevert opplys</w:t>
      </w:r>
      <w:r w:rsidRPr="00B20AC1">
        <w:lastRenderedPageBreak/>
        <w:t>ninger om utenlandske identifikasjonsnumre fra Folkeregisteret vil også gjøre det mulig med en automatis</w:t>
      </w:r>
      <w:r w:rsidRPr="00B20AC1">
        <w:t xml:space="preserve">ert og selvbetjent prosess, som igjen medfører effektivitetsgevinster og økt tilgjengelighet. Samlet bidrar dette til å oppfylle flere mål og tiltak i ny nasjonal strategi for </w:t>
      </w:r>
      <w:proofErr w:type="spellStart"/>
      <w:r w:rsidRPr="00B20AC1">
        <w:t>eID</w:t>
      </w:r>
      <w:proofErr w:type="spellEnd"/>
      <w:r w:rsidRPr="00B20AC1">
        <w:t xml:space="preserve"> i offentlig sektor.</w:t>
      </w:r>
    </w:p>
    <w:p w14:paraId="25EDA878" w14:textId="77777777" w:rsidR="00DD0428" w:rsidRPr="00B20AC1" w:rsidRDefault="00DD0428" w:rsidP="00B20AC1">
      <w:pPr>
        <w:pStyle w:val="Overskrift3"/>
      </w:pPr>
      <w:r w:rsidRPr="00B20AC1">
        <w:t>Andre formål enn utstedelse og re-utstedelse</w:t>
      </w:r>
      <w:r w:rsidRPr="00B20AC1">
        <w:t xml:space="preserve"> av </w:t>
      </w:r>
      <w:proofErr w:type="spellStart"/>
      <w:r w:rsidRPr="00B20AC1">
        <w:t>eID</w:t>
      </w:r>
      <w:proofErr w:type="spellEnd"/>
    </w:p>
    <w:p w14:paraId="2964DD22" w14:textId="77777777" w:rsidR="00DD0428" w:rsidRPr="00B20AC1" w:rsidRDefault="00DD0428" w:rsidP="00B20AC1">
      <w:r w:rsidRPr="00B20AC1">
        <w:t xml:space="preserve">Digitaliseringsdirektoratet har identifisert formål som ikke ble dekket av den midlertidige hjemmelen, dvs. andre formål med innhenting av utenlandske identifikasjonsnumre enn utstedelse og re-utstedelse av </w:t>
      </w:r>
      <w:proofErr w:type="spellStart"/>
      <w:r w:rsidRPr="00B20AC1">
        <w:t>eID</w:t>
      </w:r>
      <w:proofErr w:type="spellEnd"/>
      <w:r w:rsidRPr="00B20AC1">
        <w:t>. Det gjelder etterlevelse av regelver</w:t>
      </w:r>
      <w:r w:rsidRPr="00B20AC1">
        <w:t>k i finanssektoren, herunder rapportering og etterlevelse av hvitvaskingsreglene.</w:t>
      </w:r>
    </w:p>
    <w:p w14:paraId="1D843D84" w14:textId="77777777" w:rsidR="00DD0428" w:rsidRPr="00B20AC1" w:rsidRDefault="00DD0428" w:rsidP="00B20AC1">
      <w:r w:rsidRPr="00B20AC1">
        <w:t xml:space="preserve">Dette gjelder imidlertid kun for </w:t>
      </w:r>
      <w:proofErr w:type="spellStart"/>
      <w:r w:rsidRPr="00B20AC1">
        <w:t>BankID</w:t>
      </w:r>
      <w:proofErr w:type="spellEnd"/>
      <w:r w:rsidRPr="00B20AC1">
        <w:t xml:space="preserve"> og er ikke et formål som gjelder </w:t>
      </w:r>
      <w:proofErr w:type="spellStart"/>
      <w:r w:rsidRPr="00B20AC1">
        <w:t>eID</w:t>
      </w:r>
      <w:proofErr w:type="spellEnd"/>
      <w:r w:rsidRPr="00B20AC1">
        <w:t xml:space="preserve">-utstedere generelt i forbindelse med ID-kontroll eller utstedelse av </w:t>
      </w:r>
      <w:proofErr w:type="spellStart"/>
      <w:r w:rsidRPr="00B20AC1">
        <w:t>eID</w:t>
      </w:r>
      <w:proofErr w:type="spellEnd"/>
      <w:r w:rsidRPr="00B20AC1">
        <w:t>. Det gjelder også bruk a</w:t>
      </w:r>
      <w:r w:rsidRPr="00B20AC1">
        <w:t xml:space="preserve">v utenlandsk </w:t>
      </w:r>
      <w:proofErr w:type="spellStart"/>
      <w:r w:rsidRPr="00B20AC1">
        <w:t>eID</w:t>
      </w:r>
      <w:proofErr w:type="spellEnd"/>
      <w:r w:rsidRPr="00B20AC1">
        <w:t xml:space="preserve">-ordning i Norge og oppfyllelse av anerkjennelsesplikten i </w:t>
      </w:r>
      <w:proofErr w:type="spellStart"/>
      <w:r w:rsidRPr="00B20AC1">
        <w:t>eIDAS</w:t>
      </w:r>
      <w:proofErr w:type="spellEnd"/>
      <w:r w:rsidRPr="00B20AC1">
        <w:t xml:space="preserve">-forordningen artikkel 6, dvs. plikten til å anerkjenne notifiserte </w:t>
      </w:r>
      <w:proofErr w:type="spellStart"/>
      <w:r w:rsidRPr="00B20AC1">
        <w:t>eID</w:t>
      </w:r>
      <w:proofErr w:type="spellEnd"/>
      <w:r w:rsidRPr="00B20AC1">
        <w:t>-er på tvers av EU/EØS.</w:t>
      </w:r>
    </w:p>
    <w:p w14:paraId="7538B476" w14:textId="77777777" w:rsidR="00DD0428" w:rsidRPr="00B20AC1" w:rsidRDefault="00DD0428" w:rsidP="00B20AC1">
      <w:r w:rsidRPr="00B20AC1">
        <w:t xml:space="preserve">Forslag til revidert </w:t>
      </w:r>
      <w:proofErr w:type="spellStart"/>
      <w:r w:rsidRPr="00B20AC1">
        <w:t>eIDAS</w:t>
      </w:r>
      <w:proofErr w:type="spellEnd"/>
      <w:r w:rsidRPr="00B20AC1">
        <w:t>-forordning innebærer et forsterket lovkrav i tilknytni</w:t>
      </w:r>
      <w:r w:rsidRPr="00B20AC1">
        <w:t xml:space="preserve">ng til dette. Et siste formål er </w:t>
      </w:r>
      <w:r w:rsidRPr="00B20AC1">
        <w:rPr>
          <w:rStyle w:val="kursiv"/>
        </w:rPr>
        <w:t xml:space="preserve">«matching» </w:t>
      </w:r>
      <w:r w:rsidRPr="00B20AC1">
        <w:t>av identiteter for oppfyllelse av Single Digital Gateway-forordningen for å gi en person tilgang til en tjeneste i et annet land. Dette forutsetter mulighet for å koble personens identitet fra hjemlandet med iden</w:t>
      </w:r>
      <w:r w:rsidRPr="00B20AC1">
        <w:t>titeten i landet tjenesten skal ytes.</w:t>
      </w:r>
    </w:p>
    <w:p w14:paraId="1B7005F6" w14:textId="77777777" w:rsidR="00DD0428" w:rsidRPr="00B20AC1" w:rsidRDefault="00DD0428" w:rsidP="00B20AC1">
      <w:r w:rsidRPr="00B20AC1">
        <w:t>Utenlandske identifikasjonsnumre i Folkeregisteret vil derfor kunne ha en rolle ved gjennomføring og oppfyllelse av både någjeldende og kommende europeisk regelverk.</w:t>
      </w:r>
    </w:p>
    <w:p w14:paraId="33A161D8" w14:textId="77777777" w:rsidR="00DD0428" w:rsidRPr="00B20AC1" w:rsidRDefault="00DD0428" w:rsidP="00B20AC1">
      <w:pPr>
        <w:pStyle w:val="Overskrift3"/>
      </w:pPr>
      <w:r w:rsidRPr="00B20AC1">
        <w:t>Behovet for endringer i folkeregisterreg</w:t>
      </w:r>
      <w:r w:rsidRPr="00B20AC1">
        <w:t>elverket</w:t>
      </w:r>
    </w:p>
    <w:p w14:paraId="51336D24" w14:textId="77777777" w:rsidR="00DD0428" w:rsidRPr="00B20AC1" w:rsidRDefault="00DD0428" w:rsidP="00B20AC1">
      <w:r w:rsidRPr="00B20AC1">
        <w:t xml:space="preserve">Skattedirektoratet konkluderer i sin utredning med at det ikke er avdekket behov som tilsier at folkeregisterregelverket må endres for at </w:t>
      </w:r>
      <w:proofErr w:type="spellStart"/>
      <w:r w:rsidRPr="00B20AC1">
        <w:t>eID</w:t>
      </w:r>
      <w:proofErr w:type="spellEnd"/>
      <w:r w:rsidRPr="00B20AC1">
        <w:t>-tilbyderne skal kunne få</w:t>
      </w:r>
      <w:r w:rsidRPr="00B20AC1">
        <w:t xml:space="preserve"> en permanent tilgang til utenlandske identifikasjonsnumre. Skattedirektoratet ser likevel at det kan være behov for enkelte forbedringer i regelverk og rutiner. Direktoratet påpeker at det er en forutsetning for å kunne imøtekomme </w:t>
      </w:r>
      <w:proofErr w:type="spellStart"/>
      <w:r w:rsidRPr="00B20AC1">
        <w:t>eID</w:t>
      </w:r>
      <w:proofErr w:type="spellEnd"/>
      <w:r w:rsidRPr="00B20AC1">
        <w:t>-tilbydernes behov at</w:t>
      </w:r>
      <w:r w:rsidRPr="00B20AC1">
        <w:t xml:space="preserve"> opplysninger om utenlandske identifikasjonsnumre faktisk registreres og er tilgjengelig og har tilstrekkelig kvalitet.</w:t>
      </w:r>
    </w:p>
    <w:p w14:paraId="3CEED778" w14:textId="77777777" w:rsidR="00DD0428" w:rsidRPr="00B20AC1" w:rsidRDefault="00DD0428" w:rsidP="00B20AC1">
      <w:r w:rsidRPr="00B20AC1">
        <w:t xml:space="preserve">Skattedirektoratet foreslår derfor tiltak som kan bedre datakvaliteten og føre til økt tilfang av opplysningen, tiltak som det er behov </w:t>
      </w:r>
      <w:r w:rsidRPr="00B20AC1">
        <w:t>for uavhengig av om utenlandske identifikasjonsnumre skal benyttes til nye formål.</w:t>
      </w:r>
    </w:p>
    <w:p w14:paraId="31CCE4D2" w14:textId="77777777" w:rsidR="00DD0428" w:rsidRPr="00B20AC1" w:rsidRDefault="00DD0428" w:rsidP="00B20AC1">
      <w:r w:rsidRPr="00B20AC1">
        <w:t>Direktoratet bemerker at det ikke vil være mulig å registrere utenlandske identifikasjonsnumre i alle sammenhenger, fordi ikke alle har legitimasjonsdokumenter eller tilsvar</w:t>
      </w:r>
      <w:r w:rsidRPr="00B20AC1">
        <w:t xml:space="preserve">ende der dette </w:t>
      </w:r>
      <w:proofErr w:type="gramStart"/>
      <w:r w:rsidRPr="00B20AC1">
        <w:t>fremgår</w:t>
      </w:r>
      <w:proofErr w:type="gramEnd"/>
      <w:r w:rsidRPr="00B20AC1">
        <w:t>.</w:t>
      </w:r>
    </w:p>
    <w:p w14:paraId="1C73180B" w14:textId="77777777" w:rsidR="00DD0428" w:rsidRPr="00B20AC1" w:rsidRDefault="00DD0428" w:rsidP="00B20AC1">
      <w:r w:rsidRPr="00B20AC1">
        <w:t xml:space="preserve">Skattedirektoratet bemerker ellers at det ved innføring av en permanent hjemmel antagelig vil bli behov for minimum én ny rettighetspakke for deling av utenlandske identifikasjonsnumre til </w:t>
      </w:r>
      <w:proofErr w:type="spellStart"/>
      <w:r w:rsidRPr="00B20AC1">
        <w:t>eID</w:t>
      </w:r>
      <w:proofErr w:type="spellEnd"/>
      <w:r w:rsidRPr="00B20AC1">
        <w:t>-tilbydere. Etter den midlertidige hjemm</w:t>
      </w:r>
      <w:r w:rsidRPr="00B20AC1">
        <w:t xml:space="preserve">elen fikk </w:t>
      </w:r>
      <w:proofErr w:type="spellStart"/>
      <w:r w:rsidRPr="00B20AC1">
        <w:t>eID</w:t>
      </w:r>
      <w:proofErr w:type="spellEnd"/>
      <w:r w:rsidRPr="00B20AC1">
        <w:t>-tilbyderne tilgang til rettighetspakken «Offentlige og private virksomheter med hjemmel», dvs. en rettighetspakke som inneholder alle taushetsbelagte opplysninger i Folkeregisteret. Denne løsningen innebærer tilgang til overskuddsinformasjon,</w:t>
      </w:r>
      <w:r w:rsidRPr="00B20AC1">
        <w:t xml:space="preserve"> noe som kan være i strid med dataminimeringsprinsippet i personvernforordningen.</w:t>
      </w:r>
    </w:p>
    <w:p w14:paraId="066E29FA" w14:textId="77777777" w:rsidR="00DD0428" w:rsidRPr="00B20AC1" w:rsidRDefault="00DD0428" w:rsidP="00B20AC1">
      <w:r w:rsidRPr="00B20AC1">
        <w:t>Finansdepartementet legger til grunn at det ikke er aktuelt å omklassifisere utenlandske identifikasjonsnumre til opplysninger som ikke er underlagt taushetsplikt i Folkeregi</w:t>
      </w:r>
      <w:r w:rsidRPr="00B20AC1">
        <w:t xml:space="preserve">steret, slik tilfellet er med fødsels- og d-nummer. Dette har sammenheng med at utenlandske identifikasjonsnumre omfatter forskjellige opplysningstyper (passnummer, nasjonalt ID-nummer, </w:t>
      </w:r>
      <w:proofErr w:type="spellStart"/>
      <w:r w:rsidRPr="00B20AC1">
        <w:t>Tax</w:t>
      </w:r>
      <w:proofErr w:type="spellEnd"/>
      <w:r w:rsidRPr="00B20AC1">
        <w:t xml:space="preserve"> </w:t>
      </w:r>
      <w:proofErr w:type="spellStart"/>
      <w:r w:rsidRPr="00B20AC1">
        <w:t>Identification</w:t>
      </w:r>
      <w:proofErr w:type="spellEnd"/>
      <w:r w:rsidRPr="00B20AC1">
        <w:t xml:space="preserve"> </w:t>
      </w:r>
      <w:proofErr w:type="spellStart"/>
      <w:r w:rsidRPr="00B20AC1">
        <w:t>Number</w:t>
      </w:r>
      <w:proofErr w:type="spellEnd"/>
      <w:r w:rsidRPr="00B20AC1">
        <w:t xml:space="preserve"> og trygdenummer), og at flere land har begre</w:t>
      </w:r>
      <w:r w:rsidRPr="00B20AC1">
        <w:t>nsninger på bruk og deling av identifikasjonsnumre. Blant annet er opplysningene taushetsbelagt i enkelte EU-land.</w:t>
      </w:r>
    </w:p>
    <w:p w14:paraId="4B4D1657" w14:textId="77777777" w:rsidR="00DD0428" w:rsidRPr="00B20AC1" w:rsidRDefault="00DD0428" w:rsidP="00B20AC1">
      <w:pPr>
        <w:pStyle w:val="Overskrift2"/>
      </w:pPr>
      <w:r w:rsidRPr="00B20AC1">
        <w:lastRenderedPageBreak/>
        <w:t>Gjeldende rett</w:t>
      </w:r>
    </w:p>
    <w:p w14:paraId="675EDC1F" w14:textId="77777777" w:rsidR="00DD0428" w:rsidRPr="00B20AC1" w:rsidRDefault="00DD0428" w:rsidP="00B20AC1">
      <w:pPr>
        <w:pStyle w:val="Overskrift3"/>
      </w:pPr>
      <w:r w:rsidRPr="00B20AC1">
        <w:t>Lov om elektroniske tillitstjenester og forskrift om selvdeklarasjon</w:t>
      </w:r>
    </w:p>
    <w:p w14:paraId="3D2F8D45" w14:textId="77777777" w:rsidR="00DD0428" w:rsidRPr="00B20AC1" w:rsidRDefault="00DD0428" w:rsidP="00B20AC1">
      <w:r w:rsidRPr="00B20AC1">
        <w:t xml:space="preserve">Lov 15. juni nr. 44 om gjennomføring </w:t>
      </w:r>
      <w:r w:rsidRPr="00B20AC1">
        <w:t>av EUs forordning om elektronisk identifikasjon og tillitstjenester for elektroniske transaksjoner i det indre marked (lov om elektroniske tillitstjenester) gjennomfører forordning (EU) nr. 910/2014 (</w:t>
      </w:r>
      <w:proofErr w:type="spellStart"/>
      <w:r w:rsidRPr="00B20AC1">
        <w:t>eIDAS</w:t>
      </w:r>
      <w:proofErr w:type="spellEnd"/>
      <w:r w:rsidRPr="00B20AC1">
        <w:t>-forordningen).</w:t>
      </w:r>
    </w:p>
    <w:p w14:paraId="644B5B25" w14:textId="77777777" w:rsidR="00DD0428" w:rsidRPr="00B20AC1" w:rsidRDefault="00DD0428" w:rsidP="00B20AC1">
      <w:r w:rsidRPr="00B20AC1">
        <w:t>Forordningen skal legge til rette f</w:t>
      </w:r>
      <w:r w:rsidRPr="00B20AC1">
        <w:t xml:space="preserve">or økt elektronisk samhandling mellom næringsdrivende, borgere og offentlige myndigheter på tvers av landegrensene i EU/EØS og bidra til sterkere økonomisk vekst i det indre marked. Forordningen er todelt og regulerer gjensidig aksept av løsninger for </w:t>
      </w:r>
      <w:proofErr w:type="spellStart"/>
      <w:r w:rsidRPr="00B20AC1">
        <w:t>eID</w:t>
      </w:r>
      <w:proofErr w:type="spellEnd"/>
      <w:r w:rsidRPr="00B20AC1">
        <w:t xml:space="preserve"> </w:t>
      </w:r>
      <w:r w:rsidRPr="00B20AC1">
        <w:t>og gjensidig aksept av elektronisk signatur og andre tillitstjenester.</w:t>
      </w:r>
    </w:p>
    <w:p w14:paraId="39F4746E" w14:textId="77777777" w:rsidR="00DD0428" w:rsidRPr="00B20AC1" w:rsidRDefault="00DD0428" w:rsidP="00B20AC1">
      <w:r w:rsidRPr="00B20AC1">
        <w:t>Det er vedtatt en rekke gjennomføringsrettsakter til forordningen, bl.a. en gjennomføringsrettsakt som fastsetter sikkerhetsnivåer, forordning (EU) 2015/1502 om fastsettelse av tekniske</w:t>
      </w:r>
      <w:r w:rsidRPr="00B20AC1">
        <w:t xml:space="preserve"> minstespesifikasjoner for elektroniske identifikasjonsmidler (identifikasjonsnivåforskriften). Gjennomføringsrettsaktene er gjennomført i forskrift av 21. november 2019 nr. 1577 om tillitstjenester for elektroniske transaksjoner, fastsatt med hjemmel i lo</w:t>
      </w:r>
      <w:r w:rsidRPr="00B20AC1">
        <w:t>v om elektroniske tillitstjenester § 1 annet ledd, jf. delegeringsvedtak 8. november 2019 nr. 1491.</w:t>
      </w:r>
    </w:p>
    <w:p w14:paraId="72237F91" w14:textId="77777777" w:rsidR="00DD0428" w:rsidRPr="00B20AC1" w:rsidRDefault="00DD0428" w:rsidP="00B20AC1">
      <w:r w:rsidRPr="00B20AC1">
        <w:t>Norske tilpasninger til de konkrete kravene som skal oppfylles etter identifikasjonsnivåforskriften går frem av forskrift 21. november 2019 nr. 1578 om selv</w:t>
      </w:r>
      <w:r w:rsidRPr="00B20AC1">
        <w:t>deklarasjon av ordninger for elektronisk identifikasjon (selvdeklarasjonsforskriften) del III. De norske sikkerhetsnivåene bygger på kravene som er nedfelt i identifikasjonsnivåforskriften.</w:t>
      </w:r>
    </w:p>
    <w:p w14:paraId="56E1D52F" w14:textId="6139FEDB" w:rsidR="00DD0428" w:rsidRPr="00B20AC1" w:rsidRDefault="00DD0428" w:rsidP="00B20AC1">
      <w:r w:rsidRPr="00B20AC1">
        <w:t xml:space="preserve">I forbindelse med utstedelse av </w:t>
      </w:r>
      <w:proofErr w:type="spellStart"/>
      <w:r w:rsidRPr="00B20AC1">
        <w:t>eID</w:t>
      </w:r>
      <w:proofErr w:type="spellEnd"/>
      <w:r w:rsidRPr="00B20AC1">
        <w:t xml:space="preserve"> må identifikasjonspåstanden gjelde en person som finnes i Folkeregisteret, og utstederen av </w:t>
      </w:r>
      <w:proofErr w:type="spellStart"/>
      <w:r w:rsidRPr="00B20AC1">
        <w:t>eID</w:t>
      </w:r>
      <w:proofErr w:type="spellEnd"/>
      <w:r w:rsidRPr="00B20AC1">
        <w:t xml:space="preserve"> må kunne gi en sikker og entydig kobling til denne personens identifikator i Folkeregisteret (fødsels- eller d</w:t>
      </w:r>
      <w:r w:rsidR="00B20AC1">
        <w:t>-</w:t>
      </w:r>
      <w:r w:rsidRPr="00B20AC1">
        <w:t xml:space="preserve">nummer), jf. </w:t>
      </w:r>
      <w:r w:rsidRPr="00B20AC1">
        <w:t xml:space="preserve">selvdeklarasjonsforskriften § 18, første og annet punktum. At koblingen er </w:t>
      </w:r>
      <w:r w:rsidRPr="00B20AC1">
        <w:rPr>
          <w:rStyle w:val="kursiv"/>
        </w:rPr>
        <w:t>«sikker og entydig»</w:t>
      </w:r>
      <w:r w:rsidRPr="00B20AC1">
        <w:t xml:space="preserve"> innebærer at koblingen ikke kan baseres på personens navn eller andre kjennetegn som kan være i bruk av flere personer, jf. tredje punktum.</w:t>
      </w:r>
    </w:p>
    <w:p w14:paraId="30BC617D" w14:textId="77777777" w:rsidR="00DD0428" w:rsidRPr="00B20AC1" w:rsidRDefault="00DD0428" w:rsidP="00B20AC1">
      <w:r w:rsidRPr="00B20AC1">
        <w:t>Ved fremvisning av ut</w:t>
      </w:r>
      <w:r w:rsidRPr="00B20AC1">
        <w:t xml:space="preserve">enlandske identitetsbevis må det i tillegg </w:t>
      </w:r>
      <w:r w:rsidRPr="00B20AC1">
        <w:rPr>
          <w:rStyle w:val="kursiv"/>
        </w:rPr>
        <w:t>«godtgjøres»</w:t>
      </w:r>
      <w:r w:rsidRPr="00B20AC1">
        <w:t xml:space="preserve"> en entydig knytning til et fødsels- eller d-nummer i Folkeregisteret, jf. selvdeklarasjonsforskriften § 19 første ledd, første strekpunkt, annet alternativ. For ordens skyld gjøres det oppmerksom på a</w:t>
      </w:r>
      <w:r w:rsidRPr="00B20AC1">
        <w:t>t ikke alle med behov for det vil kunne få tildelt fødsels- eller d-nummer.</w:t>
      </w:r>
    </w:p>
    <w:p w14:paraId="45F4C416" w14:textId="77777777" w:rsidR="00DD0428" w:rsidRPr="00B20AC1" w:rsidRDefault="00DD0428" w:rsidP="00B20AC1">
      <w:r w:rsidRPr="00B20AC1">
        <w:t xml:space="preserve">Dersom det for eksempel skal utstedes en </w:t>
      </w:r>
      <w:proofErr w:type="spellStart"/>
      <w:r w:rsidRPr="00B20AC1">
        <w:t>eID</w:t>
      </w:r>
      <w:proofErr w:type="spellEnd"/>
      <w:r w:rsidRPr="00B20AC1">
        <w:t xml:space="preserve"> til en utenlandsk borger, som viser frem et utenlandsk pass og passet inneholder tilsvarende opplysninger som er registrert i Folkeregi</w:t>
      </w:r>
      <w:r w:rsidRPr="00B20AC1">
        <w:t>steret – for eksempel samme personidentifikator eller samme passnummer – så vil det kunne opprettes en sikker og entydig forbindelse mellom det utenlandske identifikasjonsnummeret og det norske fødsels- eller d-nummeret i Folkeregisteret.</w:t>
      </w:r>
    </w:p>
    <w:p w14:paraId="5A136B5D" w14:textId="77777777" w:rsidR="00DD0428" w:rsidRPr="00B20AC1" w:rsidRDefault="00DD0428" w:rsidP="00B20AC1">
      <w:r w:rsidRPr="00B20AC1">
        <w:t>Her vil tre ulike</w:t>
      </w:r>
      <w:r w:rsidRPr="00B20AC1">
        <w:t xml:space="preserve"> krav i selvdeklarasjonsforskriften være oppfylt: Personidentifikatoren eller passnummeret går frem av både passet og av den registrerte identiteten i Folkeregisteret, og det skjer en gjenkjenning av nummeret (det «matcher»). Den utenlandske borgeren har d</w:t>
      </w:r>
      <w:r w:rsidRPr="00B20AC1">
        <w:t>erfor «godtgjort» en entydig knytning til et slik fødsels- eller d-nummer, og oppfyller derfor kravet i både selvdeklarasjonsforskriften § 18 første punktum, og selvdeklarasjonsforskriften § 19 første ledd, første strekpunkt, annet alternativ.</w:t>
      </w:r>
    </w:p>
    <w:p w14:paraId="360AB3CA" w14:textId="77777777" w:rsidR="00DD0428" w:rsidRPr="00B20AC1" w:rsidRDefault="00DD0428" w:rsidP="00B20AC1">
      <w:r w:rsidRPr="00B20AC1">
        <w:t>Denne «knytn</w:t>
      </w:r>
      <w:r w:rsidRPr="00B20AC1">
        <w:t>ingen» er ikke utelukkende basert på personens navn eller andre kjennetegn som kan være i bruk av flere personer, men et identifikasjonsnummer. Utenlandske personnumre eller personidentifikatorer vil være unike og persistente, mens et passnummer normalt og</w:t>
      </w:r>
      <w:r w:rsidRPr="00B20AC1">
        <w:t>så er unikt og stabilt over en gitt tid og oppfyller derfor kravet i selvdeklarasjonsforskriften § 18 annet punktum.</w:t>
      </w:r>
    </w:p>
    <w:p w14:paraId="53A02087" w14:textId="77777777" w:rsidR="00DD0428" w:rsidRPr="00B20AC1" w:rsidRDefault="00DD0428" w:rsidP="00B20AC1">
      <w:r w:rsidRPr="00B20AC1">
        <w:t xml:space="preserve">Den midlertidige hjemmelen i selvdeklarasjonsforskriften § 18 fjerde punktum innebar at </w:t>
      </w:r>
      <w:proofErr w:type="spellStart"/>
      <w:r w:rsidRPr="00B20AC1">
        <w:t>eID</w:t>
      </w:r>
      <w:proofErr w:type="spellEnd"/>
      <w:r w:rsidRPr="00B20AC1">
        <w:t>-tilbydere kunne innhente opplysninger fra folke</w:t>
      </w:r>
      <w:r w:rsidRPr="00B20AC1">
        <w:t xml:space="preserve">registermyndigheten om en persons utenlandske identifikasjonsnummer uten hinder av taushetsplikt. Den midlertidige hjemmelen ble vedtatt under covid-19-pandemien fordi det var viktig å få raskt på plass en løsning for digital ID-kontroll. Den midlertidige </w:t>
      </w:r>
      <w:r w:rsidRPr="00B20AC1">
        <w:t xml:space="preserve">løsningen skulle sikre hjemreiste EØS-borgere norsk </w:t>
      </w:r>
      <w:proofErr w:type="spellStart"/>
      <w:r w:rsidRPr="00B20AC1">
        <w:t>eID</w:t>
      </w:r>
      <w:proofErr w:type="spellEnd"/>
      <w:r w:rsidRPr="00B20AC1">
        <w:t xml:space="preserve">, i en tid hvor reiserestriksjoner gjorde det umulig eller svært vanskelig å gjennomføre fysisk ID-kontroll og utlevere </w:t>
      </w:r>
      <w:proofErr w:type="spellStart"/>
      <w:r w:rsidRPr="00B20AC1">
        <w:t>eID</w:t>
      </w:r>
      <w:proofErr w:type="spellEnd"/>
      <w:r w:rsidRPr="00B20AC1">
        <w:t xml:space="preserve"> på ordinær måte.</w:t>
      </w:r>
    </w:p>
    <w:p w14:paraId="410CB435" w14:textId="77777777" w:rsidR="00DD0428" w:rsidRPr="00B20AC1" w:rsidRDefault="00DD0428" w:rsidP="00B20AC1">
      <w:pPr>
        <w:pStyle w:val="Overskrift3"/>
      </w:pPr>
      <w:r w:rsidRPr="00B20AC1">
        <w:lastRenderedPageBreak/>
        <w:t>Folkeregisterloven</w:t>
      </w:r>
    </w:p>
    <w:p w14:paraId="1F6A34F1" w14:textId="77777777" w:rsidR="00DD0428" w:rsidRPr="00B20AC1" w:rsidRDefault="00DD0428" w:rsidP="00B20AC1">
      <w:r w:rsidRPr="00B20AC1">
        <w:t>I lov 9. desember 2016 nr. 88</w:t>
      </w:r>
      <w:r w:rsidRPr="00B20AC1">
        <w:t xml:space="preserve"> om folkeregistrering (folkeregisterloven) skilles det mellom utlevering av taushetsbelagte opplysninger og utlevering av opplysninger som ikke er underlagt taushetsplikt. Etter lovens § 10-1 første ledd kan offentlige myndigheter og virksomheter få utleve</w:t>
      </w:r>
      <w:r w:rsidRPr="00B20AC1">
        <w:t>rt ikke-taushetsbelagte opplysninger fra Folkeregisteret, mens utlevering av taushetsbelagte opplysninger krever hjemmel i særlov, jf. folkeregisterloven § 10-2 første ledd.</w:t>
      </w:r>
    </w:p>
    <w:p w14:paraId="487DB34E" w14:textId="77777777" w:rsidR="00DD0428" w:rsidRPr="00B20AC1" w:rsidRDefault="00DD0428" w:rsidP="00B20AC1">
      <w:r w:rsidRPr="00B20AC1">
        <w:t>Folkeregisterloven § 9-1 fastsetter i første ledd at enhver som behandler personop</w:t>
      </w:r>
      <w:r w:rsidRPr="00B20AC1">
        <w:t>plysninger etter loven, har taushetsplikt om det han eller hun får kjennskap til i sitt arbeid. I § 9-1 annet ledd er det gjort konkrete unntak fra taushetsplikten. Det følger av folkeregisterloven § 9-1 annet ledd at</w:t>
      </w:r>
    </w:p>
    <w:p w14:paraId="19548231" w14:textId="77777777" w:rsidR="00DD0428" w:rsidRPr="00B20AC1" w:rsidRDefault="00DD0428" w:rsidP="00B20AC1">
      <w:pPr>
        <w:pStyle w:val="blokksit"/>
        <w:rPr>
          <w:rStyle w:val="kursiv"/>
        </w:rPr>
      </w:pPr>
      <w:r w:rsidRPr="00B20AC1">
        <w:rPr>
          <w:rStyle w:val="kursiv"/>
        </w:rPr>
        <w:t>«Taushetsplikten omfatter ikke opplysn</w:t>
      </w:r>
      <w:r w:rsidRPr="00B20AC1">
        <w:rPr>
          <w:rStyle w:val="kursiv"/>
        </w:rPr>
        <w:t>inger om en persons fulle navn, fødselsdato, kjønn, fødsels- og d-nummer, grunnlaget for registrert identitet etter § 3-2, adresse, fødested, statsborgerskap, sivilstand, vergemål, stadfestet fremtidsfullmakt og dødsdato, med mindre slike opplysninger røpe</w:t>
      </w:r>
      <w:r w:rsidRPr="00B20AC1">
        <w:rPr>
          <w:rStyle w:val="kursiv"/>
        </w:rPr>
        <w:t>r et klientforhold eller andre forhold som gjør at opplysningene må anses personlige. Det samme gjelder historiske opplysninger om navn og adresse.»</w:t>
      </w:r>
    </w:p>
    <w:p w14:paraId="5A1356E2" w14:textId="6F9034C5" w:rsidR="00DD0428" w:rsidRPr="00B20AC1" w:rsidRDefault="00DD0428" w:rsidP="00B20AC1">
      <w:r w:rsidRPr="00B20AC1">
        <w:t>Opplysningene som listes opp i folkeregisterloven § 9-1 annet ledd, anses som ikke-taushetsbelagte opplysni</w:t>
      </w:r>
      <w:r w:rsidRPr="00B20AC1">
        <w:t>nger og kan utleveres til offentlige myndigheter og virksomheter, og visse private virksomheter og aktører, etter søknad til Skatteetaten, jf. folkeregisterloven § 10-1 første og annet ledd. Privatpersoner og andre private aktører kan også få utlevert ikke</w:t>
      </w:r>
      <w:r w:rsidRPr="00B20AC1">
        <w:t>-taushetsbelagte opplysninger fra Folkeregisteret om navngitte og identifiserbare personer gjennom entydige søk. Listen i § 9</w:t>
      </w:r>
      <w:r w:rsidR="00B20AC1">
        <w:t>-</w:t>
      </w:r>
      <w:r w:rsidRPr="00B20AC1">
        <w:t>1 annet ledd anses som uttømmende, med unntak for underkategorier av hovedkategoriene som er nevnt i opplistingen.</w:t>
      </w:r>
    </w:p>
    <w:p w14:paraId="32F90813" w14:textId="77777777" w:rsidR="00DD0428" w:rsidRPr="00B20AC1" w:rsidRDefault="00DD0428" w:rsidP="00B20AC1">
      <w:r w:rsidRPr="00B20AC1">
        <w:t>Etter folkeregi</w:t>
      </w:r>
      <w:r w:rsidRPr="00B20AC1">
        <w:t xml:space="preserve">sterloven § 3-1 første ledd bokstav u, kan det til hvert enkelt fødsels- eller d-nummer i Folkeregisteret registreres opplysninger om utenlandske identifikasjonsnumre. Utenlandske identifikasjonsnumre kan for eksempel være nasjonalt ID-nummer, </w:t>
      </w:r>
      <w:proofErr w:type="spellStart"/>
      <w:r w:rsidRPr="00B20AC1">
        <w:t>Tax</w:t>
      </w:r>
      <w:proofErr w:type="spellEnd"/>
      <w:r w:rsidRPr="00B20AC1">
        <w:t xml:space="preserve"> </w:t>
      </w:r>
      <w:proofErr w:type="spellStart"/>
      <w:r w:rsidRPr="00B20AC1">
        <w:t>Identifi</w:t>
      </w:r>
      <w:r w:rsidRPr="00B20AC1">
        <w:t>cation</w:t>
      </w:r>
      <w:proofErr w:type="spellEnd"/>
      <w:r w:rsidRPr="00B20AC1">
        <w:t xml:space="preserve"> </w:t>
      </w:r>
      <w:proofErr w:type="spellStart"/>
      <w:r w:rsidRPr="00B20AC1">
        <w:t>Number</w:t>
      </w:r>
      <w:proofErr w:type="spellEnd"/>
      <w:r w:rsidRPr="00B20AC1">
        <w:t xml:space="preserve"> og </w:t>
      </w:r>
      <w:proofErr w:type="spellStart"/>
      <w:r w:rsidRPr="00B20AC1">
        <w:t>Social</w:t>
      </w:r>
      <w:proofErr w:type="spellEnd"/>
      <w:r w:rsidRPr="00B20AC1">
        <w:t xml:space="preserve"> </w:t>
      </w:r>
      <w:proofErr w:type="spellStart"/>
      <w:r w:rsidRPr="00B20AC1">
        <w:t>Identification</w:t>
      </w:r>
      <w:proofErr w:type="spellEnd"/>
      <w:r w:rsidRPr="00B20AC1">
        <w:t xml:space="preserve"> </w:t>
      </w:r>
      <w:proofErr w:type="spellStart"/>
      <w:r w:rsidRPr="00B20AC1">
        <w:t>Number</w:t>
      </w:r>
      <w:proofErr w:type="spellEnd"/>
      <w:r w:rsidRPr="00B20AC1">
        <w:t xml:space="preserve">, jf. merknader til </w:t>
      </w:r>
      <w:r w:rsidRPr="00B20AC1">
        <w:t>folkeregisterloven § 3-2 og folkeregisterforskriften</w:t>
      </w:r>
      <w:r w:rsidRPr="00B20AC1">
        <w:t xml:space="preserve"> § 3-1-1 første ledd bokstav u i Folkeregisterhåndboken, kapittel 3 under § 3-2. Her vises det også til at utenlandske identifikasjonsnumre</w:t>
      </w:r>
      <w:r w:rsidRPr="00B20AC1">
        <w:t xml:space="preserve"> kan være opplysninger om utenlandsk legitimasjonsdokument som f.eks. passnummer.</w:t>
      </w:r>
    </w:p>
    <w:p w14:paraId="16B790EE" w14:textId="77777777" w:rsidR="00DD0428" w:rsidRPr="00B20AC1" w:rsidRDefault="00DD0428" w:rsidP="00B20AC1">
      <w:r w:rsidRPr="00B20AC1">
        <w:t>Opplysninger om utenlandske identifikasjonsnumre er ikke nevnt i opplistingen over opplysninger som er unntatt taushetsplikt, og regnes derfor som en taushetsbelagt opplysnin</w:t>
      </w:r>
      <w:r w:rsidRPr="00B20AC1">
        <w:t xml:space="preserve">g etter folkeregisterloven. Det vil si at alle former for slike utenlandske identifikasjonsnumre vil være omfattet av taushetsplikten etter folkeregisterloven. For utenlandske identifikasjonsnumre følger det derfor av folkeregisterloven § 10-2 første ledd </w:t>
      </w:r>
      <w:r w:rsidRPr="00B20AC1">
        <w:t>at offentlige og private myndigheter og virksomheter må ha hjemmel i særlov for å kunne innhente slike opplysninger fra Folkeregisteret uten hinder av taushetsplikt.</w:t>
      </w:r>
    </w:p>
    <w:p w14:paraId="1B3FADA4" w14:textId="77777777" w:rsidR="00DD0428" w:rsidRPr="00B20AC1" w:rsidRDefault="00DD0428" w:rsidP="00B20AC1">
      <w:r w:rsidRPr="00B20AC1">
        <w:t>Deling av opplysninger fra Folkeregisteret reguleres av folkeregisterloven kapittel 10. Fo</w:t>
      </w:r>
      <w:r w:rsidRPr="00B20AC1">
        <w:t>lkeregisteret benytter rettighetspakker som regulerer hvilke opplysninger som tilgjengeliggjøres og hvordan opplysningene kan innhentes. Hvorvidt opplysningene er taushetsbelagt, har betydning for om og hvordan opplysningstypen kan deles med Folkeregistere</w:t>
      </w:r>
      <w:r w:rsidRPr="00B20AC1">
        <w:t>ts konsumenter. Utenlandske identifikasjonsnumre, som er taushetsbelagt, er kun inkludert i rettighetspakken til konsumenter som har hjemmel i egen lov til å innhente taushetsbelagte opplysninger, jf. folkeregisterloven § 10-2.</w:t>
      </w:r>
    </w:p>
    <w:p w14:paraId="74F52260" w14:textId="77777777" w:rsidR="00DD0428" w:rsidRPr="00B20AC1" w:rsidRDefault="00DD0428" w:rsidP="00B20AC1">
      <w:r w:rsidRPr="00B20AC1">
        <w:t>Alle registrerte opplysninge</w:t>
      </w:r>
      <w:r w:rsidRPr="00B20AC1">
        <w:t>r om utenlandske identifikasjonsnumre i Folkeregisteret deles med konsumenter med tilgang til rettighetspakken med taushetsbelagte opplysninger fra Folkeregisteret, så lenge slike opplysninger er registrert.</w:t>
      </w:r>
    </w:p>
    <w:p w14:paraId="7B34A6BF" w14:textId="77777777" w:rsidR="00DD0428" w:rsidRPr="00B20AC1" w:rsidRDefault="00DD0428" w:rsidP="00B20AC1">
      <w:r w:rsidRPr="00B20AC1">
        <w:t>Pga. den ekstraordinære situasjonen som var unde</w:t>
      </w:r>
      <w:r w:rsidRPr="00B20AC1">
        <w:t xml:space="preserve">r pandemien, ble det ikke opprettet en egen rettighetspakke, men </w:t>
      </w:r>
      <w:proofErr w:type="spellStart"/>
      <w:r w:rsidRPr="00B20AC1">
        <w:t>eID</w:t>
      </w:r>
      <w:proofErr w:type="spellEnd"/>
      <w:r w:rsidRPr="00B20AC1">
        <w:t>-tilbyderne fikk tilgang til den allerede eksisterende rettighetspakken «Offentlige og private virksomheter med hjemmel».</w:t>
      </w:r>
    </w:p>
    <w:p w14:paraId="2DEDE08E" w14:textId="77777777" w:rsidR="00DD0428" w:rsidRPr="00B20AC1" w:rsidRDefault="00DD0428" w:rsidP="00B20AC1">
      <w:r w:rsidRPr="00B20AC1">
        <w:t>Et norsk fød</w:t>
      </w:r>
      <w:r w:rsidRPr="00B20AC1">
        <w:t>sels- eller d-nummer (en identifikator) benyttes for å identifisere en bestemt person i Norge. Dersom vi skal gjenkjenne en utenlandsk borger, trenger vi også en eller annen form for identifikator som gjør det mulig å gjenkjenne vedkommende. Dette kan være</w:t>
      </w:r>
      <w:r w:rsidRPr="00B20AC1">
        <w:t xml:space="preserve"> ulike utenlandske identifikasjonsnumre.</w:t>
      </w:r>
    </w:p>
    <w:p w14:paraId="19CC621C" w14:textId="77777777" w:rsidR="00DD0428" w:rsidRPr="00B20AC1" w:rsidRDefault="00DD0428" w:rsidP="00B20AC1">
      <w:r w:rsidRPr="00B20AC1">
        <w:lastRenderedPageBreak/>
        <w:t>Fødsels- og d-numre betegnes som unike og persistente identifikatorer, i det disse kan benyttes</w:t>
      </w:r>
      <w:r w:rsidRPr="00B20AC1">
        <w:t xml:space="preserve"> over tid (persistent) for å gjenkjenne en person uten forvekslingsfare (unik). Praksisen fra Folkeregisteret tilsier at</w:t>
      </w:r>
      <w:r w:rsidRPr="00B20AC1">
        <w:t xml:space="preserve"> utenlandske identifikasjonsnumre også omfatter opplysninger som er mindre persistente og unike, siden passnummer og lignende dokumentidentifikatorer omfattes av begrepet. I likhet med nasjonale identifikatorer, kan det ikke uten videre legges til grunn at</w:t>
      </w:r>
      <w:r w:rsidRPr="00B20AC1">
        <w:t xml:space="preserve"> utenlandske identifikatorer unikt identifiserer en person </w:t>
      </w:r>
      <w:r w:rsidRPr="00B20AC1">
        <w:rPr>
          <w:rStyle w:val="kursiv"/>
        </w:rPr>
        <w:t>utover</w:t>
      </w:r>
      <w:r w:rsidRPr="00B20AC1">
        <w:t xml:space="preserve"> landegrenser.</w:t>
      </w:r>
    </w:p>
    <w:p w14:paraId="50DC7A54" w14:textId="77777777" w:rsidR="00DD0428" w:rsidRPr="00B20AC1" w:rsidRDefault="00DD0428" w:rsidP="00B20AC1">
      <w:r w:rsidRPr="00B20AC1">
        <w:t xml:space="preserve">Utenlandske identifikasjonsnumre har ingen </w:t>
      </w:r>
      <w:r w:rsidRPr="00B20AC1">
        <w:t>legaldefinisjon eller noe entydig innhold. Begrepet</w:t>
      </w:r>
      <w:r w:rsidRPr="00B20AC1">
        <w:t xml:space="preserve"> omfatter data som kan benyttes som identifikator, er noenlunde persistente og er </w:t>
      </w:r>
      <w:r w:rsidRPr="00B20AC1">
        <w:t>utstedt av en utenlandsk myndighet.</w:t>
      </w:r>
    </w:p>
    <w:p w14:paraId="354DBE29" w14:textId="77777777" w:rsidR="00DD0428" w:rsidRPr="00B20AC1" w:rsidRDefault="00DD0428" w:rsidP="00B20AC1">
      <w:r w:rsidRPr="00B20AC1">
        <w:t>Folkeregisterloven § 3-1 første ledd bokstav u, gir adgang til å registrere utenlandske identifikasjonsnumre. Departementet kan i forskrift gi nærmere regler om «hvilke underkategorier og tilleggsopplysninger» som kan re</w:t>
      </w:r>
      <w:r w:rsidRPr="00B20AC1">
        <w:t>gistreres til den enkelte opplysning. Til folkeregisterloven § 3-1 er det gitt en bestemmelse i folkeregisterforskriften § 3-1-1. Her fremgår det at det «i tilknytning til» opplysning om utenlandske identifikasjonsnumre i bokstav u, kan registreres «opplys</w:t>
      </w:r>
      <w:r w:rsidRPr="00B20AC1">
        <w:t>ninger om utenlandsk legitimasjonsdokument».</w:t>
      </w:r>
    </w:p>
    <w:p w14:paraId="0284F5FA" w14:textId="77777777" w:rsidR="00DD0428" w:rsidRPr="00B20AC1" w:rsidRDefault="00DD0428" w:rsidP="00B20AC1">
      <w:r w:rsidRPr="00B20AC1">
        <w:t>I tillegg til å gi anledning til å registrere passnummer eller ID-kortnummer, omfattes også enkelte andre opplysninger som står i legitimasjonsdokumentet, som utenlandsk nasjonalt ID-nummer eller skattenummer.</w:t>
      </w:r>
    </w:p>
    <w:p w14:paraId="41DD2B72" w14:textId="77777777" w:rsidR="00DD0428" w:rsidRPr="00B20AC1" w:rsidRDefault="00DD0428" w:rsidP="00B20AC1">
      <w:pPr>
        <w:pStyle w:val="Overskrift3"/>
      </w:pPr>
      <w:r w:rsidRPr="00B20AC1">
        <w:t>Forholdet til personvern</w:t>
      </w:r>
    </w:p>
    <w:p w14:paraId="5CD89406" w14:textId="77777777" w:rsidR="00DD0428" w:rsidRPr="00B20AC1" w:rsidRDefault="00DD0428" w:rsidP="00B20AC1">
      <w:r w:rsidRPr="00B20AC1">
        <w:t>Lov 15. juni 2018 nr. 38 (personopplysningsloven), fastslår</w:t>
      </w:r>
      <w:r w:rsidRPr="00B20AC1">
        <w:t xml:space="preserve"> at personvernforordningen (GDPR) gjelder som norsk lov og setter rammer for behandling av personopplysninger. Enhver opplysning om en identifisert eller identifiserbar fysisk person regnes som en personopplysning, jf. personvernforordningen artikkel 4 nr.</w:t>
      </w:r>
      <w:r w:rsidRPr="00B20AC1">
        <w:t xml:space="preserve"> 1.</w:t>
      </w:r>
    </w:p>
    <w:p w14:paraId="7BB39254" w14:textId="77777777" w:rsidR="00DD0428" w:rsidRPr="00B20AC1" w:rsidRDefault="00DD0428" w:rsidP="00B20AC1">
      <w:r w:rsidRPr="00B20AC1">
        <w:t>Behandling av personopplysninger er bare lovlig dersom minst ett av behandlingsgrunnlagene i personvernforordningen artikkel 6 nr. 1 bokstavene a til f er oppfylt. Det følger av personvernforordningen artikkel 6 nr. 3 at «grunnlaget for behandlingen» s</w:t>
      </w:r>
      <w:r w:rsidRPr="00B20AC1">
        <w:t>om nevnt i artikkel 6 nr. 1 bokstav c og e «skal fastsettes» i unionsretten eller i medlemsstatenes nasjonale rett. Dette innebærer at bokstav c eller e ikke alene kan utgjøre behandlingsgrunnlag. Den behandlingsansvarlige må i tillegg kunne vise til et su</w:t>
      </w:r>
      <w:r w:rsidRPr="00B20AC1">
        <w:t>pplerende rettsgrunnlag for behandlingen. Den foreslåtte hjemmelen i lov om elektroniske tillitstjenester, vil utgjøre et slikt supplerende rettsgrunnlag.</w:t>
      </w:r>
    </w:p>
    <w:p w14:paraId="33018CCA" w14:textId="77777777" w:rsidR="00DD0428" w:rsidRPr="00B20AC1" w:rsidRDefault="00DD0428" w:rsidP="00B20AC1">
      <w:pPr>
        <w:pStyle w:val="Overskrift1"/>
      </w:pPr>
      <w:r w:rsidRPr="00B20AC1">
        <w:t>Høringen</w:t>
      </w:r>
    </w:p>
    <w:p w14:paraId="5D82E6FD" w14:textId="77777777" w:rsidR="00DD0428" w:rsidRPr="00B20AC1" w:rsidRDefault="00DD0428" w:rsidP="00B20AC1">
      <w:pPr>
        <w:pStyle w:val="Overskrift2"/>
      </w:pPr>
      <w:r w:rsidRPr="00B20AC1">
        <w:t>Forslaget i høringsnotatet</w:t>
      </w:r>
    </w:p>
    <w:p w14:paraId="01E46E4D" w14:textId="77777777" w:rsidR="00DD0428" w:rsidRPr="00B20AC1" w:rsidRDefault="00DD0428" w:rsidP="00B20AC1">
      <w:r w:rsidRPr="00B20AC1">
        <w:t>Departementet foreslo i høringsnotatet å gjøre den mi</w:t>
      </w:r>
      <w:r w:rsidRPr="00B20AC1">
        <w:t>dlertidige hjemmelen i selvdeklarasjonsforskriften § 18 fjerde punktum permanent gjennom en ny § 1 a i lov om elektroniske tillitstjenester. Den midlertidige hjemmelen som ble vedtatt i forbindelse med covid-19-pandemien, ville bli opphevet 31. desember 20</w:t>
      </w:r>
      <w:r w:rsidRPr="00B20AC1">
        <w:t xml:space="preserve">23, og behovsutredninger har vist at det fortsatt er et behov for tilsvarende hjemmel for </w:t>
      </w:r>
      <w:proofErr w:type="spellStart"/>
      <w:r w:rsidRPr="00B20AC1">
        <w:t>eID</w:t>
      </w:r>
      <w:proofErr w:type="spellEnd"/>
      <w:r w:rsidRPr="00B20AC1">
        <w:t>-tilbydere til å kunne innhente opplysninger om utenlandske identifikasjonsnumre fra Folkeregisteret uten hinder av taushetsplikt. Etter forslaget skulle hjemmelen</w:t>
      </w:r>
      <w:r w:rsidRPr="00B20AC1">
        <w:t xml:space="preserve"> fastsettes i lov, mens nærmere konkretisering av hvilke opplysninger som kan innhentes, skulle fastsettes i forskrift.</w:t>
      </w:r>
    </w:p>
    <w:p w14:paraId="33683326" w14:textId="77777777" w:rsidR="00DD0428" w:rsidRPr="00B20AC1" w:rsidRDefault="00DD0428" w:rsidP="00B20AC1">
      <w:pPr>
        <w:pStyle w:val="Overskrift2"/>
      </w:pPr>
      <w:r w:rsidRPr="00B20AC1">
        <w:t>Gjennomføringen av høringen</w:t>
      </w:r>
    </w:p>
    <w:p w14:paraId="3F7F14F8" w14:textId="77777777" w:rsidR="00DD0428" w:rsidRPr="00B20AC1" w:rsidRDefault="00DD0428" w:rsidP="00B20AC1">
      <w:r w:rsidRPr="00B20AC1">
        <w:t>Høringsnotatet ble offentliggjort på</w:t>
      </w:r>
      <w:r w:rsidRPr="00B20AC1">
        <w:t xml:space="preserve"> departementets hjemmesider 22. september 2023 med høringsfrist 24. oktober 2023. Høringsnotatet ble også sendt til følgende instanser:</w:t>
      </w:r>
    </w:p>
    <w:p w14:paraId="0954489C" w14:textId="77777777" w:rsidR="00DD0428" w:rsidRPr="00B20AC1" w:rsidRDefault="00DD0428" w:rsidP="00B20AC1">
      <w:pPr>
        <w:pStyle w:val="friliste"/>
      </w:pPr>
      <w:r w:rsidRPr="00B20AC1">
        <w:t>Departementene</w:t>
      </w:r>
    </w:p>
    <w:p w14:paraId="01724C56" w14:textId="77777777" w:rsidR="00DD0428" w:rsidRPr="00B20AC1" w:rsidRDefault="00DD0428" w:rsidP="00B20AC1">
      <w:pPr>
        <w:pStyle w:val="opplisting"/>
      </w:pPr>
      <w:r w:rsidRPr="00B20AC1">
        <w:t>Statsministerens kontor</w:t>
      </w:r>
    </w:p>
    <w:p w14:paraId="18E7338B" w14:textId="77777777" w:rsidR="00DD0428" w:rsidRPr="00B20AC1" w:rsidRDefault="00DD0428" w:rsidP="00B20AC1"/>
    <w:p w14:paraId="78B12D17" w14:textId="77777777" w:rsidR="00DD0428" w:rsidRPr="00B20AC1" w:rsidRDefault="00DD0428" w:rsidP="00B20AC1">
      <w:pPr>
        <w:pStyle w:val="opplisting"/>
      </w:pPr>
      <w:r w:rsidRPr="00B20AC1">
        <w:lastRenderedPageBreak/>
        <w:t>Arkivverket</w:t>
      </w:r>
    </w:p>
    <w:p w14:paraId="401BCFA4" w14:textId="77777777" w:rsidR="00DD0428" w:rsidRPr="00B20AC1" w:rsidRDefault="00DD0428" w:rsidP="00B20AC1">
      <w:pPr>
        <w:pStyle w:val="opplisting"/>
      </w:pPr>
      <w:r w:rsidRPr="00B20AC1">
        <w:t>Barne- ungdoms- og familiedirektoratet</w:t>
      </w:r>
    </w:p>
    <w:p w14:paraId="05F9A79D" w14:textId="77777777" w:rsidR="00DD0428" w:rsidRPr="00B20AC1" w:rsidRDefault="00DD0428" w:rsidP="00B20AC1">
      <w:pPr>
        <w:pStyle w:val="opplisting"/>
      </w:pPr>
      <w:r w:rsidRPr="00B20AC1">
        <w:t>Brønnøysundregistrene</w:t>
      </w:r>
    </w:p>
    <w:p w14:paraId="559FEE20" w14:textId="77777777" w:rsidR="00DD0428" w:rsidRPr="00B20AC1" w:rsidRDefault="00DD0428" w:rsidP="00B20AC1">
      <w:pPr>
        <w:pStyle w:val="opplisting"/>
      </w:pPr>
      <w:r w:rsidRPr="00B20AC1">
        <w:t>Datatil</w:t>
      </w:r>
      <w:r w:rsidRPr="00B20AC1">
        <w:t>synet</w:t>
      </w:r>
    </w:p>
    <w:p w14:paraId="737F3563" w14:textId="77777777" w:rsidR="00DD0428" w:rsidRPr="00B20AC1" w:rsidRDefault="00DD0428" w:rsidP="00B20AC1">
      <w:pPr>
        <w:pStyle w:val="opplisting"/>
      </w:pPr>
      <w:r w:rsidRPr="00B20AC1">
        <w:t>Departementenes sikkerhets- og serviceorganisasjon</w:t>
      </w:r>
    </w:p>
    <w:p w14:paraId="72300927" w14:textId="77777777" w:rsidR="00DD0428" w:rsidRPr="00B20AC1" w:rsidRDefault="00DD0428" w:rsidP="00B20AC1">
      <w:pPr>
        <w:pStyle w:val="opplisting"/>
      </w:pPr>
      <w:r w:rsidRPr="00B20AC1">
        <w:t xml:space="preserve">Direktoratet for </w:t>
      </w:r>
      <w:proofErr w:type="spellStart"/>
      <w:r w:rsidRPr="00B20AC1">
        <w:t>byggkvalitet</w:t>
      </w:r>
      <w:proofErr w:type="spellEnd"/>
    </w:p>
    <w:p w14:paraId="37DC167A" w14:textId="77777777" w:rsidR="00DD0428" w:rsidRPr="00B20AC1" w:rsidRDefault="00DD0428" w:rsidP="00B20AC1">
      <w:pPr>
        <w:pStyle w:val="opplisting"/>
      </w:pPr>
      <w:r w:rsidRPr="00B20AC1">
        <w:t>Direktoratet for forvaltning og økonomistyring</w:t>
      </w:r>
    </w:p>
    <w:p w14:paraId="11572329" w14:textId="77777777" w:rsidR="00DD0428" w:rsidRPr="00B20AC1" w:rsidRDefault="00DD0428" w:rsidP="00B20AC1">
      <w:pPr>
        <w:pStyle w:val="opplisting"/>
      </w:pPr>
      <w:r w:rsidRPr="00B20AC1">
        <w:t>Direktoratet for høyere utdanning og kompetanse</w:t>
      </w:r>
    </w:p>
    <w:p w14:paraId="56EC9164" w14:textId="77777777" w:rsidR="00DD0428" w:rsidRPr="00B20AC1" w:rsidRDefault="00DD0428" w:rsidP="00B20AC1">
      <w:pPr>
        <w:pStyle w:val="opplisting"/>
      </w:pPr>
      <w:r w:rsidRPr="00B20AC1">
        <w:t>Direktoratet for samfunnssikkerhet og beredskap</w:t>
      </w:r>
    </w:p>
    <w:p w14:paraId="4C929DB1" w14:textId="77777777" w:rsidR="00DD0428" w:rsidRPr="00B20AC1" w:rsidRDefault="00DD0428" w:rsidP="00B20AC1">
      <w:pPr>
        <w:pStyle w:val="opplisting"/>
      </w:pPr>
      <w:r w:rsidRPr="00B20AC1">
        <w:t>Domstoladministrasjonen</w:t>
      </w:r>
    </w:p>
    <w:p w14:paraId="2FB86C83" w14:textId="77777777" w:rsidR="00DD0428" w:rsidRPr="00B20AC1" w:rsidRDefault="00DD0428" w:rsidP="00B20AC1">
      <w:pPr>
        <w:pStyle w:val="opplisting"/>
      </w:pPr>
      <w:r w:rsidRPr="00B20AC1">
        <w:t>Fi</w:t>
      </w:r>
      <w:r w:rsidRPr="00B20AC1">
        <w:t>nanstilsynet</w:t>
      </w:r>
    </w:p>
    <w:p w14:paraId="5127B5EE" w14:textId="77777777" w:rsidR="00DD0428" w:rsidRPr="00B20AC1" w:rsidRDefault="00DD0428" w:rsidP="00B20AC1">
      <w:pPr>
        <w:pStyle w:val="opplisting"/>
      </w:pPr>
      <w:r w:rsidRPr="00B20AC1">
        <w:t>Forbrukerrådet</w:t>
      </w:r>
    </w:p>
    <w:p w14:paraId="7B7B4B37" w14:textId="77777777" w:rsidR="00DD0428" w:rsidRPr="00B20AC1" w:rsidRDefault="00DD0428" w:rsidP="00B20AC1">
      <w:pPr>
        <w:pStyle w:val="opplisting"/>
      </w:pPr>
      <w:r w:rsidRPr="00B20AC1">
        <w:t>Helsedirektoratet</w:t>
      </w:r>
    </w:p>
    <w:p w14:paraId="4401826E" w14:textId="77777777" w:rsidR="00DD0428" w:rsidRPr="00B20AC1" w:rsidRDefault="00DD0428" w:rsidP="00B20AC1">
      <w:pPr>
        <w:pStyle w:val="opplisting"/>
      </w:pPr>
      <w:r w:rsidRPr="00B20AC1">
        <w:t>Konkurransetilsynet</w:t>
      </w:r>
    </w:p>
    <w:p w14:paraId="08F57CC6" w14:textId="77777777" w:rsidR="00DD0428" w:rsidRPr="00B20AC1" w:rsidRDefault="00DD0428" w:rsidP="00B20AC1">
      <w:pPr>
        <w:pStyle w:val="opplisting"/>
      </w:pPr>
      <w:r w:rsidRPr="00B20AC1">
        <w:t>Mattilsynet</w:t>
      </w:r>
    </w:p>
    <w:p w14:paraId="4CC05DFE" w14:textId="77777777" w:rsidR="00DD0428" w:rsidRPr="00B20AC1" w:rsidRDefault="00DD0428" w:rsidP="00B20AC1">
      <w:pPr>
        <w:pStyle w:val="opplisting"/>
      </w:pPr>
      <w:r w:rsidRPr="00B20AC1">
        <w:t>Nasjonal kommunikasjonsmyndighet</w:t>
      </w:r>
    </w:p>
    <w:p w14:paraId="0AE2BD9B" w14:textId="77777777" w:rsidR="00DD0428" w:rsidRPr="00B20AC1" w:rsidRDefault="00DD0428" w:rsidP="00B20AC1">
      <w:pPr>
        <w:pStyle w:val="opplisting"/>
      </w:pPr>
      <w:r w:rsidRPr="00B20AC1">
        <w:t>Nasjonal sikkerhetsmyndighet</w:t>
      </w:r>
    </w:p>
    <w:p w14:paraId="37909F1A" w14:textId="77777777" w:rsidR="00DD0428" w:rsidRPr="00B20AC1" w:rsidRDefault="00DD0428" w:rsidP="00B20AC1">
      <w:pPr>
        <w:pStyle w:val="opplisting"/>
      </w:pPr>
      <w:r w:rsidRPr="00B20AC1">
        <w:t>Nasjonalt ID-senter</w:t>
      </w:r>
    </w:p>
    <w:p w14:paraId="42348056" w14:textId="77777777" w:rsidR="00DD0428" w:rsidRPr="00B20AC1" w:rsidRDefault="00DD0428" w:rsidP="00B20AC1">
      <w:pPr>
        <w:pStyle w:val="opplisting"/>
      </w:pPr>
      <w:r w:rsidRPr="00B20AC1">
        <w:t>Norges forskningsråd</w:t>
      </w:r>
    </w:p>
    <w:p w14:paraId="732C3F8D" w14:textId="77777777" w:rsidR="00DD0428" w:rsidRPr="00B20AC1" w:rsidRDefault="00DD0428" w:rsidP="00B20AC1">
      <w:pPr>
        <w:pStyle w:val="opplisting"/>
      </w:pPr>
      <w:r w:rsidRPr="00B20AC1">
        <w:t>Politidirektoratet</w:t>
      </w:r>
    </w:p>
    <w:p w14:paraId="038EFC09" w14:textId="77777777" w:rsidR="00DD0428" w:rsidRPr="00B20AC1" w:rsidRDefault="00DD0428" w:rsidP="00B20AC1">
      <w:pPr>
        <w:pStyle w:val="opplisting"/>
      </w:pPr>
      <w:r w:rsidRPr="00B20AC1">
        <w:t>Politiets utlendingsenhet</w:t>
      </w:r>
    </w:p>
    <w:p w14:paraId="1F67A9D5" w14:textId="77777777" w:rsidR="00DD0428" w:rsidRPr="00B20AC1" w:rsidRDefault="00DD0428" w:rsidP="00B20AC1">
      <w:pPr>
        <w:pStyle w:val="opplisting"/>
      </w:pPr>
      <w:r w:rsidRPr="00B20AC1">
        <w:t>Skattedirektoratet</w:t>
      </w:r>
    </w:p>
    <w:p w14:paraId="66EB0B92" w14:textId="77777777" w:rsidR="00DD0428" w:rsidRPr="00B20AC1" w:rsidRDefault="00DD0428" w:rsidP="00B20AC1">
      <w:pPr>
        <w:pStyle w:val="opplisting"/>
      </w:pPr>
      <w:r w:rsidRPr="00B20AC1">
        <w:t>Statens kartverk</w:t>
      </w:r>
    </w:p>
    <w:p w14:paraId="6227CCE8" w14:textId="77777777" w:rsidR="00DD0428" w:rsidRPr="00B20AC1" w:rsidRDefault="00DD0428" w:rsidP="00B20AC1">
      <w:pPr>
        <w:pStyle w:val="opplisting"/>
      </w:pPr>
      <w:r w:rsidRPr="00B20AC1">
        <w:t>Statens sivilrettsforvaltning</w:t>
      </w:r>
    </w:p>
    <w:p w14:paraId="2BECDD90" w14:textId="77777777" w:rsidR="00DD0428" w:rsidRPr="00B20AC1" w:rsidRDefault="00DD0428" w:rsidP="00B20AC1">
      <w:pPr>
        <w:pStyle w:val="opplisting"/>
      </w:pPr>
      <w:r w:rsidRPr="00B20AC1">
        <w:t>Statsforvalterens fellestjenester</w:t>
      </w:r>
    </w:p>
    <w:p w14:paraId="38FCABC3" w14:textId="77777777" w:rsidR="00DD0428" w:rsidRPr="00B20AC1" w:rsidRDefault="00DD0428" w:rsidP="00B20AC1">
      <w:pPr>
        <w:pStyle w:val="opplisting"/>
      </w:pPr>
      <w:r w:rsidRPr="00B20AC1">
        <w:t>Utdanningsdirektoratet</w:t>
      </w:r>
    </w:p>
    <w:p w14:paraId="5056387F" w14:textId="77777777" w:rsidR="00DD0428" w:rsidRPr="00B20AC1" w:rsidRDefault="00DD0428" w:rsidP="00B20AC1"/>
    <w:p w14:paraId="16C2461E" w14:textId="77777777" w:rsidR="00DD0428" w:rsidRPr="00B20AC1" w:rsidRDefault="00DD0428" w:rsidP="00B20AC1">
      <w:pPr>
        <w:pStyle w:val="opplisting"/>
      </w:pPr>
      <w:r w:rsidRPr="00B20AC1">
        <w:t>Bergen kommune</w:t>
      </w:r>
    </w:p>
    <w:p w14:paraId="3608A88B" w14:textId="77777777" w:rsidR="00DD0428" w:rsidRPr="00B20AC1" w:rsidRDefault="00DD0428" w:rsidP="00B20AC1">
      <w:pPr>
        <w:pStyle w:val="opplisting"/>
      </w:pPr>
      <w:r w:rsidRPr="00B20AC1">
        <w:t>Drammen kommune</w:t>
      </w:r>
    </w:p>
    <w:p w14:paraId="0536A674" w14:textId="77777777" w:rsidR="00DD0428" w:rsidRPr="00B20AC1" w:rsidRDefault="00DD0428" w:rsidP="00B20AC1">
      <w:pPr>
        <w:pStyle w:val="opplisting"/>
      </w:pPr>
      <w:r w:rsidRPr="00B20AC1">
        <w:t>Halden kommune</w:t>
      </w:r>
    </w:p>
    <w:p w14:paraId="1C9C6E55" w14:textId="77777777" w:rsidR="00DD0428" w:rsidRPr="00B20AC1" w:rsidRDefault="00DD0428" w:rsidP="00B20AC1">
      <w:pPr>
        <w:pStyle w:val="opplisting"/>
      </w:pPr>
      <w:r w:rsidRPr="00B20AC1">
        <w:t>Oslo kommune</w:t>
      </w:r>
    </w:p>
    <w:p w14:paraId="38418394" w14:textId="77777777" w:rsidR="00DD0428" w:rsidRPr="00B20AC1" w:rsidRDefault="00DD0428" w:rsidP="00B20AC1"/>
    <w:p w14:paraId="4461904B" w14:textId="77777777" w:rsidR="00DD0428" w:rsidRPr="00B20AC1" w:rsidRDefault="00DD0428" w:rsidP="00B20AC1">
      <w:pPr>
        <w:pStyle w:val="opplisting"/>
      </w:pPr>
      <w:r w:rsidRPr="00B20AC1">
        <w:t>Helse Midt-Norge RHF</w:t>
      </w:r>
    </w:p>
    <w:p w14:paraId="6DE96AAE" w14:textId="77777777" w:rsidR="00DD0428" w:rsidRPr="00B20AC1" w:rsidRDefault="00DD0428" w:rsidP="00B20AC1">
      <w:pPr>
        <w:pStyle w:val="opplisting"/>
      </w:pPr>
      <w:r w:rsidRPr="00B20AC1">
        <w:t>Helse Nord RHF</w:t>
      </w:r>
    </w:p>
    <w:p w14:paraId="2EAE8275" w14:textId="77777777" w:rsidR="00DD0428" w:rsidRPr="00B20AC1" w:rsidRDefault="00DD0428" w:rsidP="00B20AC1">
      <w:pPr>
        <w:pStyle w:val="opplisting"/>
      </w:pPr>
      <w:r w:rsidRPr="00B20AC1">
        <w:t>Helse Sør-Øst RHF</w:t>
      </w:r>
    </w:p>
    <w:p w14:paraId="77CF960C" w14:textId="77777777" w:rsidR="00DD0428" w:rsidRPr="00B20AC1" w:rsidRDefault="00DD0428" w:rsidP="00B20AC1">
      <w:pPr>
        <w:pStyle w:val="opplisting"/>
      </w:pPr>
      <w:r w:rsidRPr="00B20AC1">
        <w:t>Helse Vest RHF</w:t>
      </w:r>
    </w:p>
    <w:p w14:paraId="71BC3880" w14:textId="77777777" w:rsidR="00DD0428" w:rsidRPr="00B20AC1" w:rsidRDefault="00DD0428" w:rsidP="00B20AC1">
      <w:pPr>
        <w:pStyle w:val="opplisting"/>
      </w:pPr>
      <w:r w:rsidRPr="00B20AC1">
        <w:t xml:space="preserve">KS </w:t>
      </w:r>
      <w:r w:rsidRPr="00B20AC1">
        <w:t>– Kommunesektorens organisasjon</w:t>
      </w:r>
    </w:p>
    <w:p w14:paraId="5CD0874D" w14:textId="77777777" w:rsidR="00DD0428" w:rsidRPr="00B20AC1" w:rsidRDefault="00DD0428" w:rsidP="00B20AC1">
      <w:pPr>
        <w:pStyle w:val="opplisting"/>
      </w:pPr>
      <w:r w:rsidRPr="00B20AC1">
        <w:t>Norges teknisknaturvitenskapelige universitet</w:t>
      </w:r>
    </w:p>
    <w:p w14:paraId="46E3781A" w14:textId="77777777" w:rsidR="00DD0428" w:rsidRPr="00B20AC1" w:rsidRDefault="00DD0428" w:rsidP="00B20AC1">
      <w:pPr>
        <w:pStyle w:val="opplisting"/>
      </w:pPr>
      <w:r w:rsidRPr="00B20AC1">
        <w:t>Nord Universitet</w:t>
      </w:r>
    </w:p>
    <w:p w14:paraId="1F836333" w14:textId="77777777" w:rsidR="00DD0428" w:rsidRPr="00B20AC1" w:rsidRDefault="00DD0428" w:rsidP="00B20AC1">
      <w:pPr>
        <w:pStyle w:val="opplisting"/>
      </w:pPr>
      <w:r w:rsidRPr="00B20AC1">
        <w:t>Norsk helsenett</w:t>
      </w:r>
    </w:p>
    <w:p w14:paraId="0E8168A2" w14:textId="77777777" w:rsidR="00DD0428" w:rsidRPr="00B20AC1" w:rsidRDefault="00DD0428" w:rsidP="00B20AC1">
      <w:pPr>
        <w:pStyle w:val="opplisting"/>
      </w:pPr>
      <w:r w:rsidRPr="00B20AC1">
        <w:t>Universitetet i Agder</w:t>
      </w:r>
    </w:p>
    <w:p w14:paraId="1597BECF" w14:textId="77777777" w:rsidR="00DD0428" w:rsidRPr="00B20AC1" w:rsidRDefault="00DD0428" w:rsidP="00B20AC1">
      <w:pPr>
        <w:pStyle w:val="opplisting"/>
      </w:pPr>
      <w:r w:rsidRPr="00B20AC1">
        <w:t>Universitetet i Oslo</w:t>
      </w:r>
    </w:p>
    <w:p w14:paraId="797FC843" w14:textId="77777777" w:rsidR="00DD0428" w:rsidRPr="00B20AC1" w:rsidRDefault="00DD0428" w:rsidP="00B20AC1">
      <w:pPr>
        <w:pStyle w:val="opplisting"/>
      </w:pPr>
      <w:r w:rsidRPr="00B20AC1">
        <w:t>Universitetet i Stavanger</w:t>
      </w:r>
    </w:p>
    <w:p w14:paraId="3632B3F7" w14:textId="77777777" w:rsidR="00DD0428" w:rsidRPr="00B20AC1" w:rsidRDefault="00DD0428" w:rsidP="00B20AC1">
      <w:pPr>
        <w:pStyle w:val="opplisting"/>
      </w:pPr>
      <w:r w:rsidRPr="00B20AC1">
        <w:t>Universitetet i Sørøst-Norge</w:t>
      </w:r>
    </w:p>
    <w:p w14:paraId="522EEDDC" w14:textId="77777777" w:rsidR="00DD0428" w:rsidRPr="00B20AC1" w:rsidRDefault="00DD0428" w:rsidP="00B20AC1"/>
    <w:p w14:paraId="6D67F6AC" w14:textId="77777777" w:rsidR="00DD0428" w:rsidRPr="00B20AC1" w:rsidRDefault="00DD0428" w:rsidP="00B20AC1">
      <w:pPr>
        <w:pStyle w:val="opplisting"/>
      </w:pPr>
      <w:r w:rsidRPr="00B20AC1">
        <w:t>Apotekerforeningen</w:t>
      </w:r>
    </w:p>
    <w:p w14:paraId="486F17F3" w14:textId="77777777" w:rsidR="00DD0428" w:rsidRPr="00B20AC1" w:rsidRDefault="00DD0428" w:rsidP="00B20AC1">
      <w:pPr>
        <w:pStyle w:val="opplisting"/>
      </w:pPr>
      <w:proofErr w:type="spellStart"/>
      <w:r w:rsidRPr="00B20AC1">
        <w:t>BankID</w:t>
      </w:r>
      <w:proofErr w:type="spellEnd"/>
      <w:r w:rsidRPr="00B20AC1">
        <w:t xml:space="preserve"> </w:t>
      </w:r>
      <w:proofErr w:type="spellStart"/>
      <w:r w:rsidRPr="00B20AC1">
        <w:t>BankAxept</w:t>
      </w:r>
      <w:proofErr w:type="spellEnd"/>
      <w:r w:rsidRPr="00B20AC1">
        <w:t xml:space="preserve"> AS</w:t>
      </w:r>
    </w:p>
    <w:p w14:paraId="68F69BAB" w14:textId="77777777" w:rsidR="00DD0428" w:rsidRPr="00B20AC1" w:rsidRDefault="00DD0428" w:rsidP="00B20AC1">
      <w:pPr>
        <w:pStyle w:val="opplisting"/>
      </w:pPr>
      <w:r w:rsidRPr="00B20AC1">
        <w:t>Bits AS</w:t>
      </w:r>
    </w:p>
    <w:p w14:paraId="57BED985" w14:textId="77777777" w:rsidR="00DD0428" w:rsidRPr="00B20AC1" w:rsidRDefault="00DD0428" w:rsidP="00B20AC1">
      <w:pPr>
        <w:pStyle w:val="opplisting"/>
      </w:pPr>
      <w:proofErr w:type="spellStart"/>
      <w:r w:rsidRPr="00B20AC1">
        <w:t>Commfides</w:t>
      </w:r>
      <w:proofErr w:type="spellEnd"/>
      <w:r w:rsidRPr="00B20AC1">
        <w:t xml:space="preserve"> Norge AS</w:t>
      </w:r>
    </w:p>
    <w:p w14:paraId="4FAB9A75" w14:textId="77777777" w:rsidR="00DD0428" w:rsidRPr="00B20AC1" w:rsidRDefault="00DD0428" w:rsidP="00B20AC1">
      <w:pPr>
        <w:pStyle w:val="opplisting"/>
      </w:pPr>
      <w:r w:rsidRPr="00B20AC1">
        <w:t>Delta</w:t>
      </w:r>
    </w:p>
    <w:p w14:paraId="05515DDD" w14:textId="77777777" w:rsidR="00DD0428" w:rsidRPr="00B20AC1" w:rsidRDefault="00DD0428" w:rsidP="00B20AC1">
      <w:pPr>
        <w:pStyle w:val="opplisting"/>
      </w:pPr>
      <w:r w:rsidRPr="00B20AC1">
        <w:t>Den norske advokatforening</w:t>
      </w:r>
    </w:p>
    <w:p w14:paraId="1D8A9538" w14:textId="77777777" w:rsidR="00DD0428" w:rsidRPr="00B20AC1" w:rsidRDefault="00DD0428" w:rsidP="00B20AC1">
      <w:pPr>
        <w:pStyle w:val="opplisting"/>
      </w:pPr>
      <w:r w:rsidRPr="00B20AC1">
        <w:t>Den norske dataforening</w:t>
      </w:r>
    </w:p>
    <w:p w14:paraId="688B4614" w14:textId="77777777" w:rsidR="00DD0428" w:rsidRPr="00B20AC1" w:rsidRDefault="00DD0428" w:rsidP="00B20AC1">
      <w:pPr>
        <w:pStyle w:val="opplisting"/>
      </w:pPr>
      <w:r w:rsidRPr="00B20AC1">
        <w:lastRenderedPageBreak/>
        <w:t>Finans Norge</w:t>
      </w:r>
    </w:p>
    <w:p w14:paraId="420C6B12" w14:textId="77777777" w:rsidR="00DD0428" w:rsidRPr="00B20AC1" w:rsidRDefault="00DD0428" w:rsidP="00B20AC1">
      <w:pPr>
        <w:pStyle w:val="opplisting"/>
      </w:pPr>
      <w:r w:rsidRPr="00B20AC1">
        <w:t>Foreningen mot deling av helsedata</w:t>
      </w:r>
    </w:p>
    <w:p w14:paraId="71746A67" w14:textId="77777777" w:rsidR="00DD0428" w:rsidRPr="00B20AC1" w:rsidRDefault="00DD0428" w:rsidP="00B20AC1">
      <w:pPr>
        <w:pStyle w:val="opplisting"/>
      </w:pPr>
      <w:r w:rsidRPr="00B20AC1">
        <w:t>Frihetspartiet</w:t>
      </w:r>
    </w:p>
    <w:p w14:paraId="1A22DB98" w14:textId="77777777" w:rsidR="00DD0428" w:rsidRPr="00B20AC1" w:rsidRDefault="00DD0428" w:rsidP="00B20AC1">
      <w:pPr>
        <w:pStyle w:val="opplisting"/>
      </w:pPr>
      <w:r w:rsidRPr="00B20AC1">
        <w:t>Funksjonshemmedes fellesorganisasjon</w:t>
      </w:r>
    </w:p>
    <w:p w14:paraId="464F1888" w14:textId="77777777" w:rsidR="00DD0428" w:rsidRPr="00B20AC1" w:rsidRDefault="00DD0428" w:rsidP="00B20AC1">
      <w:pPr>
        <w:pStyle w:val="opplisting"/>
      </w:pPr>
      <w:r w:rsidRPr="00B20AC1">
        <w:t>Landsorganisasjonen i Norge</w:t>
      </w:r>
    </w:p>
    <w:p w14:paraId="636CE9BA" w14:textId="77777777" w:rsidR="00DD0428" w:rsidRPr="00B20AC1" w:rsidRDefault="00DD0428" w:rsidP="00B20AC1">
      <w:pPr>
        <w:pStyle w:val="opplisting"/>
      </w:pPr>
      <w:r w:rsidRPr="00B20AC1">
        <w:t>Norsk organisasjon for asylsøkere</w:t>
      </w:r>
    </w:p>
    <w:p w14:paraId="644F79FB" w14:textId="77777777" w:rsidR="00DD0428" w:rsidRPr="00B20AC1" w:rsidRDefault="00DD0428" w:rsidP="00B20AC1">
      <w:pPr>
        <w:pStyle w:val="opplisting"/>
      </w:pPr>
      <w:r w:rsidRPr="00B20AC1">
        <w:t>Samarbeids</w:t>
      </w:r>
      <w:r w:rsidRPr="00B20AC1">
        <w:t>forumet av funksjonshemmedes organisasjoner</w:t>
      </w:r>
    </w:p>
    <w:p w14:paraId="58078439" w14:textId="77777777" w:rsidR="00DD0428" w:rsidRPr="00B20AC1" w:rsidRDefault="00DD0428" w:rsidP="00B20AC1">
      <w:pPr>
        <w:pStyle w:val="opplisting"/>
      </w:pPr>
      <w:r w:rsidRPr="00B20AC1">
        <w:t>SIKT – kunnskapssektorens tjenesteleverandør</w:t>
      </w:r>
    </w:p>
    <w:p w14:paraId="33686A15" w14:textId="77777777" w:rsidR="00DD0428" w:rsidRPr="00B20AC1" w:rsidRDefault="00DD0428" w:rsidP="00B20AC1">
      <w:pPr>
        <w:pStyle w:val="opplisting"/>
      </w:pPr>
      <w:r w:rsidRPr="00B20AC1">
        <w:t>SMB Norge</w:t>
      </w:r>
    </w:p>
    <w:p w14:paraId="47BA6645" w14:textId="77777777" w:rsidR="00DD0428" w:rsidRPr="00B20AC1" w:rsidRDefault="00DD0428" w:rsidP="00B20AC1">
      <w:pPr>
        <w:pStyle w:val="opplisting"/>
      </w:pPr>
      <w:r w:rsidRPr="00B20AC1">
        <w:t>Syv privatpersoner</w:t>
      </w:r>
    </w:p>
    <w:p w14:paraId="54F23936" w14:textId="77777777" w:rsidR="00DD0428" w:rsidRPr="00B20AC1" w:rsidRDefault="00DD0428" w:rsidP="00B20AC1">
      <w:r w:rsidRPr="00B20AC1">
        <w:t>Departementet mottok 19 høringssvar. Følgende instanser hadde merknader til forslaget:</w:t>
      </w:r>
    </w:p>
    <w:p w14:paraId="6B89A5C8" w14:textId="77777777" w:rsidR="00DD0428" w:rsidRPr="00B20AC1" w:rsidRDefault="00DD0428" w:rsidP="00B20AC1">
      <w:pPr>
        <w:pStyle w:val="opplisting"/>
      </w:pPr>
      <w:r w:rsidRPr="00B20AC1">
        <w:t>Forsvarsdepartementet</w:t>
      </w:r>
    </w:p>
    <w:p w14:paraId="1AA9C958" w14:textId="77777777" w:rsidR="00DD0428" w:rsidRPr="00B20AC1" w:rsidRDefault="00DD0428" w:rsidP="00B20AC1">
      <w:pPr>
        <w:pStyle w:val="opplisting"/>
      </w:pPr>
      <w:r w:rsidRPr="00B20AC1">
        <w:t>Datatilsynet</w:t>
      </w:r>
    </w:p>
    <w:p w14:paraId="7E9DE6CB" w14:textId="77777777" w:rsidR="00DD0428" w:rsidRPr="00B20AC1" w:rsidRDefault="00DD0428" w:rsidP="00B20AC1">
      <w:pPr>
        <w:pStyle w:val="opplisting"/>
      </w:pPr>
      <w:r w:rsidRPr="00B20AC1">
        <w:t>Finanstilsynet</w:t>
      </w:r>
    </w:p>
    <w:p w14:paraId="0AABF1EF" w14:textId="77777777" w:rsidR="00DD0428" w:rsidRPr="00B20AC1" w:rsidRDefault="00DD0428" w:rsidP="00B20AC1">
      <w:pPr>
        <w:pStyle w:val="opplisting"/>
      </w:pPr>
      <w:r w:rsidRPr="00B20AC1">
        <w:t>S</w:t>
      </w:r>
      <w:r w:rsidRPr="00B20AC1">
        <w:t>kattedirektoratet</w:t>
      </w:r>
    </w:p>
    <w:p w14:paraId="016D1ECB" w14:textId="77777777" w:rsidR="00DD0428" w:rsidRPr="00B20AC1" w:rsidRDefault="00DD0428" w:rsidP="00B20AC1"/>
    <w:p w14:paraId="5242F15D" w14:textId="77777777" w:rsidR="00DD0428" w:rsidRPr="00B20AC1" w:rsidRDefault="00DD0428" w:rsidP="00B20AC1">
      <w:pPr>
        <w:pStyle w:val="opplisting"/>
      </w:pPr>
      <w:r w:rsidRPr="00B20AC1">
        <w:t>Bergen kommune</w:t>
      </w:r>
    </w:p>
    <w:p w14:paraId="6D326FA6" w14:textId="77777777" w:rsidR="00DD0428" w:rsidRPr="00B20AC1" w:rsidRDefault="00DD0428" w:rsidP="00B20AC1"/>
    <w:p w14:paraId="42F22A11" w14:textId="77777777" w:rsidR="00DD0428" w:rsidRPr="00B20AC1" w:rsidRDefault="00DD0428" w:rsidP="00B20AC1">
      <w:pPr>
        <w:pStyle w:val="opplisting"/>
      </w:pPr>
      <w:proofErr w:type="spellStart"/>
      <w:r w:rsidRPr="00B20AC1">
        <w:t>BankID</w:t>
      </w:r>
      <w:proofErr w:type="spellEnd"/>
      <w:r w:rsidRPr="00B20AC1">
        <w:t xml:space="preserve"> </w:t>
      </w:r>
      <w:proofErr w:type="spellStart"/>
      <w:r w:rsidRPr="00B20AC1">
        <w:t>BankAxept</w:t>
      </w:r>
      <w:proofErr w:type="spellEnd"/>
      <w:r w:rsidRPr="00B20AC1">
        <w:t xml:space="preserve"> AS</w:t>
      </w:r>
    </w:p>
    <w:p w14:paraId="5F44A444" w14:textId="77777777" w:rsidR="00DD0428" w:rsidRPr="00B20AC1" w:rsidRDefault="00DD0428" w:rsidP="00B20AC1">
      <w:pPr>
        <w:pStyle w:val="opplisting"/>
      </w:pPr>
      <w:proofErr w:type="spellStart"/>
      <w:r w:rsidRPr="00B20AC1">
        <w:t>Buypass</w:t>
      </w:r>
      <w:proofErr w:type="spellEnd"/>
      <w:r w:rsidRPr="00B20AC1">
        <w:t xml:space="preserve"> AS</w:t>
      </w:r>
    </w:p>
    <w:p w14:paraId="675EB997" w14:textId="77777777" w:rsidR="00DD0428" w:rsidRPr="00B20AC1" w:rsidRDefault="00DD0428" w:rsidP="00B20AC1">
      <w:pPr>
        <w:pStyle w:val="opplisting"/>
      </w:pPr>
      <w:r w:rsidRPr="00B20AC1">
        <w:t>Foreningen mot deling av helsedata</w:t>
      </w:r>
    </w:p>
    <w:p w14:paraId="3802BD7B" w14:textId="77777777" w:rsidR="00DD0428" w:rsidRPr="00B20AC1" w:rsidRDefault="00DD0428" w:rsidP="00B20AC1">
      <w:pPr>
        <w:pStyle w:val="opplisting"/>
      </w:pPr>
      <w:r w:rsidRPr="00B20AC1">
        <w:t>Frihetspartiet</w:t>
      </w:r>
    </w:p>
    <w:p w14:paraId="5C2BF98A" w14:textId="77777777" w:rsidR="00DD0428" w:rsidRPr="00B20AC1" w:rsidRDefault="00DD0428" w:rsidP="00B20AC1">
      <w:pPr>
        <w:pStyle w:val="opplisting"/>
      </w:pPr>
      <w:r w:rsidRPr="00B20AC1">
        <w:t>Syv privatpersoner</w:t>
      </w:r>
    </w:p>
    <w:p w14:paraId="1E110584" w14:textId="77777777" w:rsidR="00DD0428" w:rsidRPr="00B20AC1" w:rsidRDefault="00DD0428" w:rsidP="00B20AC1">
      <w:pPr>
        <w:pStyle w:val="Overskrift2"/>
      </w:pPr>
      <w:r w:rsidRPr="00B20AC1">
        <w:t>Høringsinstansenes syn</w:t>
      </w:r>
    </w:p>
    <w:p w14:paraId="0E0D5F64" w14:textId="77777777" w:rsidR="00DD0428" w:rsidRPr="00B20AC1" w:rsidRDefault="00DD0428" w:rsidP="00B20AC1">
      <w:r w:rsidRPr="00B20AC1">
        <w:t>De fleste høringsinstansene støtter forslaget til lovendring.</w:t>
      </w:r>
    </w:p>
    <w:p w14:paraId="321128EA" w14:textId="77777777" w:rsidR="00DD0428" w:rsidRPr="00B20AC1" w:rsidRDefault="00DD0428" w:rsidP="00B20AC1">
      <w:pPr>
        <w:rPr>
          <w:rStyle w:val="kursiv"/>
        </w:rPr>
      </w:pPr>
      <w:proofErr w:type="spellStart"/>
      <w:r w:rsidRPr="00B20AC1">
        <w:rPr>
          <w:rStyle w:val="kursiv"/>
        </w:rPr>
        <w:t>Buypass</w:t>
      </w:r>
      <w:proofErr w:type="spellEnd"/>
      <w:r w:rsidRPr="00B20AC1">
        <w:rPr>
          <w:rStyle w:val="kursiv"/>
        </w:rPr>
        <w:t xml:space="preserve"> AS</w:t>
      </w:r>
      <w:r w:rsidRPr="00B20AC1">
        <w:t xml:space="preserve"> er positive til forslaget og mener det er viktig at </w:t>
      </w:r>
      <w:proofErr w:type="spellStart"/>
      <w:r w:rsidRPr="00B20AC1">
        <w:t>eID</w:t>
      </w:r>
      <w:proofErr w:type="spellEnd"/>
      <w:r w:rsidRPr="00B20AC1">
        <w:t xml:space="preserve">-tilbyderne gis permanent tilgang til utenlandske identifikasjonsnumre fra Folkeregisteret for utstedelse av </w:t>
      </w:r>
      <w:proofErr w:type="spellStart"/>
      <w:r w:rsidRPr="00B20AC1">
        <w:t>eID</w:t>
      </w:r>
      <w:proofErr w:type="spellEnd"/>
      <w:r w:rsidRPr="00B20AC1">
        <w:t xml:space="preserve"> til personer registrert med utenlandsk identifikasjonsnummer.</w:t>
      </w:r>
    </w:p>
    <w:p w14:paraId="575B6B94" w14:textId="77777777" w:rsidR="00DD0428" w:rsidRPr="00B20AC1" w:rsidRDefault="00DD0428" w:rsidP="00B20AC1">
      <w:pPr>
        <w:rPr>
          <w:rStyle w:val="kursiv"/>
        </w:rPr>
      </w:pPr>
      <w:proofErr w:type="spellStart"/>
      <w:r w:rsidRPr="00B20AC1">
        <w:rPr>
          <w:rStyle w:val="kursiv"/>
        </w:rPr>
        <w:t>Buypass</w:t>
      </w:r>
      <w:proofErr w:type="spellEnd"/>
      <w:r w:rsidRPr="00B20AC1">
        <w:t xml:space="preserve"> viser til at de h</w:t>
      </w:r>
      <w:r w:rsidRPr="00B20AC1">
        <w:t xml:space="preserve">ar observert mangelfulle data i Folkeregisteret og setter pris på at Skattedirektoratet nå foreslår tiltak som skal bedre datakvaliteten og gjøre det mulig å finne utenlandske identifikasjonsnumre for flere personer enn det vi ser i dag. De påpeker at det </w:t>
      </w:r>
      <w:r w:rsidRPr="00B20AC1">
        <w:t>er viktig at identitetsforvaltningen i Norge er helhetlig og god og at dette vil være et viktig tiltak i så måte.</w:t>
      </w:r>
    </w:p>
    <w:p w14:paraId="693AED0C" w14:textId="77777777" w:rsidR="00DD0428" w:rsidRPr="00B20AC1" w:rsidRDefault="00DD0428" w:rsidP="00B20AC1">
      <w:proofErr w:type="spellStart"/>
      <w:r w:rsidRPr="00B20AC1">
        <w:rPr>
          <w:rStyle w:val="kursiv"/>
        </w:rPr>
        <w:t>BankID</w:t>
      </w:r>
      <w:proofErr w:type="spellEnd"/>
      <w:r w:rsidRPr="00B20AC1">
        <w:rPr>
          <w:rStyle w:val="kursiv"/>
        </w:rPr>
        <w:t xml:space="preserve"> </w:t>
      </w:r>
      <w:proofErr w:type="spellStart"/>
      <w:r w:rsidRPr="00B20AC1">
        <w:rPr>
          <w:rStyle w:val="kursiv"/>
        </w:rPr>
        <w:t>BankAxept</w:t>
      </w:r>
      <w:proofErr w:type="spellEnd"/>
      <w:r w:rsidRPr="00B20AC1">
        <w:rPr>
          <w:rStyle w:val="kursiv"/>
        </w:rPr>
        <w:t xml:space="preserve"> AS</w:t>
      </w:r>
      <w:r w:rsidRPr="00B20AC1">
        <w:t xml:space="preserve"> støtter høringsforslaget og viser til at muligheten for </w:t>
      </w:r>
      <w:proofErr w:type="spellStart"/>
      <w:r w:rsidRPr="00B20AC1">
        <w:t>eID</w:t>
      </w:r>
      <w:proofErr w:type="spellEnd"/>
      <w:r w:rsidRPr="00B20AC1">
        <w:t>-utstedere til å innhente utenlandske identifikasjonsnumre i no</w:t>
      </w:r>
      <w:r w:rsidRPr="00B20AC1">
        <w:t xml:space="preserve">en tilfeller kan gi bedre identitetskontroll og dermed muliggjøre </w:t>
      </w:r>
      <w:proofErr w:type="spellStart"/>
      <w:r w:rsidRPr="00B20AC1">
        <w:t>eID</w:t>
      </w:r>
      <w:proofErr w:type="spellEnd"/>
      <w:r w:rsidRPr="00B20AC1">
        <w:t xml:space="preserve">-utstedelse til enkelte grupper som i dag har utfordringer med å få </w:t>
      </w:r>
      <w:proofErr w:type="spellStart"/>
      <w:r w:rsidRPr="00B20AC1">
        <w:t>eID</w:t>
      </w:r>
      <w:proofErr w:type="spellEnd"/>
      <w:r w:rsidRPr="00B20AC1">
        <w:t>.</w:t>
      </w:r>
    </w:p>
    <w:p w14:paraId="14A4CEDD" w14:textId="77777777" w:rsidR="00DD0428" w:rsidRPr="00B20AC1" w:rsidRDefault="00DD0428" w:rsidP="00B20AC1">
      <w:pPr>
        <w:rPr>
          <w:rStyle w:val="kursiv"/>
        </w:rPr>
      </w:pPr>
      <w:r w:rsidRPr="00B20AC1">
        <w:rPr>
          <w:rStyle w:val="kursiv"/>
        </w:rPr>
        <w:t>Oslo kommune</w:t>
      </w:r>
      <w:r w:rsidRPr="00B20AC1">
        <w:t xml:space="preserve"> støtter forslaget og er positive til at typen av opplysninger som kan innhentes skal spesifiseres i f</w:t>
      </w:r>
      <w:r w:rsidRPr="00B20AC1">
        <w:t xml:space="preserve">orskrift. </w:t>
      </w:r>
      <w:r w:rsidRPr="00B20AC1">
        <w:rPr>
          <w:rStyle w:val="kursiv"/>
        </w:rPr>
        <w:t>Oslo kommune</w:t>
      </w:r>
      <w:r w:rsidRPr="00B20AC1">
        <w:t xml:space="preserve"> påpeker at adgang for </w:t>
      </w:r>
      <w:proofErr w:type="spellStart"/>
      <w:r w:rsidRPr="00B20AC1">
        <w:t>eID</w:t>
      </w:r>
      <w:proofErr w:type="spellEnd"/>
      <w:r w:rsidRPr="00B20AC1">
        <w:t xml:space="preserve">-utstedere til å få tilgang til opplysninger om utenlandske identifikasjonsnumre fra Folkeregisteret vil gi styrket mulighet for kontroll, og vil sikre at det utstedes </w:t>
      </w:r>
      <w:proofErr w:type="spellStart"/>
      <w:r w:rsidRPr="00B20AC1">
        <w:t>eID</w:t>
      </w:r>
      <w:proofErr w:type="spellEnd"/>
      <w:r w:rsidRPr="00B20AC1">
        <w:t xml:space="preserve"> til rett person som er registrert i </w:t>
      </w:r>
      <w:r w:rsidRPr="00B20AC1">
        <w:t>Folkeregisteret.</w:t>
      </w:r>
    </w:p>
    <w:p w14:paraId="11A09E2C" w14:textId="77777777" w:rsidR="00DD0428" w:rsidRPr="00B20AC1" w:rsidRDefault="00DD0428" w:rsidP="00B20AC1">
      <w:pPr>
        <w:rPr>
          <w:rStyle w:val="kursiv"/>
        </w:rPr>
      </w:pPr>
      <w:r w:rsidRPr="00B20AC1">
        <w:rPr>
          <w:rStyle w:val="kursiv"/>
        </w:rPr>
        <w:t>Oslo kommune</w:t>
      </w:r>
      <w:r w:rsidRPr="00B20AC1">
        <w:t xml:space="preserve"> uttaler videre at å sørge for at personopplysninger kobles til rett person er i tråd med personvernprinsippet om at personopplysninger skal være korrekte og oppdaterte, og at det faktum at innhenting av opplysninger om utenlan</w:t>
      </w:r>
      <w:r w:rsidRPr="00B20AC1">
        <w:t>dske identifikasjonsnumre skjer i begrenset grad i dag, ikke er god nok grunn til å fjerne muligheten for innhenting.</w:t>
      </w:r>
    </w:p>
    <w:p w14:paraId="59E0C610" w14:textId="77777777" w:rsidR="00DD0428" w:rsidRPr="00B20AC1" w:rsidRDefault="00DD0428" w:rsidP="00B20AC1">
      <w:pPr>
        <w:rPr>
          <w:rStyle w:val="kursiv"/>
        </w:rPr>
      </w:pPr>
      <w:r w:rsidRPr="00B20AC1">
        <w:rPr>
          <w:rStyle w:val="kursiv"/>
        </w:rPr>
        <w:t>Oslo kommune</w:t>
      </w:r>
      <w:r w:rsidRPr="00B20AC1">
        <w:t xml:space="preserve"> uttaler også at de er enige i at hjemmelen som foreslås for </w:t>
      </w:r>
      <w:proofErr w:type="spellStart"/>
      <w:r w:rsidRPr="00B20AC1">
        <w:t>eID</w:t>
      </w:r>
      <w:proofErr w:type="spellEnd"/>
      <w:r w:rsidRPr="00B20AC1">
        <w:t>-tilbydere avgrenses til å gjelde innhenting av opplysninger o</w:t>
      </w:r>
      <w:r w:rsidRPr="00B20AC1">
        <w:t xml:space="preserve">m utenlandske identifikasjonsnumre, og at hjemmelen ev. kan utvides etter hvert dersom </w:t>
      </w:r>
      <w:proofErr w:type="spellStart"/>
      <w:r w:rsidRPr="00B20AC1">
        <w:t>eID</w:t>
      </w:r>
      <w:proofErr w:type="spellEnd"/>
      <w:r w:rsidRPr="00B20AC1">
        <w:t>-tilbyderne fremover vil ha behov for ytterligere opplysninger.</w:t>
      </w:r>
    </w:p>
    <w:p w14:paraId="1F1B49FA" w14:textId="77777777" w:rsidR="00DD0428" w:rsidRPr="00B20AC1" w:rsidRDefault="00DD0428" w:rsidP="00B20AC1">
      <w:pPr>
        <w:rPr>
          <w:rStyle w:val="kursiv"/>
        </w:rPr>
      </w:pPr>
      <w:r w:rsidRPr="00B20AC1">
        <w:rPr>
          <w:rStyle w:val="kursiv"/>
        </w:rPr>
        <w:t>Bergen kommune</w:t>
      </w:r>
      <w:r w:rsidRPr="00B20AC1">
        <w:t xml:space="preserve"> finner at forslaget er godt begrunnet og at departementet har gjort vurderinger av regi</w:t>
      </w:r>
      <w:r w:rsidRPr="00B20AC1">
        <w:t xml:space="preserve">strertes personvern, men etterlyser en presisering av hvilke formål utenlandske identifikasjonsnumre kan innhentes for i selvdeklarasjonsforskriften § 18 nytt fjerde punktum, da dette etter </w:t>
      </w:r>
      <w:r w:rsidRPr="00B20AC1">
        <w:rPr>
          <w:rStyle w:val="kursiv"/>
        </w:rPr>
        <w:t>Bergen kommunes</w:t>
      </w:r>
      <w:r w:rsidRPr="00B20AC1">
        <w:t xml:space="preserve"> </w:t>
      </w:r>
      <w:r w:rsidRPr="00B20AC1">
        <w:lastRenderedPageBreak/>
        <w:t>oppfatning vil styrke forskriftens klarhet og foru</w:t>
      </w:r>
      <w:r w:rsidRPr="00B20AC1">
        <w:t xml:space="preserve">tberegnelighet. </w:t>
      </w:r>
      <w:r w:rsidRPr="00B20AC1">
        <w:rPr>
          <w:rStyle w:val="kursiv"/>
        </w:rPr>
        <w:t>Bergen kommune</w:t>
      </w:r>
      <w:r w:rsidRPr="00B20AC1">
        <w:t xml:space="preserve"> støtter departementets vurdering av at dataminimeringsprinsippet tilsier at det bør utarbeides nye rettighetspakker.</w:t>
      </w:r>
    </w:p>
    <w:p w14:paraId="74F1C074" w14:textId="77777777" w:rsidR="00DD0428" w:rsidRPr="00B20AC1" w:rsidRDefault="00DD0428" w:rsidP="00B20AC1">
      <w:pPr>
        <w:rPr>
          <w:rStyle w:val="kursiv"/>
        </w:rPr>
      </w:pPr>
      <w:r w:rsidRPr="00B20AC1">
        <w:rPr>
          <w:rStyle w:val="kursiv"/>
        </w:rPr>
        <w:t>Politidirektoratet</w:t>
      </w:r>
      <w:r w:rsidRPr="00B20AC1">
        <w:t xml:space="preserve"> støtter de foreslåt</w:t>
      </w:r>
      <w:r w:rsidRPr="00B20AC1">
        <w:t xml:space="preserve">te lov- og forskriftsendringene som vil innebære at </w:t>
      </w:r>
      <w:proofErr w:type="spellStart"/>
      <w:r w:rsidRPr="00B20AC1">
        <w:t>eID</w:t>
      </w:r>
      <w:proofErr w:type="spellEnd"/>
      <w:r w:rsidRPr="00B20AC1">
        <w:t>-tilbydere får en permanent hjemmel til å innhente utenlandsk identifikasjonsnummer i Folkeregisteret.</w:t>
      </w:r>
    </w:p>
    <w:p w14:paraId="79710AAA" w14:textId="77777777" w:rsidR="00DD0428" w:rsidRPr="00B20AC1" w:rsidRDefault="00DD0428" w:rsidP="00B20AC1">
      <w:pPr>
        <w:rPr>
          <w:rStyle w:val="kursiv"/>
        </w:rPr>
      </w:pPr>
      <w:r w:rsidRPr="00B20AC1">
        <w:rPr>
          <w:rStyle w:val="kursiv"/>
        </w:rPr>
        <w:t>Politidirektoratet</w:t>
      </w:r>
      <w:r w:rsidRPr="00B20AC1">
        <w:t xml:space="preserve"> viser til innspill fra </w:t>
      </w:r>
      <w:r w:rsidRPr="00B20AC1">
        <w:rPr>
          <w:rStyle w:val="kursiv"/>
        </w:rPr>
        <w:t>Oslo politidistrikt</w:t>
      </w:r>
      <w:r w:rsidRPr="00B20AC1">
        <w:t xml:space="preserve"> om praksis for registrering av utenl</w:t>
      </w:r>
      <w:r w:rsidRPr="00B20AC1">
        <w:t xml:space="preserve">andsk identifikasjonsnummer og utenlandsk passnummer. </w:t>
      </w:r>
      <w:r w:rsidRPr="00B20AC1">
        <w:rPr>
          <w:rStyle w:val="kursiv"/>
        </w:rPr>
        <w:t>Oslo politidistrikt</w:t>
      </w:r>
      <w:r w:rsidRPr="00B20AC1">
        <w:t xml:space="preserve"> viser til at det ikke blir overført opplysning om utenlandske identifikasjonsnumre fra utlendingsdatabasen til Folkeregisteret, og påpeker at dersom politidistriktet ved utlendingsfo</w:t>
      </w:r>
      <w:r w:rsidRPr="00B20AC1">
        <w:t>rvaltningen i større grad skal bidra med innhenting av slike opplysninger og ha adgang til å utlevere dette til Folkeregisteret, fordrer dette endringer i utlendingsloven.</w:t>
      </w:r>
    </w:p>
    <w:p w14:paraId="00B30496" w14:textId="77777777" w:rsidR="00DD0428" w:rsidRPr="00B20AC1" w:rsidRDefault="00DD0428" w:rsidP="00B20AC1">
      <w:pPr>
        <w:rPr>
          <w:rStyle w:val="kursiv"/>
        </w:rPr>
      </w:pPr>
      <w:r w:rsidRPr="00B20AC1">
        <w:rPr>
          <w:rStyle w:val="kursiv"/>
        </w:rPr>
        <w:t>Politidirektoratet</w:t>
      </w:r>
      <w:r w:rsidRPr="00B20AC1">
        <w:t xml:space="preserve"> viser også til innspill fra </w:t>
      </w:r>
      <w:r w:rsidRPr="00B20AC1">
        <w:rPr>
          <w:rStyle w:val="kursiv"/>
        </w:rPr>
        <w:t>Politiets utlendingsenhet (PU)</w:t>
      </w:r>
      <w:r w:rsidRPr="00B20AC1">
        <w:t xml:space="preserve"> som på</w:t>
      </w:r>
      <w:r w:rsidRPr="00B20AC1">
        <w:t xml:space="preserve">peker at utenlandske </w:t>
      </w:r>
      <w:proofErr w:type="spellStart"/>
      <w:r w:rsidRPr="00B20AC1">
        <w:t>identifkasjonsnumre</w:t>
      </w:r>
      <w:proofErr w:type="spellEnd"/>
      <w:r w:rsidRPr="00B20AC1">
        <w:t xml:space="preserve"> ikke har noen legaldefinisjon og heller ikke et entydig innhold. PU peker på at dette er uheldig med tanke på oppfyllelse av felles europeisk regelverk om elektronisk samhandling og uttaler at det etter deres vurder</w:t>
      </w:r>
      <w:r w:rsidRPr="00B20AC1">
        <w:t>ing bør gis bestemmelser som kan gi nærmere angivelse av innholdet i utenlandske identifikasjonsnumre.</w:t>
      </w:r>
    </w:p>
    <w:p w14:paraId="6EC3A676" w14:textId="77777777" w:rsidR="00DD0428" w:rsidRPr="00B20AC1" w:rsidRDefault="00DD0428" w:rsidP="00B20AC1">
      <w:pPr>
        <w:rPr>
          <w:rStyle w:val="kursiv"/>
        </w:rPr>
      </w:pPr>
      <w:r w:rsidRPr="00B20AC1">
        <w:rPr>
          <w:rStyle w:val="kursiv"/>
        </w:rPr>
        <w:t xml:space="preserve">Politidirektoratet </w:t>
      </w:r>
      <w:r w:rsidRPr="00B20AC1">
        <w:t xml:space="preserve">ber departementet vurdere </w:t>
      </w:r>
      <w:proofErr w:type="spellStart"/>
      <w:r w:rsidRPr="00B20AC1">
        <w:t>PUs</w:t>
      </w:r>
      <w:proofErr w:type="spellEnd"/>
      <w:r w:rsidRPr="00B20AC1">
        <w:t xml:space="preserve"> forslag om at det er behov for en bestemmelse om at departementet i forskrift kan gi bestemmelser om kra</w:t>
      </w:r>
      <w:r w:rsidRPr="00B20AC1">
        <w:t xml:space="preserve">v til opplysningenes kvalitet, herunder konkrete krav til personkontroll og dokumentkontroll, som må gjennomføres både hos folkeregistermyndigheten og hos </w:t>
      </w:r>
      <w:proofErr w:type="spellStart"/>
      <w:r w:rsidRPr="00B20AC1">
        <w:t>eID</w:t>
      </w:r>
      <w:proofErr w:type="spellEnd"/>
      <w:r w:rsidRPr="00B20AC1">
        <w:t>-tilbyderen.</w:t>
      </w:r>
    </w:p>
    <w:p w14:paraId="62D5F101" w14:textId="77777777" w:rsidR="00DD0428" w:rsidRPr="00B20AC1" w:rsidRDefault="00DD0428" w:rsidP="00B20AC1">
      <w:pPr>
        <w:rPr>
          <w:rStyle w:val="kursiv"/>
        </w:rPr>
      </w:pPr>
      <w:r w:rsidRPr="00B20AC1">
        <w:rPr>
          <w:rStyle w:val="kursiv"/>
        </w:rPr>
        <w:t>Finanstilsynet</w:t>
      </w:r>
      <w:r w:rsidRPr="00B20AC1">
        <w:t xml:space="preserve"> støtter forslaget og viser til at en videreføring av den midlertidige </w:t>
      </w:r>
      <w:r w:rsidRPr="00B20AC1">
        <w:t xml:space="preserve">hjemmelen vil innebære en styrket mulighet for kontroll for </w:t>
      </w:r>
      <w:proofErr w:type="spellStart"/>
      <w:r w:rsidRPr="00B20AC1">
        <w:t>eID</w:t>
      </w:r>
      <w:proofErr w:type="spellEnd"/>
      <w:r w:rsidRPr="00B20AC1">
        <w:t xml:space="preserve">-utstederne i forbindelse med utstedelse av </w:t>
      </w:r>
      <w:proofErr w:type="spellStart"/>
      <w:r w:rsidRPr="00B20AC1">
        <w:t>eID</w:t>
      </w:r>
      <w:proofErr w:type="spellEnd"/>
      <w:r w:rsidRPr="00B20AC1">
        <w:t>.</w:t>
      </w:r>
    </w:p>
    <w:p w14:paraId="448BAD92" w14:textId="77777777" w:rsidR="00DD0428" w:rsidRPr="00B20AC1" w:rsidRDefault="00DD0428" w:rsidP="00B20AC1">
      <w:pPr>
        <w:rPr>
          <w:rStyle w:val="kursiv"/>
        </w:rPr>
      </w:pPr>
      <w:r w:rsidRPr="00B20AC1">
        <w:rPr>
          <w:rStyle w:val="kursiv"/>
        </w:rPr>
        <w:t xml:space="preserve">Datatilsynet </w:t>
      </w:r>
      <w:r w:rsidRPr="00B20AC1">
        <w:t xml:space="preserve">mener at forslaget vil være til gunst for registrerte som ønsker å være digitale og påpeker at de ikke kan se noen vesentlig </w:t>
      </w:r>
      <w:proofErr w:type="spellStart"/>
      <w:r w:rsidRPr="00B20AC1">
        <w:t>person</w:t>
      </w:r>
      <w:r w:rsidRPr="00B20AC1">
        <w:t>vernmessig</w:t>
      </w:r>
      <w:proofErr w:type="spellEnd"/>
      <w:r w:rsidRPr="00B20AC1">
        <w:t xml:space="preserve"> grunn til at opplysninger om utenlandske identifikasjonsnumre skal være underlagt andre restriksjoner enn fødsels- og d-nummer. Videre er </w:t>
      </w:r>
      <w:r w:rsidRPr="00B20AC1">
        <w:rPr>
          <w:rStyle w:val="kursiv"/>
        </w:rPr>
        <w:t>Datatilsynet</w:t>
      </w:r>
      <w:r w:rsidRPr="00B20AC1">
        <w:t xml:space="preserve"> positive til at forslaget ikke innebærer innhenting av overskuddsinformasjon, og forutsetter a</w:t>
      </w:r>
      <w:r w:rsidRPr="00B20AC1">
        <w:t>t eventuelle nye rettighetspakker som utvikles vil være i tråd med prinsippet om dataminimering.</w:t>
      </w:r>
    </w:p>
    <w:p w14:paraId="3D8E9DB2" w14:textId="77777777" w:rsidR="00DD0428" w:rsidRPr="00B20AC1" w:rsidRDefault="00DD0428" w:rsidP="00B20AC1">
      <w:pPr>
        <w:rPr>
          <w:rStyle w:val="kursiv"/>
        </w:rPr>
      </w:pPr>
      <w:r w:rsidRPr="00B20AC1">
        <w:rPr>
          <w:rStyle w:val="kursiv"/>
        </w:rPr>
        <w:t>Datatilsynet</w:t>
      </w:r>
      <w:r w:rsidRPr="00B20AC1">
        <w:t xml:space="preserve"> støtter også at det skal fastsettes nærmere i forskrift hvilke opplysningstyper som kan innhentes, siden dette vil gjøre det mer forutsigbart for </w:t>
      </w:r>
      <w:r w:rsidRPr="00B20AC1">
        <w:t xml:space="preserve">de registrerte, så vel som tydelig for tilbyderne av </w:t>
      </w:r>
      <w:proofErr w:type="spellStart"/>
      <w:r w:rsidRPr="00B20AC1">
        <w:t>eID</w:t>
      </w:r>
      <w:proofErr w:type="spellEnd"/>
      <w:r w:rsidRPr="00B20AC1">
        <w:t xml:space="preserve">, hvilke opplysningstyper som er relevante i forbindelse med utstedelse og bruk av </w:t>
      </w:r>
      <w:proofErr w:type="spellStart"/>
      <w:r w:rsidRPr="00B20AC1">
        <w:t>eID</w:t>
      </w:r>
      <w:proofErr w:type="spellEnd"/>
      <w:r w:rsidRPr="00B20AC1">
        <w:t>.</w:t>
      </w:r>
    </w:p>
    <w:p w14:paraId="23447F78" w14:textId="77777777" w:rsidR="00DD0428" w:rsidRPr="00B20AC1" w:rsidRDefault="00DD0428" w:rsidP="00B20AC1">
      <w:pPr>
        <w:rPr>
          <w:rStyle w:val="kursiv"/>
        </w:rPr>
      </w:pPr>
      <w:r w:rsidRPr="00B20AC1">
        <w:rPr>
          <w:rStyle w:val="kursiv"/>
        </w:rPr>
        <w:t xml:space="preserve">Skattedirektoratet </w:t>
      </w:r>
      <w:r w:rsidRPr="00B20AC1">
        <w:t>slutter seg til at utenlandske identifikasjonsnumre vil kunne bidra til sikker og entydig kob</w:t>
      </w:r>
      <w:r w:rsidRPr="00B20AC1">
        <w:t xml:space="preserve">ling til fødsels- eller d-nummer, men påpeker at datakvaliteten på utenlandske identifikasjonsnumre i Folkeregisteret er varierende og </w:t>
      </w:r>
      <w:proofErr w:type="gramStart"/>
      <w:r w:rsidRPr="00B20AC1">
        <w:t>således</w:t>
      </w:r>
      <w:proofErr w:type="gramEnd"/>
      <w:r w:rsidRPr="00B20AC1">
        <w:t xml:space="preserve"> ikke vil kunne gi en slik kobling i alle tilfeller. Skattedirektoratet vil derfor ikke kunne garantere for at kva</w:t>
      </w:r>
      <w:r w:rsidRPr="00B20AC1">
        <w:t xml:space="preserve">liteten er tilstrekkelig for å kunne danne grunnlag for utstedelse av </w:t>
      </w:r>
      <w:proofErr w:type="spellStart"/>
      <w:r w:rsidRPr="00B20AC1">
        <w:t>eID</w:t>
      </w:r>
      <w:proofErr w:type="spellEnd"/>
      <w:r w:rsidRPr="00B20AC1">
        <w:t xml:space="preserve"> på høyt sikkerhetsnivå per i dag.</w:t>
      </w:r>
    </w:p>
    <w:p w14:paraId="15DAF537" w14:textId="77777777" w:rsidR="00DD0428" w:rsidRPr="00B20AC1" w:rsidRDefault="00DD0428" w:rsidP="00B20AC1">
      <w:pPr>
        <w:rPr>
          <w:rStyle w:val="kursiv"/>
        </w:rPr>
      </w:pPr>
      <w:r w:rsidRPr="00B20AC1">
        <w:rPr>
          <w:rStyle w:val="kursiv"/>
        </w:rPr>
        <w:t>Skattedirektoratet</w:t>
      </w:r>
      <w:r w:rsidRPr="00B20AC1">
        <w:t xml:space="preserve"> påpeker at Folkeregisteret inneholder dubletter og falske og fiktive identiteter, at en person kan være registrert med flere føds</w:t>
      </w:r>
      <w:r w:rsidRPr="00B20AC1">
        <w:t>els- eller d-numre og at det kreves tiltak og ajourhold av opplysningene, men at slike kvalitetshevende tiltak ikke vil kunne være på plass innen det foreslåtte ikrafttredelsestidspunktet 1. januar 2024.</w:t>
      </w:r>
    </w:p>
    <w:p w14:paraId="0BFDF190" w14:textId="77777777" w:rsidR="00DD0428" w:rsidRPr="00B20AC1" w:rsidRDefault="00DD0428" w:rsidP="00B20AC1">
      <w:pPr>
        <w:rPr>
          <w:rStyle w:val="kursiv"/>
        </w:rPr>
      </w:pPr>
      <w:r w:rsidRPr="00B20AC1">
        <w:rPr>
          <w:rStyle w:val="kursiv"/>
        </w:rPr>
        <w:t xml:space="preserve">Skattedirektoratet </w:t>
      </w:r>
      <w:r w:rsidRPr="00B20AC1">
        <w:t>skriver i sin høringsuttalelse at</w:t>
      </w:r>
      <w:r w:rsidRPr="00B20AC1">
        <w:t xml:space="preserve"> forslaget innebærer at to nye private aktører får tilgang til utenlandske identifikasjonsnumre fra Folkeregisteret. De viser også til at Digitaliseringsdirektoratets behov for opplysningene vil ivaretas gjennom ny lov om Digitaliseringsdirektoratets tilga</w:t>
      </w:r>
      <w:r w:rsidRPr="00B20AC1">
        <w:t>ng til taushetsbelagte opplysninger i Folkeregisteret.</w:t>
      </w:r>
    </w:p>
    <w:p w14:paraId="2828C5BB" w14:textId="77777777" w:rsidR="00DD0428" w:rsidRPr="00B20AC1" w:rsidRDefault="00DD0428" w:rsidP="00B20AC1">
      <w:pPr>
        <w:rPr>
          <w:rStyle w:val="kursiv"/>
        </w:rPr>
      </w:pPr>
      <w:r w:rsidRPr="00B20AC1">
        <w:rPr>
          <w:rStyle w:val="kursiv"/>
        </w:rPr>
        <w:t xml:space="preserve">Skattedirektoratet </w:t>
      </w:r>
      <w:r w:rsidRPr="00B20AC1">
        <w:t xml:space="preserve">påpeker at utformingen av lovtekst og forskrift vil ha betydning for hvordan </w:t>
      </w:r>
      <w:proofErr w:type="spellStart"/>
      <w:r w:rsidRPr="00B20AC1">
        <w:t>eID</w:t>
      </w:r>
      <w:proofErr w:type="spellEnd"/>
      <w:r w:rsidRPr="00B20AC1">
        <w:t>-tilbyderne skal få tilgang til utenlandske identifikasjonsnumre, og at det i utgangspunktet ikke er ø</w:t>
      </w:r>
      <w:r w:rsidRPr="00B20AC1">
        <w:t xml:space="preserve">nskelig at det utvikles egne rettighetspakker til enkeltkonsumenters behov. Det vises til at forslaget vil innebære at det må utvikles en egen rettighetspakke for </w:t>
      </w:r>
      <w:proofErr w:type="spellStart"/>
      <w:r w:rsidRPr="00B20AC1">
        <w:t>eID</w:t>
      </w:r>
      <w:proofErr w:type="spellEnd"/>
      <w:r w:rsidRPr="00B20AC1">
        <w:t>-tilbydere, og at det er ønskelig at nye rettighetspakker som utvikles er skalerbare og st</w:t>
      </w:r>
      <w:r w:rsidRPr="00B20AC1">
        <w:t>andardiserte, slik at løsningen også kan benyttes til andre formål dersom andre konsumenter får tilsvarende behov i fremtiden.</w:t>
      </w:r>
    </w:p>
    <w:p w14:paraId="3F36550D" w14:textId="77777777" w:rsidR="00DD0428" w:rsidRPr="00B20AC1" w:rsidRDefault="00DD0428" w:rsidP="00B20AC1">
      <w:pPr>
        <w:rPr>
          <w:rStyle w:val="kursiv"/>
        </w:rPr>
      </w:pPr>
      <w:r w:rsidRPr="00B20AC1">
        <w:rPr>
          <w:rStyle w:val="kursiv"/>
        </w:rPr>
        <w:t>Skattedirektoratet</w:t>
      </w:r>
      <w:r w:rsidRPr="00B20AC1">
        <w:t xml:space="preserve"> mener departementet ikke har vurdert tilstrekkelig inngående om kravene i personvernforordningen er oppfylt i </w:t>
      </w:r>
      <w:r w:rsidRPr="00B20AC1">
        <w:t>forbindelse med utlevering av opplysninger fra Folkeregisteret, og viser til at forslaget til permanent hjemmel innebærer mer omfattende behandling av opplysninger om utenlandske identifikasjonsnumre i Folkeregisteret.</w:t>
      </w:r>
    </w:p>
    <w:p w14:paraId="22699D74" w14:textId="77777777" w:rsidR="00DD0428" w:rsidRPr="00B20AC1" w:rsidRDefault="00DD0428" w:rsidP="00B20AC1">
      <w:pPr>
        <w:rPr>
          <w:rStyle w:val="kursiv"/>
        </w:rPr>
      </w:pPr>
      <w:r w:rsidRPr="00B20AC1">
        <w:rPr>
          <w:rStyle w:val="kursiv"/>
        </w:rPr>
        <w:lastRenderedPageBreak/>
        <w:t>Skattedirektoratet</w:t>
      </w:r>
      <w:r w:rsidRPr="00B20AC1">
        <w:t xml:space="preserve"> mener også det er </w:t>
      </w:r>
      <w:r w:rsidRPr="00B20AC1">
        <w:t>uklart om utleveringen er i samsvar med folkeregisterloven § 1-2 tredje punktum, som setter rammer for hva opplysningene i Folkeregisteret kan brukes til, herunder å «ivareta grunnleggende samfunnsbehov», og savner en nærmere redegjørelse for dette i hørin</w:t>
      </w:r>
      <w:r w:rsidRPr="00B20AC1">
        <w:t xml:space="preserve">gsnotatet slik at det kan tas stilling til om utlevering av utenlandske identifikasjonsnumre vil være i </w:t>
      </w:r>
      <w:proofErr w:type="gramStart"/>
      <w:r w:rsidRPr="00B20AC1">
        <w:t>medhold av</w:t>
      </w:r>
      <w:proofErr w:type="gramEnd"/>
      <w:r w:rsidRPr="00B20AC1">
        <w:t xml:space="preserve"> personvernforordningens artikkel 6 nr. 3 eller 4.</w:t>
      </w:r>
    </w:p>
    <w:p w14:paraId="48CA3ACA" w14:textId="77777777" w:rsidR="00DD0428" w:rsidRPr="00B20AC1" w:rsidRDefault="00DD0428" w:rsidP="00B20AC1">
      <w:pPr>
        <w:rPr>
          <w:rStyle w:val="kursiv"/>
        </w:rPr>
      </w:pPr>
      <w:r w:rsidRPr="00B20AC1">
        <w:rPr>
          <w:rStyle w:val="kursiv"/>
        </w:rPr>
        <w:t>Skattedirektoratet</w:t>
      </w:r>
      <w:r w:rsidRPr="00B20AC1">
        <w:t xml:space="preserve"> viser ellers til at det vil være nødvendig å innføre status UNIK i Folke</w:t>
      </w:r>
      <w:r w:rsidRPr="00B20AC1">
        <w:t xml:space="preserve">registeret for å unngå at én fysisk person får tilgang til </w:t>
      </w:r>
      <w:proofErr w:type="spellStart"/>
      <w:r w:rsidRPr="00B20AC1">
        <w:t>eID</w:t>
      </w:r>
      <w:proofErr w:type="spellEnd"/>
      <w:r w:rsidRPr="00B20AC1">
        <w:t xml:space="preserve"> på flere identiteter, og at sammen med nasjonalt ID-kort, vil innføring av status UNIK kunne garantere for at en person kun har én unik identitet registrert i Folkeregisteret og dermed danne et</w:t>
      </w:r>
      <w:r w:rsidRPr="00B20AC1">
        <w:t xml:space="preserve"> sikrere grunnlag for utstedelse av </w:t>
      </w:r>
      <w:proofErr w:type="spellStart"/>
      <w:r w:rsidRPr="00B20AC1">
        <w:t>eID</w:t>
      </w:r>
      <w:proofErr w:type="spellEnd"/>
      <w:r w:rsidRPr="00B20AC1">
        <w:t xml:space="preserve">. </w:t>
      </w:r>
      <w:r w:rsidRPr="00B20AC1">
        <w:rPr>
          <w:rStyle w:val="kursiv"/>
        </w:rPr>
        <w:t>Skattedirektoratet</w:t>
      </w:r>
      <w:r w:rsidRPr="00B20AC1">
        <w:t xml:space="preserve"> viser ellers til at manglende mulighet til å bevise eierskap til norsk identitetsnummer gjelder flere enn EØS-borgere, og at de er usikre på om tilgang til utenlandske identifikasjonsnumre vil løs</w:t>
      </w:r>
      <w:r w:rsidRPr="00B20AC1">
        <w:t xml:space="preserve">e målsettingen i regjeringens </w:t>
      </w:r>
      <w:proofErr w:type="spellStart"/>
      <w:r w:rsidRPr="00B20AC1">
        <w:t>eID</w:t>
      </w:r>
      <w:proofErr w:type="spellEnd"/>
      <w:r w:rsidRPr="00B20AC1">
        <w:t xml:space="preserve">-strategi for offentlig sektor om </w:t>
      </w:r>
      <w:proofErr w:type="spellStart"/>
      <w:r w:rsidRPr="00B20AC1">
        <w:t>eID</w:t>
      </w:r>
      <w:proofErr w:type="spellEnd"/>
      <w:r w:rsidRPr="00B20AC1">
        <w:t xml:space="preserve"> til alle.</w:t>
      </w:r>
    </w:p>
    <w:p w14:paraId="113E3472" w14:textId="77777777" w:rsidR="00DD0428" w:rsidRPr="00B20AC1" w:rsidRDefault="00DD0428" w:rsidP="00B20AC1">
      <w:r w:rsidRPr="00B20AC1">
        <w:t>Syv privatpersoner har uttalt seg mot forslaget, hovedsakelig ut fra personvernhensyn.</w:t>
      </w:r>
    </w:p>
    <w:p w14:paraId="1A6EC3D2" w14:textId="77777777" w:rsidR="00DD0428" w:rsidRPr="00B20AC1" w:rsidRDefault="00DD0428" w:rsidP="00B20AC1">
      <w:pPr>
        <w:pStyle w:val="Overskrift1"/>
      </w:pPr>
      <w:r w:rsidRPr="00B20AC1">
        <w:t>Departementets vurderinger og forslag</w:t>
      </w:r>
    </w:p>
    <w:p w14:paraId="265B10EE" w14:textId="77777777" w:rsidR="00DD0428" w:rsidRPr="00B20AC1" w:rsidRDefault="00DD0428" w:rsidP="00B20AC1">
      <w:r w:rsidRPr="00B20AC1">
        <w:t xml:space="preserve">For utenlandske borgere som ikke har et norsk fødselsnummer, vil det i mange tilfeller kunne utstedes en </w:t>
      </w:r>
      <w:proofErr w:type="spellStart"/>
      <w:r w:rsidRPr="00B20AC1">
        <w:t>eID</w:t>
      </w:r>
      <w:proofErr w:type="spellEnd"/>
      <w:r w:rsidRPr="00B20AC1">
        <w:t xml:space="preserve"> basert på </w:t>
      </w:r>
      <w:proofErr w:type="spellStart"/>
      <w:r w:rsidRPr="00B20AC1">
        <w:t>vedkommendes</w:t>
      </w:r>
      <w:proofErr w:type="spellEnd"/>
      <w:r w:rsidRPr="00B20AC1">
        <w:t xml:space="preserve"> utenlandske identifikasjonspapirer, som regel pass, i kombinasjon med kontroll av at oppgitt d-nummer stemmer overens med hv</w:t>
      </w:r>
      <w:r w:rsidRPr="00B20AC1">
        <w:t>a som er registrert på vedkommende i Folkeregisteret. Departementet har kommet til at forslaget bør følges opp.</w:t>
      </w:r>
    </w:p>
    <w:p w14:paraId="0EA53270" w14:textId="77777777" w:rsidR="00DD0428" w:rsidRPr="00B20AC1" w:rsidRDefault="00DD0428" w:rsidP="00B20AC1">
      <w:r w:rsidRPr="00B20AC1">
        <w:t xml:space="preserve">Utenlandske identifikasjonsnumre skal benyttes som sammenligningsgrunnlag i forbindelse med utstedelse og re-utstedelse av </w:t>
      </w:r>
      <w:proofErr w:type="spellStart"/>
      <w:r w:rsidRPr="00B20AC1">
        <w:t>eID</w:t>
      </w:r>
      <w:proofErr w:type="spellEnd"/>
      <w:r w:rsidRPr="00B20AC1">
        <w:t>, og høringsinnspi</w:t>
      </w:r>
      <w:r w:rsidRPr="00B20AC1">
        <w:t xml:space="preserve">llene fra </w:t>
      </w:r>
      <w:proofErr w:type="spellStart"/>
      <w:r w:rsidRPr="00B20AC1">
        <w:t>eID</w:t>
      </w:r>
      <w:proofErr w:type="spellEnd"/>
      <w:r w:rsidRPr="00B20AC1">
        <w:t>-utstederne viser at det fortsatt foreligger et behov for å kunne innhente denne opplysningen fra Folkeregisteret.</w:t>
      </w:r>
    </w:p>
    <w:p w14:paraId="728C9A19" w14:textId="77777777" w:rsidR="00DD0428" w:rsidRPr="00B20AC1" w:rsidRDefault="00DD0428" w:rsidP="00B20AC1">
      <w:r w:rsidRPr="00B20AC1">
        <w:t xml:space="preserve">Undersøkelsene som ble foretatt av Digitaliseringsdirektoratet og Skattedirektoratet forut for høringen, viser at </w:t>
      </w:r>
      <w:proofErr w:type="spellStart"/>
      <w:r w:rsidRPr="00B20AC1">
        <w:t>eID</w:t>
      </w:r>
      <w:proofErr w:type="spellEnd"/>
      <w:r w:rsidRPr="00B20AC1">
        <w:t>-tilbyderne</w:t>
      </w:r>
      <w:r w:rsidRPr="00B20AC1">
        <w:t xml:space="preserve"> i utgangspunktet ikke har behov for andre opplysninger enn de som allerede registreres i Folkeregisteret til dette formålet. Undersøkelsene viste også at opplysninger om utenlandske identifikasjonsnumre innhentes i begrenset grad.</w:t>
      </w:r>
    </w:p>
    <w:p w14:paraId="17009FC1" w14:textId="77777777" w:rsidR="00DD0428" w:rsidRPr="00B20AC1" w:rsidRDefault="00DD0428" w:rsidP="00B20AC1">
      <w:r w:rsidRPr="00B20AC1">
        <w:t>De fleste høringsinstans</w:t>
      </w:r>
      <w:r w:rsidRPr="00B20AC1">
        <w:t>ene var positive til forslaget om en permanent hjemmel for innhenting av opplysninger om utenlandske identifikasjonsnumre fra Folkeregisteret. Departementet mener det ikke er et argument mot forslaget at opplysninger om utenlandske identifikasjonsnumre ikk</w:t>
      </w:r>
      <w:r w:rsidRPr="00B20AC1">
        <w:t xml:space="preserve">e innhentes i særlig stor grad i dag. Som </w:t>
      </w:r>
      <w:proofErr w:type="spellStart"/>
      <w:r w:rsidRPr="00B20AC1">
        <w:rPr>
          <w:rStyle w:val="kursiv"/>
        </w:rPr>
        <w:t>BankID</w:t>
      </w:r>
      <w:proofErr w:type="spellEnd"/>
      <w:r w:rsidRPr="00B20AC1">
        <w:rPr>
          <w:rStyle w:val="kursiv"/>
        </w:rPr>
        <w:t xml:space="preserve"> </w:t>
      </w:r>
      <w:proofErr w:type="spellStart"/>
      <w:r w:rsidRPr="00B20AC1">
        <w:rPr>
          <w:rStyle w:val="kursiv"/>
        </w:rPr>
        <w:t>BankAxept</w:t>
      </w:r>
      <w:proofErr w:type="spellEnd"/>
      <w:r w:rsidRPr="00B20AC1">
        <w:rPr>
          <w:rStyle w:val="kursiv"/>
        </w:rPr>
        <w:t xml:space="preserve"> AS</w:t>
      </w:r>
      <w:r w:rsidRPr="00B20AC1">
        <w:t xml:space="preserve"> skriver i sin høringsuttalelse, så vil muligheten for </w:t>
      </w:r>
      <w:proofErr w:type="spellStart"/>
      <w:r w:rsidRPr="00B20AC1">
        <w:t>eID</w:t>
      </w:r>
      <w:proofErr w:type="spellEnd"/>
      <w:r w:rsidRPr="00B20AC1">
        <w:t xml:space="preserve">-utstedere til å innhente utenlandske identifikasjonsnumre i noen tilfeller gi bedre identitetskontroll og dermed muliggjøre </w:t>
      </w:r>
      <w:proofErr w:type="spellStart"/>
      <w:r w:rsidRPr="00B20AC1">
        <w:t>eID</w:t>
      </w:r>
      <w:proofErr w:type="spellEnd"/>
      <w:r w:rsidRPr="00B20AC1">
        <w:t>-utstedel</w:t>
      </w:r>
      <w:r w:rsidRPr="00B20AC1">
        <w:t xml:space="preserve">se til enkelte grupper som i dag har utfordringer med å få </w:t>
      </w:r>
      <w:proofErr w:type="spellStart"/>
      <w:r w:rsidRPr="00B20AC1">
        <w:t>eID</w:t>
      </w:r>
      <w:proofErr w:type="spellEnd"/>
      <w:r w:rsidRPr="00B20AC1">
        <w:t>.</w:t>
      </w:r>
    </w:p>
    <w:p w14:paraId="0DFD6D88" w14:textId="77777777" w:rsidR="00DD0428" w:rsidRPr="00B20AC1" w:rsidRDefault="00DD0428" w:rsidP="00B20AC1">
      <w:r w:rsidRPr="00B20AC1">
        <w:t>Selv om opplysninger om utenlandske identifikasjonsnumre innhentes i begrenset grad i dag, mener departementet at det vil være uheldig å fjerne muligheten. Departementet anser muligheten til å</w:t>
      </w:r>
      <w:r w:rsidRPr="00B20AC1">
        <w:t xml:space="preserve"> innhente utenlandske identifikasjonsnumre som viktig i de tilfellene der det skjer, fordi dette innebærer utstedelse av </w:t>
      </w:r>
      <w:proofErr w:type="spellStart"/>
      <w:r w:rsidRPr="00B20AC1">
        <w:t>eID</w:t>
      </w:r>
      <w:proofErr w:type="spellEnd"/>
      <w:r w:rsidRPr="00B20AC1">
        <w:t xml:space="preserve"> til personer som ellers ikke ville hatt mulighet til å skaffe seg dette.</w:t>
      </w:r>
    </w:p>
    <w:p w14:paraId="4E5FB9A5" w14:textId="77777777" w:rsidR="00DD0428" w:rsidRPr="00B20AC1" w:rsidRDefault="00DD0428" w:rsidP="00B20AC1">
      <w:r w:rsidRPr="00B20AC1">
        <w:t xml:space="preserve">Noe av årsaken til at hjemmelen ikke har blitt benyttet i </w:t>
      </w:r>
      <w:r w:rsidRPr="00B20AC1">
        <w:t xml:space="preserve">større utstrekning, er at datakvaliteten på utenlandske identifikasjonsnumre i Folkeregisteret er av varierende kvalitet og derfor ikke vil kunne gi en sikker kobling i alle tilfeller, slik </w:t>
      </w:r>
      <w:r w:rsidRPr="00B20AC1">
        <w:rPr>
          <w:rStyle w:val="kursiv"/>
        </w:rPr>
        <w:t>Skattedirektoratet</w:t>
      </w:r>
      <w:r w:rsidRPr="00B20AC1">
        <w:t xml:space="preserve"> skriver i sin høringsuttalelse. Også </w:t>
      </w:r>
      <w:proofErr w:type="spellStart"/>
      <w:r w:rsidRPr="00B20AC1">
        <w:rPr>
          <w:rStyle w:val="kursiv"/>
        </w:rPr>
        <w:t>Buypass</w:t>
      </w:r>
      <w:proofErr w:type="spellEnd"/>
      <w:r w:rsidRPr="00B20AC1">
        <w:t xml:space="preserve"> på</w:t>
      </w:r>
      <w:r w:rsidRPr="00B20AC1">
        <w:t xml:space="preserve">peker at de har observert mangelfulle data i Folkeregisteret, men </w:t>
      </w:r>
      <w:proofErr w:type="gramStart"/>
      <w:r w:rsidRPr="00B20AC1">
        <w:t>imøteser</w:t>
      </w:r>
      <w:proofErr w:type="gramEnd"/>
      <w:r w:rsidRPr="00B20AC1">
        <w:t xml:space="preserve"> tiltak som kan bedre datakvaliteten og gjøre det mulig å finne utenlandske identifikasjonsnumre for flere personer enn hva som er mulig i dag.</w:t>
      </w:r>
    </w:p>
    <w:p w14:paraId="4961D478" w14:textId="77777777" w:rsidR="00DD0428" w:rsidRPr="00B20AC1" w:rsidRDefault="00DD0428" w:rsidP="00B20AC1">
      <w:r w:rsidRPr="00B20AC1">
        <w:t>Departementet mener at lovforslaget vi</w:t>
      </w:r>
      <w:r w:rsidRPr="00B20AC1">
        <w:t xml:space="preserve">l innebære en styrket mulighet for kontroll for </w:t>
      </w:r>
      <w:proofErr w:type="spellStart"/>
      <w:r w:rsidRPr="00B20AC1">
        <w:t>eID</w:t>
      </w:r>
      <w:proofErr w:type="spellEnd"/>
      <w:r w:rsidRPr="00B20AC1">
        <w:t xml:space="preserve">-utstederne, som er underlagt strenge krav til identitetskontroll, i forbindelse med utstedelse av </w:t>
      </w:r>
      <w:proofErr w:type="spellStart"/>
      <w:r w:rsidRPr="00B20AC1">
        <w:t>eID</w:t>
      </w:r>
      <w:proofErr w:type="spellEnd"/>
      <w:r w:rsidRPr="00B20AC1">
        <w:t xml:space="preserve">. Hjemmelen som foreslås, vil avgrenses gjennom forskrift til å gjelde </w:t>
      </w:r>
      <w:proofErr w:type="spellStart"/>
      <w:r w:rsidRPr="00B20AC1">
        <w:t>eID</w:t>
      </w:r>
      <w:proofErr w:type="spellEnd"/>
      <w:r w:rsidRPr="00B20AC1">
        <w:t>-tilbyderes innhenting av ute</w:t>
      </w:r>
      <w:r w:rsidRPr="00B20AC1">
        <w:t>nlandske identifikasjonsnumre fra Folkeregisteret.</w:t>
      </w:r>
    </w:p>
    <w:p w14:paraId="4920DE27" w14:textId="77777777" w:rsidR="00DD0428" w:rsidRPr="00B20AC1" w:rsidRDefault="00DD0428" w:rsidP="00B20AC1">
      <w:r w:rsidRPr="00B20AC1">
        <w:t xml:space="preserve">Behovsanalysene som ble foretatt forut for høringen, viser at behovet for en entydig identifikator også kan gjelde andre grupper enn </w:t>
      </w:r>
      <w:proofErr w:type="spellStart"/>
      <w:r w:rsidRPr="00B20AC1">
        <w:t>eID</w:t>
      </w:r>
      <w:proofErr w:type="spellEnd"/>
      <w:r w:rsidRPr="00B20AC1">
        <w:t xml:space="preserve">-tilbydere. De samme analysene viser imidlertid at det er flere ting </w:t>
      </w:r>
      <w:r w:rsidRPr="00B20AC1">
        <w:t>som bør være på plass eller utredes nærmere, før man kan ha en fullgod og varig løsning som dekker flere behov. Høringsinstansene ga ikke uttrykk for spesifikke behov utover hva som har blitt dekket av den midlertidige hjemmelen. Departementet foreslår der</w:t>
      </w:r>
      <w:r w:rsidRPr="00B20AC1">
        <w:t xml:space="preserve">for ikke at hjemmelen skal gjelde for andre enn </w:t>
      </w:r>
      <w:proofErr w:type="spellStart"/>
      <w:r w:rsidRPr="00B20AC1">
        <w:t>eID</w:t>
      </w:r>
      <w:proofErr w:type="spellEnd"/>
      <w:r w:rsidRPr="00B20AC1">
        <w:t>-tilbydere eller omfatte flere opplysninger enn utenlandske identifikasjonsnumre.</w:t>
      </w:r>
    </w:p>
    <w:p w14:paraId="0CF760DA" w14:textId="77777777" w:rsidR="00DD0428" w:rsidRPr="00B20AC1" w:rsidRDefault="00DD0428" w:rsidP="00B20AC1">
      <w:pPr>
        <w:rPr>
          <w:rStyle w:val="kursiv"/>
        </w:rPr>
      </w:pPr>
      <w:r w:rsidRPr="00B20AC1">
        <w:rPr>
          <w:rStyle w:val="kursiv"/>
        </w:rPr>
        <w:lastRenderedPageBreak/>
        <w:t>Skattedirektoratet</w:t>
      </w:r>
      <w:r w:rsidRPr="00B20AC1">
        <w:t xml:space="preserve"> og flere privatpersoner mente</w:t>
      </w:r>
      <w:r w:rsidRPr="00B20AC1">
        <w:t xml:space="preserve"> i høringen at personvernkonsekvensene av forslaget ikke er tilstrekkelig u</w:t>
      </w:r>
      <w:r w:rsidRPr="00B20AC1">
        <w:t>tredet eller omtalt. Departementet viser til at det med innføringen av en lovhjemmel for innhenting av taushetsbelagte opplysninger fra Folkeregisteret, sammen med en konkretisering i forskrift av hvilke opplysninger som kan innhentes, vil foreligge et lov</w:t>
      </w:r>
      <w:r w:rsidRPr="00B20AC1">
        <w:t>lig behandlingsgrunnlag.</w:t>
      </w:r>
    </w:p>
    <w:p w14:paraId="094B4724" w14:textId="77777777" w:rsidR="00DD0428" w:rsidRPr="00B20AC1" w:rsidRDefault="00DD0428" w:rsidP="00B20AC1">
      <w:r w:rsidRPr="00B20AC1">
        <w:t xml:space="preserve">Kun tre private og én offentlig aktør, </w:t>
      </w:r>
      <w:proofErr w:type="spellStart"/>
      <w:r w:rsidRPr="00B20AC1">
        <w:t>BankID</w:t>
      </w:r>
      <w:proofErr w:type="spellEnd"/>
      <w:r w:rsidRPr="00B20AC1">
        <w:t xml:space="preserve"> </w:t>
      </w:r>
      <w:proofErr w:type="spellStart"/>
      <w:r w:rsidRPr="00B20AC1">
        <w:t>BankAxept</w:t>
      </w:r>
      <w:proofErr w:type="spellEnd"/>
      <w:r w:rsidRPr="00B20AC1">
        <w:t xml:space="preserve"> AS, </w:t>
      </w:r>
      <w:proofErr w:type="spellStart"/>
      <w:r w:rsidRPr="00B20AC1">
        <w:t>Commfides</w:t>
      </w:r>
      <w:proofErr w:type="spellEnd"/>
      <w:r w:rsidRPr="00B20AC1">
        <w:t xml:space="preserve"> Norge AS, </w:t>
      </w:r>
      <w:proofErr w:type="spellStart"/>
      <w:r w:rsidRPr="00B20AC1">
        <w:t>Buypass</w:t>
      </w:r>
      <w:proofErr w:type="spellEnd"/>
      <w:r w:rsidRPr="00B20AC1">
        <w:t xml:space="preserve"> AS og Digitaliseringsdirektoratet (</w:t>
      </w:r>
      <w:proofErr w:type="spellStart"/>
      <w:r w:rsidRPr="00B20AC1">
        <w:t>MinID</w:t>
      </w:r>
      <w:proofErr w:type="spellEnd"/>
      <w:r w:rsidRPr="00B20AC1">
        <w:t xml:space="preserve">), hadde tilgang etter den midlertidige hjemmelen i selvdeklarasjonsforskriften, og det kun til bruk i </w:t>
      </w:r>
      <w:r w:rsidRPr="00B20AC1">
        <w:t xml:space="preserve">forbindelse med utstedelse og re-utstedelse av </w:t>
      </w:r>
      <w:proofErr w:type="spellStart"/>
      <w:r w:rsidRPr="00B20AC1">
        <w:t>eID</w:t>
      </w:r>
      <w:proofErr w:type="spellEnd"/>
      <w:r w:rsidRPr="00B20AC1">
        <w:t>. Den permanente hjemmelen som nå foreslås, vil i praksis bare være aktuell å benytte for de private aktørene, siden Digitaliseringsdirektoratet har fått hjemmel i lov av 9. juni 2023 om Digitaliseringsdire</w:t>
      </w:r>
      <w:r w:rsidRPr="00B20AC1">
        <w:t>ktoratets tilgang til taushetsbelagte opplysninger i Folkeregisteret.</w:t>
      </w:r>
    </w:p>
    <w:p w14:paraId="27F4EF8B" w14:textId="77777777" w:rsidR="00DD0428" w:rsidRPr="00B20AC1" w:rsidRDefault="00DD0428" w:rsidP="00B20AC1">
      <w:r w:rsidRPr="00B20AC1">
        <w:t>Etter departementets vurdering er forslaget lite inngripende. Relevant for vurderingen er bl.a. at opplysninger om utenlandske identifikasjonsnumre ikke er å anse som opplysninger om per</w:t>
      </w:r>
      <w:r w:rsidRPr="00B20AC1">
        <w:t>sonlige forhold etter forvaltningsloven, selv om de er taushetsbelagt etter folkeregisterloven.</w:t>
      </w:r>
    </w:p>
    <w:p w14:paraId="7A967B90" w14:textId="77777777" w:rsidR="00DD0428" w:rsidRPr="00B20AC1" w:rsidRDefault="00DD0428" w:rsidP="00B20AC1">
      <w:r w:rsidRPr="00B20AC1">
        <w:t>Innhenting av utenlandske identifikasjonsnumre er etter departementets vurdering nødvendig for å ivareta den registrertes interesser og for å utføre oppgaver av</w:t>
      </w:r>
      <w:r w:rsidRPr="00B20AC1">
        <w:t xml:space="preserve"> allmenn interesse. Departementet vurderer det slik at den foreslåtte nye hjemmelen i § 1 a i lov om elektroniske tillitstjenester, kombinert med forskrift, gir </w:t>
      </w:r>
      <w:proofErr w:type="spellStart"/>
      <w:r w:rsidRPr="00B20AC1">
        <w:t>eID</w:t>
      </w:r>
      <w:proofErr w:type="spellEnd"/>
      <w:r w:rsidRPr="00B20AC1">
        <w:t>-utstederne supplerende hjemmelsgrunnlag i nasjonal rett for behandling av taushetsbelagte o</w:t>
      </w:r>
      <w:r w:rsidRPr="00B20AC1">
        <w:t>pplysninger innhentet fra Folkeregisteret, jf. personvernforordningen art. 6 nr. 1.</w:t>
      </w:r>
    </w:p>
    <w:p w14:paraId="7A0F3BDE" w14:textId="77777777" w:rsidR="00DD0428" w:rsidRPr="00B20AC1" w:rsidRDefault="00DD0428" w:rsidP="00B20AC1">
      <w:r w:rsidRPr="00B20AC1">
        <w:t>Det vil gagne innbyggeren å kunne få</w:t>
      </w:r>
      <w:r w:rsidRPr="00B20AC1">
        <w:t xml:space="preserve"> tilgang til digitale tjenester fra offentlig sektor. Manglende tilgang vil kunne føre til risiko for tap av økonomiske rettigheter. I de tilfellene der utenlandske identifikasjonsnumre kan benyttes, vil derfor fordelene for den registrerte langt overgå ev</w:t>
      </w:r>
      <w:r w:rsidRPr="00B20AC1">
        <w:t>entuelle ulemper som følge av økt bruk av opplysningene.</w:t>
      </w:r>
    </w:p>
    <w:p w14:paraId="3578BDE4" w14:textId="2209128F" w:rsidR="00DD0428" w:rsidRPr="00B20AC1" w:rsidRDefault="00DD0428" w:rsidP="00B20AC1">
      <w:r w:rsidRPr="00B20AC1">
        <w:t>Departementet viser til at</w:t>
      </w:r>
      <w:r w:rsidRPr="00B20AC1">
        <w:rPr>
          <w:rStyle w:val="kursiv"/>
        </w:rPr>
        <w:t xml:space="preserve"> Datatilsynet </w:t>
      </w:r>
      <w:r w:rsidRPr="00B20AC1">
        <w:t>i sin høringsuttalelse skriver at de mener forslaget vil være til gunst for registrerte som ønsker å være digitale, og påpeker at de ikke kan se noen vesentlig</w:t>
      </w:r>
      <w:r w:rsidRPr="00B20AC1">
        <w:t xml:space="preserve"> </w:t>
      </w:r>
      <w:proofErr w:type="spellStart"/>
      <w:r w:rsidRPr="00B20AC1">
        <w:t>personvernmessig</w:t>
      </w:r>
      <w:proofErr w:type="spellEnd"/>
      <w:r w:rsidRPr="00B20AC1">
        <w:t xml:space="preserve"> grunn til at opplysninger om utenlandske identifikasjonsnumre skal være underlagt andre restriksjoner enn fødsels- og d</w:t>
      </w:r>
      <w:r w:rsidR="00B20AC1">
        <w:t>-</w:t>
      </w:r>
      <w:r w:rsidRPr="00B20AC1">
        <w:t>nummer.</w:t>
      </w:r>
    </w:p>
    <w:p w14:paraId="7419B29C" w14:textId="77777777" w:rsidR="00DD0428" w:rsidRPr="00B20AC1" w:rsidRDefault="00DD0428" w:rsidP="00B20AC1">
      <w:pPr>
        <w:rPr>
          <w:rStyle w:val="kursiv"/>
        </w:rPr>
      </w:pPr>
      <w:r w:rsidRPr="00B20AC1">
        <w:rPr>
          <w:rStyle w:val="kursiv"/>
        </w:rPr>
        <w:t>Datatilsynet</w:t>
      </w:r>
      <w:r w:rsidRPr="00B20AC1">
        <w:t xml:space="preserve"> er positive til at forslaget ikke innebærer innhenting av overskuddsinformasjon, og støtter at de</w:t>
      </w:r>
      <w:r w:rsidRPr="00B20AC1">
        <w:t xml:space="preserve">t skal fastsettes nærmere i forskrift hvilke opplysningstyper som kan innhentes. </w:t>
      </w:r>
      <w:r w:rsidRPr="00B20AC1">
        <w:rPr>
          <w:rStyle w:val="kursiv"/>
        </w:rPr>
        <w:t>Datatilsynet</w:t>
      </w:r>
      <w:r w:rsidRPr="00B20AC1">
        <w:t xml:space="preserve"> viser til at dette vil gjøre det mer forutsigbart for de registrerte, så vel som tydelig for tilbyderne av </w:t>
      </w:r>
      <w:proofErr w:type="spellStart"/>
      <w:r w:rsidRPr="00B20AC1">
        <w:t>eID</w:t>
      </w:r>
      <w:proofErr w:type="spellEnd"/>
      <w:r w:rsidRPr="00B20AC1">
        <w:t>, hvilke opplysningstyper som er relevante i forbind</w:t>
      </w:r>
      <w:r w:rsidRPr="00B20AC1">
        <w:t xml:space="preserve">else med utstedelse/bruk av </w:t>
      </w:r>
      <w:proofErr w:type="spellStart"/>
      <w:r w:rsidRPr="00B20AC1">
        <w:t>eID</w:t>
      </w:r>
      <w:proofErr w:type="spellEnd"/>
      <w:r w:rsidRPr="00B20AC1">
        <w:t>.</w:t>
      </w:r>
    </w:p>
    <w:p w14:paraId="18E60243" w14:textId="77777777" w:rsidR="00DD0428" w:rsidRPr="00B20AC1" w:rsidRDefault="00DD0428" w:rsidP="00B20AC1">
      <w:r w:rsidRPr="00B20AC1">
        <w:t>Dersom det på et senere tidspunkt blir aktuelt å utvide hjemmelen til å omfatte flere opplysninger, må det eventuelt foretas ny vurdering av personvernkonsekvenser av et slikt forslag.</w:t>
      </w:r>
    </w:p>
    <w:p w14:paraId="4AF173EB" w14:textId="77777777" w:rsidR="00DD0428" w:rsidRPr="00B20AC1" w:rsidRDefault="00DD0428" w:rsidP="00B20AC1">
      <w:pPr>
        <w:rPr>
          <w:rStyle w:val="kursiv"/>
        </w:rPr>
      </w:pPr>
      <w:r w:rsidRPr="00B20AC1">
        <w:rPr>
          <w:rStyle w:val="kursiv"/>
        </w:rPr>
        <w:t>Skattedirektoratet</w:t>
      </w:r>
      <w:r w:rsidRPr="00B20AC1">
        <w:t xml:space="preserve"> stiller i sin hørin</w:t>
      </w:r>
      <w:r w:rsidRPr="00B20AC1">
        <w:t>gsuttalelse spørsmål om utlevering av utenlandske identifikasjonsnumre er i samsvar med folkeregisterloven § 1-2 tredje punktum som setter rammer for hva opplysninger i Folkeregisteret kan brukes til. I folkeregisterloven § 1-2 siste punktum heter det at «</w:t>
      </w:r>
      <w:r w:rsidRPr="00B20AC1">
        <w:t>Loven skal bidra til at opplysningene i Folkeregisteret skal kunne brukes til myndighetsoppgaver og offentlig forvaltning, forskning, statistikk og til å ivareta grunnleggende samfunnsbehov.»</w:t>
      </w:r>
    </w:p>
    <w:p w14:paraId="2BF8E553" w14:textId="77777777" w:rsidR="00DD0428" w:rsidRPr="00B20AC1" w:rsidRDefault="00DD0428" w:rsidP="00B20AC1">
      <w:r w:rsidRPr="00B20AC1">
        <w:t>Den foreslåtte hjemmelen vil etter departementets vurdering bidr</w:t>
      </w:r>
      <w:r w:rsidRPr="00B20AC1">
        <w:t xml:space="preserve">a til at «grunnleggende samfunnsbehov» ivaretas, gjennom å bidra til at det vil kunne utstedes </w:t>
      </w:r>
      <w:proofErr w:type="spellStart"/>
      <w:r w:rsidRPr="00B20AC1">
        <w:t>eID</w:t>
      </w:r>
      <w:proofErr w:type="spellEnd"/>
      <w:r w:rsidRPr="00B20AC1">
        <w:t xml:space="preserve"> til flere personer enn om innhenting av utenlandske identifikasjonsnumre ikke var mulig. En </w:t>
      </w:r>
      <w:proofErr w:type="spellStart"/>
      <w:r w:rsidRPr="00B20AC1">
        <w:t>eID</w:t>
      </w:r>
      <w:proofErr w:type="spellEnd"/>
      <w:r w:rsidRPr="00B20AC1">
        <w:t xml:space="preserve"> gjør det enklere for den enkelte å ivareta sine rettigheter o</w:t>
      </w:r>
      <w:r w:rsidRPr="00B20AC1">
        <w:t>g plikter i samfunnet, samtidig som den ved å bidra til økt bruk av digitale tjenester også bidrar til en mer effektiv offentlig sektor.</w:t>
      </w:r>
    </w:p>
    <w:p w14:paraId="06826AA9" w14:textId="77777777" w:rsidR="00DD0428" w:rsidRPr="00B20AC1" w:rsidRDefault="00DD0428" w:rsidP="00B20AC1">
      <w:r w:rsidRPr="00B20AC1">
        <w:t xml:space="preserve">Departementet har merket seg </w:t>
      </w:r>
      <w:r w:rsidRPr="00B20AC1">
        <w:rPr>
          <w:rStyle w:val="kursiv"/>
        </w:rPr>
        <w:t>Skattedirektoratets</w:t>
      </w:r>
      <w:r w:rsidRPr="00B20AC1">
        <w:t xml:space="preserve"> påpekning av at det er behov for bedre kvalitet på opplysningene om ut</w:t>
      </w:r>
      <w:r w:rsidRPr="00B20AC1">
        <w:t xml:space="preserve">enlandske identifikasjonsnumre uansett bruk, og deres forslag til tiltak som vil øke datakvaliteten. Departementet legger til grunn at slike tiltak vil kunne føre til økt bruk og dermed økt måloppnåelse når det gjelder utstedelse av </w:t>
      </w:r>
      <w:proofErr w:type="spellStart"/>
      <w:r w:rsidRPr="00B20AC1">
        <w:t>eID</w:t>
      </w:r>
      <w:proofErr w:type="spellEnd"/>
      <w:r w:rsidRPr="00B20AC1">
        <w:t xml:space="preserve"> til personer med d-</w:t>
      </w:r>
      <w:r w:rsidRPr="00B20AC1">
        <w:t>nummer.</w:t>
      </w:r>
    </w:p>
    <w:p w14:paraId="54429023" w14:textId="77777777" w:rsidR="00DD0428" w:rsidRPr="00B20AC1" w:rsidRDefault="00DD0428" w:rsidP="00B20AC1">
      <w:r w:rsidRPr="00B20AC1">
        <w:t xml:space="preserve">Departementet foreslår at hjemmelen for </w:t>
      </w:r>
      <w:proofErr w:type="spellStart"/>
      <w:r w:rsidRPr="00B20AC1">
        <w:t>eID</w:t>
      </w:r>
      <w:proofErr w:type="spellEnd"/>
      <w:r w:rsidRPr="00B20AC1">
        <w:t>-utstedere for innhenting av utenlandske identifikasjonsnumre fastsettes i lov om gjennomføring av EUs forordning om elektronisk identifikasjon og tillitstjenester for elektroniske transaksjoner i det indr</w:t>
      </w:r>
      <w:r w:rsidRPr="00B20AC1">
        <w:t>e marked (lov om elektroniske tillitstjenester). Forordningen (</w:t>
      </w:r>
      <w:proofErr w:type="spellStart"/>
      <w:r w:rsidRPr="00B20AC1">
        <w:t>eIDAS</w:t>
      </w:r>
      <w:proofErr w:type="spellEnd"/>
      <w:r w:rsidRPr="00B20AC1">
        <w:t>-forordningen) gjelder for tilbydere av elektronisk ID og elektroniske tillitstjenester.</w:t>
      </w:r>
    </w:p>
    <w:p w14:paraId="18A07824" w14:textId="77777777" w:rsidR="00DD0428" w:rsidRPr="00B20AC1" w:rsidRDefault="00DD0428" w:rsidP="00B20AC1">
      <w:r w:rsidRPr="00B20AC1">
        <w:t>Formålet med forordningen er sikker elektronisk samhandling mellom borgere, foretak og offentlige m</w:t>
      </w:r>
      <w:r w:rsidRPr="00B20AC1">
        <w:t>yndigheter på tvers av landegrensene i EU/EØS. Sentralt i forordningen er krav til bekreftelse og kon</w:t>
      </w:r>
      <w:r w:rsidRPr="00B20AC1">
        <w:lastRenderedPageBreak/>
        <w:t>troll av identitet. Gjennomføringsrettsakten (EU) 2015/1502 om fastsettelse av tekniske minstespesifikasjoner for elektroniske identifikasjonsmidler (ident</w:t>
      </w:r>
      <w:r w:rsidRPr="00B20AC1">
        <w:t>ifikasjonsnivåforskriften) er gjennomført i forskrift 21. november 2019 nr. 1577 om tillitstjenester for elektroniske transaksjoner, fastsatt med hjemmel i lov om elektroniske tillitstjenester § 1 annet ledd, jf. delegeringsvedtak 8. november 2019 nr. 1491</w:t>
      </w:r>
      <w:r w:rsidRPr="00B20AC1">
        <w:t>.</w:t>
      </w:r>
    </w:p>
    <w:p w14:paraId="5F2DC65B" w14:textId="77777777" w:rsidR="00DD0428" w:rsidRPr="00B20AC1" w:rsidRDefault="00DD0428" w:rsidP="00B20AC1">
      <w:r w:rsidRPr="00B20AC1">
        <w:t xml:space="preserve">Norske tilpasninger til de konkrete kravene som skal oppfylles etter identifikasjonsnivåforskriften, </w:t>
      </w:r>
      <w:proofErr w:type="gramStart"/>
      <w:r w:rsidRPr="00B20AC1">
        <w:t>fremgår</w:t>
      </w:r>
      <w:proofErr w:type="gramEnd"/>
      <w:r w:rsidRPr="00B20AC1">
        <w:t xml:space="preserve"> av forskrift 21. november 2019 nr. 1578 om selvdeklarasjon av ordninger for elek</w:t>
      </w:r>
      <w:r w:rsidRPr="00B20AC1">
        <w:t>tronisk identifikasjon (selvdeklarasjonsforskriften)</w:t>
      </w:r>
      <w:r w:rsidRPr="00B20AC1">
        <w:t xml:space="preserve"> del III. Det forutsettes i selvdeklarasjonsforskriften at </w:t>
      </w:r>
      <w:proofErr w:type="spellStart"/>
      <w:r w:rsidRPr="00B20AC1">
        <w:t>eID</w:t>
      </w:r>
      <w:proofErr w:type="spellEnd"/>
      <w:r w:rsidRPr="00B20AC1">
        <w:t>-innehaveren må være registrert i det norske folkeregisteret,</w:t>
      </w:r>
      <w:r w:rsidRPr="00B20AC1">
        <w:t xml:space="preserve"> og at det foreligger en entydig knytning til personens fødsels- eller d-nummer.</w:t>
      </w:r>
    </w:p>
    <w:p w14:paraId="7A1F839F" w14:textId="77777777" w:rsidR="00DD0428" w:rsidRPr="00B20AC1" w:rsidRDefault="00DD0428" w:rsidP="00B20AC1">
      <w:r w:rsidRPr="00B20AC1">
        <w:t xml:space="preserve">Departementet foreslår at lovhjemmelen gir </w:t>
      </w:r>
      <w:r w:rsidRPr="00B20AC1">
        <w:t>departementet kompetanse til å fastsette nærmere</w:t>
      </w:r>
      <w:r w:rsidRPr="00B20AC1">
        <w:t xml:space="preserve"> i forskrift hvilke opplysninger som uten hinder av taushetsplikt kan utleveres fra </w:t>
      </w:r>
      <w:r w:rsidRPr="00B20AC1">
        <w:t xml:space="preserve">Folkeregisteret til </w:t>
      </w:r>
      <w:proofErr w:type="spellStart"/>
      <w:r w:rsidRPr="00B20AC1">
        <w:t>eID</w:t>
      </w:r>
      <w:proofErr w:type="spellEnd"/>
      <w:r w:rsidRPr="00B20AC1">
        <w:t xml:space="preserve">-tilbydere i forbindelse med utstedelse og re-utstedelse av </w:t>
      </w:r>
      <w:proofErr w:type="spellStart"/>
      <w:r w:rsidRPr="00B20AC1">
        <w:t>eID</w:t>
      </w:r>
      <w:proofErr w:type="spellEnd"/>
      <w:r w:rsidRPr="00B20AC1">
        <w:t>.</w:t>
      </w:r>
    </w:p>
    <w:p w14:paraId="2609608D" w14:textId="77777777" w:rsidR="00DD0428" w:rsidRPr="00B20AC1" w:rsidRDefault="00DD0428" w:rsidP="00B20AC1">
      <w:pPr>
        <w:pStyle w:val="Overskrift1"/>
      </w:pPr>
      <w:r w:rsidRPr="00B20AC1">
        <w:t>Økonomiske og administrative konsekvenser</w:t>
      </w:r>
    </w:p>
    <w:p w14:paraId="50C9C961" w14:textId="77777777" w:rsidR="00DD0428" w:rsidRPr="00B20AC1" w:rsidRDefault="00DD0428" w:rsidP="00B20AC1">
      <w:r w:rsidRPr="00B20AC1">
        <w:t xml:space="preserve">Den foreslåtte hjemmelen vil føre til at et økt antall personer vil kunne få utstedt en </w:t>
      </w:r>
      <w:proofErr w:type="spellStart"/>
      <w:r w:rsidRPr="00B20AC1">
        <w:t>eID</w:t>
      </w:r>
      <w:proofErr w:type="spellEnd"/>
      <w:r w:rsidRPr="00B20AC1">
        <w:t>, og følgelig innebære mer effe</w:t>
      </w:r>
      <w:r w:rsidRPr="00B20AC1">
        <w:t>ktiv saksbehandling og spare tjenesteeiere for ekstraarbeid knyttet til manuell saksbehandling for disse personene. Forslaget vil kunne ha økonomiske og administrative konsekvenser for Skatteetaten i forbindelse med tilrettelegging og forvaltning, herunder</w:t>
      </w:r>
      <w:r w:rsidRPr="00B20AC1">
        <w:t xml:space="preserve"> utvikling av en ny rettighetspakke og teknisk tilrettelegging.</w:t>
      </w:r>
    </w:p>
    <w:p w14:paraId="683F6501" w14:textId="77777777" w:rsidR="00DD0428" w:rsidRPr="00B20AC1" w:rsidRDefault="00DD0428" w:rsidP="00B20AC1">
      <w:r w:rsidRPr="00B20AC1">
        <w:t>Utvikling av en ny rettighetspakke estimeres av Skattedirektoratet til mellom halvannen og to millioner kroner. I tillegg estimeres årlig forvaltningskostnad til 20 % av utviklingskostnaden.</w:t>
      </w:r>
    </w:p>
    <w:p w14:paraId="6312BE3D" w14:textId="77777777" w:rsidR="00DD0428" w:rsidRPr="00B20AC1" w:rsidRDefault="00DD0428" w:rsidP="00B20AC1">
      <w:pPr>
        <w:pStyle w:val="Overskrift1"/>
      </w:pPr>
      <w:r w:rsidRPr="00B20AC1">
        <w:t>Merknader til lovforslaget</w:t>
      </w:r>
    </w:p>
    <w:p w14:paraId="6119130F" w14:textId="77777777" w:rsidR="00DD0428" w:rsidRPr="00B20AC1" w:rsidRDefault="00DD0428" w:rsidP="00B20AC1">
      <w:pPr>
        <w:pStyle w:val="avsnitt-undertittel"/>
      </w:pPr>
      <w:r w:rsidRPr="00B20AC1">
        <w:t>Til lov om elektroniske tillitstjenester § 1 a</w:t>
      </w:r>
    </w:p>
    <w:p w14:paraId="19FD0BAE" w14:textId="77777777" w:rsidR="00DD0428" w:rsidRPr="00B20AC1" w:rsidRDefault="00DD0428" w:rsidP="00B20AC1">
      <w:r w:rsidRPr="00B20AC1">
        <w:t>Etter forslaget til § </w:t>
      </w:r>
      <w:r w:rsidRPr="00B20AC1">
        <w:rPr>
          <w:rStyle w:val="kursiv"/>
        </w:rPr>
        <w:t>1 a første ledd</w:t>
      </w:r>
      <w:r w:rsidRPr="00B20AC1">
        <w:t xml:space="preserve"> gis tilbydere av elektroniske tillitstjenester hjemmel til å innhente og behandle opplysninger fra Folkeregisteret som er nødvendige for å lø</w:t>
      </w:r>
      <w:r w:rsidRPr="00B20AC1">
        <w:t xml:space="preserve">se </w:t>
      </w:r>
      <w:proofErr w:type="spellStart"/>
      <w:r w:rsidRPr="00B20AC1">
        <w:t>eID</w:t>
      </w:r>
      <w:proofErr w:type="spellEnd"/>
      <w:r w:rsidRPr="00B20AC1">
        <w:t>-tilbydernes oppgaver etter lov om elektroniske tillitstjenester, uten hinder av taushetsplikt. I praksis vil dette gjelde tilbydere av elektronisk identifikasjon (</w:t>
      </w:r>
      <w:proofErr w:type="spellStart"/>
      <w:r w:rsidRPr="00B20AC1">
        <w:t>eID</w:t>
      </w:r>
      <w:proofErr w:type="spellEnd"/>
      <w:r w:rsidRPr="00B20AC1">
        <w:t xml:space="preserve">) og bruk i forbindelse med utstedelse og re-utstedelse av </w:t>
      </w:r>
      <w:proofErr w:type="spellStart"/>
      <w:r w:rsidRPr="00B20AC1">
        <w:t>eID</w:t>
      </w:r>
      <w:proofErr w:type="spellEnd"/>
      <w:r w:rsidRPr="00B20AC1">
        <w:t>.</w:t>
      </w:r>
    </w:p>
    <w:p w14:paraId="1BB5D4E6" w14:textId="77777777" w:rsidR="00DD0428" w:rsidRPr="00B20AC1" w:rsidRDefault="00DD0428" w:rsidP="00B20AC1">
      <w:r w:rsidRPr="00B20AC1">
        <w:t>Hvilke taushetsbela</w:t>
      </w:r>
      <w:r w:rsidRPr="00B20AC1">
        <w:t xml:space="preserve">gte opplysninger som kan innhentes fra Folkeregisteret, skal konkretiseres i forskrift. Departementet gis i § 1 a </w:t>
      </w:r>
      <w:r w:rsidRPr="00B20AC1">
        <w:rPr>
          <w:rStyle w:val="kursiv"/>
        </w:rPr>
        <w:t>annet ledd</w:t>
      </w:r>
      <w:r w:rsidRPr="00B20AC1">
        <w:t xml:space="preserve"> myndighet til å fastsette slik forskrift.</w:t>
      </w:r>
    </w:p>
    <w:p w14:paraId="29B5485C" w14:textId="77777777" w:rsidR="00DD0428" w:rsidRPr="00B20AC1" w:rsidRDefault="00DD0428" w:rsidP="00B20AC1">
      <w:pPr>
        <w:pStyle w:val="avsnitt-undertittel"/>
      </w:pPr>
      <w:r w:rsidRPr="00B20AC1">
        <w:t>Til ikrafttredelsesbestemmelsen</w:t>
      </w:r>
    </w:p>
    <w:p w14:paraId="2AA5ABDE" w14:textId="77777777" w:rsidR="00DD0428" w:rsidRPr="00B20AC1" w:rsidRDefault="00DD0428" w:rsidP="00B20AC1">
      <w:r w:rsidRPr="00B20AC1">
        <w:t>Forslaget til ny § 1 a er i hovedsak en hjemmelsbestemmel</w:t>
      </w:r>
      <w:r w:rsidRPr="00B20AC1">
        <w:t>se for nærmere konkretisering i forskrift. Departementet foreslår derfor at loven trer i kraft straks.</w:t>
      </w:r>
    </w:p>
    <w:p w14:paraId="30BF3133" w14:textId="77777777" w:rsidR="00DD0428" w:rsidRPr="00B20AC1" w:rsidRDefault="00DD0428" w:rsidP="00B20AC1">
      <w:pPr>
        <w:pStyle w:val="a-tilraar-dep"/>
      </w:pPr>
      <w:r w:rsidRPr="00B20AC1">
        <w:lastRenderedPageBreak/>
        <w:t>Digitaliserings- og forvaltningsdepartementet</w:t>
      </w:r>
    </w:p>
    <w:p w14:paraId="31CF4B4B" w14:textId="77777777" w:rsidR="00DD0428" w:rsidRPr="00B20AC1" w:rsidRDefault="00DD0428" w:rsidP="00B20AC1">
      <w:pPr>
        <w:pStyle w:val="a-tilraar-tit"/>
      </w:pPr>
      <w:r w:rsidRPr="00B20AC1">
        <w:t>tilrår:</w:t>
      </w:r>
    </w:p>
    <w:p w14:paraId="788846F2" w14:textId="77777777" w:rsidR="00DD0428" w:rsidRPr="00B20AC1" w:rsidRDefault="00DD0428" w:rsidP="00B20AC1">
      <w:r w:rsidRPr="00B20AC1">
        <w:t>At Deres Majestet godkjenner og skriver under et framlagt forslag til proposisjon til Stortinget om endringer i lov om elektroniske tillitstjenester (adgang til innhenting av opplysninger fra Folkeregisteret).</w:t>
      </w:r>
    </w:p>
    <w:p w14:paraId="1F16B5CA" w14:textId="77777777" w:rsidR="00DD0428" w:rsidRPr="00B20AC1" w:rsidRDefault="00DD0428" w:rsidP="00B20AC1">
      <w:pPr>
        <w:pStyle w:val="a-konge-tekst"/>
      </w:pPr>
      <w:r w:rsidRPr="00B20AC1">
        <w:rPr>
          <w:rStyle w:val="halvfet0"/>
        </w:rPr>
        <w:t>Vi HARALD,</w:t>
      </w:r>
      <w:r w:rsidRPr="00B20AC1">
        <w:t xml:space="preserve"> Norges Konge,</w:t>
      </w:r>
    </w:p>
    <w:p w14:paraId="4548D43C" w14:textId="77777777" w:rsidR="00DD0428" w:rsidRPr="00B20AC1" w:rsidRDefault="00DD0428" w:rsidP="00B20AC1">
      <w:pPr>
        <w:pStyle w:val="a-konge-tit"/>
      </w:pPr>
      <w:r w:rsidRPr="00B20AC1">
        <w:t>stadfester:</w:t>
      </w:r>
    </w:p>
    <w:p w14:paraId="1602D113" w14:textId="77777777" w:rsidR="00DD0428" w:rsidRPr="00B20AC1" w:rsidRDefault="00DD0428" w:rsidP="00B20AC1">
      <w:r w:rsidRPr="00B20AC1">
        <w:t>Stortinge</w:t>
      </w:r>
      <w:r w:rsidRPr="00B20AC1">
        <w:t>t blir bedt om å gjøre vedtak til lov om endringer i lov om elektroniske tillitstjenester (adgang til innhenting av opplysninger fra Folkeregisteret) i samsvar med et vedlagt forslag.</w:t>
      </w:r>
    </w:p>
    <w:p w14:paraId="051B8020" w14:textId="77777777" w:rsidR="00DD0428" w:rsidRPr="00B20AC1" w:rsidRDefault="00DD0428" w:rsidP="00B20AC1">
      <w:pPr>
        <w:pStyle w:val="a-vedtak-tit"/>
      </w:pPr>
      <w:r w:rsidRPr="00B20AC1">
        <w:lastRenderedPageBreak/>
        <w:t xml:space="preserve">Forslag </w:t>
      </w:r>
    </w:p>
    <w:p w14:paraId="0B0F0446" w14:textId="77777777" w:rsidR="00DD0428" w:rsidRPr="00B20AC1" w:rsidRDefault="00DD0428" w:rsidP="00B20AC1">
      <w:pPr>
        <w:pStyle w:val="a-vedtak-tit"/>
      </w:pPr>
      <w:r w:rsidRPr="00B20AC1">
        <w:t>til lov om endringer i lov om elektroniske tillitstjenester (ad</w:t>
      </w:r>
      <w:r w:rsidRPr="00B20AC1">
        <w:t>gang til innhenting av opplysninger fra Folkeregisteret)</w:t>
      </w:r>
    </w:p>
    <w:p w14:paraId="5A23B131" w14:textId="77777777" w:rsidR="00DD0428" w:rsidRPr="00B20AC1" w:rsidRDefault="00DD0428" w:rsidP="00B20AC1">
      <w:pPr>
        <w:pStyle w:val="a-vedtak-del"/>
      </w:pPr>
      <w:r w:rsidRPr="00B20AC1">
        <w:t>I</w:t>
      </w:r>
    </w:p>
    <w:p w14:paraId="265194BF" w14:textId="77777777" w:rsidR="00DD0428" w:rsidRPr="00B20AC1" w:rsidRDefault="00DD0428" w:rsidP="00B20AC1">
      <w:pPr>
        <w:pStyle w:val="l-tit-endr-lov"/>
      </w:pPr>
      <w:r w:rsidRPr="00B20AC1">
        <w:t>I lov 15. juni 2018 nr. 44 om gjennomføring av EUs forordning om elektronisk identifikasjon og tillitstjenester for elektroniske transaksjoner skal ny § 1 a lyde:</w:t>
      </w:r>
    </w:p>
    <w:p w14:paraId="22C4251A" w14:textId="77777777" w:rsidR="00DD0428" w:rsidRPr="00B20AC1" w:rsidRDefault="00DD0428" w:rsidP="00B20AC1">
      <w:pPr>
        <w:pStyle w:val="l-paragraf"/>
      </w:pPr>
      <w:r w:rsidRPr="00B20AC1">
        <w:rPr>
          <w:rStyle w:val="regular"/>
        </w:rPr>
        <w:t>§ 1 a</w:t>
      </w:r>
      <w:r w:rsidRPr="00B20AC1">
        <w:t xml:space="preserve"> Innhenting av opplysninger f</w:t>
      </w:r>
      <w:r w:rsidRPr="00B20AC1">
        <w:t>ra Folkeregisteret</w:t>
      </w:r>
    </w:p>
    <w:p w14:paraId="59D01562" w14:textId="77777777" w:rsidR="00DD0428" w:rsidRPr="00B20AC1" w:rsidRDefault="00DD0428" w:rsidP="00B20AC1">
      <w:pPr>
        <w:pStyle w:val="l-ledd"/>
      </w:pPr>
      <w:r w:rsidRPr="00B20AC1">
        <w:t xml:space="preserve">Utstedere av elektroniske identitetsbevis kan </w:t>
      </w:r>
      <w:r w:rsidRPr="00B20AC1">
        <w:t>uten hinder av taushetsplikt innhente opplysninger</w:t>
      </w:r>
      <w:r w:rsidRPr="00B20AC1">
        <w:t xml:space="preserve"> fra Folkeregisteret når det er nødvendig for å utføre oppgaver etter denne loven.</w:t>
      </w:r>
    </w:p>
    <w:p w14:paraId="1ED1409F" w14:textId="77777777" w:rsidR="00DD0428" w:rsidRPr="00B20AC1" w:rsidRDefault="00DD0428" w:rsidP="00B20AC1">
      <w:pPr>
        <w:pStyle w:val="l-ledd"/>
      </w:pPr>
      <w:r w:rsidRPr="00B20AC1">
        <w:t>Departementet gir forskrift om hvilke opplysninger som kan</w:t>
      </w:r>
      <w:r w:rsidRPr="00B20AC1">
        <w:t xml:space="preserve"> innhentes.</w:t>
      </w:r>
    </w:p>
    <w:p w14:paraId="5CA8DC71" w14:textId="77777777" w:rsidR="00DD0428" w:rsidRPr="00B20AC1" w:rsidRDefault="00DD0428" w:rsidP="00B20AC1">
      <w:pPr>
        <w:pStyle w:val="a-vedtak-del"/>
      </w:pPr>
      <w:r w:rsidRPr="00B20AC1">
        <w:t>II</w:t>
      </w:r>
    </w:p>
    <w:p w14:paraId="70CB13D3" w14:textId="7D5637AE" w:rsidR="00DD0428" w:rsidRPr="00B20AC1" w:rsidRDefault="00DD0428" w:rsidP="00B20AC1">
      <w:r w:rsidRPr="00B20AC1">
        <w:t>Loven trer i kraft straks.</w:t>
      </w:r>
    </w:p>
    <w:sectPr w:rsidR="00000000" w:rsidRPr="00B20AC1">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422E9" w14:textId="77777777" w:rsidR="00DD0428" w:rsidRDefault="00DD0428">
      <w:pPr>
        <w:spacing w:after="0" w:line="240" w:lineRule="auto"/>
      </w:pPr>
      <w:r>
        <w:separator/>
      </w:r>
    </w:p>
  </w:endnote>
  <w:endnote w:type="continuationSeparator" w:id="0">
    <w:p w14:paraId="289EA7E1" w14:textId="77777777" w:rsidR="00DD0428" w:rsidRDefault="00DD0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236F3" w14:textId="77777777" w:rsidR="00B20AC1" w:rsidRPr="00B20AC1" w:rsidRDefault="00B20AC1" w:rsidP="00B20AC1">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675E5" w14:textId="77777777" w:rsidR="00B20AC1" w:rsidRPr="00B20AC1" w:rsidRDefault="00B20AC1" w:rsidP="00B20AC1">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8C18D" w14:textId="77777777" w:rsidR="00B20AC1" w:rsidRPr="00B20AC1" w:rsidRDefault="00B20AC1" w:rsidP="00B20AC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20AE0" w14:textId="77777777" w:rsidR="00DD0428" w:rsidRDefault="00DD0428">
      <w:pPr>
        <w:spacing w:after="0" w:line="240" w:lineRule="auto"/>
      </w:pPr>
      <w:r>
        <w:separator/>
      </w:r>
    </w:p>
  </w:footnote>
  <w:footnote w:type="continuationSeparator" w:id="0">
    <w:p w14:paraId="6A64D1D9" w14:textId="77777777" w:rsidR="00DD0428" w:rsidRDefault="00DD04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9BB76" w14:textId="77777777" w:rsidR="00B20AC1" w:rsidRPr="00B20AC1" w:rsidRDefault="00B20AC1" w:rsidP="00B20AC1">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D6FD9" w14:textId="77777777" w:rsidR="00B20AC1" w:rsidRPr="00B20AC1" w:rsidRDefault="00B20AC1" w:rsidP="00B20AC1">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03944" w14:textId="77777777" w:rsidR="00B20AC1" w:rsidRPr="00B20AC1" w:rsidRDefault="00B20AC1" w:rsidP="00B20AC1">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AEA847E"/>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7A9C4646"/>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46A45C30"/>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D16CAF94"/>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0B1483D4"/>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B6EE466E"/>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472984164">
    <w:abstractNumId w:val="4"/>
  </w:num>
  <w:num w:numId="2" w16cid:durableId="598679619">
    <w:abstractNumId w:val="3"/>
  </w:num>
  <w:num w:numId="3" w16cid:durableId="2144958702">
    <w:abstractNumId w:val="2"/>
  </w:num>
  <w:num w:numId="4" w16cid:durableId="1959221178">
    <w:abstractNumId w:val="1"/>
  </w:num>
  <w:num w:numId="5" w16cid:durableId="1272323651">
    <w:abstractNumId w:val="0"/>
  </w:num>
  <w:num w:numId="6" w16cid:durableId="498548281">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894046036">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1318654441">
    <w:abstractNumId w:val="5"/>
    <w:lvlOverride w:ilvl="0">
      <w:lvl w:ilvl="0">
        <w:start w:val="1"/>
        <w:numFmt w:val="bullet"/>
        <w:lvlText w:val="2.1 "/>
        <w:legacy w:legacy="1" w:legacySpace="0" w:legacyIndent="0"/>
        <w:lvlJc w:val="left"/>
        <w:pPr>
          <w:ind w:left="0" w:firstLine="0"/>
        </w:pPr>
        <w:rPr>
          <w:rFonts w:ascii="Myriad Pro" w:hAnsi="Myriad Pro" w:hint="default"/>
          <w:b/>
          <w:i w:val="0"/>
          <w:strike w:val="0"/>
          <w:color w:val="000000"/>
          <w:sz w:val="22"/>
          <w:u w:val="none"/>
        </w:rPr>
      </w:lvl>
    </w:lvlOverride>
  </w:num>
  <w:num w:numId="9" w16cid:durableId="1234197848">
    <w:abstractNumId w:val="5"/>
    <w:lvlOverride w:ilvl="0">
      <w:lvl w:ilvl="0">
        <w:start w:val="1"/>
        <w:numFmt w:val="bullet"/>
        <w:lvlText w:val="2.2 "/>
        <w:legacy w:legacy="1" w:legacySpace="0" w:legacyIndent="0"/>
        <w:lvlJc w:val="left"/>
        <w:pPr>
          <w:ind w:left="0" w:firstLine="0"/>
        </w:pPr>
        <w:rPr>
          <w:rFonts w:ascii="Myriad Pro" w:hAnsi="Myriad Pro" w:hint="default"/>
          <w:b/>
          <w:i w:val="0"/>
          <w:strike w:val="0"/>
          <w:color w:val="000000"/>
          <w:sz w:val="22"/>
          <w:u w:val="none"/>
        </w:rPr>
      </w:lvl>
    </w:lvlOverride>
  </w:num>
  <w:num w:numId="10" w16cid:durableId="1328511998">
    <w:abstractNumId w:val="5"/>
    <w:lvlOverride w:ilvl="0">
      <w:lvl w:ilvl="0">
        <w:start w:val="1"/>
        <w:numFmt w:val="bullet"/>
        <w:lvlText w:val="2.2.1 "/>
        <w:legacy w:legacy="1" w:legacySpace="0" w:legacyIndent="0"/>
        <w:lvlJc w:val="left"/>
        <w:pPr>
          <w:ind w:left="0" w:firstLine="0"/>
        </w:pPr>
        <w:rPr>
          <w:rFonts w:ascii="Myriad Pro" w:hAnsi="Myriad Pro" w:hint="default"/>
          <w:b w:val="0"/>
          <w:i/>
          <w:strike w:val="0"/>
          <w:color w:val="000000"/>
          <w:sz w:val="22"/>
          <w:u w:val="none"/>
        </w:rPr>
      </w:lvl>
    </w:lvlOverride>
  </w:num>
  <w:num w:numId="11" w16cid:durableId="409813982">
    <w:abstractNumId w:val="5"/>
    <w:lvlOverride w:ilvl="0">
      <w:lvl w:ilvl="0">
        <w:start w:val="1"/>
        <w:numFmt w:val="bullet"/>
        <w:lvlText w:val="2.2.2 "/>
        <w:legacy w:legacy="1" w:legacySpace="0" w:legacyIndent="0"/>
        <w:lvlJc w:val="left"/>
        <w:pPr>
          <w:ind w:left="0" w:firstLine="0"/>
        </w:pPr>
        <w:rPr>
          <w:rFonts w:ascii="Myriad Pro" w:hAnsi="Myriad Pro" w:hint="default"/>
          <w:b w:val="0"/>
          <w:i/>
          <w:strike w:val="0"/>
          <w:color w:val="000000"/>
          <w:sz w:val="22"/>
          <w:u w:val="none"/>
        </w:rPr>
      </w:lvl>
    </w:lvlOverride>
  </w:num>
  <w:num w:numId="12" w16cid:durableId="1409962197">
    <w:abstractNumId w:val="5"/>
    <w:lvlOverride w:ilvl="0">
      <w:lvl w:ilvl="0">
        <w:start w:val="1"/>
        <w:numFmt w:val="bullet"/>
        <w:lvlText w:val="2.2.3 "/>
        <w:legacy w:legacy="1" w:legacySpace="0" w:legacyIndent="0"/>
        <w:lvlJc w:val="left"/>
        <w:pPr>
          <w:ind w:left="0" w:firstLine="0"/>
        </w:pPr>
        <w:rPr>
          <w:rFonts w:ascii="Myriad Pro" w:hAnsi="Myriad Pro" w:hint="default"/>
          <w:b w:val="0"/>
          <w:i/>
          <w:strike w:val="0"/>
          <w:color w:val="000000"/>
          <w:sz w:val="22"/>
          <w:u w:val="none"/>
        </w:rPr>
      </w:lvl>
    </w:lvlOverride>
  </w:num>
  <w:num w:numId="13" w16cid:durableId="878778642">
    <w:abstractNumId w:val="5"/>
    <w:lvlOverride w:ilvl="0">
      <w:lvl w:ilvl="0">
        <w:start w:val="1"/>
        <w:numFmt w:val="bullet"/>
        <w:lvlText w:val="2.3 "/>
        <w:legacy w:legacy="1" w:legacySpace="0" w:legacyIndent="0"/>
        <w:lvlJc w:val="left"/>
        <w:pPr>
          <w:ind w:left="0" w:firstLine="0"/>
        </w:pPr>
        <w:rPr>
          <w:rFonts w:ascii="Myriad Pro" w:hAnsi="Myriad Pro" w:hint="default"/>
          <w:b/>
          <w:i w:val="0"/>
          <w:strike w:val="0"/>
          <w:color w:val="000000"/>
          <w:sz w:val="22"/>
          <w:u w:val="none"/>
        </w:rPr>
      </w:lvl>
    </w:lvlOverride>
  </w:num>
  <w:num w:numId="14" w16cid:durableId="6447987">
    <w:abstractNumId w:val="5"/>
    <w:lvlOverride w:ilvl="0">
      <w:lvl w:ilvl="0">
        <w:start w:val="1"/>
        <w:numFmt w:val="bullet"/>
        <w:lvlText w:val="2.3.1 "/>
        <w:legacy w:legacy="1" w:legacySpace="0" w:legacyIndent="0"/>
        <w:lvlJc w:val="left"/>
        <w:pPr>
          <w:ind w:left="0" w:firstLine="0"/>
        </w:pPr>
        <w:rPr>
          <w:rFonts w:ascii="Myriad Pro" w:hAnsi="Myriad Pro" w:hint="default"/>
          <w:b w:val="0"/>
          <w:i/>
          <w:strike w:val="0"/>
          <w:color w:val="000000"/>
          <w:sz w:val="22"/>
          <w:u w:val="none"/>
        </w:rPr>
      </w:lvl>
    </w:lvlOverride>
  </w:num>
  <w:num w:numId="15" w16cid:durableId="2081714104">
    <w:abstractNumId w:val="5"/>
    <w:lvlOverride w:ilvl="0">
      <w:lvl w:ilvl="0">
        <w:start w:val="1"/>
        <w:numFmt w:val="bullet"/>
        <w:lvlText w:val="2.3.2 "/>
        <w:legacy w:legacy="1" w:legacySpace="0" w:legacyIndent="0"/>
        <w:lvlJc w:val="left"/>
        <w:pPr>
          <w:ind w:left="0" w:firstLine="0"/>
        </w:pPr>
        <w:rPr>
          <w:rFonts w:ascii="Myriad Pro" w:hAnsi="Myriad Pro" w:hint="default"/>
          <w:b w:val="0"/>
          <w:i/>
          <w:strike w:val="0"/>
          <w:color w:val="000000"/>
          <w:sz w:val="22"/>
          <w:u w:val="none"/>
        </w:rPr>
      </w:lvl>
    </w:lvlOverride>
  </w:num>
  <w:num w:numId="16" w16cid:durableId="791752737">
    <w:abstractNumId w:val="5"/>
    <w:lvlOverride w:ilvl="0">
      <w:lvl w:ilvl="0">
        <w:start w:val="1"/>
        <w:numFmt w:val="bullet"/>
        <w:lvlText w:val="2.3.3 "/>
        <w:legacy w:legacy="1" w:legacySpace="0" w:legacyIndent="0"/>
        <w:lvlJc w:val="left"/>
        <w:pPr>
          <w:ind w:left="0" w:firstLine="0"/>
        </w:pPr>
        <w:rPr>
          <w:rFonts w:ascii="Myriad Pro" w:hAnsi="Myriad Pro" w:hint="default"/>
          <w:b w:val="0"/>
          <w:i/>
          <w:strike w:val="0"/>
          <w:color w:val="000000"/>
          <w:sz w:val="22"/>
          <w:u w:val="none"/>
        </w:rPr>
      </w:lvl>
    </w:lvlOverride>
  </w:num>
  <w:num w:numId="17" w16cid:durableId="249245014">
    <w:abstractNumId w:val="5"/>
    <w:lvlOverride w:ilvl="0">
      <w:lvl w:ilvl="0">
        <w:start w:val="1"/>
        <w:numFmt w:val="bullet"/>
        <w:lvlText w:val="3 "/>
        <w:legacy w:legacy="1" w:legacySpace="0" w:legacyIndent="0"/>
        <w:lvlJc w:val="left"/>
        <w:pPr>
          <w:ind w:left="0" w:firstLine="0"/>
        </w:pPr>
        <w:rPr>
          <w:rFonts w:ascii="Myriad Pro" w:hAnsi="Myriad Pro" w:hint="default"/>
          <w:b/>
          <w:i w:val="0"/>
          <w:strike w:val="0"/>
          <w:color w:val="000000"/>
          <w:sz w:val="24"/>
          <w:u w:val="none"/>
        </w:rPr>
      </w:lvl>
    </w:lvlOverride>
  </w:num>
  <w:num w:numId="18" w16cid:durableId="1979845273">
    <w:abstractNumId w:val="5"/>
    <w:lvlOverride w:ilvl="0">
      <w:lvl w:ilvl="0">
        <w:start w:val="1"/>
        <w:numFmt w:val="bullet"/>
        <w:lvlText w:val="3.1 "/>
        <w:legacy w:legacy="1" w:legacySpace="0" w:legacyIndent="0"/>
        <w:lvlJc w:val="left"/>
        <w:pPr>
          <w:ind w:left="0" w:firstLine="0"/>
        </w:pPr>
        <w:rPr>
          <w:rFonts w:ascii="Myriad Pro" w:hAnsi="Myriad Pro" w:hint="default"/>
          <w:b/>
          <w:i w:val="0"/>
          <w:strike w:val="0"/>
          <w:color w:val="000000"/>
          <w:sz w:val="22"/>
          <w:u w:val="none"/>
        </w:rPr>
      </w:lvl>
    </w:lvlOverride>
  </w:num>
  <w:num w:numId="19" w16cid:durableId="805588024">
    <w:abstractNumId w:val="5"/>
    <w:lvlOverride w:ilvl="0">
      <w:lvl w:ilvl="0">
        <w:start w:val="1"/>
        <w:numFmt w:val="bullet"/>
        <w:lvlText w:val="3.2 "/>
        <w:legacy w:legacy="1" w:legacySpace="0" w:legacyIndent="0"/>
        <w:lvlJc w:val="left"/>
        <w:pPr>
          <w:ind w:left="0" w:firstLine="0"/>
        </w:pPr>
        <w:rPr>
          <w:rFonts w:ascii="Myriad Pro" w:hAnsi="Myriad Pro" w:hint="default"/>
          <w:b/>
          <w:i w:val="0"/>
          <w:strike w:val="0"/>
          <w:color w:val="000000"/>
          <w:sz w:val="22"/>
          <w:u w:val="none"/>
        </w:rPr>
      </w:lvl>
    </w:lvlOverride>
  </w:num>
  <w:num w:numId="20" w16cid:durableId="1202549152">
    <w:abstractNumId w:val="5"/>
    <w:lvlOverride w:ilvl="0">
      <w:lvl w:ilvl="0">
        <w:start w:val="1"/>
        <w:numFmt w:val="bullet"/>
        <w:lvlText w:val="3.3 "/>
        <w:legacy w:legacy="1" w:legacySpace="0" w:legacyIndent="0"/>
        <w:lvlJc w:val="left"/>
        <w:pPr>
          <w:ind w:left="0" w:firstLine="0"/>
        </w:pPr>
        <w:rPr>
          <w:rFonts w:ascii="Myriad Pro" w:hAnsi="Myriad Pro" w:hint="default"/>
          <w:b/>
          <w:i w:val="0"/>
          <w:strike w:val="0"/>
          <w:color w:val="000000"/>
          <w:sz w:val="22"/>
          <w:u w:val="none"/>
        </w:rPr>
      </w:lvl>
    </w:lvlOverride>
  </w:num>
  <w:num w:numId="21" w16cid:durableId="1762287890">
    <w:abstractNumId w:val="5"/>
    <w:lvlOverride w:ilvl="0">
      <w:lvl w:ilvl="0">
        <w:start w:val="1"/>
        <w:numFmt w:val="bullet"/>
        <w:lvlText w:val="4 "/>
        <w:legacy w:legacy="1" w:legacySpace="0" w:legacyIndent="0"/>
        <w:lvlJc w:val="left"/>
        <w:pPr>
          <w:ind w:left="0" w:firstLine="0"/>
        </w:pPr>
        <w:rPr>
          <w:rFonts w:ascii="Myriad Pro" w:hAnsi="Myriad Pro" w:hint="default"/>
          <w:b/>
          <w:i w:val="0"/>
          <w:strike w:val="0"/>
          <w:color w:val="000000"/>
          <w:sz w:val="24"/>
          <w:u w:val="none"/>
        </w:rPr>
      </w:lvl>
    </w:lvlOverride>
  </w:num>
  <w:num w:numId="22" w16cid:durableId="568153913">
    <w:abstractNumId w:val="5"/>
    <w:lvlOverride w:ilvl="0">
      <w:lvl w:ilvl="0">
        <w:start w:val="1"/>
        <w:numFmt w:val="bullet"/>
        <w:lvlText w:val="5 "/>
        <w:legacy w:legacy="1" w:legacySpace="0" w:legacyIndent="0"/>
        <w:lvlJc w:val="left"/>
        <w:pPr>
          <w:ind w:left="0" w:firstLine="0"/>
        </w:pPr>
        <w:rPr>
          <w:rFonts w:ascii="Myriad Pro" w:hAnsi="Myriad Pro" w:hint="default"/>
          <w:b/>
          <w:i w:val="0"/>
          <w:strike w:val="0"/>
          <w:color w:val="000000"/>
          <w:sz w:val="24"/>
          <w:u w:val="none"/>
        </w:rPr>
      </w:lvl>
    </w:lvlOverride>
  </w:num>
  <w:num w:numId="23" w16cid:durableId="1589458093">
    <w:abstractNumId w:val="5"/>
    <w:lvlOverride w:ilvl="0">
      <w:lvl w:ilvl="0">
        <w:start w:val="1"/>
        <w:numFmt w:val="bullet"/>
        <w:lvlText w:val="6 "/>
        <w:legacy w:legacy="1" w:legacySpace="0" w:legacyIndent="0"/>
        <w:lvlJc w:val="left"/>
        <w:pPr>
          <w:ind w:left="0" w:firstLine="0"/>
        </w:pPr>
        <w:rPr>
          <w:rFonts w:ascii="Myriad Pro" w:hAnsi="Myriad Pro" w:hint="default"/>
          <w:b/>
          <w:i w:val="0"/>
          <w:strike w:val="0"/>
          <w:color w:val="000000"/>
          <w:sz w:val="24"/>
          <w:u w:val="none"/>
        </w:rPr>
      </w:lvl>
    </w:lvlOverride>
  </w:num>
  <w:num w:numId="24" w16cid:durableId="123622515">
    <w:abstractNumId w:val="22"/>
  </w:num>
  <w:num w:numId="25" w16cid:durableId="333840625">
    <w:abstractNumId w:val="6"/>
  </w:num>
  <w:num w:numId="26" w16cid:durableId="1426607421">
    <w:abstractNumId w:val="20"/>
  </w:num>
  <w:num w:numId="27" w16cid:durableId="1880320780">
    <w:abstractNumId w:val="13"/>
  </w:num>
  <w:num w:numId="28" w16cid:durableId="50736186">
    <w:abstractNumId w:val="18"/>
  </w:num>
  <w:num w:numId="29" w16cid:durableId="1656713965">
    <w:abstractNumId w:val="23"/>
  </w:num>
  <w:num w:numId="30" w16cid:durableId="1004166662">
    <w:abstractNumId w:val="8"/>
  </w:num>
  <w:num w:numId="31" w16cid:durableId="1693796701">
    <w:abstractNumId w:val="7"/>
  </w:num>
  <w:num w:numId="32" w16cid:durableId="1051611238">
    <w:abstractNumId w:val="19"/>
  </w:num>
  <w:num w:numId="33" w16cid:durableId="660238661">
    <w:abstractNumId w:val="9"/>
  </w:num>
  <w:num w:numId="34" w16cid:durableId="668681397">
    <w:abstractNumId w:val="17"/>
  </w:num>
  <w:num w:numId="35" w16cid:durableId="229115202">
    <w:abstractNumId w:val="14"/>
  </w:num>
  <w:num w:numId="36" w16cid:durableId="1753744529">
    <w:abstractNumId w:val="24"/>
  </w:num>
  <w:num w:numId="37" w16cid:durableId="1516765840">
    <w:abstractNumId w:val="11"/>
  </w:num>
  <w:num w:numId="38" w16cid:durableId="141626657">
    <w:abstractNumId w:val="21"/>
  </w:num>
  <w:num w:numId="39" w16cid:durableId="1659655574">
    <w:abstractNumId w:val="25"/>
  </w:num>
  <w:num w:numId="40" w16cid:durableId="477574100">
    <w:abstractNumId w:val="15"/>
  </w:num>
  <w:num w:numId="41" w16cid:durableId="364141170">
    <w:abstractNumId w:val="16"/>
  </w:num>
  <w:num w:numId="42" w16cid:durableId="575866673">
    <w:abstractNumId w:val="10"/>
  </w:num>
  <w:num w:numId="43" w16cid:durableId="374044664">
    <w:abstractNumId w:val="12"/>
  </w:num>
  <w:num w:numId="44" w16cid:durableId="9163284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B20AC1"/>
    <w:rsid w:val="00B20AC1"/>
    <w:rsid w:val="00DD042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B0DB67"/>
  <w14:defaultImageDpi w14:val="0"/>
  <w15:docId w15:val="{16953E3E-FB30-42C5-8CC5-C259CD20A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AC1"/>
    <w:pPr>
      <w:spacing w:after="120" w:line="276" w:lineRule="auto"/>
    </w:pPr>
    <w:rPr>
      <w:rFonts w:ascii="Times New Roman" w:eastAsia="Times New Roman" w:hAnsi="Times New Roman"/>
      <w:spacing w:val="4"/>
      <w:kern w:val="0"/>
      <w:sz w:val="24"/>
    </w:rPr>
  </w:style>
  <w:style w:type="paragraph" w:styleId="Overskrift1">
    <w:name w:val="heading 1"/>
    <w:basedOn w:val="Normal"/>
    <w:next w:val="Normal"/>
    <w:link w:val="Overskrift1Tegn"/>
    <w:qFormat/>
    <w:rsid w:val="00B20AC1"/>
    <w:pPr>
      <w:keepNext/>
      <w:keepLines/>
      <w:numPr>
        <w:numId w:val="44"/>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B20AC1"/>
    <w:pPr>
      <w:keepNext/>
      <w:keepLines/>
      <w:numPr>
        <w:ilvl w:val="1"/>
        <w:numId w:val="44"/>
      </w:numPr>
      <w:spacing w:before="360" w:after="80"/>
      <w:outlineLvl w:val="1"/>
    </w:pPr>
    <w:rPr>
      <w:rFonts w:ascii="Arial" w:hAnsi="Arial"/>
      <w:b/>
      <w:sz w:val="28"/>
    </w:rPr>
  </w:style>
  <w:style w:type="paragraph" w:styleId="Overskrift3">
    <w:name w:val="heading 3"/>
    <w:basedOn w:val="Normal"/>
    <w:next w:val="Normal"/>
    <w:link w:val="Overskrift3Tegn"/>
    <w:qFormat/>
    <w:rsid w:val="00B20AC1"/>
    <w:pPr>
      <w:keepNext/>
      <w:keepLines/>
      <w:numPr>
        <w:ilvl w:val="2"/>
        <w:numId w:val="44"/>
      </w:numPr>
      <w:spacing w:before="360" w:after="80"/>
      <w:outlineLvl w:val="2"/>
    </w:pPr>
    <w:rPr>
      <w:rFonts w:ascii="Arial" w:hAnsi="Arial"/>
      <w:b/>
      <w:spacing w:val="0"/>
    </w:rPr>
  </w:style>
  <w:style w:type="paragraph" w:styleId="Overskrift4">
    <w:name w:val="heading 4"/>
    <w:basedOn w:val="Normal"/>
    <w:next w:val="Normal"/>
    <w:link w:val="Overskrift4Tegn"/>
    <w:qFormat/>
    <w:rsid w:val="00B20AC1"/>
    <w:pPr>
      <w:keepNext/>
      <w:keepLines/>
      <w:numPr>
        <w:ilvl w:val="3"/>
        <w:numId w:val="44"/>
      </w:numPr>
      <w:spacing w:before="120" w:after="0"/>
      <w:outlineLvl w:val="3"/>
    </w:pPr>
    <w:rPr>
      <w:rFonts w:ascii="Arial" w:hAnsi="Arial"/>
      <w:i/>
    </w:rPr>
  </w:style>
  <w:style w:type="paragraph" w:styleId="Overskrift5">
    <w:name w:val="heading 5"/>
    <w:basedOn w:val="Normal"/>
    <w:next w:val="Normal"/>
    <w:link w:val="Overskrift5Tegn"/>
    <w:qFormat/>
    <w:rsid w:val="00B20AC1"/>
    <w:pPr>
      <w:keepNext/>
      <w:numPr>
        <w:ilvl w:val="4"/>
        <w:numId w:val="44"/>
      </w:numPr>
      <w:spacing w:before="120" w:after="0"/>
      <w:outlineLvl w:val="4"/>
    </w:pPr>
    <w:rPr>
      <w:rFonts w:ascii="Arial" w:hAnsi="Arial"/>
      <w:i/>
      <w:spacing w:val="0"/>
    </w:rPr>
  </w:style>
  <w:style w:type="paragraph" w:styleId="Overskrift6">
    <w:name w:val="heading 6"/>
    <w:basedOn w:val="Normal"/>
    <w:next w:val="Normal"/>
    <w:link w:val="Overskrift6Tegn"/>
    <w:qFormat/>
    <w:rsid w:val="00B20AC1"/>
    <w:pPr>
      <w:numPr>
        <w:ilvl w:val="5"/>
        <w:numId w:val="24"/>
      </w:numPr>
      <w:spacing w:before="240" w:after="60"/>
      <w:outlineLvl w:val="5"/>
    </w:pPr>
    <w:rPr>
      <w:rFonts w:ascii="Arial" w:hAnsi="Arial"/>
      <w:i/>
      <w:sz w:val="22"/>
    </w:rPr>
  </w:style>
  <w:style w:type="paragraph" w:styleId="Overskrift7">
    <w:name w:val="heading 7"/>
    <w:basedOn w:val="Normal"/>
    <w:next w:val="Normal"/>
    <w:link w:val="Overskrift7Tegn"/>
    <w:qFormat/>
    <w:rsid w:val="00B20AC1"/>
    <w:pPr>
      <w:numPr>
        <w:ilvl w:val="6"/>
        <w:numId w:val="24"/>
      </w:numPr>
      <w:spacing w:before="240" w:after="60"/>
      <w:outlineLvl w:val="6"/>
    </w:pPr>
    <w:rPr>
      <w:rFonts w:ascii="Arial" w:hAnsi="Arial"/>
    </w:rPr>
  </w:style>
  <w:style w:type="paragraph" w:styleId="Overskrift8">
    <w:name w:val="heading 8"/>
    <w:basedOn w:val="Normal"/>
    <w:next w:val="Normal"/>
    <w:link w:val="Overskrift8Tegn"/>
    <w:qFormat/>
    <w:rsid w:val="00B20AC1"/>
    <w:pPr>
      <w:numPr>
        <w:ilvl w:val="7"/>
        <w:numId w:val="24"/>
      </w:numPr>
      <w:spacing w:before="240" w:after="60"/>
      <w:outlineLvl w:val="7"/>
    </w:pPr>
    <w:rPr>
      <w:rFonts w:ascii="Arial" w:hAnsi="Arial"/>
      <w:i/>
    </w:rPr>
  </w:style>
  <w:style w:type="paragraph" w:styleId="Overskrift9">
    <w:name w:val="heading 9"/>
    <w:basedOn w:val="Normal"/>
    <w:next w:val="Normal"/>
    <w:link w:val="Overskrift9Tegn"/>
    <w:qFormat/>
    <w:rsid w:val="00B20AC1"/>
    <w:pPr>
      <w:numPr>
        <w:ilvl w:val="8"/>
        <w:numId w:val="24"/>
      </w:numPr>
      <w:spacing w:before="240" w:after="60"/>
      <w:outlineLvl w:val="8"/>
    </w:pPr>
    <w:rPr>
      <w:rFonts w:ascii="Arial" w:hAnsi="Arial"/>
      <w:i/>
      <w:sz w:val="18"/>
    </w:rPr>
  </w:style>
  <w:style w:type="character" w:default="1" w:styleId="Standardskriftforavsnitt">
    <w:name w:val="Default Paragraph Font"/>
    <w:uiPriority w:val="1"/>
    <w:unhideWhenUsed/>
    <w:rsid w:val="00B20AC1"/>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B20AC1"/>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B20AC1"/>
    <w:pPr>
      <w:keepNext/>
      <w:keepLines/>
      <w:spacing w:before="240" w:after="240"/>
    </w:pPr>
  </w:style>
  <w:style w:type="paragraph" w:customStyle="1" w:styleId="a-konge-tit">
    <w:name w:val="a-konge-tit"/>
    <w:basedOn w:val="Normal"/>
    <w:next w:val="Normal"/>
    <w:rsid w:val="00B20AC1"/>
    <w:pPr>
      <w:keepNext/>
      <w:keepLines/>
      <w:spacing w:before="240"/>
      <w:jc w:val="center"/>
    </w:pPr>
    <w:rPr>
      <w:spacing w:val="30"/>
    </w:rPr>
  </w:style>
  <w:style w:type="paragraph" w:customStyle="1" w:styleId="a-tilraar-dep">
    <w:name w:val="a-tilraar-dep"/>
    <w:basedOn w:val="Normal"/>
    <w:next w:val="Normal"/>
    <w:rsid w:val="00B20AC1"/>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B20AC1"/>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B20AC1"/>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B20AC1"/>
    <w:pPr>
      <w:keepNext/>
      <w:spacing w:before="360" w:after="60"/>
      <w:jc w:val="center"/>
    </w:pPr>
    <w:rPr>
      <w:b/>
    </w:rPr>
  </w:style>
  <w:style w:type="paragraph" w:customStyle="1" w:styleId="a-vedtak-tekst">
    <w:name w:val="a-vedtak-tekst"/>
    <w:basedOn w:val="Normal"/>
    <w:next w:val="Normal"/>
    <w:rsid w:val="00B20AC1"/>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B20AC1"/>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B20AC1"/>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B20AC1"/>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B20AC1"/>
    <w:pPr>
      <w:numPr>
        <w:numId w:val="26"/>
      </w:numPr>
      <w:spacing w:after="0"/>
    </w:pPr>
  </w:style>
  <w:style w:type="paragraph" w:customStyle="1" w:styleId="alfaliste2">
    <w:name w:val="alfaliste 2"/>
    <w:basedOn w:val="Liste2"/>
    <w:rsid w:val="00B20AC1"/>
    <w:pPr>
      <w:numPr>
        <w:numId w:val="26"/>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B20AC1"/>
    <w:pPr>
      <w:numPr>
        <w:ilvl w:val="2"/>
        <w:numId w:val="26"/>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B20AC1"/>
    <w:pPr>
      <w:numPr>
        <w:ilvl w:val="3"/>
        <w:numId w:val="26"/>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B20AC1"/>
    <w:pPr>
      <w:numPr>
        <w:ilvl w:val="4"/>
        <w:numId w:val="26"/>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B20AC1"/>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B20AC1"/>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B20AC1"/>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B20AC1"/>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B20AC1"/>
    <w:rPr>
      <w:rFonts w:ascii="Arial" w:eastAsia="Times New Roman" w:hAnsi="Arial"/>
      <w:b/>
      <w:spacing w:val="4"/>
      <w:kern w:val="0"/>
      <w:sz w:val="28"/>
    </w:rPr>
  </w:style>
  <w:style w:type="paragraph" w:customStyle="1" w:styleId="b-post">
    <w:name w:val="b-post"/>
    <w:basedOn w:val="Normal"/>
    <w:next w:val="Normal"/>
    <w:rsid w:val="00B20AC1"/>
    <w:pPr>
      <w:keepNext/>
      <w:keepLines/>
      <w:spacing w:before="360"/>
      <w:ind w:left="1021" w:hanging="1021"/>
      <w:outlineLvl w:val="3"/>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B20AC1"/>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customStyle="1" w:styleId="b-progomr">
    <w:name w:val="b-progomr"/>
    <w:basedOn w:val="Normal"/>
    <w:next w:val="Normal"/>
    <w:rsid w:val="00B20AC1"/>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B20AC1"/>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B20AC1"/>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B20AC1"/>
  </w:style>
  <w:style w:type="paragraph" w:customStyle="1" w:styleId="Def">
    <w:name w:val="Def"/>
    <w:basedOn w:val="hengende-innrykk"/>
    <w:rsid w:val="00B20AC1"/>
    <w:pPr>
      <w:spacing w:line="240" w:lineRule="auto"/>
      <w:ind w:left="0" w:firstLine="0"/>
    </w:pPr>
    <w:rPr>
      <w:rFonts w:ascii="Times" w:eastAsia="Batang" w:hAnsi="Times"/>
      <w:spacing w:val="0"/>
      <w:szCs w:val="20"/>
    </w:rPr>
  </w:style>
  <w:style w:type="paragraph" w:customStyle="1" w:styleId="del-nr">
    <w:name w:val="del-nr"/>
    <w:basedOn w:val="Normal"/>
    <w:qFormat/>
    <w:rsid w:val="00B20AC1"/>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B20AC1"/>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figur-beskr">
    <w:name w:val="figur-beskr"/>
    <w:basedOn w:val="Normal"/>
    <w:next w:val="Normal"/>
    <w:rsid w:val="00B20AC1"/>
  </w:style>
  <w:style w:type="paragraph" w:customStyle="1" w:styleId="figur-noter">
    <w:name w:val="figur-noter"/>
    <w:basedOn w:val="Normal"/>
    <w:next w:val="Normal"/>
    <w:rsid w:val="00B20AC1"/>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B20AC1"/>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basedOn w:val="Normal"/>
    <w:next w:val="Normal"/>
    <w:rsid w:val="00B20AC1"/>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B20AC1"/>
    <w:rPr>
      <w:sz w:val="20"/>
    </w:rPr>
  </w:style>
  <w:style w:type="character" w:customStyle="1" w:styleId="FotnotetekstTegn">
    <w:name w:val="Fotnotetekst Tegn"/>
    <w:link w:val="Fotnotetekst"/>
    <w:rsid w:val="00B20AC1"/>
    <w:rPr>
      <w:rFonts w:ascii="Times New Roman" w:eastAsia="Times New Roman" w:hAnsi="Times New Roman"/>
      <w:spacing w:val="4"/>
      <w:kern w:val="0"/>
      <w:sz w:val="20"/>
    </w:rPr>
  </w:style>
  <w:style w:type="paragraph" w:customStyle="1" w:styleId="friliste">
    <w:name w:val="friliste"/>
    <w:basedOn w:val="Normal"/>
    <w:qFormat/>
    <w:rsid w:val="00B20AC1"/>
    <w:pPr>
      <w:tabs>
        <w:tab w:val="left" w:pos="397"/>
      </w:tabs>
      <w:spacing w:after="0"/>
      <w:ind w:left="397" w:hanging="397"/>
    </w:pPr>
    <w:rPr>
      <w:spacing w:val="0"/>
    </w:rPr>
  </w:style>
  <w:style w:type="paragraph" w:customStyle="1" w:styleId="friliste2">
    <w:name w:val="friliste 2"/>
    <w:basedOn w:val="Normal"/>
    <w:qFormat/>
    <w:rsid w:val="00B20AC1"/>
    <w:pPr>
      <w:tabs>
        <w:tab w:val="left" w:pos="794"/>
      </w:tabs>
      <w:spacing w:after="0"/>
      <w:ind w:left="794" w:hanging="397"/>
    </w:pPr>
    <w:rPr>
      <w:spacing w:val="0"/>
    </w:rPr>
  </w:style>
  <w:style w:type="paragraph" w:customStyle="1" w:styleId="friliste3">
    <w:name w:val="friliste 3"/>
    <w:basedOn w:val="Normal"/>
    <w:qFormat/>
    <w:rsid w:val="00B20AC1"/>
    <w:pPr>
      <w:tabs>
        <w:tab w:val="left" w:pos="1191"/>
      </w:tabs>
      <w:spacing w:after="0"/>
      <w:ind w:left="1191" w:hanging="397"/>
    </w:pPr>
    <w:rPr>
      <w:spacing w:val="0"/>
    </w:rPr>
  </w:style>
  <w:style w:type="paragraph" w:customStyle="1" w:styleId="friliste4">
    <w:name w:val="friliste 4"/>
    <w:basedOn w:val="Normal"/>
    <w:qFormat/>
    <w:rsid w:val="00B20AC1"/>
    <w:pPr>
      <w:tabs>
        <w:tab w:val="left" w:pos="1588"/>
      </w:tabs>
      <w:spacing w:after="0"/>
      <w:ind w:left="1588" w:hanging="397"/>
    </w:pPr>
    <w:rPr>
      <w:spacing w:val="0"/>
    </w:rPr>
  </w:style>
  <w:style w:type="paragraph" w:customStyle="1" w:styleId="friliste5">
    <w:name w:val="friliste 5"/>
    <w:basedOn w:val="Normal"/>
    <w:qFormat/>
    <w:rsid w:val="00B20AC1"/>
    <w:pPr>
      <w:tabs>
        <w:tab w:val="left" w:pos="1985"/>
      </w:tabs>
      <w:spacing w:after="0"/>
      <w:ind w:left="1985" w:hanging="397"/>
    </w:pPr>
    <w:rPr>
      <w:spacing w:val="0"/>
    </w:rPr>
  </w:style>
  <w:style w:type="paragraph" w:customStyle="1" w:styleId="Fullmakttit">
    <w:name w:val="Fullmakttit"/>
    <w:basedOn w:val="Normal"/>
    <w:next w:val="Normal"/>
    <w:rsid w:val="00B20AC1"/>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B20AC1"/>
    <w:pPr>
      <w:ind w:left="1418" w:hanging="1418"/>
    </w:pPr>
  </w:style>
  <w:style w:type="paragraph" w:customStyle="1" w:styleId="i-budkap-over">
    <w:name w:val="i-budkap-over"/>
    <w:basedOn w:val="Normal"/>
    <w:next w:val="Normal"/>
    <w:rsid w:val="00B20AC1"/>
    <w:pPr>
      <w:jc w:val="right"/>
    </w:pPr>
    <w:rPr>
      <w:rFonts w:ascii="Times" w:hAnsi="Times"/>
      <w:b/>
      <w:noProof/>
    </w:rPr>
  </w:style>
  <w:style w:type="paragraph" w:customStyle="1" w:styleId="i-dep">
    <w:name w:val="i-dep"/>
    <w:basedOn w:val="Normal"/>
    <w:next w:val="Normal"/>
    <w:rsid w:val="00B20AC1"/>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B20AC1"/>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B20AC1"/>
    <w:pPr>
      <w:keepNext/>
      <w:keepLines/>
      <w:jc w:val="center"/>
    </w:pPr>
    <w:rPr>
      <w:rFonts w:eastAsia="Batang"/>
      <w:b/>
      <w:sz w:val="28"/>
    </w:rPr>
  </w:style>
  <w:style w:type="paragraph" w:customStyle="1" w:styleId="i-mtit">
    <w:name w:val="i-mtit"/>
    <w:basedOn w:val="Normal"/>
    <w:next w:val="Normal"/>
    <w:rsid w:val="00B20AC1"/>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B20AC1"/>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B20AC1"/>
    <w:pPr>
      <w:spacing w:after="0"/>
      <w:jc w:val="center"/>
    </w:pPr>
    <w:rPr>
      <w:rFonts w:ascii="Times" w:hAnsi="Times"/>
      <w:i/>
      <w:noProof/>
    </w:rPr>
  </w:style>
  <w:style w:type="paragraph" w:customStyle="1" w:styleId="i-termin">
    <w:name w:val="i-termin"/>
    <w:basedOn w:val="Normal"/>
    <w:next w:val="Normal"/>
    <w:rsid w:val="00B20AC1"/>
    <w:pPr>
      <w:spacing w:before="360"/>
      <w:jc w:val="center"/>
    </w:pPr>
    <w:rPr>
      <w:b/>
      <w:noProof/>
      <w:sz w:val="28"/>
    </w:rPr>
  </w:style>
  <w:style w:type="paragraph" w:customStyle="1" w:styleId="i-tit">
    <w:name w:val="i-tit"/>
    <w:basedOn w:val="Normal"/>
    <w:next w:val="i-statsrdato"/>
    <w:rsid w:val="00B20AC1"/>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B20AC1"/>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B20AC1"/>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alfaliste"/>
    <w:qFormat/>
    <w:rsid w:val="00B20AC1"/>
    <w:pPr>
      <w:numPr>
        <w:numId w:val="35"/>
      </w:numPr>
    </w:pPr>
  </w:style>
  <w:style w:type="paragraph" w:customStyle="1" w:styleId="l-alfaliste2">
    <w:name w:val="l-alfaliste 2"/>
    <w:basedOn w:val="alfaliste2"/>
    <w:qFormat/>
    <w:rsid w:val="00B20AC1"/>
    <w:pPr>
      <w:numPr>
        <w:numId w:val="35"/>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B20AC1"/>
    <w:pPr>
      <w:numPr>
        <w:numId w:val="35"/>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B20AC1"/>
    <w:pPr>
      <w:numPr>
        <w:numId w:val="35"/>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B20AC1"/>
    <w:pPr>
      <w:numPr>
        <w:numId w:val="35"/>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B20AC1"/>
    <w:rPr>
      <w:lang w:val="nn-NO"/>
    </w:rPr>
  </w:style>
  <w:style w:type="paragraph" w:customStyle="1" w:styleId="l-ledd">
    <w:name w:val="l-ledd"/>
    <w:basedOn w:val="Normal"/>
    <w:qFormat/>
    <w:rsid w:val="00B20AC1"/>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B20AC1"/>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B20AC1"/>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B20AC1"/>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B20AC1"/>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B20AC1"/>
  </w:style>
  <w:style w:type="paragraph" w:customStyle="1" w:styleId="l-tit-endr-ledd">
    <w:name w:val="l-tit-endr-ledd"/>
    <w:basedOn w:val="Normal"/>
    <w:qFormat/>
    <w:rsid w:val="00B20AC1"/>
    <w:pPr>
      <w:keepNext/>
      <w:spacing w:before="240" w:after="0" w:line="240" w:lineRule="auto"/>
    </w:pPr>
    <w:rPr>
      <w:rFonts w:ascii="Times" w:hAnsi="Times"/>
      <w:noProof/>
      <w:lang w:val="nn-NO"/>
    </w:rPr>
  </w:style>
  <w:style w:type="paragraph" w:customStyle="1" w:styleId="l-tit-endr-lov">
    <w:name w:val="l-tit-endr-lov"/>
    <w:basedOn w:val="Normal"/>
    <w:qFormat/>
    <w:rsid w:val="00B20AC1"/>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B20AC1"/>
    <w:pPr>
      <w:keepNext/>
      <w:spacing w:before="240" w:after="0" w:line="240" w:lineRule="auto"/>
    </w:pPr>
    <w:rPr>
      <w:rFonts w:ascii="Times" w:hAnsi="Times"/>
      <w:noProof/>
      <w:lang w:val="nn-NO"/>
    </w:rPr>
  </w:style>
  <w:style w:type="paragraph" w:customStyle="1" w:styleId="l-tit-endr-lovkap">
    <w:name w:val="l-tit-endr-lovkap"/>
    <w:basedOn w:val="Normal"/>
    <w:qFormat/>
    <w:rsid w:val="00B20AC1"/>
    <w:pPr>
      <w:keepNext/>
      <w:spacing w:before="240" w:after="0" w:line="240" w:lineRule="auto"/>
    </w:pPr>
    <w:rPr>
      <w:rFonts w:ascii="Times" w:hAnsi="Times"/>
      <w:noProof/>
      <w:lang w:val="nn-NO"/>
    </w:rPr>
  </w:style>
  <w:style w:type="paragraph" w:customStyle="1" w:styleId="l-tit-endr-paragraf">
    <w:name w:val="l-tit-endr-paragraf"/>
    <w:basedOn w:val="Normal"/>
    <w:qFormat/>
    <w:rsid w:val="00B20AC1"/>
    <w:pPr>
      <w:keepNext/>
      <w:spacing w:before="240" w:after="0" w:line="240" w:lineRule="auto"/>
    </w:pPr>
    <w:rPr>
      <w:rFonts w:ascii="Times" w:hAnsi="Times"/>
      <w:noProof/>
      <w:lang w:val="nn-NO"/>
    </w:rPr>
  </w:style>
  <w:style w:type="paragraph" w:customStyle="1" w:styleId="l-tit-endr-punktum">
    <w:name w:val="l-tit-endr-punktum"/>
    <w:basedOn w:val="l-tit-endr-ledd"/>
    <w:qFormat/>
    <w:rsid w:val="00B20AC1"/>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B20AC1"/>
    <w:pPr>
      <w:numPr>
        <w:numId w:val="29"/>
      </w:numPr>
      <w:spacing w:line="240" w:lineRule="auto"/>
      <w:contextualSpacing/>
    </w:pPr>
  </w:style>
  <w:style w:type="paragraph" w:styleId="Liste2">
    <w:name w:val="List 2"/>
    <w:basedOn w:val="Normal"/>
    <w:rsid w:val="00B20AC1"/>
    <w:pPr>
      <w:numPr>
        <w:ilvl w:val="1"/>
        <w:numId w:val="29"/>
      </w:numPr>
      <w:spacing w:after="0"/>
    </w:pPr>
  </w:style>
  <w:style w:type="paragraph" w:styleId="Liste3">
    <w:name w:val="List 3"/>
    <w:basedOn w:val="Normal"/>
    <w:rsid w:val="00B20AC1"/>
    <w:pPr>
      <w:numPr>
        <w:ilvl w:val="2"/>
        <w:numId w:val="29"/>
      </w:numPr>
      <w:spacing w:after="0"/>
    </w:pPr>
    <w:rPr>
      <w:spacing w:val="0"/>
    </w:rPr>
  </w:style>
  <w:style w:type="paragraph" w:styleId="Liste4">
    <w:name w:val="List 4"/>
    <w:basedOn w:val="Normal"/>
    <w:rsid w:val="00B20AC1"/>
    <w:pPr>
      <w:numPr>
        <w:ilvl w:val="3"/>
        <w:numId w:val="29"/>
      </w:numPr>
      <w:spacing w:after="0"/>
    </w:pPr>
    <w:rPr>
      <w:spacing w:val="0"/>
    </w:rPr>
  </w:style>
  <w:style w:type="paragraph" w:styleId="Liste5">
    <w:name w:val="List 5"/>
    <w:basedOn w:val="Normal"/>
    <w:rsid w:val="00B20AC1"/>
    <w:pPr>
      <w:numPr>
        <w:ilvl w:val="4"/>
        <w:numId w:val="29"/>
      </w:numPr>
      <w:spacing w:after="0"/>
    </w:pPr>
    <w:rPr>
      <w:spacing w:val="0"/>
    </w:rPr>
  </w:style>
  <w:style w:type="paragraph" w:customStyle="1" w:styleId="Listebombe">
    <w:name w:val="Liste bombe"/>
    <w:basedOn w:val="Liste"/>
    <w:qFormat/>
    <w:rsid w:val="00B20AC1"/>
    <w:pPr>
      <w:numPr>
        <w:numId w:val="37"/>
      </w:numPr>
      <w:tabs>
        <w:tab w:val="left" w:pos="397"/>
      </w:tabs>
      <w:ind w:left="397" w:hanging="397"/>
    </w:pPr>
  </w:style>
  <w:style w:type="paragraph" w:customStyle="1" w:styleId="Listebombe2">
    <w:name w:val="Liste bombe 2"/>
    <w:basedOn w:val="Liste2"/>
    <w:qFormat/>
    <w:rsid w:val="00B20AC1"/>
    <w:pPr>
      <w:numPr>
        <w:ilvl w:val="0"/>
        <w:numId w:val="38"/>
      </w:numPr>
      <w:ind w:left="794" w:hanging="397"/>
    </w:pPr>
  </w:style>
  <w:style w:type="paragraph" w:customStyle="1" w:styleId="Listebombe3">
    <w:name w:val="Liste bombe 3"/>
    <w:basedOn w:val="Liste3"/>
    <w:qFormat/>
    <w:rsid w:val="00B20AC1"/>
    <w:pPr>
      <w:numPr>
        <w:ilvl w:val="0"/>
        <w:numId w:val="39"/>
      </w:numPr>
      <w:ind w:left="1191" w:hanging="397"/>
    </w:pPr>
  </w:style>
  <w:style w:type="paragraph" w:customStyle="1" w:styleId="Listebombe4">
    <w:name w:val="Liste bombe 4"/>
    <w:basedOn w:val="Liste4"/>
    <w:qFormat/>
    <w:rsid w:val="00B20AC1"/>
    <w:pPr>
      <w:numPr>
        <w:ilvl w:val="0"/>
        <w:numId w:val="40"/>
      </w:numPr>
      <w:ind w:left="1588" w:hanging="397"/>
    </w:pPr>
  </w:style>
  <w:style w:type="paragraph" w:customStyle="1" w:styleId="Listebombe5">
    <w:name w:val="Liste bombe 5"/>
    <w:basedOn w:val="Liste5"/>
    <w:qFormat/>
    <w:rsid w:val="00B20AC1"/>
    <w:pPr>
      <w:numPr>
        <w:ilvl w:val="0"/>
        <w:numId w:val="41"/>
      </w:numPr>
      <w:ind w:left="1985" w:hanging="397"/>
    </w:pPr>
  </w:style>
  <w:style w:type="paragraph" w:styleId="Listeavsnitt">
    <w:name w:val="List Paragraph"/>
    <w:basedOn w:val="Normal"/>
    <w:uiPriority w:val="34"/>
    <w:qFormat/>
    <w:rsid w:val="00B20AC1"/>
    <w:pPr>
      <w:spacing w:before="60" w:after="0"/>
      <w:ind w:left="397"/>
    </w:pPr>
    <w:rPr>
      <w:spacing w:val="0"/>
    </w:rPr>
  </w:style>
  <w:style w:type="paragraph" w:customStyle="1" w:styleId="Listeavsnitt2">
    <w:name w:val="Listeavsnitt 2"/>
    <w:basedOn w:val="Normal"/>
    <w:qFormat/>
    <w:rsid w:val="00B20AC1"/>
    <w:pPr>
      <w:spacing w:before="60" w:after="0"/>
      <w:ind w:left="794"/>
    </w:pPr>
    <w:rPr>
      <w:spacing w:val="0"/>
    </w:rPr>
  </w:style>
  <w:style w:type="paragraph" w:customStyle="1" w:styleId="Listeavsnitt3">
    <w:name w:val="Listeavsnitt 3"/>
    <w:basedOn w:val="Normal"/>
    <w:qFormat/>
    <w:rsid w:val="00B20AC1"/>
    <w:pPr>
      <w:spacing w:before="60" w:after="0"/>
      <w:ind w:left="1191"/>
    </w:pPr>
    <w:rPr>
      <w:spacing w:val="0"/>
    </w:rPr>
  </w:style>
  <w:style w:type="paragraph" w:customStyle="1" w:styleId="Listeavsnitt4">
    <w:name w:val="Listeavsnitt 4"/>
    <w:basedOn w:val="Normal"/>
    <w:qFormat/>
    <w:rsid w:val="00B20AC1"/>
    <w:pPr>
      <w:spacing w:before="60" w:after="0"/>
      <w:ind w:left="1588"/>
    </w:pPr>
    <w:rPr>
      <w:spacing w:val="0"/>
    </w:rPr>
  </w:style>
  <w:style w:type="paragraph" w:customStyle="1" w:styleId="Listeavsnitt5">
    <w:name w:val="Listeavsnitt 5"/>
    <w:basedOn w:val="Normal"/>
    <w:qFormat/>
    <w:rsid w:val="00B20AC1"/>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B20AC1"/>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B20AC1"/>
    <w:pPr>
      <w:numPr>
        <w:numId w:val="27"/>
      </w:numPr>
      <w:spacing w:after="0"/>
    </w:pPr>
    <w:rPr>
      <w:rFonts w:ascii="Times" w:eastAsia="Batang" w:hAnsi="Times"/>
      <w:spacing w:val="0"/>
      <w:szCs w:val="20"/>
    </w:rPr>
  </w:style>
  <w:style w:type="paragraph" w:styleId="Nummerertliste2">
    <w:name w:val="List Number 2"/>
    <w:basedOn w:val="Normal"/>
    <w:rsid w:val="00B20AC1"/>
    <w:pPr>
      <w:numPr>
        <w:ilvl w:val="1"/>
        <w:numId w:val="27"/>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B20AC1"/>
    <w:pPr>
      <w:numPr>
        <w:ilvl w:val="2"/>
        <w:numId w:val="27"/>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B20AC1"/>
    <w:pPr>
      <w:numPr>
        <w:ilvl w:val="3"/>
        <w:numId w:val="27"/>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B20AC1"/>
    <w:pPr>
      <w:numPr>
        <w:ilvl w:val="4"/>
        <w:numId w:val="27"/>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B20AC1"/>
    <w:pPr>
      <w:spacing w:after="0"/>
      <w:ind w:left="397"/>
    </w:pPr>
    <w:rPr>
      <w:spacing w:val="0"/>
      <w:lang w:val="en-US"/>
    </w:rPr>
  </w:style>
  <w:style w:type="paragraph" w:customStyle="1" w:styleId="opplisting3">
    <w:name w:val="opplisting 3"/>
    <w:basedOn w:val="Normal"/>
    <w:qFormat/>
    <w:rsid w:val="00B20AC1"/>
    <w:pPr>
      <w:spacing w:after="0"/>
      <w:ind w:left="794"/>
    </w:pPr>
    <w:rPr>
      <w:spacing w:val="0"/>
    </w:rPr>
  </w:style>
  <w:style w:type="paragraph" w:customStyle="1" w:styleId="opplisting4">
    <w:name w:val="opplisting 4"/>
    <w:basedOn w:val="Normal"/>
    <w:qFormat/>
    <w:rsid w:val="00B20AC1"/>
    <w:pPr>
      <w:spacing w:after="0"/>
      <w:ind w:left="1191"/>
    </w:pPr>
    <w:rPr>
      <w:spacing w:val="0"/>
    </w:rPr>
  </w:style>
  <w:style w:type="paragraph" w:customStyle="1" w:styleId="opplisting5">
    <w:name w:val="opplisting 5"/>
    <w:basedOn w:val="Normal"/>
    <w:qFormat/>
    <w:rsid w:val="00B20AC1"/>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character" w:customStyle="1" w:styleId="Overskrift1Tegn">
    <w:name w:val="Overskrift 1 Tegn"/>
    <w:link w:val="Overskrift1"/>
    <w:rsid w:val="00B20AC1"/>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link w:val="Overskrift3"/>
    <w:rsid w:val="00B20AC1"/>
    <w:rPr>
      <w:rFonts w:ascii="Arial" w:eastAsia="Times New Roman" w:hAnsi="Arial"/>
      <w:b/>
      <w:kern w:val="0"/>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link w:val="Overskrift4"/>
    <w:rsid w:val="00B20AC1"/>
    <w:rPr>
      <w:rFonts w:ascii="Arial" w:eastAsia="Times New Roman" w:hAnsi="Arial"/>
      <w:i/>
      <w:spacing w:val="4"/>
      <w:kern w:val="0"/>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link w:val="Overskrift5"/>
    <w:rsid w:val="00B20AC1"/>
    <w:rPr>
      <w:rFonts w:ascii="Arial" w:eastAsia="Times New Roman" w:hAnsi="Arial"/>
      <w:i/>
      <w:kern w:val="0"/>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B20AC1"/>
    <w:rPr>
      <w:spacing w:val="6"/>
      <w:sz w:val="19"/>
    </w:rPr>
  </w:style>
  <w:style w:type="paragraph" w:customStyle="1" w:styleId="ramme-noter">
    <w:name w:val="ramme-noter"/>
    <w:basedOn w:val="Normal"/>
    <w:next w:val="Normal"/>
    <w:rsid w:val="00B20AC1"/>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B20AC1"/>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B20AC1"/>
    <w:pPr>
      <w:numPr>
        <w:numId w:val="36"/>
      </w:numPr>
      <w:spacing w:after="0" w:line="240" w:lineRule="auto"/>
    </w:pPr>
    <w:rPr>
      <w:rFonts w:ascii="Times" w:eastAsia="Batang" w:hAnsi="Times"/>
      <w:spacing w:val="0"/>
      <w:szCs w:val="20"/>
    </w:rPr>
  </w:style>
  <w:style w:type="paragraph" w:customStyle="1" w:styleId="romertallliste2">
    <w:name w:val="romertall liste 2"/>
    <w:basedOn w:val="Normal"/>
    <w:rsid w:val="00B20AC1"/>
    <w:pPr>
      <w:numPr>
        <w:ilvl w:val="1"/>
        <w:numId w:val="36"/>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B20AC1"/>
    <w:pPr>
      <w:numPr>
        <w:ilvl w:val="2"/>
        <w:numId w:val="36"/>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B20AC1"/>
    <w:pPr>
      <w:numPr>
        <w:ilvl w:val="3"/>
        <w:numId w:val="36"/>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B20AC1"/>
    <w:pPr>
      <w:numPr>
        <w:ilvl w:val="4"/>
        <w:numId w:val="36"/>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B20AC1"/>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B20AC1"/>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B20AC1"/>
    <w:pPr>
      <w:keepNext/>
      <w:keepLines/>
      <w:numPr>
        <w:ilvl w:val="6"/>
        <w:numId w:val="44"/>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B20AC1"/>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B20AC1"/>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B20AC1"/>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B20AC1"/>
    <w:pPr>
      <w:keepNext/>
      <w:keepLines/>
      <w:spacing w:before="360" w:after="240"/>
      <w:jc w:val="center"/>
    </w:pPr>
    <w:rPr>
      <w:rFonts w:ascii="Arial" w:hAnsi="Arial"/>
      <w:b/>
      <w:sz w:val="28"/>
    </w:rPr>
  </w:style>
  <w:style w:type="paragraph" w:customStyle="1" w:styleId="tittel-ordforkl">
    <w:name w:val="tittel-ordforkl"/>
    <w:basedOn w:val="Normal"/>
    <w:next w:val="Normal"/>
    <w:rsid w:val="00B20AC1"/>
    <w:pPr>
      <w:keepNext/>
      <w:keepLines/>
      <w:spacing w:before="360" w:after="240"/>
      <w:jc w:val="center"/>
    </w:pPr>
    <w:rPr>
      <w:rFonts w:ascii="Arial" w:hAnsi="Arial"/>
      <w:b/>
      <w:sz w:val="28"/>
    </w:rPr>
  </w:style>
  <w:style w:type="paragraph" w:customStyle="1" w:styleId="tittel-ramme">
    <w:name w:val="tittel-ramme"/>
    <w:basedOn w:val="Normal"/>
    <w:next w:val="Normal"/>
    <w:rsid w:val="00B20AC1"/>
    <w:pPr>
      <w:keepNext/>
      <w:keepLines/>
      <w:numPr>
        <w:ilvl w:val="7"/>
        <w:numId w:val="44"/>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B20AC1"/>
    <w:pPr>
      <w:keepNext/>
      <w:keepLines/>
      <w:spacing w:before="360"/>
    </w:pPr>
    <w:rPr>
      <w:rFonts w:ascii="Arial" w:hAnsi="Arial"/>
      <w:b/>
      <w:sz w:val="28"/>
    </w:rPr>
  </w:style>
  <w:style w:type="character" w:customStyle="1" w:styleId="UndertittelTegn">
    <w:name w:val="Undertittel Tegn"/>
    <w:link w:val="Undertittel"/>
    <w:rsid w:val="00B20AC1"/>
    <w:rPr>
      <w:rFonts w:ascii="Arial" w:eastAsia="Times New Roman" w:hAnsi="Arial"/>
      <w:b/>
      <w:spacing w:val="4"/>
      <w:kern w:val="0"/>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B20AC1"/>
    <w:pPr>
      <w:numPr>
        <w:numId w:val="0"/>
      </w:numPr>
    </w:pPr>
    <w:rPr>
      <w:b w:val="0"/>
      <w:i/>
    </w:rPr>
  </w:style>
  <w:style w:type="paragraph" w:customStyle="1" w:styleId="Undervedl-tittel">
    <w:name w:val="Undervedl-tittel"/>
    <w:basedOn w:val="Normal"/>
    <w:next w:val="Normal"/>
    <w:rsid w:val="00B20AC1"/>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B20AC1"/>
    <w:pPr>
      <w:numPr>
        <w:numId w:val="0"/>
      </w:numPr>
      <w:outlineLvl w:val="9"/>
    </w:pPr>
  </w:style>
  <w:style w:type="paragraph" w:customStyle="1" w:styleId="v-Overskrift2">
    <w:name w:val="v-Overskrift 2"/>
    <w:basedOn w:val="Overskrift2"/>
    <w:next w:val="Normal"/>
    <w:rsid w:val="00B20AC1"/>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B20AC1"/>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B20AC1"/>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B20AC1"/>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basedOn w:val="a-vedtak-tit"/>
    <w:qFormat/>
    <w:rsid w:val="00B20AC1"/>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B20AC1"/>
    <w:pPr>
      <w:numPr>
        <w:ilvl w:val="5"/>
        <w:numId w:val="44"/>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B20AC1"/>
    <w:pPr>
      <w:keepNext/>
      <w:keepLines/>
      <w:numPr>
        <w:numId w:val="25"/>
      </w:numPr>
      <w:ind w:left="357" w:hanging="357"/>
      <w:outlineLvl w:val="0"/>
    </w:pPr>
    <w:rPr>
      <w:rFonts w:ascii="Arial" w:hAnsi="Arial"/>
      <w:b/>
      <w:u w:val="single"/>
    </w:rPr>
  </w:style>
  <w:style w:type="paragraph" w:customStyle="1" w:styleId="Kilde">
    <w:name w:val="Kilde"/>
    <w:basedOn w:val="Normal"/>
    <w:next w:val="Normal"/>
    <w:rsid w:val="00B20AC1"/>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link w:val="Bunntekst"/>
    <w:rsid w:val="00B20AC1"/>
    <w:rPr>
      <w:rFonts w:ascii="Times New Roman" w:eastAsia="Times New Roman" w:hAnsi="Times New Roman"/>
      <w:spacing w:val="4"/>
      <w:kern w:val="0"/>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B20AC1"/>
    <w:rPr>
      <w:rFonts w:ascii="Times New Roman" w:eastAsia="Times New Roman" w:hAnsi="Times New Roman"/>
      <w:spacing w:val="4"/>
      <w:kern w:val="0"/>
      <w:sz w:val="24"/>
    </w:rPr>
  </w:style>
  <w:style w:type="character" w:styleId="Fotnotereferanse">
    <w:name w:val="footnote reference"/>
    <w:rsid w:val="00B20AC1"/>
    <w:rPr>
      <w:vertAlign w:val="superscript"/>
    </w:rPr>
  </w:style>
  <w:style w:type="character" w:customStyle="1" w:styleId="gjennomstreket">
    <w:name w:val="gjennomstreket"/>
    <w:uiPriority w:val="1"/>
    <w:rsid w:val="00B20AC1"/>
    <w:rPr>
      <w:strike/>
      <w:dstrike w:val="0"/>
    </w:rPr>
  </w:style>
  <w:style w:type="character" w:customStyle="1" w:styleId="halvfet0">
    <w:name w:val="halvfet"/>
    <w:rsid w:val="00B20AC1"/>
    <w:rPr>
      <w:b/>
    </w:rPr>
  </w:style>
  <w:style w:type="character" w:styleId="Hyperkobling">
    <w:name w:val="Hyperlink"/>
    <w:uiPriority w:val="99"/>
    <w:unhideWhenUsed/>
    <w:rsid w:val="00B20AC1"/>
    <w:rPr>
      <w:color w:val="0000FF"/>
      <w:u w:val="single"/>
    </w:rPr>
  </w:style>
  <w:style w:type="character" w:customStyle="1" w:styleId="kursiv">
    <w:name w:val="kursiv"/>
    <w:rsid w:val="00B20AC1"/>
    <w:rPr>
      <w:i/>
    </w:rPr>
  </w:style>
  <w:style w:type="character" w:customStyle="1" w:styleId="l-endring">
    <w:name w:val="l-endring"/>
    <w:rsid w:val="00B20AC1"/>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B20AC1"/>
  </w:style>
  <w:style w:type="character" w:styleId="Plassholdertekst">
    <w:name w:val="Placeholder Text"/>
    <w:uiPriority w:val="99"/>
    <w:rsid w:val="00B20AC1"/>
    <w:rPr>
      <w:color w:val="808080"/>
    </w:rPr>
  </w:style>
  <w:style w:type="character" w:customStyle="1" w:styleId="regular">
    <w:name w:val="regular"/>
    <w:uiPriority w:val="1"/>
    <w:qFormat/>
    <w:rsid w:val="00B20AC1"/>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B20AC1"/>
    <w:rPr>
      <w:vertAlign w:val="superscript"/>
    </w:rPr>
  </w:style>
  <w:style w:type="character" w:customStyle="1" w:styleId="skrift-senket">
    <w:name w:val="skrift-senket"/>
    <w:rsid w:val="00B20AC1"/>
    <w:rPr>
      <w:vertAlign w:val="subscript"/>
    </w:rPr>
  </w:style>
  <w:style w:type="character" w:customStyle="1" w:styleId="SluttnotetekstTegn">
    <w:name w:val="Sluttnotetekst Tegn"/>
    <w:link w:val="Sluttnotetekst"/>
    <w:uiPriority w:val="99"/>
    <w:semiHidden/>
    <w:rsid w:val="00B20AC1"/>
    <w:rPr>
      <w:rFonts w:ascii="Times New Roman" w:eastAsia="Times New Roman" w:hAnsi="Times New Roman"/>
      <w:spacing w:val="4"/>
      <w:kern w:val="0"/>
      <w:sz w:val="20"/>
      <w:szCs w:val="20"/>
    </w:rPr>
  </w:style>
  <w:style w:type="character" w:customStyle="1" w:styleId="sperret0">
    <w:name w:val="sperret"/>
    <w:rsid w:val="00B20AC1"/>
    <w:rPr>
      <w:spacing w:val="30"/>
    </w:rPr>
  </w:style>
  <w:style w:type="character" w:customStyle="1" w:styleId="SterktsitatTegn">
    <w:name w:val="Sterkt sitat Tegn"/>
    <w:link w:val="Sterktsitat"/>
    <w:uiPriority w:val="30"/>
    <w:rsid w:val="00B20AC1"/>
    <w:rPr>
      <w:rFonts w:ascii="Times New Roman" w:eastAsia="Times New Roman" w:hAnsi="Times New Roman"/>
      <w:b/>
      <w:bCs/>
      <w:i/>
      <w:iCs/>
      <w:color w:val="4F81BD"/>
      <w:spacing w:val="4"/>
      <w:kern w:val="0"/>
      <w:sz w:val="24"/>
    </w:rPr>
  </w:style>
  <w:style w:type="character" w:customStyle="1" w:styleId="Stikkord">
    <w:name w:val="Stikkord"/>
    <w:rsid w:val="00B20AC1"/>
    <w:rPr>
      <w:color w:val="0000FF"/>
    </w:rPr>
  </w:style>
  <w:style w:type="character" w:customStyle="1" w:styleId="stikkord0">
    <w:name w:val="stikkord"/>
    <w:uiPriority w:val="99"/>
  </w:style>
  <w:style w:type="character" w:styleId="Sterk">
    <w:name w:val="Strong"/>
    <w:uiPriority w:val="22"/>
    <w:qFormat/>
    <w:rsid w:val="00B20AC1"/>
    <w:rPr>
      <w:b/>
      <w:bCs/>
    </w:rPr>
  </w:style>
  <w:style w:type="character" w:customStyle="1" w:styleId="TopptekstTegn">
    <w:name w:val="Topptekst Tegn"/>
    <w:link w:val="Topptekst"/>
    <w:rsid w:val="00B20AC1"/>
    <w:rPr>
      <w:rFonts w:ascii="Times New Roman" w:eastAsia="Times New Roman" w:hAnsi="Times New Roman"/>
      <w:kern w:val="0"/>
      <w:sz w:val="20"/>
    </w:rPr>
  </w:style>
  <w:style w:type="character" w:customStyle="1" w:styleId="UnderskriftTegn">
    <w:name w:val="Underskrift Tegn"/>
    <w:link w:val="Underskrift"/>
    <w:uiPriority w:val="99"/>
    <w:rsid w:val="00B20AC1"/>
    <w:rPr>
      <w:rFonts w:ascii="Times New Roman" w:eastAsia="Times New Roman" w:hAnsi="Times New Roman"/>
      <w:spacing w:val="4"/>
      <w:kern w:val="0"/>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B20AC1"/>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B20AC1"/>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B20AC1"/>
    <w:pPr>
      <w:tabs>
        <w:tab w:val="center" w:pos="4153"/>
        <w:tab w:val="right" w:pos="8306"/>
      </w:tabs>
    </w:pPr>
    <w:rPr>
      <w:sz w:val="20"/>
    </w:rPr>
  </w:style>
  <w:style w:type="character" w:customStyle="1" w:styleId="BunntekstTegn1">
    <w:name w:val="Bunntekst Tegn1"/>
    <w:basedOn w:val="Standardskriftforavsnitt"/>
    <w:uiPriority w:val="99"/>
    <w:semiHidden/>
    <w:rsid w:val="00B20AC1"/>
    <w:rPr>
      <w:rFonts w:ascii="UniCentury Old Style" w:hAnsi="UniCentury Old Style" w:cs="UniCentury Old Style"/>
      <w:color w:val="000000"/>
      <w:w w:val="0"/>
      <w:kern w:val="0"/>
      <w:sz w:val="20"/>
      <w:szCs w:val="20"/>
    </w:rPr>
  </w:style>
  <w:style w:type="character" w:customStyle="1" w:styleId="Overskrift6Tegn">
    <w:name w:val="Overskrift 6 Tegn"/>
    <w:link w:val="Overskrift6"/>
    <w:rsid w:val="00B20AC1"/>
    <w:rPr>
      <w:rFonts w:ascii="Arial" w:eastAsia="Times New Roman" w:hAnsi="Arial"/>
      <w:i/>
      <w:spacing w:val="4"/>
      <w:kern w:val="0"/>
    </w:rPr>
  </w:style>
  <w:style w:type="character" w:customStyle="1" w:styleId="Overskrift7Tegn">
    <w:name w:val="Overskrift 7 Tegn"/>
    <w:link w:val="Overskrift7"/>
    <w:rsid w:val="00B20AC1"/>
    <w:rPr>
      <w:rFonts w:ascii="Arial" w:eastAsia="Times New Roman" w:hAnsi="Arial"/>
      <w:spacing w:val="4"/>
      <w:kern w:val="0"/>
      <w:sz w:val="24"/>
    </w:rPr>
  </w:style>
  <w:style w:type="character" w:customStyle="1" w:styleId="Overskrift8Tegn">
    <w:name w:val="Overskrift 8 Tegn"/>
    <w:link w:val="Overskrift8"/>
    <w:rsid w:val="00B20AC1"/>
    <w:rPr>
      <w:rFonts w:ascii="Arial" w:eastAsia="Times New Roman" w:hAnsi="Arial"/>
      <w:i/>
      <w:spacing w:val="4"/>
      <w:kern w:val="0"/>
      <w:sz w:val="24"/>
    </w:rPr>
  </w:style>
  <w:style w:type="character" w:customStyle="1" w:styleId="Overskrift9Tegn">
    <w:name w:val="Overskrift 9 Tegn"/>
    <w:link w:val="Overskrift9"/>
    <w:rsid w:val="00B20AC1"/>
    <w:rPr>
      <w:rFonts w:ascii="Arial" w:eastAsia="Times New Roman" w:hAnsi="Arial"/>
      <w:i/>
      <w:spacing w:val="4"/>
      <w:kern w:val="0"/>
      <w:sz w:val="18"/>
    </w:rPr>
  </w:style>
  <w:style w:type="table" w:customStyle="1" w:styleId="Tabell-VM">
    <w:name w:val="Tabell-VM"/>
    <w:basedOn w:val="Tabelltemaer"/>
    <w:uiPriority w:val="99"/>
    <w:qFormat/>
    <w:rsid w:val="00B20AC1"/>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B20AC1"/>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B20AC1"/>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B20AC1"/>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B20AC1"/>
    <w:pPr>
      <w:spacing w:after="200" w:line="276" w:lineRule="auto"/>
    </w:pPr>
    <w:rPr>
      <w:rFonts w:ascii="Times New Roman" w:eastAsia="Calibri" w:hAnsi="Times New Roman"/>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uiPriority w:val="39"/>
    <w:rsid w:val="00B20AC1"/>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B20AC1"/>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B20AC1"/>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B20AC1"/>
    <w:pPr>
      <w:tabs>
        <w:tab w:val="right" w:leader="dot" w:pos="8306"/>
      </w:tabs>
      <w:ind w:left="600"/>
    </w:pPr>
    <w:rPr>
      <w:spacing w:val="0"/>
    </w:rPr>
  </w:style>
  <w:style w:type="paragraph" w:styleId="INNH5">
    <w:name w:val="toc 5"/>
    <w:basedOn w:val="Normal"/>
    <w:next w:val="Normal"/>
    <w:rsid w:val="00B20AC1"/>
    <w:pPr>
      <w:tabs>
        <w:tab w:val="right" w:leader="dot" w:pos="8306"/>
      </w:tabs>
      <w:ind w:left="800"/>
    </w:pPr>
    <w:rPr>
      <w:spacing w:val="0"/>
    </w:rPr>
  </w:style>
  <w:style w:type="character" w:styleId="Merknadsreferanse">
    <w:name w:val="annotation reference"/>
    <w:rsid w:val="00B20AC1"/>
    <w:rPr>
      <w:sz w:val="16"/>
    </w:rPr>
  </w:style>
  <w:style w:type="paragraph" w:styleId="Merknadstekst">
    <w:name w:val="annotation text"/>
    <w:basedOn w:val="Normal"/>
    <w:link w:val="MerknadstekstTegn"/>
    <w:rsid w:val="00B20AC1"/>
    <w:rPr>
      <w:spacing w:val="0"/>
      <w:sz w:val="20"/>
    </w:rPr>
  </w:style>
  <w:style w:type="character" w:customStyle="1" w:styleId="MerknadstekstTegn">
    <w:name w:val="Merknadstekst Tegn"/>
    <w:link w:val="Merknadstekst"/>
    <w:rsid w:val="00B20AC1"/>
    <w:rPr>
      <w:rFonts w:ascii="Times New Roman" w:eastAsia="Times New Roman" w:hAnsi="Times New Roman"/>
      <w:kern w:val="0"/>
      <w:sz w:val="20"/>
    </w:rPr>
  </w:style>
  <w:style w:type="paragraph" w:styleId="Punktliste">
    <w:name w:val="List Bullet"/>
    <w:basedOn w:val="Normal"/>
    <w:rsid w:val="00B20AC1"/>
    <w:pPr>
      <w:spacing w:after="0"/>
      <w:ind w:left="284" w:hanging="284"/>
    </w:pPr>
  </w:style>
  <w:style w:type="paragraph" w:styleId="Punktliste2">
    <w:name w:val="List Bullet 2"/>
    <w:basedOn w:val="Normal"/>
    <w:rsid w:val="00B20AC1"/>
    <w:pPr>
      <w:spacing w:after="0"/>
      <w:ind w:left="568" w:hanging="284"/>
    </w:pPr>
  </w:style>
  <w:style w:type="paragraph" w:styleId="Punktliste3">
    <w:name w:val="List Bullet 3"/>
    <w:basedOn w:val="Normal"/>
    <w:rsid w:val="00B20AC1"/>
    <w:pPr>
      <w:spacing w:after="0"/>
      <w:ind w:left="851" w:hanging="284"/>
    </w:pPr>
  </w:style>
  <w:style w:type="paragraph" w:styleId="Punktliste4">
    <w:name w:val="List Bullet 4"/>
    <w:basedOn w:val="Normal"/>
    <w:rsid w:val="00B20AC1"/>
    <w:pPr>
      <w:spacing w:after="0"/>
      <w:ind w:left="1135" w:hanging="284"/>
    </w:pPr>
    <w:rPr>
      <w:spacing w:val="0"/>
    </w:rPr>
  </w:style>
  <w:style w:type="paragraph" w:styleId="Punktliste5">
    <w:name w:val="List Bullet 5"/>
    <w:basedOn w:val="Normal"/>
    <w:rsid w:val="00B20AC1"/>
    <w:pPr>
      <w:spacing w:after="0"/>
      <w:ind w:left="1418" w:hanging="284"/>
    </w:pPr>
    <w:rPr>
      <w:spacing w:val="0"/>
    </w:rPr>
  </w:style>
  <w:style w:type="table" w:customStyle="1" w:styleId="StandardTabell">
    <w:name w:val="StandardTabell"/>
    <w:basedOn w:val="Vanligtabell"/>
    <w:uiPriority w:val="99"/>
    <w:qFormat/>
    <w:rsid w:val="00B20AC1"/>
    <w:pPr>
      <w:spacing w:after="200" w:line="276" w:lineRule="auto"/>
    </w:pPr>
    <w:rPr>
      <w:rFonts w:eastAsia="Calibri"/>
      <w:kern w:val="0"/>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B20AC1"/>
    <w:pPr>
      <w:spacing w:after="200" w:line="276" w:lineRule="auto"/>
    </w:pPr>
    <w:rPr>
      <w:rFonts w:eastAsia="Calibri"/>
      <w:kern w:val="0"/>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B20AC1"/>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B20AC1"/>
    <w:pPr>
      <w:spacing w:after="0" w:line="240" w:lineRule="auto"/>
      <w:ind w:left="240" w:hanging="240"/>
    </w:pPr>
  </w:style>
  <w:style w:type="paragraph" w:styleId="Indeks2">
    <w:name w:val="index 2"/>
    <w:basedOn w:val="Normal"/>
    <w:next w:val="Normal"/>
    <w:autoRedefine/>
    <w:uiPriority w:val="99"/>
    <w:semiHidden/>
    <w:unhideWhenUsed/>
    <w:rsid w:val="00B20AC1"/>
    <w:pPr>
      <w:spacing w:after="0" w:line="240" w:lineRule="auto"/>
      <w:ind w:left="480" w:hanging="240"/>
    </w:pPr>
  </w:style>
  <w:style w:type="paragraph" w:styleId="Indeks3">
    <w:name w:val="index 3"/>
    <w:basedOn w:val="Normal"/>
    <w:next w:val="Normal"/>
    <w:autoRedefine/>
    <w:uiPriority w:val="99"/>
    <w:semiHidden/>
    <w:unhideWhenUsed/>
    <w:rsid w:val="00B20AC1"/>
    <w:pPr>
      <w:spacing w:after="0" w:line="240" w:lineRule="auto"/>
      <w:ind w:left="720" w:hanging="240"/>
    </w:pPr>
  </w:style>
  <w:style w:type="paragraph" w:styleId="Indeks4">
    <w:name w:val="index 4"/>
    <w:basedOn w:val="Normal"/>
    <w:next w:val="Normal"/>
    <w:autoRedefine/>
    <w:uiPriority w:val="99"/>
    <w:semiHidden/>
    <w:unhideWhenUsed/>
    <w:rsid w:val="00B20AC1"/>
    <w:pPr>
      <w:spacing w:after="0" w:line="240" w:lineRule="auto"/>
      <w:ind w:left="960" w:hanging="240"/>
    </w:pPr>
  </w:style>
  <w:style w:type="paragraph" w:styleId="Indeks5">
    <w:name w:val="index 5"/>
    <w:basedOn w:val="Normal"/>
    <w:next w:val="Normal"/>
    <w:autoRedefine/>
    <w:uiPriority w:val="99"/>
    <w:semiHidden/>
    <w:unhideWhenUsed/>
    <w:rsid w:val="00B20AC1"/>
    <w:pPr>
      <w:spacing w:after="0" w:line="240" w:lineRule="auto"/>
      <w:ind w:left="1200" w:hanging="240"/>
    </w:pPr>
  </w:style>
  <w:style w:type="paragraph" w:styleId="Indeks6">
    <w:name w:val="index 6"/>
    <w:basedOn w:val="Normal"/>
    <w:next w:val="Normal"/>
    <w:autoRedefine/>
    <w:uiPriority w:val="99"/>
    <w:semiHidden/>
    <w:unhideWhenUsed/>
    <w:rsid w:val="00B20AC1"/>
    <w:pPr>
      <w:spacing w:after="0" w:line="240" w:lineRule="auto"/>
      <w:ind w:left="1440" w:hanging="240"/>
    </w:pPr>
  </w:style>
  <w:style w:type="paragraph" w:styleId="Indeks7">
    <w:name w:val="index 7"/>
    <w:basedOn w:val="Normal"/>
    <w:next w:val="Normal"/>
    <w:autoRedefine/>
    <w:uiPriority w:val="99"/>
    <w:semiHidden/>
    <w:unhideWhenUsed/>
    <w:rsid w:val="00B20AC1"/>
    <w:pPr>
      <w:spacing w:after="0" w:line="240" w:lineRule="auto"/>
      <w:ind w:left="1680" w:hanging="240"/>
    </w:pPr>
  </w:style>
  <w:style w:type="paragraph" w:styleId="Indeks8">
    <w:name w:val="index 8"/>
    <w:basedOn w:val="Normal"/>
    <w:next w:val="Normal"/>
    <w:autoRedefine/>
    <w:uiPriority w:val="99"/>
    <w:semiHidden/>
    <w:unhideWhenUsed/>
    <w:rsid w:val="00B20AC1"/>
    <w:pPr>
      <w:spacing w:after="0" w:line="240" w:lineRule="auto"/>
      <w:ind w:left="1920" w:hanging="240"/>
    </w:pPr>
  </w:style>
  <w:style w:type="paragraph" w:styleId="Indeks9">
    <w:name w:val="index 9"/>
    <w:basedOn w:val="Normal"/>
    <w:next w:val="Normal"/>
    <w:autoRedefine/>
    <w:uiPriority w:val="99"/>
    <w:semiHidden/>
    <w:unhideWhenUsed/>
    <w:rsid w:val="00B20AC1"/>
    <w:pPr>
      <w:spacing w:after="0" w:line="240" w:lineRule="auto"/>
      <w:ind w:left="2160" w:hanging="240"/>
    </w:pPr>
  </w:style>
  <w:style w:type="paragraph" w:styleId="INNH6">
    <w:name w:val="toc 6"/>
    <w:basedOn w:val="Normal"/>
    <w:next w:val="Normal"/>
    <w:autoRedefine/>
    <w:uiPriority w:val="39"/>
    <w:semiHidden/>
    <w:unhideWhenUsed/>
    <w:rsid w:val="00B20AC1"/>
    <w:pPr>
      <w:spacing w:after="100"/>
      <w:ind w:left="1200"/>
    </w:pPr>
  </w:style>
  <w:style w:type="paragraph" w:styleId="INNH7">
    <w:name w:val="toc 7"/>
    <w:basedOn w:val="Normal"/>
    <w:next w:val="Normal"/>
    <w:autoRedefine/>
    <w:uiPriority w:val="39"/>
    <w:semiHidden/>
    <w:unhideWhenUsed/>
    <w:rsid w:val="00B20AC1"/>
    <w:pPr>
      <w:spacing w:after="100"/>
      <w:ind w:left="1440"/>
    </w:pPr>
  </w:style>
  <w:style w:type="paragraph" w:styleId="INNH8">
    <w:name w:val="toc 8"/>
    <w:basedOn w:val="Normal"/>
    <w:next w:val="Normal"/>
    <w:autoRedefine/>
    <w:uiPriority w:val="39"/>
    <w:semiHidden/>
    <w:unhideWhenUsed/>
    <w:rsid w:val="00B20AC1"/>
    <w:pPr>
      <w:spacing w:after="100"/>
      <w:ind w:left="1680"/>
    </w:pPr>
  </w:style>
  <w:style w:type="paragraph" w:styleId="INNH9">
    <w:name w:val="toc 9"/>
    <w:basedOn w:val="Normal"/>
    <w:next w:val="Normal"/>
    <w:autoRedefine/>
    <w:uiPriority w:val="39"/>
    <w:semiHidden/>
    <w:unhideWhenUsed/>
    <w:rsid w:val="00B20AC1"/>
    <w:pPr>
      <w:spacing w:after="100"/>
      <w:ind w:left="1920"/>
    </w:pPr>
  </w:style>
  <w:style w:type="paragraph" w:styleId="Vanliginnrykk">
    <w:name w:val="Normal Indent"/>
    <w:basedOn w:val="Normal"/>
    <w:uiPriority w:val="99"/>
    <w:semiHidden/>
    <w:unhideWhenUsed/>
    <w:rsid w:val="00B20AC1"/>
    <w:pPr>
      <w:ind w:left="708"/>
    </w:pPr>
  </w:style>
  <w:style w:type="paragraph" w:styleId="Stikkordregisteroverskrift">
    <w:name w:val="index heading"/>
    <w:basedOn w:val="Normal"/>
    <w:next w:val="Indeks1"/>
    <w:uiPriority w:val="99"/>
    <w:semiHidden/>
    <w:unhideWhenUsed/>
    <w:rsid w:val="00B20AC1"/>
    <w:rPr>
      <w:rFonts w:ascii="Cambria" w:hAnsi="Cambria" w:cs="Times New Roman"/>
      <w:b/>
      <w:bCs/>
    </w:rPr>
  </w:style>
  <w:style w:type="paragraph" w:styleId="Bildetekst">
    <w:name w:val="caption"/>
    <w:basedOn w:val="Normal"/>
    <w:next w:val="Normal"/>
    <w:uiPriority w:val="35"/>
    <w:semiHidden/>
    <w:unhideWhenUsed/>
    <w:qFormat/>
    <w:rsid w:val="00B20AC1"/>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B20AC1"/>
    <w:pPr>
      <w:spacing w:after="0"/>
    </w:pPr>
  </w:style>
  <w:style w:type="paragraph" w:styleId="Konvoluttadresse">
    <w:name w:val="envelope address"/>
    <w:basedOn w:val="Normal"/>
    <w:uiPriority w:val="99"/>
    <w:semiHidden/>
    <w:unhideWhenUsed/>
    <w:rsid w:val="00B20AC1"/>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B20AC1"/>
  </w:style>
  <w:style w:type="character" w:styleId="Sluttnotereferanse">
    <w:name w:val="endnote reference"/>
    <w:uiPriority w:val="99"/>
    <w:semiHidden/>
    <w:unhideWhenUsed/>
    <w:rsid w:val="00B20AC1"/>
    <w:rPr>
      <w:vertAlign w:val="superscript"/>
    </w:rPr>
  </w:style>
  <w:style w:type="paragraph" w:styleId="Sluttnotetekst">
    <w:name w:val="endnote text"/>
    <w:basedOn w:val="Normal"/>
    <w:link w:val="SluttnotetekstTegn"/>
    <w:uiPriority w:val="99"/>
    <w:semiHidden/>
    <w:unhideWhenUsed/>
    <w:rsid w:val="00B20AC1"/>
    <w:pPr>
      <w:spacing w:after="0" w:line="240" w:lineRule="auto"/>
    </w:pPr>
    <w:rPr>
      <w:sz w:val="20"/>
      <w:szCs w:val="20"/>
    </w:rPr>
  </w:style>
  <w:style w:type="character" w:customStyle="1" w:styleId="SluttnotetekstTegn1">
    <w:name w:val="Sluttnotetekst Tegn1"/>
    <w:basedOn w:val="Standardskriftforavsnitt"/>
    <w:uiPriority w:val="99"/>
    <w:semiHidden/>
    <w:rsid w:val="00B20AC1"/>
    <w:rPr>
      <w:rFonts w:ascii="Times New Roman" w:eastAsia="Times New Roman" w:hAnsi="Times New Roman"/>
      <w:spacing w:val="4"/>
      <w:kern w:val="0"/>
      <w:sz w:val="20"/>
      <w:szCs w:val="20"/>
    </w:rPr>
  </w:style>
  <w:style w:type="paragraph" w:styleId="Kildeliste">
    <w:name w:val="table of authorities"/>
    <w:basedOn w:val="Normal"/>
    <w:next w:val="Normal"/>
    <w:uiPriority w:val="99"/>
    <w:semiHidden/>
    <w:unhideWhenUsed/>
    <w:rsid w:val="00B20AC1"/>
    <w:pPr>
      <w:spacing w:after="0"/>
      <w:ind w:left="240" w:hanging="240"/>
    </w:pPr>
  </w:style>
  <w:style w:type="paragraph" w:styleId="Makrotekst">
    <w:name w:val="macro"/>
    <w:link w:val="MakrotekstTegn"/>
    <w:uiPriority w:val="99"/>
    <w:semiHidden/>
    <w:unhideWhenUsed/>
    <w:rsid w:val="00B20AC1"/>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rPr>
  </w:style>
  <w:style w:type="character" w:customStyle="1" w:styleId="MakrotekstTegn">
    <w:name w:val="Makrotekst Tegn"/>
    <w:link w:val="Makrotekst"/>
    <w:uiPriority w:val="99"/>
    <w:semiHidden/>
    <w:rsid w:val="00B20AC1"/>
    <w:rPr>
      <w:rFonts w:ascii="Consolas" w:eastAsia="Times New Roman" w:hAnsi="Consolas"/>
      <w:spacing w:val="4"/>
      <w:kern w:val="0"/>
    </w:rPr>
  </w:style>
  <w:style w:type="paragraph" w:styleId="Kildelisteoverskrift">
    <w:name w:val="toa heading"/>
    <w:basedOn w:val="Normal"/>
    <w:next w:val="Normal"/>
    <w:uiPriority w:val="99"/>
    <w:semiHidden/>
    <w:unhideWhenUsed/>
    <w:rsid w:val="00B20AC1"/>
    <w:pPr>
      <w:spacing w:before="120"/>
    </w:pPr>
    <w:rPr>
      <w:rFonts w:ascii="Cambria" w:hAnsi="Cambria" w:cs="Times New Roman"/>
      <w:b/>
      <w:bCs/>
      <w:szCs w:val="24"/>
    </w:rPr>
  </w:style>
  <w:style w:type="paragraph" w:styleId="Tittel">
    <w:name w:val="Title"/>
    <w:basedOn w:val="Normal"/>
    <w:next w:val="Normal"/>
    <w:link w:val="TittelTegn"/>
    <w:uiPriority w:val="10"/>
    <w:qFormat/>
    <w:rsid w:val="00B20AC1"/>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B20AC1"/>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B20AC1"/>
    <w:pPr>
      <w:spacing w:after="0" w:line="240" w:lineRule="auto"/>
      <w:ind w:left="4252"/>
    </w:pPr>
  </w:style>
  <w:style w:type="character" w:customStyle="1" w:styleId="HilsenTegn">
    <w:name w:val="Hilsen Tegn"/>
    <w:link w:val="Hilsen"/>
    <w:uiPriority w:val="99"/>
    <w:semiHidden/>
    <w:rsid w:val="00B20AC1"/>
    <w:rPr>
      <w:rFonts w:ascii="Times New Roman" w:eastAsia="Times New Roman" w:hAnsi="Times New Roman"/>
      <w:spacing w:val="4"/>
      <w:kern w:val="0"/>
      <w:sz w:val="24"/>
    </w:rPr>
  </w:style>
  <w:style w:type="paragraph" w:styleId="Underskrift">
    <w:name w:val="Signature"/>
    <w:basedOn w:val="Normal"/>
    <w:link w:val="UnderskriftTegn"/>
    <w:uiPriority w:val="99"/>
    <w:unhideWhenUsed/>
    <w:rsid w:val="00B20AC1"/>
    <w:pPr>
      <w:spacing w:after="0" w:line="240" w:lineRule="auto"/>
      <w:ind w:left="4252"/>
    </w:pPr>
  </w:style>
  <w:style w:type="character" w:customStyle="1" w:styleId="UnderskriftTegn1">
    <w:name w:val="Underskrift Tegn1"/>
    <w:basedOn w:val="Standardskriftforavsnitt"/>
    <w:uiPriority w:val="99"/>
    <w:semiHidden/>
    <w:rsid w:val="00B20AC1"/>
    <w:rPr>
      <w:rFonts w:ascii="Times New Roman" w:eastAsia="Times New Roman" w:hAnsi="Times New Roman"/>
      <w:spacing w:val="4"/>
      <w:kern w:val="0"/>
      <w:sz w:val="24"/>
    </w:rPr>
  </w:style>
  <w:style w:type="paragraph" w:styleId="Liste-forts">
    <w:name w:val="List Continue"/>
    <w:basedOn w:val="Normal"/>
    <w:uiPriority w:val="99"/>
    <w:semiHidden/>
    <w:unhideWhenUsed/>
    <w:rsid w:val="00B20AC1"/>
    <w:pPr>
      <w:ind w:left="283"/>
      <w:contextualSpacing/>
    </w:pPr>
  </w:style>
  <w:style w:type="paragraph" w:styleId="Liste-forts2">
    <w:name w:val="List Continue 2"/>
    <w:basedOn w:val="Normal"/>
    <w:uiPriority w:val="99"/>
    <w:semiHidden/>
    <w:unhideWhenUsed/>
    <w:rsid w:val="00B20AC1"/>
    <w:pPr>
      <w:ind w:left="566"/>
      <w:contextualSpacing/>
    </w:pPr>
  </w:style>
  <w:style w:type="paragraph" w:styleId="Liste-forts3">
    <w:name w:val="List Continue 3"/>
    <w:basedOn w:val="Normal"/>
    <w:uiPriority w:val="99"/>
    <w:semiHidden/>
    <w:unhideWhenUsed/>
    <w:rsid w:val="00B20AC1"/>
    <w:pPr>
      <w:ind w:left="849"/>
      <w:contextualSpacing/>
    </w:pPr>
  </w:style>
  <w:style w:type="paragraph" w:styleId="Liste-forts4">
    <w:name w:val="List Continue 4"/>
    <w:basedOn w:val="Normal"/>
    <w:uiPriority w:val="99"/>
    <w:semiHidden/>
    <w:unhideWhenUsed/>
    <w:rsid w:val="00B20AC1"/>
    <w:pPr>
      <w:ind w:left="1132"/>
      <w:contextualSpacing/>
    </w:pPr>
  </w:style>
  <w:style w:type="paragraph" w:styleId="Liste-forts5">
    <w:name w:val="List Continue 5"/>
    <w:basedOn w:val="Normal"/>
    <w:uiPriority w:val="99"/>
    <w:semiHidden/>
    <w:unhideWhenUsed/>
    <w:rsid w:val="00B20AC1"/>
    <w:pPr>
      <w:ind w:left="1415"/>
      <w:contextualSpacing/>
    </w:pPr>
  </w:style>
  <w:style w:type="paragraph" w:styleId="Meldingshode">
    <w:name w:val="Message Header"/>
    <w:basedOn w:val="Normal"/>
    <w:link w:val="MeldingshodeTegn"/>
    <w:uiPriority w:val="99"/>
    <w:semiHidden/>
    <w:unhideWhenUsed/>
    <w:rsid w:val="00B20AC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B20AC1"/>
    <w:rPr>
      <w:rFonts w:ascii="Cambria" w:eastAsia="Times New Roman" w:hAnsi="Cambria" w:cs="Times New Roman"/>
      <w:spacing w:val="4"/>
      <w:kern w:val="0"/>
      <w:sz w:val="24"/>
      <w:szCs w:val="24"/>
      <w:shd w:val="pct20" w:color="auto" w:fill="auto"/>
    </w:rPr>
  </w:style>
  <w:style w:type="paragraph" w:styleId="Innledendehilsen">
    <w:name w:val="Salutation"/>
    <w:basedOn w:val="Normal"/>
    <w:next w:val="Normal"/>
    <w:link w:val="InnledendehilsenTegn"/>
    <w:uiPriority w:val="99"/>
    <w:semiHidden/>
    <w:unhideWhenUsed/>
    <w:rsid w:val="00B20AC1"/>
  </w:style>
  <w:style w:type="character" w:customStyle="1" w:styleId="InnledendehilsenTegn">
    <w:name w:val="Innledende hilsen Tegn"/>
    <w:link w:val="Innledendehilsen"/>
    <w:uiPriority w:val="99"/>
    <w:semiHidden/>
    <w:rsid w:val="00B20AC1"/>
    <w:rPr>
      <w:rFonts w:ascii="Times New Roman" w:eastAsia="Times New Roman" w:hAnsi="Times New Roman"/>
      <w:spacing w:val="4"/>
      <w:kern w:val="0"/>
      <w:sz w:val="24"/>
    </w:rPr>
  </w:style>
  <w:style w:type="paragraph" w:styleId="Dato0">
    <w:name w:val="Date"/>
    <w:basedOn w:val="Normal"/>
    <w:next w:val="Normal"/>
    <w:link w:val="DatoTegn"/>
    <w:rsid w:val="00B20AC1"/>
  </w:style>
  <w:style w:type="character" w:customStyle="1" w:styleId="DatoTegn1">
    <w:name w:val="Dato Tegn1"/>
    <w:basedOn w:val="Standardskriftforavsnitt"/>
    <w:uiPriority w:val="99"/>
    <w:semiHidden/>
    <w:rsid w:val="00B20AC1"/>
    <w:rPr>
      <w:rFonts w:ascii="Times New Roman" w:eastAsia="Times New Roman" w:hAnsi="Times New Roman"/>
      <w:spacing w:val="4"/>
      <w:kern w:val="0"/>
      <w:sz w:val="24"/>
    </w:rPr>
  </w:style>
  <w:style w:type="paragraph" w:styleId="Notatoverskrift">
    <w:name w:val="Note Heading"/>
    <w:basedOn w:val="Normal"/>
    <w:next w:val="Normal"/>
    <w:link w:val="NotatoverskriftTegn"/>
    <w:uiPriority w:val="99"/>
    <w:semiHidden/>
    <w:unhideWhenUsed/>
    <w:rsid w:val="00B20AC1"/>
    <w:pPr>
      <w:spacing w:after="0" w:line="240" w:lineRule="auto"/>
    </w:pPr>
  </w:style>
  <w:style w:type="character" w:customStyle="1" w:styleId="NotatoverskriftTegn">
    <w:name w:val="Notatoverskrift Tegn"/>
    <w:link w:val="Notatoverskrift"/>
    <w:uiPriority w:val="99"/>
    <w:semiHidden/>
    <w:rsid w:val="00B20AC1"/>
    <w:rPr>
      <w:rFonts w:ascii="Times New Roman" w:eastAsia="Times New Roman" w:hAnsi="Times New Roman"/>
      <w:spacing w:val="4"/>
      <w:kern w:val="0"/>
      <w:sz w:val="24"/>
    </w:rPr>
  </w:style>
  <w:style w:type="paragraph" w:styleId="Blokktekst">
    <w:name w:val="Block Text"/>
    <w:basedOn w:val="Normal"/>
    <w:uiPriority w:val="99"/>
    <w:semiHidden/>
    <w:unhideWhenUsed/>
    <w:rsid w:val="00B20AC1"/>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B20AC1"/>
    <w:rPr>
      <w:color w:val="800080"/>
      <w:u w:val="single"/>
    </w:rPr>
  </w:style>
  <w:style w:type="character" w:styleId="Utheving">
    <w:name w:val="Emphasis"/>
    <w:uiPriority w:val="20"/>
    <w:qFormat/>
    <w:rsid w:val="00B20AC1"/>
    <w:rPr>
      <w:i/>
      <w:iCs/>
    </w:rPr>
  </w:style>
  <w:style w:type="paragraph" w:styleId="Dokumentkart">
    <w:name w:val="Document Map"/>
    <w:basedOn w:val="Normal"/>
    <w:link w:val="DokumentkartTegn"/>
    <w:uiPriority w:val="99"/>
    <w:semiHidden/>
    <w:rsid w:val="00B20AC1"/>
    <w:pPr>
      <w:shd w:val="clear" w:color="auto" w:fill="000080"/>
    </w:pPr>
    <w:rPr>
      <w:rFonts w:ascii="Tahoma" w:hAnsi="Tahoma" w:cs="Tahoma"/>
    </w:rPr>
  </w:style>
  <w:style w:type="character" w:customStyle="1" w:styleId="DokumentkartTegn">
    <w:name w:val="Dokumentkart Tegn"/>
    <w:link w:val="Dokumentkart"/>
    <w:uiPriority w:val="99"/>
    <w:semiHidden/>
    <w:rsid w:val="00B20AC1"/>
    <w:rPr>
      <w:rFonts w:ascii="Tahoma" w:eastAsia="Times New Roman" w:hAnsi="Tahoma" w:cs="Tahoma"/>
      <w:spacing w:val="4"/>
      <w:kern w:val="0"/>
      <w:sz w:val="24"/>
      <w:shd w:val="clear" w:color="auto" w:fill="000080"/>
    </w:rPr>
  </w:style>
  <w:style w:type="paragraph" w:styleId="Rentekst">
    <w:name w:val="Plain Text"/>
    <w:basedOn w:val="Normal"/>
    <w:link w:val="RentekstTegn"/>
    <w:uiPriority w:val="99"/>
    <w:semiHidden/>
    <w:unhideWhenUsed/>
    <w:rsid w:val="00B20AC1"/>
    <w:rPr>
      <w:rFonts w:ascii="Courier New" w:hAnsi="Courier New" w:cs="Courier New"/>
      <w:sz w:val="20"/>
    </w:rPr>
  </w:style>
  <w:style w:type="character" w:customStyle="1" w:styleId="RentekstTegn">
    <w:name w:val="Ren tekst Tegn"/>
    <w:link w:val="Rentekst"/>
    <w:uiPriority w:val="99"/>
    <w:semiHidden/>
    <w:rsid w:val="00B20AC1"/>
    <w:rPr>
      <w:rFonts w:ascii="Courier New" w:eastAsia="Times New Roman" w:hAnsi="Courier New" w:cs="Courier New"/>
      <w:spacing w:val="4"/>
      <w:kern w:val="0"/>
      <w:sz w:val="20"/>
    </w:rPr>
  </w:style>
  <w:style w:type="paragraph" w:styleId="E-postsignatur">
    <w:name w:val="E-mail Signature"/>
    <w:basedOn w:val="Normal"/>
    <w:link w:val="E-postsignaturTegn"/>
    <w:uiPriority w:val="99"/>
    <w:semiHidden/>
    <w:unhideWhenUsed/>
    <w:rsid w:val="00B20AC1"/>
    <w:pPr>
      <w:spacing w:after="0" w:line="240" w:lineRule="auto"/>
    </w:pPr>
  </w:style>
  <w:style w:type="character" w:customStyle="1" w:styleId="E-postsignaturTegn">
    <w:name w:val="E-postsignatur Tegn"/>
    <w:link w:val="E-postsignatur"/>
    <w:uiPriority w:val="99"/>
    <w:semiHidden/>
    <w:rsid w:val="00B20AC1"/>
    <w:rPr>
      <w:rFonts w:ascii="Times New Roman" w:eastAsia="Times New Roman" w:hAnsi="Times New Roman"/>
      <w:spacing w:val="4"/>
      <w:kern w:val="0"/>
      <w:sz w:val="24"/>
    </w:rPr>
  </w:style>
  <w:style w:type="paragraph" w:styleId="NormalWeb">
    <w:name w:val="Normal (Web)"/>
    <w:basedOn w:val="Normal"/>
    <w:uiPriority w:val="99"/>
    <w:semiHidden/>
    <w:unhideWhenUsed/>
    <w:rsid w:val="00B20AC1"/>
    <w:rPr>
      <w:szCs w:val="24"/>
    </w:rPr>
  </w:style>
  <w:style w:type="character" w:styleId="HTML-akronym">
    <w:name w:val="HTML Acronym"/>
    <w:basedOn w:val="Standardskriftforavsnitt"/>
    <w:uiPriority w:val="99"/>
    <w:semiHidden/>
    <w:unhideWhenUsed/>
    <w:rsid w:val="00B20AC1"/>
  </w:style>
  <w:style w:type="paragraph" w:styleId="HTML-adresse">
    <w:name w:val="HTML Address"/>
    <w:basedOn w:val="Normal"/>
    <w:link w:val="HTML-adresseTegn"/>
    <w:uiPriority w:val="99"/>
    <w:semiHidden/>
    <w:unhideWhenUsed/>
    <w:rsid w:val="00B20AC1"/>
    <w:pPr>
      <w:spacing w:after="0" w:line="240" w:lineRule="auto"/>
    </w:pPr>
    <w:rPr>
      <w:i/>
      <w:iCs/>
    </w:rPr>
  </w:style>
  <w:style w:type="character" w:customStyle="1" w:styleId="HTML-adresseTegn">
    <w:name w:val="HTML-adresse Tegn"/>
    <w:link w:val="HTML-adresse"/>
    <w:uiPriority w:val="99"/>
    <w:semiHidden/>
    <w:rsid w:val="00B20AC1"/>
    <w:rPr>
      <w:rFonts w:ascii="Times New Roman" w:eastAsia="Times New Roman" w:hAnsi="Times New Roman"/>
      <w:i/>
      <w:iCs/>
      <w:spacing w:val="4"/>
      <w:kern w:val="0"/>
      <w:sz w:val="24"/>
    </w:rPr>
  </w:style>
  <w:style w:type="character" w:styleId="HTML-sitat">
    <w:name w:val="HTML Cite"/>
    <w:uiPriority w:val="99"/>
    <w:semiHidden/>
    <w:unhideWhenUsed/>
    <w:rsid w:val="00B20AC1"/>
    <w:rPr>
      <w:i/>
      <w:iCs/>
    </w:rPr>
  </w:style>
  <w:style w:type="character" w:styleId="HTML-kode">
    <w:name w:val="HTML Code"/>
    <w:uiPriority w:val="99"/>
    <w:semiHidden/>
    <w:unhideWhenUsed/>
    <w:rsid w:val="00B20AC1"/>
    <w:rPr>
      <w:rFonts w:ascii="Consolas" w:hAnsi="Consolas"/>
      <w:sz w:val="20"/>
      <w:szCs w:val="20"/>
    </w:rPr>
  </w:style>
  <w:style w:type="character" w:styleId="HTML-definisjon">
    <w:name w:val="HTML Definition"/>
    <w:uiPriority w:val="99"/>
    <w:semiHidden/>
    <w:unhideWhenUsed/>
    <w:rsid w:val="00B20AC1"/>
    <w:rPr>
      <w:i/>
      <w:iCs/>
    </w:rPr>
  </w:style>
  <w:style w:type="character" w:styleId="HTML-tastatur">
    <w:name w:val="HTML Keyboard"/>
    <w:uiPriority w:val="99"/>
    <w:semiHidden/>
    <w:unhideWhenUsed/>
    <w:rsid w:val="00B20AC1"/>
    <w:rPr>
      <w:rFonts w:ascii="Consolas" w:hAnsi="Consolas"/>
      <w:sz w:val="20"/>
      <w:szCs w:val="20"/>
    </w:rPr>
  </w:style>
  <w:style w:type="paragraph" w:styleId="HTML-forhndsformatert">
    <w:name w:val="HTML Preformatted"/>
    <w:basedOn w:val="Normal"/>
    <w:link w:val="HTML-forhndsformatertTegn"/>
    <w:uiPriority w:val="99"/>
    <w:semiHidden/>
    <w:unhideWhenUsed/>
    <w:rsid w:val="00B20AC1"/>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B20AC1"/>
    <w:rPr>
      <w:rFonts w:ascii="Consolas" w:eastAsia="Times New Roman" w:hAnsi="Consolas"/>
      <w:spacing w:val="4"/>
      <w:kern w:val="0"/>
      <w:sz w:val="20"/>
      <w:szCs w:val="20"/>
    </w:rPr>
  </w:style>
  <w:style w:type="character" w:styleId="HTML-eksempel">
    <w:name w:val="HTML Sample"/>
    <w:uiPriority w:val="99"/>
    <w:semiHidden/>
    <w:unhideWhenUsed/>
    <w:rsid w:val="00B20AC1"/>
    <w:rPr>
      <w:rFonts w:ascii="Consolas" w:hAnsi="Consolas"/>
      <w:sz w:val="24"/>
      <w:szCs w:val="24"/>
    </w:rPr>
  </w:style>
  <w:style w:type="character" w:styleId="HTML-skrivemaskin">
    <w:name w:val="HTML Typewriter"/>
    <w:uiPriority w:val="99"/>
    <w:semiHidden/>
    <w:unhideWhenUsed/>
    <w:rsid w:val="00B20AC1"/>
    <w:rPr>
      <w:rFonts w:ascii="Consolas" w:hAnsi="Consolas"/>
      <w:sz w:val="20"/>
      <w:szCs w:val="20"/>
    </w:rPr>
  </w:style>
  <w:style w:type="character" w:styleId="HTML-variabel">
    <w:name w:val="HTML Variable"/>
    <w:uiPriority w:val="99"/>
    <w:semiHidden/>
    <w:unhideWhenUsed/>
    <w:rsid w:val="00B20AC1"/>
    <w:rPr>
      <w:i/>
      <w:iCs/>
    </w:rPr>
  </w:style>
  <w:style w:type="paragraph" w:styleId="Kommentaremne">
    <w:name w:val="annotation subject"/>
    <w:basedOn w:val="Merknadstekst"/>
    <w:next w:val="Merknadstekst"/>
    <w:link w:val="KommentaremneTegn"/>
    <w:uiPriority w:val="99"/>
    <w:semiHidden/>
    <w:unhideWhenUsed/>
    <w:rsid w:val="00B20AC1"/>
    <w:pPr>
      <w:spacing w:line="240" w:lineRule="auto"/>
    </w:pPr>
    <w:rPr>
      <w:b/>
      <w:bCs/>
      <w:spacing w:val="4"/>
      <w:szCs w:val="20"/>
    </w:rPr>
  </w:style>
  <w:style w:type="character" w:customStyle="1" w:styleId="KommentaremneTegn">
    <w:name w:val="Kommentaremne Tegn"/>
    <w:link w:val="Kommentaremne"/>
    <w:uiPriority w:val="99"/>
    <w:semiHidden/>
    <w:rsid w:val="00B20AC1"/>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B20AC1"/>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B20AC1"/>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B20AC1"/>
    <w:pPr>
      <w:spacing w:after="200" w:line="276" w:lineRule="auto"/>
    </w:pPr>
    <w:rPr>
      <w:rFonts w:ascii="Times" w:eastAsia="Batang" w:hAnsi="Times"/>
      <w:kern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B20AC1"/>
    <w:pPr>
      <w:spacing w:after="200" w:line="276" w:lineRule="auto"/>
    </w:pPr>
    <w:rPr>
      <w:rFonts w:ascii="Times New Roman" w:eastAsia="Times New Roman" w:hAnsi="Times New Roman"/>
      <w:spacing w:val="4"/>
      <w:kern w:val="0"/>
      <w:sz w:val="24"/>
    </w:rPr>
  </w:style>
  <w:style w:type="paragraph" w:styleId="Sterktsitat">
    <w:name w:val="Intense Quote"/>
    <w:basedOn w:val="Normal"/>
    <w:next w:val="Normal"/>
    <w:link w:val="SterktsitatTegn"/>
    <w:uiPriority w:val="30"/>
    <w:qFormat/>
    <w:rsid w:val="00B20AC1"/>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B20AC1"/>
    <w:rPr>
      <w:rFonts w:ascii="Times New Roman" w:eastAsia="Times New Roman" w:hAnsi="Times New Roman"/>
      <w:i/>
      <w:iCs/>
      <w:color w:val="4472C4" w:themeColor="accent1"/>
      <w:spacing w:val="4"/>
      <w:kern w:val="0"/>
      <w:sz w:val="24"/>
    </w:rPr>
  </w:style>
  <w:style w:type="character" w:styleId="Svakutheving">
    <w:name w:val="Subtle Emphasis"/>
    <w:uiPriority w:val="19"/>
    <w:qFormat/>
    <w:rsid w:val="00B20AC1"/>
    <w:rPr>
      <w:i/>
      <w:iCs/>
      <w:color w:val="808080"/>
    </w:rPr>
  </w:style>
  <w:style w:type="character" w:styleId="Sterkutheving">
    <w:name w:val="Intense Emphasis"/>
    <w:uiPriority w:val="21"/>
    <w:qFormat/>
    <w:rsid w:val="00B20AC1"/>
    <w:rPr>
      <w:b/>
      <w:bCs/>
      <w:i/>
      <w:iCs/>
      <w:color w:val="4F81BD"/>
    </w:rPr>
  </w:style>
  <w:style w:type="character" w:styleId="Svakreferanse">
    <w:name w:val="Subtle Reference"/>
    <w:uiPriority w:val="31"/>
    <w:qFormat/>
    <w:rsid w:val="00B20AC1"/>
    <w:rPr>
      <w:smallCaps/>
      <w:color w:val="C0504D"/>
      <w:u w:val="single"/>
    </w:rPr>
  </w:style>
  <w:style w:type="character" w:styleId="Sterkreferanse">
    <w:name w:val="Intense Reference"/>
    <w:uiPriority w:val="32"/>
    <w:qFormat/>
    <w:rsid w:val="00B20AC1"/>
    <w:rPr>
      <w:b/>
      <w:bCs/>
      <w:smallCaps/>
      <w:color w:val="C0504D"/>
      <w:spacing w:val="5"/>
      <w:u w:val="single"/>
    </w:rPr>
  </w:style>
  <w:style w:type="character" w:styleId="Boktittel">
    <w:name w:val="Book Title"/>
    <w:uiPriority w:val="33"/>
    <w:qFormat/>
    <w:rsid w:val="00B20AC1"/>
    <w:rPr>
      <w:b/>
      <w:bCs/>
      <w:smallCaps/>
      <w:spacing w:val="5"/>
    </w:rPr>
  </w:style>
  <w:style w:type="paragraph" w:styleId="Bibliografi">
    <w:name w:val="Bibliography"/>
    <w:basedOn w:val="Normal"/>
    <w:next w:val="Normal"/>
    <w:uiPriority w:val="37"/>
    <w:semiHidden/>
    <w:unhideWhenUsed/>
    <w:rsid w:val="00B20AC1"/>
  </w:style>
  <w:style w:type="paragraph" w:styleId="Overskriftforinnholdsfortegnelse">
    <w:name w:val="TOC Heading"/>
    <w:basedOn w:val="Overskrift1"/>
    <w:next w:val="Normal"/>
    <w:uiPriority w:val="39"/>
    <w:unhideWhenUsed/>
    <w:qFormat/>
    <w:rsid w:val="00B20AC1"/>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B20AC1"/>
    <w:pPr>
      <w:numPr>
        <w:numId w:val="26"/>
      </w:numPr>
    </w:pPr>
  </w:style>
  <w:style w:type="numbering" w:customStyle="1" w:styleId="NrListeStil">
    <w:name w:val="NrListeStil"/>
    <w:uiPriority w:val="99"/>
    <w:rsid w:val="00B20AC1"/>
    <w:pPr>
      <w:numPr>
        <w:numId w:val="27"/>
      </w:numPr>
    </w:pPr>
  </w:style>
  <w:style w:type="numbering" w:customStyle="1" w:styleId="RomListeStil">
    <w:name w:val="RomListeStil"/>
    <w:uiPriority w:val="99"/>
    <w:rsid w:val="00B20AC1"/>
    <w:pPr>
      <w:numPr>
        <w:numId w:val="28"/>
      </w:numPr>
    </w:pPr>
  </w:style>
  <w:style w:type="numbering" w:customStyle="1" w:styleId="StrekListeStil">
    <w:name w:val="StrekListeStil"/>
    <w:uiPriority w:val="99"/>
    <w:rsid w:val="00B20AC1"/>
    <w:pPr>
      <w:numPr>
        <w:numId w:val="29"/>
      </w:numPr>
    </w:pPr>
  </w:style>
  <w:style w:type="numbering" w:customStyle="1" w:styleId="OpplistingListeStil">
    <w:name w:val="OpplistingListeStil"/>
    <w:uiPriority w:val="99"/>
    <w:rsid w:val="00B20AC1"/>
    <w:pPr>
      <w:numPr>
        <w:numId w:val="30"/>
      </w:numPr>
    </w:pPr>
  </w:style>
  <w:style w:type="numbering" w:customStyle="1" w:styleId="l-NummerertListeStil">
    <w:name w:val="l-NummerertListeStil"/>
    <w:uiPriority w:val="99"/>
    <w:rsid w:val="00B20AC1"/>
    <w:pPr>
      <w:numPr>
        <w:numId w:val="31"/>
      </w:numPr>
    </w:pPr>
  </w:style>
  <w:style w:type="numbering" w:customStyle="1" w:styleId="l-AlfaListeStil">
    <w:name w:val="l-AlfaListeStil"/>
    <w:uiPriority w:val="99"/>
    <w:rsid w:val="00B20AC1"/>
    <w:pPr>
      <w:numPr>
        <w:numId w:val="32"/>
      </w:numPr>
    </w:pPr>
  </w:style>
  <w:style w:type="numbering" w:customStyle="1" w:styleId="OverskrifterListeStil">
    <w:name w:val="OverskrifterListeStil"/>
    <w:uiPriority w:val="99"/>
    <w:rsid w:val="00B20AC1"/>
    <w:pPr>
      <w:numPr>
        <w:numId w:val="33"/>
      </w:numPr>
    </w:pPr>
  </w:style>
  <w:style w:type="numbering" w:customStyle="1" w:styleId="l-ListeStilMal">
    <w:name w:val="l-ListeStilMal"/>
    <w:uiPriority w:val="99"/>
    <w:rsid w:val="00B20AC1"/>
    <w:pPr>
      <w:numPr>
        <w:numId w:val="34"/>
      </w:numPr>
    </w:pPr>
  </w:style>
  <w:style w:type="paragraph" w:styleId="Avsenderadresse">
    <w:name w:val="envelope return"/>
    <w:basedOn w:val="Normal"/>
    <w:uiPriority w:val="99"/>
    <w:semiHidden/>
    <w:unhideWhenUsed/>
    <w:rsid w:val="00B20AC1"/>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B20AC1"/>
  </w:style>
  <w:style w:type="character" w:customStyle="1" w:styleId="BrdtekstTegn">
    <w:name w:val="Brødtekst Tegn"/>
    <w:link w:val="Brdtekst"/>
    <w:semiHidden/>
    <w:rsid w:val="00B20AC1"/>
    <w:rPr>
      <w:rFonts w:ascii="Times New Roman" w:eastAsia="Times New Roman" w:hAnsi="Times New Roman"/>
      <w:spacing w:val="4"/>
      <w:kern w:val="0"/>
      <w:sz w:val="24"/>
    </w:rPr>
  </w:style>
  <w:style w:type="paragraph" w:styleId="Brdtekst-frsteinnrykk">
    <w:name w:val="Body Text First Indent"/>
    <w:basedOn w:val="Brdtekst"/>
    <w:link w:val="Brdtekst-frsteinnrykkTegn"/>
    <w:uiPriority w:val="99"/>
    <w:semiHidden/>
    <w:unhideWhenUsed/>
    <w:rsid w:val="00B20AC1"/>
    <w:pPr>
      <w:ind w:firstLine="360"/>
    </w:pPr>
  </w:style>
  <w:style w:type="character" w:customStyle="1" w:styleId="Brdtekst-frsteinnrykkTegn">
    <w:name w:val="Brødtekst - første innrykk Tegn"/>
    <w:link w:val="Brdtekst-frsteinnrykk"/>
    <w:uiPriority w:val="99"/>
    <w:semiHidden/>
    <w:rsid w:val="00B20AC1"/>
    <w:rPr>
      <w:rFonts w:ascii="Times New Roman" w:eastAsia="Times New Roman" w:hAnsi="Times New Roman"/>
      <w:spacing w:val="4"/>
      <w:kern w:val="0"/>
      <w:sz w:val="24"/>
    </w:rPr>
  </w:style>
  <w:style w:type="paragraph" w:styleId="Brdtekstinnrykk">
    <w:name w:val="Body Text Indent"/>
    <w:basedOn w:val="Normal"/>
    <w:link w:val="BrdtekstinnrykkTegn"/>
    <w:uiPriority w:val="99"/>
    <w:semiHidden/>
    <w:unhideWhenUsed/>
    <w:rsid w:val="00B20AC1"/>
    <w:pPr>
      <w:ind w:left="283"/>
    </w:pPr>
  </w:style>
  <w:style w:type="character" w:customStyle="1" w:styleId="BrdtekstinnrykkTegn">
    <w:name w:val="Brødtekstinnrykk Tegn"/>
    <w:link w:val="Brdtekstinnrykk"/>
    <w:uiPriority w:val="99"/>
    <w:semiHidden/>
    <w:rsid w:val="00B20AC1"/>
    <w:rPr>
      <w:rFonts w:ascii="Times New Roman" w:eastAsia="Times New Roman" w:hAnsi="Times New Roman"/>
      <w:spacing w:val="4"/>
      <w:kern w:val="0"/>
      <w:sz w:val="24"/>
    </w:rPr>
  </w:style>
  <w:style w:type="paragraph" w:styleId="Brdtekst-frsteinnrykk2">
    <w:name w:val="Body Text First Indent 2"/>
    <w:basedOn w:val="Brdtekstinnrykk"/>
    <w:link w:val="Brdtekst-frsteinnrykk2Tegn"/>
    <w:uiPriority w:val="99"/>
    <w:semiHidden/>
    <w:unhideWhenUsed/>
    <w:rsid w:val="00B20AC1"/>
    <w:pPr>
      <w:ind w:left="360" w:firstLine="360"/>
    </w:pPr>
  </w:style>
  <w:style w:type="character" w:customStyle="1" w:styleId="Brdtekst-frsteinnrykk2Tegn">
    <w:name w:val="Brødtekst - første innrykk 2 Tegn"/>
    <w:link w:val="Brdtekst-frsteinnrykk2"/>
    <w:uiPriority w:val="99"/>
    <w:semiHidden/>
    <w:rsid w:val="00B20AC1"/>
    <w:rPr>
      <w:rFonts w:ascii="Times New Roman" w:eastAsia="Times New Roman" w:hAnsi="Times New Roman"/>
      <w:spacing w:val="4"/>
      <w:kern w:val="0"/>
      <w:sz w:val="24"/>
    </w:rPr>
  </w:style>
  <w:style w:type="paragraph" w:styleId="Brdtekst2">
    <w:name w:val="Body Text 2"/>
    <w:basedOn w:val="Normal"/>
    <w:link w:val="Brdtekst2Tegn"/>
    <w:uiPriority w:val="99"/>
    <w:semiHidden/>
    <w:unhideWhenUsed/>
    <w:rsid w:val="00B20AC1"/>
    <w:pPr>
      <w:spacing w:line="480" w:lineRule="auto"/>
    </w:pPr>
  </w:style>
  <w:style w:type="character" w:customStyle="1" w:styleId="Brdtekst2Tegn">
    <w:name w:val="Brødtekst 2 Tegn"/>
    <w:link w:val="Brdtekst2"/>
    <w:uiPriority w:val="99"/>
    <w:semiHidden/>
    <w:rsid w:val="00B20AC1"/>
    <w:rPr>
      <w:rFonts w:ascii="Times New Roman" w:eastAsia="Times New Roman" w:hAnsi="Times New Roman"/>
      <w:spacing w:val="4"/>
      <w:kern w:val="0"/>
      <w:sz w:val="24"/>
    </w:rPr>
  </w:style>
  <w:style w:type="paragraph" w:styleId="Brdtekst3">
    <w:name w:val="Body Text 3"/>
    <w:basedOn w:val="Normal"/>
    <w:link w:val="Brdtekst3Tegn"/>
    <w:uiPriority w:val="99"/>
    <w:semiHidden/>
    <w:unhideWhenUsed/>
    <w:rsid w:val="00B20AC1"/>
    <w:rPr>
      <w:sz w:val="16"/>
      <w:szCs w:val="16"/>
    </w:rPr>
  </w:style>
  <w:style w:type="character" w:customStyle="1" w:styleId="Brdtekst3Tegn">
    <w:name w:val="Brødtekst 3 Tegn"/>
    <w:link w:val="Brdtekst3"/>
    <w:uiPriority w:val="99"/>
    <w:semiHidden/>
    <w:rsid w:val="00B20AC1"/>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B20AC1"/>
    <w:pPr>
      <w:spacing w:line="480" w:lineRule="auto"/>
      <w:ind w:left="283"/>
    </w:pPr>
  </w:style>
  <w:style w:type="character" w:customStyle="1" w:styleId="Brdtekstinnrykk2Tegn">
    <w:name w:val="Brødtekstinnrykk 2 Tegn"/>
    <w:link w:val="Brdtekstinnrykk2"/>
    <w:uiPriority w:val="99"/>
    <w:semiHidden/>
    <w:rsid w:val="00B20AC1"/>
    <w:rPr>
      <w:rFonts w:ascii="Times New Roman" w:eastAsia="Times New Roman" w:hAnsi="Times New Roman"/>
      <w:spacing w:val="4"/>
      <w:kern w:val="0"/>
      <w:sz w:val="24"/>
    </w:rPr>
  </w:style>
  <w:style w:type="paragraph" w:styleId="Brdtekstinnrykk3">
    <w:name w:val="Body Text Indent 3"/>
    <w:basedOn w:val="Normal"/>
    <w:link w:val="Brdtekstinnrykk3Tegn"/>
    <w:uiPriority w:val="99"/>
    <w:semiHidden/>
    <w:unhideWhenUsed/>
    <w:rsid w:val="00B20AC1"/>
    <w:pPr>
      <w:ind w:left="283"/>
    </w:pPr>
    <w:rPr>
      <w:sz w:val="16"/>
      <w:szCs w:val="16"/>
    </w:rPr>
  </w:style>
  <w:style w:type="character" w:customStyle="1" w:styleId="Brdtekstinnrykk3Tegn">
    <w:name w:val="Brødtekstinnrykk 3 Tegn"/>
    <w:link w:val="Brdtekstinnrykk3"/>
    <w:uiPriority w:val="99"/>
    <w:semiHidden/>
    <w:rsid w:val="00B20AC1"/>
    <w:rPr>
      <w:rFonts w:ascii="Times New Roman" w:eastAsia="Times New Roman" w:hAnsi="Times New Roman"/>
      <w:spacing w:val="4"/>
      <w:kern w:val="0"/>
      <w:sz w:val="16"/>
      <w:szCs w:val="16"/>
    </w:rPr>
  </w:style>
  <w:style w:type="paragraph" w:customStyle="1" w:styleId="Sammendrag">
    <w:name w:val="Sammendrag"/>
    <w:basedOn w:val="Overskrift1"/>
    <w:qFormat/>
    <w:rsid w:val="00B20AC1"/>
    <w:pPr>
      <w:numPr>
        <w:numId w:val="0"/>
      </w:numPr>
    </w:pPr>
  </w:style>
  <w:style w:type="paragraph" w:customStyle="1" w:styleId="TrykkeriMerknad">
    <w:name w:val="TrykkeriMerknad"/>
    <w:basedOn w:val="Normal"/>
    <w:qFormat/>
    <w:rsid w:val="00B20AC1"/>
    <w:pPr>
      <w:spacing w:before="60"/>
    </w:pPr>
    <w:rPr>
      <w:rFonts w:ascii="Arial" w:hAnsi="Arial"/>
      <w:color w:val="943634"/>
      <w:sz w:val="26"/>
    </w:rPr>
  </w:style>
  <w:style w:type="paragraph" w:customStyle="1" w:styleId="ForfatterMerknad">
    <w:name w:val="ForfatterMerknad"/>
    <w:basedOn w:val="TrykkeriMerknad"/>
    <w:qFormat/>
    <w:rsid w:val="00B20AC1"/>
    <w:pPr>
      <w:shd w:val="clear" w:color="auto" w:fill="FFFF99"/>
      <w:spacing w:line="240" w:lineRule="auto"/>
    </w:pPr>
    <w:rPr>
      <w:color w:val="632423"/>
    </w:rPr>
  </w:style>
  <w:style w:type="paragraph" w:customStyle="1" w:styleId="tblRad">
    <w:name w:val="tblRad"/>
    <w:rsid w:val="00B20AC1"/>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B20AC1"/>
  </w:style>
  <w:style w:type="paragraph" w:customStyle="1" w:styleId="tbl2LinjeSumBold">
    <w:name w:val="tbl2LinjeSumBold"/>
    <w:basedOn w:val="tblRad"/>
    <w:rsid w:val="00B20AC1"/>
  </w:style>
  <w:style w:type="paragraph" w:customStyle="1" w:styleId="tblDelsum1">
    <w:name w:val="tblDelsum1"/>
    <w:basedOn w:val="tblRad"/>
    <w:rsid w:val="00B20AC1"/>
  </w:style>
  <w:style w:type="paragraph" w:customStyle="1" w:styleId="tblDelsum1-Kapittel">
    <w:name w:val="tblDelsum1 - Kapittel"/>
    <w:basedOn w:val="tblDelsum1"/>
    <w:rsid w:val="00B20AC1"/>
    <w:pPr>
      <w:keepNext w:val="0"/>
    </w:pPr>
  </w:style>
  <w:style w:type="paragraph" w:customStyle="1" w:styleId="tblDelsum2">
    <w:name w:val="tblDelsum2"/>
    <w:basedOn w:val="tblRad"/>
    <w:rsid w:val="00B20AC1"/>
  </w:style>
  <w:style w:type="paragraph" w:customStyle="1" w:styleId="tblDelsum2-Kapittel">
    <w:name w:val="tblDelsum2 - Kapittel"/>
    <w:basedOn w:val="tblDelsum2"/>
    <w:rsid w:val="00B20AC1"/>
    <w:pPr>
      <w:keepNext w:val="0"/>
    </w:pPr>
  </w:style>
  <w:style w:type="paragraph" w:customStyle="1" w:styleId="tblTabelloverskrift">
    <w:name w:val="tblTabelloverskrift"/>
    <w:rsid w:val="00B20AC1"/>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B20AC1"/>
    <w:pPr>
      <w:spacing w:after="0"/>
      <w:jc w:val="right"/>
    </w:pPr>
    <w:rPr>
      <w:b w:val="0"/>
      <w:caps w:val="0"/>
      <w:sz w:val="16"/>
    </w:rPr>
  </w:style>
  <w:style w:type="paragraph" w:customStyle="1" w:styleId="tblKategoriOverskrift">
    <w:name w:val="tblKategoriOverskrift"/>
    <w:basedOn w:val="tblRad"/>
    <w:rsid w:val="00B20AC1"/>
    <w:pPr>
      <w:spacing w:before="120"/>
    </w:pPr>
  </w:style>
  <w:style w:type="paragraph" w:customStyle="1" w:styleId="tblKolonneoverskrift">
    <w:name w:val="tblKolonneoverskrift"/>
    <w:basedOn w:val="Normal"/>
    <w:rsid w:val="00B20AC1"/>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B20AC1"/>
    <w:pPr>
      <w:spacing w:after="360"/>
      <w:jc w:val="center"/>
    </w:pPr>
    <w:rPr>
      <w:b w:val="0"/>
      <w:caps w:val="0"/>
    </w:rPr>
  </w:style>
  <w:style w:type="paragraph" w:customStyle="1" w:styleId="tblKolonneoverskrift-Vedtak">
    <w:name w:val="tblKolonneoverskrift - Vedtak"/>
    <w:basedOn w:val="tblTabelloverskrift-Vedtak"/>
    <w:rsid w:val="00B20AC1"/>
    <w:pPr>
      <w:spacing w:after="0"/>
    </w:pPr>
  </w:style>
  <w:style w:type="paragraph" w:customStyle="1" w:styleId="tblOverskrift-Vedtak">
    <w:name w:val="tblOverskrift - Vedtak"/>
    <w:basedOn w:val="tblRad"/>
    <w:rsid w:val="00B20AC1"/>
    <w:pPr>
      <w:spacing w:before="360"/>
      <w:jc w:val="center"/>
    </w:pPr>
  </w:style>
  <w:style w:type="paragraph" w:customStyle="1" w:styleId="tblRadBold">
    <w:name w:val="tblRadBold"/>
    <w:basedOn w:val="tblRad"/>
    <w:rsid w:val="00B20AC1"/>
  </w:style>
  <w:style w:type="paragraph" w:customStyle="1" w:styleId="tblRadItalic">
    <w:name w:val="tblRadItalic"/>
    <w:basedOn w:val="tblRad"/>
    <w:rsid w:val="00B20AC1"/>
  </w:style>
  <w:style w:type="paragraph" w:customStyle="1" w:styleId="tblRadItalicSiste">
    <w:name w:val="tblRadItalicSiste"/>
    <w:basedOn w:val="tblRadItalic"/>
    <w:rsid w:val="00B20AC1"/>
  </w:style>
  <w:style w:type="paragraph" w:customStyle="1" w:styleId="tblRadMedLuft">
    <w:name w:val="tblRadMedLuft"/>
    <w:basedOn w:val="tblRad"/>
    <w:rsid w:val="00B20AC1"/>
    <w:pPr>
      <w:spacing w:before="120"/>
    </w:pPr>
  </w:style>
  <w:style w:type="paragraph" w:customStyle="1" w:styleId="tblRadMedLuftSiste">
    <w:name w:val="tblRadMedLuftSiste"/>
    <w:basedOn w:val="tblRadMedLuft"/>
    <w:rsid w:val="00B20AC1"/>
    <w:pPr>
      <w:spacing w:after="120"/>
    </w:pPr>
  </w:style>
  <w:style w:type="paragraph" w:customStyle="1" w:styleId="tblRadMedLuftSiste-Vedtak">
    <w:name w:val="tblRadMedLuftSiste - Vedtak"/>
    <w:basedOn w:val="tblRadMedLuftSiste"/>
    <w:rsid w:val="00B20AC1"/>
    <w:pPr>
      <w:keepNext w:val="0"/>
    </w:pPr>
  </w:style>
  <w:style w:type="paragraph" w:customStyle="1" w:styleId="tblRadSiste">
    <w:name w:val="tblRadSiste"/>
    <w:basedOn w:val="tblRad"/>
    <w:rsid w:val="00B20AC1"/>
  </w:style>
  <w:style w:type="paragraph" w:customStyle="1" w:styleId="tblSluttsum">
    <w:name w:val="tblSluttsum"/>
    <w:basedOn w:val="tblRad"/>
    <w:rsid w:val="00B20AC1"/>
    <w:pPr>
      <w:spacing w:before="120"/>
    </w:pPr>
  </w:style>
  <w:style w:type="table" w:customStyle="1" w:styleId="MetadataTabell">
    <w:name w:val="MetadataTabell"/>
    <w:basedOn w:val="Rutenettabelllys"/>
    <w:uiPriority w:val="99"/>
    <w:rsid w:val="00B20AC1"/>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B20AC1"/>
    <w:pPr>
      <w:spacing w:before="60" w:after="60"/>
    </w:pPr>
    <w:rPr>
      <w:rFonts w:ascii="Consolas" w:hAnsi="Consolas"/>
      <w:color w:val="C0504D"/>
      <w:sz w:val="26"/>
    </w:rPr>
  </w:style>
  <w:style w:type="table" w:styleId="Rutenettabelllys">
    <w:name w:val="Grid Table Light"/>
    <w:basedOn w:val="Vanligtabell"/>
    <w:uiPriority w:val="40"/>
    <w:rsid w:val="00B20AC1"/>
    <w:pPr>
      <w:spacing w:after="0" w:line="240" w:lineRule="auto"/>
    </w:pPr>
    <w:rPr>
      <w:rFonts w:eastAsia="Calibri"/>
      <w:kern w:val="0"/>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B20AC1"/>
    <w:pPr>
      <w:spacing w:before="60" w:after="60"/>
    </w:pPr>
    <w:rPr>
      <w:rFonts w:ascii="Consolas" w:hAnsi="Consolas"/>
      <w:color w:val="365F91"/>
      <w:sz w:val="26"/>
    </w:rPr>
  </w:style>
  <w:style w:type="table" w:customStyle="1" w:styleId="Standardtabell-02">
    <w:name w:val="Standardtabell-02"/>
    <w:basedOn w:val="StandardTabell"/>
    <w:uiPriority w:val="99"/>
    <w:rsid w:val="00B20AC1"/>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B20AC1"/>
    <w:rPr>
      <w:sz w:val="24"/>
    </w:rPr>
  </w:style>
  <w:style w:type="character" w:styleId="Emneknagg">
    <w:name w:val="Hashtag"/>
    <w:basedOn w:val="Standardskriftforavsnitt"/>
    <w:uiPriority w:val="99"/>
    <w:semiHidden/>
    <w:unhideWhenUsed/>
    <w:rsid w:val="00B20AC1"/>
    <w:rPr>
      <w:color w:val="2B579A"/>
      <w:shd w:val="clear" w:color="auto" w:fill="E1DFDD"/>
    </w:rPr>
  </w:style>
  <w:style w:type="character" w:styleId="Omtale">
    <w:name w:val="Mention"/>
    <w:basedOn w:val="Standardskriftforavsnitt"/>
    <w:uiPriority w:val="99"/>
    <w:semiHidden/>
    <w:unhideWhenUsed/>
    <w:rsid w:val="00B20AC1"/>
    <w:rPr>
      <w:color w:val="2B579A"/>
      <w:shd w:val="clear" w:color="auto" w:fill="E1DFDD"/>
    </w:rPr>
  </w:style>
  <w:style w:type="paragraph" w:styleId="Sitat0">
    <w:name w:val="Quote"/>
    <w:basedOn w:val="Normal"/>
    <w:next w:val="Normal"/>
    <w:link w:val="SitatTegn1"/>
    <w:uiPriority w:val="29"/>
    <w:qFormat/>
    <w:rsid w:val="00B20AC1"/>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B20AC1"/>
    <w:rPr>
      <w:rFonts w:ascii="Times New Roman" w:eastAsia="Times New Roman" w:hAnsi="Times New Roman"/>
      <w:i/>
      <w:iCs/>
      <w:color w:val="404040" w:themeColor="text1" w:themeTint="BF"/>
      <w:spacing w:val="4"/>
      <w:kern w:val="0"/>
      <w:sz w:val="24"/>
    </w:rPr>
  </w:style>
  <w:style w:type="character" w:styleId="Smarthyperkobling">
    <w:name w:val="Smart Hyperlink"/>
    <w:basedOn w:val="Standardskriftforavsnitt"/>
    <w:uiPriority w:val="99"/>
    <w:semiHidden/>
    <w:unhideWhenUsed/>
    <w:rsid w:val="00B20AC1"/>
    <w:rPr>
      <w:u w:val="dotted"/>
    </w:rPr>
  </w:style>
  <w:style w:type="character" w:styleId="Smartkobling">
    <w:name w:val="Smart Link"/>
    <w:basedOn w:val="Standardskriftforavsnitt"/>
    <w:uiPriority w:val="99"/>
    <w:semiHidden/>
    <w:unhideWhenUsed/>
    <w:rsid w:val="00B20AC1"/>
    <w:rPr>
      <w:color w:val="0000FF"/>
      <w:u w:val="single"/>
      <w:shd w:val="clear" w:color="auto" w:fill="F3F2F1"/>
    </w:rPr>
  </w:style>
  <w:style w:type="character" w:styleId="Ulstomtale">
    <w:name w:val="Unresolved Mention"/>
    <w:basedOn w:val="Standardskriftforavsnitt"/>
    <w:uiPriority w:val="99"/>
    <w:semiHidden/>
    <w:unhideWhenUsed/>
    <w:rsid w:val="00B20A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Prop-mal-V3.dotx</Template>
  <TotalTime>0</TotalTime>
  <Pages>16</Pages>
  <Words>7030</Words>
  <Characters>37265</Characters>
  <Application>Microsoft Office Word</Application>
  <DocSecurity>0</DocSecurity>
  <Lines>310</Lines>
  <Paragraphs>88</Paragraphs>
  <ScaleCrop>false</ScaleCrop>
  <Company/>
  <LinksUpToDate>false</LinksUpToDate>
  <CharactersWithSpaces>44207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2024-02-26T07:28:00Z</dcterms:created>
  <dcterms:modified xsi:type="dcterms:W3CDTF">2024-02-26T07:28:00Z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2024-02-26T07:28:24Z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38c958f5-ee0b-4c65-8d67-5109c565c33d</vt:lpwstr>
  </property>
  <property fmtid="{D5CDD505-2E9C-101B-9397-08002B2CF9AE}" pid="8" name="MSIP_Label_b22f7043-6caf-4431-9109-8eff758a1d8b_ContentBits">
    <vt:lpwstr>0</vt:lpwstr>
  </property>
</Properties>
</file>