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EF76" w14:textId="52451AD9" w:rsidR="00175F8B" w:rsidRPr="00175F8B" w:rsidRDefault="00175F8B" w:rsidP="00175F8B">
      <w:pPr>
        <w:pStyle w:val="Nou-nr"/>
      </w:pPr>
      <w:r w:rsidRPr="00175F8B">
        <w:t>NOU 2024: 16</w:t>
      </w:r>
    </w:p>
    <w:p w14:paraId="7B9322DF" w14:textId="14BC7EA3" w:rsidR="00080633" w:rsidRPr="00175F8B" w:rsidRDefault="00080633" w:rsidP="00175F8B">
      <w:pPr>
        <w:pStyle w:val="Nou-tit"/>
      </w:pPr>
      <w:r w:rsidRPr="00175F8B">
        <w:t>Endringer i verdipapirhandelloven</w:t>
      </w:r>
    </w:p>
    <w:p w14:paraId="56ADB81A" w14:textId="77777777" w:rsidR="00080633" w:rsidRPr="00175F8B" w:rsidRDefault="00080633" w:rsidP="00175F8B">
      <w:pPr>
        <w:pStyle w:val="Nou-undertit"/>
      </w:pPr>
      <w:r w:rsidRPr="00175F8B">
        <w:t>(</w:t>
      </w:r>
      <w:proofErr w:type="spellStart"/>
      <w:r w:rsidRPr="00175F8B">
        <w:t>MiFID</w:t>
      </w:r>
      <w:proofErr w:type="spellEnd"/>
      <w:r w:rsidRPr="00175F8B">
        <w:t xml:space="preserve"> II/</w:t>
      </w:r>
      <w:proofErr w:type="spellStart"/>
      <w:r w:rsidRPr="00175F8B">
        <w:t>MiFIR-review</w:t>
      </w:r>
      <w:proofErr w:type="spellEnd"/>
      <w:r w:rsidRPr="00175F8B">
        <w:t>)</w:t>
      </w:r>
    </w:p>
    <w:p w14:paraId="617C9748" w14:textId="77777777" w:rsidR="00080633" w:rsidRPr="00175F8B" w:rsidRDefault="00080633" w:rsidP="00175F8B">
      <w:pPr>
        <w:pStyle w:val="oppnevnelse"/>
      </w:pPr>
      <w:r w:rsidRPr="00175F8B">
        <w:t>Utredning fra et utvalg oppnevnt ved kongelig resolusjon 22. mai 2015</w:t>
      </w:r>
    </w:p>
    <w:p w14:paraId="03C49D32" w14:textId="77777777" w:rsidR="00080633" w:rsidRPr="00175F8B" w:rsidRDefault="00080633" w:rsidP="00175F8B">
      <w:pPr>
        <w:pStyle w:val="avgivelse"/>
      </w:pPr>
      <w:r w:rsidRPr="00175F8B">
        <w:t>Avgitt til Finansdepartementet 2. august 2024</w:t>
      </w:r>
    </w:p>
    <w:p w14:paraId="28CF3A31" w14:textId="77777777" w:rsidR="00080633" w:rsidRPr="00175F8B" w:rsidRDefault="00080633" w:rsidP="00175F8B">
      <w:pPr>
        <w:pStyle w:val="oversend-tit"/>
      </w:pPr>
      <w:r w:rsidRPr="00175F8B">
        <w:t>Til Finansdepartementet</w:t>
      </w:r>
    </w:p>
    <w:p w14:paraId="30F83807" w14:textId="77777777" w:rsidR="00080633" w:rsidRPr="00175F8B" w:rsidRDefault="00080633" w:rsidP="00175F8B">
      <w:r w:rsidRPr="00175F8B">
        <w:t xml:space="preserve">Verdipapirlovutvalget ble oppnevnt ved kongelig resolusjon 22. mai 2015. Utvalget fremmer i henhold til mandat av 29. februar 2024 forslag til endringer i verdipapirhandelloven for å gjennomføre forventede EØS-regler som svarer til direktiv (EU) 2024/790 (endringsdirektiv til </w:t>
      </w:r>
      <w:proofErr w:type="spellStart"/>
      <w:r w:rsidRPr="00175F8B">
        <w:t>MiFID</w:t>
      </w:r>
      <w:proofErr w:type="spellEnd"/>
      <w:r w:rsidRPr="00175F8B">
        <w:t xml:space="preserve"> II) og forordning (EU) 2024/791 (endringsforordning til </w:t>
      </w:r>
      <w:proofErr w:type="spellStart"/>
      <w:r w:rsidRPr="00175F8B">
        <w:t>MiFIR</w:t>
      </w:r>
      <w:proofErr w:type="spellEnd"/>
      <w:r w:rsidRPr="00175F8B">
        <w:t>). Endringsdirektivet- og forordningen har blant annet som formål å styrke investorenes stilling, ved å lette tilgangen til markedsdata som er nødvendig for å investere i aksjer og obligasjoner mv., samtidig som markedsinfrastrukturen skal bli sterkere. Dette skal øke likviditeten i markedet og dermed bedre selskapers tilgang til finansiering. Det er ingen dissenser i utredningen.</w:t>
      </w:r>
    </w:p>
    <w:p w14:paraId="3D8A304C" w14:textId="77777777" w:rsidR="00080633" w:rsidRPr="00175F8B" w:rsidRDefault="00080633" w:rsidP="00175F8B">
      <w:pPr>
        <w:pStyle w:val="Tabellnavn"/>
      </w:pPr>
      <w:r w:rsidRPr="00175F8B">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00"/>
        <w:gridCol w:w="2400"/>
        <w:gridCol w:w="2400"/>
      </w:tblGrid>
      <w:tr w:rsidR="00000000" w:rsidRPr="00175F8B" w14:paraId="4C6F6134" w14:textId="77777777">
        <w:trPr>
          <w:trHeight w:val="760"/>
        </w:trPr>
        <w:tc>
          <w:tcPr>
            <w:tcW w:w="2400" w:type="dxa"/>
            <w:tcBorders>
              <w:top w:val="nil"/>
              <w:left w:val="nil"/>
              <w:bottom w:val="nil"/>
              <w:right w:val="nil"/>
            </w:tcBorders>
            <w:tcMar>
              <w:top w:w="214" w:type="dxa"/>
              <w:left w:w="0" w:type="dxa"/>
              <w:bottom w:w="96" w:type="dxa"/>
              <w:right w:w="0" w:type="dxa"/>
            </w:tcMar>
          </w:tcPr>
          <w:p w14:paraId="796B9F95" w14:textId="77777777" w:rsidR="00080633" w:rsidRPr="00175F8B" w:rsidRDefault="00080633" w:rsidP="00175F8B"/>
        </w:tc>
        <w:tc>
          <w:tcPr>
            <w:tcW w:w="2400" w:type="dxa"/>
            <w:tcBorders>
              <w:top w:val="nil"/>
              <w:left w:val="nil"/>
              <w:bottom w:val="nil"/>
              <w:right w:val="nil"/>
            </w:tcBorders>
            <w:tcMar>
              <w:top w:w="214" w:type="dxa"/>
              <w:left w:w="0" w:type="dxa"/>
              <w:bottom w:w="96" w:type="dxa"/>
              <w:right w:w="0" w:type="dxa"/>
            </w:tcMar>
          </w:tcPr>
          <w:p w14:paraId="30D61E60" w14:textId="77777777" w:rsidR="00080633" w:rsidRPr="00175F8B" w:rsidRDefault="00080633" w:rsidP="00175F8B">
            <w:r w:rsidRPr="00175F8B">
              <w:t>Oslo, 2. august 2024</w:t>
            </w:r>
            <w:r w:rsidRPr="00175F8B">
              <w:br/>
            </w:r>
          </w:p>
        </w:tc>
        <w:tc>
          <w:tcPr>
            <w:tcW w:w="2400" w:type="dxa"/>
            <w:tcBorders>
              <w:top w:val="nil"/>
              <w:left w:val="nil"/>
              <w:bottom w:val="nil"/>
              <w:right w:val="nil"/>
            </w:tcBorders>
            <w:tcMar>
              <w:top w:w="214" w:type="dxa"/>
              <w:left w:w="0" w:type="dxa"/>
              <w:bottom w:w="96" w:type="dxa"/>
              <w:right w:w="0" w:type="dxa"/>
            </w:tcMar>
          </w:tcPr>
          <w:p w14:paraId="21581D79" w14:textId="77777777" w:rsidR="00080633" w:rsidRPr="00175F8B" w:rsidRDefault="00080633" w:rsidP="00175F8B"/>
        </w:tc>
      </w:tr>
      <w:tr w:rsidR="00000000" w:rsidRPr="00175F8B" w14:paraId="3F09914E" w14:textId="77777777">
        <w:trPr>
          <w:trHeight w:val="760"/>
        </w:trPr>
        <w:tc>
          <w:tcPr>
            <w:tcW w:w="2400" w:type="dxa"/>
            <w:tcBorders>
              <w:top w:val="nil"/>
              <w:left w:val="nil"/>
              <w:bottom w:val="nil"/>
              <w:right w:val="nil"/>
            </w:tcBorders>
            <w:tcMar>
              <w:top w:w="214" w:type="dxa"/>
              <w:left w:w="0" w:type="dxa"/>
              <w:bottom w:w="96" w:type="dxa"/>
              <w:right w:w="0" w:type="dxa"/>
            </w:tcMar>
          </w:tcPr>
          <w:p w14:paraId="67F0F535" w14:textId="77777777" w:rsidR="00080633" w:rsidRPr="00175F8B" w:rsidRDefault="00080633" w:rsidP="00175F8B"/>
        </w:tc>
        <w:tc>
          <w:tcPr>
            <w:tcW w:w="2400" w:type="dxa"/>
            <w:tcBorders>
              <w:top w:val="nil"/>
              <w:left w:val="nil"/>
              <w:bottom w:val="nil"/>
              <w:right w:val="nil"/>
            </w:tcBorders>
            <w:tcMar>
              <w:top w:w="214" w:type="dxa"/>
              <w:left w:w="0" w:type="dxa"/>
              <w:bottom w:w="96" w:type="dxa"/>
              <w:right w:w="0" w:type="dxa"/>
            </w:tcMar>
          </w:tcPr>
          <w:p w14:paraId="21FBF2FC" w14:textId="77777777" w:rsidR="00080633" w:rsidRPr="00175F8B" w:rsidRDefault="00080633" w:rsidP="00175F8B">
            <w:pPr>
              <w:pStyle w:val="medlem"/>
            </w:pPr>
            <w:r w:rsidRPr="00175F8B">
              <w:t xml:space="preserve">Filip </w:t>
            </w:r>
            <w:proofErr w:type="spellStart"/>
            <w:r w:rsidRPr="00175F8B">
              <w:t>Truyen</w:t>
            </w:r>
            <w:proofErr w:type="spellEnd"/>
          </w:p>
          <w:p w14:paraId="59A56345" w14:textId="77777777" w:rsidR="00080633" w:rsidRPr="00175F8B" w:rsidRDefault="00080633" w:rsidP="00175F8B">
            <w:r w:rsidRPr="00175F8B">
              <w:t>leder</w:t>
            </w:r>
          </w:p>
        </w:tc>
        <w:tc>
          <w:tcPr>
            <w:tcW w:w="2400" w:type="dxa"/>
            <w:tcBorders>
              <w:top w:val="nil"/>
              <w:left w:val="nil"/>
              <w:bottom w:val="nil"/>
              <w:right w:val="nil"/>
            </w:tcBorders>
            <w:tcMar>
              <w:top w:w="214" w:type="dxa"/>
              <w:left w:w="0" w:type="dxa"/>
              <w:bottom w:w="96" w:type="dxa"/>
              <w:right w:w="0" w:type="dxa"/>
            </w:tcMar>
          </w:tcPr>
          <w:p w14:paraId="38DE30F9" w14:textId="77777777" w:rsidR="00080633" w:rsidRPr="00175F8B" w:rsidRDefault="00080633" w:rsidP="00175F8B"/>
        </w:tc>
      </w:tr>
      <w:tr w:rsidR="00000000" w:rsidRPr="00175F8B" w14:paraId="685DC655" w14:textId="77777777">
        <w:trPr>
          <w:trHeight w:val="520"/>
        </w:trPr>
        <w:tc>
          <w:tcPr>
            <w:tcW w:w="2400" w:type="dxa"/>
            <w:tcBorders>
              <w:top w:val="nil"/>
              <w:left w:val="nil"/>
              <w:bottom w:val="nil"/>
              <w:right w:val="nil"/>
            </w:tcBorders>
            <w:tcMar>
              <w:top w:w="214" w:type="dxa"/>
              <w:left w:w="0" w:type="dxa"/>
              <w:bottom w:w="96" w:type="dxa"/>
              <w:right w:w="0" w:type="dxa"/>
            </w:tcMar>
          </w:tcPr>
          <w:p w14:paraId="6D1836CC" w14:textId="77777777" w:rsidR="00080633" w:rsidRPr="00175F8B" w:rsidRDefault="00080633" w:rsidP="00175F8B">
            <w:r w:rsidRPr="00175F8B">
              <w:t>Erling Rikheim</w:t>
            </w:r>
          </w:p>
        </w:tc>
        <w:tc>
          <w:tcPr>
            <w:tcW w:w="2400" w:type="dxa"/>
            <w:tcBorders>
              <w:top w:val="nil"/>
              <w:left w:val="nil"/>
              <w:bottom w:val="nil"/>
              <w:right w:val="nil"/>
            </w:tcBorders>
            <w:tcMar>
              <w:top w:w="214" w:type="dxa"/>
              <w:left w:w="0" w:type="dxa"/>
              <w:bottom w:w="96" w:type="dxa"/>
              <w:right w:w="0" w:type="dxa"/>
            </w:tcMar>
          </w:tcPr>
          <w:p w14:paraId="54FB2BAA" w14:textId="77777777" w:rsidR="00080633" w:rsidRPr="00175F8B" w:rsidRDefault="00080633" w:rsidP="00175F8B">
            <w:r w:rsidRPr="00175F8B">
              <w:t>Kristin Lund</w:t>
            </w:r>
          </w:p>
        </w:tc>
        <w:tc>
          <w:tcPr>
            <w:tcW w:w="2400" w:type="dxa"/>
            <w:tcBorders>
              <w:top w:val="nil"/>
              <w:left w:val="nil"/>
              <w:bottom w:val="nil"/>
              <w:right w:val="nil"/>
            </w:tcBorders>
            <w:tcMar>
              <w:top w:w="214" w:type="dxa"/>
              <w:left w:w="0" w:type="dxa"/>
              <w:bottom w:w="96" w:type="dxa"/>
              <w:right w:w="0" w:type="dxa"/>
            </w:tcMar>
          </w:tcPr>
          <w:p w14:paraId="42C706D4" w14:textId="77777777" w:rsidR="00080633" w:rsidRPr="00175F8B" w:rsidRDefault="00080633" w:rsidP="00175F8B">
            <w:r w:rsidRPr="00175F8B">
              <w:t>Eirik Solem</w:t>
            </w:r>
          </w:p>
        </w:tc>
      </w:tr>
      <w:tr w:rsidR="00000000" w:rsidRPr="00175F8B" w14:paraId="62913921" w14:textId="77777777">
        <w:trPr>
          <w:trHeight w:val="520"/>
        </w:trPr>
        <w:tc>
          <w:tcPr>
            <w:tcW w:w="2400" w:type="dxa"/>
            <w:tcBorders>
              <w:top w:val="nil"/>
              <w:left w:val="nil"/>
              <w:bottom w:val="nil"/>
              <w:right w:val="nil"/>
            </w:tcBorders>
            <w:tcMar>
              <w:top w:w="214" w:type="dxa"/>
              <w:left w:w="0" w:type="dxa"/>
              <w:bottom w:w="96" w:type="dxa"/>
              <w:right w:w="0" w:type="dxa"/>
            </w:tcMar>
          </w:tcPr>
          <w:p w14:paraId="708EAA7B" w14:textId="77777777" w:rsidR="00080633" w:rsidRPr="00175F8B" w:rsidRDefault="00080633" w:rsidP="00175F8B">
            <w:proofErr w:type="spellStart"/>
            <w:r w:rsidRPr="00175F8B">
              <w:t>Jøril</w:t>
            </w:r>
            <w:proofErr w:type="spellEnd"/>
            <w:r w:rsidRPr="00175F8B">
              <w:t xml:space="preserve"> Mæland</w:t>
            </w:r>
          </w:p>
        </w:tc>
        <w:tc>
          <w:tcPr>
            <w:tcW w:w="2400" w:type="dxa"/>
            <w:tcBorders>
              <w:top w:val="nil"/>
              <w:left w:val="nil"/>
              <w:bottom w:val="nil"/>
              <w:right w:val="nil"/>
            </w:tcBorders>
            <w:tcMar>
              <w:top w:w="214" w:type="dxa"/>
              <w:left w:w="0" w:type="dxa"/>
              <w:bottom w:w="96" w:type="dxa"/>
              <w:right w:w="0" w:type="dxa"/>
            </w:tcMar>
          </w:tcPr>
          <w:p w14:paraId="2C2F1756" w14:textId="77777777" w:rsidR="00080633" w:rsidRPr="00175F8B" w:rsidRDefault="00080633" w:rsidP="00175F8B">
            <w:r w:rsidRPr="00175F8B">
              <w:t>Kjell Vidjeland</w:t>
            </w:r>
          </w:p>
        </w:tc>
        <w:tc>
          <w:tcPr>
            <w:tcW w:w="2400" w:type="dxa"/>
            <w:tcBorders>
              <w:top w:val="nil"/>
              <w:left w:val="nil"/>
              <w:bottom w:val="nil"/>
              <w:right w:val="nil"/>
            </w:tcBorders>
            <w:tcMar>
              <w:top w:w="214" w:type="dxa"/>
              <w:left w:w="0" w:type="dxa"/>
              <w:bottom w:w="96" w:type="dxa"/>
              <w:right w:w="0" w:type="dxa"/>
            </w:tcMar>
          </w:tcPr>
          <w:p w14:paraId="259F1263" w14:textId="77777777" w:rsidR="00080633" w:rsidRPr="00175F8B" w:rsidRDefault="00080633" w:rsidP="00175F8B">
            <w:r w:rsidRPr="00175F8B">
              <w:t>Christina Stray</w:t>
            </w:r>
          </w:p>
        </w:tc>
      </w:tr>
      <w:tr w:rsidR="00000000" w:rsidRPr="00175F8B" w14:paraId="3C3ECF8F" w14:textId="77777777">
        <w:trPr>
          <w:trHeight w:val="520"/>
        </w:trPr>
        <w:tc>
          <w:tcPr>
            <w:tcW w:w="2400" w:type="dxa"/>
            <w:tcBorders>
              <w:top w:val="nil"/>
              <w:left w:val="nil"/>
              <w:bottom w:val="nil"/>
              <w:right w:val="nil"/>
            </w:tcBorders>
            <w:tcMar>
              <w:top w:w="214" w:type="dxa"/>
              <w:left w:w="0" w:type="dxa"/>
              <w:bottom w:w="96" w:type="dxa"/>
              <w:right w:w="0" w:type="dxa"/>
            </w:tcMar>
          </w:tcPr>
          <w:p w14:paraId="784986AB" w14:textId="77777777" w:rsidR="00080633" w:rsidRPr="00175F8B" w:rsidRDefault="00080633" w:rsidP="00175F8B">
            <w:r w:rsidRPr="00175F8B">
              <w:t>Halvor E. Sigurdsen</w:t>
            </w:r>
          </w:p>
        </w:tc>
        <w:tc>
          <w:tcPr>
            <w:tcW w:w="2400" w:type="dxa"/>
            <w:tcBorders>
              <w:top w:val="nil"/>
              <w:left w:val="nil"/>
              <w:bottom w:val="nil"/>
              <w:right w:val="nil"/>
            </w:tcBorders>
            <w:tcMar>
              <w:top w:w="214" w:type="dxa"/>
              <w:left w:w="0" w:type="dxa"/>
              <w:bottom w:w="96" w:type="dxa"/>
              <w:right w:w="0" w:type="dxa"/>
            </w:tcMar>
          </w:tcPr>
          <w:p w14:paraId="37C04C9A" w14:textId="77777777" w:rsidR="00080633" w:rsidRPr="00175F8B" w:rsidRDefault="00080633" w:rsidP="00175F8B">
            <w:r w:rsidRPr="00175F8B">
              <w:t>Angela Nygaard</w:t>
            </w:r>
          </w:p>
        </w:tc>
        <w:tc>
          <w:tcPr>
            <w:tcW w:w="2400" w:type="dxa"/>
            <w:tcBorders>
              <w:top w:val="nil"/>
              <w:left w:val="nil"/>
              <w:bottom w:val="nil"/>
              <w:right w:val="nil"/>
            </w:tcBorders>
            <w:tcMar>
              <w:top w:w="214" w:type="dxa"/>
              <w:left w:w="0" w:type="dxa"/>
              <w:bottom w:w="96" w:type="dxa"/>
              <w:right w:w="0" w:type="dxa"/>
            </w:tcMar>
          </w:tcPr>
          <w:p w14:paraId="67477ACC" w14:textId="77777777" w:rsidR="00080633" w:rsidRPr="00175F8B" w:rsidRDefault="00080633" w:rsidP="00175F8B"/>
        </w:tc>
      </w:tr>
      <w:tr w:rsidR="00000000" w:rsidRPr="00175F8B" w14:paraId="237FDACD" w14:textId="77777777">
        <w:trPr>
          <w:trHeight w:val="520"/>
        </w:trPr>
        <w:tc>
          <w:tcPr>
            <w:tcW w:w="2400" w:type="dxa"/>
            <w:tcBorders>
              <w:top w:val="nil"/>
              <w:left w:val="nil"/>
              <w:bottom w:val="nil"/>
              <w:right w:val="nil"/>
            </w:tcBorders>
            <w:tcMar>
              <w:top w:w="214" w:type="dxa"/>
              <w:left w:w="0" w:type="dxa"/>
              <w:bottom w:w="96" w:type="dxa"/>
              <w:right w:w="0" w:type="dxa"/>
            </w:tcMar>
          </w:tcPr>
          <w:p w14:paraId="50AD668F" w14:textId="77777777" w:rsidR="00080633" w:rsidRPr="00175F8B" w:rsidRDefault="00080633" w:rsidP="00175F8B"/>
        </w:tc>
        <w:tc>
          <w:tcPr>
            <w:tcW w:w="2400" w:type="dxa"/>
            <w:tcBorders>
              <w:top w:val="nil"/>
              <w:left w:val="nil"/>
              <w:bottom w:val="nil"/>
              <w:right w:val="nil"/>
            </w:tcBorders>
            <w:tcMar>
              <w:top w:w="214" w:type="dxa"/>
              <w:left w:w="0" w:type="dxa"/>
              <w:bottom w:w="96" w:type="dxa"/>
              <w:right w:w="0" w:type="dxa"/>
            </w:tcMar>
          </w:tcPr>
          <w:p w14:paraId="27444BF9" w14:textId="77777777" w:rsidR="00080633" w:rsidRPr="00175F8B" w:rsidRDefault="00080633" w:rsidP="00175F8B"/>
        </w:tc>
        <w:tc>
          <w:tcPr>
            <w:tcW w:w="2400" w:type="dxa"/>
            <w:tcBorders>
              <w:top w:val="single" w:sz="4" w:space="0" w:color="000000"/>
              <w:left w:val="nil"/>
              <w:bottom w:val="nil"/>
              <w:right w:val="nil"/>
            </w:tcBorders>
            <w:tcMar>
              <w:top w:w="214" w:type="dxa"/>
              <w:left w:w="0" w:type="dxa"/>
              <w:bottom w:w="96" w:type="dxa"/>
              <w:right w:w="0" w:type="dxa"/>
            </w:tcMar>
          </w:tcPr>
          <w:p w14:paraId="02236900" w14:textId="77777777" w:rsidR="00080633" w:rsidRPr="00175F8B" w:rsidRDefault="00080633" w:rsidP="00175F8B">
            <w:r w:rsidRPr="00175F8B">
              <w:t>Kristin Lund</w:t>
            </w:r>
          </w:p>
        </w:tc>
      </w:tr>
      <w:tr w:rsidR="00175F8B" w:rsidRPr="00175F8B" w14:paraId="7709F4A3" w14:textId="77777777" w:rsidTr="00684609">
        <w:trPr>
          <w:trHeight w:val="520"/>
        </w:trPr>
        <w:tc>
          <w:tcPr>
            <w:tcW w:w="2400" w:type="dxa"/>
            <w:tcBorders>
              <w:top w:val="nil"/>
              <w:left w:val="nil"/>
              <w:bottom w:val="nil"/>
              <w:right w:val="nil"/>
            </w:tcBorders>
            <w:tcMar>
              <w:top w:w="214" w:type="dxa"/>
              <w:left w:w="0" w:type="dxa"/>
              <w:bottom w:w="96" w:type="dxa"/>
              <w:right w:w="0" w:type="dxa"/>
            </w:tcMar>
          </w:tcPr>
          <w:p w14:paraId="7AF9ADFB" w14:textId="77777777" w:rsidR="00175F8B" w:rsidRPr="00175F8B" w:rsidRDefault="00175F8B" w:rsidP="00175F8B"/>
        </w:tc>
        <w:tc>
          <w:tcPr>
            <w:tcW w:w="2400" w:type="dxa"/>
            <w:tcBorders>
              <w:top w:val="nil"/>
              <w:left w:val="nil"/>
              <w:bottom w:val="nil"/>
              <w:right w:val="nil"/>
            </w:tcBorders>
            <w:tcMar>
              <w:top w:w="214" w:type="dxa"/>
              <w:left w:w="0" w:type="dxa"/>
              <w:bottom w:w="96" w:type="dxa"/>
              <w:right w:w="0" w:type="dxa"/>
            </w:tcMar>
          </w:tcPr>
          <w:p w14:paraId="6CAC86BB" w14:textId="2A0625D3" w:rsidR="00175F8B" w:rsidRPr="00175F8B" w:rsidRDefault="00175F8B" w:rsidP="00175F8B"/>
        </w:tc>
        <w:tc>
          <w:tcPr>
            <w:tcW w:w="2400" w:type="dxa"/>
            <w:tcBorders>
              <w:top w:val="nil"/>
              <w:left w:val="nil"/>
              <w:bottom w:val="nil"/>
              <w:right w:val="nil"/>
            </w:tcBorders>
          </w:tcPr>
          <w:p w14:paraId="57948046" w14:textId="48E5E91E" w:rsidR="00175F8B" w:rsidRPr="00175F8B" w:rsidRDefault="00175F8B" w:rsidP="00175F8B">
            <w:r w:rsidRPr="00175F8B">
              <w:t xml:space="preserve">Amanda </w:t>
            </w:r>
            <w:proofErr w:type="spellStart"/>
            <w:r w:rsidRPr="00175F8B">
              <w:t>Partapuoli</w:t>
            </w:r>
            <w:proofErr w:type="spellEnd"/>
            <w:r w:rsidRPr="00175F8B">
              <w:t xml:space="preserve"> Bjerkan</w:t>
            </w:r>
          </w:p>
        </w:tc>
      </w:tr>
    </w:tbl>
    <w:p w14:paraId="61C9A856" w14:textId="77777777" w:rsidR="00080633" w:rsidRPr="00175F8B" w:rsidRDefault="00080633" w:rsidP="00175F8B"/>
    <w:p w14:paraId="104BE72D" w14:textId="77777777" w:rsidR="00080633" w:rsidRPr="00175F8B" w:rsidRDefault="00080633" w:rsidP="00175F8B">
      <w:pPr>
        <w:pStyle w:val="Overskrift1"/>
      </w:pPr>
      <w:r w:rsidRPr="00175F8B">
        <w:t>Innledning</w:t>
      </w:r>
    </w:p>
    <w:p w14:paraId="4AF06D75" w14:textId="77777777" w:rsidR="00080633" w:rsidRPr="00175F8B" w:rsidRDefault="00080633" w:rsidP="00175F8B">
      <w:pPr>
        <w:pStyle w:val="Overskrift2"/>
      </w:pPr>
      <w:r w:rsidRPr="00175F8B">
        <w:t>Utvalgets mandat og sammensetning</w:t>
      </w:r>
    </w:p>
    <w:p w14:paraId="04A3FF9E" w14:textId="77777777" w:rsidR="00080633" w:rsidRPr="00175F8B" w:rsidRDefault="00080633" w:rsidP="00175F8B">
      <w:r w:rsidRPr="00175F8B">
        <w:t xml:space="preserve">Den 22. mai 2015 oppnevnte Regjeringen et lovutvalg for å komme med forslag til gjennomføring av EUs reviderte regelverk på verdipapirområdet i norsk rett. I tråd med opprinnelig mandat og senere tilleggsmandater ble arbeidet sluttført i januar 2021, da utvalget leverte sin syvende utredning. Senere har Verdipapirlovutvalget levert to utredninger med forslag til gjennomføring av forordning (EU) 2020/1503 om folkefinansiering av næringsvirksomhet og nytt direktiv (EU) 2022/2464 om </w:t>
      </w:r>
      <w:proofErr w:type="spellStart"/>
      <w:r w:rsidRPr="00175F8B">
        <w:t>bærekraftsrapportering</w:t>
      </w:r>
      <w:proofErr w:type="spellEnd"/>
      <w:r w:rsidRPr="00175F8B">
        <w:t xml:space="preserve"> (CSRD).</w:t>
      </w:r>
    </w:p>
    <w:p w14:paraId="22920945" w14:textId="77777777" w:rsidR="00080633" w:rsidRPr="00175F8B" w:rsidRDefault="00080633" w:rsidP="00175F8B">
      <w:r w:rsidRPr="00175F8B">
        <w:t xml:space="preserve">Den 29. februar 2024 fikk Verdipapirlovutvalget et nytt tilleggsmandat til å utrede og utarbeide regler som gjennomfører endringer i </w:t>
      </w:r>
      <w:proofErr w:type="spellStart"/>
      <w:r w:rsidRPr="00175F8B">
        <w:t>MiFID</w:t>
      </w:r>
      <w:proofErr w:type="spellEnd"/>
      <w:r w:rsidRPr="00175F8B">
        <w:t xml:space="preserve"> II og </w:t>
      </w:r>
      <w:proofErr w:type="spellStart"/>
      <w:r w:rsidRPr="00175F8B">
        <w:t>MiFIR</w:t>
      </w:r>
      <w:proofErr w:type="spellEnd"/>
      <w:r w:rsidRPr="00175F8B">
        <w:t>:</w:t>
      </w:r>
    </w:p>
    <w:p w14:paraId="577A70BC" w14:textId="77777777" w:rsidR="00080633" w:rsidRPr="00175F8B" w:rsidRDefault="00080633" w:rsidP="00175F8B">
      <w:pPr>
        <w:pStyle w:val="blokksit"/>
      </w:pPr>
      <w:r w:rsidRPr="00175F8B">
        <w:t>«</w:t>
      </w:r>
      <w:r w:rsidRPr="00175F8B">
        <w:rPr>
          <w:rStyle w:val="halvfet0"/>
        </w:rPr>
        <w:t xml:space="preserve">Tilleggsmandat – utredning av nasjonal gjennomføring av endringer i </w:t>
      </w:r>
      <w:proofErr w:type="spellStart"/>
      <w:r w:rsidRPr="00175F8B">
        <w:rPr>
          <w:rStyle w:val="halvfet0"/>
        </w:rPr>
        <w:t>MiFID</w:t>
      </w:r>
      <w:proofErr w:type="spellEnd"/>
      <w:r w:rsidRPr="00175F8B">
        <w:rPr>
          <w:rStyle w:val="halvfet0"/>
        </w:rPr>
        <w:t xml:space="preserve"> II og </w:t>
      </w:r>
      <w:proofErr w:type="spellStart"/>
      <w:r w:rsidRPr="00175F8B">
        <w:rPr>
          <w:rStyle w:val="halvfet0"/>
        </w:rPr>
        <w:t>MiFIR</w:t>
      </w:r>
      <w:proofErr w:type="spellEnd"/>
    </w:p>
    <w:p w14:paraId="0F43BFE1" w14:textId="77777777" w:rsidR="00080633" w:rsidRPr="00175F8B" w:rsidRDefault="00080633" w:rsidP="00175F8B">
      <w:pPr>
        <w:pStyle w:val="blokksit"/>
        <w:rPr>
          <w:rStyle w:val="halvfet0"/>
        </w:rPr>
      </w:pPr>
      <w:r w:rsidRPr="00175F8B">
        <w:rPr>
          <w:rStyle w:val="halvfet0"/>
        </w:rPr>
        <w:t>Innledning</w:t>
      </w:r>
    </w:p>
    <w:p w14:paraId="3524DD93" w14:textId="77777777" w:rsidR="00080633" w:rsidRPr="00175F8B" w:rsidRDefault="00080633" w:rsidP="00175F8B">
      <w:pPr>
        <w:pStyle w:val="blokksit"/>
      </w:pPr>
      <w:r w:rsidRPr="00175F8B">
        <w:t>EU-Kommisjonen foreslo i 2021 endringer i verdipapirmarkedsdirektivet (</w:t>
      </w:r>
      <w:proofErr w:type="spellStart"/>
      <w:r w:rsidRPr="00175F8B">
        <w:t>MiFID</w:t>
      </w:r>
      <w:proofErr w:type="spellEnd"/>
      <w:r w:rsidRPr="00175F8B">
        <w:t xml:space="preserve"> II) og verdipapirmarkedsforordningen (</w:t>
      </w:r>
      <w:proofErr w:type="spellStart"/>
      <w:r w:rsidRPr="00175F8B">
        <w:t>MiFIR</w:t>
      </w:r>
      <w:proofErr w:type="spellEnd"/>
      <w:r w:rsidRPr="00175F8B">
        <w:t>). Målet er blant annet å styrke investorers informasjonstilgang ved å lette tilgangen til markedsdata som er nødvendig for å investere i aksjer eller obligasjoner, samtidig som markedsinfrastrukturen skal bli sterkere. Dette skal øke likviditeten i markedet og dermed lette selskapers tilgang til finansiering fra kapitalmarkedene.</w:t>
      </w:r>
    </w:p>
    <w:p w14:paraId="62552B24" w14:textId="77777777" w:rsidR="00080633" w:rsidRPr="00175F8B" w:rsidRDefault="00080633" w:rsidP="00175F8B">
      <w:pPr>
        <w:pStyle w:val="blokksit"/>
      </w:pPr>
    </w:p>
    <w:p w14:paraId="7864DCA4" w14:textId="77777777" w:rsidR="00080633" w:rsidRPr="00175F8B" w:rsidRDefault="00080633" w:rsidP="00175F8B">
      <w:pPr>
        <w:pStyle w:val="blokksit"/>
        <w:rPr>
          <w:rStyle w:val="halvfet0"/>
        </w:rPr>
      </w:pPr>
      <w:r w:rsidRPr="00175F8B">
        <w:rPr>
          <w:rStyle w:val="halvfet0"/>
        </w:rPr>
        <w:t>Nye EU/EØS-regler</w:t>
      </w:r>
    </w:p>
    <w:p w14:paraId="5071743E" w14:textId="77777777" w:rsidR="00080633" w:rsidRPr="00175F8B" w:rsidRDefault="00080633" w:rsidP="00175F8B">
      <w:pPr>
        <w:pStyle w:val="blokksit"/>
      </w:pPr>
      <w:r w:rsidRPr="00175F8B">
        <w:t xml:space="preserve">Europaparlamentet vedtok 16. januar 2024 forslag til endringer i </w:t>
      </w:r>
      <w:proofErr w:type="spellStart"/>
      <w:r w:rsidRPr="00175F8B">
        <w:t>MiFID</w:t>
      </w:r>
      <w:proofErr w:type="spellEnd"/>
      <w:r w:rsidRPr="00175F8B">
        <w:t xml:space="preserve"> II og </w:t>
      </w:r>
      <w:proofErr w:type="spellStart"/>
      <w:r w:rsidRPr="00175F8B">
        <w:t>MiFIR</w:t>
      </w:r>
      <w:proofErr w:type="spellEnd"/>
      <w:r w:rsidRPr="00175F8B">
        <w:t xml:space="preserve">. Rådet fattet vedtak 20. februar 2024. I henhold til endringsdirektivet skal medlemslandene gjøre nødvendige endringer i nasjonal rett innen 18 måneder etter at direktivet har </w:t>
      </w:r>
      <w:proofErr w:type="gramStart"/>
      <w:r w:rsidRPr="00175F8B">
        <w:t>trådt</w:t>
      </w:r>
      <w:proofErr w:type="gramEnd"/>
      <w:r w:rsidRPr="00175F8B">
        <w:t xml:space="preserve"> i kraft. Endringsdirektivet- og forordningen vurderes som EØS-relevante og forventes tatt inn i EØS-avtalen. EØS-regler som svarer til endringsdirektivet- og forordningen, vil kreve endringer i verdipapirhandelloven.</w:t>
      </w:r>
    </w:p>
    <w:p w14:paraId="2B854152" w14:textId="77777777" w:rsidR="00080633" w:rsidRPr="00175F8B" w:rsidRDefault="00080633" w:rsidP="00175F8B">
      <w:pPr>
        <w:pStyle w:val="blokksit"/>
      </w:pPr>
      <w:r w:rsidRPr="00175F8B">
        <w:t>For å oppnå målet om et effektivt indre marked, står etablering av konsoliderte offentliggjørin</w:t>
      </w:r>
      <w:r w:rsidRPr="00175F8B">
        <w:t>gssystemer (</w:t>
      </w:r>
      <w:proofErr w:type="spellStart"/>
      <w:r w:rsidRPr="00175F8B">
        <w:t>consolidated</w:t>
      </w:r>
      <w:proofErr w:type="spellEnd"/>
      <w:r w:rsidRPr="00175F8B">
        <w:t xml:space="preserve"> tape </w:t>
      </w:r>
      <w:proofErr w:type="spellStart"/>
      <w:r w:rsidRPr="00175F8B">
        <w:t>providers</w:t>
      </w:r>
      <w:proofErr w:type="spellEnd"/>
      <w:r w:rsidRPr="00175F8B">
        <w:t xml:space="preserve">/ ‘CTP’) sentralt. Med konsoliderte offentliggjøringssystemer menes en sentral database som skal sørge for en omfattende oversikt over relevante markedsdata på tvers av handelsplasser. Dette vil forbedre den generelle pristransparensen på tvers av handelsplasser og dermed også lette tilgangen til markedsdata for investorer. Endringsforordningen til </w:t>
      </w:r>
      <w:proofErr w:type="spellStart"/>
      <w:r w:rsidRPr="00175F8B">
        <w:t>MiFIR</w:t>
      </w:r>
      <w:proofErr w:type="spellEnd"/>
      <w:r w:rsidRPr="00175F8B">
        <w:t xml:space="preserve"> inneholder en rekke endringsbestemmelser knyttet til </w:t>
      </w:r>
      <w:proofErr w:type="spellStart"/>
      <w:r w:rsidRPr="00175F8B">
        <w:t>CTPer</w:t>
      </w:r>
      <w:proofErr w:type="spellEnd"/>
      <w:r w:rsidRPr="00175F8B">
        <w:t xml:space="preserve">. Andre endringer i </w:t>
      </w:r>
      <w:proofErr w:type="spellStart"/>
      <w:r w:rsidRPr="00175F8B">
        <w:t>MiFIR</w:t>
      </w:r>
      <w:proofErr w:type="spellEnd"/>
      <w:r w:rsidRPr="00175F8B">
        <w:t xml:space="preserve"> knytter seg blant annet til synk</w:t>
      </w:r>
      <w:r w:rsidRPr="00175F8B">
        <w:t>ronisering av klokker. Videre oppstiller endringsforordningen et forbud mot betaling for formidling av kundeordre. Endringsforordningen innehar også en rekke nye definisjoner, herunder definisjoner som er viktige for konsolidering/harmonisering av markedsdata.</w:t>
      </w:r>
    </w:p>
    <w:p w14:paraId="3227B59D" w14:textId="77777777" w:rsidR="00080633" w:rsidRPr="00175F8B" w:rsidRDefault="00080633" w:rsidP="00175F8B">
      <w:pPr>
        <w:pStyle w:val="blokksit"/>
      </w:pPr>
      <w:r w:rsidRPr="00175F8B">
        <w:t>Endringsdirektivet stiller blant annet krav til at regulerte markeder, verdipapirforetak og markedsoperatører som drifter multilaterale handelsfasiliteter (‘MHF’) eller organiserte handelsfasiliteter (‘OTF’), skal ha ordninger som sikrer at de oppfyll</w:t>
      </w:r>
      <w:r w:rsidRPr="00175F8B">
        <w:t xml:space="preserve">er kravene til datakvalitet som følger av </w:t>
      </w:r>
      <w:proofErr w:type="spellStart"/>
      <w:r w:rsidRPr="00175F8B">
        <w:t>MiFIR</w:t>
      </w:r>
      <w:proofErr w:type="spellEnd"/>
      <w:r w:rsidRPr="00175F8B">
        <w:t>. Konsesjonskravet for markedsaktører som driver med egenhandel som del av sin investeringsvirksomhet ved hjelp av direkte tilgang til en handelsplattform, oppheves også. Gjeldende regelverk krever ikke konsesjon fra markedsaktører fra tredjeland. Fjerning av konsesjonskravet vil derfor skape likere konkurransevilkår mellom markedsaktører fra EU og tredjeland.</w:t>
      </w:r>
    </w:p>
    <w:p w14:paraId="386F252C" w14:textId="77777777" w:rsidR="00080633" w:rsidRPr="00175F8B" w:rsidRDefault="00080633" w:rsidP="00175F8B">
      <w:pPr>
        <w:pStyle w:val="blokksit"/>
      </w:pPr>
      <w:r w:rsidRPr="00175F8B">
        <w:t xml:space="preserve">Videre krever direktivet at medlemsstatene fastsetter sanksjoner for brudd på reglene i </w:t>
      </w:r>
      <w:proofErr w:type="spellStart"/>
      <w:r w:rsidRPr="00175F8B">
        <w:t>MiFIR</w:t>
      </w:r>
      <w:proofErr w:type="spellEnd"/>
      <w:r w:rsidRPr="00175F8B">
        <w:t>.</w:t>
      </w:r>
    </w:p>
    <w:p w14:paraId="1AF1DA5C" w14:textId="77777777" w:rsidR="00080633" w:rsidRPr="00175F8B" w:rsidRDefault="00080633" w:rsidP="00175F8B">
      <w:pPr>
        <w:pStyle w:val="blokksit"/>
      </w:pPr>
    </w:p>
    <w:p w14:paraId="4B52B8F0" w14:textId="77777777" w:rsidR="00080633" w:rsidRPr="00175F8B" w:rsidRDefault="00080633" w:rsidP="00175F8B">
      <w:pPr>
        <w:pStyle w:val="blokksit"/>
        <w:rPr>
          <w:rStyle w:val="halvfet0"/>
        </w:rPr>
      </w:pPr>
      <w:r w:rsidRPr="00175F8B">
        <w:rPr>
          <w:rStyle w:val="halvfet0"/>
        </w:rPr>
        <w:t>Mandat</w:t>
      </w:r>
    </w:p>
    <w:p w14:paraId="3F8DADE6" w14:textId="77777777" w:rsidR="00080633" w:rsidRPr="00175F8B" w:rsidRDefault="00080633" w:rsidP="00175F8B">
      <w:pPr>
        <w:pStyle w:val="blokksit"/>
      </w:pPr>
      <w:r w:rsidRPr="00175F8B">
        <w:t xml:space="preserve">Departementet ber Verdipapirlovutvalget om å utrede norsk gjennomføring av forventede EØS-regler som svarer til endringsdirektivet til </w:t>
      </w:r>
      <w:proofErr w:type="spellStart"/>
      <w:r w:rsidRPr="00175F8B">
        <w:t>MiFID</w:t>
      </w:r>
      <w:proofErr w:type="spellEnd"/>
      <w:r w:rsidRPr="00175F8B">
        <w:t xml:space="preserve"> II og endringsforordningen til </w:t>
      </w:r>
      <w:proofErr w:type="spellStart"/>
      <w:r w:rsidRPr="00175F8B">
        <w:t>MiFIR</w:t>
      </w:r>
      <w:proofErr w:type="spellEnd"/>
      <w:r w:rsidRPr="00175F8B">
        <w:t xml:space="preserve">. Utvalget bes beskrive gjeldende </w:t>
      </w:r>
      <w:r w:rsidRPr="00175F8B">
        <w:lastRenderedPageBreak/>
        <w:t>rett, herunder beskrive dagens regulering av transparens i markedet, konsoliderte offentliggjøringssystemer, handelsforpliktelser, samt betalinger for videresending av kundeordre.</w:t>
      </w:r>
    </w:p>
    <w:p w14:paraId="39551ACF" w14:textId="77777777" w:rsidR="00080633" w:rsidRPr="00175F8B" w:rsidRDefault="00080633" w:rsidP="00175F8B">
      <w:pPr>
        <w:pStyle w:val="blokksit"/>
      </w:pPr>
      <w:r w:rsidRPr="00175F8B">
        <w:t>Utvalget bes videre om å beskrive endringsdirektivet- og forordningen, utarbeide utkast til nødvendige endringer i lov og forskrift som kan gjennomføre ventede EØS-regler som svarer til direktivet og forordningen, samt nødvendige tilpasninger i annet regel</w:t>
      </w:r>
      <w:r w:rsidRPr="00175F8B">
        <w:t>verk som følge av slik gjennomføring.</w:t>
      </w:r>
    </w:p>
    <w:p w14:paraId="10F25144" w14:textId="77777777" w:rsidR="00080633" w:rsidRPr="00175F8B" w:rsidRDefault="00080633" w:rsidP="00175F8B">
      <w:pPr>
        <w:pStyle w:val="blokksit"/>
      </w:pPr>
      <w:r w:rsidRPr="00175F8B">
        <w:t>Utvalget bes vurdere administrative og økonomiske konsekvenser av forslagene i tråd med kravene i utredningsinstruksen.</w:t>
      </w:r>
    </w:p>
    <w:p w14:paraId="3B245DEB" w14:textId="77777777" w:rsidR="00080633" w:rsidRPr="00175F8B" w:rsidRDefault="00080633" w:rsidP="00175F8B">
      <w:pPr>
        <w:pStyle w:val="blokksit"/>
      </w:pPr>
      <w:r w:rsidRPr="00175F8B">
        <w:t>Departementet ber om at utvalget under arbeidet innhenter innspill fra aktører som vil bli berørt av endringsdirektivet- og forordningen.</w:t>
      </w:r>
    </w:p>
    <w:p w14:paraId="7D33CD65" w14:textId="77777777" w:rsidR="00080633" w:rsidRPr="00175F8B" w:rsidRDefault="00080633" w:rsidP="00175F8B">
      <w:pPr>
        <w:pStyle w:val="blokksit"/>
      </w:pPr>
      <w:r w:rsidRPr="00175F8B">
        <w:t xml:space="preserve">Utvalget skal utforme sitt regelverksforslag i tråd med veiledningen </w:t>
      </w:r>
      <w:proofErr w:type="spellStart"/>
      <w:r w:rsidRPr="00175F8B">
        <w:rPr>
          <w:rStyle w:val="kursiv"/>
        </w:rPr>
        <w:t>Lovteknikk</w:t>
      </w:r>
      <w:proofErr w:type="spellEnd"/>
      <w:r w:rsidRPr="00175F8B">
        <w:rPr>
          <w:rStyle w:val="kursiv"/>
        </w:rPr>
        <w:t xml:space="preserve"> og lovforberedelse</w:t>
      </w:r>
      <w:r w:rsidRPr="00175F8B">
        <w:t xml:space="preserve"> (Justisdepartementet, 2000), jf. utredningsinstruksen punkt 4-1. Utvalgets forslag skal </w:t>
      </w:r>
      <w:proofErr w:type="gramStart"/>
      <w:r w:rsidRPr="00175F8B">
        <w:t>for øvrig</w:t>
      </w:r>
      <w:proofErr w:type="gramEnd"/>
      <w:r w:rsidRPr="00175F8B">
        <w:t xml:space="preserve"> utredes i samsvar med utredningsinstruksen kapittel 2.</w:t>
      </w:r>
    </w:p>
    <w:p w14:paraId="475B9167" w14:textId="77777777" w:rsidR="00080633" w:rsidRPr="00175F8B" w:rsidRDefault="00080633" w:rsidP="00175F8B">
      <w:pPr>
        <w:pStyle w:val="blokksit"/>
      </w:pPr>
      <w:r w:rsidRPr="00175F8B">
        <w:t xml:space="preserve">Utvalget skal </w:t>
      </w:r>
      <w:proofErr w:type="gramStart"/>
      <w:r w:rsidRPr="00175F8B">
        <w:t>avgi</w:t>
      </w:r>
      <w:proofErr w:type="gramEnd"/>
      <w:r w:rsidRPr="00175F8B">
        <w:t xml:space="preserve"> sin utredning til Finansdepartementet innen 14. juni 2024. Departementet kan presisere eller gjøre tilføyelser i mandatet.</w:t>
      </w:r>
    </w:p>
    <w:p w14:paraId="1EE6040C" w14:textId="77777777" w:rsidR="00080633" w:rsidRPr="00175F8B" w:rsidRDefault="00080633" w:rsidP="00175F8B">
      <w:pPr>
        <w:pStyle w:val="blokksit"/>
      </w:pPr>
      <w:r w:rsidRPr="00175F8B">
        <w:t>Departementet vil vurdere behovet for å oppnevne nye utvalgsmedlemmer som skal være del av utvalget under arbeidet med oppdraget som beskrives i dette mandatet.»</w:t>
      </w:r>
    </w:p>
    <w:p w14:paraId="7935FBD9" w14:textId="77777777" w:rsidR="00080633" w:rsidRPr="00175F8B" w:rsidRDefault="00080633" w:rsidP="00175F8B">
      <w:r w:rsidRPr="00175F8B">
        <w:t xml:space="preserve">Fristen for å </w:t>
      </w:r>
      <w:proofErr w:type="gramStart"/>
      <w:r w:rsidRPr="00175F8B">
        <w:t>avgi</w:t>
      </w:r>
      <w:proofErr w:type="gramEnd"/>
      <w:r w:rsidRPr="00175F8B">
        <w:t xml:space="preserve"> utredningen er senere utvidet til 2. august 2024.</w:t>
      </w:r>
    </w:p>
    <w:p w14:paraId="270BBC94" w14:textId="77777777" w:rsidR="00080633" w:rsidRPr="00175F8B" w:rsidRDefault="00080633" w:rsidP="00175F8B">
      <w:r w:rsidRPr="00175F8B">
        <w:t>Følgende personer har for denne utredningen vært medlemmer i Verdipapirlovutvalget:</w:t>
      </w:r>
    </w:p>
    <w:p w14:paraId="084E4047" w14:textId="77777777" w:rsidR="00080633" w:rsidRPr="00175F8B" w:rsidRDefault="00080633" w:rsidP="00175F8B">
      <w:pPr>
        <w:pStyle w:val="Liste"/>
      </w:pPr>
      <w:r w:rsidRPr="00175F8B">
        <w:t xml:space="preserve">advokat/professor II dr. juris Filip </w:t>
      </w:r>
      <w:proofErr w:type="spellStart"/>
      <w:r w:rsidRPr="00175F8B">
        <w:t>Truyen</w:t>
      </w:r>
      <w:proofErr w:type="spellEnd"/>
      <w:r w:rsidRPr="00175F8B">
        <w:t>, leder (Bergen)</w:t>
      </w:r>
    </w:p>
    <w:p w14:paraId="3D049459" w14:textId="77777777" w:rsidR="00080633" w:rsidRPr="00175F8B" w:rsidRDefault="00080633" w:rsidP="00175F8B">
      <w:pPr>
        <w:pStyle w:val="Liste"/>
      </w:pPr>
      <w:r w:rsidRPr="00175F8B">
        <w:t>avdelingsdirektør Erling Rikheim (Bærum)</w:t>
      </w:r>
    </w:p>
    <w:p w14:paraId="73BBE8C7" w14:textId="77777777" w:rsidR="00080633" w:rsidRPr="00175F8B" w:rsidRDefault="00080633" w:rsidP="00175F8B">
      <w:pPr>
        <w:pStyle w:val="Liste"/>
      </w:pPr>
      <w:r w:rsidRPr="00175F8B">
        <w:t>senior tilsynsrådgiver Kristin Lund (Oslo)</w:t>
      </w:r>
    </w:p>
    <w:p w14:paraId="0ADE2151" w14:textId="77777777" w:rsidR="00080633" w:rsidRPr="00175F8B" w:rsidRDefault="00080633" w:rsidP="00175F8B">
      <w:pPr>
        <w:pStyle w:val="Liste"/>
      </w:pPr>
      <w:r w:rsidRPr="00175F8B">
        <w:t xml:space="preserve">førsteamanuensis </w:t>
      </w:r>
      <w:proofErr w:type="spellStart"/>
      <w:r w:rsidRPr="00175F8B">
        <w:t>Jøril</w:t>
      </w:r>
      <w:proofErr w:type="spellEnd"/>
      <w:r w:rsidRPr="00175F8B">
        <w:t xml:space="preserve"> Mæland (Bergen)</w:t>
      </w:r>
    </w:p>
    <w:p w14:paraId="06B0E032" w14:textId="77777777" w:rsidR="00080633" w:rsidRPr="00175F8B" w:rsidRDefault="00080633" w:rsidP="00175F8B">
      <w:pPr>
        <w:pStyle w:val="Liste"/>
      </w:pPr>
      <w:r w:rsidRPr="00175F8B">
        <w:t>advokat Eirik Solem (Oslo)</w:t>
      </w:r>
    </w:p>
    <w:p w14:paraId="4A958161" w14:textId="77777777" w:rsidR="00080633" w:rsidRPr="00175F8B" w:rsidRDefault="00080633" w:rsidP="00175F8B">
      <w:pPr>
        <w:pStyle w:val="Liste"/>
      </w:pPr>
      <w:r w:rsidRPr="00175F8B">
        <w:t>juridisk direktør Kjell Vidjeland (Bærum)</w:t>
      </w:r>
    </w:p>
    <w:p w14:paraId="64914E50" w14:textId="77777777" w:rsidR="00080633" w:rsidRPr="00175F8B" w:rsidRDefault="00080633" w:rsidP="00175F8B">
      <w:pPr>
        <w:pStyle w:val="Liste"/>
      </w:pPr>
      <w:r w:rsidRPr="00175F8B">
        <w:t>fagleder/advokat Halvor E. Sigurdsen (Oslo)</w:t>
      </w:r>
    </w:p>
    <w:p w14:paraId="3576385E" w14:textId="77777777" w:rsidR="00080633" w:rsidRPr="00175F8B" w:rsidRDefault="00080633" w:rsidP="00175F8B">
      <w:pPr>
        <w:pStyle w:val="Liste"/>
      </w:pPr>
      <w:r w:rsidRPr="00175F8B">
        <w:t>direktør</w:t>
      </w:r>
      <w:r w:rsidRPr="00175F8B">
        <w:t xml:space="preserve"> </w:t>
      </w:r>
      <w:proofErr w:type="spellStart"/>
      <w:r w:rsidRPr="00175F8B">
        <w:t>compliance</w:t>
      </w:r>
      <w:proofErr w:type="spellEnd"/>
      <w:r w:rsidRPr="00175F8B">
        <w:t xml:space="preserve"> og juridisk Christina Stray (Oslo)</w:t>
      </w:r>
    </w:p>
    <w:p w14:paraId="135D37CE" w14:textId="77777777" w:rsidR="00080633" w:rsidRPr="00175F8B" w:rsidRDefault="00080633" w:rsidP="00175F8B">
      <w:pPr>
        <w:pStyle w:val="Liste"/>
      </w:pPr>
      <w:r w:rsidRPr="00175F8B">
        <w:t>juridisk direktør Angela Nygaard (Nordre Follo)</w:t>
      </w:r>
    </w:p>
    <w:p w14:paraId="7A32A283" w14:textId="77777777" w:rsidR="00080633" w:rsidRPr="00175F8B" w:rsidRDefault="00080633" w:rsidP="00175F8B">
      <w:r w:rsidRPr="00175F8B">
        <w:t xml:space="preserve">Senior tilsynsrådgiver Marit </w:t>
      </w:r>
      <w:proofErr w:type="spellStart"/>
      <w:r w:rsidRPr="00175F8B">
        <w:t>Wærnhus</w:t>
      </w:r>
      <w:proofErr w:type="spellEnd"/>
      <w:r w:rsidRPr="00175F8B">
        <w:t xml:space="preserve"> har bidratt som ekspert i utvalget. Senior tilsynsrådgiver Kristin Lund og førstekonsulent Amanda </w:t>
      </w:r>
      <w:proofErr w:type="spellStart"/>
      <w:r w:rsidRPr="00175F8B">
        <w:t>Partapuoli</w:t>
      </w:r>
      <w:proofErr w:type="spellEnd"/>
      <w:r w:rsidRPr="00175F8B">
        <w:t xml:space="preserve"> Bjerkan har vært sekretærer for utvalget. Seniorrådgiver Torbjørn Vik fra Finanstilsynet har holdt foredrag for utvalget om de viktigste endringene i </w:t>
      </w:r>
      <w:proofErr w:type="spellStart"/>
      <w:r w:rsidRPr="00175F8B">
        <w:t>MiFIR</w:t>
      </w:r>
      <w:proofErr w:type="spellEnd"/>
      <w:r w:rsidRPr="00175F8B">
        <w:t xml:space="preserve">. </w:t>
      </w:r>
      <w:proofErr w:type="gramStart"/>
      <w:r w:rsidRPr="00175F8B">
        <w:t>For øvrig</w:t>
      </w:r>
      <w:proofErr w:type="gramEnd"/>
      <w:r w:rsidRPr="00175F8B">
        <w:t xml:space="preserve"> er aktørene som berøres av endringene representert i utvalget.</w:t>
      </w:r>
    </w:p>
    <w:p w14:paraId="03918324" w14:textId="77777777" w:rsidR="00080633" w:rsidRPr="00175F8B" w:rsidRDefault="00080633" w:rsidP="00175F8B">
      <w:pPr>
        <w:pStyle w:val="Overskrift2"/>
      </w:pPr>
      <w:r w:rsidRPr="00175F8B">
        <w:t>Sammendrag</w:t>
      </w:r>
    </w:p>
    <w:p w14:paraId="00609FD3" w14:textId="77777777" w:rsidR="00080633" w:rsidRPr="00175F8B" w:rsidRDefault="00080633" w:rsidP="00175F8B">
      <w:r w:rsidRPr="00175F8B">
        <w:t xml:space="preserve">I denne utredningen foreslår Verdipapirlovutvalget regler som gjennomfører forventede EØS-regler som svarer til Europaparlaments- og rådsdirektiv (EU) 2024/790 (endringsdirektiv til </w:t>
      </w:r>
      <w:proofErr w:type="spellStart"/>
      <w:r w:rsidRPr="00175F8B">
        <w:t>MiFID</w:t>
      </w:r>
      <w:proofErr w:type="spellEnd"/>
      <w:r w:rsidRPr="00175F8B">
        <w:t xml:space="preserve"> II) og Europaparlaments- og rådsforordning (EU) 2024/791 (endringsforordning til </w:t>
      </w:r>
      <w:proofErr w:type="spellStart"/>
      <w:r w:rsidRPr="00175F8B">
        <w:t>MiFIR</w:t>
      </w:r>
      <w:proofErr w:type="spellEnd"/>
      <w:r w:rsidRPr="00175F8B">
        <w:t>).</w:t>
      </w:r>
    </w:p>
    <w:p w14:paraId="15E0076B" w14:textId="77777777" w:rsidR="00080633" w:rsidRPr="00175F8B" w:rsidRDefault="00080633" w:rsidP="00175F8B">
      <w:r w:rsidRPr="00175F8B">
        <w:t xml:space="preserve">I utredningens første kapittel gir utvalget en kort fremstilling av regelverksutviklingen på verdipapirområdet og bakgrunnen for forslaget til nytt regelverk. Utvalget redegjør i tillegg for tidligere endringer i </w:t>
      </w:r>
      <w:proofErr w:type="spellStart"/>
      <w:r w:rsidRPr="00175F8B">
        <w:t>MiFID</w:t>
      </w:r>
      <w:proofErr w:type="spellEnd"/>
      <w:r w:rsidRPr="00175F8B">
        <w:t xml:space="preserve"> II og </w:t>
      </w:r>
      <w:proofErr w:type="spellStart"/>
      <w:r w:rsidRPr="00175F8B">
        <w:t>MiFIR</w:t>
      </w:r>
      <w:proofErr w:type="spellEnd"/>
      <w:r w:rsidRPr="00175F8B">
        <w:t>, og omtaler hvilke av disse som er tatt inn i EØS-avtalen og gjennomført i norsk rett.</w:t>
      </w:r>
    </w:p>
    <w:p w14:paraId="4E895C54" w14:textId="77777777" w:rsidR="00080633" w:rsidRPr="00175F8B" w:rsidRDefault="00080633" w:rsidP="00175F8B">
      <w:r w:rsidRPr="00175F8B">
        <w:t xml:space="preserve">I utredningens andre kapittel behandler utvalget endringene i </w:t>
      </w:r>
      <w:proofErr w:type="spellStart"/>
      <w:r w:rsidRPr="00175F8B">
        <w:t>MiFID</w:t>
      </w:r>
      <w:proofErr w:type="spellEnd"/>
      <w:r w:rsidRPr="00175F8B">
        <w:t xml:space="preserve"> II. Utvalget behandler endringer i reglene om krav om tillatelse til å yte investeringstjenesten omsetning av finansielle instrumenter for egen regning og endringer i reglene for handelsplasser, multilaterale handelssystemer og systematiske </w:t>
      </w:r>
      <w:proofErr w:type="spellStart"/>
      <w:r w:rsidRPr="00175F8B">
        <w:t>internaliserere</w:t>
      </w:r>
      <w:proofErr w:type="spellEnd"/>
      <w:r w:rsidRPr="00175F8B">
        <w:t xml:space="preserve"> (SI). Videre behandles endringer i definisjoner knyttet til handel i finansielle instrumenter og endring i definisjonen av SI. Utvalget behandler endringer i reglene om beste resultat ved utførelse av ordre og endringer i posisjonsregimet for varede</w:t>
      </w:r>
      <w:r w:rsidRPr="00175F8B">
        <w:t>rivatmarkedet. Reglene om tilsyn og sanksjoner behandles kort.</w:t>
      </w:r>
    </w:p>
    <w:p w14:paraId="06A7DD2A" w14:textId="77777777" w:rsidR="00080633" w:rsidRPr="00175F8B" w:rsidRDefault="00080633" w:rsidP="00175F8B">
      <w:r w:rsidRPr="00175F8B">
        <w:t xml:space="preserve">Endringene i </w:t>
      </w:r>
      <w:proofErr w:type="spellStart"/>
      <w:r w:rsidRPr="00175F8B">
        <w:t>MiFIR</w:t>
      </w:r>
      <w:proofErr w:type="spellEnd"/>
      <w:r w:rsidRPr="00175F8B">
        <w:t xml:space="preserve"> behandles i kapittel tre til kapittel åtte. I fjerde kapittel behandler utvalget endringene i reglene om </w:t>
      </w:r>
      <w:proofErr w:type="spellStart"/>
      <w:r w:rsidRPr="00175F8B">
        <w:t>consolidated</w:t>
      </w:r>
      <w:proofErr w:type="spellEnd"/>
      <w:r w:rsidRPr="00175F8B">
        <w:t xml:space="preserve"> tape provider (CTP). Utvalget redegjør for forordningens endringer i definisjonen av CTP, samt </w:t>
      </w:r>
      <w:r w:rsidRPr="00175F8B">
        <w:lastRenderedPageBreak/>
        <w:t xml:space="preserve">endringer knyttet til prosessen for å få tillatelse som CTP, organisatoriske krav til CTP og krav til data som skal overføres til </w:t>
      </w:r>
      <w:proofErr w:type="spellStart"/>
      <w:r w:rsidRPr="00175F8B">
        <w:t>CTPen</w:t>
      </w:r>
      <w:proofErr w:type="spellEnd"/>
      <w:r w:rsidRPr="00175F8B">
        <w:t xml:space="preserve">. </w:t>
      </w:r>
      <w:proofErr w:type="spellStart"/>
      <w:r w:rsidRPr="00175F8B">
        <w:t>MiFIR</w:t>
      </w:r>
      <w:proofErr w:type="spellEnd"/>
      <w:r w:rsidRPr="00175F8B">
        <w:t xml:space="preserve"> gir fullharmoniserte regler som foreslås gjennomført ved inkorporasjon i den eksisterende inkorporasjonsbestemmelsen til </w:t>
      </w:r>
      <w:proofErr w:type="spellStart"/>
      <w:r w:rsidRPr="00175F8B">
        <w:t>MiFIR</w:t>
      </w:r>
      <w:proofErr w:type="spellEnd"/>
      <w:r w:rsidRPr="00175F8B">
        <w:t xml:space="preserve"> i verdipapirhandelloven</w:t>
      </w:r>
      <w:r w:rsidRPr="00175F8B">
        <w:t xml:space="preserve"> § 8-1.</w:t>
      </w:r>
    </w:p>
    <w:p w14:paraId="70DC475B" w14:textId="77777777" w:rsidR="00080633" w:rsidRPr="00175F8B" w:rsidRDefault="00080633" w:rsidP="00175F8B">
      <w:r w:rsidRPr="00175F8B">
        <w:t xml:space="preserve">I kapittel fire behandler utvalget endringer i reglene om transparens, herunder endringer i transparensregelverket for aksjer, obligasjoner, strukturerte finansielle produkter og utslippskvoter, samt derivater. I dag gjelder en volumbegrensning – en såkalt «double </w:t>
      </w:r>
      <w:proofErr w:type="spellStart"/>
      <w:r w:rsidRPr="00175F8B">
        <w:t>volume</w:t>
      </w:r>
      <w:proofErr w:type="spellEnd"/>
      <w:r w:rsidRPr="00175F8B">
        <w:t xml:space="preserve"> </w:t>
      </w:r>
      <w:proofErr w:type="spellStart"/>
      <w:r w:rsidRPr="00175F8B">
        <w:t>cap</w:t>
      </w:r>
      <w:proofErr w:type="spellEnd"/>
      <w:r w:rsidRPr="00175F8B">
        <w:t xml:space="preserve">», for bruk av noen av unntakene fra plikten til å offentliggjøre ordreinformasjon. Begrensningen endres slik at det skal gjelde ett tak for hele markedet – en såkalt «single </w:t>
      </w:r>
      <w:proofErr w:type="spellStart"/>
      <w:r w:rsidRPr="00175F8B">
        <w:t>volume</w:t>
      </w:r>
      <w:proofErr w:type="spellEnd"/>
      <w:r w:rsidRPr="00175F8B">
        <w:t xml:space="preserve"> </w:t>
      </w:r>
      <w:proofErr w:type="spellStart"/>
      <w:r w:rsidRPr="00175F8B">
        <w:t>cap</w:t>
      </w:r>
      <w:proofErr w:type="spellEnd"/>
      <w:r w:rsidRPr="00175F8B">
        <w:t>». Utvalget redegjør videre for endringer knyttet til unntak for obligasjoner, strukturerte finansielle produkter, utslippskvoter og derivater, samt for regimet for utsatt offentliggjøring av handelsinformasjon for disse finansielle instrumentene. Detaljene i regelverket vil komme i nivå 2-regulering. Utvalget fremh</w:t>
      </w:r>
      <w:r w:rsidRPr="00175F8B">
        <w:t xml:space="preserve">older at det er ønskelig at endringene i </w:t>
      </w:r>
      <w:proofErr w:type="spellStart"/>
      <w:r w:rsidRPr="00175F8B">
        <w:t>MiFIR</w:t>
      </w:r>
      <w:proofErr w:type="spellEnd"/>
      <w:r w:rsidRPr="00175F8B">
        <w:t xml:space="preserve"> gjennomføres i Norge så nært opp til vedtakelsen av nivå 2-reguleringen som mulig.</w:t>
      </w:r>
    </w:p>
    <w:p w14:paraId="4DAA699D" w14:textId="77777777" w:rsidR="00080633" w:rsidRPr="00175F8B" w:rsidRDefault="00080633" w:rsidP="00175F8B">
      <w:r w:rsidRPr="00175F8B">
        <w:t>Utredningens femte kapittel omhandler endringer i transparensregelverket for SI, herunder de nye reglene om utpekt publiseringsenhet (</w:t>
      </w:r>
      <w:proofErr w:type="spellStart"/>
      <w:r w:rsidRPr="00175F8B">
        <w:t>Designated</w:t>
      </w:r>
      <w:proofErr w:type="spellEnd"/>
      <w:r w:rsidRPr="00175F8B">
        <w:t xml:space="preserve"> Publishing </w:t>
      </w:r>
      <w:proofErr w:type="spellStart"/>
      <w:r w:rsidRPr="00175F8B">
        <w:t>Entity</w:t>
      </w:r>
      <w:proofErr w:type="spellEnd"/>
      <w:r w:rsidRPr="00175F8B">
        <w:t>) som muliggjør at verdipapirforetak kan være ansvarlig for å gjøre en transaksjon offentlig gjennom en APA, uten å måtte velge status som SI.</w:t>
      </w:r>
    </w:p>
    <w:p w14:paraId="1DA29A1B" w14:textId="77777777" w:rsidR="00080633" w:rsidRPr="00175F8B" w:rsidRDefault="00080633" w:rsidP="00175F8B">
      <w:r w:rsidRPr="00175F8B">
        <w:t>Utredningens sjette kapittel omhandler enkelte fellesspørsmål som har betydning for datarapporteringsforetak, regulerte markeder, verdipapirforetak og andre som skal rapportere handelsinformasjon. Utvalget redegjør her for reglene om synkronisering av klokker og om kravet til å offentliggjøre handelsinformasjon på rimelige forretningsmessi</w:t>
      </w:r>
      <w:r w:rsidRPr="00175F8B">
        <w:t>ge vilkår.</w:t>
      </w:r>
    </w:p>
    <w:p w14:paraId="01FED122" w14:textId="77777777" w:rsidR="00080633" w:rsidRPr="00175F8B" w:rsidRDefault="00080633" w:rsidP="00175F8B">
      <w:r w:rsidRPr="00175F8B">
        <w:t>I utredningens kapittel syv behandler utvalget endringer i reglene om verdipapirforetaks plikt til å handle aksjer på en handelsplass, endringer i reglene om plikt til å handle nærmere angitte derivater på en handelsplass, samt endringer i reglene om ikke-diskriminerende tilgang til clearing av finansielle instrumenter.</w:t>
      </w:r>
    </w:p>
    <w:p w14:paraId="27A9B83B" w14:textId="77777777" w:rsidR="00080633" w:rsidRPr="00175F8B" w:rsidRDefault="00080633" w:rsidP="00175F8B">
      <w:r w:rsidRPr="00175F8B">
        <w:t>Utredningens kapittel åtte behandler endringer i reglene om transaksjonsrapportering.</w:t>
      </w:r>
    </w:p>
    <w:p w14:paraId="350D6FBA" w14:textId="77777777" w:rsidR="00080633" w:rsidRPr="00175F8B" w:rsidRDefault="00080633" w:rsidP="00175F8B">
      <w:r w:rsidRPr="00175F8B">
        <w:t>I kapittel ni behandler utvalget de øk</w:t>
      </w:r>
      <w:r w:rsidRPr="00175F8B">
        <w:t>onomiske og administrative konsekvensene av endringene.</w:t>
      </w:r>
    </w:p>
    <w:p w14:paraId="5F83F734" w14:textId="77777777" w:rsidR="00080633" w:rsidRPr="00175F8B" w:rsidRDefault="00080633" w:rsidP="00175F8B">
      <w:pPr>
        <w:pStyle w:val="Overskrift2"/>
      </w:pPr>
      <w:r w:rsidRPr="00175F8B">
        <w:t>Historikk og bakenforliggende hensyn</w:t>
      </w:r>
    </w:p>
    <w:p w14:paraId="64AF6E6A" w14:textId="77777777" w:rsidR="00080633" w:rsidRPr="00175F8B" w:rsidRDefault="00080633" w:rsidP="00175F8B">
      <w:pPr>
        <w:pStyle w:val="Overskrift3"/>
      </w:pPr>
      <w:r w:rsidRPr="00175F8B">
        <w:t>Historikk</w:t>
      </w:r>
    </w:p>
    <w:p w14:paraId="392BC142" w14:textId="77777777" w:rsidR="00080633" w:rsidRPr="00175F8B" w:rsidRDefault="00080633" w:rsidP="00175F8B">
      <w:r w:rsidRPr="00175F8B">
        <w:t xml:space="preserve">Gjeldende verdipapirlovgivning er et resultat av en lang regulatorisk prosess i EØS. Det første direktivet om markedet for finansielle instrumenter (Directive 2004/39/EC, </w:t>
      </w:r>
      <w:proofErr w:type="spellStart"/>
      <w:r w:rsidRPr="00175F8B">
        <w:t>MiFID</w:t>
      </w:r>
      <w:proofErr w:type="spellEnd"/>
      <w:r w:rsidRPr="00175F8B">
        <w:t xml:space="preserve">) erstattet et av de eldste direktivene på verdipapirområdet, Council Directive 93/22 EEC om investeringstjenester i forbindelse med verdipapirer (ISD). Formålet med </w:t>
      </w:r>
      <w:proofErr w:type="spellStart"/>
      <w:r w:rsidRPr="00175F8B">
        <w:t>MiFID</w:t>
      </w:r>
      <w:proofErr w:type="spellEnd"/>
      <w:r w:rsidRPr="00175F8B">
        <w:t xml:space="preserve"> var i hovedsak å lage felleseuropeiske regler for krav om tillatelse for verdipapirforetak og regulerte markeder, samt felles regler om organisatoriske krav, krav til god forretningsskikk og rapportering. Det ble også gitt regler om opptak til handel og transparens i handelen, primært for aksjer.</w:t>
      </w:r>
    </w:p>
    <w:p w14:paraId="5EA1D844" w14:textId="77777777" w:rsidR="00080633" w:rsidRPr="00175F8B" w:rsidRDefault="00080633" w:rsidP="00175F8B">
      <w:r w:rsidRPr="00175F8B">
        <w:t>I kjølvannet av finanskrisen i 2008–2</w:t>
      </w:r>
      <w:r w:rsidRPr="00175F8B">
        <w:t xml:space="preserve">009 ble </w:t>
      </w:r>
      <w:proofErr w:type="spellStart"/>
      <w:r w:rsidRPr="00175F8B">
        <w:t>MiFID</w:t>
      </w:r>
      <w:proofErr w:type="spellEnd"/>
      <w:r w:rsidRPr="00175F8B">
        <w:t xml:space="preserve"> revidert. Revisjonen var en del av en større reguleringsbølge som omfattet hele finanssektoren. Formålet var å eliminere svakheter i reguleringen av og tilsynet med finansnæringen som finanskrisen hadde avdekket. Resultatet var et nytt direktiv, Directive 2014/65/EU (</w:t>
      </w:r>
      <w:proofErr w:type="spellStart"/>
      <w:r w:rsidRPr="00175F8B">
        <w:t>MiFID</w:t>
      </w:r>
      <w:proofErr w:type="spellEnd"/>
      <w:r w:rsidRPr="00175F8B">
        <w:t xml:space="preserve"> II) og en ny forordning, </w:t>
      </w:r>
      <w:proofErr w:type="spellStart"/>
      <w:r w:rsidRPr="00175F8B">
        <w:t>Regulation</w:t>
      </w:r>
      <w:proofErr w:type="spellEnd"/>
      <w:r w:rsidRPr="00175F8B">
        <w:t xml:space="preserve"> 2014/600/EU (</w:t>
      </w:r>
      <w:proofErr w:type="spellStart"/>
      <w:r w:rsidRPr="00175F8B">
        <w:t>MiFIR</w:t>
      </w:r>
      <w:proofErr w:type="spellEnd"/>
      <w:r w:rsidRPr="00175F8B">
        <w:t xml:space="preserve">), som nå utgjør det sentrale regelverket for investeringstjenester, handelsplasser og aktiviteten i verdipapirmarkedet. I tillegg til å håndtere svakhetene finanskrisen </w:t>
      </w:r>
      <w:r w:rsidRPr="00175F8B">
        <w:t>hadde avdekket, skulle endringene blant annet bidra til å øke konkurransen mellom handelsplassene. Det ble innført nye regler for å ta høyde for teknologisk utvikling, herunder for høyfrekvent algoritmehandel. En stor del av reglene ble gitt i forordnings form.</w:t>
      </w:r>
    </w:p>
    <w:p w14:paraId="01F29A00" w14:textId="77777777" w:rsidR="00080633" w:rsidRPr="00175F8B" w:rsidRDefault="00080633" w:rsidP="00175F8B">
      <w:r w:rsidRPr="00175F8B">
        <w:t xml:space="preserve">Mens de tidligste direktivene i hovedsak ga regler om verdipapirforetak, markedsoperatører og deres virksomhet i verdipapirmarkedet, innebærer </w:t>
      </w:r>
      <w:proofErr w:type="spellStart"/>
      <w:r w:rsidRPr="00175F8B">
        <w:t>MiFID</w:t>
      </w:r>
      <w:proofErr w:type="spellEnd"/>
      <w:r w:rsidRPr="00175F8B">
        <w:t xml:space="preserve"> II og </w:t>
      </w:r>
      <w:proofErr w:type="spellStart"/>
      <w:r w:rsidRPr="00175F8B">
        <w:t>MiFIR</w:t>
      </w:r>
      <w:proofErr w:type="spellEnd"/>
      <w:r w:rsidRPr="00175F8B">
        <w:t xml:space="preserve"> en utvikling i retning av regulering av </w:t>
      </w:r>
      <w:r w:rsidRPr="00175F8B">
        <w:rPr>
          <w:rStyle w:val="kursiv"/>
        </w:rPr>
        <w:t>markedene som sådan</w:t>
      </w:r>
      <w:r w:rsidRPr="00175F8B">
        <w:t>, med regler som dels retter seg mot foretakene som leverer tjenester i verdipapirmarkedet og dels retter seg mot investorene, for eksempel knyttet til algoritmehandel og rapportering av posisjoner i derivatmarkedet. Reguleringen tar i større grad sikte på å </w:t>
      </w:r>
      <w:r w:rsidRPr="00175F8B">
        <w:rPr>
          <w:rStyle w:val="kursiv"/>
        </w:rPr>
        <w:t>regulere hele markedet</w:t>
      </w:r>
      <w:r w:rsidRPr="00175F8B">
        <w:t>. På en rekke områder gis det regler som dekker investorenes, verdipapirforetakenes og de ulike handelsplassenes rettigheter og forpliktelser, og som må ses i sammenheng. Et viktig formål med regelverket er å gjøre handelen med finansielle instrumenter mer transparent og legge til rette for enhetlig rapportering av handelsinformasjon (pre- og post-trade transparens) på tvers av handelsplasser i hele Europa, slik at kapitalmarkedene i Europa kan fungere som ett felles marked i tråd med målsetningene i kapita</w:t>
      </w:r>
      <w:r w:rsidRPr="00175F8B">
        <w:t>lmarkedsunionen, se omtale av kapitalmarkedsunionen i kapittel 1.3.2.</w:t>
      </w:r>
    </w:p>
    <w:p w14:paraId="530A97B0" w14:textId="77777777" w:rsidR="00080633" w:rsidRPr="00175F8B" w:rsidRDefault="00080633" w:rsidP="00175F8B">
      <w:proofErr w:type="spellStart"/>
      <w:r w:rsidRPr="00175F8B">
        <w:lastRenderedPageBreak/>
        <w:t>MiFID</w:t>
      </w:r>
      <w:proofErr w:type="spellEnd"/>
      <w:r w:rsidRPr="00175F8B">
        <w:t xml:space="preserve"> II og </w:t>
      </w:r>
      <w:proofErr w:type="spellStart"/>
      <w:r w:rsidRPr="00175F8B">
        <w:t>MiFIR</w:t>
      </w:r>
      <w:proofErr w:type="spellEnd"/>
      <w:r w:rsidRPr="00175F8B">
        <w:t xml:space="preserve"> innebærer at reglene for handel på regulerte markeder, multilaterale handelsfasiliteter (MHF) og organiserte handelsfasiliteter (OHF) i stor grad er sammenfallende. Selv om drift av en MHF og en OHF er investeringstjenester som kan drives av verdipapirforetak, drives slike handelsplasser i stor grad av foretak som har tillatelse til å drive regulerte markeder. Reglene for handelsplasser finnes både i </w:t>
      </w:r>
      <w:proofErr w:type="spellStart"/>
      <w:r w:rsidRPr="00175F8B">
        <w:t>MiFID</w:t>
      </w:r>
      <w:proofErr w:type="spellEnd"/>
      <w:r w:rsidRPr="00175F8B">
        <w:t xml:space="preserve"> II og </w:t>
      </w:r>
      <w:proofErr w:type="spellStart"/>
      <w:r w:rsidRPr="00175F8B">
        <w:t>MiFIR</w:t>
      </w:r>
      <w:proofErr w:type="spellEnd"/>
      <w:r w:rsidRPr="00175F8B">
        <w:t xml:space="preserve">. Reglene om krav om tillatelse, virksomhetsregler mv. finnes i </w:t>
      </w:r>
      <w:proofErr w:type="spellStart"/>
      <w:r w:rsidRPr="00175F8B">
        <w:t>MiFID</w:t>
      </w:r>
      <w:proofErr w:type="spellEnd"/>
      <w:r w:rsidRPr="00175F8B">
        <w:t xml:space="preserve"> II, mens</w:t>
      </w:r>
      <w:r w:rsidRPr="00175F8B">
        <w:t xml:space="preserve"> plikten til å gi opplysninger om ordre og transaksjoner (pre- og post-trade transparens) i hovedsak reguleres i </w:t>
      </w:r>
      <w:proofErr w:type="spellStart"/>
      <w:r w:rsidRPr="00175F8B">
        <w:t>MiFIR</w:t>
      </w:r>
      <w:proofErr w:type="spellEnd"/>
      <w:r w:rsidRPr="00175F8B">
        <w:t>.</w:t>
      </w:r>
    </w:p>
    <w:p w14:paraId="586A22CA" w14:textId="77777777" w:rsidR="00080633" w:rsidRPr="00175F8B" w:rsidRDefault="00080633" w:rsidP="00175F8B">
      <w:r w:rsidRPr="00175F8B">
        <w:t xml:space="preserve">Ved gjennomføringen av </w:t>
      </w:r>
      <w:proofErr w:type="spellStart"/>
      <w:r w:rsidRPr="00175F8B">
        <w:t>MiFID</w:t>
      </w:r>
      <w:proofErr w:type="spellEnd"/>
      <w:r w:rsidRPr="00175F8B">
        <w:t xml:space="preserve"> II og </w:t>
      </w:r>
      <w:proofErr w:type="spellStart"/>
      <w:r w:rsidRPr="00175F8B">
        <w:t>MiFIR</w:t>
      </w:r>
      <w:proofErr w:type="spellEnd"/>
      <w:r w:rsidRPr="00175F8B">
        <w:t xml:space="preserve"> i norsk rett ble den tidligere børsloven inkorporert i verdipapirhandelloven, i en egen del om regulerte markeder. På denne måten ble regelverket knyttet til de ulike handelsplassene samlet på ett sted. Verdipapirhandelloven ble videre gjennomgått og lovteksten ble lagt nær opp til ordlyden i </w:t>
      </w:r>
      <w:proofErr w:type="spellStart"/>
      <w:r w:rsidRPr="00175F8B">
        <w:t>MiFID</w:t>
      </w:r>
      <w:proofErr w:type="spellEnd"/>
      <w:r w:rsidRPr="00175F8B">
        <w:t xml:space="preserve"> II. </w:t>
      </w:r>
      <w:proofErr w:type="spellStart"/>
      <w:r w:rsidRPr="00175F8B">
        <w:t>MiFIR</w:t>
      </w:r>
      <w:proofErr w:type="spellEnd"/>
      <w:r w:rsidRPr="00175F8B">
        <w:t xml:space="preserve"> ble inkorporert ved en egen inkorporasjonsbestemmelse, se verdipapirhandelloven § 8-1. NOU 2017: 1 kapittel 1.3 gir ytterligere informasjon om rettsutviklingen og gjennomføring av </w:t>
      </w:r>
      <w:proofErr w:type="spellStart"/>
      <w:r w:rsidRPr="00175F8B">
        <w:t>MiFI</w:t>
      </w:r>
      <w:r w:rsidRPr="00175F8B">
        <w:t>D</w:t>
      </w:r>
      <w:proofErr w:type="spellEnd"/>
      <w:r w:rsidRPr="00175F8B">
        <w:t xml:space="preserve"> II og </w:t>
      </w:r>
      <w:proofErr w:type="spellStart"/>
      <w:r w:rsidRPr="00175F8B">
        <w:t>MiFIR</w:t>
      </w:r>
      <w:proofErr w:type="spellEnd"/>
      <w:r w:rsidRPr="00175F8B">
        <w:t xml:space="preserve"> i norsk rett.</w:t>
      </w:r>
    </w:p>
    <w:p w14:paraId="7AC586C8" w14:textId="77777777" w:rsidR="00080633" w:rsidRPr="00175F8B" w:rsidRDefault="00080633" w:rsidP="00175F8B">
      <w:r w:rsidRPr="00175F8B">
        <w:t xml:space="preserve">Siden ikrafttredelsen er </w:t>
      </w:r>
      <w:proofErr w:type="spellStart"/>
      <w:r w:rsidRPr="00175F8B">
        <w:t>MiFID</w:t>
      </w:r>
      <w:proofErr w:type="spellEnd"/>
      <w:r w:rsidRPr="00175F8B">
        <w:t xml:space="preserve"> II og </w:t>
      </w:r>
      <w:proofErr w:type="spellStart"/>
      <w:r w:rsidRPr="00175F8B">
        <w:t>MiFIR</w:t>
      </w:r>
      <w:proofErr w:type="spellEnd"/>
      <w:r w:rsidRPr="00175F8B">
        <w:t xml:space="preserve"> endret en rekke ganger. I tillegg til endringene denne utredningen omfatter, er </w:t>
      </w:r>
      <w:proofErr w:type="spellStart"/>
      <w:r w:rsidRPr="00175F8B">
        <w:t>MiFID</w:t>
      </w:r>
      <w:proofErr w:type="spellEnd"/>
      <w:r w:rsidRPr="00175F8B">
        <w:t xml:space="preserve"> II endret ti ganger og </w:t>
      </w:r>
      <w:proofErr w:type="spellStart"/>
      <w:r w:rsidRPr="00175F8B">
        <w:t>MiFIR</w:t>
      </w:r>
      <w:proofErr w:type="spellEnd"/>
      <w:r w:rsidRPr="00175F8B">
        <w:t xml:space="preserve"> er endret seks ganger. Utvalget har foretatt en gjennomgang av endringene og status for disse i kapittel 2.4.</w:t>
      </w:r>
    </w:p>
    <w:p w14:paraId="06D099FA" w14:textId="77777777" w:rsidR="00080633" w:rsidRPr="00175F8B" w:rsidRDefault="00080633" w:rsidP="00175F8B">
      <w:pPr>
        <w:pStyle w:val="Overskrift3"/>
      </w:pPr>
      <w:r w:rsidRPr="00175F8B">
        <w:t>Bakgrunnen for endringene denne utredningen omfatter</w:t>
      </w:r>
    </w:p>
    <w:p w14:paraId="0BAFADEB" w14:textId="77777777" w:rsidR="00080633" w:rsidRPr="00175F8B" w:rsidRDefault="00080633" w:rsidP="00175F8B">
      <w:r w:rsidRPr="00175F8B">
        <w:t xml:space="preserve">Kapitalmarkedsunionen (The Capital Markets Union, heretter CMU) er EUs handlingsplan for å skape et felles kapitalmarked hvor kapital flyter uhindret over landegrensene i Europa. Arbeidet med CMU startet i 2011 i kjølvannet av finanskrisen. Kommisjonen vedtok den første </w:t>
      </w:r>
      <w:r w:rsidRPr="00175F8B">
        <w:t>handlingsplanen i 2015. I 2020 publiserte Kommisjonen</w:t>
      </w:r>
      <w:r w:rsidRPr="00175F8B">
        <w:t xml:space="preserve"> en revidert handlingsplan for ytterligere å styrke kapitalmarkedsunionen.</w:t>
      </w:r>
      <w:r w:rsidRPr="00175F8B">
        <w:rPr>
          <w:rStyle w:val="Fotnotereferanse"/>
        </w:rPr>
        <w:footnoteReference w:id="1"/>
      </w:r>
      <w:r w:rsidRPr="00175F8B">
        <w:t xml:space="preserve"> Ett av tre hovedmål i den reviderte planen er å styrke arbeidet med å </w:t>
      </w:r>
      <w:proofErr w:type="gramStart"/>
      <w:r w:rsidRPr="00175F8B">
        <w:t>integrere</w:t>
      </w:r>
      <w:proofErr w:type="gramEnd"/>
      <w:r w:rsidRPr="00175F8B">
        <w:t xml:space="preserve"> de nasjonale kapitalmarkedene til ett felleseuropeisk marked. I planen fremholdes det at et felleseuropeisk marked ikke kan oppnås uten integrert handelsinformasjon, herunder et konsolidert offentliggjøringssystem (en sentralisert database omtalt som «</w:t>
      </w:r>
      <w:proofErr w:type="spellStart"/>
      <w:r w:rsidRPr="00175F8B">
        <w:t>consolidated</w:t>
      </w:r>
      <w:proofErr w:type="spellEnd"/>
      <w:r w:rsidRPr="00175F8B">
        <w:t xml:space="preserve"> tape provider», heretter CTP) med felles handelsdata for alle aksjer handlet på en europeisk handelsplass.</w:t>
      </w:r>
    </w:p>
    <w:p w14:paraId="6DAFB648" w14:textId="77777777" w:rsidR="00080633" w:rsidRPr="00175F8B" w:rsidRDefault="00080633" w:rsidP="00175F8B">
      <w:r w:rsidRPr="00175F8B">
        <w:t>I en meddelelse av 19. januar 2021 «EUs økonomiske og finansielle system: fremme av åpenhet, styrke og motstandsdyktighet»</w:t>
      </w:r>
      <w:r w:rsidRPr="00175F8B">
        <w:rPr>
          <w:rStyle w:val="Fotnotereferanse"/>
        </w:rPr>
        <w:footnoteReference w:id="2"/>
      </w:r>
      <w:r w:rsidRPr="00175F8B">
        <w:t xml:space="preserve"> meddelte Kommisjonen sin intensjon om å forbedre, forenkle og ytterligere harmonisere rammene for transparens i verdipapirmarkedene som ledd i revisjonen av </w:t>
      </w:r>
      <w:proofErr w:type="spellStart"/>
      <w:r w:rsidRPr="00175F8B">
        <w:t>MiFID</w:t>
      </w:r>
      <w:proofErr w:type="spellEnd"/>
      <w:r w:rsidRPr="00175F8B">
        <w:t xml:space="preserve"> II og </w:t>
      </w:r>
      <w:proofErr w:type="spellStart"/>
      <w:r w:rsidRPr="00175F8B">
        <w:t>MiFIR</w:t>
      </w:r>
      <w:proofErr w:type="spellEnd"/>
      <w:r w:rsidRPr="00175F8B">
        <w:t>. Kommisjonen meddelte at nye regler om CTP også ville omfatte obligasjoner. Formålet er å styrke euroens internasjonale rolle ved å legge til rette for et mer effektivt annenhåndsmarked for gjeldsinstrumenter denominert i euro.</w:t>
      </w:r>
    </w:p>
    <w:p w14:paraId="08F0E4EA" w14:textId="77777777" w:rsidR="00080633" w:rsidRPr="00175F8B" w:rsidRDefault="00080633" w:rsidP="00175F8B">
      <w:r w:rsidRPr="00175F8B">
        <w:t xml:space="preserve">Både </w:t>
      </w:r>
      <w:proofErr w:type="spellStart"/>
      <w:r w:rsidRPr="00175F8B">
        <w:t>MiFID</w:t>
      </w:r>
      <w:proofErr w:type="spellEnd"/>
      <w:r w:rsidRPr="00175F8B">
        <w:t xml:space="preserve"> II og </w:t>
      </w:r>
      <w:proofErr w:type="spellStart"/>
      <w:r w:rsidRPr="00175F8B">
        <w:t>MiFIR</w:t>
      </w:r>
      <w:proofErr w:type="spellEnd"/>
      <w:r w:rsidRPr="00175F8B">
        <w:t xml:space="preserve"> fastsetter at regelverket skal gjennomgås og revideres innen en viss tid etter ikrafttredelse. Revisjonen ble noe forsinket på grunn av Covid-19-pandemien. Kommisjonen foretok i 2020 en konsultasjon om regelverket. Konsultasjonen viste at markedsdeltakerne mente at formålet med reglene om handelsinformasjon ikke er oppnådd, idet reglene ikke fullt ut har bidratt til et rettferdig, transparent og integrert marked. At ingen foretak har vist interesse for å søke om å bli tilbyder av en felles</w:t>
      </w:r>
      <w:r w:rsidRPr="00175F8B">
        <w:t xml:space="preserve"> database for handelsinformasjon, en CTP, selv om regelverket legger til rette for en slik funksjon, var et hovedfokus i konsultasjonen. Den manglende interessen skyldes ifølge evalueringsrapporten</w:t>
      </w:r>
      <w:r w:rsidRPr="00175F8B">
        <w:rPr>
          <w:rStyle w:val="Fotnotereferanse"/>
        </w:rPr>
        <w:footnoteReference w:id="3"/>
      </w:r>
      <w:r w:rsidRPr="00175F8B">
        <w:t xml:space="preserve"> flere forhold, herunder manglende økonomiske insentiver for å tilby tjenesten og manglende kvalitet på markedsdata</w:t>
      </w:r>
      <w:r w:rsidRPr="00175F8B">
        <w:t>.</w:t>
      </w:r>
    </w:p>
    <w:p w14:paraId="1C8AA91F" w14:textId="77777777" w:rsidR="00080633" w:rsidRPr="00175F8B" w:rsidRDefault="00080633" w:rsidP="00175F8B">
      <w:r w:rsidRPr="00175F8B">
        <w:t>I evalueringen ble det også pekt på at reglene om at nasjonale myndigheter på visse vilkår kan tillate utsatt offentliggjøring av handelsinformasjon er unødig kompliserte og har ført til ulik praksis mellom landene. Dette gjør det vanskelig å sammenligne data og vanskeliggjør konkurransen mellom handelsplassene.</w:t>
      </w:r>
    </w:p>
    <w:p w14:paraId="0E86C203" w14:textId="77777777" w:rsidR="00080633" w:rsidRPr="00175F8B" w:rsidRDefault="00080633" w:rsidP="00175F8B">
      <w:r w:rsidRPr="00175F8B">
        <w:lastRenderedPageBreak/>
        <w:t>Evalueringen viste også at markedsdeltakerne fant en del av reglene unødig kompliserte og at kostnadene ved oppfølging ikke forsvarte nytten. Blant annet gjaldt det reglene om beregning av volum for handel som kan unntas offentliggjøring.</w:t>
      </w:r>
    </w:p>
    <w:p w14:paraId="62CDA5F5" w14:textId="77777777" w:rsidR="00080633" w:rsidRPr="00175F8B" w:rsidRDefault="00080633" w:rsidP="00175F8B">
      <w:r w:rsidRPr="00175F8B">
        <w:t xml:space="preserve">Endringene tar sikte på å følge opp handlingspunktene i CMU og konklusjonene i evalueringen av </w:t>
      </w:r>
      <w:proofErr w:type="spellStart"/>
      <w:r w:rsidRPr="00175F8B">
        <w:t>MiFID</w:t>
      </w:r>
      <w:proofErr w:type="spellEnd"/>
      <w:r w:rsidRPr="00175F8B">
        <w:t xml:space="preserve"> II og </w:t>
      </w:r>
      <w:proofErr w:type="spellStart"/>
      <w:r w:rsidRPr="00175F8B">
        <w:t>MiFIR</w:t>
      </w:r>
      <w:proofErr w:type="spellEnd"/>
      <w:r w:rsidRPr="00175F8B">
        <w:t xml:space="preserve">. Hovedtyngden av endringer skjer i </w:t>
      </w:r>
      <w:proofErr w:type="spellStart"/>
      <w:r w:rsidRPr="00175F8B">
        <w:t>MiFIR</w:t>
      </w:r>
      <w:proofErr w:type="spellEnd"/>
      <w:r w:rsidRPr="00175F8B">
        <w:t xml:space="preserve">. Endringene i </w:t>
      </w:r>
      <w:proofErr w:type="spellStart"/>
      <w:r w:rsidRPr="00175F8B">
        <w:t>MiFID</w:t>
      </w:r>
      <w:proofErr w:type="spellEnd"/>
      <w:r w:rsidRPr="00175F8B">
        <w:t xml:space="preserve"> II kommer i hovedsak som følge av endringer i </w:t>
      </w:r>
      <w:proofErr w:type="spellStart"/>
      <w:r w:rsidRPr="00175F8B">
        <w:t>MiFIR</w:t>
      </w:r>
      <w:proofErr w:type="spellEnd"/>
      <w:r w:rsidRPr="00175F8B">
        <w:t xml:space="preserve">, herunder flyttes flere regler fra </w:t>
      </w:r>
      <w:proofErr w:type="spellStart"/>
      <w:r w:rsidRPr="00175F8B">
        <w:t>MiFID</w:t>
      </w:r>
      <w:proofErr w:type="spellEnd"/>
      <w:r w:rsidRPr="00175F8B">
        <w:t xml:space="preserve"> II til </w:t>
      </w:r>
      <w:proofErr w:type="spellStart"/>
      <w:r w:rsidRPr="00175F8B">
        <w:t>MiFIR</w:t>
      </w:r>
      <w:proofErr w:type="spellEnd"/>
      <w:r w:rsidRPr="00175F8B">
        <w:t>. Overføring av regler fra direktiv til forordning eliminerer risikoen for ulik gjennomføring og legger til rette for enhetlig praktisering av regelverket</w:t>
      </w:r>
      <w:r w:rsidRPr="00175F8B">
        <w:t>.</w:t>
      </w:r>
    </w:p>
    <w:p w14:paraId="0664A30A" w14:textId="77777777" w:rsidR="00080633" w:rsidRPr="00175F8B" w:rsidRDefault="00080633" w:rsidP="00175F8B">
      <w:pPr>
        <w:pStyle w:val="Overskrift2"/>
      </w:pPr>
      <w:r w:rsidRPr="00175F8B">
        <w:t>Gjennomgang av andre endringer i </w:t>
      </w:r>
      <w:proofErr w:type="spellStart"/>
      <w:r w:rsidRPr="00175F8B">
        <w:t>MiFID</w:t>
      </w:r>
      <w:proofErr w:type="spellEnd"/>
      <w:r w:rsidRPr="00175F8B">
        <w:t xml:space="preserve"> II og </w:t>
      </w:r>
      <w:proofErr w:type="spellStart"/>
      <w:r w:rsidRPr="00175F8B">
        <w:t>MiFIR</w:t>
      </w:r>
      <w:proofErr w:type="spellEnd"/>
      <w:r w:rsidRPr="00175F8B">
        <w:t xml:space="preserve"> – konsekvenser for denne utredningen</w:t>
      </w:r>
    </w:p>
    <w:p w14:paraId="5DCF73D9" w14:textId="77777777" w:rsidR="00080633" w:rsidRPr="00175F8B" w:rsidRDefault="00080633" w:rsidP="00175F8B">
      <w:pPr>
        <w:pStyle w:val="Overskrift3"/>
      </w:pPr>
      <w:r w:rsidRPr="00175F8B">
        <w:t>Endringer i EU</w:t>
      </w:r>
    </w:p>
    <w:p w14:paraId="7A9C3507" w14:textId="77777777" w:rsidR="00080633" w:rsidRPr="00175F8B" w:rsidRDefault="00080633" w:rsidP="00175F8B">
      <w:proofErr w:type="spellStart"/>
      <w:r w:rsidRPr="00175F8B">
        <w:t>MiFID</w:t>
      </w:r>
      <w:proofErr w:type="spellEnd"/>
      <w:r w:rsidRPr="00175F8B">
        <w:t xml:space="preserve"> II og </w:t>
      </w:r>
      <w:proofErr w:type="spellStart"/>
      <w:r w:rsidRPr="00175F8B">
        <w:t>MiFIR</w:t>
      </w:r>
      <w:proofErr w:type="spellEnd"/>
      <w:r w:rsidRPr="00175F8B">
        <w:t xml:space="preserve"> ble vedtatt 15. mai 2014. EU har, i tillegg til direktiv 2024/790 og forordning 2024/791 som behandles i denne utredningen, vedtatt tre forordninger og syv direktiver som inneholder endringer i </w:t>
      </w:r>
      <w:proofErr w:type="spellStart"/>
      <w:r w:rsidRPr="00175F8B">
        <w:t>MiFID</w:t>
      </w:r>
      <w:proofErr w:type="spellEnd"/>
      <w:r w:rsidRPr="00175F8B">
        <w:t xml:space="preserve"> II og seks forordninger med endringer i </w:t>
      </w:r>
      <w:proofErr w:type="spellStart"/>
      <w:r w:rsidRPr="00175F8B">
        <w:t>MiFIR</w:t>
      </w:r>
      <w:proofErr w:type="spellEnd"/>
      <w:r w:rsidRPr="00175F8B">
        <w:t>.</w:t>
      </w:r>
    </w:p>
    <w:p w14:paraId="55AB4EA5" w14:textId="77777777" w:rsidR="00080633" w:rsidRPr="00175F8B" w:rsidRDefault="00080633" w:rsidP="00175F8B">
      <w:r w:rsidRPr="00175F8B">
        <w:t xml:space="preserve">Endringene i </w:t>
      </w:r>
      <w:proofErr w:type="spellStart"/>
      <w:r w:rsidRPr="00175F8B">
        <w:t>MiFID</w:t>
      </w:r>
      <w:proofErr w:type="spellEnd"/>
      <w:r w:rsidRPr="00175F8B">
        <w:t xml:space="preserve"> II følger av forordning 2014/909 om verdipapirregistre, direktiv 2016/97 om forsikringsdistribusjon, direktiv 2016/1034 med endringer i </w:t>
      </w:r>
      <w:proofErr w:type="spellStart"/>
      <w:r w:rsidRPr="00175F8B">
        <w:t>MiFID</w:t>
      </w:r>
      <w:proofErr w:type="spellEnd"/>
      <w:r w:rsidRPr="00175F8B">
        <w:t xml:space="preserve"> II, direktiv 2019/2034 om soliditetsregler for verdipapirforetak, forordning 2019/2115 om fremme av bruken av vekstmarkeder for SMB, direktiv 2019/2177 om endringer bl.a. i solvensregelverket for livselskaper, med regler om å legge autorisasjon av og tilsyn med tilbydere av datarapporteringstjenester til European Securities and Markets </w:t>
      </w:r>
      <w:proofErr w:type="spellStart"/>
      <w:r w:rsidRPr="00175F8B">
        <w:t>Authority</w:t>
      </w:r>
      <w:proofErr w:type="spellEnd"/>
      <w:r w:rsidRPr="00175F8B">
        <w:t xml:space="preserve"> (ESMA), direktiv</w:t>
      </w:r>
      <w:r w:rsidRPr="00175F8B">
        <w:t xml:space="preserve"> 2020/1504 som tar folkefinansieringsvirksomhet ut av virkeområdet til </w:t>
      </w:r>
      <w:proofErr w:type="spellStart"/>
      <w:r w:rsidRPr="00175F8B">
        <w:t>MiFID</w:t>
      </w:r>
      <w:proofErr w:type="spellEnd"/>
      <w:r w:rsidRPr="00175F8B">
        <w:t xml:space="preserve"> II, direktiv 2021/338 om endring av informasjonsregler mv. ifm. Covid-19-pandemien, forordning 2022/858 om desentralisert registerteknologi og direktiv 2023/2864 med endringer i bl.a. </w:t>
      </w:r>
      <w:proofErr w:type="spellStart"/>
      <w:r w:rsidRPr="00175F8B">
        <w:t>MiFID</w:t>
      </w:r>
      <w:proofErr w:type="spellEnd"/>
      <w:r w:rsidRPr="00175F8B">
        <w:t xml:space="preserve"> II i forbindelse med etablering av «European Single Access Point» (ESAP).</w:t>
      </w:r>
    </w:p>
    <w:p w14:paraId="27F4E895" w14:textId="77777777" w:rsidR="00080633" w:rsidRPr="00175F8B" w:rsidRDefault="00080633" w:rsidP="00175F8B">
      <w:r w:rsidRPr="00175F8B">
        <w:t xml:space="preserve">Endringene i </w:t>
      </w:r>
      <w:proofErr w:type="spellStart"/>
      <w:r w:rsidRPr="00175F8B">
        <w:t>MiFIR</w:t>
      </w:r>
      <w:proofErr w:type="spellEnd"/>
      <w:r w:rsidRPr="00175F8B">
        <w:t xml:space="preserve"> følger av forordning 2016/1033 om endringer i </w:t>
      </w:r>
      <w:proofErr w:type="spellStart"/>
      <w:r w:rsidRPr="00175F8B">
        <w:t>MiFIR</w:t>
      </w:r>
      <w:proofErr w:type="spellEnd"/>
      <w:r w:rsidRPr="00175F8B">
        <w:t xml:space="preserve">, forordning 2019/2033 om soliditetsregler for verdipapirforetak, forordning 2019/2175 med endringer i reglene for finanstilsynsbyråene, forordning 2021/23 om krisehåndtering av sentrale motparter, forordning 2022/858 om desentralisert registerteknologi, og forordning 2023/2869 om endringer i bl.a. </w:t>
      </w:r>
      <w:proofErr w:type="spellStart"/>
      <w:r w:rsidRPr="00175F8B">
        <w:t>MiFIR</w:t>
      </w:r>
      <w:proofErr w:type="spellEnd"/>
      <w:r w:rsidRPr="00175F8B">
        <w:t xml:space="preserve"> i forbindelse med etablering av «European Single Access Point».</w:t>
      </w:r>
    </w:p>
    <w:p w14:paraId="798B7165" w14:textId="77777777" w:rsidR="00080633" w:rsidRPr="00175F8B" w:rsidRDefault="00080633" w:rsidP="00175F8B">
      <w:pPr>
        <w:pStyle w:val="Overskrift3"/>
      </w:pPr>
      <w:r w:rsidRPr="00175F8B">
        <w:t xml:space="preserve">Status for gjennomføring av endringer i </w:t>
      </w:r>
      <w:proofErr w:type="spellStart"/>
      <w:r w:rsidRPr="00175F8B">
        <w:t>MiFID</w:t>
      </w:r>
      <w:proofErr w:type="spellEnd"/>
      <w:r w:rsidRPr="00175F8B">
        <w:t xml:space="preserve"> II og </w:t>
      </w:r>
      <w:proofErr w:type="spellStart"/>
      <w:r w:rsidRPr="00175F8B">
        <w:t>MiFIR</w:t>
      </w:r>
      <w:proofErr w:type="spellEnd"/>
      <w:r w:rsidRPr="00175F8B">
        <w:t xml:space="preserve"> i norsk rett</w:t>
      </w:r>
    </w:p>
    <w:p w14:paraId="758A24A7" w14:textId="77777777" w:rsidR="00080633" w:rsidRPr="00175F8B" w:rsidRDefault="00080633" w:rsidP="00175F8B">
      <w:pPr>
        <w:pStyle w:val="Overskrift4"/>
      </w:pPr>
      <w:r w:rsidRPr="00175F8B">
        <w:t>Innledning</w:t>
      </w:r>
    </w:p>
    <w:p w14:paraId="4FAD0956" w14:textId="77777777" w:rsidR="00080633" w:rsidRPr="00175F8B" w:rsidRDefault="00080633" w:rsidP="00175F8B">
      <w:r w:rsidRPr="00175F8B">
        <w:t xml:space="preserve">Enkelte av de tidligere endringene i </w:t>
      </w:r>
      <w:proofErr w:type="spellStart"/>
      <w:r w:rsidRPr="00175F8B">
        <w:t>MiFID</w:t>
      </w:r>
      <w:proofErr w:type="spellEnd"/>
      <w:r w:rsidRPr="00175F8B">
        <w:t xml:space="preserve"> II og </w:t>
      </w:r>
      <w:proofErr w:type="spellStart"/>
      <w:r w:rsidRPr="00175F8B">
        <w:t>MiFIR</w:t>
      </w:r>
      <w:proofErr w:type="spellEnd"/>
      <w:r w:rsidRPr="00175F8B">
        <w:t xml:space="preserve"> er av stor relevans for denne utredningen, mens andre har liten eller ingen betydning. Noen av endringene er tatt inn i EØS-avtalen og gjennomført i norsk rett, mens andre er kommet kortere i prosessen. Nedenfor redegjør utvalget for status for gjennomføringen av endringene i norsk rett.</w:t>
      </w:r>
    </w:p>
    <w:p w14:paraId="3C4C0D05" w14:textId="77777777" w:rsidR="00080633" w:rsidRPr="00175F8B" w:rsidRDefault="00080633" w:rsidP="00175F8B">
      <w:pPr>
        <w:pStyle w:val="Overskrift4"/>
      </w:pPr>
      <w:r w:rsidRPr="00175F8B">
        <w:t xml:space="preserve">Endringer i </w:t>
      </w:r>
      <w:proofErr w:type="spellStart"/>
      <w:r w:rsidRPr="00175F8B">
        <w:t>MiFID</w:t>
      </w:r>
      <w:proofErr w:type="spellEnd"/>
      <w:r w:rsidRPr="00175F8B">
        <w:t xml:space="preserve"> II</w:t>
      </w:r>
    </w:p>
    <w:p w14:paraId="4C9C5E6B" w14:textId="77777777" w:rsidR="00080633" w:rsidRPr="00175F8B" w:rsidRDefault="00080633" w:rsidP="00175F8B">
      <w:r w:rsidRPr="00175F8B">
        <w:t xml:space="preserve">De fleste av rettsaktene som endrer </w:t>
      </w:r>
      <w:proofErr w:type="spellStart"/>
      <w:r w:rsidRPr="00175F8B">
        <w:t>MiFID</w:t>
      </w:r>
      <w:proofErr w:type="spellEnd"/>
      <w:r w:rsidRPr="00175F8B">
        <w:t xml:space="preserve"> II er innlemmet i EØS-avtalen og gjennomført i norsk rett:</w:t>
      </w:r>
    </w:p>
    <w:p w14:paraId="25DF1467" w14:textId="77777777" w:rsidR="00080633" w:rsidRPr="00175F8B" w:rsidRDefault="00080633" w:rsidP="00175F8B">
      <w:pPr>
        <w:pStyle w:val="Liste"/>
      </w:pPr>
      <w:r w:rsidRPr="00175F8B">
        <w:t>Forordning 2014/909 om verdipapirregistre ble vedtatt tatt inn i EØS-avtalen 8. februar 2019, jf. EØ</w:t>
      </w:r>
      <w:r w:rsidRPr="00175F8B">
        <w:t>S-komitebeslutning nr. 18/2019. Beslutningen trådte i kraft 1. januar 2020.</w:t>
      </w:r>
    </w:p>
    <w:p w14:paraId="7A1E6B9C" w14:textId="77777777" w:rsidR="00080633" w:rsidRPr="00175F8B" w:rsidRDefault="00080633" w:rsidP="00175F8B">
      <w:pPr>
        <w:pStyle w:val="Liste"/>
      </w:pPr>
      <w:r w:rsidRPr="00175F8B">
        <w:t>Direktiv 2016/97 om forsikringsdistribusjon ble vedtatt tatt inn i EØS-avtalen 26. oktober 2018, jf. EØS-komitebeslutning nr. 214/2018. Beslutningen trådte i kraft 1. februar 2022.</w:t>
      </w:r>
    </w:p>
    <w:p w14:paraId="7C1348B6" w14:textId="77777777" w:rsidR="00080633" w:rsidRPr="00175F8B" w:rsidRDefault="00080633" w:rsidP="00175F8B">
      <w:pPr>
        <w:pStyle w:val="Liste"/>
      </w:pPr>
      <w:r w:rsidRPr="00175F8B">
        <w:t xml:space="preserve">Direktiv 2016/1034 med endringer i </w:t>
      </w:r>
      <w:proofErr w:type="spellStart"/>
      <w:r w:rsidRPr="00175F8B">
        <w:t>MiFID</w:t>
      </w:r>
      <w:proofErr w:type="spellEnd"/>
      <w:r w:rsidRPr="00175F8B">
        <w:t xml:space="preserve"> II ble vedtatt tatt inn i EØS-avtalen 29. mars 2019 (samtidig med </w:t>
      </w:r>
      <w:proofErr w:type="spellStart"/>
      <w:r w:rsidRPr="00175F8B">
        <w:t>MiFID</w:t>
      </w:r>
      <w:proofErr w:type="spellEnd"/>
      <w:r w:rsidRPr="00175F8B">
        <w:t xml:space="preserve"> II), jf. EØS-komitebeslutning nr. 78/2019. Beslutningen trådte i kraft 3. desember 2019.</w:t>
      </w:r>
    </w:p>
    <w:p w14:paraId="0AD976DD" w14:textId="77777777" w:rsidR="00080633" w:rsidRPr="00175F8B" w:rsidRDefault="00080633" w:rsidP="00175F8B">
      <w:pPr>
        <w:pStyle w:val="Liste"/>
      </w:pPr>
      <w:r w:rsidRPr="00175F8B">
        <w:t>Forordning 2019/2115 om fremme av bruken av vekstmarkeder for SMB ble vedtatt tatt inn i EØS-avtalen 9. juli 2021, jf. EØS-komitebeslutning nr. 215/2021. Beslutningen trådte i kraft 1. januar 2023.</w:t>
      </w:r>
    </w:p>
    <w:p w14:paraId="53B1C2CB" w14:textId="77777777" w:rsidR="00080633" w:rsidRPr="00175F8B" w:rsidRDefault="00080633" w:rsidP="00175F8B">
      <w:pPr>
        <w:pStyle w:val="Liste"/>
      </w:pPr>
      <w:r w:rsidRPr="00175F8B">
        <w:t>Direktiv 2021/338 om endring av informasjonsregler mv. ifm. Covid-19-pandemien, ble vedtatt tatt inn i EØS-avtalen 8. juli 2022, jf. EØS-komitebeslutning nr.213/2022. Beslutningen trådte i kraft 1. februar 2023.</w:t>
      </w:r>
    </w:p>
    <w:p w14:paraId="658ABCA9" w14:textId="77777777" w:rsidR="00080633" w:rsidRPr="00175F8B" w:rsidRDefault="00080633" w:rsidP="00175F8B">
      <w:r w:rsidRPr="00175F8B">
        <w:lastRenderedPageBreak/>
        <w:t xml:space="preserve">Følgende rettsakter som endrer </w:t>
      </w:r>
      <w:proofErr w:type="spellStart"/>
      <w:r w:rsidRPr="00175F8B">
        <w:t>MiFID</w:t>
      </w:r>
      <w:proofErr w:type="spellEnd"/>
      <w:r w:rsidRPr="00175F8B">
        <w:t xml:space="preserve"> II er vedtatt innlemmet i EØS-avtalen, men EØS-komitebeslutningen har ikke </w:t>
      </w:r>
      <w:proofErr w:type="gramStart"/>
      <w:r w:rsidRPr="00175F8B">
        <w:t>trådt</w:t>
      </w:r>
      <w:proofErr w:type="gramEnd"/>
      <w:r w:rsidRPr="00175F8B">
        <w:t xml:space="preserve"> i kraft:</w:t>
      </w:r>
    </w:p>
    <w:p w14:paraId="16749436" w14:textId="77777777" w:rsidR="00080633" w:rsidRPr="00175F8B" w:rsidRDefault="00080633" w:rsidP="00175F8B">
      <w:pPr>
        <w:pStyle w:val="Liste"/>
      </w:pPr>
      <w:r w:rsidRPr="00175F8B">
        <w:t>Forordning 2022/858 om desentralisert registerteknologi ble vedtatt tatt inn i EØS-avtalen 5. juli 2023, jf. EØS-komitebeslutning nr. 185/2023. Beslutningen er foreløpig ikke i kraft.</w:t>
      </w:r>
    </w:p>
    <w:p w14:paraId="116695EA" w14:textId="77777777" w:rsidR="00080633" w:rsidRPr="00175F8B" w:rsidRDefault="00080633" w:rsidP="00175F8B">
      <w:pPr>
        <w:pStyle w:val="Liste"/>
      </w:pPr>
      <w:r w:rsidRPr="00175F8B">
        <w:t xml:space="preserve">Direktiv 2020/1504 om å ta folkefinansieringsvirksomhet ut av virkeområdet til </w:t>
      </w:r>
      <w:proofErr w:type="spellStart"/>
      <w:r w:rsidRPr="00175F8B">
        <w:t>MiFID</w:t>
      </w:r>
      <w:proofErr w:type="spellEnd"/>
      <w:r w:rsidRPr="00175F8B">
        <w:t xml:space="preserve"> II ble vedtatt tatt inn i EØS-avtalen 2. februar 2024, jf. EØS-komitebeslutning nr.30/2024. Beslutningen er foreløpig ikke i kraft.</w:t>
      </w:r>
    </w:p>
    <w:p w14:paraId="2791F1A0" w14:textId="77777777" w:rsidR="00080633" w:rsidRPr="00175F8B" w:rsidRDefault="00080633" w:rsidP="00175F8B">
      <w:r w:rsidRPr="00175F8B">
        <w:t xml:space="preserve">Følgende rettsakter som endrer </w:t>
      </w:r>
      <w:proofErr w:type="spellStart"/>
      <w:r w:rsidRPr="00175F8B">
        <w:t>MiFID</w:t>
      </w:r>
      <w:proofErr w:type="spellEnd"/>
      <w:r w:rsidRPr="00175F8B">
        <w:t xml:space="preserve"> II er ikke vedtatt innlemmet i EØS-avtalen:</w:t>
      </w:r>
    </w:p>
    <w:p w14:paraId="24EF42C5" w14:textId="77777777" w:rsidR="00080633" w:rsidRPr="00175F8B" w:rsidRDefault="00080633" w:rsidP="00175F8B">
      <w:pPr>
        <w:pStyle w:val="Liste"/>
      </w:pPr>
      <w:r w:rsidRPr="00175F8B">
        <w:t>Direktiv 2019/2034 om soliditetsregler for verdipapirforetak.</w:t>
      </w:r>
    </w:p>
    <w:p w14:paraId="09E14986" w14:textId="77777777" w:rsidR="00080633" w:rsidRPr="00175F8B" w:rsidRDefault="00080633" w:rsidP="00175F8B">
      <w:pPr>
        <w:pStyle w:val="Liste"/>
      </w:pPr>
      <w:r w:rsidRPr="00175F8B">
        <w:t>Direktiv 2019/2177 om endringer bl.a. i solvensregelverket for livselskaper, med regler om å</w:t>
      </w:r>
      <w:r w:rsidRPr="00175F8B">
        <w:t xml:space="preserve"> legge autorisasjon av og tilsyn med tilbydere av datarapporteringstjenester til ESMA.</w:t>
      </w:r>
    </w:p>
    <w:p w14:paraId="22CE57DF" w14:textId="77777777" w:rsidR="00080633" w:rsidRPr="00175F8B" w:rsidRDefault="00080633" w:rsidP="00175F8B">
      <w:pPr>
        <w:pStyle w:val="Liste"/>
      </w:pPr>
      <w:r w:rsidRPr="00175F8B">
        <w:t xml:space="preserve">Direktiv 2023/2864 med endringer i bl.a. </w:t>
      </w:r>
      <w:proofErr w:type="spellStart"/>
      <w:r w:rsidRPr="00175F8B">
        <w:t>MiFID</w:t>
      </w:r>
      <w:proofErr w:type="spellEnd"/>
      <w:r w:rsidRPr="00175F8B">
        <w:t xml:space="preserve"> II i forbindelse med etablering av «European Single Access Point».</w:t>
      </w:r>
    </w:p>
    <w:p w14:paraId="610DD6B5" w14:textId="77777777" w:rsidR="00080633" w:rsidRPr="00175F8B" w:rsidRDefault="00080633" w:rsidP="00175F8B">
      <w:pPr>
        <w:pStyle w:val="Listeavsnitt"/>
      </w:pPr>
      <w:r w:rsidRPr="00175F8B">
        <w:t>Direktiv 2023/2864 og forordning 2023/2869 om tales i denne utredningen som «ESAP-regelverket.»</w:t>
      </w:r>
    </w:p>
    <w:p w14:paraId="6AF2CFA5" w14:textId="77777777" w:rsidR="00080633" w:rsidRPr="00175F8B" w:rsidRDefault="00080633" w:rsidP="00175F8B">
      <w:r w:rsidRPr="00175F8B">
        <w:t>De tre direktivene som ennå ikke er vedtatt innlemmet i EØ</w:t>
      </w:r>
      <w:r w:rsidRPr="00175F8B">
        <w:t xml:space="preserve">S-avtalen er til vurdering i </w:t>
      </w:r>
      <w:proofErr w:type="spellStart"/>
      <w:r w:rsidRPr="00175F8B">
        <w:t>EFTAs</w:t>
      </w:r>
      <w:proofErr w:type="spellEnd"/>
      <w:r w:rsidRPr="00175F8B">
        <w:t xml:space="preserve"> arbeidsgruppe for finansielle tjenester. Det er lite overlapp mellom endringene som følger av disse direktivene og endringene som følger av direktiv 2024/790.</w:t>
      </w:r>
    </w:p>
    <w:p w14:paraId="0014CA62" w14:textId="77777777" w:rsidR="00080633" w:rsidRPr="00175F8B" w:rsidRDefault="00080633" w:rsidP="00175F8B">
      <w:pPr>
        <w:pStyle w:val="Overskrift4"/>
      </w:pPr>
      <w:r w:rsidRPr="00175F8B">
        <w:t xml:space="preserve">Endringer i </w:t>
      </w:r>
      <w:proofErr w:type="spellStart"/>
      <w:r w:rsidRPr="00175F8B">
        <w:t>MiFIR</w:t>
      </w:r>
      <w:proofErr w:type="spellEnd"/>
    </w:p>
    <w:p w14:paraId="38A4B232" w14:textId="77777777" w:rsidR="00080633" w:rsidRPr="00175F8B" w:rsidRDefault="00080633" w:rsidP="00175F8B">
      <w:r w:rsidRPr="00175F8B">
        <w:t xml:space="preserve">Bare én av forordningene som endrer </w:t>
      </w:r>
      <w:proofErr w:type="spellStart"/>
      <w:r w:rsidRPr="00175F8B">
        <w:t>MiFIR</w:t>
      </w:r>
      <w:proofErr w:type="spellEnd"/>
      <w:r w:rsidRPr="00175F8B">
        <w:t xml:space="preserve"> er innlemmet i EØS-avtalen og gjennomført i norsk rett:</w:t>
      </w:r>
    </w:p>
    <w:p w14:paraId="21550288" w14:textId="77777777" w:rsidR="00080633" w:rsidRPr="00175F8B" w:rsidRDefault="00080633" w:rsidP="00175F8B">
      <w:pPr>
        <w:pStyle w:val="Liste"/>
      </w:pPr>
      <w:r w:rsidRPr="00175F8B">
        <w:t xml:space="preserve">Forordning 2016/1033 om endringer i </w:t>
      </w:r>
      <w:proofErr w:type="spellStart"/>
      <w:r w:rsidRPr="00175F8B">
        <w:t>MiFIR</w:t>
      </w:r>
      <w:proofErr w:type="spellEnd"/>
      <w:r w:rsidRPr="00175F8B">
        <w:t xml:space="preserve"> ble vedtatt tatt inn i EØS-avtalen 29. mars 2019 (samtidig med </w:t>
      </w:r>
      <w:proofErr w:type="spellStart"/>
      <w:r w:rsidRPr="00175F8B">
        <w:t>MiFIR</w:t>
      </w:r>
      <w:proofErr w:type="spellEnd"/>
      <w:r w:rsidRPr="00175F8B">
        <w:t>), jf. EØS-komitebeslutning nr. 78/2019. Beslutningen trådte i kraft 3. desember 2019.</w:t>
      </w:r>
    </w:p>
    <w:p w14:paraId="554EDEC4" w14:textId="77777777" w:rsidR="00080633" w:rsidRPr="00175F8B" w:rsidRDefault="00080633" w:rsidP="00175F8B">
      <w:r w:rsidRPr="00175F8B">
        <w:t xml:space="preserve">Følgende forordning som endrer </w:t>
      </w:r>
      <w:proofErr w:type="spellStart"/>
      <w:r w:rsidRPr="00175F8B">
        <w:t>MiFIR</w:t>
      </w:r>
      <w:proofErr w:type="spellEnd"/>
      <w:r w:rsidRPr="00175F8B">
        <w:t xml:space="preserve"> er vedtatt innlemmet i EØS-avtalen, men EØS-komitebeslutningen har ikke </w:t>
      </w:r>
      <w:proofErr w:type="gramStart"/>
      <w:r w:rsidRPr="00175F8B">
        <w:t>trådt</w:t>
      </w:r>
      <w:proofErr w:type="gramEnd"/>
      <w:r w:rsidRPr="00175F8B">
        <w:t xml:space="preserve"> i kraft:</w:t>
      </w:r>
    </w:p>
    <w:p w14:paraId="4DC4EA5B" w14:textId="77777777" w:rsidR="00080633" w:rsidRPr="00175F8B" w:rsidRDefault="00080633" w:rsidP="00175F8B">
      <w:pPr>
        <w:pStyle w:val="Liste"/>
      </w:pPr>
      <w:r w:rsidRPr="00175F8B">
        <w:t>Forordning 2022/858 om desentralisert registerteknologi ble vedtatt tatt inn i EØS-avtalen 5. juli 2023, jf. EØS-komitebeslutning nr. 185/2023. Beslutningen er foreløpig ikke i kraft.</w:t>
      </w:r>
    </w:p>
    <w:p w14:paraId="165F8725" w14:textId="77777777" w:rsidR="00080633" w:rsidRPr="00175F8B" w:rsidRDefault="00080633" w:rsidP="00175F8B">
      <w:r w:rsidRPr="00175F8B">
        <w:t xml:space="preserve">Følgende forordninger som endrer </w:t>
      </w:r>
      <w:proofErr w:type="spellStart"/>
      <w:r w:rsidRPr="00175F8B">
        <w:t>MiFIR</w:t>
      </w:r>
      <w:proofErr w:type="spellEnd"/>
      <w:r w:rsidRPr="00175F8B">
        <w:t xml:space="preserve"> er ikke vedtatt innlemmet i EØS-avtalen:</w:t>
      </w:r>
    </w:p>
    <w:p w14:paraId="69D04100" w14:textId="77777777" w:rsidR="00080633" w:rsidRPr="00175F8B" w:rsidRDefault="00080633" w:rsidP="00175F8B">
      <w:pPr>
        <w:pStyle w:val="Liste"/>
      </w:pPr>
      <w:r w:rsidRPr="00175F8B">
        <w:t>Forordning 2019/2033 om soliditetsregler for verdipapirforetak.</w:t>
      </w:r>
    </w:p>
    <w:p w14:paraId="755A7D6E" w14:textId="77777777" w:rsidR="00080633" w:rsidRPr="00175F8B" w:rsidRDefault="00080633" w:rsidP="00175F8B">
      <w:pPr>
        <w:pStyle w:val="Liste"/>
      </w:pPr>
      <w:r w:rsidRPr="00175F8B">
        <w:t>Forordning 2019/2175 med endringer i reglene for finanstilsynsbyråene.</w:t>
      </w:r>
    </w:p>
    <w:p w14:paraId="2B8ADC66" w14:textId="77777777" w:rsidR="00080633" w:rsidRPr="00175F8B" w:rsidRDefault="00080633" w:rsidP="00175F8B">
      <w:pPr>
        <w:pStyle w:val="Liste"/>
      </w:pPr>
      <w:r w:rsidRPr="00175F8B">
        <w:t>Forordning 2021/23 om krisehåndtering av sentrale motparter.</w:t>
      </w:r>
    </w:p>
    <w:p w14:paraId="0935FD37" w14:textId="77777777" w:rsidR="00080633" w:rsidRPr="00175F8B" w:rsidRDefault="00080633" w:rsidP="00175F8B">
      <w:pPr>
        <w:pStyle w:val="Liste"/>
      </w:pPr>
      <w:r w:rsidRPr="00175F8B">
        <w:t xml:space="preserve">Forordning 2023/2869 om endringer i bl.a. </w:t>
      </w:r>
      <w:proofErr w:type="spellStart"/>
      <w:r w:rsidRPr="00175F8B">
        <w:t>MiFIR</w:t>
      </w:r>
      <w:proofErr w:type="spellEnd"/>
      <w:r w:rsidRPr="00175F8B">
        <w:t xml:space="preserve"> i forbindelse med etablering av ‘European Single Access Point’.</w:t>
      </w:r>
    </w:p>
    <w:p w14:paraId="773FD762" w14:textId="77777777" w:rsidR="00080633" w:rsidRPr="00175F8B" w:rsidRDefault="00080633" w:rsidP="00175F8B">
      <w:r w:rsidRPr="00175F8B">
        <w:t xml:space="preserve">Forordningene er til vurdering i </w:t>
      </w:r>
      <w:proofErr w:type="spellStart"/>
      <w:r w:rsidRPr="00175F8B">
        <w:t>EFTAs</w:t>
      </w:r>
      <w:proofErr w:type="spellEnd"/>
      <w:r w:rsidRPr="00175F8B">
        <w:t xml:space="preserve"> arbeidsgruppe for finansielle tjenester. De fire forordningene som ikke er vedtatt innlemmet i EØS-avtalen, særlig forordningene 2019/2033 og 2019/2175, gjør til sammen omfattende endringer i </w:t>
      </w:r>
      <w:proofErr w:type="spellStart"/>
      <w:r w:rsidRPr="00175F8B">
        <w:t>MiFIR</w:t>
      </w:r>
      <w:proofErr w:type="spellEnd"/>
      <w:r w:rsidRPr="00175F8B">
        <w:t>. Mange av endringene som følger av forordning 2024/791 bygger videre på disse tidligere endringene.</w:t>
      </w:r>
    </w:p>
    <w:p w14:paraId="6736B17A" w14:textId="77777777" w:rsidR="00080633" w:rsidRPr="00175F8B" w:rsidRDefault="00080633" w:rsidP="00175F8B">
      <w:pPr>
        <w:pStyle w:val="Overskrift4"/>
      </w:pPr>
      <w:r w:rsidRPr="00175F8B">
        <w:t>Status for gjennomføring av endringer i </w:t>
      </w:r>
      <w:proofErr w:type="spellStart"/>
      <w:r w:rsidRPr="00175F8B">
        <w:t>MiFID</w:t>
      </w:r>
      <w:proofErr w:type="spellEnd"/>
      <w:r w:rsidRPr="00175F8B">
        <w:t xml:space="preserve"> II og </w:t>
      </w:r>
      <w:proofErr w:type="spellStart"/>
      <w:r w:rsidRPr="00175F8B">
        <w:t>MiFIR</w:t>
      </w:r>
      <w:proofErr w:type="spellEnd"/>
      <w:r w:rsidRPr="00175F8B">
        <w:t xml:space="preserve"> i Norge</w:t>
      </w:r>
    </w:p>
    <w:p w14:paraId="38437E4C" w14:textId="77777777" w:rsidR="00080633" w:rsidRPr="00175F8B" w:rsidRDefault="00080633" w:rsidP="00175F8B">
      <w:r w:rsidRPr="00175F8B">
        <w:t xml:space="preserve">Nedenfor følger status på lovarbeidet til rettsaktene som endrer </w:t>
      </w:r>
      <w:proofErr w:type="spellStart"/>
      <w:r w:rsidRPr="00175F8B">
        <w:t>MiFID</w:t>
      </w:r>
      <w:proofErr w:type="spellEnd"/>
      <w:r w:rsidRPr="00175F8B">
        <w:t xml:space="preserve"> II og </w:t>
      </w:r>
      <w:proofErr w:type="spellStart"/>
      <w:r w:rsidRPr="00175F8B">
        <w:t>MiFIR</w:t>
      </w:r>
      <w:proofErr w:type="spellEnd"/>
      <w:r w:rsidRPr="00175F8B">
        <w:t xml:space="preserve"> som ennå ikke er gjennomført i norsk rett:</w:t>
      </w:r>
    </w:p>
    <w:p w14:paraId="1050EF72" w14:textId="77777777" w:rsidR="00080633" w:rsidRPr="00175F8B" w:rsidRDefault="00080633" w:rsidP="00175F8B">
      <w:r w:rsidRPr="00175F8B">
        <w:t xml:space="preserve">I Prop. 74 LS (2023–2024) er det foreslått lovregler som gjennomfører forordning 2022/858. Det er bl.a. foreslått endringer i verdipapirhandelloven § 2-2, § 8-1 og § 8-2. Finanskomiteen har sluttet seg til forslaget, se </w:t>
      </w:r>
      <w:proofErr w:type="spellStart"/>
      <w:r w:rsidRPr="00175F8B">
        <w:t>Innst</w:t>
      </w:r>
      <w:proofErr w:type="spellEnd"/>
      <w:r w:rsidRPr="00175F8B">
        <w:t xml:space="preserve">. 365 L (2023–2024), </w:t>
      </w:r>
      <w:proofErr w:type="gramStart"/>
      <w:r w:rsidRPr="00175F8B">
        <w:t>avgitt</w:t>
      </w:r>
      <w:proofErr w:type="gramEnd"/>
      <w:r w:rsidRPr="00175F8B">
        <w:t xml:space="preserve"> 28. mai 2024. Endringene er vedtatt og trer i kraft 1. august 2024.</w:t>
      </w:r>
    </w:p>
    <w:p w14:paraId="0BFEA6FC" w14:textId="77777777" w:rsidR="00080633" w:rsidRPr="00175F8B" w:rsidRDefault="00080633" w:rsidP="00175F8B">
      <w:r w:rsidRPr="00175F8B">
        <w:t>Finansdepartementet sendte 30. juni 2021 høringsnotat, utarbeidet av Finanstilsynet, med utkast til gjennomføring av forordning 2019/2033 og direktiv 2019/2034 på høring, med frist 30. september 2021. Saken er til behandling i departementet.</w:t>
      </w:r>
    </w:p>
    <w:p w14:paraId="4358B85C" w14:textId="77777777" w:rsidR="00080633" w:rsidRPr="00175F8B" w:rsidRDefault="00080633" w:rsidP="00175F8B">
      <w:r w:rsidRPr="00175F8B">
        <w:lastRenderedPageBreak/>
        <w:t>Finanstilsynet har utarbeidet høringsnotat med utkast til gjennomføring av forordning 2019/2175, samt forordning 2019/2176 og direktiv 2019/2177.</w:t>
      </w:r>
    </w:p>
    <w:p w14:paraId="3DA57EB5" w14:textId="77777777" w:rsidR="00080633" w:rsidRPr="00175F8B" w:rsidRDefault="00080633" w:rsidP="00175F8B">
      <w:r w:rsidRPr="00175F8B">
        <w:t>Finanstilsynet har utarbeidet høringsnotat med utkast til gjennomføring av forordning 2021/23.</w:t>
      </w:r>
    </w:p>
    <w:p w14:paraId="10FAC511" w14:textId="77777777" w:rsidR="00080633" w:rsidRPr="00175F8B" w:rsidRDefault="00080633" w:rsidP="00175F8B">
      <w:r w:rsidRPr="00175F8B">
        <w:t>Det er foreløpig ikke utarbeidet materiale for høring av «ESAP-regelverket».</w:t>
      </w:r>
    </w:p>
    <w:p w14:paraId="7F66D272" w14:textId="77777777" w:rsidR="00080633" w:rsidRPr="00175F8B" w:rsidRDefault="00080633" w:rsidP="00175F8B">
      <w:pPr>
        <w:pStyle w:val="Overskrift3"/>
      </w:pPr>
      <w:r w:rsidRPr="00175F8B">
        <w:t>Forutsetninger og videre fremstilling</w:t>
      </w:r>
    </w:p>
    <w:p w14:paraId="26A4653D" w14:textId="77777777" w:rsidR="00080633" w:rsidRPr="00175F8B" w:rsidRDefault="00080633" w:rsidP="00175F8B">
      <w:r w:rsidRPr="00175F8B">
        <w:t>Utvalget legger til grunn at ikrafttredelse av en EØS-komitebeslutning om innlemmelse av direktiv 2024/790 og forordning 2024/791 må kobles til ikrafttredelse av EØ</w:t>
      </w:r>
      <w:r w:rsidRPr="00175F8B">
        <w:t xml:space="preserve">S-komitebeslutninger om innlemmelse av tidligere direktiver og forordninger med endringer i </w:t>
      </w:r>
      <w:proofErr w:type="spellStart"/>
      <w:r w:rsidRPr="00175F8B">
        <w:t>MiFID</w:t>
      </w:r>
      <w:proofErr w:type="spellEnd"/>
      <w:r w:rsidRPr="00175F8B">
        <w:t xml:space="preserve"> II og </w:t>
      </w:r>
      <w:proofErr w:type="spellStart"/>
      <w:r w:rsidRPr="00175F8B">
        <w:t>MiFIR</w:t>
      </w:r>
      <w:proofErr w:type="spellEnd"/>
      <w:r w:rsidRPr="00175F8B">
        <w:t>, slik at de ikke trer i kraft før de forangående endringene trer i kraft for EØS/EFTA-statene. I motsatt fall vil det ikke bli konsistens i regelverket.</w:t>
      </w:r>
    </w:p>
    <w:p w14:paraId="0BCC9886" w14:textId="77777777" w:rsidR="00080633" w:rsidRPr="00175F8B" w:rsidRDefault="00080633" w:rsidP="00175F8B">
      <w:r w:rsidRPr="00175F8B">
        <w:t xml:space="preserve">Endringene i forbindelse med etablering av ESAP, dvs. endringene i </w:t>
      </w:r>
      <w:proofErr w:type="spellStart"/>
      <w:r w:rsidRPr="00175F8B">
        <w:t>MiFID</w:t>
      </w:r>
      <w:proofErr w:type="spellEnd"/>
      <w:r w:rsidRPr="00175F8B">
        <w:t xml:space="preserve"> II som følger av direktiv 2023/2864 og endringene i </w:t>
      </w:r>
      <w:proofErr w:type="spellStart"/>
      <w:r w:rsidRPr="00175F8B">
        <w:t>MiFIR</w:t>
      </w:r>
      <w:proofErr w:type="spellEnd"/>
      <w:r w:rsidRPr="00175F8B">
        <w:t xml:space="preserve"> som følger av forordning 2023/2869, trenger imidlertid ikke å være på plass for at endringene som følger av direktiv 2024/790 og forordning 2024/791 kan gjennomføres i norsk rett, jf. bl.a. at ESAP-reglene først skal anvendes fra januar 2030.</w:t>
      </w:r>
    </w:p>
    <w:p w14:paraId="43040B78" w14:textId="77777777" w:rsidR="00080633" w:rsidRPr="00175F8B" w:rsidRDefault="00080633" w:rsidP="00175F8B">
      <w:r w:rsidRPr="00175F8B">
        <w:t>Ved utredning av og forslag til gjennomføring av direktiv 2024/790 og forordning 2024/791 legger utvalget til grunn at de forangående endringene i EU-regelverket, med unntak av «ESAP-endringene», må gjenno</w:t>
      </w:r>
      <w:r w:rsidRPr="00175F8B">
        <w:t xml:space="preserve">mføres i norsk rett forut for gjennomføring av forslagene denne utredningen omfatter. Som nevnt er dette en forutsetning for at det skal være konsistens i regelverket. Det vises særlig til at endringene i </w:t>
      </w:r>
      <w:proofErr w:type="spellStart"/>
      <w:r w:rsidRPr="00175F8B">
        <w:t>MiFIR</w:t>
      </w:r>
      <w:proofErr w:type="spellEnd"/>
      <w:r w:rsidRPr="00175F8B">
        <w:t xml:space="preserve"> bygger på tidligere ikke gjennomførte endringer.</w:t>
      </w:r>
    </w:p>
    <w:p w14:paraId="0D38DCAE" w14:textId="77777777" w:rsidR="00080633" w:rsidRPr="00175F8B" w:rsidRDefault="00080633" w:rsidP="00175F8B">
      <w:r w:rsidRPr="00175F8B">
        <w:t xml:space="preserve">Når utvalget omtaler «gjeldende rett» i relasjon til MIFIR i denne utredningen, er det dermed gjeldende EU-rett det er tale om. Det vil si at det er den konsoliderte versjonen av </w:t>
      </w:r>
      <w:proofErr w:type="spellStart"/>
      <w:r w:rsidRPr="00175F8B">
        <w:t>MiFIR</w:t>
      </w:r>
      <w:proofErr w:type="spellEnd"/>
      <w:r w:rsidRPr="00175F8B">
        <w:t xml:space="preserve"> datert 9. januar 2024 det henvises til, altså </w:t>
      </w:r>
      <w:proofErr w:type="spellStart"/>
      <w:r w:rsidRPr="00175F8B">
        <w:t>MiFIR</w:t>
      </w:r>
      <w:proofErr w:type="spellEnd"/>
      <w:r w:rsidRPr="00175F8B">
        <w:t xml:space="preserve"> slik den gjaldt i EU før endringene som følger av forordning 2024/791. Tilsvarende bruker utvalget «forventet EØS-rett» om de endringene i </w:t>
      </w:r>
      <w:proofErr w:type="spellStart"/>
      <w:r w:rsidRPr="00175F8B">
        <w:t>MiFIR</w:t>
      </w:r>
      <w:proofErr w:type="spellEnd"/>
      <w:r w:rsidRPr="00175F8B">
        <w:t xml:space="preserve"> som følger av forordning 2024/791.</w:t>
      </w:r>
    </w:p>
    <w:p w14:paraId="5976A9C5" w14:textId="77777777" w:rsidR="00080633" w:rsidRPr="00175F8B" w:rsidRDefault="00080633" w:rsidP="00175F8B">
      <w:r w:rsidRPr="00175F8B">
        <w:t>Forslaget til gjennomføring av direktiv 2024/790 er utformet ut fra gjeldende verdipapirhandellov pr. 24. juni 2024.</w:t>
      </w:r>
    </w:p>
    <w:p w14:paraId="385BCB00" w14:textId="77777777" w:rsidR="00080633" w:rsidRPr="00175F8B" w:rsidRDefault="00080633" w:rsidP="00175F8B">
      <w:r w:rsidRPr="00175F8B">
        <w:t xml:space="preserve">De vesentligste endringene denne utredningen omfatter, kommer i </w:t>
      </w:r>
      <w:proofErr w:type="spellStart"/>
      <w:r w:rsidRPr="00175F8B">
        <w:t>MiFIR</w:t>
      </w:r>
      <w:proofErr w:type="spellEnd"/>
      <w:r w:rsidRPr="00175F8B">
        <w:t xml:space="preserve">. Endringene i </w:t>
      </w:r>
      <w:proofErr w:type="spellStart"/>
      <w:r w:rsidRPr="00175F8B">
        <w:t>MiFID</w:t>
      </w:r>
      <w:proofErr w:type="spellEnd"/>
      <w:r w:rsidRPr="00175F8B">
        <w:t xml:space="preserve"> II er i stor grad avledet av endringene i </w:t>
      </w:r>
      <w:proofErr w:type="spellStart"/>
      <w:r w:rsidRPr="00175F8B">
        <w:t>MiFIR</w:t>
      </w:r>
      <w:proofErr w:type="spellEnd"/>
      <w:r w:rsidRPr="00175F8B">
        <w:t xml:space="preserve">. Gjennomføring av endringene i </w:t>
      </w:r>
      <w:proofErr w:type="spellStart"/>
      <w:r w:rsidRPr="00175F8B">
        <w:t>MiFID</w:t>
      </w:r>
      <w:proofErr w:type="spellEnd"/>
      <w:r w:rsidRPr="00175F8B">
        <w:t xml:space="preserve"> II krever imidlertid endringer i flere av verdipapirhandellovens bestemmelser. Utvalget har valgt å behandle endringene i </w:t>
      </w:r>
      <w:proofErr w:type="spellStart"/>
      <w:r w:rsidRPr="00175F8B">
        <w:t>MiFID</w:t>
      </w:r>
      <w:proofErr w:type="spellEnd"/>
      <w:r w:rsidRPr="00175F8B">
        <w:t xml:space="preserve"> II samlet i kapittel to, og vil i noen grad behandle tilhørende endringer i </w:t>
      </w:r>
      <w:proofErr w:type="spellStart"/>
      <w:r w:rsidRPr="00175F8B">
        <w:t>MiFIR</w:t>
      </w:r>
      <w:proofErr w:type="spellEnd"/>
      <w:r w:rsidRPr="00175F8B">
        <w:t xml:space="preserve"> samme sted. Øvrige endringer i </w:t>
      </w:r>
      <w:proofErr w:type="spellStart"/>
      <w:r w:rsidRPr="00175F8B">
        <w:t>MiFIR</w:t>
      </w:r>
      <w:proofErr w:type="spellEnd"/>
      <w:r w:rsidRPr="00175F8B">
        <w:t xml:space="preserve"> behandles i kapittel tre flg.</w:t>
      </w:r>
    </w:p>
    <w:p w14:paraId="34879013" w14:textId="77777777" w:rsidR="00080633" w:rsidRPr="00175F8B" w:rsidRDefault="00080633" w:rsidP="00175F8B">
      <w:r w:rsidRPr="00175F8B">
        <w:t xml:space="preserve">Endringene i </w:t>
      </w:r>
      <w:proofErr w:type="spellStart"/>
      <w:r w:rsidRPr="00175F8B">
        <w:t>MiFID</w:t>
      </w:r>
      <w:proofErr w:type="spellEnd"/>
      <w:r w:rsidRPr="00175F8B">
        <w:t xml:space="preserve"> II og </w:t>
      </w:r>
      <w:proofErr w:type="spellStart"/>
      <w:r w:rsidRPr="00175F8B">
        <w:t>MiFIR</w:t>
      </w:r>
      <w:proofErr w:type="spellEnd"/>
      <w:r w:rsidRPr="00175F8B">
        <w:t xml:space="preserve"> krever ikke endringer i forskrift.</w:t>
      </w:r>
    </w:p>
    <w:p w14:paraId="4FAEF0E8" w14:textId="77777777" w:rsidR="00080633" w:rsidRPr="00175F8B" w:rsidRDefault="00080633" w:rsidP="00175F8B">
      <w:pPr>
        <w:pStyle w:val="Overskrift2"/>
      </w:pPr>
      <w:r w:rsidRPr="00175F8B">
        <w:t xml:space="preserve">Tidspunkt for </w:t>
      </w:r>
      <w:proofErr w:type="gramStart"/>
      <w:r w:rsidRPr="00175F8B">
        <w:t>anvendelsen</w:t>
      </w:r>
      <w:proofErr w:type="gramEnd"/>
      <w:r w:rsidRPr="00175F8B">
        <w:t xml:space="preserve"> av reglene i EU</w:t>
      </w:r>
    </w:p>
    <w:p w14:paraId="055CE37B" w14:textId="77777777" w:rsidR="00080633" w:rsidRPr="00175F8B" w:rsidRDefault="00080633" w:rsidP="00175F8B">
      <w:r w:rsidRPr="00175F8B">
        <w:t xml:space="preserve">Endringene i </w:t>
      </w:r>
      <w:proofErr w:type="spellStart"/>
      <w:r w:rsidRPr="00175F8B">
        <w:t>MiFID</w:t>
      </w:r>
      <w:proofErr w:type="spellEnd"/>
      <w:r w:rsidRPr="00175F8B">
        <w:t xml:space="preserve"> II (direktiv 2024/790) trådte i kraft i EU 28. mars 2024. EU-landene plikter å gjennomføre reglene i nasjonal rett innen 29. september 2025.</w:t>
      </w:r>
    </w:p>
    <w:p w14:paraId="578F8813" w14:textId="77777777" w:rsidR="00080633" w:rsidRPr="00175F8B" w:rsidRDefault="00080633" w:rsidP="00175F8B">
      <w:r w:rsidRPr="00175F8B">
        <w:t xml:space="preserve">Endringene i </w:t>
      </w:r>
      <w:proofErr w:type="spellStart"/>
      <w:r w:rsidRPr="00175F8B">
        <w:t>MiFIR</w:t>
      </w:r>
      <w:proofErr w:type="spellEnd"/>
      <w:r w:rsidRPr="00175F8B">
        <w:t xml:space="preserve"> (forordning 2024/791) trådte i kraft i EU 28. mars 2024, og reglene gjelder fra denne datoen. Mange av de nye bestemmelsene i </w:t>
      </w:r>
      <w:proofErr w:type="spellStart"/>
      <w:r w:rsidRPr="00175F8B">
        <w:t>MiFIR</w:t>
      </w:r>
      <w:proofErr w:type="spellEnd"/>
      <w:r w:rsidRPr="00175F8B">
        <w:t xml:space="preserve"> må utfylles av kommisjonsforordninger for å bli fullt operative. EU forbereder nå kommisjonsforordninger som utfyller de nye reglene. Overgangsordningen fastsatt i </w:t>
      </w:r>
      <w:proofErr w:type="spellStart"/>
      <w:r w:rsidRPr="00175F8B">
        <w:t>MiFIR</w:t>
      </w:r>
      <w:proofErr w:type="spellEnd"/>
      <w:r w:rsidRPr="00175F8B">
        <w:t xml:space="preserve"> artikkel 54 nr. 3 angir at de eksisterende kommisjonsforordningene forblir gjeldende inntil de nye trer i kraft. Kommisjonen har i notis av 2. mai 2024</w:t>
      </w:r>
      <w:r w:rsidRPr="00175F8B">
        <w:rPr>
          <w:rStyle w:val="Fotnotereferanse"/>
        </w:rPr>
        <w:footnoteReference w:id="4"/>
      </w:r>
      <w:r w:rsidRPr="00175F8B">
        <w:t xml:space="preserve"> uttalt at deres tolkning av artikkel 54 nr. 3 er at den medfører at de eksisterende kommisjonsforordningene, slik de gjelder før 28. mars 2024, fortsetter å gjelde sammen med bestemmelsene de supplerer, i de tilfellene der de nye </w:t>
      </w:r>
      <w:proofErr w:type="spellStart"/>
      <w:r w:rsidRPr="00175F8B">
        <w:t>MiFIR</w:t>
      </w:r>
      <w:proofErr w:type="spellEnd"/>
      <w:r w:rsidRPr="00175F8B">
        <w:t>-bestemmelsene må suppleres av nye eller endrede kommisjonsforordninger for å bli fullt operative. Av notisen følger det at de opprinnelige bestemmelsene om «</w:t>
      </w:r>
      <w:proofErr w:type="spellStart"/>
      <w:r w:rsidRPr="00175F8B">
        <w:t>volume</w:t>
      </w:r>
      <w:proofErr w:type="spellEnd"/>
      <w:r w:rsidRPr="00175F8B">
        <w:t xml:space="preserve"> </w:t>
      </w:r>
      <w:proofErr w:type="spellStart"/>
      <w:r w:rsidRPr="00175F8B">
        <w:t>cap</w:t>
      </w:r>
      <w:proofErr w:type="spellEnd"/>
      <w:r w:rsidRPr="00175F8B">
        <w:t>» (artikkel 5), utsatt offentliggjøring (artikkel 11 og 11a), offentliggjøring av informasjon på rimelige fo</w:t>
      </w:r>
      <w:r w:rsidRPr="00175F8B">
        <w:t xml:space="preserve">rretningsmessige </w:t>
      </w:r>
      <w:r w:rsidRPr="00175F8B">
        <w:lastRenderedPageBreak/>
        <w:t xml:space="preserve">vilkår (artikkel 13), </w:t>
      </w:r>
      <w:proofErr w:type="spellStart"/>
      <w:r w:rsidRPr="00175F8B">
        <w:t>SIers</w:t>
      </w:r>
      <w:proofErr w:type="spellEnd"/>
      <w:r w:rsidRPr="00175F8B">
        <w:t xml:space="preserve"> forpliktelse til å stille priser (artikkel 14) og transaksjonsrapportering (artikkel 26) skal fortsette å gjelde frem til de nye og endrede kommisjonsforordningene trer i kraft.</w:t>
      </w:r>
    </w:p>
    <w:p w14:paraId="3864290E" w14:textId="77777777" w:rsidR="00080633" w:rsidRPr="00175F8B" w:rsidRDefault="00080633" w:rsidP="00175F8B">
      <w:r w:rsidRPr="00175F8B">
        <w:t>Både ESMA og kommisjonen har utarbeidet forslag til endringer i flere kommisjonsforordninger, samt forslag til nye kommisjonsforordninger. Nedenfor følger en oversikt over de ulike høringene.</w:t>
      </w:r>
    </w:p>
    <w:p w14:paraId="7587C3FE" w14:textId="77777777" w:rsidR="00080633" w:rsidRPr="00175F8B" w:rsidRDefault="00080633" w:rsidP="00175F8B">
      <w:pPr>
        <w:pStyle w:val="Liste"/>
      </w:pPr>
      <w:r w:rsidRPr="00175F8B">
        <w:t>ESMA sendte 21. mai 2024 forslag til ny kommisjonsforordning om rimelige forretningsmessige vilkår på høring. Høringen inneholder også forslag til endringer i kommisjonsforordning 2017/583 (RTS 2) om gjennomsiktighet for obligasjoner, strukturerte produkter og utslippstillatelser og endringer i kommisjonsforordning 2017/585 (RTS 23) om referansedata. ESMA skal sende endelig forslag til kommisjonen innen utgangen av Q4 2024.</w:t>
      </w:r>
    </w:p>
    <w:p w14:paraId="7476D32B" w14:textId="77777777" w:rsidR="00080633" w:rsidRPr="00175F8B" w:rsidRDefault="00080633" w:rsidP="00175F8B">
      <w:pPr>
        <w:pStyle w:val="Liste"/>
      </w:pPr>
      <w:r w:rsidRPr="00175F8B">
        <w:t>ESMA sendte 23</w:t>
      </w:r>
      <w:r w:rsidRPr="00175F8B">
        <w:t>. mai 2024 forslag til endringer i tekniske standarder for varederivater på høring. Høringen gjelder endringer i kommisjonsforordning 2022/1299 om kontroll med posisjonshåndtering og endringer i kommisjonsforordning 2017/1093 (ITS 4) om posisjonsrapportering.</w:t>
      </w:r>
    </w:p>
    <w:p w14:paraId="0D90080B" w14:textId="77777777" w:rsidR="00080633" w:rsidRPr="00175F8B" w:rsidRDefault="00080633" w:rsidP="00175F8B">
      <w:pPr>
        <w:pStyle w:val="Liste"/>
      </w:pPr>
      <w:r w:rsidRPr="00175F8B">
        <w:t xml:space="preserve">ESMA sendte 23. mai 2024 forslag til seks nye kommisjonsforordninger (fire </w:t>
      </w:r>
      <w:proofErr w:type="spellStart"/>
      <w:r w:rsidRPr="00175F8B">
        <w:t>RTSer</w:t>
      </w:r>
      <w:proofErr w:type="spellEnd"/>
      <w:r w:rsidRPr="00175F8B">
        <w:t xml:space="preserve"> og to </w:t>
      </w:r>
      <w:proofErr w:type="spellStart"/>
      <w:r w:rsidRPr="00175F8B">
        <w:t>ITSer</w:t>
      </w:r>
      <w:proofErr w:type="spellEnd"/>
      <w:r w:rsidRPr="00175F8B">
        <w:t>) og endringer i kommisjonsforordning 2017/571 (RTS 13), på høring. Kommisjonsforordningene er knyttet til konsoliderte offentliggjøringssystemer (</w:t>
      </w:r>
      <w:proofErr w:type="spellStart"/>
      <w:r w:rsidRPr="00175F8B">
        <w:t>CTPer</w:t>
      </w:r>
      <w:proofErr w:type="spellEnd"/>
      <w:r w:rsidRPr="00175F8B">
        <w:t>), datarapporteringsforetak og synkronisering av forretningsklokker. ESMA skal sende endelige forslag til kommisjonen innen 29. desember 2024.</w:t>
      </w:r>
    </w:p>
    <w:p w14:paraId="6991455E" w14:textId="77777777" w:rsidR="00080633" w:rsidRPr="00175F8B" w:rsidRDefault="00080633" w:rsidP="00175F8B">
      <w:pPr>
        <w:pStyle w:val="Liste"/>
      </w:pPr>
      <w:r w:rsidRPr="00175F8B">
        <w:t xml:space="preserve">Kommisjonen sendte 12. juni 2024 forslag til ny kommisjonsforordning om identifiserende referansedata for OTC-derivater som skal brukes i forbindelse med transparenskravene i </w:t>
      </w:r>
      <w:proofErr w:type="spellStart"/>
      <w:r w:rsidRPr="00175F8B">
        <w:t>MiFIR</w:t>
      </w:r>
      <w:proofErr w:type="spellEnd"/>
      <w:r w:rsidRPr="00175F8B">
        <w:t xml:space="preserve"> på høring. Planlagt vedtakelse er i tredje kvartal 2024.</w:t>
      </w:r>
    </w:p>
    <w:p w14:paraId="051F09E8" w14:textId="77777777" w:rsidR="00080633" w:rsidRPr="00175F8B" w:rsidRDefault="00080633" w:rsidP="00175F8B">
      <w:r w:rsidRPr="00175F8B">
        <w:t xml:space="preserve">I tillegg til de tre utsendte ESMA-høringene er det planlagt ytterligere to ESMA-høringer i Q3; om hhv. «Order </w:t>
      </w:r>
      <w:proofErr w:type="spellStart"/>
      <w:r w:rsidRPr="00175F8B">
        <w:t>execution</w:t>
      </w:r>
      <w:proofErr w:type="spellEnd"/>
      <w:r w:rsidRPr="00175F8B">
        <w:t xml:space="preserve"> policy» (</w:t>
      </w:r>
      <w:proofErr w:type="spellStart"/>
      <w:r w:rsidRPr="00175F8B">
        <w:t>MiFID</w:t>
      </w:r>
      <w:proofErr w:type="spellEnd"/>
      <w:r w:rsidRPr="00175F8B">
        <w:t xml:space="preserve"> II) og om «Equity </w:t>
      </w:r>
      <w:proofErr w:type="spellStart"/>
      <w:r w:rsidRPr="00175F8B">
        <w:t>transparency</w:t>
      </w:r>
      <w:proofErr w:type="spellEnd"/>
      <w:r w:rsidRPr="00175F8B">
        <w:t xml:space="preserve">, Circuit </w:t>
      </w:r>
      <w:proofErr w:type="spellStart"/>
      <w:r w:rsidRPr="00175F8B">
        <w:t>breakers</w:t>
      </w:r>
      <w:proofErr w:type="spellEnd"/>
      <w:r w:rsidRPr="00175F8B">
        <w:t>, DVC» (</w:t>
      </w:r>
      <w:proofErr w:type="spellStart"/>
      <w:r w:rsidRPr="00175F8B">
        <w:t>MiFIR</w:t>
      </w:r>
      <w:proofErr w:type="spellEnd"/>
      <w:r w:rsidRPr="00175F8B">
        <w:t>), og en høring i Q4; om «Non-</w:t>
      </w:r>
      <w:proofErr w:type="spellStart"/>
      <w:r w:rsidRPr="00175F8B">
        <w:t>equity</w:t>
      </w:r>
      <w:proofErr w:type="spellEnd"/>
      <w:r w:rsidRPr="00175F8B">
        <w:t xml:space="preserve"> </w:t>
      </w:r>
      <w:proofErr w:type="spellStart"/>
      <w:r w:rsidRPr="00175F8B">
        <w:t>transparency</w:t>
      </w:r>
      <w:proofErr w:type="spellEnd"/>
      <w:r w:rsidRPr="00175F8B">
        <w:t xml:space="preserve"> (derivatives), </w:t>
      </w:r>
      <w:proofErr w:type="spellStart"/>
      <w:r w:rsidRPr="00175F8B">
        <w:t>transaction</w:t>
      </w:r>
      <w:proofErr w:type="spellEnd"/>
      <w:r w:rsidRPr="00175F8B">
        <w:t xml:space="preserve"> </w:t>
      </w:r>
      <w:proofErr w:type="spellStart"/>
      <w:r w:rsidRPr="00175F8B">
        <w:t>reporting</w:t>
      </w:r>
      <w:proofErr w:type="spellEnd"/>
      <w:r w:rsidRPr="00175F8B">
        <w:t>, order book» (</w:t>
      </w:r>
      <w:proofErr w:type="spellStart"/>
      <w:r w:rsidRPr="00175F8B">
        <w:t>MiFIR</w:t>
      </w:r>
      <w:proofErr w:type="spellEnd"/>
      <w:r w:rsidRPr="00175F8B">
        <w:t>).</w:t>
      </w:r>
    </w:p>
    <w:p w14:paraId="12CBCC32" w14:textId="77777777" w:rsidR="00080633" w:rsidRPr="00175F8B" w:rsidRDefault="00080633" w:rsidP="00175F8B"/>
    <w:p w14:paraId="2F655582" w14:textId="77777777" w:rsidR="00080633" w:rsidRPr="00175F8B" w:rsidRDefault="00080633" w:rsidP="00175F8B">
      <w:pPr>
        <w:pStyle w:val="Overskrift1"/>
      </w:pPr>
      <w:r w:rsidRPr="00175F8B">
        <w:t xml:space="preserve">Forslag til gjennomføring av endringene i </w:t>
      </w:r>
      <w:proofErr w:type="spellStart"/>
      <w:r w:rsidRPr="00175F8B">
        <w:t>MiFID</w:t>
      </w:r>
      <w:proofErr w:type="spellEnd"/>
      <w:r w:rsidRPr="00175F8B">
        <w:t xml:space="preserve"> II</w:t>
      </w:r>
    </w:p>
    <w:p w14:paraId="5D8E30AB" w14:textId="77777777" w:rsidR="00080633" w:rsidRPr="00175F8B" w:rsidRDefault="00080633" w:rsidP="00175F8B">
      <w:pPr>
        <w:pStyle w:val="Overskrift2"/>
      </w:pPr>
      <w:r w:rsidRPr="00175F8B">
        <w:t>Endringer i reglene om krav om tillatelse for egenhandel</w:t>
      </w:r>
    </w:p>
    <w:p w14:paraId="32EE0529" w14:textId="77777777" w:rsidR="00080633" w:rsidRPr="00175F8B" w:rsidRDefault="00080633" w:rsidP="00175F8B">
      <w:pPr>
        <w:pStyle w:val="Overskrift3"/>
      </w:pPr>
      <w:r w:rsidRPr="00175F8B">
        <w:t>Gjeldende rett</w:t>
      </w:r>
    </w:p>
    <w:p w14:paraId="7048C517" w14:textId="77777777" w:rsidR="00080633" w:rsidRPr="00175F8B" w:rsidRDefault="00080633" w:rsidP="00175F8B">
      <w:r w:rsidRPr="00175F8B">
        <w:t>Investeringstjenester som ytes overfor tredjepersoner og investeringsvirksomhet som drives på forretningsmessig basis, kan bare utøves av verdipapirforetak som har tillatelse til dette fra Finanstilsynet, og av kredittinstitusjoner som har tillatelse til å yte slike tjenester etter finansforetaksloven, se verdipapirhandelloven § 9-1 første ledd. Verdipapirhandelloven § 2-1 lister opp aktivitetene som faller inn under definisjonen av </w:t>
      </w:r>
      <w:r w:rsidRPr="00175F8B">
        <w:rPr>
          <w:rStyle w:val="kursiv"/>
        </w:rPr>
        <w:t>investeringstjenester og investeringsvirksomhet</w:t>
      </w:r>
      <w:r w:rsidRPr="00175F8B">
        <w:t>. Oppregningen svarer til definisjonen av «</w:t>
      </w:r>
      <w:proofErr w:type="spellStart"/>
      <w:r w:rsidRPr="00175F8B">
        <w:t>investment</w:t>
      </w:r>
      <w:proofErr w:type="spellEnd"/>
      <w:r w:rsidRPr="00175F8B">
        <w:t xml:space="preserve"> services and </w:t>
      </w:r>
      <w:proofErr w:type="spellStart"/>
      <w:r w:rsidRPr="00175F8B">
        <w:t>activities</w:t>
      </w:r>
      <w:proofErr w:type="spellEnd"/>
      <w:r w:rsidRPr="00175F8B">
        <w:t xml:space="preserve">» i </w:t>
      </w:r>
      <w:proofErr w:type="spellStart"/>
      <w:r w:rsidRPr="00175F8B">
        <w:t>MiFID</w:t>
      </w:r>
      <w:proofErr w:type="spellEnd"/>
      <w:r w:rsidRPr="00175F8B">
        <w:t xml:space="preserve"> II vedlegg I, del A</w:t>
      </w:r>
      <w:r w:rsidRPr="00175F8B">
        <w:t>.</w:t>
      </w:r>
    </w:p>
    <w:p w14:paraId="32BE0356" w14:textId="77777777" w:rsidR="00080633" w:rsidRPr="00175F8B" w:rsidRDefault="00080633" w:rsidP="00175F8B">
      <w:r w:rsidRPr="00175F8B">
        <w:t xml:space="preserve">Verdipapirhandelloven § 9-3 gir en rekke </w:t>
      </w:r>
      <w:r w:rsidRPr="00175F8B">
        <w:rPr>
          <w:rStyle w:val="kursiv"/>
        </w:rPr>
        <w:t>unntak</w:t>
      </w:r>
      <w:r w:rsidRPr="00175F8B">
        <w:t xml:space="preserve"> for nærmere bestemte foretak og aktiviteter som ellers ville vært omfattet av kravet om tillatelse. Etter bestemmelsens annet ledd nr. 6 gjøres det unntak for den som ikke yter andre investeringstjenester eller driver annen investeringsvirksomhet enn handel for egen regning i finansielle instrumenter som ikke er varederivater, utslippskvoter eller derivater på slike. Unntaket gjelder imidlertid </w:t>
      </w:r>
      <w:r w:rsidRPr="00175F8B">
        <w:rPr>
          <w:rStyle w:val="kursiv"/>
        </w:rPr>
        <w:t>ikke</w:t>
      </w:r>
      <w:r w:rsidRPr="00175F8B">
        <w:t xml:space="preserve"> hvis vedkommende:</w:t>
      </w:r>
    </w:p>
    <w:p w14:paraId="3E92B702" w14:textId="77777777" w:rsidR="00080633" w:rsidRPr="00175F8B" w:rsidRDefault="00080633" w:rsidP="00175F8B">
      <w:pPr>
        <w:pStyle w:val="alfaliste"/>
      </w:pPr>
      <w:r w:rsidRPr="00175F8B">
        <w:t>er prisstiller,</w:t>
      </w:r>
    </w:p>
    <w:p w14:paraId="1D83AD7B" w14:textId="77777777" w:rsidR="00080633" w:rsidRPr="00175F8B" w:rsidRDefault="00080633" w:rsidP="00175F8B">
      <w:pPr>
        <w:pStyle w:val="alfaliste"/>
      </w:pPr>
      <w:r w:rsidRPr="00175F8B">
        <w:t>er medlem eller deltaker på et regulert marked eller en multilateral handelsfasilitet, eller har direkte elektronisk tilgang til en handelsplass, jf. § 9-22, med mindre det dreier seg om et ikke-finansielt foretak som utfører transaksjoner på en handelsplass som på en objektivt målbar måte reduserer risiko direkte relatert til forretningsvirksomheten eller likviditetsfinansieringen til foretaket eller foretak i samme konsern,</w:t>
      </w:r>
    </w:p>
    <w:p w14:paraId="5FA314C8" w14:textId="77777777" w:rsidR="00080633" w:rsidRPr="00175F8B" w:rsidRDefault="00080633" w:rsidP="00175F8B">
      <w:pPr>
        <w:pStyle w:val="alfaliste"/>
      </w:pPr>
      <w:r w:rsidRPr="00175F8B">
        <w:t>driver med høyfrekvent algoritmehandel, jf. § 9-22, eller</w:t>
      </w:r>
    </w:p>
    <w:p w14:paraId="0E613957" w14:textId="77777777" w:rsidR="00080633" w:rsidRPr="00175F8B" w:rsidRDefault="00080633" w:rsidP="00175F8B">
      <w:pPr>
        <w:pStyle w:val="alfaliste"/>
      </w:pPr>
      <w:r w:rsidRPr="00175F8B">
        <w:t>handler for egen regning ved utførelse av kundeordre</w:t>
      </w:r>
    </w:p>
    <w:p w14:paraId="42E17BAC" w14:textId="77777777" w:rsidR="00080633" w:rsidRPr="00175F8B" w:rsidRDefault="00080633" w:rsidP="00175F8B">
      <w:r w:rsidRPr="00175F8B">
        <w:t xml:space="preserve">Bestemmelsen svarer til </w:t>
      </w:r>
      <w:proofErr w:type="spellStart"/>
      <w:r w:rsidRPr="00175F8B">
        <w:t>MiFID</w:t>
      </w:r>
      <w:proofErr w:type="spellEnd"/>
      <w:r w:rsidRPr="00175F8B">
        <w:t xml:space="preserve"> II artikkel 2 nr. 1 bokstav d.</w:t>
      </w:r>
    </w:p>
    <w:p w14:paraId="5F5250BF" w14:textId="77777777" w:rsidR="00080633" w:rsidRPr="00175F8B" w:rsidRDefault="00080633" w:rsidP="00175F8B">
      <w:r w:rsidRPr="00175F8B">
        <w:t xml:space="preserve">Med </w:t>
      </w:r>
      <w:r w:rsidRPr="00175F8B">
        <w:rPr>
          <w:rStyle w:val="kursiv"/>
        </w:rPr>
        <w:t>direkte elektronisk tilgang</w:t>
      </w:r>
      <w:r w:rsidRPr="00175F8B">
        <w:t xml:space="preserve"> menes en ordning der medlem, deltaker eller kunde på en handelsplass gir en person tillatelse til å bruke sin handelsidentitet, slik at personen kan sende elektroniske ordrer knyttet til et finansielt instrument direkte til handelsplassen. Direkte elektronisk tilgang omfatter ordninger som innebærer at en person bruker medlemmets, deltakerens eller kundens infrastruktur, eller annet tilkoblingssystem stilt til disposisjon fra medlemmet, deltakeren eller kunden, for å overføre ordrene (direkte markedsadgang</w:t>
      </w:r>
      <w:r w:rsidRPr="00175F8B">
        <w:t>), og andre ordninger der en slik infrastruktur ikke brukes (sponset tilgang), se verdipapirhandelloven § 9-22 tredje ledd.</w:t>
      </w:r>
    </w:p>
    <w:p w14:paraId="73F0925D" w14:textId="77777777" w:rsidR="00080633" w:rsidRPr="00175F8B" w:rsidRDefault="00080633" w:rsidP="00175F8B">
      <w:pPr>
        <w:pStyle w:val="Overskrift3"/>
      </w:pPr>
      <w:r w:rsidRPr="00175F8B">
        <w:t>Forventet EØS-rett</w:t>
      </w:r>
    </w:p>
    <w:p w14:paraId="6F2BF7F6" w14:textId="77777777" w:rsidR="00080633" w:rsidRPr="00175F8B" w:rsidRDefault="00080633" w:rsidP="00175F8B">
      <w:r w:rsidRPr="00175F8B">
        <w:t xml:space="preserve">Unntaket fra egenhandelsreglene i </w:t>
      </w:r>
      <w:proofErr w:type="spellStart"/>
      <w:r w:rsidRPr="00175F8B">
        <w:t>MiFID</w:t>
      </w:r>
      <w:proofErr w:type="spellEnd"/>
      <w:r w:rsidRPr="00175F8B">
        <w:t xml:space="preserve"> II artikkel 2 nr. 1 bokstav d endres, slik at den som har direkte elektronisk tilgang til en handelsplass ikke lenger trenger å søke tillatelse for å yte investeringstjenesten omsetning av finansielle instrumenter for egen regning, dersom øvrige vilkår i unntaket er oppfylt.</w:t>
      </w:r>
    </w:p>
    <w:p w14:paraId="04D49414" w14:textId="77777777" w:rsidR="00080633" w:rsidRPr="00175F8B" w:rsidRDefault="00080633" w:rsidP="00175F8B">
      <w:r w:rsidRPr="00175F8B">
        <w:t>I fortalen til direktiv 2024/790 avsnitt 5 pekes det på at den som tilbyr direkte elektronisk tilgang vil ha tillatelse som verdipapirforetak eller kredittinstitusjon, og vil være ansvarlig for at kunden som er gitt tilgang overho</w:t>
      </w:r>
      <w:r w:rsidRPr="00175F8B">
        <w:t xml:space="preserve">lder reglene i </w:t>
      </w:r>
      <w:proofErr w:type="spellStart"/>
      <w:r w:rsidRPr="00175F8B">
        <w:t>MiFID</w:t>
      </w:r>
      <w:proofErr w:type="spellEnd"/>
      <w:r w:rsidRPr="00175F8B">
        <w:t xml:space="preserve"> II om algoritmehandel i artikkel 17 nr. 5. Etter </w:t>
      </w:r>
      <w:proofErr w:type="spellStart"/>
      <w:r w:rsidRPr="00175F8B">
        <w:t>MiFID</w:t>
      </w:r>
      <w:proofErr w:type="spellEnd"/>
      <w:r w:rsidRPr="00175F8B">
        <w:t xml:space="preserve"> II artikkel 48 nr. 7 skal det regulerte markedet dessuten ha effektive systemer og prosedyrer for å sikre at bare medlemmer som har tillatelse som verdipapirforetak eller kredittinstitusjon, tilbyr slik tilgang. De skal videre sikre at medlemmene har fastsatt hensiktsmessige kriterier om egnethet for brukere av tilgangen, og at medlemmene har ansvaret for ordrer og handler som utføres ved </w:t>
      </w:r>
      <w:proofErr w:type="gramStart"/>
      <w:r w:rsidRPr="00175F8B">
        <w:t>anvendelse</w:t>
      </w:r>
      <w:proofErr w:type="gramEnd"/>
      <w:r w:rsidRPr="00175F8B">
        <w:t xml:space="preserve"> av tjenesten. Verdipapirforetaken</w:t>
      </w:r>
      <w:r w:rsidRPr="00175F8B">
        <w:t xml:space="preserve">es funksjon som «dørvakt» innebærer i henhold til fortalen at det ikke er behov for at </w:t>
      </w:r>
      <w:r w:rsidRPr="00175F8B">
        <w:rPr>
          <w:rStyle w:val="kursiv"/>
        </w:rPr>
        <w:t>kunden</w:t>
      </w:r>
      <w:r w:rsidRPr="00175F8B">
        <w:t xml:space="preserve"> i tillegg skal måtte ha tillatelse til å drive egenhandel. Å fjerne kravet vil dessuten bidra til like vilkår for kunder med direkte elektronisk tilgang som er etablert i EU, og kunder med direkte elektronisk tilgang som er etablert i tredjeland og som ikke må ha konsesjon etter </w:t>
      </w:r>
      <w:proofErr w:type="spellStart"/>
      <w:r w:rsidRPr="00175F8B">
        <w:t>MiFID</w:t>
      </w:r>
      <w:proofErr w:type="spellEnd"/>
      <w:r w:rsidRPr="00175F8B">
        <w:t xml:space="preserve"> II.</w:t>
      </w:r>
    </w:p>
    <w:p w14:paraId="6A41728B" w14:textId="77777777" w:rsidR="00080633" w:rsidRPr="00175F8B" w:rsidRDefault="00080633" w:rsidP="00175F8B">
      <w:r w:rsidRPr="00175F8B">
        <w:t xml:space="preserve">Bestemmelsen gjennomgår </w:t>
      </w:r>
      <w:proofErr w:type="gramStart"/>
      <w:r w:rsidRPr="00175F8B">
        <w:t>for øvrig</w:t>
      </w:r>
      <w:proofErr w:type="gramEnd"/>
      <w:r w:rsidRPr="00175F8B">
        <w:t xml:space="preserve"> mindre språklige endringer.</w:t>
      </w:r>
    </w:p>
    <w:p w14:paraId="6BD42FEF" w14:textId="77777777" w:rsidR="00080633" w:rsidRPr="00175F8B" w:rsidRDefault="00080633" w:rsidP="00175F8B">
      <w:pPr>
        <w:pStyle w:val="Overskrift3"/>
      </w:pPr>
      <w:r w:rsidRPr="00175F8B">
        <w:lastRenderedPageBreak/>
        <w:t>Utvalgets forslag</w:t>
      </w:r>
    </w:p>
    <w:p w14:paraId="463FE42D" w14:textId="77777777" w:rsidR="00080633" w:rsidRPr="00175F8B" w:rsidRDefault="00080633" w:rsidP="00175F8B">
      <w:r w:rsidRPr="00175F8B">
        <w:t>Utvalget foreslår å</w:t>
      </w:r>
      <w:r w:rsidRPr="00175F8B">
        <w:t xml:space="preserve"> endre unntaksbestemmelsen i verdipapirhandelloven § 9-3 annet ledd nr. 6 bokstav b, slik at den som har direkte elektronisk tilgang etter § 9-22 ikke lenger trenger tillatelse for å utføre egenhandel, så lenge de øvrige vilkårene for å falle inn under unntaket er til stede. Utvalget viser til uttalelsene i fortalen til direktiv 2024/790 avsnitt 5 og bemerker </w:t>
      </w:r>
      <w:proofErr w:type="gramStart"/>
      <w:r w:rsidRPr="00175F8B">
        <w:t>for øvrig</w:t>
      </w:r>
      <w:proofErr w:type="gramEnd"/>
      <w:r w:rsidRPr="00175F8B">
        <w:t xml:space="preserve"> at ansvaret for å følge opp at kunden overholder reglene i §§ 9-23 til 9-24 påhviler foretaket som har gitt tilgang.</w:t>
      </w:r>
    </w:p>
    <w:p w14:paraId="1C217209" w14:textId="77777777" w:rsidR="00080633" w:rsidRPr="00175F8B" w:rsidRDefault="00080633" w:rsidP="00175F8B">
      <w:pPr>
        <w:pStyle w:val="Overskrift2"/>
      </w:pPr>
      <w:r w:rsidRPr="00175F8B">
        <w:t xml:space="preserve">Endringer i reglene for handelsplasser, multilaterale systemer og systematiske </w:t>
      </w:r>
      <w:proofErr w:type="spellStart"/>
      <w:r w:rsidRPr="00175F8B">
        <w:t>internaliserere</w:t>
      </w:r>
      <w:proofErr w:type="spellEnd"/>
    </w:p>
    <w:p w14:paraId="4A207506" w14:textId="77777777" w:rsidR="00080633" w:rsidRPr="00175F8B" w:rsidRDefault="00080633" w:rsidP="00175F8B">
      <w:pPr>
        <w:pStyle w:val="Overskrift3"/>
      </w:pPr>
      <w:r w:rsidRPr="00175F8B">
        <w:t>Innledning – kort om ulike handelsplasser</w:t>
      </w:r>
    </w:p>
    <w:p w14:paraId="5A363208" w14:textId="77777777" w:rsidR="00080633" w:rsidRPr="00175F8B" w:rsidRDefault="00080633" w:rsidP="00175F8B">
      <w:proofErr w:type="spellStart"/>
      <w:r w:rsidRPr="00175F8B">
        <w:t>MiFID</w:t>
      </w:r>
      <w:proofErr w:type="spellEnd"/>
      <w:r w:rsidRPr="00175F8B">
        <w:t xml:space="preserve"> II og </w:t>
      </w:r>
      <w:proofErr w:type="spellStart"/>
      <w:r w:rsidRPr="00175F8B">
        <w:t>MiFIR</w:t>
      </w:r>
      <w:proofErr w:type="spellEnd"/>
      <w:r w:rsidRPr="00175F8B">
        <w:t xml:space="preserve"> er utformet slik at alle typer organiserte handelsplasser skal være gjenstand for regulering. Hensikten er å sikre at all handel i finansielle instrumenter, og da særlig handel i aksjer, gjøres på handelsplasser som er åpne og transparente og som er underlagt lignende regulering. Med transparente handelsplasser menes i denne sammenheng at både informasjon om innlagte ordre og informasjon om handler som er gjennomført, offentliggjøres. Slik informasjon er sentral for et velfungerende og effektiv</w:t>
      </w:r>
      <w:r w:rsidRPr="00175F8B">
        <w:t>t verdipapirmarked med størst mulig informasjonslikhet for investorene.</w:t>
      </w:r>
    </w:p>
    <w:p w14:paraId="6C2A485A" w14:textId="77777777" w:rsidR="00080633" w:rsidRPr="00175F8B" w:rsidRDefault="00080633" w:rsidP="00175F8B">
      <w:proofErr w:type="spellStart"/>
      <w:r w:rsidRPr="00175F8B">
        <w:t>MiFID</w:t>
      </w:r>
      <w:proofErr w:type="spellEnd"/>
      <w:r w:rsidRPr="00175F8B">
        <w:t xml:space="preserve"> II artikkel 1 fastsetter virkeområdet for reglene om organiserte handelsplasser og skal bidra til at all organisert handel med finansielle instrumenter er regulert. I artikkel 1 nr. 7 fastsettes det at alle multilaterale systemer for handel i finansielle instrumenter skal ha tillatelse og følge reglene for enten regulert marked, multilateral handelsfasilitet (MHF) eller organisert handelsfasilitet (OHF). Systematisk internaliserer (SI), det vil si verdipapirforetak som på en organisert, regelmessig og syst</w:t>
      </w:r>
      <w:r w:rsidRPr="00175F8B">
        <w:t xml:space="preserve">ematisk måte, og i betydelig omfang, handler for egen regning ved utførelse av kundeordre, må følge egne transparensbestemmelser i </w:t>
      </w:r>
      <w:proofErr w:type="spellStart"/>
      <w:r w:rsidRPr="00175F8B">
        <w:t>MiFIR</w:t>
      </w:r>
      <w:proofErr w:type="spellEnd"/>
      <w:r w:rsidRPr="00175F8B">
        <w:t>.</w:t>
      </w:r>
    </w:p>
    <w:p w14:paraId="2D2690AB" w14:textId="77777777" w:rsidR="00080633" w:rsidRPr="00175F8B" w:rsidRDefault="00080633" w:rsidP="00175F8B">
      <w:proofErr w:type="spellStart"/>
      <w:r w:rsidRPr="00175F8B">
        <w:t>MiFID</w:t>
      </w:r>
      <w:proofErr w:type="spellEnd"/>
      <w:r w:rsidRPr="00175F8B">
        <w:t xml:space="preserve"> II og </w:t>
      </w:r>
      <w:proofErr w:type="spellStart"/>
      <w:r w:rsidRPr="00175F8B">
        <w:t>MiFIR</w:t>
      </w:r>
      <w:proofErr w:type="spellEnd"/>
      <w:r w:rsidRPr="00175F8B">
        <w:t xml:space="preserve"> deler </w:t>
      </w:r>
      <w:proofErr w:type="gramStart"/>
      <w:r w:rsidRPr="00175F8B">
        <w:t>således</w:t>
      </w:r>
      <w:proofErr w:type="gramEnd"/>
      <w:r w:rsidRPr="00175F8B">
        <w:t xml:space="preserve"> de </w:t>
      </w:r>
      <w:r w:rsidRPr="00175F8B">
        <w:t>organiserte handelsplassene inn i handelsplasser (trading</w:t>
      </w:r>
      <w:r w:rsidRPr="00175F8B">
        <w:t xml:space="preserve"> </w:t>
      </w:r>
      <w:proofErr w:type="spellStart"/>
      <w:r w:rsidRPr="00175F8B">
        <w:t>venues</w:t>
      </w:r>
      <w:proofErr w:type="spellEnd"/>
      <w:r w:rsidRPr="00175F8B">
        <w:t xml:space="preserve">) og SI. Som handelsplasser anses regulerte markeder, MHF og OHF. Dette er multilaterale systemer som i stor grad er underlagt det samme regelverket. </w:t>
      </w:r>
      <w:proofErr w:type="spellStart"/>
      <w:r w:rsidRPr="00175F8B">
        <w:t>SIer</w:t>
      </w:r>
      <w:proofErr w:type="spellEnd"/>
      <w:r w:rsidRPr="00175F8B">
        <w:t xml:space="preserve"> legger til rette for bilateral handel, og handler for egen regning ved utførelse av kundeordre uten at dette gjøres over handelsplass. Fordi </w:t>
      </w:r>
      <w:proofErr w:type="spellStart"/>
      <w:r w:rsidRPr="00175F8B">
        <w:t>SIer</w:t>
      </w:r>
      <w:proofErr w:type="spellEnd"/>
      <w:r w:rsidRPr="00175F8B">
        <w:t xml:space="preserve"> kan omsette store volumer, er de underlagt deler av den samme reguleringen som handelsplassene etter </w:t>
      </w:r>
      <w:proofErr w:type="spellStart"/>
      <w:r w:rsidRPr="00175F8B">
        <w:t>MiFIR</w:t>
      </w:r>
      <w:proofErr w:type="spellEnd"/>
      <w:r w:rsidRPr="00175F8B">
        <w:t xml:space="preserve">, særlig gjelder det kravene til transparens. Reguleringen er imidlertid tilpasset </w:t>
      </w:r>
      <w:proofErr w:type="spellStart"/>
      <w:r w:rsidRPr="00175F8B">
        <w:t>SIenes</w:t>
      </w:r>
      <w:proofErr w:type="spellEnd"/>
      <w:r w:rsidRPr="00175F8B">
        <w:t xml:space="preserve"> særegenh</w:t>
      </w:r>
      <w:r w:rsidRPr="00175F8B">
        <w:t>eter.</w:t>
      </w:r>
    </w:p>
    <w:p w14:paraId="3B88C038" w14:textId="77777777" w:rsidR="00080633" w:rsidRPr="00175F8B" w:rsidRDefault="00080633" w:rsidP="00175F8B">
      <w:r w:rsidRPr="00175F8B">
        <w:t xml:space="preserve">Nedenfor gjennomgår utvalget regler som gjelder for handelsplasser og </w:t>
      </w:r>
      <w:proofErr w:type="spellStart"/>
      <w:r w:rsidRPr="00175F8B">
        <w:t>SIer</w:t>
      </w:r>
      <w:proofErr w:type="spellEnd"/>
      <w:r w:rsidRPr="00175F8B">
        <w:t xml:space="preserve"> og som endres i </w:t>
      </w:r>
      <w:proofErr w:type="spellStart"/>
      <w:r w:rsidRPr="00175F8B">
        <w:t>MiFID</w:t>
      </w:r>
      <w:proofErr w:type="spellEnd"/>
      <w:r w:rsidRPr="00175F8B">
        <w:t xml:space="preserve"> II.</w:t>
      </w:r>
    </w:p>
    <w:p w14:paraId="084304DB" w14:textId="77777777" w:rsidR="00080633" w:rsidRPr="00175F8B" w:rsidRDefault="00080633" w:rsidP="00175F8B">
      <w:pPr>
        <w:pStyle w:val="Overskrift3"/>
      </w:pPr>
      <w:r w:rsidRPr="00175F8B">
        <w:t>Endringer i definisjoner knyttet til handel i finansielle instrumenter mv.</w:t>
      </w:r>
    </w:p>
    <w:p w14:paraId="0E1DF73D" w14:textId="77777777" w:rsidR="00080633" w:rsidRPr="00175F8B" w:rsidRDefault="00080633" w:rsidP="00175F8B">
      <w:pPr>
        <w:pStyle w:val="Overskrift4"/>
      </w:pPr>
      <w:r w:rsidRPr="00175F8B">
        <w:t>Gjeldende rett</w:t>
      </w:r>
    </w:p>
    <w:p w14:paraId="2EA2A30C" w14:textId="77777777" w:rsidR="00080633" w:rsidRPr="00175F8B" w:rsidRDefault="00080633" w:rsidP="00175F8B">
      <w:r w:rsidRPr="00175F8B">
        <w:t xml:space="preserve">Et multilateralt system er definert som et system der flere tredjeparters kjøps- og salgsinteresser i finansielle instrumenter kan samvirke i systemet, se verdipapirhandelloven § 2-7 nr. 9. Definisjonen svarer til </w:t>
      </w:r>
      <w:proofErr w:type="spellStart"/>
      <w:r w:rsidRPr="00175F8B">
        <w:t>MiFID</w:t>
      </w:r>
      <w:proofErr w:type="spellEnd"/>
      <w:r w:rsidRPr="00175F8B">
        <w:t xml:space="preserve"> II artikkel 4 nr. 19. Et slikt system kan bare drives av en handelsplass. Verdipapirhandelloven § 2-7 nr. 8 definerer handelsplass som «et regulert marked, en multilateral handelsfasilitet eller en organisert handelsfasilitet». Definisjonen svarer til </w:t>
      </w:r>
      <w:proofErr w:type="spellStart"/>
      <w:r w:rsidRPr="00175F8B">
        <w:t>MiFID</w:t>
      </w:r>
      <w:proofErr w:type="spellEnd"/>
      <w:r w:rsidRPr="00175F8B">
        <w:t xml:space="preserve"> II artikkel 4 nr. 24.</w:t>
      </w:r>
    </w:p>
    <w:p w14:paraId="3055CC91" w14:textId="77777777" w:rsidR="00080633" w:rsidRPr="00175F8B" w:rsidRDefault="00080633" w:rsidP="00175F8B">
      <w:pPr>
        <w:pStyle w:val="Overskrift4"/>
      </w:pPr>
      <w:r w:rsidRPr="00175F8B">
        <w:t>Forventet EØS-rett</w:t>
      </w:r>
    </w:p>
    <w:p w14:paraId="66959BE8" w14:textId="77777777" w:rsidR="00080633" w:rsidRPr="00175F8B" w:rsidRDefault="00080633" w:rsidP="00175F8B">
      <w:proofErr w:type="spellStart"/>
      <w:r w:rsidRPr="00175F8B">
        <w:t>MiFID</w:t>
      </w:r>
      <w:proofErr w:type="spellEnd"/>
      <w:r w:rsidRPr="00175F8B">
        <w:t xml:space="preserve"> II artikkel 1 nr. 7 overføres uten endringer til </w:t>
      </w:r>
      <w:proofErr w:type="spellStart"/>
      <w:r w:rsidRPr="00175F8B">
        <w:t>MiFIR</w:t>
      </w:r>
      <w:proofErr w:type="spellEnd"/>
      <w:r w:rsidRPr="00175F8B">
        <w:t xml:space="preserve"> artikkel 1 ny nr. 5b. Bakgrunnen for endringen er, i henhold til fortalen til direktiv 2024/790 avsnitt 4, at kravet om at systemer der flere tredjeparters kjøps- og salgsinteresser i finansielle instrumenter kan samvirke, kun kan drives av regulerte markeder, MHF eller OHF, ikke overholdes i hele EØS-området. Ifølge fortalen har manglende oppfyllelse av regelverket ført til ulike konkurransevilkår mellom multilaterale systemer som har søkt tillatelse,</w:t>
      </w:r>
      <w:r w:rsidRPr="00175F8B">
        <w:t xml:space="preserve"> og de som ikke har gjort det. For å sikre markedsdeltagerne like konkurransevilkår, forbedre det indre markedets funksjon og sikre ensartet praktisering av kravet om at systemer der flere tredjeparters kjøps- og salgsinteresser i finansielle instrumenter kan samvirke i systemet kun kan drives av regulerte markeder, MHF eller OHF, overføres kravet til </w:t>
      </w:r>
      <w:proofErr w:type="spellStart"/>
      <w:r w:rsidRPr="00175F8B">
        <w:t>MiFIR</w:t>
      </w:r>
      <w:proofErr w:type="spellEnd"/>
      <w:r w:rsidRPr="00175F8B">
        <w:t xml:space="preserve">. På grunn av endringen overføres også definisjonen av multilateralt system til </w:t>
      </w:r>
      <w:proofErr w:type="spellStart"/>
      <w:r w:rsidRPr="00175F8B">
        <w:t>MiFIR</w:t>
      </w:r>
      <w:proofErr w:type="spellEnd"/>
      <w:r w:rsidRPr="00175F8B">
        <w:t>.</w:t>
      </w:r>
    </w:p>
    <w:p w14:paraId="148B0D31" w14:textId="77777777" w:rsidR="00080633" w:rsidRPr="00175F8B" w:rsidRDefault="00080633" w:rsidP="00175F8B">
      <w:pPr>
        <w:pStyle w:val="Overskrift4"/>
      </w:pPr>
      <w:r w:rsidRPr="00175F8B">
        <w:lastRenderedPageBreak/>
        <w:t>Utvalgets forslag</w:t>
      </w:r>
    </w:p>
    <w:p w14:paraId="3585D895" w14:textId="77777777" w:rsidR="00080633" w:rsidRPr="00175F8B" w:rsidRDefault="00080633" w:rsidP="00175F8B">
      <w:r w:rsidRPr="00175F8B">
        <w:t xml:space="preserve">Utvalget bemerker at regelen i </w:t>
      </w:r>
      <w:proofErr w:type="spellStart"/>
      <w:r w:rsidRPr="00175F8B">
        <w:t>MiFID</w:t>
      </w:r>
      <w:proofErr w:type="spellEnd"/>
      <w:r w:rsidRPr="00175F8B">
        <w:t xml:space="preserve"> II artikkel 1 nr. 7 ikke har noe direkte motstykke i den norske verdipapirhandelloven. Kravet om at den som skal drive en handelsplass må ha tillatelse </w:t>
      </w:r>
      <w:proofErr w:type="gramStart"/>
      <w:r w:rsidRPr="00175F8B">
        <w:t>fremkommer</w:t>
      </w:r>
      <w:proofErr w:type="gramEnd"/>
      <w:r w:rsidRPr="00175F8B">
        <w:t xml:space="preserve"> av verdipapirhandelloven §§ 9-1 og 11-1. Utvalget kan ikke se at det er behov for å gjøre endringer i den norske verdipapirhandelloven som følge av overføring av </w:t>
      </w:r>
      <w:proofErr w:type="spellStart"/>
      <w:r w:rsidRPr="00175F8B">
        <w:t>MiFID</w:t>
      </w:r>
      <w:proofErr w:type="spellEnd"/>
      <w:r w:rsidRPr="00175F8B">
        <w:t xml:space="preserve"> II artikkel 1 nr. 7 til </w:t>
      </w:r>
      <w:proofErr w:type="spellStart"/>
      <w:r w:rsidRPr="00175F8B">
        <w:t>MiFIR</w:t>
      </w:r>
      <w:proofErr w:type="spellEnd"/>
      <w:r w:rsidRPr="00175F8B">
        <w:t>.</w:t>
      </w:r>
    </w:p>
    <w:p w14:paraId="6AD2A66A" w14:textId="77777777" w:rsidR="00080633" w:rsidRPr="00175F8B" w:rsidRDefault="00080633" w:rsidP="00175F8B">
      <w:r w:rsidRPr="00175F8B">
        <w:t xml:space="preserve">Utvalget foreslår å endre definisjonen av multilateralt system i verdipapirhandelloven § 2-7 nr. 9, slik at det henvises til </w:t>
      </w:r>
      <w:proofErr w:type="spellStart"/>
      <w:r w:rsidRPr="00175F8B">
        <w:t>MiFIR</w:t>
      </w:r>
      <w:proofErr w:type="spellEnd"/>
      <w:r w:rsidRPr="00175F8B">
        <w:t xml:space="preserve"> ny artikkel 2 nr. 1 punkt 11. Utvalget viser til at </w:t>
      </w:r>
      <w:proofErr w:type="spellStart"/>
      <w:r w:rsidRPr="00175F8B">
        <w:t>MiFIR</w:t>
      </w:r>
      <w:proofErr w:type="spellEnd"/>
      <w:r w:rsidRPr="00175F8B">
        <w:t xml:space="preserve"> med de tilpasninger som følger av EØS-avtalen, vil gjelde direkte og er en del av verdipapirhandelloven.</w:t>
      </w:r>
    </w:p>
    <w:p w14:paraId="2E472BFE" w14:textId="77777777" w:rsidR="00080633" w:rsidRPr="00175F8B" w:rsidRDefault="00080633" w:rsidP="00175F8B">
      <w:pPr>
        <w:pStyle w:val="Overskrift3"/>
      </w:pPr>
      <w:r w:rsidRPr="00175F8B">
        <w:t>Endring av definisjonen av systematisk internaliserer</w:t>
      </w:r>
    </w:p>
    <w:p w14:paraId="7B6F6FEF" w14:textId="77777777" w:rsidR="00080633" w:rsidRPr="00175F8B" w:rsidRDefault="00080633" w:rsidP="00175F8B">
      <w:pPr>
        <w:pStyle w:val="Overskrift4"/>
      </w:pPr>
      <w:r w:rsidRPr="00175F8B">
        <w:t>Gjeldende rett</w:t>
      </w:r>
    </w:p>
    <w:p w14:paraId="7D261AA8" w14:textId="77777777" w:rsidR="00080633" w:rsidRPr="00175F8B" w:rsidRDefault="00080633" w:rsidP="00175F8B">
      <w:r w:rsidRPr="00175F8B">
        <w:t xml:space="preserve">Etter verdipapirhandelloven § 2-7 tiende ledd er en SI et verdipapirforetak som på organisert, regelmessig og systematisk måte og i et betydelig omfang handler for egen regning ved utførelse av kundeordre, utenfor handelsplass og uten å drive et multilateralt system. Om handelen er regelmessig og systematisk bestemmes etter en kvantitativ vurdering, og bestemmes ut fra antall handler verdipapirforetaket utfører for egen regning utenfor handelsplass. Om omfanget er betydelig vurderes enten ut fra størrelsen </w:t>
      </w:r>
      <w:r w:rsidRPr="00175F8B">
        <w:t xml:space="preserve">på handelen verdipapirforetaket utfører utenfor handelsplass sammenlignet med verdipapirforetakets totale handel i det enkelte finansielle instrumentet, eller ut fra størrelsen på handelen utført av verdipapirforetaket utenfor handelsplass sammenlignet med den totale handelen i EØS i det enkelte finansielle instrumentet. De kvantitative testene er videre spesifisert i kommisjonsforordning (EU) 2017/565. Definisjonen svarer til </w:t>
      </w:r>
      <w:proofErr w:type="spellStart"/>
      <w:r w:rsidRPr="00175F8B">
        <w:t>MiFID</w:t>
      </w:r>
      <w:proofErr w:type="spellEnd"/>
      <w:r w:rsidRPr="00175F8B">
        <w:t xml:space="preserve"> II artikkel 4 nr. 20. Verdipapirforetak kan velge å registrere seg som SI s</w:t>
      </w:r>
      <w:r w:rsidRPr="00175F8B">
        <w:t>elv om de ikke har plikt til det etter bestemmelsen.</w:t>
      </w:r>
    </w:p>
    <w:p w14:paraId="39D9A288" w14:textId="77777777" w:rsidR="00080633" w:rsidRPr="00175F8B" w:rsidRDefault="00080633" w:rsidP="00175F8B">
      <w:pPr>
        <w:pStyle w:val="Overskrift4"/>
      </w:pPr>
      <w:r w:rsidRPr="00175F8B">
        <w:t>Forventet EØS-rett</w:t>
      </w:r>
    </w:p>
    <w:p w14:paraId="6D3D0CDA" w14:textId="77777777" w:rsidR="00080633" w:rsidRPr="00175F8B" w:rsidRDefault="00080633" w:rsidP="00175F8B">
      <w:r w:rsidRPr="00175F8B">
        <w:t xml:space="preserve">Bestemmelsen i </w:t>
      </w:r>
      <w:proofErr w:type="spellStart"/>
      <w:r w:rsidRPr="00175F8B">
        <w:t>MiFID</w:t>
      </w:r>
      <w:proofErr w:type="spellEnd"/>
      <w:r w:rsidRPr="00175F8B">
        <w:t xml:space="preserve"> II artikkel 4 nr. 20 endres slik at en SI skal være et verdipapirforetak som på</w:t>
      </w:r>
      <w:r w:rsidRPr="00175F8B">
        <w:t xml:space="preserve"> organisert, regelmessig og systematisk måte handler for egen regning ved utførelse av kundeordre utenfor handelsplass uten å drive et multilateralt system. Om handelen er regelmessig og systematisk skal bestemmes etter en kvalitativ metode. Omfanget av handelen skal ikke lenger vurderes særskilt. Bakgrunnen for endringen er i henhold til fortalen til direktiv 2024/790 avsnitt 7 at den kvantitative vurderingen av om handelen er utført på en regelmessig og systematisk måte og i betydelig omfang, har medført </w:t>
      </w:r>
      <w:r w:rsidRPr="00175F8B">
        <w:t>store byrder både for foretakene som må utføre beregningene og for ESMA som må publisere data som er nødvendige for å gjøre beregningene.</w:t>
      </w:r>
    </w:p>
    <w:p w14:paraId="5A22F20B" w14:textId="77777777" w:rsidR="00080633" w:rsidRPr="00175F8B" w:rsidRDefault="00080633" w:rsidP="00175F8B">
      <w:r w:rsidRPr="00175F8B">
        <w:t xml:space="preserve">Fordi </w:t>
      </w:r>
      <w:proofErr w:type="spellStart"/>
      <w:r w:rsidRPr="00175F8B">
        <w:t>MiFIR</w:t>
      </w:r>
      <w:proofErr w:type="spellEnd"/>
      <w:r w:rsidRPr="00175F8B">
        <w:t xml:space="preserve"> endres, slik at SI ikke lenger vil være omfattet av pre-trade transparenskrav for andre finansielle instrumenter enn aksjer og andre egenkapitalinstrumenter, vil den kvalitative vurderingen kun gjelde for disse instrumentene, se omtale i kapittel 5. Det vil fortsatt være mulig å registrere seg som SI på frivillig basis, selv om foretaket ikke har plikt til dette (</w:t>
      </w:r>
      <w:proofErr w:type="spellStart"/>
      <w:r w:rsidRPr="00175F8B">
        <w:t>opt</w:t>
      </w:r>
      <w:proofErr w:type="spellEnd"/>
      <w:r w:rsidRPr="00175F8B">
        <w:t xml:space="preserve"> in).</w:t>
      </w:r>
    </w:p>
    <w:p w14:paraId="09AC6ABD" w14:textId="77777777" w:rsidR="00080633" w:rsidRPr="00175F8B" w:rsidRDefault="00080633" w:rsidP="00175F8B">
      <w:pPr>
        <w:pStyle w:val="Overskrift4"/>
      </w:pPr>
      <w:r w:rsidRPr="00175F8B">
        <w:t>Utvalgets forslag</w:t>
      </w:r>
    </w:p>
    <w:p w14:paraId="368786DD" w14:textId="77777777" w:rsidR="00080633" w:rsidRPr="00175F8B" w:rsidRDefault="00080633" w:rsidP="00175F8B">
      <w:r w:rsidRPr="00175F8B">
        <w:t xml:space="preserve">Utvalget foreslår at definisjonen av SI i verdipapirhandelloven § 2-7 tiende ledd endres i tråd med endringene i </w:t>
      </w:r>
      <w:proofErr w:type="spellStart"/>
      <w:r w:rsidRPr="00175F8B">
        <w:t>MiFID</w:t>
      </w:r>
      <w:proofErr w:type="spellEnd"/>
      <w:r w:rsidRPr="00175F8B">
        <w:t xml:space="preserve"> II. Utvalget bemerker at de nye reglene innebærer forenkling av et regelverk som har vist seg å være unødvendig komplekst. Utvalget bemerker </w:t>
      </w:r>
      <w:proofErr w:type="gramStart"/>
      <w:r w:rsidRPr="00175F8B">
        <w:t>for øvrig</w:t>
      </w:r>
      <w:proofErr w:type="gramEnd"/>
      <w:r w:rsidRPr="00175F8B">
        <w:t xml:space="preserve"> at endringen ikke vil ha stor betydning i det norske markedet, hvor det pr. i dag kun er fire foretak registrert som SI. Alle disse har valgt å registrere seg som SI, selv om foretaket ikke har plikt til dette. For så vidt gjelder endringene i </w:t>
      </w:r>
      <w:proofErr w:type="spellStart"/>
      <w:r w:rsidRPr="00175F8B">
        <w:t>MiFIRs</w:t>
      </w:r>
      <w:proofErr w:type="spellEnd"/>
      <w:r w:rsidRPr="00175F8B">
        <w:t xml:space="preserve"> regler om SI, viser utvalget til kapittel 5.</w:t>
      </w:r>
    </w:p>
    <w:p w14:paraId="084D9A97" w14:textId="77777777" w:rsidR="00080633" w:rsidRPr="00175F8B" w:rsidRDefault="00080633" w:rsidP="00175F8B">
      <w:pPr>
        <w:pStyle w:val="Overskrift3"/>
      </w:pPr>
      <w:r w:rsidRPr="00175F8B">
        <w:t>Enkelte endringer i reglene om organisatoriske krav og systemkrav mv.</w:t>
      </w:r>
    </w:p>
    <w:p w14:paraId="24303F37" w14:textId="77777777" w:rsidR="00080633" w:rsidRPr="00175F8B" w:rsidRDefault="00080633" w:rsidP="00175F8B">
      <w:pPr>
        <w:pStyle w:val="Overskrift4"/>
      </w:pPr>
      <w:r w:rsidRPr="00175F8B">
        <w:t>Gjeldende rett</w:t>
      </w:r>
    </w:p>
    <w:p w14:paraId="69F5E8D6" w14:textId="77777777" w:rsidR="00080633" w:rsidRPr="00175F8B" w:rsidRDefault="00080633" w:rsidP="00175F8B">
      <w:r w:rsidRPr="00175F8B">
        <w:t xml:space="preserve">Verdipapirhandelloven § 11-18 stiller organisatoriske krav til regulerte markeder. Etter bestemmelsen skal regulerte markeder fastsette interne regler og treffe nødvendige tiltak som sikrer en rekke forhold, </w:t>
      </w:r>
      <w:r w:rsidRPr="00175F8B">
        <w:lastRenderedPageBreak/>
        <w:t xml:space="preserve">herunder identifisering og håndtering av interessekonflikter og risikoer, transparente og ikke-diskresjonære handelsregler og effektiv gjennomføring av transaksjoner. Bestemmelsen gjennomfører </w:t>
      </w:r>
      <w:proofErr w:type="spellStart"/>
      <w:r w:rsidRPr="00175F8B">
        <w:t>MiFID</w:t>
      </w:r>
      <w:proofErr w:type="spellEnd"/>
      <w:r w:rsidRPr="00175F8B">
        <w:t xml:space="preserve"> II artikkel 47 (med unntak av reglene om kapitalkrav). Regler om organisatoriske krav for MHF og OHF er gitt i verdipapirhandelloven § 9-26.</w:t>
      </w:r>
    </w:p>
    <w:p w14:paraId="19F23B00" w14:textId="77777777" w:rsidR="00080633" w:rsidRPr="00175F8B" w:rsidRDefault="00080633" w:rsidP="00175F8B">
      <w:r w:rsidRPr="00175F8B">
        <w:t xml:space="preserve">Verdipapirhandelloven § 11-25 gir regler om synkronisering av klokker. Bestemmelsen gjennomfører </w:t>
      </w:r>
      <w:proofErr w:type="spellStart"/>
      <w:r w:rsidRPr="00175F8B">
        <w:t>MiFID</w:t>
      </w:r>
      <w:proofErr w:type="spellEnd"/>
      <w:r w:rsidRPr="00175F8B">
        <w:t xml:space="preserve"> II artikkel 50 og skal gjelde for klokker som benyttes av regulerte markeder og deres medlemmer for å registrere tidspunkt for hendelser som omfattes av rapporteringsplikt for markedsdata (pre- og post-trade informasjon).</w:t>
      </w:r>
    </w:p>
    <w:p w14:paraId="7CCE3FFE" w14:textId="77777777" w:rsidR="00080633" w:rsidRPr="00175F8B" w:rsidRDefault="00080633" w:rsidP="00175F8B">
      <w:r w:rsidRPr="00175F8B">
        <w:t>Verdipapirhandelloven § 11-24 gir regler om minste tillatte kursendring (</w:t>
      </w:r>
      <w:proofErr w:type="spellStart"/>
      <w:r w:rsidRPr="00175F8B">
        <w:t>tick</w:t>
      </w:r>
      <w:proofErr w:type="spellEnd"/>
      <w:r w:rsidRPr="00175F8B">
        <w:t xml:space="preserve"> </w:t>
      </w:r>
      <w:proofErr w:type="spellStart"/>
      <w:r w:rsidRPr="00175F8B">
        <w:t>sizes</w:t>
      </w:r>
      <w:proofErr w:type="spellEnd"/>
      <w:r w:rsidRPr="00175F8B">
        <w:t xml:space="preserve">) på regulert marked. Reglene om minste kursendring gjelder for aksjer og andre egenkapitalinstrumenter. Bestemmelsen gir nærmere regler om hvordan minste tillatte kursendring skal fastsettes. Begrunnelsen for å ha regler om minste kursendring er at det ikke skal være mulig å få bedre prioritet ved å endre prisen ubetydelig. Bestemmelsen gjennomfører </w:t>
      </w:r>
      <w:proofErr w:type="spellStart"/>
      <w:r w:rsidRPr="00175F8B">
        <w:t>MiFID</w:t>
      </w:r>
      <w:proofErr w:type="spellEnd"/>
      <w:r w:rsidRPr="00175F8B">
        <w:t xml:space="preserve"> II artikkel 49. Bestemmelsen utfylles av kommisjonsforordning (EU) 2017/588 (RTS11). Minste kursendring skal fastsettes for det enkelte finansi</w:t>
      </w:r>
      <w:r w:rsidRPr="00175F8B">
        <w:t xml:space="preserve">elle instrument basert på kursnotering og fastsatte intervaller som </w:t>
      </w:r>
      <w:proofErr w:type="gramStart"/>
      <w:r w:rsidRPr="00175F8B">
        <w:t>fremkommer</w:t>
      </w:r>
      <w:proofErr w:type="gramEnd"/>
      <w:r w:rsidRPr="00175F8B">
        <w:t xml:space="preserve"> av vedlegget til kommisjonsforordningen.  Bestemmelsen om minste tillatte kursendring gjelder tilsvarende for MHF og OHF, se verdipapirhandelloven § 9-26 første ledd nr. 5.</w:t>
      </w:r>
    </w:p>
    <w:p w14:paraId="0F7A010B" w14:textId="77777777" w:rsidR="00080633" w:rsidRPr="00175F8B" w:rsidRDefault="00080633" w:rsidP="00175F8B">
      <w:r w:rsidRPr="00175F8B">
        <w:t>Både multilaterale handelsfasiliteter (MHF) og organiserte handelsfasiliteter (OHF) skal ha minst tre aktive brukere eller deltakere som kan delta i prisdannelsen, se verdipapirhandelloven § 9-26 første ledd nr. 7. Tilsvarende krav gjelder ikke for regulerte m</w:t>
      </w:r>
      <w:r w:rsidRPr="00175F8B">
        <w:t>arkeder.</w:t>
      </w:r>
    </w:p>
    <w:p w14:paraId="5686A995" w14:textId="77777777" w:rsidR="00080633" w:rsidRPr="00175F8B" w:rsidRDefault="00080633" w:rsidP="00175F8B">
      <w:pPr>
        <w:pStyle w:val="Overskrift4"/>
      </w:pPr>
      <w:r w:rsidRPr="00175F8B">
        <w:t>Forventet EØS-rett</w:t>
      </w:r>
    </w:p>
    <w:p w14:paraId="0724A7E0" w14:textId="77777777" w:rsidR="00080633" w:rsidRPr="00175F8B" w:rsidRDefault="00080633" w:rsidP="00175F8B">
      <w:r w:rsidRPr="00175F8B">
        <w:t xml:space="preserve">Som nevnt i kapittel 1.3 er et hovedsiktemål med endringene i </w:t>
      </w:r>
      <w:proofErr w:type="spellStart"/>
      <w:r w:rsidRPr="00175F8B">
        <w:t>MiFIR</w:t>
      </w:r>
      <w:proofErr w:type="spellEnd"/>
      <w:r w:rsidRPr="00175F8B">
        <w:t xml:space="preserve"> å legge til rette for en sentralisert database, omtalt som «</w:t>
      </w:r>
      <w:proofErr w:type="spellStart"/>
      <w:r w:rsidRPr="00175F8B">
        <w:t>consolidated</w:t>
      </w:r>
      <w:proofErr w:type="spellEnd"/>
      <w:r w:rsidRPr="00175F8B">
        <w:t xml:space="preserve"> tape», med felles handelsdata for både egen- og fremmedkapitalinstrumenter. En velfungerende CTP krever imidlertid at kvaliteten på handelsdataene </w:t>
      </w:r>
      <w:proofErr w:type="spellStart"/>
      <w:r w:rsidRPr="00175F8B">
        <w:t>CTPen</w:t>
      </w:r>
      <w:proofErr w:type="spellEnd"/>
      <w:r w:rsidRPr="00175F8B">
        <w:t xml:space="preserve"> mottar er god, se omtale i fortalen til direktiv 2024/790 avsnitt 10 og 11. Reglene om datakvalitet er gitt i </w:t>
      </w:r>
      <w:proofErr w:type="spellStart"/>
      <w:r w:rsidRPr="00175F8B">
        <w:t>MiFIR</w:t>
      </w:r>
      <w:proofErr w:type="spellEnd"/>
      <w:r w:rsidRPr="00175F8B">
        <w:t xml:space="preserve">. Disse behandles nærmere i kapittel 3 og 4. For å sikre at handelsplassene møter </w:t>
      </w:r>
      <w:proofErr w:type="spellStart"/>
      <w:r w:rsidRPr="00175F8B">
        <w:t>MiFIRs</w:t>
      </w:r>
      <w:proofErr w:type="spellEnd"/>
      <w:r w:rsidRPr="00175F8B">
        <w:t xml:space="preserve"> krav om datakvalitet, får imidlertid </w:t>
      </w:r>
      <w:proofErr w:type="spellStart"/>
      <w:r w:rsidRPr="00175F8B">
        <w:t>MiFID</w:t>
      </w:r>
      <w:proofErr w:type="spellEnd"/>
      <w:r w:rsidRPr="00175F8B">
        <w:t xml:space="preserve"> II artikkel 31 nr. 1 et nytt anne</w:t>
      </w:r>
      <w:r w:rsidRPr="00175F8B">
        <w:t>t ledd og artikkel 47 nr. 1 en ny bokstav g, som fastsetter at medlemsstatene skal kreve at MHF, OHF og regulerte markeder skal treffe nødvendige tiltak som sikrer at kravene til datakvalitet oppfylles.</w:t>
      </w:r>
    </w:p>
    <w:p w14:paraId="244901B0" w14:textId="77777777" w:rsidR="00080633" w:rsidRPr="00175F8B" w:rsidRDefault="00080633" w:rsidP="00175F8B">
      <w:r w:rsidRPr="00175F8B">
        <w:t xml:space="preserve">En viktig forutsetning for at handelsdata skal ha tilstrekkelig kvalitet, er tidsriktig og synkronisert registrering av dataene, se omtale i fortalen til direktiv 2024/790 avsnitt 11. Reglene om synkronisering av klokker som benyttes av regulerte markeder og deres medlemmer for å registrere tidspunktene for </w:t>
      </w:r>
      <w:r w:rsidRPr="00175F8B">
        <w:t xml:space="preserve">hendelser som omfattes av rapporteringsplikt for markedsdata, finnes i dag i </w:t>
      </w:r>
      <w:proofErr w:type="spellStart"/>
      <w:r w:rsidRPr="00175F8B">
        <w:t>MiFID</w:t>
      </w:r>
      <w:proofErr w:type="spellEnd"/>
      <w:r w:rsidRPr="00175F8B">
        <w:t xml:space="preserve"> II artikkel 50. På grunn av reglenes sentrale betydning for velfungerende </w:t>
      </w:r>
      <w:proofErr w:type="spellStart"/>
      <w:r w:rsidRPr="00175F8B">
        <w:t>CTPer</w:t>
      </w:r>
      <w:proofErr w:type="spellEnd"/>
      <w:r w:rsidRPr="00175F8B">
        <w:t xml:space="preserve">, overføres reglene til </w:t>
      </w:r>
      <w:proofErr w:type="spellStart"/>
      <w:r w:rsidRPr="00175F8B">
        <w:t>MiFIR</w:t>
      </w:r>
      <w:proofErr w:type="spellEnd"/>
      <w:r w:rsidRPr="00175F8B">
        <w:t xml:space="preserve">. Samtidig oppheves </w:t>
      </w:r>
      <w:proofErr w:type="spellStart"/>
      <w:r w:rsidRPr="00175F8B">
        <w:t>MiFID</w:t>
      </w:r>
      <w:proofErr w:type="spellEnd"/>
      <w:r w:rsidRPr="00175F8B">
        <w:t xml:space="preserve"> II artikkel 50. Reglene om synkronisering av klokker utvides også til å gjelde for flere markedsdeltakere, se omtale i kapittel 6.2.</w:t>
      </w:r>
    </w:p>
    <w:p w14:paraId="1FD27117" w14:textId="77777777" w:rsidR="00080633" w:rsidRPr="00175F8B" w:rsidRDefault="00080633" w:rsidP="00175F8B">
      <w:proofErr w:type="spellStart"/>
      <w:r w:rsidRPr="00175F8B">
        <w:t>MiFID</w:t>
      </w:r>
      <w:proofErr w:type="spellEnd"/>
      <w:r w:rsidRPr="00175F8B">
        <w:t xml:space="preserve"> II artikkel 49 gir regler om minste tillatte kursendring. Artikkel 49 nr. 2 får et nytt annet ledd som gir regler for aksjer med et internasjonalt identifikasjonsnummer (ISIN) utstedt utenfor EØS, eller aksjer som har et EØS-ISIN og som er omsatt på en handelsplass i et tredjeland i den lokale valutaen eller valutaen til et land utenfor EØS i henhold til </w:t>
      </w:r>
      <w:proofErr w:type="spellStart"/>
      <w:r w:rsidRPr="00175F8B">
        <w:t>MiFIR</w:t>
      </w:r>
      <w:proofErr w:type="spellEnd"/>
      <w:r w:rsidRPr="00175F8B">
        <w:t xml:space="preserve"> artikkel 23 nr. 1 bokstav a. For slike aksjer kan et regulert marked fastsette minste tillatte kursendring på samme måte som på det mest likvide mar</w:t>
      </w:r>
      <w:r w:rsidRPr="00175F8B">
        <w:t>kedet i et tredjeland hvor aksjen omsettes.</w:t>
      </w:r>
    </w:p>
    <w:p w14:paraId="67494303" w14:textId="77777777" w:rsidR="00080633" w:rsidRPr="00175F8B" w:rsidRDefault="00080633" w:rsidP="00175F8B">
      <w:r w:rsidRPr="00175F8B">
        <w:t xml:space="preserve">I </w:t>
      </w:r>
      <w:proofErr w:type="spellStart"/>
      <w:r w:rsidRPr="00175F8B">
        <w:t>MiFID</w:t>
      </w:r>
      <w:proofErr w:type="spellEnd"/>
      <w:r w:rsidRPr="00175F8B">
        <w:t xml:space="preserve"> II artikkel 47 nr. 1 ny bokstav h innføres det i tillegg et krav om at regulerte markeder skal ha minst tre aktive medlemmer eller brukere som alle har mulighet til å interagere med samtlige av de andre med hensyn til prisdannelsen. Tilsvarende bestemmelse er gitt for MHF og OHF.</w:t>
      </w:r>
    </w:p>
    <w:p w14:paraId="009CCB1F" w14:textId="77777777" w:rsidR="00080633" w:rsidRPr="00175F8B" w:rsidRDefault="00080633" w:rsidP="00175F8B">
      <w:pPr>
        <w:pStyle w:val="Overskrift4"/>
      </w:pPr>
      <w:r w:rsidRPr="00175F8B">
        <w:t>Utvalgets forslag</w:t>
      </w:r>
    </w:p>
    <w:p w14:paraId="1A290F7F" w14:textId="77777777" w:rsidR="00080633" w:rsidRPr="00175F8B" w:rsidRDefault="00080633" w:rsidP="00175F8B">
      <w:r w:rsidRPr="00175F8B">
        <w:t xml:space="preserve">Utvalget foreslår at </w:t>
      </w:r>
      <w:proofErr w:type="spellStart"/>
      <w:r w:rsidRPr="00175F8B">
        <w:t>MiFID</w:t>
      </w:r>
      <w:proofErr w:type="spellEnd"/>
      <w:r w:rsidRPr="00175F8B">
        <w:t xml:space="preserve"> II artikkel 31 nr. 1 nytt annet ledd og artikkel 47 nr. 1 ny bokstav g, som stiller krav til tiltak som sikrer at handelsplassene møter kravene til datakvalitet, gjennomføres i verdipapirhandelloven § 9-26 første ledd i et nytt punkt 9 og verdipapirhandelloven § 11-18 første ledd nytt punkt 5. Utvalget foreslår en </w:t>
      </w:r>
      <w:proofErr w:type="spellStart"/>
      <w:r w:rsidRPr="00175F8B">
        <w:t>direktivnær</w:t>
      </w:r>
      <w:proofErr w:type="spellEnd"/>
      <w:r w:rsidRPr="00175F8B">
        <w:t xml:space="preserve"> gjennomføring av bestemmelsen, med henvisning til relevante bestemmelser i </w:t>
      </w:r>
      <w:proofErr w:type="spellStart"/>
      <w:r w:rsidRPr="00175F8B">
        <w:t>MiFIR</w:t>
      </w:r>
      <w:proofErr w:type="spellEnd"/>
      <w:r w:rsidRPr="00175F8B">
        <w:t>.</w:t>
      </w:r>
    </w:p>
    <w:p w14:paraId="34444D8F" w14:textId="77777777" w:rsidR="00080633" w:rsidRPr="00175F8B" w:rsidRDefault="00080633" w:rsidP="00175F8B">
      <w:r w:rsidRPr="00175F8B">
        <w:t>Utvalget foreslår videre å oppheve verdipapirhandelloven § 11-25 om synkronisering av klokker. R</w:t>
      </w:r>
      <w:r w:rsidRPr="00175F8B">
        <w:t xml:space="preserve">eglene vil heretter finnes i </w:t>
      </w:r>
      <w:proofErr w:type="spellStart"/>
      <w:r w:rsidRPr="00175F8B">
        <w:t>MiFIR</w:t>
      </w:r>
      <w:proofErr w:type="spellEnd"/>
      <w:r w:rsidRPr="00175F8B">
        <w:t xml:space="preserve"> artikkel 22c. Det vises til omtale av endringene av reglene om synkronisering av klokker i </w:t>
      </w:r>
      <w:proofErr w:type="spellStart"/>
      <w:r w:rsidRPr="00175F8B">
        <w:t>MiFIR</w:t>
      </w:r>
      <w:proofErr w:type="spellEnd"/>
      <w:r w:rsidRPr="00175F8B">
        <w:t xml:space="preserve"> i kapittel 6.2.</w:t>
      </w:r>
    </w:p>
    <w:p w14:paraId="3B6044CC" w14:textId="77777777" w:rsidR="00080633" w:rsidRPr="00175F8B" w:rsidRDefault="00080633" w:rsidP="00175F8B">
      <w:r w:rsidRPr="00175F8B">
        <w:lastRenderedPageBreak/>
        <w:t xml:space="preserve">For å gjennomføre </w:t>
      </w:r>
      <w:proofErr w:type="spellStart"/>
      <w:r w:rsidRPr="00175F8B">
        <w:t>MiFID</w:t>
      </w:r>
      <w:proofErr w:type="spellEnd"/>
      <w:r w:rsidRPr="00175F8B">
        <w:t xml:space="preserve"> II artikkel 49 nr. 2 nytt annet ledd, foreslår utvalget en ny bestemmelse i verdipapirhandelloven § 11-24 tredje ledd. Bestemmelsen gir regler om minste tillatte kursendring for aksjer med ISIN utstedt utenfor EØS eller aksjer som har EØS-ISIN, og som er omsatt på en handelsplass i et tredjeland i den lokale valutaen eller valutaen til et land utenfor EØS i henhold til </w:t>
      </w:r>
      <w:proofErr w:type="spellStart"/>
      <w:r w:rsidRPr="00175F8B">
        <w:t>MiFIR</w:t>
      </w:r>
      <w:proofErr w:type="spellEnd"/>
      <w:r w:rsidRPr="00175F8B">
        <w:t xml:space="preserve"> artikkel 23 nr. 1 bokstav a. For slike instrumenter kan regulerte markeder fastsette regler om minste tillatte kursendring på sa</w:t>
      </w:r>
      <w:r w:rsidRPr="00175F8B">
        <w:t>mme måte som på det mest likvide markedet i et tredjeland hvor aksjen omsettes. Utvalget bemerker at bestemmelsen ikke er omtalt i fortalen. Enkelte aksjer som omsettes på regulert marked i EØS i lite omfang, kan ha høy omsetning og god likviditet i tredjeland. Regelen motvirker at slike aksjer skal måtte plasseres i et intervall for minste tillate kursendring tilpasset aksjer med lav likviditet. Utvalget legger til grunn at dette er bakgrunnen for endringen.</w:t>
      </w:r>
    </w:p>
    <w:p w14:paraId="773C2022" w14:textId="77777777" w:rsidR="00080633" w:rsidRPr="00175F8B" w:rsidRDefault="00080633" w:rsidP="00175F8B">
      <w:r w:rsidRPr="00175F8B">
        <w:t>Utvalget foreslår endelig å innarbeide en bestem</w:t>
      </w:r>
      <w:r w:rsidRPr="00175F8B">
        <w:t>melse som svarer til ny artikkel 47 nr. 1 bokstav h om at regulerte markeder skal ha minst tre medlemmer, i ny § 11-18 første ledd nr. 6.</w:t>
      </w:r>
    </w:p>
    <w:p w14:paraId="58A9AE96" w14:textId="77777777" w:rsidR="00080633" w:rsidRPr="00175F8B" w:rsidRDefault="00080633" w:rsidP="00175F8B">
      <w:pPr>
        <w:pStyle w:val="Overskrift3"/>
      </w:pPr>
      <w:r w:rsidRPr="00175F8B">
        <w:t>Endringer i reglene om regulerte markeders motstandsdyktighet</w:t>
      </w:r>
    </w:p>
    <w:p w14:paraId="009BA29D" w14:textId="77777777" w:rsidR="00080633" w:rsidRPr="00175F8B" w:rsidRDefault="00080633" w:rsidP="00175F8B">
      <w:pPr>
        <w:pStyle w:val="Overskrift4"/>
      </w:pPr>
      <w:r w:rsidRPr="00175F8B">
        <w:t>Gjeldende rett</w:t>
      </w:r>
    </w:p>
    <w:p w14:paraId="6DBA06A6" w14:textId="7EA8CC55" w:rsidR="00080633" w:rsidRPr="00175F8B" w:rsidRDefault="00080633" w:rsidP="00175F8B">
      <w:r w:rsidRPr="00175F8B">
        <w:t xml:space="preserve">For å sikre et velfungerende marked, er det vesentlig at både handelen og systemene som benyttes til handelen, er underlagt tilfredsstillende regulering. </w:t>
      </w:r>
      <w:proofErr w:type="spellStart"/>
      <w:r w:rsidRPr="00175F8B">
        <w:t>MiFID</w:t>
      </w:r>
      <w:proofErr w:type="spellEnd"/>
      <w:r w:rsidRPr="00175F8B">
        <w:t xml:space="preserve"> II artikkel 48 inneholder regler om blant annet handelssystemenes robusthet og kapasitet. Bestemmelsen er omfattende og dekker ulike temaer. Den er derfor delt opp i ulike bestemmelser i verdipapirhandelloven, se §§ 11</w:t>
      </w:r>
      <w:r w:rsidR="00175F8B">
        <w:t>-</w:t>
      </w:r>
      <w:r w:rsidRPr="00175F8B">
        <w:t xml:space="preserve">19 til 11-23. Innholdsmessig er artikkel 48 gjennomført på en </w:t>
      </w:r>
      <w:proofErr w:type="spellStart"/>
      <w:r w:rsidRPr="00175F8B">
        <w:t>direktivnær</w:t>
      </w:r>
      <w:proofErr w:type="spellEnd"/>
      <w:r w:rsidRPr="00175F8B">
        <w:t xml:space="preserve"> måte.</w:t>
      </w:r>
    </w:p>
    <w:p w14:paraId="149DEF31" w14:textId="77777777" w:rsidR="00080633" w:rsidRPr="00175F8B" w:rsidRDefault="00080633" w:rsidP="00175F8B">
      <w:r w:rsidRPr="00175F8B">
        <w:t xml:space="preserve">Verdipapirhandelloven § 11-19 gir regler om </w:t>
      </w:r>
      <w:proofErr w:type="gramStart"/>
      <w:r w:rsidRPr="00175F8B">
        <w:t>robuste</w:t>
      </w:r>
      <w:proofErr w:type="gramEnd"/>
      <w:r w:rsidRPr="00175F8B">
        <w:t xml:space="preserve"> systemer og automatiske handelssperrer på regulerte markeder. Bestemmelsen gjennomfører </w:t>
      </w:r>
      <w:proofErr w:type="spellStart"/>
      <w:r w:rsidRPr="00175F8B">
        <w:t>MiFID</w:t>
      </w:r>
      <w:proofErr w:type="spellEnd"/>
      <w:r w:rsidRPr="00175F8B">
        <w:t xml:space="preserve"> II artikkel 48 nr. 1, 4 og 5. Bestemmelsen gjelder tilsvarende for MHF og OHF, se verdipapirhandelloven § 9-26 første ledd nr. 5. Verdipapirhandelloven § 11-19 fjerde til sjette ledd regulerer adgangen til midlertidig stans i handelen. Etter bestemmelsens fjerde ledd kan det regulerte markedet midlertidig stanse eller begrense handelen for en kort periode ved betydelige prissvingninger for et finansielt ins</w:t>
      </w:r>
      <w:r w:rsidRPr="00175F8B">
        <w:t xml:space="preserve">trument på det regulerte markedet eller et annet relatert marked. Det regulerte markedet kan i særlige tilfeller kansellere, endre eller korrigere enhver transaksjon. Femte ledd fastsetter at regulerte markeders parametere for stans av handelen skal være hensiktsmessige og ta hensyn til likviditeten innen forskjellige </w:t>
      </w:r>
      <w:proofErr w:type="spellStart"/>
      <w:r w:rsidRPr="00175F8B">
        <w:t>aktivaklasser</w:t>
      </w:r>
      <w:proofErr w:type="spellEnd"/>
      <w:r w:rsidRPr="00175F8B">
        <w:t xml:space="preserve"> og underkategorier, markedsmodellens art og type aktører. Parameterne skal settes slik at betydelige forstyrrelser i handelen unngås. Etter sjette ledd skal regulerte markeder un</w:t>
      </w:r>
      <w:r w:rsidRPr="00175F8B">
        <w:t>derrette Finanstilsynet om parameterne for stans av handel og vesentlige endringer av disse. Et regulert marked som anses vesentlig ut fra likviditeten i det finansielle instrumentet, skal melde stans av handelen i et finansielt instrument til Finanstilsynet. Det regulerte markedet skal ha hensiktsmessige systemer og rutiner for slik melding.</w:t>
      </w:r>
    </w:p>
    <w:p w14:paraId="09EDE493" w14:textId="77777777" w:rsidR="00080633" w:rsidRPr="00175F8B" w:rsidRDefault="00080633" w:rsidP="00175F8B">
      <w:pPr>
        <w:pStyle w:val="Overskrift4"/>
      </w:pPr>
      <w:r w:rsidRPr="00175F8B">
        <w:t>Forventet EØS-rett</w:t>
      </w:r>
    </w:p>
    <w:p w14:paraId="0666909B" w14:textId="77777777" w:rsidR="00080633" w:rsidRPr="00175F8B" w:rsidRDefault="00080633" w:rsidP="00175F8B">
      <w:proofErr w:type="spellStart"/>
      <w:r w:rsidRPr="00175F8B">
        <w:t>MiFID</w:t>
      </w:r>
      <w:proofErr w:type="spellEnd"/>
      <w:r w:rsidRPr="00175F8B">
        <w:t xml:space="preserve"> II artikkel 48 endres på enkelte punkter. Artikkel 48 nr. 5 første led</w:t>
      </w:r>
      <w:r w:rsidRPr="00175F8B">
        <w:t>d endres slik at krisesituasjoner inntas som omstendigheter som skal kunne lede til stans og midlertidig stans eller begrensning av handelen. Dette vil gjelde i tillegg til «</w:t>
      </w:r>
      <w:proofErr w:type="spellStart"/>
      <w:r w:rsidRPr="00175F8B">
        <w:t>significant</w:t>
      </w:r>
      <w:proofErr w:type="spellEnd"/>
      <w:r w:rsidRPr="00175F8B">
        <w:t xml:space="preserve"> </w:t>
      </w:r>
      <w:proofErr w:type="spellStart"/>
      <w:r w:rsidRPr="00175F8B">
        <w:t>price</w:t>
      </w:r>
      <w:proofErr w:type="spellEnd"/>
      <w:r w:rsidRPr="00175F8B">
        <w:t xml:space="preserve"> </w:t>
      </w:r>
      <w:proofErr w:type="spellStart"/>
      <w:r w:rsidRPr="00175F8B">
        <w:t>movement</w:t>
      </w:r>
      <w:proofErr w:type="spellEnd"/>
      <w:r w:rsidRPr="00175F8B">
        <w:t>» som er nevnt i gjeldende bestemmelse.</w:t>
      </w:r>
    </w:p>
    <w:p w14:paraId="27C63C70" w14:textId="77777777" w:rsidR="00080633" w:rsidRPr="00175F8B" w:rsidRDefault="00080633" w:rsidP="00175F8B">
      <w:r w:rsidRPr="00175F8B">
        <w:t>Videre får artikkel 48 nr. 5 et nytt ledd som fastsetter at medlemsstatene skal kreve at regulerte markeder på sin hjemmeside skal opplyse om årsaken til at handelen i et finansielt instrument har blitt stanset eller begrenset, og om prinsippene som ligger til grunn for p</w:t>
      </w:r>
      <w:r w:rsidRPr="00175F8B">
        <w:t xml:space="preserve">arameterne som er benyttet for å gjøre dette. Bestemmelsen fastslår også at tilsynsmyndigheten skal ha hjemmel til å treffe tiltak, inkludert å benytte tilsynsvirkemidler som omtalt i </w:t>
      </w:r>
      <w:proofErr w:type="spellStart"/>
      <w:r w:rsidRPr="00175F8B">
        <w:t>MiFID</w:t>
      </w:r>
      <w:proofErr w:type="spellEnd"/>
      <w:r w:rsidRPr="00175F8B">
        <w:t xml:space="preserve"> II artikkel 69 nr. 2 punkt m til p, for å sørge for stabilisering av markedet dersom markedsoperatøren ikke sørger for å overholde sin plikt til å stanse eller begrense handelen.</w:t>
      </w:r>
    </w:p>
    <w:p w14:paraId="7B095C04" w14:textId="77777777" w:rsidR="00080633" w:rsidRPr="00175F8B" w:rsidRDefault="00080633" w:rsidP="00175F8B">
      <w:r w:rsidRPr="00175F8B">
        <w:t xml:space="preserve">Artikkel 48 nr. 12 får nye tillegg som fastsetter at det skal utarbeides nivå 2-regelverk som gir nærmere regler om prinsippene som skal tas i </w:t>
      </w:r>
      <w:r w:rsidRPr="00175F8B">
        <w:t>betraktning når regulerte markeder skal fastsette mekanismen for midlertidig stans og begrensning av handelen. De tekniske standardene skal også gi regler om hvilken informasjon om midlertidig stans og begrensning av handelen som skal rapporteres til tilsynsmyndigheten.</w:t>
      </w:r>
    </w:p>
    <w:p w14:paraId="311C02A9" w14:textId="77777777" w:rsidR="00080633" w:rsidRPr="00175F8B" w:rsidRDefault="00080633" w:rsidP="00175F8B">
      <w:r w:rsidRPr="00175F8B">
        <w:t>Bakgrunnen for endringen er, i henhold til fortalen til direktiv 2024/790 avsnitt 13, at de ekstreme omstendighetene på markedene for energiderivater og for råvarederivater under energikrisen i 2022 har gjort at mekanismene for å hindre ekst</w:t>
      </w:r>
      <w:r w:rsidRPr="00175F8B">
        <w:t xml:space="preserve">rem volatilitet på markedene har blitt utfordret. Manglende transparens knyttet til handelsplassenes </w:t>
      </w:r>
      <w:proofErr w:type="gramStart"/>
      <w:r w:rsidRPr="00175F8B">
        <w:t>anvendelse</w:t>
      </w:r>
      <w:proofErr w:type="gramEnd"/>
      <w:r w:rsidRPr="00175F8B">
        <w:t xml:space="preserve"> av mekanismene, fremheves som et problem. Fortalen viser til at markedsdeltagerne vil dra fordel </w:t>
      </w:r>
      <w:r w:rsidRPr="00175F8B">
        <w:lastRenderedPageBreak/>
        <w:t>av økt transparens knyttet til omstendighetene som fører til stans eller begrensing av handelen, og om fastsettelsen av de viktigste parameterne for stans eller begrensing av handelen.</w:t>
      </w:r>
    </w:p>
    <w:p w14:paraId="1A9ED4F4" w14:textId="77777777" w:rsidR="00080633" w:rsidRPr="00175F8B" w:rsidRDefault="00080633" w:rsidP="00175F8B">
      <w:r w:rsidRPr="00175F8B">
        <w:t>Nivå 2-regelverket som skal utarbeides, skal fastlegge prinsipper som regulerte markeder skal ta i betraktning ved fas</w:t>
      </w:r>
      <w:r w:rsidRPr="00175F8B">
        <w:t>tleggelse av de viktigste parameterne for stans eller begrensing av handelen. Fortalen understreker at en forutsetning for å sikre en ordnet handel er at det regulerte markedet har tilstrekkelig rom for skjønn når det gjelder hvilke mekanismer som skal anvendes og hvilke parametere som skal fastsettes. Det understrekes videre at det forutsettes at nasjonale tilsynsmyndigheter overvåker handelsplassenes praksis nøye og benytter sine tilsynsvirkemidler.</w:t>
      </w:r>
    </w:p>
    <w:p w14:paraId="5A5C5A06" w14:textId="77777777" w:rsidR="00080633" w:rsidRPr="00175F8B" w:rsidRDefault="00080633" w:rsidP="00175F8B">
      <w:pPr>
        <w:pStyle w:val="Overskrift4"/>
      </w:pPr>
      <w:r w:rsidRPr="00175F8B">
        <w:t>Utvalgets forslag</w:t>
      </w:r>
    </w:p>
    <w:p w14:paraId="23F679AA" w14:textId="77777777" w:rsidR="00080633" w:rsidRPr="00175F8B" w:rsidRDefault="00080633" w:rsidP="00175F8B">
      <w:r w:rsidRPr="00175F8B">
        <w:t xml:space="preserve">Utvalget foreslår å endre verdipapirhandelloven § 11-19 slik at det </w:t>
      </w:r>
      <w:proofErr w:type="gramStart"/>
      <w:r w:rsidRPr="00175F8B">
        <w:t>fremgår</w:t>
      </w:r>
      <w:proofErr w:type="gramEnd"/>
      <w:r w:rsidRPr="00175F8B">
        <w:t xml:space="preserve"> at regulerte markeder midlertidig kan stanse eller begrense handelen for en kort periode i krisesituasjoner. På denne måten gjennomføres endringen i </w:t>
      </w:r>
      <w:proofErr w:type="spellStart"/>
      <w:r w:rsidRPr="00175F8B">
        <w:t>MiFID</w:t>
      </w:r>
      <w:proofErr w:type="spellEnd"/>
      <w:r w:rsidRPr="00175F8B">
        <w:t xml:space="preserve"> II artikkel 48 nr. 5 første ledd.</w:t>
      </w:r>
    </w:p>
    <w:p w14:paraId="41A62E4C" w14:textId="77777777" w:rsidR="00080633" w:rsidRPr="00175F8B" w:rsidRDefault="00080633" w:rsidP="00175F8B">
      <w:r w:rsidRPr="00175F8B">
        <w:t xml:space="preserve">Utvalget foreslår en ny bestemmelse i § 11-19 nytt syvende ledd som fastsetter at regulerte markeder på sin hjemmeside skal opplyse om årsaken til at handelen i et finansielt instrument har blitt stanset eller begrenset. Videre skal det opplyses om prinsippene for fastsettelsen av de sentrale tekniske parameterne </w:t>
      </w:r>
      <w:r w:rsidRPr="00175F8B">
        <w:t xml:space="preserve">som ligger til grunn for denne beslutningen. På denne måten gjennomføres endringene som er nødvendige for å oppfylle </w:t>
      </w:r>
      <w:proofErr w:type="spellStart"/>
      <w:r w:rsidRPr="00175F8B">
        <w:t>MiFID</w:t>
      </w:r>
      <w:proofErr w:type="spellEnd"/>
      <w:r w:rsidRPr="00175F8B">
        <w:t xml:space="preserve"> II artikkel 48 nr. 5 nytt tredje ledd. Det er allerede en forskriftsbestemmelse i § 11-19 siste ledd som kan benyttes til å gjennomføre nivå 2-regelverket som skal utarbeides etter bestemmelsen.</w:t>
      </w:r>
    </w:p>
    <w:p w14:paraId="1F4AF4A6" w14:textId="77777777" w:rsidR="00080633" w:rsidRPr="00175F8B" w:rsidRDefault="00080633" w:rsidP="00175F8B">
      <w:r w:rsidRPr="00175F8B">
        <w:t>Utvalget bemerker at det ikke er behov for å foreslå endringer for å gjennomføre artikkel 48 nr. 5 nytt tredje ledd for så vidt gjelder regelen om at tilsynsmyndigheten skal ha hjemmel til å tre</w:t>
      </w:r>
      <w:r w:rsidRPr="00175F8B">
        <w:t>ffe tiltak, inkludert å benytte tilsynsvirkemidler som omtalt i artikkel 69 nr. 2 punkt m til p, for å sørge for stabilisering av markedet dersom markedsoperatøren ikke sørger for å overholde sin plikt til å stanse, eller begrense handelen. Utvalget bemerker at artikkel 69 er gjennomført i norsk rett og at eksisterende bestemmelser i verdipapirhandelloven § 12-3, § 15-4 og § 19-7 kan benyttes. Det vises til NOU 2017: 1 kapittel 9 og kapittel 4.</w:t>
      </w:r>
    </w:p>
    <w:p w14:paraId="19985262" w14:textId="77777777" w:rsidR="00080633" w:rsidRPr="00175F8B" w:rsidRDefault="00080633" w:rsidP="00175F8B">
      <w:pPr>
        <w:pStyle w:val="Overskrift2"/>
      </w:pPr>
      <w:r w:rsidRPr="00175F8B">
        <w:t>Endringer i reglene om beste resultat ved utførelse av ordre</w:t>
      </w:r>
    </w:p>
    <w:p w14:paraId="039D376C" w14:textId="77777777" w:rsidR="00080633" w:rsidRPr="00175F8B" w:rsidRDefault="00080633" w:rsidP="00175F8B">
      <w:pPr>
        <w:pStyle w:val="Overskrift3"/>
      </w:pPr>
      <w:r w:rsidRPr="00175F8B">
        <w:t>Gjeldende rett</w:t>
      </w:r>
    </w:p>
    <w:p w14:paraId="4163D817" w14:textId="074BD275" w:rsidR="00080633" w:rsidRPr="00175F8B" w:rsidRDefault="00080633" w:rsidP="00175F8B">
      <w:r w:rsidRPr="00175F8B">
        <w:t>Verdipapirhandelloven §§ 10-19 og 10-20 gir regler om beste resultat ved utførelse av ordre. Bestemmelsene gjennomfør</w:t>
      </w:r>
      <w:r w:rsidRPr="00175F8B">
        <w:t xml:space="preserve">er </w:t>
      </w:r>
      <w:proofErr w:type="spellStart"/>
      <w:r w:rsidRPr="00175F8B">
        <w:t>MiFID</w:t>
      </w:r>
      <w:proofErr w:type="spellEnd"/>
      <w:r w:rsidRPr="00175F8B">
        <w:t xml:space="preserve"> II artikkel 27. Generelle regler om foretakets plikter knyttet til beste utførelse er gitt i § 10-19, mens regler om rapportering er gitt i § 10-20. Verdipapirhandelloven § 10-20 første ledd gjennomfører </w:t>
      </w:r>
      <w:proofErr w:type="spellStart"/>
      <w:r w:rsidRPr="00175F8B">
        <w:t>MiFID</w:t>
      </w:r>
      <w:proofErr w:type="spellEnd"/>
      <w:r w:rsidRPr="00175F8B">
        <w:t xml:space="preserve"> II artikkel 27 nr. 3, med unntak av kravet om at verdipapirforetaket skal informere kunden om hvor ordren ble utført, som er gjennomført i § 10</w:t>
      </w:r>
      <w:r w:rsidR="00175F8B">
        <w:t>-</w:t>
      </w:r>
      <w:r w:rsidRPr="00175F8B">
        <w:t xml:space="preserve">19 tiende ledd. Verdipapirhandelloven § 10-19 annet ledd gjennomfører </w:t>
      </w:r>
      <w:proofErr w:type="spellStart"/>
      <w:r w:rsidRPr="00175F8B">
        <w:t>MiFID</w:t>
      </w:r>
      <w:proofErr w:type="spellEnd"/>
      <w:r w:rsidRPr="00175F8B">
        <w:t xml:space="preserve"> II artikkel 27 nr. 6. De øvrige bestemmelsene i </w:t>
      </w:r>
      <w:proofErr w:type="spellStart"/>
      <w:r w:rsidRPr="00175F8B">
        <w:t>MiFID</w:t>
      </w:r>
      <w:proofErr w:type="spellEnd"/>
      <w:r w:rsidRPr="00175F8B">
        <w:t xml:space="preserve"> II artikkel 27 er gjennomført i § 10-19.</w:t>
      </w:r>
    </w:p>
    <w:p w14:paraId="2E65CA7D" w14:textId="77777777" w:rsidR="00080633" w:rsidRPr="00175F8B" w:rsidRDefault="00080633" w:rsidP="00175F8B">
      <w:r w:rsidRPr="00175F8B">
        <w:t>Verdipapirhandelloven § 10-19 fastsetter at verdipapirforetak ved utførelse av en kundeordre skal gjennomføre tilstrekkelige tiltak for å oppnå best mulig resultat for kunden. Pris, kostnader, hurtighet, sannsynlighet for gjennomføring og oppgjør av ordren, ordrens størrelse og art, samt andre relevante forhold for å utføre kundeordren, sk</w:t>
      </w:r>
      <w:r w:rsidRPr="00175F8B">
        <w:t>al hensyntas. Det gis særlige regler om hvordan beste resultat bestemmes for ikke-profesjonelle kunder. Det gis videre regler om hvordan verdipapirforetak skal ta hensyn til egne provisjoner og kostnader i beregningen av resultat ved utførelse av ordre, se bestemmelsens første til tredje ledd. Bestemmelsens fjerde til niende ledd gir (i hovedsak) regler om retningslinjer og rutiner for å etterleve reglene om beste utførelse. Tiende ledd fastsetter at verdipapirforetak etter å ha utført en kundeordre, skal i</w:t>
      </w:r>
      <w:r w:rsidRPr="00175F8B">
        <w:t>nformere kunden om hvor ordren ble utført. Ellevte ledd fastsetter at verdipapirforetak ikke skal motta penge- eller naturalytelser for å utføre ordrer ved en bestemt handelsplass eller utførelsesplass som strider mot bestemmelsene i verdipapirhandelloven § 9-16 første ledd nr. 2, § 10-2 eller § 10-12. For nærmere beskrivelse av reglene viser utvalget til NOU 2017: 1 kapittel 6.11.</w:t>
      </w:r>
    </w:p>
    <w:p w14:paraId="1215F8FA" w14:textId="77777777" w:rsidR="00080633" w:rsidRPr="00175F8B" w:rsidRDefault="00080633" w:rsidP="00175F8B">
      <w:pPr>
        <w:pStyle w:val="Overskrift3"/>
      </w:pPr>
      <w:r w:rsidRPr="00175F8B">
        <w:t>Forventet EØS-rett</w:t>
      </w:r>
    </w:p>
    <w:p w14:paraId="6FFD40F2" w14:textId="77777777" w:rsidR="00080633" w:rsidRPr="00175F8B" w:rsidRDefault="00080633" w:rsidP="00175F8B">
      <w:proofErr w:type="spellStart"/>
      <w:r w:rsidRPr="00175F8B">
        <w:t>MiFID</w:t>
      </w:r>
      <w:proofErr w:type="spellEnd"/>
      <w:r w:rsidRPr="00175F8B">
        <w:t xml:space="preserve"> II artikkel 27 nr. 3 og nr. 6 som gir rapporteringsregler knyttet til beste utførelse av ordre, oppheves. I fortalen til direktiv 2024/790 avsnitt 8, vises det til at rapportene, som inneholder lister med opplysninger knyttet til plikten til å utføre ordrer på den måten som gir kunden best utførelse (best </w:t>
      </w:r>
      <w:proofErr w:type="spellStart"/>
      <w:r w:rsidRPr="00175F8B">
        <w:t>execution</w:t>
      </w:r>
      <w:proofErr w:type="spellEnd"/>
      <w:r w:rsidRPr="00175F8B">
        <w:t xml:space="preserve">), bare unntaksvis leses. Det vises videre til at opplysningene i rapporten ikke er egnet til å gi investorer </w:t>
      </w:r>
      <w:r w:rsidRPr="00175F8B">
        <w:lastRenderedPageBreak/>
        <w:t>eller andre interessenter grunnlag for å gjøre meningsfulle sammenligninger av oppfyl</w:t>
      </w:r>
      <w:r w:rsidRPr="00175F8B">
        <w:t xml:space="preserve">lelsen av reglene. Av nevnte grunner har plikten til å rapportere de siste årene dels vært suspendert og dels har den ikke vært gjenstand for </w:t>
      </w:r>
      <w:proofErr w:type="spellStart"/>
      <w:r w:rsidRPr="00175F8B">
        <w:t>tilsynsmessig</w:t>
      </w:r>
      <w:proofErr w:type="spellEnd"/>
      <w:r w:rsidRPr="00175F8B">
        <w:t xml:space="preserve"> oppfølging. Den konsoliderte handelsinformasjonen er etter endringene forventet å gi opplysninger på løpende basis om pre- og post-trade informasjon for aksjer og andre egenkapitalinstrumenter, samt post-trade informasjon om alle transaksjoner i obligasjoner og OTC-derivater. Denne informasjonen kan anvendes for å vise beste utførelse. Rapporteringskrave</w:t>
      </w:r>
      <w:r w:rsidRPr="00175F8B">
        <w:t>t vil derfor ikke lenger være relevant.</w:t>
      </w:r>
    </w:p>
    <w:p w14:paraId="61B1719B" w14:textId="77777777" w:rsidR="00080633" w:rsidRPr="00175F8B" w:rsidRDefault="00080633" w:rsidP="00175F8B">
      <w:r w:rsidRPr="00175F8B">
        <w:t>Fortalen til direktiv 2024/790 avsnitt 9 fremholder at reglene om beste utførelse på visse områder har vært gjenstand for ulik tolkning blant nasjonale tilsynsmyndigheter, og at dette har ført til store forskjeller i praktisering av reglene om beste utførelse og tilsynet med markedspraksis. Dette gjelder særlig for reglene om å motta vederlag for å utføre ordrer ved en bestemt handelsplass eller utførelsesplass.</w:t>
      </w:r>
    </w:p>
    <w:p w14:paraId="6F604483" w14:textId="77777777" w:rsidR="00080633" w:rsidRPr="00175F8B" w:rsidRDefault="00080633" w:rsidP="00175F8B">
      <w:r w:rsidRPr="00175F8B">
        <w:t xml:space="preserve">For å legge til rette for enhetlig praktisering av regelverket, oppheves </w:t>
      </w:r>
      <w:proofErr w:type="spellStart"/>
      <w:r w:rsidRPr="00175F8B">
        <w:t>MiFID</w:t>
      </w:r>
      <w:proofErr w:type="spellEnd"/>
      <w:r w:rsidRPr="00175F8B">
        <w:t xml:space="preserve"> II artikkel 27 nr. 2, mens </w:t>
      </w:r>
      <w:proofErr w:type="spellStart"/>
      <w:r w:rsidRPr="00175F8B">
        <w:t>MiFIR</w:t>
      </w:r>
      <w:proofErr w:type="spellEnd"/>
      <w:r w:rsidRPr="00175F8B">
        <w:t xml:space="preserve"> artikkel 39a får en ny regel som gir forbud mot betaling for ordreflyt. Bestemmelsen forbyr at verdipapirforetak mottar noen form for vederlag fra en tredjepart for å utføre en ordre på en bestemt utførelsesplass</w:t>
      </w:r>
      <w:r w:rsidRPr="00175F8B">
        <w:rPr>
          <w:rStyle w:val="Fotnotereferanse"/>
        </w:rPr>
        <w:footnoteReference w:id="5"/>
      </w:r>
      <w:r w:rsidRPr="00175F8B">
        <w:t>, eller for å videreformidle kundeordre til noen tredjepart for utførelse på en bestemt utførelsesplass (betaling for ordreflyt), når kunden er ikke-profesjonell eller har valgt å bli behandlet som profesjonell.</w:t>
      </w:r>
    </w:p>
    <w:p w14:paraId="5B31436F" w14:textId="77777777" w:rsidR="00080633" w:rsidRPr="00175F8B" w:rsidRDefault="00080633" w:rsidP="00175F8B">
      <w:r w:rsidRPr="00175F8B">
        <w:t>I fortalen til forordning 2024/791 avsnitt 39 understrekes det at en utførelsesplass utelukkende skal velges ut fra hva som gir beste utførelse for kunden. Det heter videre at det er uforenlig med prinsippet om beste utførelse å motta vederlag for å rute ordre til en bestemt utførelsesplass for kunder som er ikke-profesjonelle eller som har valgt å bli behandlet som profesjonelle. Rabatter eller avslag på utførelsesplassens transaksjonsavgifter omfattes ikke av forbudet, forutsatt at de er tillatt i overens</w:t>
      </w:r>
      <w:r w:rsidRPr="00175F8B">
        <w:t xml:space="preserve">temmelse med en godkjent og offentliggjort avgiftsstruktur på en handelsplass i EØS eller i et tredjeland, og utelukkende kommer kunden til gode, se </w:t>
      </w:r>
      <w:proofErr w:type="spellStart"/>
      <w:r w:rsidRPr="00175F8B">
        <w:t>MiFIR</w:t>
      </w:r>
      <w:proofErr w:type="spellEnd"/>
      <w:r w:rsidRPr="00175F8B">
        <w:t xml:space="preserve"> artikkel 39a nr. 1 annet ledd.</w:t>
      </w:r>
    </w:p>
    <w:p w14:paraId="0BF4DE42" w14:textId="77777777" w:rsidR="00080633" w:rsidRPr="00175F8B" w:rsidRDefault="00080633" w:rsidP="00175F8B">
      <w:r w:rsidRPr="00175F8B">
        <w:t xml:space="preserve">Medlemsstater hvor verdipapirforetak har mottatt vederlag for ruting av ordre før endringene i </w:t>
      </w:r>
      <w:proofErr w:type="spellStart"/>
      <w:r w:rsidRPr="00175F8B">
        <w:t>MiFID</w:t>
      </w:r>
      <w:proofErr w:type="spellEnd"/>
      <w:r w:rsidRPr="00175F8B">
        <w:t xml:space="preserve"> II og </w:t>
      </w:r>
      <w:proofErr w:type="spellStart"/>
      <w:r w:rsidRPr="00175F8B">
        <w:t>MiFIR</w:t>
      </w:r>
      <w:proofErr w:type="spellEnd"/>
      <w:r w:rsidRPr="00175F8B">
        <w:t xml:space="preserve"> trer i kraft, kan gi unntak fra forbudet frem til juni 2026 for verdipapirforetak som yter slike tjenester til klienter som er bosatt eller etablert i medlemsstaten.</w:t>
      </w:r>
    </w:p>
    <w:p w14:paraId="4BFF30CA" w14:textId="77777777" w:rsidR="00080633" w:rsidRPr="00175F8B" w:rsidRDefault="00080633" w:rsidP="00175F8B">
      <w:r w:rsidRPr="00175F8B">
        <w:t xml:space="preserve">De nye reglene i </w:t>
      </w:r>
      <w:proofErr w:type="spellStart"/>
      <w:r w:rsidRPr="00175F8B">
        <w:t>MiFIR</w:t>
      </w:r>
      <w:proofErr w:type="spellEnd"/>
      <w:r w:rsidRPr="00175F8B">
        <w:t xml:space="preserve"> får som nevnt </w:t>
      </w:r>
      <w:proofErr w:type="gramStart"/>
      <w:r w:rsidRPr="00175F8B">
        <w:t>anvendelse</w:t>
      </w:r>
      <w:proofErr w:type="gramEnd"/>
      <w:r w:rsidRPr="00175F8B">
        <w:t xml:space="preserve"> for ikke-profesjonelle kunder og kunder som selv har valgt å bli behandlet som profesjonelle. I fortalen til direktiv 2024/790 avsnitt 9 understrekes det imidlertid at kravene til beste utførelse for profesjonelle kunder også kan trenge enkelte presiseringer. ESMA gis i ny artikkel 27 nr. 10 i oppdrag å utarbeide utkast til nivå 2-regelverk som presiserer kriteriene som skal legges til grunn ved fastleggelse av og kontroll med foretakenes rutiner og retningslinjer for beste ut</w:t>
      </w:r>
      <w:r w:rsidRPr="00175F8B">
        <w:t>førelse. Forskjellen mellom ikke-profesjonelle og profesjonelle kunder skal tas i betraktning.</w:t>
      </w:r>
    </w:p>
    <w:p w14:paraId="17FF92AC" w14:textId="77777777" w:rsidR="00080633" w:rsidRPr="00175F8B" w:rsidRDefault="00080633" w:rsidP="00175F8B">
      <w:pPr>
        <w:pStyle w:val="Overskrift3"/>
      </w:pPr>
      <w:r w:rsidRPr="00175F8B">
        <w:t>Utvalgets forslag</w:t>
      </w:r>
    </w:p>
    <w:p w14:paraId="42AA896E" w14:textId="77777777" w:rsidR="00080633" w:rsidRPr="00175F8B" w:rsidRDefault="00080633" w:rsidP="00175F8B">
      <w:r w:rsidRPr="00175F8B">
        <w:t xml:space="preserve">Utvalget foreslår å oppheve verdipapirhandelloven § 10-20 om offentliggjøring av informasjon om ordreutførelse, ettersom korresponderende bestemmelse i </w:t>
      </w:r>
      <w:proofErr w:type="spellStart"/>
      <w:r w:rsidRPr="00175F8B">
        <w:t>MiFID</w:t>
      </w:r>
      <w:proofErr w:type="spellEnd"/>
      <w:r w:rsidRPr="00175F8B">
        <w:t xml:space="preserve"> II artikkel 27 oppheves. Verdipapirhandelloven § 10-19 åttende ledd justeres i henhold til forslaget, slik at henvisningen til § 10-20 utgår. Utvalget bemerker for ordens skyld at de delene av </w:t>
      </w:r>
      <w:proofErr w:type="spellStart"/>
      <w:r w:rsidRPr="00175F8B">
        <w:t>MiFID</w:t>
      </w:r>
      <w:proofErr w:type="spellEnd"/>
      <w:r w:rsidRPr="00175F8B">
        <w:t xml:space="preserve"> II artikkel 27 nr. 3 som beholdes, er gjennomført i verdipapirhandelloven § 10-19 nr. 10.</w:t>
      </w:r>
    </w:p>
    <w:p w14:paraId="23671C9A" w14:textId="77777777" w:rsidR="00080633" w:rsidRPr="00175F8B" w:rsidRDefault="00080633" w:rsidP="00175F8B">
      <w:r w:rsidRPr="00175F8B">
        <w:t xml:space="preserve">Utvalget foreslår videre å oppheve § 10-19 nr. 11. Utvalget bemerker at korresponderende bestemmelse i </w:t>
      </w:r>
      <w:proofErr w:type="spellStart"/>
      <w:r w:rsidRPr="00175F8B">
        <w:t>MiFID</w:t>
      </w:r>
      <w:proofErr w:type="spellEnd"/>
      <w:r w:rsidRPr="00175F8B">
        <w:t xml:space="preserve"> II artikkel 27 nr. 2 oppheves, og at nye regler om forbud mot betaling for ordreflyt der kunden er ikke-profesjonell eller har valgt å bli behandlet som profesjonell, er gitt i </w:t>
      </w:r>
      <w:proofErr w:type="spellStart"/>
      <w:r w:rsidRPr="00175F8B">
        <w:t>MiFIR</w:t>
      </w:r>
      <w:proofErr w:type="spellEnd"/>
      <w:r w:rsidRPr="00175F8B">
        <w:t xml:space="preserve"> artikkel 39a. Disse reglene vil gjelde direkte.</w:t>
      </w:r>
    </w:p>
    <w:p w14:paraId="45C0F90A" w14:textId="77777777" w:rsidR="00080633" w:rsidRPr="00175F8B" w:rsidRDefault="00080633" w:rsidP="00175F8B">
      <w:proofErr w:type="spellStart"/>
      <w:r w:rsidRPr="00175F8B">
        <w:t>MiFIR</w:t>
      </w:r>
      <w:proofErr w:type="spellEnd"/>
      <w:r w:rsidRPr="00175F8B">
        <w:t xml:space="preserve"> artikkel 39a nr. 2 gir mulighet for at nasjonale myndigheter kan gi unntak fra regelen frem til juni 2026 for verdipapirforetak som yter slike tjenester til klienter som er bosatt eller etablert i medlemsstaten. Utvalget kan ikke se at det er grunnlag for å foreslå et midlertidig unntak i det norske markedet. Utvalget bemerker </w:t>
      </w:r>
      <w:proofErr w:type="gramStart"/>
      <w:r w:rsidRPr="00175F8B">
        <w:t>for øvrig</w:t>
      </w:r>
      <w:proofErr w:type="gramEnd"/>
      <w:r w:rsidRPr="00175F8B">
        <w:t xml:space="preserve"> at Finansdepartementet den 17. august 2022 sendte Finanstilsynets høringsnotat av 27. juni 2022, «Nasjonalt forbud mot returprovisjon», på høring. Finanstilsynet foreslo et</w:t>
      </w:r>
      <w:r w:rsidRPr="00175F8B">
        <w:t xml:space="preserve"> generelt forbud mot returprovisjon. Forslaget omfatter, </w:t>
      </w:r>
      <w:r w:rsidRPr="00175F8B">
        <w:lastRenderedPageBreak/>
        <w:t>men er ikke begrenset til, forbud mot vederlag for ruting av ordre. Forslaget er for tiden til behandling i departementet.</w:t>
      </w:r>
    </w:p>
    <w:p w14:paraId="171EDE36" w14:textId="77777777" w:rsidR="00080633" w:rsidRPr="00175F8B" w:rsidRDefault="00080633" w:rsidP="00175F8B">
      <w:pPr>
        <w:pStyle w:val="Overskrift2"/>
      </w:pPr>
      <w:r w:rsidRPr="00175F8B">
        <w:t>Endringer i posisjonsgrenseregimet i varederivatmarkedet</w:t>
      </w:r>
    </w:p>
    <w:p w14:paraId="163F6E79" w14:textId="77777777" w:rsidR="00080633" w:rsidRPr="00175F8B" w:rsidRDefault="00080633" w:rsidP="00175F8B">
      <w:pPr>
        <w:pStyle w:val="Overskrift3"/>
      </w:pPr>
      <w:r w:rsidRPr="00175F8B">
        <w:t>Gjeldende rett</w:t>
      </w:r>
    </w:p>
    <w:p w14:paraId="1A7DDBEB" w14:textId="77777777" w:rsidR="00080633" w:rsidRPr="00175F8B" w:rsidRDefault="00080633" w:rsidP="00175F8B">
      <w:r w:rsidRPr="00175F8B">
        <w:t>Kapittel 15 i verdipapirhandelloven gir regler om fastsettelse, rapportering og håndheving av posisjonsgrenser. I kapittelet gis det regler om fastsettelse av grenser for hvor store posisjoner som kan innehas i varederivater og tilsynsmyndighetens håndheving av grensene, herunder hjemler til å fatte vedtak om å redusere posisjoner og/eller begrense adgangen til å inngå nye varederivatkontrakter. Det er videre fastsatt krav om kontrollmekanismer på handelsplassene for overvåkning av aktørenes posisjoner og r</w:t>
      </w:r>
      <w:r w:rsidRPr="00175F8B">
        <w:t>egler for rapportering av posisjonene til tilsynsmyndigheten og ESMA.</w:t>
      </w:r>
    </w:p>
    <w:p w14:paraId="696A968B" w14:textId="77777777" w:rsidR="00080633" w:rsidRPr="00175F8B" w:rsidRDefault="00080633" w:rsidP="00175F8B">
      <w:r w:rsidRPr="00175F8B">
        <w:t>Verdipapirhandelloven § 15-1 gir regler om Finanstilsynets beregning og fastsettelse av posisjonsgrenser. Reglene omfatter varederivater som handles på norske handelsplasser, og økonomisk likeverdige derivatkontrakter som handles OTC, dersom disse varederivatene enten er landbruksvarederivater, eller anses som kritiske eller vesentlige. Finanstilsynet har fastsatt posisjonsgrenser i forskrift om posisjonsgrenser for varederivater av 20. d</w:t>
      </w:r>
      <w:r w:rsidRPr="00175F8B">
        <w:t xml:space="preserve">esember 2017. Verdipapirhandelloven § 15-1 gjennomfører </w:t>
      </w:r>
      <w:proofErr w:type="spellStart"/>
      <w:r w:rsidRPr="00175F8B">
        <w:t>MiFID</w:t>
      </w:r>
      <w:proofErr w:type="spellEnd"/>
      <w:r w:rsidRPr="00175F8B">
        <w:t xml:space="preserve"> II artikkel 57, unntatt artikkel 57 nr. 8. Artikkel 57 nr. 8 gjennomføres i verdipapirhandelloven § 15-2 og gir regler om handelsplassenes kontroll med posisjonshåndtering. Bestemmelsen stiller krav om at verdipapirforetak og markedsoperatører som driver en handelsplass der det handles varederivater, skal foreta kontroll av posisjonshåndteringen på handelsplassen. Som ledd i denne kontrollen skal handelsplassen kunne overvåke enhver persons åpne </w:t>
      </w:r>
      <w:r w:rsidRPr="00175F8B">
        <w:t>posisjoner, innhente opplysninger, kreve at en person midlertidig eller varig avslutter eller reduserer en posisjon mv.</w:t>
      </w:r>
    </w:p>
    <w:p w14:paraId="391E39F9" w14:textId="77777777" w:rsidR="00080633" w:rsidRPr="00175F8B" w:rsidRDefault="00080633" w:rsidP="00175F8B">
      <w:r w:rsidRPr="00175F8B">
        <w:t xml:space="preserve">Verdipapirhandelloven § 15-3 gir regler om rapportering av posisjoner og gjennomfører </w:t>
      </w:r>
      <w:proofErr w:type="spellStart"/>
      <w:r w:rsidRPr="00175F8B">
        <w:t>MiFID</w:t>
      </w:r>
      <w:proofErr w:type="spellEnd"/>
      <w:r w:rsidRPr="00175F8B">
        <w:t xml:space="preserve"> II artikkel 58. Bestemmelsen omfatter rapportering av posisjoner i varederivater, utslippskvoter og derivater med utslippskvoter som underliggende. Rapporteringsplikten omfatter flere instrumenter enn det reglene om posisjonsgrenser gjør, ettersom også utslippskvoter og derivater med slike som underliggende, er omfattet. Bestemmelsen gir regler om både ukentlig og daglig rapportering. Rapporteringsplikten retter seg mot verdipapirforetak og markedsoperatører som driver en handelsplass der nevnte instr</w:t>
      </w:r>
      <w:r w:rsidRPr="00175F8B">
        <w:t>umenter handles.</w:t>
      </w:r>
    </w:p>
    <w:p w14:paraId="57A2D960" w14:textId="77777777" w:rsidR="00080633" w:rsidRPr="00175F8B" w:rsidRDefault="00080633" w:rsidP="00175F8B">
      <w:pPr>
        <w:pStyle w:val="Overskrift3"/>
      </w:pPr>
      <w:r w:rsidRPr="00175F8B">
        <w:t>Forventet EØS-rett</w:t>
      </w:r>
    </w:p>
    <w:p w14:paraId="1D7A2280" w14:textId="77777777" w:rsidR="00080633" w:rsidRPr="00175F8B" w:rsidRDefault="00080633" w:rsidP="00175F8B">
      <w:r w:rsidRPr="00175F8B">
        <w:t>Det gjør</w:t>
      </w:r>
      <w:r w:rsidRPr="00175F8B">
        <w:t xml:space="preserve">es endringer i virkeområdet for </w:t>
      </w:r>
      <w:proofErr w:type="spellStart"/>
      <w:r w:rsidRPr="00175F8B">
        <w:t>MiFID</w:t>
      </w:r>
      <w:proofErr w:type="spellEnd"/>
      <w:r w:rsidRPr="00175F8B">
        <w:t xml:space="preserve"> II artikkel 57 og 58. Endringene baserer seg i stor grad på forslag i </w:t>
      </w:r>
      <w:proofErr w:type="spellStart"/>
      <w:r w:rsidRPr="00175F8B">
        <w:t>ESMAs</w:t>
      </w:r>
      <w:proofErr w:type="spellEnd"/>
      <w:r w:rsidRPr="00175F8B">
        <w:t xml:space="preserve"> rapport om utslippskvoter og tilknyttede derivater.</w:t>
      </w:r>
      <w:r w:rsidRPr="00175F8B">
        <w:rPr>
          <w:rStyle w:val="Fotnotereferanse"/>
        </w:rPr>
        <w:footnoteReference w:id="6"/>
      </w:r>
      <w:r w:rsidRPr="00175F8B">
        <w:t xml:space="preserve"> Artikkel 57 utvider reglene om kontroll av posisjonshåndtering til å gjelde for handelsplasser for derivater på utslippskvoter. Utvidelsen gir handelsplasser for derivater på utslippskvoter flere krav til oppfølging av posisjonsholdere som handler på deres handelsplasser. Artikkel 58 får på sin side et snevrere anvendelsesområde idet rapporteringskravene ikke lenger skal gjelde for handel i utslippskvoter, men begrenses til å gjelde for derivater på utslippskvoter og varederivater. Bakgrunnen for endringen</w:t>
      </w:r>
      <w:r w:rsidRPr="00175F8B">
        <w:t xml:space="preserve"> er at posisjonsrapportering på spot-produkter som utslippskvoter ikke har vist seg å være hensiktsmessig. Videre blir klimakvoteregisteret i EU omtalt som et bedre verktøy for overvåking av posisjoner i utslippskvotemarkedet.</w:t>
      </w:r>
    </w:p>
    <w:p w14:paraId="718A4E2E" w14:textId="77777777" w:rsidR="00080633" w:rsidRPr="00175F8B" w:rsidRDefault="00080633" w:rsidP="00175F8B">
      <w:r w:rsidRPr="00175F8B">
        <w:t xml:space="preserve">Det gjøres også endringer i reglene om ukentlig rapportering i </w:t>
      </w:r>
      <w:proofErr w:type="spellStart"/>
      <w:r w:rsidRPr="00175F8B">
        <w:t>MiFID</w:t>
      </w:r>
      <w:proofErr w:type="spellEnd"/>
      <w:r w:rsidRPr="00175F8B">
        <w:t xml:space="preserve"> II artikkel 58 nr. 1. Verdipapirforetak eller markedsoperatør som driver en handelsplass hvor det handles opsjoner, skal heretter offentliggjøre to ukentlige rapporter, hvorav én skal bestå av både futures og opsjoner, og én skal bestå av kun futures. Verdipapirforetak eller markedsoperatør som driver en handelsplass der opsjoner ikke handles, skal fortsette å offentliggjøre én ukentlig rapport. Endringen baserer seg på anbefalinger fra ESMA om at en rapporteringsløsning der det skilles mellom futures</w:t>
      </w:r>
      <w:r w:rsidRPr="00175F8B">
        <w:t xml:space="preserve"> og opsjoner vil kunne gi bedre innsikt i markedet og aktørers posisjonering.</w:t>
      </w:r>
    </w:p>
    <w:p w14:paraId="61E63810" w14:textId="77777777" w:rsidR="00080633" w:rsidRPr="00175F8B" w:rsidRDefault="00080633" w:rsidP="00175F8B">
      <w:r w:rsidRPr="00175F8B">
        <w:t xml:space="preserve">Som en konsekvens av endringene i </w:t>
      </w:r>
      <w:proofErr w:type="spellStart"/>
      <w:r w:rsidRPr="00175F8B">
        <w:t>MiFID</w:t>
      </w:r>
      <w:proofErr w:type="spellEnd"/>
      <w:r w:rsidRPr="00175F8B">
        <w:t xml:space="preserve"> II, må også nivå 2-regelverket om varederivater endres. ESMA har derfor sendt forslag til endringer i kommisjonsforordning 2022/1299 og kommisjonsforordning 2017/1093 (ITS 4) på høring.</w:t>
      </w:r>
    </w:p>
    <w:p w14:paraId="5801B9AB" w14:textId="77777777" w:rsidR="00080633" w:rsidRPr="00175F8B" w:rsidRDefault="00080633" w:rsidP="00175F8B">
      <w:r w:rsidRPr="00175F8B">
        <w:lastRenderedPageBreak/>
        <w:t>I fortalen til direktiv 2024/790 avsnitt 14 varsles det i tillegg at Kommisjonen skal foreta en omfattende gjennomgang av om de overordnede rammene for markedet for varederivater, utslippskoter og derivater med utslippskvoter som underliggende fungerer hensiktsmessig. Kommisjonen skal vurdere om ordningene for posisjon</w:t>
      </w:r>
      <w:r w:rsidRPr="00175F8B">
        <w:t>sgrenser og kontroll av posisjonshåndtering har bidratt til ordnet prisdannelse og oppgjørsforhold, og forebygging av markedsmisbruk. Kommisjonen skal videre vurdere kriteriene for hvorvidt egenhandel eller andre investeringstjenester i varederivater skal anses som en tilknyttet virksomhet til hovedaktiviteten på konsernplan, og dermed være unntatt kravene om tillatelse som verdipapirforetak («</w:t>
      </w:r>
      <w:proofErr w:type="spellStart"/>
      <w:r w:rsidRPr="00175F8B">
        <w:t>ancillary</w:t>
      </w:r>
      <w:proofErr w:type="spellEnd"/>
      <w:r w:rsidRPr="00175F8B">
        <w:t xml:space="preserve"> </w:t>
      </w:r>
      <w:proofErr w:type="spellStart"/>
      <w:r w:rsidRPr="00175F8B">
        <w:t>activity</w:t>
      </w:r>
      <w:proofErr w:type="spellEnd"/>
      <w:r w:rsidRPr="00175F8B">
        <w:t xml:space="preserve">-unntaket»). Oppdraget til Kommisjonen er tatt inn i </w:t>
      </w:r>
      <w:proofErr w:type="spellStart"/>
      <w:r w:rsidRPr="00175F8B">
        <w:t>MiFID</w:t>
      </w:r>
      <w:proofErr w:type="spellEnd"/>
      <w:r w:rsidRPr="00175F8B">
        <w:t xml:space="preserve"> II artikkel 90.</w:t>
      </w:r>
    </w:p>
    <w:p w14:paraId="553CB8A0" w14:textId="77777777" w:rsidR="00080633" w:rsidRPr="00175F8B" w:rsidRDefault="00080633" w:rsidP="00175F8B">
      <w:pPr>
        <w:pStyle w:val="Overskrift3"/>
      </w:pPr>
      <w:r w:rsidRPr="00175F8B">
        <w:t>Utvalgets forslag</w:t>
      </w:r>
    </w:p>
    <w:p w14:paraId="1583B45C" w14:textId="77777777" w:rsidR="00080633" w:rsidRPr="00175F8B" w:rsidRDefault="00080633" w:rsidP="00175F8B">
      <w:r w:rsidRPr="00175F8B">
        <w:t>Det gjøres ingen endringer i reglene om fastsettelse av posisjonsgrenser, men anvendelsesområdet for bestemmelsene om posisjonsrapportering innskrenkes til kun å omfatte varederivater og derivater på utslippskvoter. Rapporteringen av posisjoner i utslippskvoter har vist seg uegnet for formålet og foreslås fjernet i tråd med endringsdirektivet. Reglene om rapportering utvides for handelsplasser der det handles opsjoner, slik at disse må offentliggjøre to ukentlige rapporter der den ene ikke omfatter opsjoner</w:t>
      </w:r>
      <w:r w:rsidRPr="00175F8B">
        <w:t xml:space="preserve">. Det vil si at den ene rapporten skal omfatte futures og opsjoner, mens den andre kun skal omfatte futures. Handelsplasser der det ikke handles opsjoner, skal fortsette å offentliggjøre én rapport som kun inneholder futures. Endringene er inntatt i verdipapirhandelloven §§ 15-2 og 15-3. Utvalget bemerker </w:t>
      </w:r>
      <w:proofErr w:type="gramStart"/>
      <w:r w:rsidRPr="00175F8B">
        <w:t>for øvrig</w:t>
      </w:r>
      <w:proofErr w:type="gramEnd"/>
      <w:r w:rsidRPr="00175F8B">
        <w:t xml:space="preserve"> at Kommisjonen skal foreta en omfattende gjennomgang av rammeverket for markedet for varederivater, utslippskvoter og derivater med utslippskvoter som underliggende.</w:t>
      </w:r>
    </w:p>
    <w:p w14:paraId="78AAE5EA" w14:textId="77777777" w:rsidR="00080633" w:rsidRPr="00175F8B" w:rsidRDefault="00080633" w:rsidP="00175F8B">
      <w:pPr>
        <w:pStyle w:val="Overskrift2"/>
      </w:pPr>
      <w:r w:rsidRPr="00175F8B">
        <w:t>Kort om tilsyn og sanksjoner</w:t>
      </w:r>
    </w:p>
    <w:p w14:paraId="4F434090" w14:textId="77777777" w:rsidR="00080633" w:rsidRPr="00175F8B" w:rsidRDefault="00080633" w:rsidP="00175F8B">
      <w:r w:rsidRPr="00175F8B">
        <w:t xml:space="preserve">Ettersom endringene i </w:t>
      </w:r>
      <w:proofErr w:type="spellStart"/>
      <w:r w:rsidRPr="00175F8B">
        <w:t>MiFID</w:t>
      </w:r>
      <w:proofErr w:type="spellEnd"/>
      <w:r w:rsidRPr="00175F8B">
        <w:t xml:space="preserve"> II artikkel 70 om sanksjonering av overtredelser ikke medfører behov for endringer i verdipapirhandelloven, knytter utvalget kun korte kommentarer til endringene i bestemmelsen.</w:t>
      </w:r>
    </w:p>
    <w:p w14:paraId="6210A635" w14:textId="77777777" w:rsidR="00080633" w:rsidRPr="00175F8B" w:rsidRDefault="00080633" w:rsidP="00175F8B">
      <w:proofErr w:type="spellStart"/>
      <w:r w:rsidRPr="00175F8B">
        <w:t>MiFID</w:t>
      </w:r>
      <w:proofErr w:type="spellEnd"/>
      <w:r w:rsidRPr="00175F8B">
        <w:t xml:space="preserve"> II artikkel 70 fastsetter at nasjonale tilsynsmyndigheter skal ha nærmere angitte forvaltningstiltak og sanksjoner til rådighet, herunder overtredelsesgebyr, se artikkel 70 nr. 6 bokstav a til h. De angitte forvaltningstiltak og sanksjoner skal (minst) kunne ilegges for overtredelse av de bestemmelsene i </w:t>
      </w:r>
      <w:proofErr w:type="spellStart"/>
      <w:r w:rsidRPr="00175F8B">
        <w:t>MiFID</w:t>
      </w:r>
      <w:proofErr w:type="spellEnd"/>
      <w:r w:rsidRPr="00175F8B">
        <w:t xml:space="preserve"> II og </w:t>
      </w:r>
      <w:proofErr w:type="spellStart"/>
      <w:r w:rsidRPr="00175F8B">
        <w:t>MiFIR</w:t>
      </w:r>
      <w:proofErr w:type="spellEnd"/>
      <w:r w:rsidRPr="00175F8B">
        <w:t xml:space="preserve"> som er angitt i artikkel 70 nr. 3. Når det gjelder gjennomføring av bestemmelsen i verdipapirhandelloven, viser utvalget til Prop. 96 LS (2018–2019), hvor Finansdepartementet foretok en e</w:t>
      </w:r>
      <w:r w:rsidRPr="00175F8B">
        <w:t xml:space="preserve">nhetlig vurdering av verdipapirhandellovens regler om tilsyn og sanksjoner i lys av en rekke direktiver og forordninger med mer eller mindre like bestemmelser om </w:t>
      </w:r>
      <w:proofErr w:type="spellStart"/>
      <w:r w:rsidRPr="00175F8B">
        <w:t>tilsynsmessig</w:t>
      </w:r>
      <w:proofErr w:type="spellEnd"/>
      <w:r w:rsidRPr="00175F8B">
        <w:t xml:space="preserve"> oppfølgning og sanksjonering av overtredelser, herunder reglene i </w:t>
      </w:r>
      <w:proofErr w:type="spellStart"/>
      <w:r w:rsidRPr="00175F8B">
        <w:t>MiFID</w:t>
      </w:r>
      <w:proofErr w:type="spellEnd"/>
      <w:r w:rsidRPr="00175F8B">
        <w:t xml:space="preserve"> II.</w:t>
      </w:r>
    </w:p>
    <w:p w14:paraId="33C52D8D" w14:textId="77777777" w:rsidR="00080633" w:rsidRPr="00175F8B" w:rsidRDefault="00080633" w:rsidP="00175F8B">
      <w:r w:rsidRPr="00175F8B">
        <w:t xml:space="preserve">Utvalget bemerker videre at endringene i </w:t>
      </w:r>
      <w:proofErr w:type="spellStart"/>
      <w:r w:rsidRPr="00175F8B">
        <w:t>MiFID</w:t>
      </w:r>
      <w:proofErr w:type="spellEnd"/>
      <w:r w:rsidRPr="00175F8B">
        <w:t xml:space="preserve"> II artikkel 70 nr. 3 som gjøres i direktiv 2024/790, innebærer at bestemmelsene som skal omfattes av reglene om administrative sanksjoner og andre forvaltningstiltak oppdateres i henhold </w:t>
      </w:r>
      <w:proofErr w:type="gramStart"/>
      <w:r w:rsidRPr="00175F8B">
        <w:t>øvrige endringer</w:t>
      </w:r>
      <w:proofErr w:type="gramEnd"/>
      <w:r w:rsidRPr="00175F8B">
        <w:t xml:space="preserve"> i </w:t>
      </w:r>
      <w:proofErr w:type="spellStart"/>
      <w:r w:rsidRPr="00175F8B">
        <w:t>MiFID</w:t>
      </w:r>
      <w:proofErr w:type="spellEnd"/>
      <w:r w:rsidRPr="00175F8B">
        <w:t xml:space="preserve"> II og </w:t>
      </w:r>
      <w:proofErr w:type="spellStart"/>
      <w:r w:rsidRPr="00175F8B">
        <w:t>MiFIR</w:t>
      </w:r>
      <w:proofErr w:type="spellEnd"/>
      <w:r w:rsidRPr="00175F8B">
        <w:t xml:space="preserve">. Nye bestemmelser i </w:t>
      </w:r>
      <w:proofErr w:type="spellStart"/>
      <w:r w:rsidRPr="00175F8B">
        <w:t>MiFIR</w:t>
      </w:r>
      <w:proofErr w:type="spellEnd"/>
      <w:r w:rsidRPr="00175F8B">
        <w:t xml:space="preserve"> vil også bli omfattet av reglene, herunder bestemmelsene om den nye «</w:t>
      </w:r>
      <w:proofErr w:type="spellStart"/>
      <w:r w:rsidRPr="00175F8B">
        <w:t>volume</w:t>
      </w:r>
      <w:proofErr w:type="spellEnd"/>
      <w:r w:rsidRPr="00175F8B">
        <w:t xml:space="preserve"> </w:t>
      </w:r>
      <w:proofErr w:type="spellStart"/>
      <w:r w:rsidRPr="00175F8B">
        <w:t>cap</w:t>
      </w:r>
      <w:proofErr w:type="spellEnd"/>
      <w:r w:rsidRPr="00175F8B">
        <w:t xml:space="preserve">» -mekanismen, reglene om pliktige bidrag til </w:t>
      </w:r>
      <w:proofErr w:type="spellStart"/>
      <w:r w:rsidRPr="00175F8B">
        <w:t>CTPene</w:t>
      </w:r>
      <w:proofErr w:type="spellEnd"/>
      <w:r w:rsidRPr="00175F8B">
        <w:t>, reglene om datakvalitet på rapportering til CTP og forbudet mot å ta betalt for ruting av ordre.</w:t>
      </w:r>
    </w:p>
    <w:p w14:paraId="2E713C16" w14:textId="77777777" w:rsidR="00080633" w:rsidRPr="00175F8B" w:rsidRDefault="00080633" w:rsidP="00175F8B">
      <w:r w:rsidRPr="00175F8B">
        <w:t>Reglene om forvaltningstil</w:t>
      </w:r>
      <w:r w:rsidRPr="00175F8B">
        <w:t>tak og administrative sanksjoner i artikkel 70 er dels innarbeidet i verdipapirhandelloven kapittel 19 om tilsyn og administrative virkemidler og dels i kapittel 21 om administrative sanksjoner og straff. Bestemmelsene om tilsynsvirkemidler i kapittel 19 omfatter enhver overtredelse av de til enhver tid gjeldende reglene i loven.</w:t>
      </w:r>
    </w:p>
    <w:p w14:paraId="491AE4DE" w14:textId="77777777" w:rsidR="00080633" w:rsidRPr="00175F8B" w:rsidRDefault="00080633" w:rsidP="00175F8B">
      <w:r w:rsidRPr="00175F8B">
        <w:t xml:space="preserve">Reglene om overtredelsesgebyr i kapittel 21 er delt inn etter kapitlene i loven, altså etter direktivområdene eller forordningene som innarbeides. Verdipapirhandelloven § 21-5, </w:t>
      </w:r>
      <w:r w:rsidRPr="00175F8B">
        <w:rPr>
          <w:rStyle w:val="kursiv"/>
        </w:rPr>
        <w:t>Overtredelse av regler om verdipapirmarkedet mv.</w:t>
      </w:r>
      <w:r w:rsidRPr="00175F8B">
        <w:t xml:space="preserve">, gir regler om overtredelsesgebyr ved brudd på de av verdipapirhandellovens regler som innarbeider </w:t>
      </w:r>
      <w:proofErr w:type="spellStart"/>
      <w:r w:rsidRPr="00175F8B">
        <w:t>MiFID</w:t>
      </w:r>
      <w:proofErr w:type="spellEnd"/>
      <w:r w:rsidRPr="00175F8B">
        <w:t xml:space="preserve"> II og </w:t>
      </w:r>
      <w:proofErr w:type="spellStart"/>
      <w:r w:rsidRPr="00175F8B">
        <w:t>MiFIR</w:t>
      </w:r>
      <w:proofErr w:type="spellEnd"/>
      <w:r w:rsidRPr="00175F8B">
        <w:t xml:space="preserve">. Anvendelsesområdet for reglene er angitt som overtredelse av kapittel 8-15 i verdipapirhandelloven. Dette innebærer at endringene denne utredningen omfatter, fanges opp av eksisterende bestemmelser, slik at lovendringer ikke er nødvendig. Begrunnelsen for denne innretningen av reglene er at oppregningen av bestemmelser i </w:t>
      </w:r>
      <w:proofErr w:type="spellStart"/>
      <w:r w:rsidRPr="00175F8B">
        <w:t>MiFID</w:t>
      </w:r>
      <w:proofErr w:type="spellEnd"/>
      <w:r w:rsidRPr="00175F8B">
        <w:t xml:space="preserve"> II artikkel 70 som minst skal omfattes av regler om overtredelse</w:t>
      </w:r>
      <w:r w:rsidRPr="00175F8B">
        <w:t xml:space="preserve">sgebyr, i praksis innebærer at nær sagt alle regler som pålegger markedsaktørene plikter etter </w:t>
      </w:r>
      <w:proofErr w:type="spellStart"/>
      <w:r w:rsidRPr="00175F8B">
        <w:t>MiFID</w:t>
      </w:r>
      <w:proofErr w:type="spellEnd"/>
      <w:r w:rsidRPr="00175F8B">
        <w:t xml:space="preserve"> II og </w:t>
      </w:r>
      <w:proofErr w:type="spellStart"/>
      <w:r w:rsidRPr="00175F8B">
        <w:t>MiFIR</w:t>
      </w:r>
      <w:proofErr w:type="spellEnd"/>
      <w:r w:rsidRPr="00175F8B">
        <w:t>, er omfattet. Se omtale av anvendelsesområdet for reglene i NOU 2017: 1 kapittel 10.4.7.4 og Prop. 96 LS (2018–2019) kapittel 7.6.5.2.</w:t>
      </w:r>
    </w:p>
    <w:p w14:paraId="27CB006D" w14:textId="77777777" w:rsidR="00080633" w:rsidRPr="00175F8B" w:rsidRDefault="00080633" w:rsidP="00175F8B">
      <w:r w:rsidRPr="00175F8B">
        <w:t xml:space="preserve">Utvalget bemerker at </w:t>
      </w:r>
      <w:proofErr w:type="spellStart"/>
      <w:r w:rsidRPr="00175F8B">
        <w:t>MiFID</w:t>
      </w:r>
      <w:proofErr w:type="spellEnd"/>
      <w:r w:rsidRPr="00175F8B">
        <w:t xml:space="preserve"> II gir minimumsregler for hvilke bestemmelser som skal omfattes av overtredelsesgebyr, likevel slik at det er anledning til å ikke gi regler om overtredelsesgebyr dersom den aktuelle bestemmel</w:t>
      </w:r>
      <w:r w:rsidRPr="00175F8B">
        <w:lastRenderedPageBreak/>
        <w:t xml:space="preserve">sen er omfattet av et straffebud. Utvalget kan ikke se at overtredelse av de endrede bestemmelsene i </w:t>
      </w:r>
      <w:proofErr w:type="spellStart"/>
      <w:r w:rsidRPr="00175F8B">
        <w:t>MiFID</w:t>
      </w:r>
      <w:proofErr w:type="spellEnd"/>
      <w:r w:rsidRPr="00175F8B">
        <w:t xml:space="preserve"> II og </w:t>
      </w:r>
      <w:proofErr w:type="spellStart"/>
      <w:r w:rsidRPr="00175F8B">
        <w:t>MiFIR</w:t>
      </w:r>
      <w:proofErr w:type="spellEnd"/>
      <w:r w:rsidRPr="00175F8B">
        <w:t xml:space="preserve"> hverken alene, eller sammen med overtredelsesgebyr, bør belegges med straff. Utvalget viser til vurderingene i ovennevnte proposisjon.</w:t>
      </w:r>
    </w:p>
    <w:p w14:paraId="31DC1F07" w14:textId="77777777" w:rsidR="00080633" w:rsidRPr="00175F8B" w:rsidRDefault="00080633" w:rsidP="00175F8B"/>
    <w:p w14:paraId="649F29AE" w14:textId="77777777" w:rsidR="00080633" w:rsidRPr="00175F8B" w:rsidRDefault="00080633" w:rsidP="00175F8B">
      <w:pPr>
        <w:pStyle w:val="Overskrift1"/>
      </w:pPr>
      <w:r w:rsidRPr="00175F8B">
        <w:t>Consolidated tape provider</w:t>
      </w:r>
    </w:p>
    <w:p w14:paraId="490EE5C2" w14:textId="77777777" w:rsidR="00080633" w:rsidRPr="00175F8B" w:rsidRDefault="00080633" w:rsidP="00175F8B">
      <w:pPr>
        <w:pStyle w:val="Overskrift2"/>
      </w:pPr>
      <w:r w:rsidRPr="00175F8B">
        <w:t>Innledning</w:t>
      </w:r>
    </w:p>
    <w:p w14:paraId="5B910C61" w14:textId="77777777" w:rsidR="00080633" w:rsidRPr="00175F8B" w:rsidRDefault="00080633" w:rsidP="00175F8B">
      <w:pPr>
        <w:pStyle w:val="Overskrift3"/>
      </w:pPr>
      <w:r w:rsidRPr="00175F8B">
        <w:t>Kort historikk</w:t>
      </w:r>
    </w:p>
    <w:p w14:paraId="6694DB53" w14:textId="77777777" w:rsidR="00080633" w:rsidRPr="00175F8B" w:rsidRDefault="00080633" w:rsidP="00175F8B">
      <w:r w:rsidRPr="00175F8B">
        <w:t>Tilgang til pre- og post-trade informasjon (ordrebok- og handelsinformasjon) av høy kvalitet er vesentlig for å</w:t>
      </w:r>
      <w:r w:rsidRPr="00175F8B">
        <w:t xml:space="preserve"> kunne danne seg et riktig bilde av handelen i finansielle instrumenter, som igjen er viktig for prisingen og for tilliten til markedet. Tilgangen til informasjon bør være den samme for alle aktører i markedet og omfatte de samme opplysningene med samme kvalitet uavhengig av hvor handelen gjøres. For å legge til rette for dette, innførte </w:t>
      </w:r>
      <w:proofErr w:type="spellStart"/>
      <w:r w:rsidRPr="00175F8B">
        <w:t>MiFID</w:t>
      </w:r>
      <w:proofErr w:type="spellEnd"/>
      <w:r w:rsidRPr="00175F8B">
        <w:t xml:space="preserve"> II regulering av datarapporteringstjenester, med krav om tillatelse og nærmere regulering av tjenestene som leveres. Leverandører av datarapporteringstjenester omfatt</w:t>
      </w:r>
      <w:r w:rsidRPr="00175F8B">
        <w:t>er tre ulike typer foretak, henholdsvis godkjente offentliggjøringsordninger (</w:t>
      </w:r>
      <w:proofErr w:type="spellStart"/>
      <w:r w:rsidRPr="00175F8B">
        <w:t>Approved</w:t>
      </w:r>
      <w:proofErr w:type="spellEnd"/>
      <w:r w:rsidRPr="00175F8B">
        <w:t xml:space="preserve"> </w:t>
      </w:r>
      <w:proofErr w:type="spellStart"/>
      <w:r w:rsidRPr="00175F8B">
        <w:t>Publication</w:t>
      </w:r>
      <w:proofErr w:type="spellEnd"/>
      <w:r w:rsidRPr="00175F8B">
        <w:t xml:space="preserve"> Arrangements – </w:t>
      </w:r>
      <w:proofErr w:type="spellStart"/>
      <w:r w:rsidRPr="00175F8B">
        <w:t>APAer</w:t>
      </w:r>
      <w:proofErr w:type="spellEnd"/>
      <w:r w:rsidRPr="00175F8B">
        <w:t xml:space="preserve">), konsoliderte offentliggjøringssystemer (Consolidated Tape Providers – </w:t>
      </w:r>
      <w:proofErr w:type="spellStart"/>
      <w:r w:rsidRPr="00175F8B">
        <w:t>CTPer</w:t>
      </w:r>
      <w:proofErr w:type="spellEnd"/>
      <w:r w:rsidRPr="00175F8B">
        <w:t>) og godkjente rapporteringsordninger (</w:t>
      </w:r>
      <w:proofErr w:type="spellStart"/>
      <w:r w:rsidRPr="00175F8B">
        <w:t>Approved</w:t>
      </w:r>
      <w:proofErr w:type="spellEnd"/>
      <w:r w:rsidRPr="00175F8B">
        <w:t xml:space="preserve"> Reporting </w:t>
      </w:r>
      <w:proofErr w:type="spellStart"/>
      <w:r w:rsidRPr="00175F8B">
        <w:t>Mechanisms</w:t>
      </w:r>
      <w:proofErr w:type="spellEnd"/>
      <w:r w:rsidRPr="00175F8B">
        <w:t xml:space="preserve"> – </w:t>
      </w:r>
      <w:proofErr w:type="spellStart"/>
      <w:r w:rsidRPr="00175F8B">
        <w:t>ARMer</w:t>
      </w:r>
      <w:proofErr w:type="spellEnd"/>
      <w:r w:rsidRPr="00175F8B">
        <w:t>). Tjenestene omtales samlet som datarapporteringstjenester og foretakene som datarapporteringsforetak</w:t>
      </w:r>
      <w:r w:rsidRPr="00175F8B">
        <w:t>.</w:t>
      </w:r>
    </w:p>
    <w:p w14:paraId="77AEE32E" w14:textId="77777777" w:rsidR="00080633" w:rsidRPr="00175F8B" w:rsidRDefault="00080633" w:rsidP="00175F8B">
      <w:r w:rsidRPr="00175F8B">
        <w:t xml:space="preserve">Som omtalt i kapittel 1.4, ble reglene om datarapporteringstjenester og datarapporteringsforetak opphevet i </w:t>
      </w:r>
      <w:proofErr w:type="spellStart"/>
      <w:r w:rsidRPr="00175F8B">
        <w:t>MiFID</w:t>
      </w:r>
      <w:proofErr w:type="spellEnd"/>
      <w:r w:rsidRPr="00175F8B">
        <w:t xml:space="preserve"> II og overført til </w:t>
      </w:r>
      <w:proofErr w:type="spellStart"/>
      <w:r w:rsidRPr="00175F8B">
        <w:t>MiFIR</w:t>
      </w:r>
      <w:proofErr w:type="spellEnd"/>
      <w:r w:rsidRPr="00175F8B">
        <w:t xml:space="preserve"> i forordning 2019/2176. Reguleringen finnes nå i sin helhet i </w:t>
      </w:r>
      <w:proofErr w:type="spellStart"/>
      <w:r w:rsidRPr="00175F8B">
        <w:t>MiFIR</w:t>
      </w:r>
      <w:proofErr w:type="spellEnd"/>
      <w:r w:rsidRPr="00175F8B">
        <w:t xml:space="preserve">, og foretakene er underlagt tilsyn av ESMA. De norske reglene er ikke endret i samsvar med </w:t>
      </w:r>
      <w:proofErr w:type="spellStart"/>
      <w:r w:rsidRPr="00175F8B">
        <w:t>MiFIR</w:t>
      </w:r>
      <w:proofErr w:type="spellEnd"/>
      <w:r w:rsidRPr="00175F8B">
        <w:t xml:space="preserve"> på dette punktet. Regler om datarapporteringsforetak finnes i norsk rett i verdipapirhandelloven kapittel 14, som reflekterer de opphevede reglene i </w:t>
      </w:r>
      <w:proofErr w:type="spellStart"/>
      <w:r w:rsidRPr="00175F8B">
        <w:t>MiFID</w:t>
      </w:r>
      <w:proofErr w:type="spellEnd"/>
      <w:r w:rsidRPr="00175F8B">
        <w:t xml:space="preserve"> II. Disse reglene behandles ikke i denne utredningen.</w:t>
      </w:r>
    </w:p>
    <w:p w14:paraId="0B4E485C" w14:textId="77777777" w:rsidR="00080633" w:rsidRPr="00175F8B" w:rsidRDefault="00080633" w:rsidP="00175F8B">
      <w:r w:rsidRPr="00175F8B">
        <w:t xml:space="preserve">Som det er redegjort for i kapittel 1.4 og 1.5, hviler endringene i </w:t>
      </w:r>
      <w:proofErr w:type="spellStart"/>
      <w:r w:rsidRPr="00175F8B">
        <w:t>MiFIR</w:t>
      </w:r>
      <w:proofErr w:type="spellEnd"/>
      <w:r w:rsidRPr="00175F8B">
        <w:t xml:space="preserve">, som denne utredningen omhandler, på </w:t>
      </w:r>
      <w:proofErr w:type="spellStart"/>
      <w:r w:rsidRPr="00175F8B">
        <w:t>MiFIR</w:t>
      </w:r>
      <w:proofErr w:type="spellEnd"/>
      <w:r w:rsidRPr="00175F8B">
        <w:t xml:space="preserve"> slik forordningen lød på tidspunktet forordning 2024/791 ble vedtatt. Endringene utvalget foreslår i utredningen her, vil som nevnt ikke kunne gjennomføres uten at disse endringene av </w:t>
      </w:r>
      <w:proofErr w:type="spellStart"/>
      <w:r w:rsidRPr="00175F8B">
        <w:t>MiFID</w:t>
      </w:r>
      <w:proofErr w:type="spellEnd"/>
      <w:r w:rsidRPr="00175F8B">
        <w:t xml:space="preserve"> II og </w:t>
      </w:r>
      <w:proofErr w:type="spellStart"/>
      <w:r w:rsidRPr="00175F8B">
        <w:t>MiFIR</w:t>
      </w:r>
      <w:proofErr w:type="spellEnd"/>
      <w:r w:rsidRPr="00175F8B">
        <w:t xml:space="preserve"> også blir gjennomført. Når utvalget i det følgende beskriver «gjeldende EU-rett», omtales derfor konsolidert </w:t>
      </w:r>
      <w:proofErr w:type="spellStart"/>
      <w:r w:rsidRPr="00175F8B">
        <w:t>MiFIR</w:t>
      </w:r>
      <w:proofErr w:type="spellEnd"/>
      <w:r w:rsidRPr="00175F8B">
        <w:t>, som beskrevet i kapittel 1.4.3, ettersom det er disse reglene som endres.</w:t>
      </w:r>
    </w:p>
    <w:p w14:paraId="553AB395" w14:textId="77777777" w:rsidR="00080633" w:rsidRPr="00175F8B" w:rsidRDefault="00080633" w:rsidP="00175F8B">
      <w:pPr>
        <w:pStyle w:val="Overskrift3"/>
      </w:pPr>
      <w:r w:rsidRPr="00175F8B">
        <w:t>Generelt om bakgrunnen for endringene</w:t>
      </w:r>
    </w:p>
    <w:p w14:paraId="480843E1" w14:textId="77777777" w:rsidR="00080633" w:rsidRPr="00175F8B" w:rsidRDefault="00080633" w:rsidP="00175F8B">
      <w:r w:rsidRPr="00175F8B">
        <w:t>Konsoliderte offentliggjøringssystemer (CTP) skal samle handelsinformasjon (pre- og post-trade informasjon) fra handelsplasser og godkjente offentliggjøringsordninger (</w:t>
      </w:r>
      <w:proofErr w:type="spellStart"/>
      <w:r w:rsidRPr="00175F8B">
        <w:t>APAer</w:t>
      </w:r>
      <w:proofErr w:type="spellEnd"/>
      <w:r w:rsidRPr="00175F8B">
        <w:t>), og presentere informasjonen i en felles datastrøm som er offentlig tilgjengelig for markedsaktørene.</w:t>
      </w:r>
    </w:p>
    <w:p w14:paraId="0020E609" w14:textId="77777777" w:rsidR="00080633" w:rsidRPr="00175F8B" w:rsidRDefault="00080633" w:rsidP="00175F8B">
      <w:r w:rsidRPr="00175F8B">
        <w:t xml:space="preserve">Formålet med innføringen av ordningen med </w:t>
      </w:r>
      <w:proofErr w:type="spellStart"/>
      <w:r w:rsidRPr="00175F8B">
        <w:t>CTPer</w:t>
      </w:r>
      <w:proofErr w:type="spellEnd"/>
      <w:r w:rsidRPr="00175F8B">
        <w:t xml:space="preserve"> er å styrke transparensen i markedet ved bruk av identiske datatagger, formater og brukergrensesnitt. Ordningen skal også bidra til å sikre at konkurransen mellom handelsplasser </w:t>
      </w:r>
      <w:proofErr w:type="gramStart"/>
      <w:r w:rsidRPr="00175F8B">
        <w:t>fokuserer</w:t>
      </w:r>
      <w:proofErr w:type="gramEnd"/>
      <w:r w:rsidRPr="00175F8B">
        <w:t xml:space="preserve"> på kvaliteten på tilbudte tjenester, og ikke bare på mengden informasjon tilgjengelig fra hver handelsplass.</w:t>
      </w:r>
    </w:p>
    <w:p w14:paraId="09258BD7" w14:textId="77777777" w:rsidR="00080633" w:rsidRPr="00175F8B" w:rsidRDefault="00080633" w:rsidP="00175F8B">
      <w:proofErr w:type="spellStart"/>
      <w:r w:rsidRPr="00175F8B">
        <w:t>CTPer</w:t>
      </w:r>
      <w:proofErr w:type="spellEnd"/>
      <w:r w:rsidRPr="00175F8B">
        <w:t xml:space="preserve"> er sentrale i et fragmentert finansmarked fordi de kan tilby transparent og enkel tilgang til markedsinformasjon. Dette er viktig for at både institusjonelle og private investorer skal kunne treffe velinformerte investeringsbeslutninger.</w:t>
      </w:r>
    </w:p>
    <w:p w14:paraId="00725CCD" w14:textId="77777777" w:rsidR="00080633" w:rsidRPr="00175F8B" w:rsidRDefault="00080633" w:rsidP="00175F8B">
      <w:r w:rsidRPr="00175F8B">
        <w:t>Ingen foretak har imidlertid hittil søkt om tillatelse til å drive en CTP. ESMA peker i sin rapport fra 5. desember 2019</w:t>
      </w:r>
      <w:r w:rsidRPr="00175F8B">
        <w:rPr>
          <w:rStyle w:val="Fotnotereferanse"/>
        </w:rPr>
        <w:footnoteReference w:id="7"/>
      </w:r>
      <w:r w:rsidRPr="00175F8B">
        <w:t xml:space="preserve"> på tre hovedårsaker til den manglende etableringen. For det første peker ESMA på manglende klarhet i hvordan en CTP skal skaffe data fra ulike handelsplasser og </w:t>
      </w:r>
      <w:proofErr w:type="spellStart"/>
      <w:r w:rsidRPr="00175F8B">
        <w:t>APAer</w:t>
      </w:r>
      <w:proofErr w:type="spellEnd"/>
      <w:r w:rsidRPr="00175F8B">
        <w:t xml:space="preserve">. For det andre er utilstrekkelig datakvalitet og manglende harmonisering av data en utfordring. For det tredje er mangel på kommersielle insentiver til å søke om tillatelse til å drive en CTP en hindring. For å legge til rette for etablering av </w:t>
      </w:r>
      <w:proofErr w:type="spellStart"/>
      <w:r w:rsidRPr="00175F8B">
        <w:t>CTPer</w:t>
      </w:r>
      <w:proofErr w:type="spellEnd"/>
      <w:r w:rsidRPr="00175F8B">
        <w:t xml:space="preserve"> må disse hindringene fjernes. På denne bakgrunn endres </w:t>
      </w:r>
      <w:proofErr w:type="spellStart"/>
      <w:r w:rsidRPr="00175F8B">
        <w:t>MiFIR</w:t>
      </w:r>
      <w:proofErr w:type="spellEnd"/>
      <w:r w:rsidRPr="00175F8B">
        <w:t xml:space="preserve"> slik at handelsplasser og </w:t>
      </w:r>
      <w:proofErr w:type="spellStart"/>
      <w:r w:rsidRPr="00175F8B">
        <w:t>APAer</w:t>
      </w:r>
      <w:proofErr w:type="spellEnd"/>
      <w:r w:rsidRPr="00175F8B">
        <w:t xml:space="preserve"> </w:t>
      </w:r>
      <w:r w:rsidRPr="00175F8B">
        <w:t xml:space="preserve">blir pålagt å sende data til </w:t>
      </w:r>
      <w:proofErr w:type="spellStart"/>
      <w:r w:rsidRPr="00175F8B">
        <w:t>CTPene</w:t>
      </w:r>
      <w:proofErr w:type="spellEnd"/>
      <w:r w:rsidRPr="00175F8B">
        <w:t>. Datakvali</w:t>
      </w:r>
      <w:r w:rsidRPr="00175F8B">
        <w:lastRenderedPageBreak/>
        <w:t xml:space="preserve">teten sikres ved å innføre regler om harmoniserte datarapporter som skal sendes inn til </w:t>
      </w:r>
      <w:proofErr w:type="spellStart"/>
      <w:r w:rsidRPr="00175F8B">
        <w:t>CTPens</w:t>
      </w:r>
      <w:proofErr w:type="spellEnd"/>
      <w:r w:rsidRPr="00175F8B">
        <w:t xml:space="preserve"> datasenter. Det gis også regler som gir kommersielle insentiver for å etablere CTP.</w:t>
      </w:r>
    </w:p>
    <w:p w14:paraId="3E5ECDF9" w14:textId="468E6847" w:rsidR="00080633" w:rsidRPr="00175F8B" w:rsidRDefault="00080633" w:rsidP="00175F8B">
      <w:pPr>
        <w:pStyle w:val="Overskrift2"/>
      </w:pPr>
      <w:r w:rsidRPr="00175F8B">
        <w:t xml:space="preserve">Gjeldende EU-rett </w:t>
      </w:r>
      <w:r w:rsidRPr="00175F8B">
        <w:t>(</w:t>
      </w:r>
      <w:proofErr w:type="spellStart"/>
      <w:r w:rsidRPr="00175F8B">
        <w:t>MiFIR</w:t>
      </w:r>
      <w:proofErr w:type="spellEnd"/>
      <w:r w:rsidRPr="00175F8B">
        <w:t xml:space="preserve"> før forordning 2024/791)</w:t>
      </w:r>
    </w:p>
    <w:p w14:paraId="5610AC2A" w14:textId="77777777" w:rsidR="00080633" w:rsidRPr="00175F8B" w:rsidRDefault="00080633" w:rsidP="00175F8B">
      <w:pPr>
        <w:pStyle w:val="Overskrift3"/>
      </w:pPr>
      <w:r w:rsidRPr="00175F8B">
        <w:t>Definisjonen av CTP</w:t>
      </w:r>
    </w:p>
    <w:p w14:paraId="58A9BC72" w14:textId="77777777" w:rsidR="00080633" w:rsidRPr="00175F8B" w:rsidRDefault="00080633" w:rsidP="00175F8B">
      <w:r w:rsidRPr="00175F8B">
        <w:t>En tilbyder av konsoliderte offentliggjør</w:t>
      </w:r>
      <w:r w:rsidRPr="00175F8B">
        <w:t xml:space="preserve">ingssystemer eller CTP er i </w:t>
      </w:r>
      <w:proofErr w:type="spellStart"/>
      <w:r w:rsidRPr="00175F8B">
        <w:t>MiFIR</w:t>
      </w:r>
      <w:proofErr w:type="spellEnd"/>
      <w:r w:rsidRPr="00175F8B">
        <w:t xml:space="preserve"> artikkel 2 punkt 35 definert som et foretak med tillatelse til å drive virksomhet som innebærer innsamling av handelsrapporter for finansielle instrumenter i henhold til </w:t>
      </w:r>
      <w:proofErr w:type="spellStart"/>
      <w:r w:rsidRPr="00175F8B">
        <w:t>MiFIR</w:t>
      </w:r>
      <w:proofErr w:type="spellEnd"/>
      <w:r w:rsidRPr="00175F8B">
        <w:t xml:space="preserve"> artikkel 6, 7, 10, 12, 13, 20 og 21 fra regulerte markeder, multilaterale handelsfasiliteter, organiserte handelsfasiliteter og godkjente offentliggjøringsordninger, og til å konsolidere dem til en kontinuerlig, elektronisk, direkte datastrøm som gir informasjon om priser og volum for hvert enkelt fin</w:t>
      </w:r>
      <w:r w:rsidRPr="00175F8B">
        <w:t>ansielt instrument.</w:t>
      </w:r>
    </w:p>
    <w:p w14:paraId="02AF3E8E" w14:textId="77777777" w:rsidR="00080633" w:rsidRPr="00175F8B" w:rsidRDefault="00080633" w:rsidP="00175F8B">
      <w:pPr>
        <w:pStyle w:val="Overskrift3"/>
      </w:pPr>
      <w:r w:rsidRPr="00175F8B">
        <w:t>Tillatelse fra ESMA</w:t>
      </w:r>
    </w:p>
    <w:p w14:paraId="17FF7899" w14:textId="77777777" w:rsidR="00080633" w:rsidRPr="00175F8B" w:rsidRDefault="00080633" w:rsidP="00175F8B">
      <w:r w:rsidRPr="00175F8B">
        <w:t xml:space="preserve">Bestemmelsene om tillatelse til å yte datarapporteringstjenester finnes i </w:t>
      </w:r>
      <w:proofErr w:type="spellStart"/>
      <w:r w:rsidRPr="00175F8B">
        <w:t>MiFIR</w:t>
      </w:r>
      <w:proofErr w:type="spellEnd"/>
      <w:r w:rsidRPr="00175F8B">
        <w:t xml:space="preserve"> del </w:t>
      </w:r>
      <w:proofErr w:type="spellStart"/>
      <w:r w:rsidRPr="00175F8B">
        <w:t>IVa</w:t>
      </w:r>
      <w:proofErr w:type="spellEnd"/>
      <w:r w:rsidRPr="00175F8B">
        <w:t xml:space="preserve">. Kravene for å få tillatelse </w:t>
      </w:r>
      <w:proofErr w:type="gramStart"/>
      <w:r w:rsidRPr="00175F8B">
        <w:t>fremgår</w:t>
      </w:r>
      <w:proofErr w:type="gramEnd"/>
      <w:r w:rsidRPr="00175F8B">
        <w:t xml:space="preserve"> av </w:t>
      </w:r>
      <w:proofErr w:type="spellStart"/>
      <w:r w:rsidRPr="00175F8B">
        <w:t>MiFIR</w:t>
      </w:r>
      <w:proofErr w:type="spellEnd"/>
      <w:r w:rsidRPr="00175F8B">
        <w:t xml:space="preserve"> artikkel 27b og er like for </w:t>
      </w:r>
      <w:proofErr w:type="spellStart"/>
      <w:r w:rsidRPr="00175F8B">
        <w:t>CTPer</w:t>
      </w:r>
      <w:proofErr w:type="spellEnd"/>
      <w:r w:rsidRPr="00175F8B">
        <w:t xml:space="preserve">, </w:t>
      </w:r>
      <w:proofErr w:type="spellStart"/>
      <w:r w:rsidRPr="00175F8B">
        <w:t>ARMer</w:t>
      </w:r>
      <w:proofErr w:type="spellEnd"/>
      <w:r w:rsidRPr="00175F8B">
        <w:t xml:space="preserve"> og </w:t>
      </w:r>
      <w:proofErr w:type="spellStart"/>
      <w:r w:rsidRPr="00175F8B">
        <w:t>APAer</w:t>
      </w:r>
      <w:proofErr w:type="spellEnd"/>
      <w:r w:rsidRPr="00175F8B">
        <w:t>. Bestemmelsen fastslår at drift av en datarapporteringstjeneste som en regelmessig forretningsaktivitet krever tillatelse fra ESMA. Etter artikkel 27c må leverandøren av datarapporteringstjenester være en juridisk person etablert i unionen og i tillegg oppfylle enkelte ytterligere krav som er fastsatt i bestemmelsen. I tillatelsen skal det spesifiseres hvilke former for datarapporteringstjenester le</w:t>
      </w:r>
      <w:r w:rsidRPr="00175F8B">
        <w:t xml:space="preserve">verandøren har tillatelse til å tilby. Dersom leverandøren ønsker å tilby tjenester som ikke dekkes av tillatelsen, må det sendes inn en søknad til ESMA for å utvide tillatelsen, jf. </w:t>
      </w:r>
      <w:proofErr w:type="spellStart"/>
      <w:r w:rsidRPr="00175F8B">
        <w:t>MiFIR</w:t>
      </w:r>
      <w:proofErr w:type="spellEnd"/>
      <w:r w:rsidRPr="00175F8B">
        <w:t xml:space="preserve"> artikkel 27c nr. 2. Videre må leverandøren til enhver tid oppfylle betingelsene i tillatelsen. Ved vesentlige endringer i betingelsene for tillatelsen, skal leverandøren umiddelbart melde fra til ESMA eller til den nasjonale tilsynsmyndigheten hvis relevant, jf. </w:t>
      </w:r>
      <w:proofErr w:type="spellStart"/>
      <w:r w:rsidRPr="00175F8B">
        <w:t>MiFIR</w:t>
      </w:r>
      <w:proofErr w:type="spellEnd"/>
      <w:r w:rsidRPr="00175F8B">
        <w:t xml:space="preserve"> artikkel 27c nr. 3</w:t>
      </w:r>
      <w:r w:rsidRPr="00175F8B">
        <w:t>.</w:t>
      </w:r>
    </w:p>
    <w:p w14:paraId="3EC2431A" w14:textId="77777777" w:rsidR="00080633" w:rsidRPr="00175F8B" w:rsidRDefault="00080633" w:rsidP="00175F8B">
      <w:r w:rsidRPr="00175F8B">
        <w:t xml:space="preserve">En tillatelse, innvilget i samsvar med </w:t>
      </w:r>
      <w:proofErr w:type="spellStart"/>
      <w:r w:rsidRPr="00175F8B">
        <w:t>MiFIR</w:t>
      </w:r>
      <w:proofErr w:type="spellEnd"/>
      <w:r w:rsidRPr="00175F8B">
        <w:t xml:space="preserve"> artikkel 27c nr. 1, har gyldighet i hele unionen og gir leverandøren rett til å tilby tjenester i hele unionen innenfor de betingelsene som er fastsatt i tillatelsen.</w:t>
      </w:r>
    </w:p>
    <w:p w14:paraId="3D950BCB" w14:textId="77777777" w:rsidR="00080633" w:rsidRPr="00175F8B" w:rsidRDefault="00080633" w:rsidP="00175F8B">
      <w:r w:rsidRPr="00175F8B">
        <w:t xml:space="preserve">ESMA fører et register over alle leverandører av datarapporteringstjenester i unionen. Registeret er tilgjengelig for offentligheten og inneholder informasjon om hvilke tjenester leverandørene av datarapporteringstjenester har tillatelse til å tilby, se </w:t>
      </w:r>
      <w:proofErr w:type="spellStart"/>
      <w:r w:rsidRPr="00175F8B">
        <w:t>MiFIR</w:t>
      </w:r>
      <w:proofErr w:type="spellEnd"/>
      <w:r w:rsidRPr="00175F8B">
        <w:t xml:space="preserve"> artikkel 27b nr. 3.</w:t>
      </w:r>
    </w:p>
    <w:p w14:paraId="19F2524D" w14:textId="77777777" w:rsidR="00080633" w:rsidRPr="00175F8B" w:rsidRDefault="00080633" w:rsidP="00175F8B">
      <w:proofErr w:type="spellStart"/>
      <w:r w:rsidRPr="00175F8B">
        <w:t>MiFIR</w:t>
      </w:r>
      <w:proofErr w:type="spellEnd"/>
      <w:r w:rsidRPr="00175F8B">
        <w:t xml:space="preserve"> artikkel 27e regulerer tilbakekall av tillatelse. Dersom ESMA tilbakekaller en tillatelse til drift av en datarapporteringstjeneste i henhold til bestemmelsen, vil tilbakekallet gjelde for en periode på fem år.</w:t>
      </w:r>
    </w:p>
    <w:p w14:paraId="004C0880" w14:textId="77777777" w:rsidR="00080633" w:rsidRPr="00175F8B" w:rsidRDefault="00080633" w:rsidP="00175F8B">
      <w:r w:rsidRPr="00175F8B">
        <w:t>ESMA fører tilsyn med leverandører av datarapporteringstjenester, inkludert tilbydere av CTP-tjenester. Begrunnelsen for et sentralisert tilsyn er at datahåndtering og datakvalitet må håndteres på tvers av landegrensene, samt behovet for å sikre stordriftsfordeler. ESMA skal foreta jevnlige kontroll</w:t>
      </w:r>
      <w:r w:rsidRPr="00175F8B">
        <w:t>er for å sikre at leverandørene av datarapporteringstjenester overholder gjeldende bestemmelser og oppfyller kravene i tillatelsen</w:t>
      </w:r>
      <w:r w:rsidRPr="00175F8B">
        <w:t>.</w:t>
      </w:r>
    </w:p>
    <w:p w14:paraId="7FEED6A3" w14:textId="77777777" w:rsidR="00080633" w:rsidRPr="00175F8B" w:rsidRDefault="00080633" w:rsidP="00175F8B">
      <w:pPr>
        <w:pStyle w:val="Overskrift3"/>
      </w:pPr>
      <w:r w:rsidRPr="00175F8B">
        <w:t xml:space="preserve">Organisatoriske krav til </w:t>
      </w:r>
      <w:proofErr w:type="spellStart"/>
      <w:r w:rsidRPr="00175F8B">
        <w:t>CTPer</w:t>
      </w:r>
      <w:proofErr w:type="spellEnd"/>
    </w:p>
    <w:p w14:paraId="08AD17A4" w14:textId="77777777" w:rsidR="00080633" w:rsidRPr="00175F8B" w:rsidRDefault="00080633" w:rsidP="00175F8B">
      <w:proofErr w:type="spellStart"/>
      <w:r w:rsidRPr="00175F8B">
        <w:t>MiFIR</w:t>
      </w:r>
      <w:proofErr w:type="spellEnd"/>
      <w:r w:rsidRPr="00175F8B">
        <w:t xml:space="preserve"> artikkel 27h omhandler organisatoriske krav til </w:t>
      </w:r>
      <w:proofErr w:type="spellStart"/>
      <w:r w:rsidRPr="00175F8B">
        <w:t>CTPer</w:t>
      </w:r>
      <w:proofErr w:type="spellEnd"/>
      <w:r w:rsidRPr="00175F8B">
        <w:t>. For aksjer mv. fastsetter artikkel 27h nr. 1 at en CTP skal ha etablerte og egnende retningslinjer og prosedyrer for å samle inn informasjon som skal publiseres i samsvar med artiklene 6 og 20, se omtale av disse i kapittel 4. Konsolidert informasjon skal gjøres tilgjengelig for offentligheten i en kontinuerlig elektronisk datastrøm så nær sanntid som teknisk mulig og på rimelige forretningsmessige vilkår.</w:t>
      </w:r>
    </w:p>
    <w:p w14:paraId="7370AA25" w14:textId="77777777" w:rsidR="00080633" w:rsidRPr="00175F8B" w:rsidRDefault="00080633" w:rsidP="00175F8B">
      <w:r w:rsidRPr="00175F8B">
        <w:t xml:space="preserve">Informasjonen skal publiseres i samsvar med </w:t>
      </w:r>
      <w:proofErr w:type="spellStart"/>
      <w:r w:rsidRPr="00175F8B">
        <w:t>MiFIR</w:t>
      </w:r>
      <w:proofErr w:type="spellEnd"/>
      <w:r w:rsidRPr="00175F8B">
        <w:t xml:space="preserve"> </w:t>
      </w:r>
      <w:proofErr w:type="spellStart"/>
      <w:r w:rsidRPr="00175F8B">
        <w:t>arikkel</w:t>
      </w:r>
      <w:proofErr w:type="spellEnd"/>
      <w:r w:rsidRPr="00175F8B">
        <w:t xml:space="preserve"> 27h nr. 1 bokstav a til j, og skal inneholde en rekke elementer, blant annet identifikatoren til det finansielle instrumentet, prisen som transaksjonen ble gjennomført til og om det er gitt unntak fra plikten til å offentliggjøre pre-trade informasjon etter artikkel 4.</w:t>
      </w:r>
    </w:p>
    <w:p w14:paraId="443C36CA" w14:textId="77777777" w:rsidR="00080633" w:rsidRPr="00175F8B" w:rsidRDefault="00080633" w:rsidP="00175F8B">
      <w:r w:rsidRPr="00175F8B">
        <w:t xml:space="preserve">Videre skal informasjonen gjøres tilgjengelig gratis 15 minutter etter at </w:t>
      </w:r>
      <w:proofErr w:type="spellStart"/>
      <w:r w:rsidRPr="00175F8B">
        <w:t>CTPen</w:t>
      </w:r>
      <w:proofErr w:type="spellEnd"/>
      <w:r w:rsidRPr="00175F8B">
        <w:t xml:space="preserve"> har offentliggjort den. </w:t>
      </w:r>
      <w:proofErr w:type="spellStart"/>
      <w:r w:rsidRPr="00175F8B">
        <w:t>CTPen</w:t>
      </w:r>
      <w:proofErr w:type="spellEnd"/>
      <w:r w:rsidRPr="00175F8B">
        <w:t xml:space="preserve"> må effektivt og konsekvent spre informasjonen for å sikre rask tilgang på en ikke-diskriminerende måte, og i formater som er lette å få tilgang til og bruke for markedsdeltakerne, jf. </w:t>
      </w:r>
      <w:proofErr w:type="spellStart"/>
      <w:r w:rsidRPr="00175F8B">
        <w:t>MiFIR</w:t>
      </w:r>
      <w:proofErr w:type="spellEnd"/>
      <w:r w:rsidRPr="00175F8B">
        <w:t xml:space="preserve"> artikkel 27h nr. 1.</w:t>
      </w:r>
    </w:p>
    <w:p w14:paraId="550ECC35" w14:textId="77777777" w:rsidR="00080633" w:rsidRPr="00175F8B" w:rsidRDefault="00080633" w:rsidP="00175F8B">
      <w:r w:rsidRPr="00175F8B">
        <w:lastRenderedPageBreak/>
        <w:t xml:space="preserve">Artikkel 27h nr. 2 fastsetter at en CTP skal ha på plass egnede retningslinjer og prosedyrer for å samle inn informasjon i henhold til </w:t>
      </w:r>
      <w:proofErr w:type="spellStart"/>
      <w:r w:rsidRPr="00175F8B">
        <w:t>MiFIR</w:t>
      </w:r>
      <w:proofErr w:type="spellEnd"/>
      <w:r w:rsidRPr="00175F8B">
        <w:t xml:space="preserve"> artiklene 10 og 21, det vil si handelsinformasjon som skal offentliggjøres for obligasjoner, strukturerte finansielle produkter, utslippskvoter og derivater. Som for aksjer må </w:t>
      </w:r>
      <w:proofErr w:type="spellStart"/>
      <w:r w:rsidRPr="00175F8B">
        <w:t>CTPen</w:t>
      </w:r>
      <w:proofErr w:type="spellEnd"/>
      <w:r w:rsidRPr="00175F8B">
        <w:t xml:space="preserve"> ha egnede retningslinjer og prosedyrer som skal legge til rette for at informasjon samles inn og konsolideres i en kontinuerlig elektronisk datastrøm, og gjøres tilgjengelig for offentligheten så nær sanntid som teknisk mulig og på rimelige forretningsmessige vilkår.</w:t>
      </w:r>
    </w:p>
    <w:p w14:paraId="33BCEB84" w14:textId="77777777" w:rsidR="00080633" w:rsidRPr="00175F8B" w:rsidRDefault="00080633" w:rsidP="00175F8B">
      <w:r w:rsidRPr="00175F8B">
        <w:t xml:space="preserve">I henhold til </w:t>
      </w:r>
      <w:proofErr w:type="spellStart"/>
      <w:r w:rsidRPr="00175F8B">
        <w:t>MiFIR</w:t>
      </w:r>
      <w:proofErr w:type="spellEnd"/>
      <w:r w:rsidRPr="00175F8B">
        <w:t xml:space="preserve"> artikkel 27h nr. 2 bokstav a til h, må informasjonen dekke en rekke forhold, blant annet identifikatoren til det finansielle instrumentet eller dets identitetsgivende kjennetegn, prisen som transaksjonen ble gjennomført til og informasjon om det er gitt unntak fra plikten til å offentliggjøre pre-trade informasjon etter artikkel 9.</w:t>
      </w:r>
    </w:p>
    <w:p w14:paraId="71A3EDC2" w14:textId="77777777" w:rsidR="00080633" w:rsidRPr="00175F8B" w:rsidRDefault="00080633" w:rsidP="00175F8B">
      <w:r w:rsidRPr="00175F8B">
        <w:t xml:space="preserve">Som for aksjer skal opplysningene være gratis tilgjengelige 15 minutter etter at </w:t>
      </w:r>
      <w:proofErr w:type="spellStart"/>
      <w:r w:rsidRPr="00175F8B">
        <w:t>CTPen</w:t>
      </w:r>
      <w:proofErr w:type="spellEnd"/>
      <w:r w:rsidRPr="00175F8B">
        <w:t xml:space="preserve"> har offentliggjort dem, være tilgjengelige på en ikke-diskriminerende måte og presenteres i alminnelig aksepterte formater som er lett tilgjengelige for markedsdeltakerne.</w:t>
      </w:r>
    </w:p>
    <w:p w14:paraId="38E51E44" w14:textId="77777777" w:rsidR="00080633" w:rsidRPr="00175F8B" w:rsidRDefault="00080633" w:rsidP="00175F8B">
      <w:proofErr w:type="spellStart"/>
      <w:r w:rsidRPr="00175F8B">
        <w:t>MiFIR</w:t>
      </w:r>
      <w:proofErr w:type="spellEnd"/>
      <w:r w:rsidRPr="00175F8B">
        <w:t xml:space="preserve"> artikkel 27h nr. 3 stiller krav om at </w:t>
      </w:r>
      <w:proofErr w:type="spellStart"/>
      <w:r w:rsidRPr="00175F8B">
        <w:t>CTPer</w:t>
      </w:r>
      <w:proofErr w:type="spellEnd"/>
      <w:r w:rsidRPr="00175F8B">
        <w:t xml:space="preserve"> skal sørge for at leverte data fra alle regulerte markeder, </w:t>
      </w:r>
      <w:proofErr w:type="spellStart"/>
      <w:r w:rsidRPr="00175F8B">
        <w:t>MHFer</w:t>
      </w:r>
      <w:proofErr w:type="spellEnd"/>
      <w:r w:rsidRPr="00175F8B">
        <w:t xml:space="preserve">, </w:t>
      </w:r>
      <w:proofErr w:type="spellStart"/>
      <w:r w:rsidRPr="00175F8B">
        <w:t>OHFer</w:t>
      </w:r>
      <w:proofErr w:type="spellEnd"/>
      <w:r w:rsidRPr="00175F8B">
        <w:t xml:space="preserve"> og </w:t>
      </w:r>
      <w:proofErr w:type="spellStart"/>
      <w:r w:rsidRPr="00175F8B">
        <w:t>APAer</w:t>
      </w:r>
      <w:proofErr w:type="spellEnd"/>
      <w:r w:rsidRPr="00175F8B">
        <w:t xml:space="preserve"> er konsolidert for finansielle instrumenter som er nærmere spesifisert i nivå 2-regelverket.</w:t>
      </w:r>
    </w:p>
    <w:p w14:paraId="48C6FB08" w14:textId="77777777" w:rsidR="00080633" w:rsidRPr="00175F8B" w:rsidRDefault="00080633" w:rsidP="00175F8B">
      <w:r w:rsidRPr="00175F8B">
        <w:t xml:space="preserve">Etter </w:t>
      </w:r>
      <w:proofErr w:type="spellStart"/>
      <w:r w:rsidRPr="00175F8B">
        <w:t>MiFIR</w:t>
      </w:r>
      <w:proofErr w:type="spellEnd"/>
      <w:r w:rsidRPr="00175F8B">
        <w:t xml:space="preserve"> artikkel 27h nr. 4 skal en CTP ha effektive administrative ordninger for å forebygge interessekonflikter. Bestemmelsen understreker at en markedsoperatør eller en APA som tilbyr CTP-tjenester, må behandle all innsamlet informasjon på en ikke-diskriminerende måte og ha egnende ordninger for å skille ulike deler av virksomheten.</w:t>
      </w:r>
    </w:p>
    <w:p w14:paraId="14994411" w14:textId="77777777" w:rsidR="00080633" w:rsidRPr="00175F8B" w:rsidRDefault="00080633" w:rsidP="00175F8B">
      <w:r w:rsidRPr="00175F8B">
        <w:t xml:space="preserve">Etter </w:t>
      </w:r>
      <w:proofErr w:type="spellStart"/>
      <w:r w:rsidRPr="00175F8B">
        <w:t>MiFIR</w:t>
      </w:r>
      <w:proofErr w:type="spellEnd"/>
      <w:r w:rsidRPr="00175F8B">
        <w:t xml:space="preserve"> artikkel 27h nr. 5 må </w:t>
      </w:r>
      <w:proofErr w:type="spellStart"/>
      <w:r w:rsidRPr="00175F8B">
        <w:t>CTPen</w:t>
      </w:r>
      <w:proofErr w:type="spellEnd"/>
      <w:r w:rsidRPr="00175F8B">
        <w:t xml:space="preserve"> også ha etablerte og solide sikkerhetsmekanismer som er utformet for å sikre trygg overføring av informasjon og for å minimere risikoen for datamanipulasjon og uautorisert tilgang. </w:t>
      </w:r>
      <w:proofErr w:type="spellStart"/>
      <w:r w:rsidRPr="00175F8B">
        <w:t>CTPen</w:t>
      </w:r>
      <w:proofErr w:type="spellEnd"/>
      <w:r w:rsidRPr="00175F8B">
        <w:t xml:space="preserve"> må til enhver tid ha sikker tilgang til egnede ressurser og sikkerhetskopieringsfasiliteter for å kunne tilby og opprettholde sine tjenester.</w:t>
      </w:r>
    </w:p>
    <w:p w14:paraId="56D4F1B4" w14:textId="77777777" w:rsidR="00080633" w:rsidRPr="00175F8B" w:rsidRDefault="00080633" w:rsidP="00175F8B">
      <w:r w:rsidRPr="00175F8B">
        <w:t xml:space="preserve">I </w:t>
      </w:r>
      <w:proofErr w:type="gramStart"/>
      <w:r w:rsidRPr="00175F8B">
        <w:t>medhold av</w:t>
      </w:r>
      <w:proofErr w:type="gramEnd"/>
      <w:r w:rsidRPr="00175F8B">
        <w:t xml:space="preserve"> </w:t>
      </w:r>
      <w:proofErr w:type="spellStart"/>
      <w:r w:rsidRPr="00175F8B">
        <w:t>MiFIR</w:t>
      </w:r>
      <w:proofErr w:type="spellEnd"/>
      <w:r w:rsidRPr="00175F8B">
        <w:t xml:space="preserve"> artikkel 27g nr. 6 og 8, artikkel 27h nr. 6 og 8 og artikkel 27i nr. 5 er det i kommisjonsforordning 2017/571 (RTS 13) fastsatt nærmere bestemmelser om organisatoriske krav for </w:t>
      </w:r>
      <w:proofErr w:type="spellStart"/>
      <w:r w:rsidRPr="00175F8B">
        <w:t>CTPer</w:t>
      </w:r>
      <w:proofErr w:type="spellEnd"/>
      <w:r w:rsidRPr="00175F8B">
        <w:t xml:space="preserve"> og de andre datarapporteringsforetakene (</w:t>
      </w:r>
      <w:proofErr w:type="spellStart"/>
      <w:r w:rsidRPr="00175F8B">
        <w:t>APAer</w:t>
      </w:r>
      <w:proofErr w:type="spellEnd"/>
      <w:r w:rsidRPr="00175F8B">
        <w:t xml:space="preserve"> og </w:t>
      </w:r>
      <w:proofErr w:type="spellStart"/>
      <w:r w:rsidRPr="00175F8B">
        <w:t>ARMer</w:t>
      </w:r>
      <w:proofErr w:type="spellEnd"/>
      <w:r w:rsidRPr="00175F8B">
        <w:t>).</w:t>
      </w:r>
    </w:p>
    <w:p w14:paraId="424962B4" w14:textId="77777777" w:rsidR="00080633" w:rsidRPr="00175F8B" w:rsidRDefault="00080633" w:rsidP="00175F8B">
      <w:pPr>
        <w:pStyle w:val="Overskrift3"/>
      </w:pPr>
      <w:r w:rsidRPr="00175F8B">
        <w:t xml:space="preserve">Dataoverføring til </w:t>
      </w:r>
      <w:proofErr w:type="spellStart"/>
      <w:r w:rsidRPr="00175F8B">
        <w:t>CTPer</w:t>
      </w:r>
      <w:proofErr w:type="spellEnd"/>
    </w:p>
    <w:p w14:paraId="145C64D7" w14:textId="77777777" w:rsidR="00080633" w:rsidRPr="00175F8B" w:rsidRDefault="00080633" w:rsidP="00175F8B">
      <w:r w:rsidRPr="00175F8B">
        <w:t xml:space="preserve">Det finnes ikke regler om dataoverføring mellom dataleverandører og </w:t>
      </w:r>
      <w:proofErr w:type="spellStart"/>
      <w:r w:rsidRPr="00175F8B">
        <w:t>CTPer</w:t>
      </w:r>
      <w:proofErr w:type="spellEnd"/>
      <w:r w:rsidRPr="00175F8B">
        <w:t xml:space="preserve"> i </w:t>
      </w:r>
      <w:proofErr w:type="spellStart"/>
      <w:r w:rsidRPr="00175F8B">
        <w:t>MiFIR</w:t>
      </w:r>
      <w:proofErr w:type="spellEnd"/>
      <w:r w:rsidRPr="00175F8B">
        <w:t>. En CTP må dermed inngå separate lisensavtaler med hver enkelt dataleverandør for å få tilgang til markedsdata.</w:t>
      </w:r>
    </w:p>
    <w:p w14:paraId="37955097" w14:textId="77777777" w:rsidR="00080633" w:rsidRPr="00175F8B" w:rsidRDefault="00080633" w:rsidP="00175F8B">
      <w:pPr>
        <w:pStyle w:val="Overskrift2"/>
      </w:pPr>
      <w:r w:rsidRPr="00175F8B">
        <w:t>Forventet EØS-rett</w:t>
      </w:r>
    </w:p>
    <w:p w14:paraId="76418B71" w14:textId="77777777" w:rsidR="00080633" w:rsidRPr="00175F8B" w:rsidRDefault="00080633" w:rsidP="00175F8B">
      <w:pPr>
        <w:pStyle w:val="Overskrift3"/>
      </w:pPr>
      <w:r w:rsidRPr="00175F8B">
        <w:t>Definisjoner</w:t>
      </w:r>
    </w:p>
    <w:p w14:paraId="4B8F5F0B" w14:textId="77777777" w:rsidR="00080633" w:rsidRPr="00175F8B" w:rsidRDefault="00080633" w:rsidP="00175F8B">
      <w:r w:rsidRPr="00175F8B">
        <w:t xml:space="preserve">Definisjonen av CTP i </w:t>
      </w:r>
      <w:proofErr w:type="spellStart"/>
      <w:r w:rsidRPr="00175F8B">
        <w:t>MiFIR</w:t>
      </w:r>
      <w:proofErr w:type="spellEnd"/>
      <w:r w:rsidRPr="00175F8B">
        <w:t xml:space="preserve"> artikkel 2 nr. 35 endres. Etter endringen defineres en CTP som et foretak som har tillatelse til å tilby tjenester som innebærer innsamling av data fra handelsplasser og </w:t>
      </w:r>
      <w:proofErr w:type="spellStart"/>
      <w:r w:rsidRPr="00175F8B">
        <w:t>APAer</w:t>
      </w:r>
      <w:proofErr w:type="spellEnd"/>
      <w:r w:rsidRPr="00175F8B">
        <w:t xml:space="preserve">, og deretter konsolidere disse dataene til en kontinuerlig, elektronisk, direkte datastrøm med sentrale markedsdata og regulatoriske data etter </w:t>
      </w:r>
      <w:proofErr w:type="spellStart"/>
      <w:r w:rsidRPr="00175F8B">
        <w:t>MiFIR</w:t>
      </w:r>
      <w:proofErr w:type="spellEnd"/>
      <w:r w:rsidRPr="00175F8B">
        <w:t xml:space="preserve"> tittel </w:t>
      </w:r>
      <w:proofErr w:type="spellStart"/>
      <w:r w:rsidRPr="00175F8B">
        <w:t>IVa</w:t>
      </w:r>
      <w:proofErr w:type="spellEnd"/>
      <w:r w:rsidRPr="00175F8B">
        <w:t xml:space="preserve"> kapittel 1. Det gis videre nye definisjoner av sentrale markedsdata og regulatoriske data i </w:t>
      </w:r>
      <w:proofErr w:type="spellStart"/>
      <w:r w:rsidRPr="00175F8B">
        <w:t>MiFIR</w:t>
      </w:r>
      <w:proofErr w:type="spellEnd"/>
      <w:r w:rsidRPr="00175F8B">
        <w:t xml:space="preserve"> ny artikkel 2 nr. 36b og nr. 36c. Sistnevnte definisjoner omhandler dat</w:t>
      </w:r>
      <w:r w:rsidRPr="00175F8B">
        <w:t>a som skal overføres til en CTP.</w:t>
      </w:r>
    </w:p>
    <w:p w14:paraId="563DFF8A" w14:textId="77777777" w:rsidR="00080633" w:rsidRPr="00175F8B" w:rsidRDefault="00080633" w:rsidP="00175F8B">
      <w:pPr>
        <w:pStyle w:val="Overskrift3"/>
      </w:pPr>
      <w:r w:rsidRPr="00175F8B">
        <w:t>Krav om tillatelse til å yte CTP-tjenester</w:t>
      </w:r>
    </w:p>
    <w:p w14:paraId="2381231B" w14:textId="77777777" w:rsidR="00080633" w:rsidRPr="00175F8B" w:rsidRDefault="00080633" w:rsidP="00175F8B">
      <w:pPr>
        <w:pStyle w:val="Overskrift4"/>
      </w:pPr>
      <w:r w:rsidRPr="00175F8B">
        <w:t>Innledning</w:t>
      </w:r>
    </w:p>
    <w:p w14:paraId="2C2C91B6" w14:textId="77777777" w:rsidR="00080633" w:rsidRPr="00175F8B" w:rsidRDefault="00080633" w:rsidP="00175F8B">
      <w:r w:rsidRPr="00175F8B">
        <w:t xml:space="preserve">Etablering av </w:t>
      </w:r>
      <w:proofErr w:type="spellStart"/>
      <w:r w:rsidRPr="00175F8B">
        <w:t>CTPer</w:t>
      </w:r>
      <w:proofErr w:type="spellEnd"/>
      <w:r w:rsidRPr="00175F8B">
        <w:t xml:space="preserve"> anses som en forutsetning for å nå </w:t>
      </w:r>
      <w:proofErr w:type="spellStart"/>
      <w:r w:rsidRPr="00175F8B">
        <w:t>MiFIRs</w:t>
      </w:r>
      <w:proofErr w:type="spellEnd"/>
      <w:r w:rsidRPr="00175F8B">
        <w:t xml:space="preserve"> overordnede mål</w:t>
      </w:r>
      <w:r w:rsidRPr="00175F8B">
        <w:t xml:space="preserve"> om mer effektive og transparente markeder. Ingen foretak har imidlertid søkt om tillatelse til å drive virksomhet som CTP.</w:t>
      </w:r>
    </w:p>
    <w:p w14:paraId="44DEB0DC" w14:textId="77777777" w:rsidR="00080633" w:rsidRPr="00175F8B" w:rsidRDefault="00080633" w:rsidP="00175F8B">
      <w:r w:rsidRPr="00175F8B">
        <w:t>Det gjør</w:t>
      </w:r>
      <w:r w:rsidRPr="00175F8B">
        <w:t xml:space="preserve">es ingen endringer i de generelle reglene i MIFIR del </w:t>
      </w:r>
      <w:proofErr w:type="spellStart"/>
      <w:r w:rsidRPr="00175F8B">
        <w:t>IVa</w:t>
      </w:r>
      <w:proofErr w:type="spellEnd"/>
      <w:r w:rsidRPr="00175F8B">
        <w:t xml:space="preserve"> om tillatelse for datarapporteringsforetak eller i reglene om tilsyn med foretakene. Bestemmelsene om prosessen for å få tillatelse endres imidlertid betydelig. Reglene om søknad om tillatelse til å yte CTP-tjenester skilles ut i en egen bestemmelse. </w:t>
      </w:r>
      <w:proofErr w:type="spellStart"/>
      <w:r w:rsidRPr="00175F8B">
        <w:t>MiFIR</w:t>
      </w:r>
      <w:proofErr w:type="spellEnd"/>
      <w:r w:rsidRPr="00175F8B">
        <w:t xml:space="preserve"> artikkel 27d endres dermed slik at kun </w:t>
      </w:r>
      <w:proofErr w:type="spellStart"/>
      <w:r w:rsidRPr="00175F8B">
        <w:t>APAer</w:t>
      </w:r>
      <w:proofErr w:type="spellEnd"/>
      <w:r w:rsidRPr="00175F8B">
        <w:t xml:space="preserve"> og </w:t>
      </w:r>
      <w:proofErr w:type="spellStart"/>
      <w:r w:rsidRPr="00175F8B">
        <w:t>ARMer</w:t>
      </w:r>
      <w:proofErr w:type="spellEnd"/>
      <w:r w:rsidRPr="00175F8B">
        <w:t xml:space="preserve"> skal søke om tillatelse etter denne bestemmelsen. Reglene om søknad om tillatelse til å drive virksomhet som CTP reguleres i ny artikkel 27da o</w:t>
      </w:r>
      <w:r w:rsidRPr="00175F8B">
        <w:t>g ny artikkel 27db.</w:t>
      </w:r>
    </w:p>
    <w:p w14:paraId="2E33B52D" w14:textId="77777777" w:rsidR="00080633" w:rsidRPr="00175F8B" w:rsidRDefault="00080633" w:rsidP="00175F8B">
      <w:pPr>
        <w:pStyle w:val="Overskrift4"/>
      </w:pPr>
      <w:r w:rsidRPr="00175F8B">
        <w:lastRenderedPageBreak/>
        <w:t xml:space="preserve">En CTP for hver </w:t>
      </w:r>
      <w:proofErr w:type="spellStart"/>
      <w:r w:rsidRPr="00175F8B">
        <w:t>aktivaklasse</w:t>
      </w:r>
      <w:proofErr w:type="spellEnd"/>
    </w:p>
    <w:p w14:paraId="10BA3D3E" w14:textId="77777777" w:rsidR="00080633" w:rsidRPr="00175F8B" w:rsidRDefault="00080633" w:rsidP="00175F8B">
      <w:r w:rsidRPr="00175F8B">
        <w:t xml:space="preserve">ESMA skal peke ut én CTP for hver </w:t>
      </w:r>
      <w:proofErr w:type="spellStart"/>
      <w:r w:rsidRPr="00175F8B">
        <w:t>aktivaklasse</w:t>
      </w:r>
      <w:proofErr w:type="spellEnd"/>
      <w:r w:rsidRPr="00175F8B">
        <w:t xml:space="preserve">. Ved å etablere én CTP for hver </w:t>
      </w:r>
      <w:proofErr w:type="spellStart"/>
      <w:r w:rsidRPr="00175F8B">
        <w:t>aktivaklasse</w:t>
      </w:r>
      <w:proofErr w:type="spellEnd"/>
      <w:r w:rsidRPr="00175F8B">
        <w:t>, sentraliseres all handelsinformasjonen i ett felles datasystem i vedkommende CTP.</w:t>
      </w:r>
    </w:p>
    <w:p w14:paraId="53CC2859" w14:textId="77777777" w:rsidR="00080633" w:rsidRPr="00175F8B" w:rsidRDefault="00080633" w:rsidP="00175F8B">
      <w:r w:rsidRPr="00175F8B">
        <w:t xml:space="preserve">Prosedyren for </w:t>
      </w:r>
      <w:proofErr w:type="spellStart"/>
      <w:r w:rsidRPr="00175F8B">
        <w:t>ESMAs</w:t>
      </w:r>
      <w:proofErr w:type="spellEnd"/>
      <w:r w:rsidRPr="00175F8B">
        <w:t xml:space="preserve"> utvelgelse av </w:t>
      </w:r>
      <w:proofErr w:type="spellStart"/>
      <w:r w:rsidRPr="00175F8B">
        <w:t>CTPer</w:t>
      </w:r>
      <w:proofErr w:type="spellEnd"/>
      <w:r w:rsidRPr="00175F8B">
        <w:t xml:space="preserve"> er regulert i </w:t>
      </w:r>
      <w:proofErr w:type="spellStart"/>
      <w:r w:rsidRPr="00175F8B">
        <w:t>MiFIR</w:t>
      </w:r>
      <w:proofErr w:type="spellEnd"/>
      <w:r w:rsidRPr="00175F8B">
        <w:t xml:space="preserve"> ny artikkel 27da. ESMA skal gjennomføre separate utvelgelsesprosedyrer for </w:t>
      </w:r>
      <w:proofErr w:type="spellStart"/>
      <w:r w:rsidRPr="00175F8B">
        <w:t>CTPer</w:t>
      </w:r>
      <w:proofErr w:type="spellEnd"/>
      <w:r w:rsidRPr="00175F8B">
        <w:t xml:space="preserve"> for </w:t>
      </w:r>
      <w:r w:rsidRPr="00175F8B">
        <w:rPr>
          <w:rStyle w:val="kursiv"/>
        </w:rPr>
        <w:t xml:space="preserve">obligasjoner, aksjer og </w:t>
      </w:r>
      <w:proofErr w:type="spellStart"/>
      <w:r w:rsidRPr="00175F8B">
        <w:rPr>
          <w:rStyle w:val="kursiv"/>
        </w:rPr>
        <w:t>ETFer</w:t>
      </w:r>
      <w:proofErr w:type="spellEnd"/>
      <w:r w:rsidRPr="00175F8B">
        <w:rPr>
          <w:rStyle w:val="kursiv"/>
        </w:rPr>
        <w:t xml:space="preserve"> og OTC-derivater og relevante underklasser av disse</w:t>
      </w:r>
      <w:r w:rsidRPr="00175F8B">
        <w:t>. Utvelgelsesprosessen vil gå forut for prosessen for å søke tillatelse. Først når ESMA har pekt ut en CTP, skal den søke om tillatelse fra ESMA, se omtale av prosessen for å søke tillatelse i kapittel 3.3.2.3.</w:t>
      </w:r>
    </w:p>
    <w:p w14:paraId="5A34BA58" w14:textId="77777777" w:rsidR="00080633" w:rsidRPr="00175F8B" w:rsidRDefault="00080633" w:rsidP="00175F8B">
      <w:r w:rsidRPr="00175F8B">
        <w:t xml:space="preserve">I henhold til </w:t>
      </w:r>
      <w:proofErr w:type="spellStart"/>
      <w:r w:rsidRPr="00175F8B">
        <w:t>MiFIR</w:t>
      </w:r>
      <w:proofErr w:type="spellEnd"/>
      <w:r w:rsidRPr="00175F8B">
        <w:t xml:space="preserve"> artikkel 27da nr. 2 bokstav c skal en CTP for aksjer og </w:t>
      </w:r>
      <w:proofErr w:type="spellStart"/>
      <w:r w:rsidRPr="00175F8B">
        <w:t>ETFer</w:t>
      </w:r>
      <w:proofErr w:type="spellEnd"/>
      <w:r w:rsidRPr="00175F8B">
        <w:t xml:space="preserve"> ha kapasitet til å motta, konsolidere og formidle informasjon om både innlagte ordre og gjennomførte ordre, det vil si pre- og post-trade informasjon. En CTP for obligasjoner og OTC-derivater og relevante underklasser av disse, skal ha kapasitet til å motta, konsolidere og formidle informasjon om gjennomførte ordre, det vil si post-trade informasjon.</w:t>
      </w:r>
    </w:p>
    <w:p w14:paraId="33DD9DE8" w14:textId="77777777" w:rsidR="00080633" w:rsidRPr="00175F8B" w:rsidRDefault="00080633" w:rsidP="00175F8B">
      <w:r w:rsidRPr="00175F8B">
        <w:t xml:space="preserve">Utvelgelsen skal skje suksessivt og starter med </w:t>
      </w:r>
      <w:proofErr w:type="spellStart"/>
      <w:r w:rsidRPr="00175F8B">
        <w:t>CTPen</w:t>
      </w:r>
      <w:proofErr w:type="spellEnd"/>
      <w:r w:rsidRPr="00175F8B">
        <w:t xml:space="preserve"> for obligasjoner. </w:t>
      </w:r>
      <w:proofErr w:type="spellStart"/>
      <w:r w:rsidRPr="00175F8B">
        <w:t>MiFIR</w:t>
      </w:r>
      <w:proofErr w:type="spellEnd"/>
      <w:r w:rsidRPr="00175F8B">
        <w:t xml:space="preserve"> artikkel 27da nr. 1 fastsetter at utvelgelsesprosedyren for en CTP for obligasjoner skal iverksettes innen 29. desember 2024. Deretter startes utvelgelsesprosedyren for </w:t>
      </w:r>
      <w:proofErr w:type="spellStart"/>
      <w:r w:rsidRPr="00175F8B">
        <w:t>CTPen</w:t>
      </w:r>
      <w:proofErr w:type="spellEnd"/>
      <w:r w:rsidRPr="00175F8B">
        <w:t xml:space="preserve"> for aksjer mv. Til slutt iverksettes utvelgelsesprosedyren for </w:t>
      </w:r>
      <w:proofErr w:type="spellStart"/>
      <w:r w:rsidRPr="00175F8B">
        <w:t>CTPen</w:t>
      </w:r>
      <w:proofErr w:type="spellEnd"/>
      <w:r w:rsidRPr="00175F8B">
        <w:t xml:space="preserve"> for OTC-derivater og relevante underklasser.</w:t>
      </w:r>
    </w:p>
    <w:p w14:paraId="57FFA240" w14:textId="77777777" w:rsidR="00080633" w:rsidRPr="00175F8B" w:rsidRDefault="00080633" w:rsidP="00175F8B">
      <w:r w:rsidRPr="00175F8B">
        <w:t>Utvelgelsesprosedyren skal sikre at det mest egnede foretaket gis retten til å drive CTP. Utvelgelsen gjelder for en periode på fem år. Utvelgelsesprosedyren er underlagt bestemmelsene i forord</w:t>
      </w:r>
      <w:r w:rsidRPr="00175F8B">
        <w:t>ning (EU, Euratom) 2018/1046 om unionens generelle budsjettregler.</w:t>
      </w:r>
    </w:p>
    <w:p w14:paraId="05004A58" w14:textId="77777777" w:rsidR="00080633" w:rsidRPr="00175F8B" w:rsidRDefault="00080633" w:rsidP="00175F8B">
      <w:r w:rsidRPr="00175F8B">
        <w:t xml:space="preserve">Utvelgelsesprosedyren er underlagt spesifikke vilkår som er fastsatt i </w:t>
      </w:r>
      <w:proofErr w:type="spellStart"/>
      <w:r w:rsidRPr="00175F8B">
        <w:t>MiFIR</w:t>
      </w:r>
      <w:proofErr w:type="spellEnd"/>
      <w:r w:rsidRPr="00175F8B">
        <w:t xml:space="preserve"> artikkel 27da nr. 2 bokstav a til n. Det er ESMA som skal vurdere om en søker oppfyller disse vilkårene.</w:t>
      </w:r>
    </w:p>
    <w:p w14:paraId="7730C451" w14:textId="77777777" w:rsidR="00080633" w:rsidRPr="00175F8B" w:rsidRDefault="00080633" w:rsidP="00175F8B">
      <w:r w:rsidRPr="00175F8B">
        <w:t xml:space="preserve">ESMA skal blant annet vurdere følgende forhold: Søkerens evne til å tilby konsoliderte data for hele unionen, overholdelse av organisatoriske krav i samsvar med </w:t>
      </w:r>
      <w:proofErr w:type="spellStart"/>
      <w:r w:rsidRPr="00175F8B">
        <w:t>MiFIR</w:t>
      </w:r>
      <w:proofErr w:type="spellEnd"/>
      <w:r w:rsidRPr="00175F8B">
        <w:t xml:space="preserve"> artikkel 27h, tilstedeværelsen av en adekvat styringsstruktur, hastigheten på distribusjon av markedsdata og regulatoriske data, effektiviteten til metoder for å sikre datakvalitet, samt totale utviklings- og driftskostnader.</w:t>
      </w:r>
    </w:p>
    <w:p w14:paraId="24E85A07" w14:textId="77777777" w:rsidR="00080633" w:rsidRPr="00175F8B" w:rsidRDefault="00080633" w:rsidP="00175F8B">
      <w:r w:rsidRPr="00175F8B">
        <w:t xml:space="preserve">Videre skal ESMA vurdere og vekte nivået på gebyrer som søkeren planlegger å belaste brukerne av </w:t>
      </w:r>
      <w:proofErr w:type="spellStart"/>
      <w:r w:rsidRPr="00175F8B">
        <w:t>CTPen</w:t>
      </w:r>
      <w:proofErr w:type="spellEnd"/>
      <w:r w:rsidRPr="00175F8B">
        <w:t xml:space="preserve">, inkludert tilgjengeligheten av søkerens gebyr- og lisensieringsmodeller, i tillegg til etterlevelse av </w:t>
      </w:r>
      <w:proofErr w:type="spellStart"/>
      <w:r w:rsidRPr="00175F8B">
        <w:t>MiFIR</w:t>
      </w:r>
      <w:proofErr w:type="spellEnd"/>
      <w:r w:rsidRPr="00175F8B">
        <w:t xml:space="preserve"> artikkel 13 om plikten til å offentliggjøre pre- og post-trade informasjon på rimelige forretningsmessige vilkår.</w:t>
      </w:r>
    </w:p>
    <w:p w14:paraId="00D2891A" w14:textId="77777777" w:rsidR="00080633" w:rsidRPr="00175F8B" w:rsidRDefault="00080633" w:rsidP="00175F8B">
      <w:r w:rsidRPr="00175F8B">
        <w:t xml:space="preserve">Når det gjelder </w:t>
      </w:r>
      <w:proofErr w:type="spellStart"/>
      <w:r w:rsidRPr="00175F8B">
        <w:t>CTPen</w:t>
      </w:r>
      <w:proofErr w:type="spellEnd"/>
      <w:r w:rsidRPr="00175F8B">
        <w:t xml:space="preserve"> for obligasjoner, skal ESMA vurdere om det er etablert ordninger for inntektsfordeling i samsvar med </w:t>
      </w:r>
      <w:proofErr w:type="spellStart"/>
      <w:r w:rsidRPr="00175F8B">
        <w:t>MiFIR</w:t>
      </w:r>
      <w:proofErr w:type="spellEnd"/>
      <w:r w:rsidRPr="00175F8B">
        <w:t xml:space="preserve"> ny artikkel 27h nr. 5.</w:t>
      </w:r>
    </w:p>
    <w:p w14:paraId="27E253A8" w14:textId="77777777" w:rsidR="00080633" w:rsidRPr="00175F8B" w:rsidRDefault="00080633" w:rsidP="00175F8B">
      <w:r w:rsidRPr="00175F8B">
        <w:t xml:space="preserve">ESMA skal også evaluere søkerens bruk av moderne grensesnitteknologi for spredning av markedsdata og regulatoriske data, tilstedeværelsen av egnede ordninger for oppbevaring av dokumentasjon i samsvar med </w:t>
      </w:r>
      <w:proofErr w:type="spellStart"/>
      <w:r w:rsidRPr="00175F8B">
        <w:t>MiFIR</w:t>
      </w:r>
      <w:proofErr w:type="spellEnd"/>
      <w:r w:rsidRPr="00175F8B">
        <w:t xml:space="preserve"> ny artikkel 27ha nr. 3, søkerens evne til å sikre motstandsdyktighet og forretningskontinuitet, herunder ordninger for å redusere driftsstans og cyberrisiko, søkerens planlagte tiltak for å redusere energiforbruket i forbindelse med innsamling av data, samt ordninger for datahåndtering og lagring.</w:t>
      </w:r>
    </w:p>
    <w:p w14:paraId="30B02A20" w14:textId="77777777" w:rsidR="00080633" w:rsidRPr="00175F8B" w:rsidRDefault="00080633" w:rsidP="00175F8B">
      <w:r w:rsidRPr="00175F8B">
        <w:t>I tilfeller der flere søkere har inngitt en felles søknad om å tilby CTP-tjenester, skal ESMA vurdere om det er behov for at hver enkelt søker inngir den felles søknaden individuelt.</w:t>
      </w:r>
    </w:p>
    <w:p w14:paraId="714CE7A6" w14:textId="77777777" w:rsidR="00080633" w:rsidRPr="00175F8B" w:rsidRDefault="00080633" w:rsidP="00175F8B">
      <w:r w:rsidRPr="00175F8B">
        <w:t xml:space="preserve">ESMA skal fatte en beslutning om hvilken søker som blir valgt innen seks måneder etter at utvelgelsesprosedyren er startet, og velge den søkeren som er best egnet til å drive </w:t>
      </w:r>
      <w:proofErr w:type="spellStart"/>
      <w:r w:rsidRPr="00175F8B">
        <w:t>CTPen</w:t>
      </w:r>
      <w:proofErr w:type="spellEnd"/>
      <w:r w:rsidRPr="00175F8B">
        <w:t xml:space="preserve">. Søknad om tillatelse skal deretter sendes til ESMA så snart som mulig, jf. </w:t>
      </w:r>
      <w:proofErr w:type="spellStart"/>
      <w:r w:rsidRPr="00175F8B">
        <w:t>MiFIR</w:t>
      </w:r>
      <w:proofErr w:type="spellEnd"/>
      <w:r w:rsidRPr="00175F8B">
        <w:t xml:space="preserve"> ny artikkel 27da nr. 4.</w:t>
      </w:r>
    </w:p>
    <w:p w14:paraId="2E5FC195" w14:textId="77777777" w:rsidR="00080633" w:rsidRPr="00175F8B" w:rsidRDefault="00080633" w:rsidP="00175F8B">
      <w:r w:rsidRPr="00175F8B">
        <w:t xml:space="preserve">Dersom ingen søkere anses egnet, skal ESMA starte en ny utvelgelsesprosedyre innen seks måneder etter avslutningen av den forrige. Det samme gjelder dersom søkeren likevel ikke mottar tillatelse i henhold til </w:t>
      </w:r>
      <w:proofErr w:type="spellStart"/>
      <w:r w:rsidRPr="00175F8B">
        <w:t>MiFIR</w:t>
      </w:r>
      <w:proofErr w:type="spellEnd"/>
      <w:r w:rsidRPr="00175F8B">
        <w:t xml:space="preserve"> ny artikkel 27db.</w:t>
      </w:r>
    </w:p>
    <w:p w14:paraId="2A922D26" w14:textId="77777777" w:rsidR="00080633" w:rsidRPr="00175F8B" w:rsidRDefault="00080633" w:rsidP="00175F8B">
      <w:pPr>
        <w:pStyle w:val="Overskrift4"/>
      </w:pPr>
      <w:r w:rsidRPr="00175F8B">
        <w:t>Prosedyre for å innvilge og avslå tillatelse til å yte CTP-tjenester</w:t>
      </w:r>
    </w:p>
    <w:p w14:paraId="44DAD13D" w14:textId="77777777" w:rsidR="00080633" w:rsidRPr="00175F8B" w:rsidRDefault="00080633" w:rsidP="00175F8B">
      <w:proofErr w:type="spellStart"/>
      <w:r w:rsidRPr="00175F8B">
        <w:t>MiFIR</w:t>
      </w:r>
      <w:proofErr w:type="spellEnd"/>
      <w:r w:rsidRPr="00175F8B">
        <w:t xml:space="preserve"> ny artikkel 27db fastsetter prosedyren for å behandle en søknad om tillatelse til å drive en CTP. Etter at ESMA har valgt en CTP til å yte CTP-tjenester for en </w:t>
      </w:r>
      <w:proofErr w:type="spellStart"/>
      <w:r w:rsidRPr="00175F8B">
        <w:t>aktivaklasse</w:t>
      </w:r>
      <w:proofErr w:type="spellEnd"/>
      <w:r w:rsidRPr="00175F8B">
        <w:t xml:space="preserve"> etter </w:t>
      </w:r>
      <w:proofErr w:type="spellStart"/>
      <w:r w:rsidRPr="00175F8B">
        <w:t>MiFIR</w:t>
      </w:r>
      <w:proofErr w:type="spellEnd"/>
      <w:r w:rsidRPr="00175F8B">
        <w:t xml:space="preserve"> artikkel 27da, må </w:t>
      </w:r>
      <w:proofErr w:type="spellStart"/>
      <w:r w:rsidRPr="00175F8B">
        <w:t>CTPen</w:t>
      </w:r>
      <w:proofErr w:type="spellEnd"/>
      <w:r w:rsidRPr="00175F8B">
        <w:t xml:space="preserve"> umiddelbart søke ESMA om tillatelse til å drive CTP. I samsvar med </w:t>
      </w:r>
      <w:proofErr w:type="spellStart"/>
      <w:r w:rsidRPr="00175F8B">
        <w:t>MiFIR</w:t>
      </w:r>
      <w:proofErr w:type="spellEnd"/>
      <w:r w:rsidRPr="00175F8B">
        <w:t xml:space="preserve"> artikkel 27db nr. 1 skal søker gi all informasjon som er nødvendig for at ESMA kan vurdere om søkeren oppfyller kravene til en CTP i </w:t>
      </w:r>
      <w:proofErr w:type="spellStart"/>
      <w:r w:rsidRPr="00175F8B">
        <w:t>MiFIR</w:t>
      </w:r>
      <w:proofErr w:type="spellEnd"/>
      <w:r w:rsidRPr="00175F8B">
        <w:t xml:space="preserve"> ny artikkel 27da nr. 2 (i tillegg til de generelle kravene til datarapporteringsforetakene</w:t>
      </w:r>
      <w:r w:rsidRPr="00175F8B">
        <w:t xml:space="preserve"> i </w:t>
      </w:r>
      <w:proofErr w:type="spellStart"/>
      <w:r w:rsidRPr="00175F8B">
        <w:t>MiFIR</w:t>
      </w:r>
      <w:proofErr w:type="spellEnd"/>
      <w:r w:rsidRPr="00175F8B">
        <w:t xml:space="preserve"> kapittel </w:t>
      </w:r>
      <w:proofErr w:type="spellStart"/>
      <w:r w:rsidRPr="00175F8B">
        <w:t>IVa</w:t>
      </w:r>
      <w:proofErr w:type="spellEnd"/>
      <w:r w:rsidRPr="00175F8B">
        <w:t>).</w:t>
      </w:r>
    </w:p>
    <w:p w14:paraId="1999E11C" w14:textId="77777777" w:rsidR="00080633" w:rsidRPr="00175F8B" w:rsidRDefault="00080633" w:rsidP="00175F8B">
      <w:r w:rsidRPr="00175F8B">
        <w:lastRenderedPageBreak/>
        <w:t>Innen tre måneder etter å ha mottatt en fullstendig søknad, skal ESMA treffe en begrunnet beslutning om å innvilge eller avslå søknaden. ESMA skal basere sin beslutning på en vurdering av om søk</w:t>
      </w:r>
      <w:r w:rsidRPr="00175F8B">
        <w:t xml:space="preserve">eren er i stand til å drifte </w:t>
      </w:r>
      <w:proofErr w:type="spellStart"/>
      <w:r w:rsidRPr="00175F8B">
        <w:t>CTPen</w:t>
      </w:r>
      <w:proofErr w:type="spellEnd"/>
      <w:r w:rsidRPr="00175F8B">
        <w:t xml:space="preserve"> i samsvar med kravene i </w:t>
      </w:r>
      <w:proofErr w:type="spellStart"/>
      <w:r w:rsidRPr="00175F8B">
        <w:t>MiFIR</w:t>
      </w:r>
      <w:proofErr w:type="spellEnd"/>
      <w:r w:rsidRPr="00175F8B">
        <w:t xml:space="preserve"> del IV. ESMA skal angi vilkårene som gjelder for drift av </w:t>
      </w:r>
      <w:proofErr w:type="spellStart"/>
      <w:r w:rsidRPr="00175F8B">
        <w:t>CTPen</w:t>
      </w:r>
      <w:proofErr w:type="spellEnd"/>
      <w:r w:rsidRPr="00175F8B">
        <w:t>, inkludert nivået på avgifter som skal belastes brukerne, se omtale av utvelgelsesprosedyren i fortalen til forordning 2024/791 avsnitt 26.</w:t>
      </w:r>
    </w:p>
    <w:p w14:paraId="3F5DC1BE" w14:textId="77777777" w:rsidR="00080633" w:rsidRPr="00175F8B" w:rsidRDefault="00080633" w:rsidP="00175F8B">
      <w:r w:rsidRPr="00175F8B">
        <w:t xml:space="preserve">Etter at tillatelsen er gitt, har ESMA muligheten til å gi søkeren ekstra tid til å fullføre utviklingen av </w:t>
      </w:r>
      <w:proofErr w:type="spellStart"/>
      <w:r w:rsidRPr="00175F8B">
        <w:t>CTPen</w:t>
      </w:r>
      <w:proofErr w:type="spellEnd"/>
      <w:r w:rsidRPr="00175F8B">
        <w:t xml:space="preserve">, jf. </w:t>
      </w:r>
      <w:proofErr w:type="spellStart"/>
      <w:r w:rsidRPr="00175F8B">
        <w:t>MiFIR</w:t>
      </w:r>
      <w:proofErr w:type="spellEnd"/>
      <w:r w:rsidRPr="00175F8B">
        <w:t xml:space="preserve"> ny artikkel 27db nr. 4.</w:t>
      </w:r>
    </w:p>
    <w:p w14:paraId="0ADE764F" w14:textId="77777777" w:rsidR="00080633" w:rsidRPr="00175F8B" w:rsidRDefault="00080633" w:rsidP="00175F8B">
      <w:r w:rsidRPr="00175F8B">
        <w:t xml:space="preserve">Etter </w:t>
      </w:r>
      <w:proofErr w:type="spellStart"/>
      <w:r w:rsidRPr="00175F8B">
        <w:t>MiFIR</w:t>
      </w:r>
      <w:proofErr w:type="spellEnd"/>
      <w:r w:rsidRPr="00175F8B">
        <w:t xml:space="preserve"> ny artikkel 27db nr. 5 må en CTP til enhver tid overholde de organisatoriske kravene fastsatt i </w:t>
      </w:r>
      <w:proofErr w:type="spellStart"/>
      <w:r w:rsidRPr="00175F8B">
        <w:t>MiFIR</w:t>
      </w:r>
      <w:proofErr w:type="spellEnd"/>
      <w:r w:rsidRPr="00175F8B">
        <w:t xml:space="preserve"> artikkel 27h og vilkårene som er satt i tillatelsen. Dersom en CTP ikke lenger oppfyller disse kravene, må den umiddelbart underrette ESMA</w:t>
      </w:r>
      <w:r w:rsidRPr="00175F8B">
        <w:t>.</w:t>
      </w:r>
    </w:p>
    <w:p w14:paraId="136D77D7" w14:textId="77777777" w:rsidR="00080633" w:rsidRPr="00175F8B" w:rsidRDefault="00080633" w:rsidP="00175F8B">
      <w:r w:rsidRPr="00175F8B">
        <w:t xml:space="preserve">Dersom tillatelsen til en CTP tilbakekalles, skal ikke vedtaket om tilbakekall settes i verk før en ny CTP er valgt og tillatelse er gitt i samsvar med </w:t>
      </w:r>
      <w:proofErr w:type="spellStart"/>
      <w:r w:rsidRPr="00175F8B">
        <w:t>MiFIR</w:t>
      </w:r>
      <w:proofErr w:type="spellEnd"/>
      <w:r w:rsidRPr="00175F8B">
        <w:t xml:space="preserve"> artikkel 27da og 27db.</w:t>
      </w:r>
    </w:p>
    <w:p w14:paraId="699B1CFD" w14:textId="77777777" w:rsidR="00080633" w:rsidRPr="00175F8B" w:rsidRDefault="00080633" w:rsidP="00175F8B">
      <w:r w:rsidRPr="00175F8B">
        <w:t xml:space="preserve">Detaljene om hvilken informasjon som skal sendes inn til ESMA i forbindelse med søknaden om tillatelse vil bli nærmere spesifisert i nivå 2-regelverket, se </w:t>
      </w:r>
      <w:proofErr w:type="spellStart"/>
      <w:r w:rsidRPr="00175F8B">
        <w:t>MiFIR</w:t>
      </w:r>
      <w:proofErr w:type="spellEnd"/>
      <w:r w:rsidRPr="00175F8B">
        <w:t xml:space="preserve"> artikkel 27db nr. 7. ESMA har sendt forslag til ny kommisjonsforordning på høring, se kapittel 1.5. Dette var tidligere regulert i kommisjonsforordning 2017/571 (RTS 13) som gjelder alle datarapporteringsforetakene. ESMA har foreslått at RTS 13 kun skal gjelde for </w:t>
      </w:r>
      <w:proofErr w:type="spellStart"/>
      <w:r w:rsidRPr="00175F8B">
        <w:t>APAer</w:t>
      </w:r>
      <w:proofErr w:type="spellEnd"/>
      <w:r w:rsidRPr="00175F8B">
        <w:t xml:space="preserve"> og </w:t>
      </w:r>
      <w:proofErr w:type="spellStart"/>
      <w:r w:rsidRPr="00175F8B">
        <w:t>ARMer</w:t>
      </w:r>
      <w:proofErr w:type="spellEnd"/>
      <w:r w:rsidRPr="00175F8B">
        <w:t>.</w:t>
      </w:r>
    </w:p>
    <w:p w14:paraId="7EB4045A" w14:textId="77777777" w:rsidR="00080633" w:rsidRPr="00175F8B" w:rsidRDefault="00080633" w:rsidP="00175F8B">
      <w:pPr>
        <w:pStyle w:val="Overskrift3"/>
      </w:pPr>
      <w:r w:rsidRPr="00175F8B">
        <w:t>Organisatoriske krav for CTP</w:t>
      </w:r>
    </w:p>
    <w:p w14:paraId="5B17E6DB" w14:textId="77777777" w:rsidR="00080633" w:rsidRPr="00175F8B" w:rsidRDefault="00080633" w:rsidP="00175F8B">
      <w:pPr>
        <w:pStyle w:val="Overskrift4"/>
      </w:pPr>
      <w:r w:rsidRPr="00175F8B">
        <w:t xml:space="preserve">Nye organisatoriske krav for </w:t>
      </w:r>
      <w:proofErr w:type="spellStart"/>
      <w:r w:rsidRPr="00175F8B">
        <w:t>CTPer</w:t>
      </w:r>
      <w:proofErr w:type="spellEnd"/>
    </w:p>
    <w:p w14:paraId="3F004AA2" w14:textId="77777777" w:rsidR="00080633" w:rsidRPr="00175F8B" w:rsidRDefault="00080633" w:rsidP="00175F8B">
      <w:proofErr w:type="spellStart"/>
      <w:r w:rsidRPr="00175F8B">
        <w:t>MiFIR</w:t>
      </w:r>
      <w:proofErr w:type="spellEnd"/>
      <w:r w:rsidRPr="00175F8B">
        <w:t xml:space="preserve"> artikkel 27h endres slik at de organisatoriske kravene tilpasses de nye reglene om en CTP for hver </w:t>
      </w:r>
      <w:proofErr w:type="spellStart"/>
      <w:r w:rsidRPr="00175F8B">
        <w:t>aktivaklasse</w:t>
      </w:r>
      <w:proofErr w:type="spellEnd"/>
      <w:r w:rsidRPr="00175F8B">
        <w:t>.</w:t>
      </w:r>
    </w:p>
    <w:p w14:paraId="093BF1FC" w14:textId="77777777" w:rsidR="00080633" w:rsidRPr="00175F8B" w:rsidRDefault="00080633" w:rsidP="00175F8B">
      <w:r w:rsidRPr="00175F8B">
        <w:t xml:space="preserve">Etter </w:t>
      </w:r>
      <w:proofErr w:type="spellStart"/>
      <w:r w:rsidRPr="00175F8B">
        <w:t>MiFIR</w:t>
      </w:r>
      <w:proofErr w:type="spellEnd"/>
      <w:r w:rsidRPr="00175F8B">
        <w:t xml:space="preserve"> ny artikkel 27h nr. 1 bokstav a til g må en CTP samle inn alle data som leveres av dataleverandørene for den aktuelle </w:t>
      </w:r>
      <w:proofErr w:type="spellStart"/>
      <w:r w:rsidRPr="00175F8B">
        <w:t>aktivaklassen</w:t>
      </w:r>
      <w:proofErr w:type="spellEnd"/>
      <w:r w:rsidRPr="00175F8B">
        <w:t xml:space="preserve"> </w:t>
      </w:r>
      <w:proofErr w:type="spellStart"/>
      <w:r w:rsidRPr="00175F8B">
        <w:t>CTPen</w:t>
      </w:r>
      <w:proofErr w:type="spellEnd"/>
      <w:r w:rsidRPr="00175F8B">
        <w:t xml:space="preserve"> er godkjent for.</w:t>
      </w:r>
    </w:p>
    <w:p w14:paraId="5BBF0ED0" w14:textId="77777777" w:rsidR="00080633" w:rsidRPr="00175F8B" w:rsidRDefault="00080633" w:rsidP="00175F8B">
      <w:proofErr w:type="spellStart"/>
      <w:r w:rsidRPr="00175F8B">
        <w:t>CTPen</w:t>
      </w:r>
      <w:proofErr w:type="spellEnd"/>
      <w:r w:rsidRPr="00175F8B">
        <w:t xml:space="preserve"> skal formidle sentrale markedsdata og regulatoriske data til brukerne gjennom en kontinuerlig elektronisk direkte datastrøm på ikke-diskriminerende vilkår, så nær sanntid som teknisk mulig (om krav til synkronisering av klokker, se kapittel 6.2). </w:t>
      </w:r>
      <w:proofErr w:type="spellStart"/>
      <w:r w:rsidRPr="00175F8B">
        <w:t>CTPen</w:t>
      </w:r>
      <w:proofErr w:type="spellEnd"/>
      <w:r w:rsidRPr="00175F8B">
        <w:t xml:space="preserve"> må i tillegg sikre at sentrale markedsdata og regulatoriske data er lett tilgjengelige, maskinlesbare og brukbare for alle brukere, inkludert private investorer. </w:t>
      </w:r>
      <w:proofErr w:type="spellStart"/>
      <w:r w:rsidRPr="00175F8B">
        <w:t>CTPen</w:t>
      </w:r>
      <w:proofErr w:type="spellEnd"/>
      <w:r w:rsidRPr="00175F8B">
        <w:t xml:space="preserve"> skal ha systemer for effektiv kontroll av dataoverføringen fra dataleverandørene, identifi</w:t>
      </w:r>
      <w:r w:rsidRPr="00175F8B">
        <w:t xml:space="preserve">sere åpenbare feil og anmode om ny overføring av data. Dersom </w:t>
      </w:r>
      <w:proofErr w:type="spellStart"/>
      <w:r w:rsidRPr="00175F8B">
        <w:t>CTPen</w:t>
      </w:r>
      <w:proofErr w:type="spellEnd"/>
      <w:r w:rsidRPr="00175F8B">
        <w:t xml:space="preserve"> er kontrollert av en gruppe næringsdrivende, skal den ha </w:t>
      </w:r>
      <w:proofErr w:type="spellStart"/>
      <w:r w:rsidRPr="00175F8B">
        <w:t>compliancesystemer</w:t>
      </w:r>
      <w:proofErr w:type="spellEnd"/>
      <w:r w:rsidRPr="00175F8B">
        <w:t xml:space="preserve"> som sikrer at driften av det konsoliderte offentliggjøringssystemet ikke skaper konkurransevridning.</w:t>
      </w:r>
    </w:p>
    <w:p w14:paraId="4BA8193A" w14:textId="77777777" w:rsidR="00080633" w:rsidRPr="00175F8B" w:rsidRDefault="00080633" w:rsidP="00175F8B">
      <w:proofErr w:type="spellStart"/>
      <w:r w:rsidRPr="00175F8B">
        <w:t>CTPen</w:t>
      </w:r>
      <w:proofErr w:type="spellEnd"/>
      <w:r w:rsidRPr="00175F8B">
        <w:t xml:space="preserve"> for aksjer og </w:t>
      </w:r>
      <w:proofErr w:type="spellStart"/>
      <w:r w:rsidRPr="00175F8B">
        <w:t>ETFer</w:t>
      </w:r>
      <w:proofErr w:type="spellEnd"/>
      <w:r w:rsidRPr="00175F8B">
        <w:t xml:space="preserve"> skal ikke offentliggjøre markedsidentifikatoren når den formidler beste europeiske bud- og tilbudspris så nært sanntid som teknisk mulig for offentligheten, jf. </w:t>
      </w:r>
      <w:proofErr w:type="spellStart"/>
      <w:r w:rsidRPr="00175F8B">
        <w:t>MiFIR</w:t>
      </w:r>
      <w:proofErr w:type="spellEnd"/>
      <w:r w:rsidRPr="00175F8B">
        <w:t xml:space="preserve"> ny artikkel 27h nr. 1 annet ledd.</w:t>
      </w:r>
    </w:p>
    <w:p w14:paraId="0ADCB3D8" w14:textId="77777777" w:rsidR="00080633" w:rsidRPr="00175F8B" w:rsidRDefault="00080633" w:rsidP="00175F8B">
      <w:r w:rsidRPr="00175F8B">
        <w:t xml:space="preserve">I henhold til </w:t>
      </w:r>
      <w:proofErr w:type="spellStart"/>
      <w:r w:rsidRPr="00175F8B">
        <w:t>MiFIR</w:t>
      </w:r>
      <w:proofErr w:type="spellEnd"/>
      <w:r w:rsidRPr="00175F8B">
        <w:t xml:space="preserve"> ny artikkel 27h nr. 2, skal en CTP publisere en liste på sin nettside som gir oversikt over hvilke dataleverandører </w:t>
      </w:r>
      <w:proofErr w:type="spellStart"/>
      <w:r w:rsidRPr="00175F8B">
        <w:t>CTPen</w:t>
      </w:r>
      <w:proofErr w:type="spellEnd"/>
      <w:r w:rsidRPr="00175F8B">
        <w:t xml:space="preserve"> mottar data fra, hvilke metoder og hastigheter som benyttes for levering av sentrale markedsdata og regulatoriske data, samt hvilke tiltak som er iverksatt for å sikre kontinuitet i levering av disse dataene.</w:t>
      </w:r>
    </w:p>
    <w:p w14:paraId="4FEC1CEA" w14:textId="77777777" w:rsidR="00080633" w:rsidRPr="00175F8B" w:rsidRDefault="00080633" w:rsidP="00175F8B">
      <w:r w:rsidRPr="00175F8B">
        <w:t xml:space="preserve">I henhold til </w:t>
      </w:r>
      <w:proofErr w:type="spellStart"/>
      <w:r w:rsidRPr="00175F8B">
        <w:t>MiFIR</w:t>
      </w:r>
      <w:proofErr w:type="spellEnd"/>
      <w:r w:rsidRPr="00175F8B">
        <w:t xml:space="preserve"> ny artikkel 27h nr. 3 skal </w:t>
      </w:r>
      <w:proofErr w:type="spellStart"/>
      <w:r w:rsidRPr="00175F8B">
        <w:t>CTPen</w:t>
      </w:r>
      <w:proofErr w:type="spellEnd"/>
      <w:r w:rsidRPr="00175F8B">
        <w:t xml:space="preserve"> ha pålitelige sikkerhetstiltak konstruert for å sikre midlene for dataoverføring mellom dataleverandørene og </w:t>
      </w:r>
      <w:proofErr w:type="spellStart"/>
      <w:r w:rsidRPr="00175F8B">
        <w:t>CTPen</w:t>
      </w:r>
      <w:proofErr w:type="spellEnd"/>
      <w:r w:rsidRPr="00175F8B">
        <w:t xml:space="preserve">, samt mellom </w:t>
      </w:r>
      <w:proofErr w:type="spellStart"/>
      <w:r w:rsidRPr="00175F8B">
        <w:t>CTPen</w:t>
      </w:r>
      <w:proofErr w:type="spellEnd"/>
      <w:r w:rsidRPr="00175F8B">
        <w:t xml:space="preserve"> og brukerne. Målet er å minimere risikoen for dataforurensning og uautorisert tilgang. </w:t>
      </w:r>
      <w:proofErr w:type="spellStart"/>
      <w:r w:rsidRPr="00175F8B">
        <w:t>CTPen</w:t>
      </w:r>
      <w:proofErr w:type="spellEnd"/>
      <w:r w:rsidRPr="00175F8B">
        <w:t xml:space="preserve"> må også ha tilstrekkelige ressurser og sikkerhetskopifasiliteter, til enhver tid, for å kunne tilby og opprettholde sine tjenester.</w:t>
      </w:r>
    </w:p>
    <w:p w14:paraId="301E26BC" w14:textId="77777777" w:rsidR="00080633" w:rsidRPr="00175F8B" w:rsidRDefault="00080633" w:rsidP="00175F8B">
      <w:r w:rsidRPr="00175F8B">
        <w:t xml:space="preserve">I henhold til </w:t>
      </w:r>
      <w:proofErr w:type="spellStart"/>
      <w:r w:rsidRPr="00175F8B">
        <w:t>MiFIR</w:t>
      </w:r>
      <w:proofErr w:type="spellEnd"/>
      <w:r w:rsidRPr="00175F8B">
        <w:t xml:space="preserve"> ny artikkel 27h nr. 4 skal en CTP offentliggjøre en liste over de finansielle instrumentene som er omfattet av den konsoliderte løpende handelsinformasjonen. </w:t>
      </w:r>
      <w:proofErr w:type="spellStart"/>
      <w:r w:rsidRPr="00175F8B">
        <w:t>CTPen</w:t>
      </w:r>
      <w:proofErr w:type="spellEnd"/>
      <w:r w:rsidRPr="00175F8B">
        <w:t xml:space="preserve"> skal også gi en oversikt over de finansielle instrumentenes identifiserbare referansedata. Videre skal </w:t>
      </w:r>
      <w:proofErr w:type="spellStart"/>
      <w:r w:rsidRPr="00175F8B">
        <w:t>CTPen</w:t>
      </w:r>
      <w:proofErr w:type="spellEnd"/>
      <w:r w:rsidRPr="00175F8B">
        <w:t xml:space="preserve"> tilby gratis adgang til denne listen og sørge for at den regelmessig revideres og oppdateres, slik at den til enhver tid gir et oppdatert overblikk over alle de finansielle instrumentene som er omfattet av den konsoliderte løpende ha</w:t>
      </w:r>
      <w:r w:rsidRPr="00175F8B">
        <w:t>ndelsinformasjonen.</w:t>
      </w:r>
    </w:p>
    <w:p w14:paraId="0FC0B917" w14:textId="77777777" w:rsidR="00080633" w:rsidRPr="00175F8B" w:rsidRDefault="00080633" w:rsidP="00175F8B">
      <w:pPr>
        <w:pStyle w:val="Overskrift4"/>
      </w:pPr>
      <w:r w:rsidRPr="00175F8B">
        <w:lastRenderedPageBreak/>
        <w:t>Finansiering, gebyrer og kostnadsfordeling</w:t>
      </w:r>
    </w:p>
    <w:p w14:paraId="6F896312" w14:textId="77777777" w:rsidR="00080633" w:rsidRPr="00175F8B" w:rsidRDefault="00080633" w:rsidP="00175F8B">
      <w:r w:rsidRPr="00175F8B">
        <w:t xml:space="preserve">En hovedutfordring knyttet til etablering av CTP har vært at inntektspotensialet er uklart, slik at forretningsgrunnlaget har vært ansett usikkert og utilstrekkelig. De nye reglene fastsetter imidlertid at </w:t>
      </w:r>
      <w:proofErr w:type="spellStart"/>
      <w:r w:rsidRPr="00175F8B">
        <w:t>CTPen</w:t>
      </w:r>
      <w:proofErr w:type="spellEnd"/>
      <w:r w:rsidRPr="00175F8B">
        <w:t xml:space="preserve"> skal kreve gebyrer fra brukerne, se </w:t>
      </w:r>
      <w:proofErr w:type="spellStart"/>
      <w:r w:rsidRPr="00175F8B">
        <w:t>MiFIR</w:t>
      </w:r>
      <w:proofErr w:type="spellEnd"/>
      <w:r w:rsidRPr="00175F8B">
        <w:t xml:space="preserve"> ny artikkel 27 h nr. 1 bokstav b. Ikke-profesjonelle investorer, akademikere, sivilsamfunnsorganisasjoner og nasjonale myndigheter skal imidlertid tilbys gratis adgang. </w:t>
      </w:r>
    </w:p>
    <w:p w14:paraId="04AAA0D4" w14:textId="77777777" w:rsidR="00080633" w:rsidRPr="00175F8B" w:rsidRDefault="00080633" w:rsidP="00175F8B">
      <w:r w:rsidRPr="00175F8B">
        <w:t xml:space="preserve">Handelsplassene mister samtidig en viktig inntektskilde i form av salg av handelsdata når de får plikt til å dele handelsinformasjon i sanntid med </w:t>
      </w:r>
      <w:proofErr w:type="spellStart"/>
      <w:r w:rsidRPr="00175F8B">
        <w:t>CTPen</w:t>
      </w:r>
      <w:proofErr w:type="spellEnd"/>
      <w:r w:rsidRPr="00175F8B">
        <w:t xml:space="preserve"> som straks offentliggjør denne. </w:t>
      </w:r>
      <w:proofErr w:type="spellStart"/>
      <w:r w:rsidRPr="00175F8B">
        <w:t>MiFIR</w:t>
      </w:r>
      <w:proofErr w:type="spellEnd"/>
      <w:r w:rsidRPr="00175F8B">
        <w:t xml:space="preserve"> artikkel 27h fastsetter på denne bakgrunn regler om omfordeling av </w:t>
      </w:r>
      <w:proofErr w:type="spellStart"/>
      <w:r w:rsidRPr="00175F8B">
        <w:t>CTPenes</w:t>
      </w:r>
      <w:proofErr w:type="spellEnd"/>
      <w:r w:rsidRPr="00175F8B">
        <w:t xml:space="preserve"> inntekter.</w:t>
      </w:r>
    </w:p>
    <w:p w14:paraId="20E89F16" w14:textId="77777777" w:rsidR="00080633" w:rsidRPr="00175F8B" w:rsidRDefault="00080633" w:rsidP="00175F8B">
      <w:r w:rsidRPr="00175F8B">
        <w:t xml:space="preserve">For </w:t>
      </w:r>
      <w:proofErr w:type="spellStart"/>
      <w:r w:rsidRPr="00175F8B">
        <w:t>CTPer</w:t>
      </w:r>
      <w:proofErr w:type="spellEnd"/>
      <w:r w:rsidRPr="00175F8B">
        <w:t xml:space="preserve"> som omfatter andre finansielle instrumenter enn aksjer og </w:t>
      </w:r>
      <w:proofErr w:type="spellStart"/>
      <w:r w:rsidRPr="00175F8B">
        <w:t>ETFer</w:t>
      </w:r>
      <w:proofErr w:type="spellEnd"/>
      <w:r w:rsidRPr="00175F8B">
        <w:t xml:space="preserve">, er reglene enkle. En CTP </w:t>
      </w:r>
      <w:r w:rsidRPr="00175F8B">
        <w:rPr>
          <w:rStyle w:val="kursiv"/>
        </w:rPr>
        <w:t>kan</w:t>
      </w:r>
      <w:r w:rsidRPr="00175F8B">
        <w:t xml:space="preserve"> omfordele en del av inntekten fra gebyr for tilgang til den konsoliderte databasen til dataleverandørene (det vil si handelsplasser og </w:t>
      </w:r>
      <w:proofErr w:type="spellStart"/>
      <w:r w:rsidRPr="00175F8B">
        <w:t>APAer</w:t>
      </w:r>
      <w:proofErr w:type="spellEnd"/>
      <w:r w:rsidRPr="00175F8B">
        <w:t xml:space="preserve"> som leverer data til </w:t>
      </w:r>
      <w:proofErr w:type="spellStart"/>
      <w:r w:rsidRPr="00175F8B">
        <w:t>CTPen</w:t>
      </w:r>
      <w:proofErr w:type="spellEnd"/>
      <w:r w:rsidRPr="00175F8B">
        <w:t>), se ny artikkel 27 h nr. 5.</w:t>
      </w:r>
    </w:p>
    <w:p w14:paraId="172BE011" w14:textId="77777777" w:rsidR="00080633" w:rsidRPr="00175F8B" w:rsidRDefault="00080633" w:rsidP="00175F8B">
      <w:r w:rsidRPr="00175F8B">
        <w:t xml:space="preserve">For aksjer og </w:t>
      </w:r>
      <w:proofErr w:type="spellStart"/>
      <w:r w:rsidRPr="00175F8B">
        <w:t>ETFer</w:t>
      </w:r>
      <w:proofErr w:type="spellEnd"/>
      <w:r w:rsidRPr="00175F8B">
        <w:t xml:space="preserve"> er reglene mer detaljerte og </w:t>
      </w:r>
      <w:r w:rsidRPr="00175F8B">
        <w:rPr>
          <w:rStyle w:val="kursiv"/>
        </w:rPr>
        <w:t>omfordelingen er pliktig</w:t>
      </w:r>
      <w:r w:rsidRPr="00175F8B">
        <w:t xml:space="preserve">. Etter </w:t>
      </w:r>
      <w:proofErr w:type="spellStart"/>
      <w:r w:rsidRPr="00175F8B">
        <w:t>MiFIR</w:t>
      </w:r>
      <w:proofErr w:type="spellEnd"/>
      <w:r w:rsidRPr="00175F8B">
        <w:t xml:space="preserve"> ny artikkel 27h nr. 6 skal en CTP for aksjer mv. omfordele deler av inntekten som </w:t>
      </w:r>
      <w:proofErr w:type="gramStart"/>
      <w:r w:rsidRPr="00175F8B">
        <w:t>genereres</w:t>
      </w:r>
      <w:proofErr w:type="gramEnd"/>
      <w:r w:rsidRPr="00175F8B">
        <w:t xml:space="preserve"> av </w:t>
      </w:r>
      <w:proofErr w:type="spellStart"/>
      <w:r w:rsidRPr="00175F8B">
        <w:t>CTPen</w:t>
      </w:r>
      <w:proofErr w:type="spellEnd"/>
      <w:r w:rsidRPr="00175F8B">
        <w:t xml:space="preserve"> til dataleverandører som oppfyller nærmere angitte kriterier. Ordningen omtales som inntektsfordelingsordningen («</w:t>
      </w:r>
      <w:proofErr w:type="spellStart"/>
      <w:r w:rsidRPr="00175F8B">
        <w:t>revenue</w:t>
      </w:r>
      <w:proofErr w:type="spellEnd"/>
      <w:r w:rsidRPr="00175F8B">
        <w:t xml:space="preserve"> </w:t>
      </w:r>
      <w:proofErr w:type="spellStart"/>
      <w:r w:rsidRPr="00175F8B">
        <w:t>redistribution</w:t>
      </w:r>
      <w:proofErr w:type="spellEnd"/>
      <w:r w:rsidRPr="00175F8B">
        <w:t xml:space="preserve"> </w:t>
      </w:r>
      <w:proofErr w:type="spellStart"/>
      <w:r w:rsidRPr="00175F8B">
        <w:t>scheme</w:t>
      </w:r>
      <w:proofErr w:type="spellEnd"/>
      <w:r w:rsidRPr="00175F8B">
        <w:t>») og omfatter dataleverandører som faller inn under en eller flere av tre spesifikke kategorier</w:t>
      </w:r>
      <w:r w:rsidRPr="00175F8B">
        <w:t>.</w:t>
      </w:r>
    </w:p>
    <w:p w14:paraId="093FB42F" w14:textId="77777777" w:rsidR="00080633" w:rsidRPr="00175F8B" w:rsidRDefault="00080633" w:rsidP="00175F8B">
      <w:r w:rsidRPr="00175F8B">
        <w:t>Den første kategorien gjelder dataleverandører som enten er et regulert marked eller et SME-vekstmarked, hvis årlige handelsvolum av aksjer utgjør en prosent eller mindre av det totale årlige handelsvolumet av aksjer i unionen («</w:t>
      </w:r>
      <w:proofErr w:type="spellStart"/>
      <w:r w:rsidRPr="00175F8B">
        <w:t>small</w:t>
      </w:r>
      <w:proofErr w:type="spellEnd"/>
      <w:r w:rsidRPr="00175F8B">
        <w:t xml:space="preserve"> trading </w:t>
      </w:r>
      <w:proofErr w:type="spellStart"/>
      <w:r w:rsidRPr="00175F8B">
        <w:t>venue</w:t>
      </w:r>
      <w:proofErr w:type="spellEnd"/>
      <w:r w:rsidRPr="00175F8B">
        <w:t>»). Prioriteringen er nærmere omtalt i fortalen til forordning 2024/791 avsnitt 29:</w:t>
      </w:r>
    </w:p>
    <w:p w14:paraId="6BF037E7" w14:textId="77777777" w:rsidR="00080633" w:rsidRPr="00175F8B" w:rsidRDefault="00080633" w:rsidP="00175F8B">
      <w:pPr>
        <w:pStyle w:val="blokksit"/>
      </w:pPr>
      <w:r w:rsidRPr="00175F8B">
        <w:t>«Trading venues facilitating the trading of shares via a pre-trade transparent order book play a key role in the price formation process. This is particularly true for small regulated markets and SME growth markets, namely those whose annual trading volume of shares represents 1 % or less of the annual trading volume of shares in the Union (‘small trading venues’), which are generally the main centre of liquidity for the securities they offer for trading. The data that small trading venues contribute to the</w:t>
      </w:r>
      <w:r w:rsidRPr="00175F8B">
        <w:t xml:space="preserve"> consolidated tape therefore play a more determining role in the price formation for the shares that small trading venues admit to trading. Notwithstanding the possibility of certain data contributors not to contribute to the consolidated tape, it is appropriate to grant, to those data contributors that decide to opt in to the consolidated tape, preferential treatment for the redistribution of revenue generated by the consolidated tape for shares and ETFs, to help small trading venues to maintain their loca</w:t>
      </w:r>
      <w:r w:rsidRPr="00175F8B">
        <w:t>l admissions and safeguard a rich and vibrant ecosystem in line with the objectives of the capital markets union.»</w:t>
      </w:r>
    </w:p>
    <w:p w14:paraId="799D8809" w14:textId="77777777" w:rsidR="00080633" w:rsidRPr="00175F8B" w:rsidRDefault="00080633" w:rsidP="00175F8B">
      <w:r w:rsidRPr="00175F8B">
        <w:t>Det er viktig at inntektsfordelingsordningen anerkjenner disse handelsplassenes rolle. Fortalen avsnitt 30 fremholder at disse handelsplassene bør gi høyest prioritet:</w:t>
      </w:r>
    </w:p>
    <w:p w14:paraId="2B78A97F" w14:textId="77777777" w:rsidR="00080633" w:rsidRPr="00175F8B" w:rsidRDefault="00080633" w:rsidP="00175F8B">
      <w:pPr>
        <w:pStyle w:val="blokksit"/>
      </w:pPr>
      <w:r w:rsidRPr="00175F8B">
        <w:t xml:space="preserve">«In order to incentivise small trading venues to opt in to the mandatory contribution of data to the CTP for shares and ETFs, the highest weighting should apply to the total annual trading volume of small trading </w:t>
      </w:r>
      <w:proofErr w:type="gramStart"/>
      <w:r w:rsidRPr="00175F8B">
        <w:t>venues.»</w:t>
      </w:r>
      <w:proofErr w:type="gramEnd"/>
    </w:p>
    <w:p w14:paraId="4F0B3A16" w14:textId="77777777" w:rsidR="00080633" w:rsidRPr="00175F8B" w:rsidRDefault="00080633" w:rsidP="00175F8B">
      <w:r w:rsidRPr="00175F8B">
        <w:t xml:space="preserve">Den andre kategorien er dataleverandører som er handelsplasser som først tok opp aksjer eller </w:t>
      </w:r>
      <w:proofErr w:type="spellStart"/>
      <w:r w:rsidRPr="00175F8B">
        <w:t>ETFer</w:t>
      </w:r>
      <w:proofErr w:type="spellEnd"/>
      <w:r w:rsidRPr="00175F8B">
        <w:t xml:space="preserve"> til handel den 27. mars 2019 eller senere.</w:t>
      </w:r>
    </w:p>
    <w:p w14:paraId="7CC04CBC" w14:textId="77777777" w:rsidR="00080633" w:rsidRPr="00175F8B" w:rsidRDefault="00080633" w:rsidP="00175F8B">
      <w:r w:rsidRPr="00175F8B">
        <w:t xml:space="preserve">Den tredje kategorien knytter seg til tilfeller der data overføres fra en handelsplass, og omfatter transaksjoner i aksjer og </w:t>
      </w:r>
      <w:proofErr w:type="spellStart"/>
      <w:r w:rsidRPr="00175F8B">
        <w:t>ETFer</w:t>
      </w:r>
      <w:proofErr w:type="spellEnd"/>
      <w:r w:rsidRPr="00175F8B">
        <w:t xml:space="preserve"> som er gjennomført i et handelssystem med pre-trade transparens, der disse transaksjonene ikke er ordre unntatt fra pre-trade transparens («</w:t>
      </w:r>
      <w:proofErr w:type="spellStart"/>
      <w:r w:rsidRPr="00175F8B">
        <w:t>waiver</w:t>
      </w:r>
      <w:proofErr w:type="spellEnd"/>
      <w:r w:rsidRPr="00175F8B">
        <w:t xml:space="preserve"> from pre-trade </w:t>
      </w:r>
      <w:proofErr w:type="spellStart"/>
      <w:r w:rsidRPr="00175F8B">
        <w:t>transparency</w:t>
      </w:r>
      <w:proofErr w:type="spellEnd"/>
      <w:r w:rsidRPr="00175F8B">
        <w:t xml:space="preserve">») i henhold til </w:t>
      </w:r>
      <w:proofErr w:type="spellStart"/>
      <w:r w:rsidRPr="00175F8B">
        <w:t>MiFIR</w:t>
      </w:r>
      <w:proofErr w:type="spellEnd"/>
      <w:r w:rsidRPr="00175F8B">
        <w:t xml:space="preserve"> artikkel 4 nr. 1 bokstav c.</w:t>
      </w:r>
    </w:p>
    <w:p w14:paraId="784CB3F7" w14:textId="77777777" w:rsidR="00080633" w:rsidRPr="00175F8B" w:rsidRDefault="00080633" w:rsidP="00175F8B">
      <w:r w:rsidRPr="00175F8B">
        <w:t xml:space="preserve">Krav til hva som defineres som årlig handelsvolum og hvordan inntektsdistribuering skal beregnes, følger av </w:t>
      </w:r>
      <w:proofErr w:type="spellStart"/>
      <w:r w:rsidRPr="00175F8B">
        <w:t>MiFIR</w:t>
      </w:r>
      <w:proofErr w:type="spellEnd"/>
      <w:r w:rsidRPr="00175F8B">
        <w:t xml:space="preserve"> ny artikkel 27h nr. 7. Det skal fastsettes nivå 2-regelverk som blant annet vil gi nøyaktig metode for beregning av omfordelingsbeløpet og inneholde vilkår for når en CTP midlertidig kan suspendere en dataleverandør fra inntektsfordelingsordningen, se </w:t>
      </w:r>
      <w:proofErr w:type="spellStart"/>
      <w:r w:rsidRPr="00175F8B">
        <w:t>MiFIR</w:t>
      </w:r>
      <w:proofErr w:type="spellEnd"/>
      <w:r w:rsidRPr="00175F8B">
        <w:t xml:space="preserve"> artikkel 27h nr. 8. ESMA har sendt forslag til kommisjonsforordning på høring, se kapittel 2.5.</w:t>
      </w:r>
    </w:p>
    <w:p w14:paraId="31A10BAF" w14:textId="77777777" w:rsidR="00080633" w:rsidRPr="00175F8B" w:rsidRDefault="00080633" w:rsidP="00175F8B">
      <w:pPr>
        <w:pStyle w:val="Overskrift4"/>
      </w:pPr>
      <w:r w:rsidRPr="00175F8B">
        <w:lastRenderedPageBreak/>
        <w:t xml:space="preserve">Nye rapporteringsforpliktelser for </w:t>
      </w:r>
      <w:proofErr w:type="spellStart"/>
      <w:r w:rsidRPr="00175F8B">
        <w:t>CTPer</w:t>
      </w:r>
      <w:proofErr w:type="spellEnd"/>
    </w:p>
    <w:p w14:paraId="0A4A0348" w14:textId="77777777" w:rsidR="00080633" w:rsidRPr="00175F8B" w:rsidRDefault="00080633" w:rsidP="00175F8B">
      <w:r w:rsidRPr="00175F8B">
        <w:t xml:space="preserve">De nye organisatoriske kravene for </w:t>
      </w:r>
      <w:proofErr w:type="spellStart"/>
      <w:r w:rsidRPr="00175F8B">
        <w:t>CTPer</w:t>
      </w:r>
      <w:proofErr w:type="spellEnd"/>
      <w:r w:rsidRPr="00175F8B">
        <w:t xml:space="preserve"> inkluderer rapporteringsplikter som er definert i </w:t>
      </w:r>
      <w:proofErr w:type="spellStart"/>
      <w:r w:rsidRPr="00175F8B">
        <w:t>MiFIR</w:t>
      </w:r>
      <w:proofErr w:type="spellEnd"/>
      <w:r w:rsidRPr="00175F8B">
        <w:t xml:space="preserve"> ny artikkel 27ha.</w:t>
      </w:r>
    </w:p>
    <w:p w14:paraId="546C984D" w14:textId="77777777" w:rsidR="00080633" w:rsidRPr="00175F8B" w:rsidRDefault="00080633" w:rsidP="00175F8B">
      <w:r w:rsidRPr="00175F8B">
        <w:t xml:space="preserve">I henhold til </w:t>
      </w:r>
      <w:proofErr w:type="spellStart"/>
      <w:r w:rsidRPr="00175F8B">
        <w:t>MiFIR</w:t>
      </w:r>
      <w:proofErr w:type="spellEnd"/>
      <w:r w:rsidRPr="00175F8B">
        <w:t xml:space="preserve"> artikkel 27ha nr. 1 skal </w:t>
      </w:r>
      <w:proofErr w:type="spellStart"/>
      <w:r w:rsidRPr="00175F8B">
        <w:t>CTPen</w:t>
      </w:r>
      <w:proofErr w:type="spellEnd"/>
      <w:r w:rsidRPr="00175F8B">
        <w:t xml:space="preserve"> årlig publisere ytelsesstatistikk og hendelsesrapporter om datakvalitet og datasystemer på sin nettside. Denne informasjonen skal være gratis og offentlig tilgjengelig. ESMA skal utarbeide nivå 2-regelverk som spesifiserer innholdet, timingen, formater og terminologi for denne rapporteringsforpliktelsen.</w:t>
      </w:r>
    </w:p>
    <w:p w14:paraId="651BB62F" w14:textId="77777777" w:rsidR="00080633" w:rsidRPr="00175F8B" w:rsidRDefault="00080633" w:rsidP="00175F8B">
      <w:r w:rsidRPr="00175F8B">
        <w:t xml:space="preserve">Videre må </w:t>
      </w:r>
      <w:proofErr w:type="spellStart"/>
      <w:r w:rsidRPr="00175F8B">
        <w:t>CTPen</w:t>
      </w:r>
      <w:proofErr w:type="spellEnd"/>
      <w:r w:rsidRPr="00175F8B">
        <w:t xml:space="preserve"> oppbevare dokumentasjon knyttet til sin virksomhet i inntil fem år. Denne informasjonen skal være tilgjengelig for ESMA og nasjonale tilsynsmyndigheter.</w:t>
      </w:r>
    </w:p>
    <w:p w14:paraId="73291EB5" w14:textId="77777777" w:rsidR="00080633" w:rsidRPr="00175F8B" w:rsidRDefault="00080633" w:rsidP="00175F8B">
      <w:pPr>
        <w:pStyle w:val="Overskrift3"/>
      </w:pPr>
      <w:r w:rsidRPr="00175F8B">
        <w:t xml:space="preserve">Dataoverføring til </w:t>
      </w:r>
      <w:proofErr w:type="spellStart"/>
      <w:r w:rsidRPr="00175F8B">
        <w:t>CTPer</w:t>
      </w:r>
      <w:proofErr w:type="spellEnd"/>
    </w:p>
    <w:p w14:paraId="0B8C0CB4" w14:textId="77777777" w:rsidR="00080633" w:rsidRPr="00175F8B" w:rsidRDefault="00080633" w:rsidP="00175F8B">
      <w:pPr>
        <w:pStyle w:val="Overskrift4"/>
      </w:pPr>
      <w:r w:rsidRPr="00175F8B">
        <w:t>Obligatorisk bidragsregel</w:t>
      </w:r>
    </w:p>
    <w:p w14:paraId="16D00E1D" w14:textId="77777777" w:rsidR="00080633" w:rsidRPr="00175F8B" w:rsidRDefault="00080633" w:rsidP="00175F8B">
      <w:r w:rsidRPr="00175F8B">
        <w:t xml:space="preserve">Etter dagens regler må </w:t>
      </w:r>
      <w:proofErr w:type="spellStart"/>
      <w:r w:rsidRPr="00175F8B">
        <w:t>CTPene</w:t>
      </w:r>
      <w:proofErr w:type="spellEnd"/>
      <w:r w:rsidRPr="00175F8B">
        <w:t xml:space="preserve"> inngå</w:t>
      </w:r>
      <w:r w:rsidRPr="00175F8B">
        <w:t xml:space="preserve"> individuelle lisensavtaler med alle aktuelle leverandører for å få tilgang til relevante markedsdata. Denne prosessen er omstendelig, dyr og tidskrevende, og utgjør en hindring for å etablere </w:t>
      </w:r>
      <w:proofErr w:type="spellStart"/>
      <w:r w:rsidRPr="00175F8B">
        <w:t>CTPer</w:t>
      </w:r>
      <w:proofErr w:type="spellEnd"/>
      <w:r w:rsidRPr="00175F8B">
        <w:t xml:space="preserve"> i alle aktivklasser. Prosessen blir fremhevet av ESMA som en av årsakene til at ingen foretak har søkt om å drive CTP, jf. rapport 5. desember 2019.</w:t>
      </w:r>
    </w:p>
    <w:p w14:paraId="46BA3544" w14:textId="77777777" w:rsidR="00080633" w:rsidRPr="00175F8B" w:rsidRDefault="00080633" w:rsidP="00175F8B">
      <w:r w:rsidRPr="00175F8B">
        <w:t xml:space="preserve">For å sikre enklere tilgang til markedsdata for </w:t>
      </w:r>
      <w:proofErr w:type="spellStart"/>
      <w:r w:rsidRPr="00175F8B">
        <w:t>CTPer</w:t>
      </w:r>
      <w:proofErr w:type="spellEnd"/>
      <w:r w:rsidRPr="00175F8B">
        <w:t xml:space="preserve"> og unngå lisensieringsproblemer, innføres en obligatorisk bidragsregel for dataleverandører (handelsplasser og </w:t>
      </w:r>
      <w:proofErr w:type="spellStart"/>
      <w:r w:rsidRPr="00175F8B">
        <w:t>APAer</w:t>
      </w:r>
      <w:proofErr w:type="spellEnd"/>
      <w:r w:rsidRPr="00175F8B">
        <w:t xml:space="preserve">) i </w:t>
      </w:r>
      <w:proofErr w:type="spellStart"/>
      <w:r w:rsidRPr="00175F8B">
        <w:t>MiFIR</w:t>
      </w:r>
      <w:proofErr w:type="spellEnd"/>
      <w:r w:rsidRPr="00175F8B">
        <w:t xml:space="preserve"> ny artikkel 22a om overføring av data.</w:t>
      </w:r>
    </w:p>
    <w:p w14:paraId="709A5D86" w14:textId="77777777" w:rsidR="00080633" w:rsidRPr="00175F8B" w:rsidRDefault="00080633" w:rsidP="00175F8B">
      <w:r w:rsidRPr="00175F8B">
        <w:t xml:space="preserve">Dataleverandørene skal levere data knyttet til aksjer, </w:t>
      </w:r>
      <w:proofErr w:type="spellStart"/>
      <w:r w:rsidRPr="00175F8B">
        <w:t>ETFer</w:t>
      </w:r>
      <w:proofErr w:type="spellEnd"/>
      <w:r w:rsidRPr="00175F8B">
        <w:t xml:space="preserve"> og obligasjoner handlet på handelsplasser, samt OTC-derivater som omfattes av </w:t>
      </w:r>
      <w:proofErr w:type="spellStart"/>
      <w:r w:rsidRPr="00175F8B">
        <w:t>MiFIR</w:t>
      </w:r>
      <w:proofErr w:type="spellEnd"/>
      <w:r w:rsidRPr="00175F8B">
        <w:t xml:space="preserve"> ny artikkel 8a nr. 2, til </w:t>
      </w:r>
      <w:proofErr w:type="spellStart"/>
      <w:r w:rsidRPr="00175F8B">
        <w:t>CTPens</w:t>
      </w:r>
      <w:proofErr w:type="spellEnd"/>
      <w:r w:rsidRPr="00175F8B">
        <w:t xml:space="preserve"> datasenter. Dataene skal leveres så nært sanntid som mulig og skal inkludere regulatoriske data, for eksempel informasjon om stans i handelen, se fortalen til forordning 2024/791 avsnitt 16. Videre skal hver CTP velge blant ulike typer overføringsprotokoller som tilbys av dataleverandørene til andre brukere, og bestemme hvilken protokoll som skal brukes til direkte overføring av data ti</w:t>
      </w:r>
      <w:r w:rsidRPr="00175F8B">
        <w:t xml:space="preserve">l </w:t>
      </w:r>
      <w:proofErr w:type="spellStart"/>
      <w:r w:rsidRPr="00175F8B">
        <w:t>CTPens</w:t>
      </w:r>
      <w:proofErr w:type="spellEnd"/>
      <w:r w:rsidRPr="00175F8B">
        <w:t xml:space="preserve"> datasenter, jf. </w:t>
      </w:r>
      <w:proofErr w:type="spellStart"/>
      <w:r w:rsidRPr="00175F8B">
        <w:t>MiFIR</w:t>
      </w:r>
      <w:proofErr w:type="spellEnd"/>
      <w:r w:rsidRPr="00175F8B">
        <w:t xml:space="preserve"> artikkel 22a nr. 5.</w:t>
      </w:r>
    </w:p>
    <w:p w14:paraId="6D02C621" w14:textId="77777777" w:rsidR="00080633" w:rsidRPr="00175F8B" w:rsidRDefault="00080633" w:rsidP="00175F8B">
      <w:r w:rsidRPr="00175F8B">
        <w:t xml:space="preserve">Kravene i </w:t>
      </w:r>
      <w:proofErr w:type="spellStart"/>
      <w:r w:rsidRPr="00175F8B">
        <w:t>MiFIR</w:t>
      </w:r>
      <w:proofErr w:type="spellEnd"/>
      <w:r w:rsidRPr="00175F8B">
        <w:t xml:space="preserve"> del II og III om at handelsplasser, </w:t>
      </w:r>
      <w:proofErr w:type="spellStart"/>
      <w:r w:rsidRPr="00175F8B">
        <w:t>APAer</w:t>
      </w:r>
      <w:proofErr w:type="spellEnd"/>
      <w:r w:rsidRPr="00175F8B">
        <w:t xml:space="preserve">, verdipapirforetak og </w:t>
      </w:r>
      <w:proofErr w:type="spellStart"/>
      <w:r w:rsidRPr="00175F8B">
        <w:t>SIer</w:t>
      </w:r>
      <w:proofErr w:type="spellEnd"/>
      <w:r w:rsidRPr="00175F8B">
        <w:t xml:space="preserve"> skal offentliggjøre handelsdata, vil fortsatt gjelde. For å unngå en urimelig byrde for dataleverandørene, skal kravene om offentliggjøring av handelsdata i </w:t>
      </w:r>
      <w:proofErr w:type="gramStart"/>
      <w:r w:rsidRPr="00175F8B">
        <w:t>medhold av</w:t>
      </w:r>
      <w:proofErr w:type="gramEnd"/>
      <w:r w:rsidRPr="00175F8B">
        <w:t xml:space="preserve"> </w:t>
      </w:r>
      <w:proofErr w:type="spellStart"/>
      <w:r w:rsidRPr="00175F8B">
        <w:t>MiFIR</w:t>
      </w:r>
      <w:proofErr w:type="spellEnd"/>
      <w:r w:rsidRPr="00175F8B">
        <w:t xml:space="preserve"> del II og III og kravene til data som skal leveres til </w:t>
      </w:r>
      <w:proofErr w:type="spellStart"/>
      <w:r w:rsidRPr="00175F8B">
        <w:t>CTPene</w:t>
      </w:r>
      <w:proofErr w:type="spellEnd"/>
      <w:r w:rsidRPr="00175F8B">
        <w:t xml:space="preserve"> så langt som mulig harmoniseres, se fortalen til forordning 2024/791 avsnitt 17 og omtale av kravene til datakvalitet i kapittel 3.3.4.2.</w:t>
      </w:r>
    </w:p>
    <w:p w14:paraId="1E77C1EC" w14:textId="77777777" w:rsidR="00080633" w:rsidRPr="00175F8B" w:rsidRDefault="00080633" w:rsidP="00175F8B">
      <w:r w:rsidRPr="00175F8B">
        <w:t xml:space="preserve">Ved overføring av data til </w:t>
      </w:r>
      <w:proofErr w:type="spellStart"/>
      <w:r w:rsidRPr="00175F8B">
        <w:t>CTPen</w:t>
      </w:r>
      <w:proofErr w:type="spellEnd"/>
      <w:r w:rsidRPr="00175F8B">
        <w:t xml:space="preserve"> skal dataleverandørene benytte eventuelle utsettelser i henhold til </w:t>
      </w:r>
      <w:proofErr w:type="spellStart"/>
      <w:r w:rsidRPr="00175F8B">
        <w:t>MiFIR</w:t>
      </w:r>
      <w:proofErr w:type="spellEnd"/>
      <w:r w:rsidRPr="00175F8B">
        <w:t xml:space="preserve"> artikkel 7, artikkel 11 og 11a, artikkel 20 nr. 2, samt artikkel 21 nr. 4, hvis relevant.</w:t>
      </w:r>
    </w:p>
    <w:p w14:paraId="73573DCB" w14:textId="77777777" w:rsidR="00080633" w:rsidRPr="00175F8B" w:rsidRDefault="00080633" w:rsidP="00175F8B">
      <w:proofErr w:type="spellStart"/>
      <w:r w:rsidRPr="00175F8B">
        <w:t>MiFIR</w:t>
      </w:r>
      <w:proofErr w:type="spellEnd"/>
      <w:r w:rsidRPr="00175F8B">
        <w:t xml:space="preserve"> artikkel 22a nr. 2 fastsetter </w:t>
      </w:r>
      <w:r w:rsidRPr="00175F8B">
        <w:rPr>
          <w:rStyle w:val="kursiv"/>
        </w:rPr>
        <w:t>unntak</w:t>
      </w:r>
      <w:r w:rsidRPr="00175F8B">
        <w:t xml:space="preserve"> fra plikten til å levere data til en CTP. Unntaket omfatter verdipapirforetak som opererer et vekstmarked for små og mellomstore bedrifter (SME-vekstmarked) og markedsoperatører med årlig handelsvolum i aksjer på en prosent eller mindre av det årlige handelsvolumet i aksjer i unionen, forutsatt at de ikke tilhører en større gruppe med næreforbindelser («</w:t>
      </w:r>
      <w:proofErr w:type="spellStart"/>
      <w:r w:rsidRPr="00175F8B">
        <w:t>close</w:t>
      </w:r>
      <w:proofErr w:type="spellEnd"/>
      <w:r w:rsidRPr="00175F8B">
        <w:t xml:space="preserve"> </w:t>
      </w:r>
      <w:proofErr w:type="gramStart"/>
      <w:r w:rsidRPr="00175F8B">
        <w:t>links</w:t>
      </w:r>
      <w:proofErr w:type="gramEnd"/>
      <w:r w:rsidRPr="00175F8B">
        <w:t>») til verdipapirforetak eller markedsoperatører med mer enn en prosent aksjehandelsvolum i unionen. Unntaket gjelder også der det regulerte mar</w:t>
      </w:r>
      <w:r w:rsidRPr="00175F8B">
        <w:t>kedet eller SME-vekstmarkedet står for over 85 prosent av det årlige handelsvolumet i aksjer som først ble tatt opp til handel på det regulerte markedet eller SME-vekstmarkedet. Unntaket er gitt for ikke å pålegge små handelsplasser for store byrder, se fortalen til forordning 2024/791 avsnitt 18.</w:t>
      </w:r>
    </w:p>
    <w:p w14:paraId="74EA8463" w14:textId="77777777" w:rsidR="00080633" w:rsidRPr="00175F8B" w:rsidRDefault="00080633" w:rsidP="00175F8B">
      <w:r w:rsidRPr="00175F8B">
        <w:t xml:space="preserve">En markedsoperatør som oppfyller vilkårene for unntak eller et verdipapirforetak som driver et SME-vekstmarked, har likevel mulighet til å velge å levere data til </w:t>
      </w:r>
      <w:proofErr w:type="spellStart"/>
      <w:r w:rsidRPr="00175F8B">
        <w:t>CTPen</w:t>
      </w:r>
      <w:proofErr w:type="spellEnd"/>
      <w:r w:rsidRPr="00175F8B">
        <w:t xml:space="preserve">, forutsatt at de varsler ESMA og den relevante </w:t>
      </w:r>
      <w:proofErr w:type="spellStart"/>
      <w:r w:rsidRPr="00175F8B">
        <w:t>CTPen</w:t>
      </w:r>
      <w:proofErr w:type="spellEnd"/>
      <w:r w:rsidRPr="00175F8B">
        <w:t xml:space="preserve"> om dette. I slike tilfeller må verdipapirforetaket eller markedsoperatøren starte dataoverføringen til </w:t>
      </w:r>
      <w:proofErr w:type="spellStart"/>
      <w:r w:rsidRPr="00175F8B">
        <w:t>CTPen</w:t>
      </w:r>
      <w:proofErr w:type="spellEnd"/>
      <w:r w:rsidRPr="00175F8B">
        <w:t xml:space="preserve"> innen 30 arbeidsdager fra datoen da ESMA ble varslet.</w:t>
      </w:r>
    </w:p>
    <w:p w14:paraId="63E5BCAE" w14:textId="77777777" w:rsidR="00080633" w:rsidRPr="00175F8B" w:rsidRDefault="00080633" w:rsidP="00175F8B">
      <w:r w:rsidRPr="00175F8B">
        <w:t xml:space="preserve">ESMA skal publisere en liste over verdipapirforetak som drifter SME-vekstmarkeder og markedsoperatører som oppfyller vilkårene for unntak, hvor det skal </w:t>
      </w:r>
      <w:proofErr w:type="gramStart"/>
      <w:r w:rsidRPr="00175F8B">
        <w:t>fremgå</w:t>
      </w:r>
      <w:proofErr w:type="gramEnd"/>
      <w:r w:rsidRPr="00175F8B">
        <w:t xml:space="preserve"> hvilke av disse som har valgt å likevel sende inn data til en CTP, jf. </w:t>
      </w:r>
      <w:proofErr w:type="spellStart"/>
      <w:r w:rsidRPr="00175F8B">
        <w:t>MiFIR</w:t>
      </w:r>
      <w:proofErr w:type="spellEnd"/>
      <w:r w:rsidRPr="00175F8B">
        <w:t xml:space="preserve"> artikkel 22a nr. 4.</w:t>
      </w:r>
    </w:p>
    <w:p w14:paraId="7F843CA5" w14:textId="77777777" w:rsidR="00080633" w:rsidRPr="00175F8B" w:rsidRDefault="00080633" w:rsidP="00175F8B">
      <w:r w:rsidRPr="00175F8B">
        <w:t xml:space="preserve">I henhold til </w:t>
      </w:r>
      <w:proofErr w:type="spellStart"/>
      <w:r w:rsidRPr="00175F8B">
        <w:t>MiFIR</w:t>
      </w:r>
      <w:proofErr w:type="spellEnd"/>
      <w:r w:rsidRPr="00175F8B">
        <w:t xml:space="preserve"> artikkel 22a nr. 6 skal ikke dataleverandører motta vederlag for overføring av data i samsvar med bestemmelsens nr. 1, eller for overføringsprotokollen nevnt i bestemmelsens nr. 5. Dataleverandørene er omfattet av inntektsfordelingssystemet i henhold til </w:t>
      </w:r>
      <w:proofErr w:type="spellStart"/>
      <w:r w:rsidRPr="00175F8B">
        <w:t>MiFIR</w:t>
      </w:r>
      <w:proofErr w:type="spellEnd"/>
      <w:r w:rsidRPr="00175F8B">
        <w:t xml:space="preserve"> artikkel 27h nr. 5, 6 og 7.</w:t>
      </w:r>
    </w:p>
    <w:p w14:paraId="0F177331" w14:textId="77777777" w:rsidR="00080633" w:rsidRPr="00175F8B" w:rsidRDefault="00080633" w:rsidP="00175F8B">
      <w:r w:rsidRPr="00175F8B">
        <w:lastRenderedPageBreak/>
        <w:t xml:space="preserve">Dersom </w:t>
      </w:r>
      <w:proofErr w:type="spellStart"/>
      <w:r w:rsidRPr="00175F8B">
        <w:t>CTPen</w:t>
      </w:r>
      <w:proofErr w:type="spellEnd"/>
      <w:r w:rsidRPr="00175F8B">
        <w:t xml:space="preserve"> vurderer at kvaliteten på de leverte dataene er utilstrekkelig, skal </w:t>
      </w:r>
      <w:proofErr w:type="spellStart"/>
      <w:r w:rsidRPr="00175F8B">
        <w:t>CTPen</w:t>
      </w:r>
      <w:proofErr w:type="spellEnd"/>
      <w:r w:rsidRPr="00175F8B">
        <w:t xml:space="preserve"> gi melding om dette til dataleverandørens nasjonale tilsynsmyndighet. I slike tilfeller skal nasjonal tilsynsmyndighet treffe nødvendige tiltak i samsvar med </w:t>
      </w:r>
      <w:proofErr w:type="spellStart"/>
      <w:r w:rsidRPr="00175F8B">
        <w:t>MiFIR</w:t>
      </w:r>
      <w:proofErr w:type="spellEnd"/>
      <w:r w:rsidRPr="00175F8B">
        <w:t xml:space="preserve"> artikkel 38g og </w:t>
      </w:r>
      <w:proofErr w:type="spellStart"/>
      <w:r w:rsidRPr="00175F8B">
        <w:t>MiFID</w:t>
      </w:r>
      <w:proofErr w:type="spellEnd"/>
      <w:r w:rsidRPr="00175F8B">
        <w:t xml:space="preserve"> II artikkel 69 og artikkel 70.</w:t>
      </w:r>
    </w:p>
    <w:p w14:paraId="11AACBFC" w14:textId="77777777" w:rsidR="00080633" w:rsidRPr="00175F8B" w:rsidRDefault="00080633" w:rsidP="00175F8B">
      <w:pPr>
        <w:pStyle w:val="Overskrift4"/>
      </w:pPr>
      <w:r w:rsidRPr="00175F8B">
        <w:t>Nye krav til datakvalitet</w:t>
      </w:r>
    </w:p>
    <w:p w14:paraId="60604A54" w14:textId="52A77532" w:rsidR="00080633" w:rsidRPr="00175F8B" w:rsidRDefault="00080633" w:rsidP="00175F8B">
      <w:r w:rsidRPr="00175F8B">
        <w:t>Det stilles strenge krav til data som skal overfør</w:t>
      </w:r>
      <w:r w:rsidRPr="00175F8B">
        <w:t>es til en CTP og distribueres til markedet via denne. Kravene vil i sin helhet bli spesifisert i nivå 2</w:t>
      </w:r>
      <w:r w:rsidR="00175F8B">
        <w:t>-</w:t>
      </w:r>
      <w:r w:rsidRPr="00175F8B">
        <w:t xml:space="preserve">regelverk, se </w:t>
      </w:r>
      <w:proofErr w:type="spellStart"/>
      <w:r w:rsidRPr="00175F8B">
        <w:t>MiFIR</w:t>
      </w:r>
      <w:proofErr w:type="spellEnd"/>
      <w:r w:rsidRPr="00175F8B">
        <w:t xml:space="preserve"> ny artikkel 22b nr. 1. ESMA har sendt forslag til kommisjonsforordning på høring, se kapittel 1.5.</w:t>
      </w:r>
    </w:p>
    <w:p w14:paraId="691052CD" w14:textId="77777777" w:rsidR="00080633" w:rsidRPr="00175F8B" w:rsidRDefault="00080633" w:rsidP="00175F8B">
      <w:r w:rsidRPr="00175F8B">
        <w:t xml:space="preserve">I henhold til </w:t>
      </w:r>
      <w:proofErr w:type="spellStart"/>
      <w:r w:rsidRPr="00175F8B">
        <w:t>MiFIR</w:t>
      </w:r>
      <w:proofErr w:type="spellEnd"/>
      <w:r w:rsidRPr="00175F8B">
        <w:t xml:space="preserve"> ny artikkel 22b nr. 2 skal Kommisjonen etablere en ekspertgruppe innen 29. juni 2024. Ekspertgruppen skal bestå av medlemmer med bred og egnet kompetanse til å kunne yte rådgivning. Ekspertgruppen skal gi råd om kvaliteten og innholdet på dataene, samt om kvaliteten på overføringsprotokollen.</w:t>
      </w:r>
    </w:p>
    <w:p w14:paraId="32457DF5" w14:textId="77777777" w:rsidR="00080633" w:rsidRPr="00175F8B" w:rsidRDefault="00080633" w:rsidP="00175F8B">
      <w:pPr>
        <w:pStyle w:val="Overskrift2"/>
      </w:pPr>
      <w:r w:rsidRPr="00175F8B">
        <w:t>Utvalgets forslag</w:t>
      </w:r>
    </w:p>
    <w:p w14:paraId="2EFDE0AB" w14:textId="77777777" w:rsidR="00080633" w:rsidRPr="00175F8B" w:rsidRDefault="00080633" w:rsidP="00175F8B">
      <w:r w:rsidRPr="00175F8B">
        <w:t xml:space="preserve">Utvalget bemerker at </w:t>
      </w:r>
      <w:proofErr w:type="spellStart"/>
      <w:r w:rsidRPr="00175F8B">
        <w:t>MiFIR</w:t>
      </w:r>
      <w:proofErr w:type="spellEnd"/>
      <w:r w:rsidRPr="00175F8B">
        <w:t xml:space="preserve"> gir fullharmoniserte regler. Reglene gjennomfør</w:t>
      </w:r>
      <w:r w:rsidRPr="00175F8B">
        <w:t xml:space="preserve">es ved inkorporasjon i den eksisterende inkorporasjonsbestemmelsen til </w:t>
      </w:r>
      <w:proofErr w:type="spellStart"/>
      <w:r w:rsidRPr="00175F8B">
        <w:t>MiFIR</w:t>
      </w:r>
      <w:proofErr w:type="spellEnd"/>
      <w:r w:rsidRPr="00175F8B">
        <w:t xml:space="preserve"> i verdipapirhandelloven § 8-1. Utvalget bemerker at reglene ikke gir grunnlag for nasjonale valg. Utvalget bemerker for ordens skyld at det ikke er etablert noen CTP i det norske markedet.</w:t>
      </w:r>
    </w:p>
    <w:p w14:paraId="5CA0D098" w14:textId="77777777" w:rsidR="00080633" w:rsidRPr="00175F8B" w:rsidRDefault="00080633" w:rsidP="00175F8B"/>
    <w:p w14:paraId="206F3435" w14:textId="77777777" w:rsidR="00080633" w:rsidRPr="00175F8B" w:rsidRDefault="00080633" w:rsidP="00175F8B">
      <w:pPr>
        <w:pStyle w:val="Overskrift1"/>
      </w:pPr>
      <w:r w:rsidRPr="00175F8B">
        <w:t>Endringer i reglene om transparens</w:t>
      </w:r>
    </w:p>
    <w:p w14:paraId="653298B0" w14:textId="77777777" w:rsidR="00080633" w:rsidRPr="00175F8B" w:rsidRDefault="00080633" w:rsidP="00175F8B">
      <w:pPr>
        <w:pStyle w:val="Overskrift2"/>
      </w:pPr>
      <w:r w:rsidRPr="00175F8B">
        <w:t>Innledning</w:t>
      </w:r>
    </w:p>
    <w:p w14:paraId="6118840F" w14:textId="77777777" w:rsidR="00080633" w:rsidRPr="00175F8B" w:rsidRDefault="00080633" w:rsidP="00175F8B">
      <w:r w:rsidRPr="00175F8B">
        <w:t xml:space="preserve">Reglene om transparens er fastsatt i </w:t>
      </w:r>
      <w:proofErr w:type="spellStart"/>
      <w:r w:rsidRPr="00175F8B">
        <w:t>MiFIR</w:t>
      </w:r>
      <w:proofErr w:type="spellEnd"/>
      <w:r w:rsidRPr="00175F8B">
        <w:t xml:space="preserve"> og setter krav til at handelsplassene offentliggjør detaljert informasjon om hver handel. Der handelen ikke skjer på en handelsplass, setter reglene krav til at også verdipapirforetak må offentliggjøre handelsinformasjon. Reglene er forskjellige for aksjer mv. (</w:t>
      </w:r>
      <w:proofErr w:type="spellStart"/>
      <w:r w:rsidRPr="00175F8B">
        <w:t>equities</w:t>
      </w:r>
      <w:proofErr w:type="spellEnd"/>
      <w:r w:rsidRPr="00175F8B">
        <w:t>) og for obligasjoner og derivater mv. (non-</w:t>
      </w:r>
      <w:proofErr w:type="spellStart"/>
      <w:r w:rsidRPr="00175F8B">
        <w:t>equities</w:t>
      </w:r>
      <w:proofErr w:type="spellEnd"/>
      <w:r w:rsidRPr="00175F8B">
        <w:t>). Reglene om offentliggjøring av handelsinformasjon omfatter både pre-trade informasjon (informasjon om ordrer) og post-trade informasjon (informasjon om gjennomførte handler).</w:t>
      </w:r>
    </w:p>
    <w:p w14:paraId="048F116A" w14:textId="77777777" w:rsidR="00080633" w:rsidRPr="00175F8B" w:rsidRDefault="00080633" w:rsidP="00175F8B">
      <w:pPr>
        <w:pStyle w:val="Overskrift2"/>
      </w:pPr>
      <w:r w:rsidRPr="00175F8B">
        <w:t>Gjeldende EU-rett (</w:t>
      </w:r>
      <w:proofErr w:type="spellStart"/>
      <w:r w:rsidRPr="00175F8B">
        <w:t>MiFIR</w:t>
      </w:r>
      <w:proofErr w:type="spellEnd"/>
      <w:r w:rsidRPr="00175F8B">
        <w:t xml:space="preserve"> før forordning 2024/791)</w:t>
      </w:r>
    </w:p>
    <w:p w14:paraId="7F9BBA70" w14:textId="6043416F" w:rsidR="00080633" w:rsidRPr="00175F8B" w:rsidRDefault="00080633" w:rsidP="00175F8B">
      <w:pPr>
        <w:pStyle w:val="Overskrift3"/>
      </w:pPr>
      <w:r w:rsidRPr="00175F8B">
        <w:t xml:space="preserve">Handelsplassers offentliggjøring av ordreinformasjon for aksjer mv. </w:t>
      </w:r>
      <w:r w:rsidRPr="00175F8B">
        <w:t>(pre-trade transparens)</w:t>
      </w:r>
    </w:p>
    <w:p w14:paraId="144C5DF7" w14:textId="77777777" w:rsidR="00080633" w:rsidRPr="00175F8B" w:rsidRDefault="00080633" w:rsidP="00175F8B">
      <w:r w:rsidRPr="00175F8B">
        <w:t xml:space="preserve">Etter </w:t>
      </w:r>
      <w:proofErr w:type="spellStart"/>
      <w:r w:rsidRPr="00175F8B">
        <w:t>MiFIR</w:t>
      </w:r>
      <w:proofErr w:type="spellEnd"/>
      <w:r w:rsidRPr="00175F8B">
        <w:t xml:space="preserve"> artikkel 3 nr. 1 er markedsoperatører og verdipapirforetak som driver en handelsplass, forpliktet til å offentliggjøre kjøps- og salgspriser samt ordredybden til de prisene som vises i deres systemer (ordreinformasjon). Offentliggjøring skal skje kontinuerlig under handelsplassens ordinære åpningstid.</w:t>
      </w:r>
    </w:p>
    <w:p w14:paraId="50BD8932" w14:textId="77777777" w:rsidR="00080633" w:rsidRPr="00175F8B" w:rsidRDefault="00080633" w:rsidP="00175F8B">
      <w:r w:rsidRPr="00175F8B">
        <w:t>Plikten til å offentliggjøre informasjon omfatter aksjer, depotbevis, børshandlede fond (</w:t>
      </w:r>
      <w:proofErr w:type="spellStart"/>
      <w:r w:rsidRPr="00175F8B">
        <w:t>ETFer</w:t>
      </w:r>
      <w:proofErr w:type="spellEnd"/>
      <w:r w:rsidRPr="00175F8B">
        <w:t>), og lignende instrumenter som handles på en handelsplass. I det følgende brukes «aksjer mv.» som fellesbetegnelse på disse instrumentene.</w:t>
      </w:r>
    </w:p>
    <w:p w14:paraId="12453369" w14:textId="77777777" w:rsidR="00080633" w:rsidRPr="00175F8B" w:rsidRDefault="00080633" w:rsidP="00175F8B">
      <w:r w:rsidRPr="00175F8B">
        <w:t>Plikten til å offentliggjøre informasjon gjelder instrumenter som handles på regulert marked, multilateral handelsfasilitet (MHF) og organisert handelsfasilitet (OHF). Transparensreglene omfatter også såkalte bindende interessemarkeringer (</w:t>
      </w:r>
      <w:proofErr w:type="spellStart"/>
      <w:r w:rsidRPr="00175F8B">
        <w:t>actionable</w:t>
      </w:r>
      <w:proofErr w:type="spellEnd"/>
      <w:r w:rsidRPr="00175F8B">
        <w:t xml:space="preserve"> </w:t>
      </w:r>
      <w:proofErr w:type="spellStart"/>
      <w:r w:rsidRPr="00175F8B">
        <w:t>indication</w:t>
      </w:r>
      <w:proofErr w:type="spellEnd"/>
      <w:r w:rsidRPr="00175F8B">
        <w:t xml:space="preserve"> </w:t>
      </w:r>
      <w:proofErr w:type="spellStart"/>
      <w:r w:rsidRPr="00175F8B">
        <w:t>of</w:t>
      </w:r>
      <w:proofErr w:type="spellEnd"/>
      <w:r w:rsidRPr="00175F8B">
        <w:t xml:space="preserve"> </w:t>
      </w:r>
      <w:proofErr w:type="spellStart"/>
      <w:r w:rsidRPr="00175F8B">
        <w:t>interest</w:t>
      </w:r>
      <w:proofErr w:type="spellEnd"/>
      <w:r w:rsidRPr="00175F8B">
        <w:t>)</w:t>
      </w:r>
      <w:r w:rsidRPr="00175F8B">
        <w:t>.</w:t>
      </w:r>
    </w:p>
    <w:p w14:paraId="03D1FA5F" w14:textId="77777777" w:rsidR="00080633" w:rsidRPr="00175F8B" w:rsidRDefault="00080633" w:rsidP="00175F8B">
      <w:r w:rsidRPr="00175F8B">
        <w:t>Handelsplassene kan drive ulike former for handelssystemer, slik som ordinære ordrebok-systemer (order book), prisbaserte systemer (</w:t>
      </w:r>
      <w:proofErr w:type="spellStart"/>
      <w:r w:rsidRPr="00175F8B">
        <w:t>quote</w:t>
      </w:r>
      <w:proofErr w:type="spellEnd"/>
      <w:r w:rsidRPr="00175F8B">
        <w:t xml:space="preserve">-driven), hybridsystemer og periodiske auksjonssystemer. Transparenskravene er kalibrert etter disse systemtypene, se </w:t>
      </w:r>
      <w:proofErr w:type="spellStart"/>
      <w:r w:rsidRPr="00175F8B">
        <w:t>MiFIR</w:t>
      </w:r>
      <w:proofErr w:type="spellEnd"/>
      <w:r w:rsidRPr="00175F8B">
        <w:t xml:space="preserve"> artikkel 3 nr. 2.</w:t>
      </w:r>
    </w:p>
    <w:p w14:paraId="297EBCF8" w14:textId="77777777" w:rsidR="00080633" w:rsidRPr="00175F8B" w:rsidRDefault="00080633" w:rsidP="00175F8B">
      <w:r w:rsidRPr="00175F8B">
        <w:t xml:space="preserve">Etter </w:t>
      </w:r>
      <w:proofErr w:type="spellStart"/>
      <w:r w:rsidRPr="00175F8B">
        <w:t>MiFIR</w:t>
      </w:r>
      <w:proofErr w:type="spellEnd"/>
      <w:r w:rsidRPr="00175F8B">
        <w:t xml:space="preserve"> artikkel 3 nr. 3 er handelsplasser forpliktet til å gi verdipapirforetak som er systematiske </w:t>
      </w:r>
      <w:proofErr w:type="spellStart"/>
      <w:r w:rsidRPr="00175F8B">
        <w:t>internaliserere</w:t>
      </w:r>
      <w:proofErr w:type="spellEnd"/>
      <w:r w:rsidRPr="00175F8B">
        <w:t xml:space="preserve"> (SI), og som er underlagt tilsvarende pre-trade transparensforpliktelser for aksjer mv. etter </w:t>
      </w:r>
      <w:proofErr w:type="spellStart"/>
      <w:r w:rsidRPr="00175F8B">
        <w:t>MiFIR</w:t>
      </w:r>
      <w:proofErr w:type="spellEnd"/>
      <w:r w:rsidRPr="00175F8B">
        <w:t xml:space="preserve"> artikkel 14, tilgang til handelsplassens offentliggjøringsmekanisme. Slik tilgang skal gis på rimelige forretningsmessige vilkår og på ikke-diskriminerende basis.</w:t>
      </w:r>
    </w:p>
    <w:p w14:paraId="7E24413E" w14:textId="77777777" w:rsidR="00080633" w:rsidRPr="00175F8B" w:rsidRDefault="00080633" w:rsidP="00175F8B">
      <w:r w:rsidRPr="00175F8B">
        <w:t>Tilsynsmyndigheten kan gi unntak (</w:t>
      </w:r>
      <w:proofErr w:type="spellStart"/>
      <w:r w:rsidRPr="00175F8B">
        <w:t>waiver</w:t>
      </w:r>
      <w:proofErr w:type="spellEnd"/>
      <w:r w:rsidRPr="00175F8B">
        <w:t xml:space="preserve">) fra plikten til å offentliggjøre ordreinformasjon. Unntaksadgangen er regulert i </w:t>
      </w:r>
      <w:proofErr w:type="spellStart"/>
      <w:r w:rsidRPr="00175F8B">
        <w:t>MiFIR</w:t>
      </w:r>
      <w:proofErr w:type="spellEnd"/>
      <w:r w:rsidRPr="00175F8B">
        <w:t xml:space="preserve"> artikkel 4 som etablerer fire hovedkategorier unntak. Disse er:</w:t>
      </w:r>
    </w:p>
    <w:p w14:paraId="4FE7EED8" w14:textId="77777777" w:rsidR="00080633" w:rsidRPr="00175F8B" w:rsidRDefault="00080633" w:rsidP="00175F8B">
      <w:pPr>
        <w:pStyle w:val="Liste"/>
      </w:pPr>
      <w:r w:rsidRPr="00175F8B">
        <w:t>Artikkel 4 nr. 1 bokstav a: referansepris (</w:t>
      </w:r>
      <w:proofErr w:type="spellStart"/>
      <w:r w:rsidRPr="00175F8B">
        <w:t>reference</w:t>
      </w:r>
      <w:proofErr w:type="spellEnd"/>
      <w:r w:rsidRPr="00175F8B">
        <w:t xml:space="preserve"> </w:t>
      </w:r>
      <w:proofErr w:type="spellStart"/>
      <w:r w:rsidRPr="00175F8B">
        <w:t>price</w:t>
      </w:r>
      <w:proofErr w:type="spellEnd"/>
      <w:r w:rsidRPr="00175F8B">
        <w:t>)</w:t>
      </w:r>
    </w:p>
    <w:p w14:paraId="0FC2B01C" w14:textId="77777777" w:rsidR="00080633" w:rsidRPr="00175F8B" w:rsidRDefault="00080633" w:rsidP="00175F8B">
      <w:pPr>
        <w:pStyle w:val="Liste"/>
      </w:pPr>
      <w:r w:rsidRPr="00175F8B">
        <w:t>Artikkel 4 nr. 1 bokstav b punkt (i): forhandlede transaksjoner (</w:t>
      </w:r>
      <w:proofErr w:type="spellStart"/>
      <w:r w:rsidRPr="00175F8B">
        <w:t>negotiated</w:t>
      </w:r>
      <w:proofErr w:type="spellEnd"/>
      <w:r w:rsidRPr="00175F8B">
        <w:t xml:space="preserve"> trades; f.eks. tradisjonell megling med innrapportering)</w:t>
      </w:r>
    </w:p>
    <w:p w14:paraId="3AEADB45" w14:textId="77777777" w:rsidR="00080633" w:rsidRPr="00175F8B" w:rsidRDefault="00080633" w:rsidP="00175F8B">
      <w:pPr>
        <w:pStyle w:val="Liste"/>
      </w:pPr>
      <w:r w:rsidRPr="00175F8B">
        <w:t>Artikkel 4 nr. 1 bokstav c: ordre av stort omfang (</w:t>
      </w:r>
      <w:proofErr w:type="spellStart"/>
      <w:r w:rsidRPr="00175F8B">
        <w:t>large</w:t>
      </w:r>
      <w:proofErr w:type="spellEnd"/>
      <w:r w:rsidRPr="00175F8B">
        <w:t xml:space="preserve"> in </w:t>
      </w:r>
      <w:proofErr w:type="spellStart"/>
      <w:r w:rsidRPr="00175F8B">
        <w:t>scale</w:t>
      </w:r>
      <w:proofErr w:type="spellEnd"/>
      <w:r w:rsidRPr="00175F8B">
        <w:t>; handler som er så store at de kan påvirke kursen)</w:t>
      </w:r>
    </w:p>
    <w:p w14:paraId="5EEAA947" w14:textId="77777777" w:rsidR="00080633" w:rsidRPr="00175F8B" w:rsidRDefault="00080633" w:rsidP="00175F8B">
      <w:pPr>
        <w:pStyle w:val="Liste"/>
      </w:pPr>
      <w:r w:rsidRPr="00175F8B">
        <w:t xml:space="preserve">Artikkel 4 nr. 1 bokstav d: ordre som holdes i en ordrehåndteringsfasilitet i påvente av offentliggjøring (Order Management </w:t>
      </w:r>
      <w:proofErr w:type="spellStart"/>
      <w:r w:rsidRPr="00175F8B">
        <w:t>Facility</w:t>
      </w:r>
      <w:proofErr w:type="spellEnd"/>
      <w:r w:rsidRPr="00175F8B">
        <w:t xml:space="preserve">, f.eks. </w:t>
      </w:r>
      <w:proofErr w:type="spellStart"/>
      <w:r w:rsidRPr="00175F8B">
        <w:t>Iceberg</w:t>
      </w:r>
      <w:proofErr w:type="spellEnd"/>
      <w:r w:rsidRPr="00175F8B">
        <w:t>-ordre eller stopp-ordre)</w:t>
      </w:r>
    </w:p>
    <w:p w14:paraId="6B6CE002" w14:textId="77777777" w:rsidR="00080633" w:rsidRPr="00175F8B" w:rsidRDefault="00080633" w:rsidP="00175F8B">
      <w:r w:rsidRPr="00175F8B">
        <w:t>De detaljerte reglene om hvert av unntakene er gitt i kommisjonsforordning (EU) 2017/587 (RTS 1) artiklene 4 til 8.</w:t>
      </w:r>
    </w:p>
    <w:p w14:paraId="4ADA970D" w14:textId="77777777" w:rsidR="00080633" w:rsidRPr="00175F8B" w:rsidRDefault="00080633" w:rsidP="00175F8B">
      <w:proofErr w:type="spellStart"/>
      <w:r w:rsidRPr="00175F8B">
        <w:t>MiFIR</w:t>
      </w:r>
      <w:proofErr w:type="spellEnd"/>
      <w:r w:rsidRPr="00175F8B">
        <w:t xml:space="preserve"> artikkel 4 nr. 4 angir en </w:t>
      </w:r>
      <w:proofErr w:type="spellStart"/>
      <w:r w:rsidRPr="00175F8B">
        <w:t>waiver</w:t>
      </w:r>
      <w:proofErr w:type="spellEnd"/>
      <w:r w:rsidRPr="00175F8B">
        <w:t xml:space="preserve">-prosedyre der ESMA skal </w:t>
      </w:r>
      <w:proofErr w:type="gramStart"/>
      <w:r w:rsidRPr="00175F8B">
        <w:t>avgi</w:t>
      </w:r>
      <w:proofErr w:type="gramEnd"/>
      <w:r w:rsidRPr="00175F8B">
        <w:t xml:space="preserve"> en uttalelse om et unntak er i tråd med </w:t>
      </w:r>
      <w:proofErr w:type="spellStart"/>
      <w:r w:rsidRPr="00175F8B">
        <w:t>MiFIR</w:t>
      </w:r>
      <w:proofErr w:type="spellEnd"/>
      <w:r w:rsidRPr="00175F8B">
        <w:t xml:space="preserve"> eller ikke. Prosedyren innebærer blant annet at tilsynsmyndigheten må gi melding til ESMA om forslag til en beslutning om å innvilge et unntak, samt redegjøre for unntaket og hvordan det skal fungere, senest fire måneder før unntaket skal brukes. ESMA skal deretter </w:t>
      </w:r>
      <w:proofErr w:type="gramStart"/>
      <w:r w:rsidRPr="00175F8B">
        <w:t>avgi</w:t>
      </w:r>
      <w:proofErr w:type="gramEnd"/>
      <w:r w:rsidRPr="00175F8B">
        <w:t xml:space="preserve"> en ikke-bindende uttalelse om hvorvidt unntaket anses å være i tråd med kravene i </w:t>
      </w:r>
      <w:proofErr w:type="spellStart"/>
      <w:r w:rsidRPr="00175F8B">
        <w:t>MiFIR</w:t>
      </w:r>
      <w:proofErr w:type="spellEnd"/>
      <w:r w:rsidRPr="00175F8B">
        <w:t xml:space="preserve"> artikkel 4 nr. 1 og med gjeldende nivå 2-reg</w:t>
      </w:r>
      <w:r w:rsidRPr="00175F8B">
        <w:t xml:space="preserve">elverk. Det er tilsynsmyndigheten </w:t>
      </w:r>
      <w:r w:rsidRPr="00175F8B">
        <w:lastRenderedPageBreak/>
        <w:t xml:space="preserve">som beslutter om et unntak skal gis eller ikke, men dersom en tilsynsmyndighet innvilger et unntak og en annen tilsynsmyndighet er uenig i beslutningen, kan saken bli henvist til ESMA. ESMA kan utøve bindende megling etter ESMA-forordningen artikkel 19. For Norges del vil ESMA ha kompetanse til å megle, men det er </w:t>
      </w:r>
      <w:proofErr w:type="spellStart"/>
      <w:r w:rsidRPr="00175F8B">
        <w:t>EFTAs</w:t>
      </w:r>
      <w:proofErr w:type="spellEnd"/>
      <w:r w:rsidRPr="00175F8B">
        <w:t xml:space="preserve"> overvåkingsorgan (ESA) som har kompetanse til å treffe bindende vedtak.</w:t>
      </w:r>
      <w:r w:rsidRPr="00175F8B">
        <w:rPr>
          <w:rStyle w:val="Fotnotereferanse"/>
        </w:rPr>
        <w:footnoteReference w:id="8"/>
      </w:r>
    </w:p>
    <w:p w14:paraId="3EE19DF9" w14:textId="77777777" w:rsidR="00080633" w:rsidRPr="00175F8B" w:rsidRDefault="00080633" w:rsidP="00175F8B">
      <w:r w:rsidRPr="00175F8B">
        <w:t xml:space="preserve">Tilsynsmyndigheten kan trekke tilbake et unntak på eget initiativ eller etter forespørsel fra en annen tilsynsmyndighet, hvis det er observert at unntaket brukes i strid med det opprinnelige formålet, eller tilsynsmyndigheten mener at unntaket brukes for å omgå krav som følger av </w:t>
      </w:r>
      <w:proofErr w:type="spellStart"/>
      <w:r w:rsidRPr="00175F8B">
        <w:t>MiFIR</w:t>
      </w:r>
      <w:proofErr w:type="spellEnd"/>
      <w:r w:rsidRPr="00175F8B">
        <w:t xml:space="preserve"> artikkel 4, se </w:t>
      </w:r>
      <w:proofErr w:type="spellStart"/>
      <w:r w:rsidRPr="00175F8B">
        <w:t>MiFIR</w:t>
      </w:r>
      <w:proofErr w:type="spellEnd"/>
      <w:r w:rsidRPr="00175F8B">
        <w:t xml:space="preserve"> artikkel 4 nr. 5. ESMA skal overvåke bruken av unntakene, samt årlig </w:t>
      </w:r>
      <w:proofErr w:type="gramStart"/>
      <w:r w:rsidRPr="00175F8B">
        <w:t>avgi</w:t>
      </w:r>
      <w:proofErr w:type="gramEnd"/>
      <w:r w:rsidRPr="00175F8B">
        <w:t xml:space="preserve"> en rapport til Kommisjonen om hvordan unntakene anvendes i praksis.</w:t>
      </w:r>
    </w:p>
    <w:p w14:paraId="70762189" w14:textId="77777777" w:rsidR="00080633" w:rsidRPr="00175F8B" w:rsidRDefault="00080633" w:rsidP="00175F8B">
      <w:r w:rsidRPr="00175F8B">
        <w:t xml:space="preserve">Etter </w:t>
      </w:r>
      <w:proofErr w:type="spellStart"/>
      <w:r w:rsidRPr="00175F8B">
        <w:t>MiFIR</w:t>
      </w:r>
      <w:proofErr w:type="spellEnd"/>
      <w:r w:rsidRPr="00175F8B">
        <w:t xml:space="preserve"> artikkel 5 gjelder det et «tak» på bruk av unntak fra offentliggjøring av ordreinformasjon. Taket er bedre kjent som </w:t>
      </w:r>
      <w:r w:rsidRPr="00175F8B">
        <w:rPr>
          <w:rStyle w:val="kursiv"/>
        </w:rPr>
        <w:t xml:space="preserve">«double </w:t>
      </w:r>
      <w:proofErr w:type="spellStart"/>
      <w:r w:rsidRPr="00175F8B">
        <w:rPr>
          <w:rStyle w:val="kursiv"/>
        </w:rPr>
        <w:t>volume</w:t>
      </w:r>
      <w:proofErr w:type="spellEnd"/>
      <w:r w:rsidRPr="00175F8B">
        <w:rPr>
          <w:rStyle w:val="kursiv"/>
        </w:rPr>
        <w:t xml:space="preserve"> </w:t>
      </w:r>
      <w:proofErr w:type="spellStart"/>
      <w:r w:rsidRPr="00175F8B">
        <w:rPr>
          <w:rStyle w:val="kursiv"/>
        </w:rPr>
        <w:t>cap</w:t>
      </w:r>
      <w:proofErr w:type="spellEnd"/>
      <w:r w:rsidRPr="00175F8B">
        <w:rPr>
          <w:rStyle w:val="kursiv"/>
        </w:rPr>
        <w:t>».</w:t>
      </w:r>
      <w:r w:rsidRPr="00175F8B">
        <w:t xml:space="preserve"> «Double </w:t>
      </w:r>
      <w:proofErr w:type="spellStart"/>
      <w:r w:rsidRPr="00175F8B">
        <w:t>volume</w:t>
      </w:r>
      <w:proofErr w:type="spellEnd"/>
      <w:r w:rsidRPr="00175F8B">
        <w:t xml:space="preserve"> </w:t>
      </w:r>
      <w:proofErr w:type="spellStart"/>
      <w:r w:rsidRPr="00175F8B">
        <w:t>cap</w:t>
      </w:r>
      <w:proofErr w:type="spellEnd"/>
      <w:r w:rsidRPr="00175F8B">
        <w:t xml:space="preserve">» innebærer en volumbegrensning på bruk av referanseprisunntaket og unntaket for forhandlede transaksjoner i likvide instrumenter der prisen er gjort innenfor volumvektet </w:t>
      </w:r>
      <w:proofErr w:type="spellStart"/>
      <w:r w:rsidRPr="00175F8B">
        <w:t>spread</w:t>
      </w:r>
      <w:proofErr w:type="spellEnd"/>
      <w:r w:rsidRPr="00175F8B">
        <w:t xml:space="preserve"> (dvs. begrensning på bruk av unntak fra offentliggjøring etter hhv. </w:t>
      </w:r>
      <w:proofErr w:type="spellStart"/>
      <w:r w:rsidRPr="00175F8B">
        <w:t>MiFIR</w:t>
      </w:r>
      <w:proofErr w:type="spellEnd"/>
      <w:r w:rsidRPr="00175F8B">
        <w:t xml:space="preserve"> artikkel 4 nr. 1 bokstav a og </w:t>
      </w:r>
      <w:proofErr w:type="spellStart"/>
      <w:r w:rsidRPr="00175F8B">
        <w:t>MiFIR</w:t>
      </w:r>
      <w:proofErr w:type="spellEnd"/>
      <w:r w:rsidRPr="00175F8B">
        <w:t xml:space="preserve"> artikkel 4 nr. 1 bokstav b (i)).</w:t>
      </w:r>
    </w:p>
    <w:p w14:paraId="7EF17AEE" w14:textId="77777777" w:rsidR="00080633" w:rsidRPr="00175F8B" w:rsidRDefault="00080633" w:rsidP="00175F8B">
      <w:r w:rsidRPr="00175F8B">
        <w:t xml:space="preserve">Taket beregnes ut fra to størrelser. For det første gjelder det en begrensning slik at handel i et finansielt instrument på </w:t>
      </w:r>
      <w:proofErr w:type="spellStart"/>
      <w:r w:rsidRPr="00175F8B">
        <w:t>èn</w:t>
      </w:r>
      <w:proofErr w:type="spellEnd"/>
      <w:r w:rsidRPr="00175F8B">
        <w:t xml:space="preserve"> enkelt handelsplass, under unntakene, ikke kan overstige fire prosent av akkumulert handel i det aktuelle instrumentet på handelsplasser i EØS-området de siste tolv månedene.</w:t>
      </w:r>
    </w:p>
    <w:p w14:paraId="1105E789" w14:textId="77777777" w:rsidR="00080633" w:rsidRPr="00175F8B" w:rsidRDefault="00080633" w:rsidP="00175F8B">
      <w:r w:rsidRPr="00175F8B">
        <w:t>For det andre kan handel, under unntakene, i et finansielt instrument på handelsplasser i EØS-området samlet sett, ikke overstige åtte prosent av all handel i det aktuelle instrumentet på handelsplasser i EØS-området de siste tolv måneder.</w:t>
      </w:r>
    </w:p>
    <w:p w14:paraId="2A903BFA" w14:textId="77777777" w:rsidR="00080633" w:rsidRPr="00175F8B" w:rsidRDefault="00080633" w:rsidP="00175F8B">
      <w:r w:rsidRPr="00175F8B">
        <w:t>Hvis 4 prosent-grensen brytes, skal tilsynsmyndigheten som har godkjent unntakene, suspendere bruken av unntakene for det aktuelle finansielle instrumentet på den aktuelle handelsplassen i seks måneder. For 8 prosent-grensen gjelder en tilsvarende regel, men her skal alle tilsynsmyndighetene i EØS suspendere bruken av unntakene i hele EØS.</w:t>
      </w:r>
    </w:p>
    <w:p w14:paraId="7A59AB0D" w14:textId="77777777" w:rsidR="00080633" w:rsidRPr="00175F8B" w:rsidRDefault="00080633" w:rsidP="00175F8B">
      <w:r w:rsidRPr="00175F8B">
        <w:t>ESMA publiserer månedlig oversikter over totalt handelsvolum i hvert enkelt finansielt instrument, og prosentandelen av handel under de relevante unntakene i EØS-området samlet sett og per handelsplass.</w:t>
      </w:r>
    </w:p>
    <w:p w14:paraId="5D040BA1" w14:textId="77777777" w:rsidR="00080633" w:rsidRPr="00175F8B" w:rsidRDefault="00080633" w:rsidP="00175F8B">
      <w:r w:rsidRPr="00175F8B">
        <w:t xml:space="preserve">Handelsplassene er pålagt å ha ordninger for å identifisere all handel under unntakene som er underlagt volumbegrensning og som gjennomføres på egen handelsplass, samt sikre at handelsplassen ikke overskrider den tillatte prosentandelen, jf. </w:t>
      </w:r>
      <w:proofErr w:type="spellStart"/>
      <w:r w:rsidRPr="00175F8B">
        <w:t>MiFIR</w:t>
      </w:r>
      <w:proofErr w:type="spellEnd"/>
      <w:r w:rsidRPr="00175F8B">
        <w:t xml:space="preserve"> artikkel 5 nr. 7.</w:t>
      </w:r>
    </w:p>
    <w:p w14:paraId="7F3F0DB4" w14:textId="77777777" w:rsidR="00080633" w:rsidRPr="00175F8B" w:rsidRDefault="00080633" w:rsidP="00175F8B">
      <w:pPr>
        <w:pStyle w:val="Overskrift3"/>
      </w:pPr>
      <w:r w:rsidRPr="00175F8B">
        <w:t>Handelsplassers offentliggjøring av handler i aksjer mv. (post-trade transparens)</w:t>
      </w:r>
    </w:p>
    <w:p w14:paraId="30FDBA03" w14:textId="77777777" w:rsidR="00080633" w:rsidRPr="00175F8B" w:rsidRDefault="00080633" w:rsidP="00175F8B">
      <w:r w:rsidRPr="00175F8B">
        <w:t xml:space="preserve">Krav om offentliggjøring av handelsinformasjon (post-trade) for aksjer mv. reguleres av </w:t>
      </w:r>
      <w:proofErr w:type="spellStart"/>
      <w:r w:rsidRPr="00175F8B">
        <w:t>MiFIR</w:t>
      </w:r>
      <w:proofErr w:type="spellEnd"/>
      <w:r w:rsidRPr="00175F8B">
        <w:t xml:space="preserve"> artikkel 6. Markedsoperatører og verdipapirforetak som driver en handelsplass, skal offentliggjøre pris, volum og tidspunkt for transaksjoner som utføres med aksjer, depotbevis, børshandlede fond (</w:t>
      </w:r>
      <w:proofErr w:type="spellStart"/>
      <w:r w:rsidRPr="00175F8B">
        <w:t>ETFer</w:t>
      </w:r>
      <w:proofErr w:type="spellEnd"/>
      <w:r w:rsidRPr="00175F8B">
        <w:t xml:space="preserve">), og andre lignende finansielle instrumenter på handelsplassen. Kravet gjelder instrumenter som handles på regulerte markeder, </w:t>
      </w:r>
      <w:proofErr w:type="spellStart"/>
      <w:r w:rsidRPr="00175F8B">
        <w:t>MHFer</w:t>
      </w:r>
      <w:proofErr w:type="spellEnd"/>
      <w:r w:rsidRPr="00175F8B">
        <w:t xml:space="preserve"> og </w:t>
      </w:r>
      <w:proofErr w:type="spellStart"/>
      <w:r w:rsidRPr="00175F8B">
        <w:t>OHFer</w:t>
      </w:r>
      <w:proofErr w:type="spellEnd"/>
      <w:r w:rsidRPr="00175F8B">
        <w:t>. Nivå 2-regelverket gir detaljerte regler for hvilke opplysninger som skal gis om den aktuelle handelen og stiller krav til offentliggjøringstidspunkt.</w:t>
      </w:r>
      <w:r w:rsidRPr="00175F8B">
        <w:rPr>
          <w:rStyle w:val="Fotnotereferanse"/>
        </w:rPr>
        <w:footnoteReference w:id="9"/>
      </w:r>
      <w:r w:rsidRPr="00175F8B">
        <w:t xml:space="preserve"> For handler som gjøres innenfor ordinær åpningstid er kravet at opplysningene skal offentliggjøres så nær sanntid som teknisk mulig.</w:t>
      </w:r>
    </w:p>
    <w:p w14:paraId="10D5D63E" w14:textId="77777777" w:rsidR="00080633" w:rsidRPr="00175F8B" w:rsidRDefault="00080633" w:rsidP="00175F8B">
      <w:r w:rsidRPr="00175F8B">
        <w:t xml:space="preserve">Handelsplassen må gi verdipapirforetak, som er underlagt tilsvarende transparensforpliktelser etter </w:t>
      </w:r>
      <w:proofErr w:type="spellStart"/>
      <w:r w:rsidRPr="00175F8B">
        <w:t>MiFIR</w:t>
      </w:r>
      <w:proofErr w:type="spellEnd"/>
      <w:r w:rsidRPr="00175F8B">
        <w:t xml:space="preserve"> artikkel 20, tilgang til handelsplassens offentliggjøringsmekanisme. Slik tilgang skal gis på rimelige forretningsmessige vilkår og på ikke-diskriminerende måte, jf. </w:t>
      </w:r>
      <w:proofErr w:type="spellStart"/>
      <w:r w:rsidRPr="00175F8B">
        <w:t>MiFIR</w:t>
      </w:r>
      <w:proofErr w:type="spellEnd"/>
      <w:r w:rsidRPr="00175F8B">
        <w:t xml:space="preserve"> artikkel 6 nr. 2.</w:t>
      </w:r>
    </w:p>
    <w:p w14:paraId="7688B122" w14:textId="77777777" w:rsidR="00080633" w:rsidRPr="00175F8B" w:rsidRDefault="00080633" w:rsidP="00175F8B">
      <w:proofErr w:type="spellStart"/>
      <w:r w:rsidRPr="00175F8B">
        <w:lastRenderedPageBreak/>
        <w:t>MiFIR</w:t>
      </w:r>
      <w:proofErr w:type="spellEnd"/>
      <w:r w:rsidRPr="00175F8B">
        <w:t xml:space="preserve"> åpner for utsatt offentliggjøring (</w:t>
      </w:r>
      <w:proofErr w:type="spellStart"/>
      <w:r w:rsidRPr="00175F8B">
        <w:t>deferred</w:t>
      </w:r>
      <w:proofErr w:type="spellEnd"/>
      <w:r w:rsidRPr="00175F8B">
        <w:t xml:space="preserve"> </w:t>
      </w:r>
      <w:proofErr w:type="spellStart"/>
      <w:r w:rsidRPr="00175F8B">
        <w:t>publication</w:t>
      </w:r>
      <w:proofErr w:type="spellEnd"/>
      <w:r w:rsidRPr="00175F8B">
        <w:t xml:space="preserve">) av opplysninger om transaksjoner på grunnlag av transaksjonens type og størrelse. I henhold til </w:t>
      </w:r>
      <w:proofErr w:type="spellStart"/>
      <w:r w:rsidRPr="00175F8B">
        <w:t>MiFIR</w:t>
      </w:r>
      <w:proofErr w:type="spellEnd"/>
      <w:r w:rsidRPr="00175F8B">
        <w:t xml:space="preserve"> artikkel 7 nr. 1 kan handelsplassens tilsynsmyndighet tillate utsatt offentliggjøring av transaksjoner som er store i omfang sammenlignet med normal markedsstørrelse for det aktuelle finansielle instrumentet eller den aktuelle klassen av instrumenter. Reglene for når utsatt offentliggjøring kan godkjennes, er spesifisert i nivå 2-regelverket.</w:t>
      </w:r>
      <w:r w:rsidRPr="00175F8B">
        <w:rPr>
          <w:rStyle w:val="Fotnotereferanse"/>
        </w:rPr>
        <w:footnoteReference w:id="10"/>
      </w:r>
    </w:p>
    <w:p w14:paraId="7500506C" w14:textId="77777777" w:rsidR="00080633" w:rsidRPr="00175F8B" w:rsidRDefault="00080633" w:rsidP="00175F8B">
      <w:r w:rsidRPr="00175F8B">
        <w:t xml:space="preserve">Tilsynsmyndigheten skal </w:t>
      </w:r>
      <w:proofErr w:type="spellStart"/>
      <w:r w:rsidRPr="00175F8B">
        <w:t>forhåndsgodkjenne</w:t>
      </w:r>
      <w:proofErr w:type="spellEnd"/>
      <w:r w:rsidRPr="00175F8B">
        <w:t xml:space="preserve"> handelsplassers ordninger for utsettelse av offentliggjøring. Handelsplassen skal tydelig underrette markedsdeltakere og offentligheten om slike ordninger. ESMA overvåker ordningene og skal årlig </w:t>
      </w:r>
      <w:proofErr w:type="gramStart"/>
      <w:r w:rsidRPr="00175F8B">
        <w:t>avgi</w:t>
      </w:r>
      <w:proofErr w:type="gramEnd"/>
      <w:r w:rsidRPr="00175F8B">
        <w:t xml:space="preserve"> en rapport til Kommisjonen om hvordan de anvendes i praksis. På samme måte som for unntak fra offentliggjøring av ordre mv., er det mulig å avgjøre uenighet mellom tilsynsmyndigheter ved prosessen som følger av artikkel 19 i ESMA-forordningen, i EØS-tilpasset form.</w:t>
      </w:r>
    </w:p>
    <w:p w14:paraId="281A2ECE" w14:textId="77777777" w:rsidR="00080633" w:rsidRPr="00175F8B" w:rsidRDefault="00080633" w:rsidP="00175F8B">
      <w:pPr>
        <w:pStyle w:val="Overskrift3"/>
      </w:pPr>
      <w:r w:rsidRPr="00175F8B">
        <w:t>Handelsplassers offentliggjøring av ordreinformasjon for obligasjoner og derivater mv. (pre-trade transparens)</w:t>
      </w:r>
    </w:p>
    <w:p w14:paraId="0F825A26" w14:textId="77777777" w:rsidR="00080633" w:rsidRPr="00175F8B" w:rsidRDefault="00080633" w:rsidP="00175F8B">
      <w:proofErr w:type="spellStart"/>
      <w:r w:rsidRPr="00175F8B">
        <w:t>MiFIR</w:t>
      </w:r>
      <w:proofErr w:type="spellEnd"/>
      <w:r w:rsidRPr="00175F8B">
        <w:t xml:space="preserve"> artikkel 8 nr. 1 fastsetter at markedsoperatører og verdipapirforetak som driver en handelsplass, er forpliktet til å offentliggjøre kjøps- og salgspriser samt ordredybden til de prisene som vises i deres systemer for obligasjoner, strukturerte finansielle produkter, utslippskvoter og derivater som handles på en handelsplass. I det følgende brukes «obligasjoner og derivater mv.» om alle ovennevnte instrumenter. Transparenskravet gjelder også såkalte pakkeordre (</w:t>
      </w:r>
      <w:proofErr w:type="spellStart"/>
      <w:r w:rsidRPr="00175F8B">
        <w:t>package</w:t>
      </w:r>
      <w:proofErr w:type="spellEnd"/>
      <w:r w:rsidRPr="00175F8B">
        <w:t xml:space="preserve"> </w:t>
      </w:r>
      <w:proofErr w:type="spellStart"/>
      <w:r w:rsidRPr="00175F8B">
        <w:t>orders</w:t>
      </w:r>
      <w:proofErr w:type="spellEnd"/>
      <w:r w:rsidRPr="00175F8B">
        <w:t>).</w:t>
      </w:r>
    </w:p>
    <w:p w14:paraId="16C917F5" w14:textId="77777777" w:rsidR="00080633" w:rsidRPr="00175F8B" w:rsidRDefault="00080633" w:rsidP="00175F8B">
      <w:r w:rsidRPr="00175F8B">
        <w:t xml:space="preserve">Som for aksjer mv., gjelder </w:t>
      </w:r>
      <w:r w:rsidRPr="00175F8B">
        <w:t>offentliggjøringskravet for obligasjoner og derivater mv. også såkalte bindende interessemarkeringer.</w:t>
      </w:r>
    </w:p>
    <w:p w14:paraId="3BA8D5AA" w14:textId="77777777" w:rsidR="00080633" w:rsidRPr="00175F8B" w:rsidRDefault="00080633" w:rsidP="00175F8B">
      <w:r w:rsidRPr="00175F8B">
        <w:t>Offentliggjøringskravet gjelder imidlertid ikke for ordre knyttet til derivater gitt av ikke-finansielle motparter, hvis den aktuelle transaksjonen på en objektiv måte reduserer risiko direkte knyttet til forretningsvirksomheten eller likviditetsforvaltningen til den ikke-finansielle motparten eller dennes konsern.</w:t>
      </w:r>
    </w:p>
    <w:p w14:paraId="5719B56C" w14:textId="77777777" w:rsidR="00080633" w:rsidRPr="00175F8B" w:rsidRDefault="00080633" w:rsidP="00175F8B">
      <w:r w:rsidRPr="00175F8B">
        <w:t xml:space="preserve">På samme måte som for aksjer mv., er handelsplassenes transparenskrav for obligasjoner og derivater mv. etter </w:t>
      </w:r>
      <w:proofErr w:type="spellStart"/>
      <w:r w:rsidRPr="00175F8B">
        <w:t>MiFIR</w:t>
      </w:r>
      <w:proofErr w:type="spellEnd"/>
      <w:r w:rsidRPr="00175F8B">
        <w:t xml:space="preserve"> artikkel 8 nr. 2 kalibrert etter ulike typer handelssystemer. De detaljerte reglene om hvilke transparenskrav som gjelder for ulike handelssystemer, er gitt i nivå 2-regelverket.</w:t>
      </w:r>
      <w:r w:rsidRPr="00175F8B">
        <w:rPr>
          <w:rStyle w:val="Fotnotereferanse"/>
        </w:rPr>
        <w:footnoteReference w:id="11"/>
      </w:r>
      <w:r w:rsidRPr="00175F8B">
        <w:t xml:space="preserve"> Til forskjell fra det som gjelder for aksjer mv., er det oppstilt egne krav for talebaserte handelssystemer (</w:t>
      </w:r>
      <w:proofErr w:type="spellStart"/>
      <w:r w:rsidRPr="00175F8B">
        <w:t>voice</w:t>
      </w:r>
      <w:proofErr w:type="spellEnd"/>
      <w:r w:rsidRPr="00175F8B">
        <w:t xml:space="preserve"> trading systems).</w:t>
      </w:r>
    </w:p>
    <w:p w14:paraId="1051C1D6" w14:textId="77777777" w:rsidR="00080633" w:rsidRPr="00175F8B" w:rsidRDefault="00080633" w:rsidP="00175F8B">
      <w:r w:rsidRPr="00175F8B">
        <w:t xml:space="preserve">Handelsplassen er forpliktet til å gi </w:t>
      </w:r>
      <w:proofErr w:type="spellStart"/>
      <w:r w:rsidRPr="00175F8B">
        <w:t>SIer</w:t>
      </w:r>
      <w:proofErr w:type="spellEnd"/>
      <w:r w:rsidRPr="00175F8B">
        <w:t xml:space="preserve">, som er underlagt tilsvarende pre-trade transparensforpliktelser etter </w:t>
      </w:r>
      <w:proofErr w:type="spellStart"/>
      <w:r w:rsidRPr="00175F8B">
        <w:t>MiFIR</w:t>
      </w:r>
      <w:proofErr w:type="spellEnd"/>
      <w:r w:rsidRPr="00175F8B">
        <w:t xml:space="preserve"> artikkel 18, tilgang til handelsplassens offentliggjøringsmekanisme, jf. </w:t>
      </w:r>
      <w:proofErr w:type="spellStart"/>
      <w:r w:rsidRPr="00175F8B">
        <w:t>MiFIR</w:t>
      </w:r>
      <w:proofErr w:type="spellEnd"/>
      <w:r w:rsidRPr="00175F8B">
        <w:t xml:space="preserve"> artikkel 8 nr. 3. Slik tilgang skal gis på rimelige forretningsmessige vilkår og på ikke-diskriminerende basis.</w:t>
      </w:r>
    </w:p>
    <w:p w14:paraId="2B85DACD" w14:textId="77777777" w:rsidR="00080633" w:rsidRPr="00175F8B" w:rsidRDefault="00080633" w:rsidP="00175F8B">
      <w:r w:rsidRPr="00175F8B">
        <w:t xml:space="preserve">Etter </w:t>
      </w:r>
      <w:proofErr w:type="spellStart"/>
      <w:r w:rsidRPr="00175F8B">
        <w:t>MiFIR</w:t>
      </w:r>
      <w:proofErr w:type="spellEnd"/>
      <w:r w:rsidRPr="00175F8B">
        <w:t xml:space="preserve"> artikkel 9 kan handelsplassene gis unntak (</w:t>
      </w:r>
      <w:proofErr w:type="spellStart"/>
      <w:r w:rsidRPr="00175F8B">
        <w:t>waiver</w:t>
      </w:r>
      <w:proofErr w:type="spellEnd"/>
      <w:r w:rsidRPr="00175F8B">
        <w:t xml:space="preserve">) fra plikten til å offentliggjøre ordreinformasjon. To av unntakene svarer til unntakene som finnes for aksjer mv., nemlig unntaket for handler som er store i omfang sammenlignet med normal markedsstørrelse og unntaket for ordre som holdes i et ordrehåndteringssystem i påvente av offentliggjøring, jf. </w:t>
      </w:r>
      <w:proofErr w:type="spellStart"/>
      <w:r w:rsidRPr="00175F8B">
        <w:t>MiFIR</w:t>
      </w:r>
      <w:proofErr w:type="spellEnd"/>
      <w:r w:rsidRPr="00175F8B">
        <w:t xml:space="preserve"> artikkel 9 nr. 1 bokstav a. Nærmere regler er spesifisert i nivå 2-regelverket.</w:t>
      </w:r>
      <w:r w:rsidRPr="00175F8B">
        <w:rPr>
          <w:rStyle w:val="Fotnotereferanse"/>
        </w:rPr>
        <w:footnoteReference w:id="12"/>
      </w:r>
    </w:p>
    <w:p w14:paraId="4927BCD2" w14:textId="77777777" w:rsidR="00080633" w:rsidRPr="00175F8B" w:rsidRDefault="00080633" w:rsidP="00175F8B">
      <w:r w:rsidRPr="00175F8B">
        <w:t xml:space="preserve">I tillegg er det to andre hovedkategorier av unntak, nemlig unntak for bindende interessemarkeringer av en vis størrelse i </w:t>
      </w:r>
      <w:proofErr w:type="spellStart"/>
      <w:r w:rsidRPr="00175F8B">
        <w:t>request</w:t>
      </w:r>
      <w:proofErr w:type="spellEnd"/>
      <w:r w:rsidRPr="00175F8B">
        <w:t xml:space="preserve"> for </w:t>
      </w:r>
      <w:proofErr w:type="spellStart"/>
      <w:r w:rsidRPr="00175F8B">
        <w:t>quote</w:t>
      </w:r>
      <w:proofErr w:type="spellEnd"/>
      <w:r w:rsidRPr="00175F8B">
        <w:t xml:space="preserve"> (RFQ)-systemer og i talebaserte systemer, og unntak knyttet til derivater som ikke er underlagt handelsplikten etter </w:t>
      </w:r>
      <w:proofErr w:type="spellStart"/>
      <w:r w:rsidRPr="00175F8B">
        <w:t>MiFIR</w:t>
      </w:r>
      <w:proofErr w:type="spellEnd"/>
      <w:r w:rsidRPr="00175F8B">
        <w:t xml:space="preserve"> artikkel 28 og andre finansielle instrumenter som ikke har et likvid marked, jf. </w:t>
      </w:r>
      <w:proofErr w:type="spellStart"/>
      <w:r w:rsidRPr="00175F8B">
        <w:t>MiFIR</w:t>
      </w:r>
      <w:proofErr w:type="spellEnd"/>
      <w:r w:rsidRPr="00175F8B">
        <w:t xml:space="preserve"> artikkel 9 nr. 1 bokstavene b og c.</w:t>
      </w:r>
    </w:p>
    <w:p w14:paraId="14838FAB" w14:textId="77777777" w:rsidR="00080633" w:rsidRPr="00175F8B" w:rsidRDefault="00080633" w:rsidP="00175F8B">
      <w:r w:rsidRPr="00175F8B">
        <w:t xml:space="preserve">For å få unntatt bindende interessemarkeringer i RFQ-systemer og i talebaserte systemer etter </w:t>
      </w:r>
      <w:proofErr w:type="spellStart"/>
      <w:r w:rsidRPr="00175F8B">
        <w:t>MiFIR</w:t>
      </w:r>
      <w:proofErr w:type="spellEnd"/>
      <w:r w:rsidRPr="00175F8B">
        <w:t xml:space="preserve"> artikkel 9 nr. 1 bokstav b, må interessemarkeringen være over en viss størrelse for det aktuelle finansielle instrumentet (</w:t>
      </w:r>
      <w:proofErr w:type="spellStart"/>
      <w:r w:rsidRPr="00175F8B">
        <w:t>size</w:t>
      </w:r>
      <w:proofErr w:type="spellEnd"/>
      <w:r w:rsidRPr="00175F8B">
        <w:t xml:space="preserve"> </w:t>
      </w:r>
      <w:proofErr w:type="spellStart"/>
      <w:r w:rsidRPr="00175F8B">
        <w:t>specifict</w:t>
      </w:r>
      <w:proofErr w:type="spellEnd"/>
      <w:r w:rsidRPr="00175F8B">
        <w:t xml:space="preserve"> to </w:t>
      </w:r>
      <w:proofErr w:type="spellStart"/>
      <w:r w:rsidRPr="00175F8B">
        <w:t>the</w:t>
      </w:r>
      <w:proofErr w:type="spellEnd"/>
      <w:r w:rsidRPr="00175F8B">
        <w:t xml:space="preserve"> </w:t>
      </w:r>
      <w:proofErr w:type="spellStart"/>
      <w:r w:rsidRPr="00175F8B">
        <w:t>financial</w:t>
      </w:r>
      <w:proofErr w:type="spellEnd"/>
      <w:r w:rsidRPr="00175F8B">
        <w:t xml:space="preserve"> instrument, forkortet «SSTI»). Det følger av </w:t>
      </w:r>
      <w:proofErr w:type="spellStart"/>
      <w:r w:rsidRPr="00175F8B">
        <w:t>MiFIR</w:t>
      </w:r>
      <w:proofErr w:type="spellEnd"/>
      <w:r w:rsidRPr="00175F8B">
        <w:t xml:space="preserve"> at terskelen skal settes slik at likvi</w:t>
      </w:r>
      <w:r w:rsidRPr="00175F8B">
        <w:lastRenderedPageBreak/>
        <w:t>ditetstilbyderen (pristilbyderen) ikke utsettes for utilbørlig risiko og slik at det tas hensyn til om den aktuelle markedsdeltakeren er ikke-profesjonell eller profesjonell investor.</w:t>
      </w:r>
    </w:p>
    <w:p w14:paraId="162B629F" w14:textId="77777777" w:rsidR="00080633" w:rsidRPr="00175F8B" w:rsidRDefault="00080633" w:rsidP="00175F8B">
      <w:r w:rsidRPr="00175F8B">
        <w:t>Unntaket for bindende interessemarkeringer er modifisert ved at handelsplassen</w:t>
      </w:r>
      <w:r w:rsidRPr="00175F8B">
        <w:t xml:space="preserve"> uansett er pålagt å offentliggjøre </w:t>
      </w:r>
      <w:proofErr w:type="spellStart"/>
      <w:r w:rsidRPr="00175F8B">
        <w:t>indikative</w:t>
      </w:r>
      <w:proofErr w:type="spellEnd"/>
      <w:r w:rsidRPr="00175F8B">
        <w:t xml:space="preserve"> kjøps- og salgspriser som er nær de prisene som vises for handelsinteressen i handelsplassens systemer (</w:t>
      </w:r>
      <w:proofErr w:type="spellStart"/>
      <w:r w:rsidRPr="00175F8B">
        <w:t>MiFIR</w:t>
      </w:r>
      <w:proofErr w:type="spellEnd"/>
      <w:r w:rsidRPr="00175F8B">
        <w:t xml:space="preserve"> artikkel 8 nr. 4). Regler om når en indikativ pris er nær prisene som vises for handelsinteressen, er presisert i nivå 2-regelverket.</w:t>
      </w:r>
      <w:r w:rsidRPr="00175F8B">
        <w:rPr>
          <w:rStyle w:val="Fotnotereferanse"/>
        </w:rPr>
        <w:footnoteReference w:id="13"/>
      </w:r>
    </w:p>
    <w:p w14:paraId="19733CE4" w14:textId="77777777" w:rsidR="00080633" w:rsidRPr="00175F8B" w:rsidRDefault="00080633" w:rsidP="00175F8B">
      <w:r w:rsidRPr="00175F8B">
        <w:t>Når</w:t>
      </w:r>
      <w:r w:rsidRPr="00175F8B">
        <w:t xml:space="preserve"> det gjelder unntaket for derivater som ikke er underlagt handelsplikt etter </w:t>
      </w:r>
      <w:proofErr w:type="spellStart"/>
      <w:r w:rsidRPr="00175F8B">
        <w:t>MiFIR</w:t>
      </w:r>
      <w:proofErr w:type="spellEnd"/>
      <w:r w:rsidRPr="00175F8B">
        <w:t xml:space="preserve"> artikkel 28 og andre finansielle instrumenter som ikke har et likvid marked, spesifiserer nivå 2-regelverket når et finansielt instrument ikke har et likvid marked.</w:t>
      </w:r>
      <w:r w:rsidRPr="00175F8B">
        <w:rPr>
          <w:rStyle w:val="Fotnotereferanse"/>
        </w:rPr>
        <w:footnoteReference w:id="14"/>
      </w:r>
      <w:r w:rsidRPr="00175F8B">
        <w:t xml:space="preserve"> Nivå 2-regelverket utfyller definisjonen av likvid marked i </w:t>
      </w:r>
      <w:proofErr w:type="spellStart"/>
      <w:r w:rsidRPr="00175F8B">
        <w:t>MiFIR</w:t>
      </w:r>
      <w:proofErr w:type="spellEnd"/>
      <w:r w:rsidRPr="00175F8B">
        <w:t xml:space="preserve"> artikkel 2 nr. 1 punkt 17 bokstav a.</w:t>
      </w:r>
    </w:p>
    <w:p w14:paraId="74F3A31C" w14:textId="77777777" w:rsidR="00080633" w:rsidRPr="00175F8B" w:rsidRDefault="00080633" w:rsidP="00175F8B">
      <w:r w:rsidRPr="00175F8B">
        <w:t xml:space="preserve">Etter samme mønster som for unntak fra offentliggjøring av ordreinformasjon for aksjer mv., er det krav til en </w:t>
      </w:r>
      <w:proofErr w:type="spellStart"/>
      <w:r w:rsidRPr="00175F8B">
        <w:t>waiver</w:t>
      </w:r>
      <w:proofErr w:type="spellEnd"/>
      <w:r w:rsidRPr="00175F8B">
        <w:t xml:space="preserve">-prosedyre der ESMA </w:t>
      </w:r>
      <w:proofErr w:type="gramStart"/>
      <w:r w:rsidRPr="00175F8B">
        <w:t>avgir</w:t>
      </w:r>
      <w:proofErr w:type="gramEnd"/>
      <w:r w:rsidRPr="00175F8B">
        <w:t xml:space="preserve"> en uttalelse om et unntak er i tråd med </w:t>
      </w:r>
      <w:proofErr w:type="spellStart"/>
      <w:r w:rsidRPr="00175F8B">
        <w:t>MiFIR</w:t>
      </w:r>
      <w:proofErr w:type="spellEnd"/>
      <w:r w:rsidRPr="00175F8B">
        <w:t xml:space="preserve"> eller ikke, og tilsynsmyndigheten beslutter om et unntak skal gis. Tilsynsmyndigheten kan videre trekke tilbake et unntak under visse vilkår. Dette følger av </w:t>
      </w:r>
      <w:proofErr w:type="spellStart"/>
      <w:r w:rsidRPr="00175F8B">
        <w:t>MiFIR</w:t>
      </w:r>
      <w:proofErr w:type="spellEnd"/>
      <w:r w:rsidRPr="00175F8B">
        <w:t xml:space="preserve"> artikkel 9 nr. 2 og 3.</w:t>
      </w:r>
    </w:p>
    <w:p w14:paraId="41C5506C" w14:textId="77777777" w:rsidR="00080633" w:rsidRPr="00175F8B" w:rsidRDefault="00080633" w:rsidP="00175F8B">
      <w:r w:rsidRPr="00175F8B">
        <w:t xml:space="preserve">Et særtrekk ved transparenskravene for obligasjoner og derivater mv., er at tilsynsmyndigheten midlertidig kan suspendere transparenskravene for en klasse av finansielle instrumenter etter </w:t>
      </w:r>
      <w:proofErr w:type="spellStart"/>
      <w:r w:rsidRPr="00175F8B">
        <w:t>MiFIR</w:t>
      </w:r>
      <w:proofErr w:type="spellEnd"/>
      <w:r w:rsidRPr="00175F8B">
        <w:t xml:space="preserve"> artikkel 9 nr. 4. Slik suspensjon innføres hvis det skjer et betydelig fall i likviditet i den aktuelle klassen av finansielle instrumenter. Nivå 2-regelverket oppstiller ulike grenser for henholdsvis likvide og </w:t>
      </w:r>
      <w:proofErr w:type="spellStart"/>
      <w:r w:rsidRPr="00175F8B">
        <w:t>illikvide</w:t>
      </w:r>
      <w:proofErr w:type="spellEnd"/>
      <w:r w:rsidRPr="00175F8B">
        <w:t xml:space="preserve"> finansielle instrumenter. Det er også presisert at beregningen av fallet i likviditeten skal ta hensyn til transaksjonene som er gjort på alle handelsplassene i EU.</w:t>
      </w:r>
      <w:r w:rsidRPr="00175F8B">
        <w:rPr>
          <w:rStyle w:val="Fotnotereferanse"/>
        </w:rPr>
        <w:footnoteReference w:id="15"/>
      </w:r>
    </w:p>
    <w:p w14:paraId="49AB24C3" w14:textId="77777777" w:rsidR="00080633" w:rsidRPr="00175F8B" w:rsidRDefault="00080633" w:rsidP="00175F8B">
      <w:r w:rsidRPr="00175F8B">
        <w:t xml:space="preserve">Det er gitt nærmere regler for hvor lenge suspensjonsperioden kan vare, samt </w:t>
      </w:r>
      <w:proofErr w:type="spellStart"/>
      <w:r w:rsidRPr="00175F8B">
        <w:t>ESMAs</w:t>
      </w:r>
      <w:proofErr w:type="spellEnd"/>
      <w:r w:rsidRPr="00175F8B">
        <w:t xml:space="preserve"> rett til å uttale seg om en mulig suspensjon, i </w:t>
      </w:r>
      <w:proofErr w:type="spellStart"/>
      <w:r w:rsidRPr="00175F8B">
        <w:t>MiFIR</w:t>
      </w:r>
      <w:proofErr w:type="spellEnd"/>
      <w:r w:rsidRPr="00175F8B">
        <w:t xml:space="preserve"> artikkel 9 nr. 4.</w:t>
      </w:r>
    </w:p>
    <w:p w14:paraId="45AE2B66" w14:textId="77777777" w:rsidR="00080633" w:rsidRPr="00175F8B" w:rsidRDefault="00080633" w:rsidP="00175F8B">
      <w:pPr>
        <w:pStyle w:val="Overskrift3"/>
      </w:pPr>
      <w:r w:rsidRPr="00175F8B">
        <w:t>Handelsplassers offentliggjøring av handler i obligasjoner og derivater mv. (post-trade transparens)</w:t>
      </w:r>
    </w:p>
    <w:p w14:paraId="45C3CABC" w14:textId="77777777" w:rsidR="00080633" w:rsidRPr="00175F8B" w:rsidRDefault="00080633" w:rsidP="00175F8B">
      <w:r w:rsidRPr="00175F8B">
        <w:t xml:space="preserve">Handelsplasser skal offentliggjøre informasjon om handler – det vil si pris, volum og tidspunkt for en handel – i obligasjoner, strukturerte finansielle produkter, utslippskvoter og derivater som handles på en handelsplass, jf. </w:t>
      </w:r>
      <w:proofErr w:type="spellStart"/>
      <w:r w:rsidRPr="00175F8B">
        <w:t>MiFIR</w:t>
      </w:r>
      <w:proofErr w:type="spellEnd"/>
      <w:r w:rsidRPr="00175F8B">
        <w:t xml:space="preserve"> artikkel 10 nr. 1. Offentliggjøringen skal skje så nær sanntid som teknisk mulig.</w:t>
      </w:r>
    </w:p>
    <w:p w14:paraId="0345709B" w14:textId="77777777" w:rsidR="00080633" w:rsidRPr="00175F8B" w:rsidRDefault="00080633" w:rsidP="00175F8B">
      <w:r w:rsidRPr="00175F8B">
        <w:t>Nivå 2-regelverket spesifiserer hvilke opplysninger som skal gis om den aktuelle handelen og hvordan den skal merkes.</w:t>
      </w:r>
      <w:r w:rsidRPr="00175F8B">
        <w:rPr>
          <w:rStyle w:val="Fotnotereferanse"/>
        </w:rPr>
        <w:footnoteReference w:id="16"/>
      </w:r>
      <w:r w:rsidRPr="00175F8B">
        <w:t xml:space="preserve"> Reglene presiserer videre at de første tre årene etter </w:t>
      </w:r>
      <w:proofErr w:type="spellStart"/>
      <w:r w:rsidRPr="00175F8B">
        <w:t>MiFIRs</w:t>
      </w:r>
      <w:proofErr w:type="spellEnd"/>
      <w:r w:rsidRPr="00175F8B">
        <w:t xml:space="preserve"> ikrafttredelse skal publisering skje senest 15 minutter etter at handelen er gjennomført, deretter blir fristen kortet ned til fem minutter etter at handelen er gjennomført</w:t>
      </w:r>
      <w:r w:rsidRPr="00175F8B">
        <w:t>.</w:t>
      </w:r>
      <w:r w:rsidRPr="00175F8B">
        <w:rPr>
          <w:rStyle w:val="Fotnotereferanse"/>
        </w:rPr>
        <w:footnoteReference w:id="17"/>
      </w:r>
    </w:p>
    <w:p w14:paraId="19FDA9C7" w14:textId="77777777" w:rsidR="00080633" w:rsidRPr="00175F8B" w:rsidRDefault="00080633" w:rsidP="00175F8B">
      <w:r w:rsidRPr="00175F8B">
        <w:t xml:space="preserve">Handelsplassen må gi verdipapirforetak som er underlagt post-trade transparensforpliktelser for obligasjoner og derivater mv., tilgang til handelsplassens offentliggjøringsmekanisme, se </w:t>
      </w:r>
      <w:proofErr w:type="spellStart"/>
      <w:r w:rsidRPr="00175F8B">
        <w:t>MiFIR</w:t>
      </w:r>
      <w:proofErr w:type="spellEnd"/>
      <w:r w:rsidRPr="00175F8B">
        <w:t xml:space="preserve"> artikkel 10 nr. 2. Slik tilgang skal gis på rimelige forretningsmessige vilkår og på ikke-diskriminerende basis.</w:t>
      </w:r>
    </w:p>
    <w:p w14:paraId="3366E501" w14:textId="77777777" w:rsidR="00080633" w:rsidRPr="00175F8B" w:rsidRDefault="00080633" w:rsidP="00175F8B">
      <w:r w:rsidRPr="00175F8B">
        <w:lastRenderedPageBreak/>
        <w:t xml:space="preserve">Handelsplassens tilsynsmyndighet er gitt adgang til midlertidig å suspendere offentliggjøringsplikten ved et betydelig likviditetsfall i klassen av finansielle instrumenter transaksjonen omfatter, se </w:t>
      </w:r>
      <w:proofErr w:type="spellStart"/>
      <w:r w:rsidRPr="00175F8B">
        <w:t>MiFIR</w:t>
      </w:r>
      <w:proofErr w:type="spellEnd"/>
      <w:r w:rsidRPr="00175F8B">
        <w:t xml:space="preserve"> artikkel 11 nr. 2.</w:t>
      </w:r>
    </w:p>
    <w:p w14:paraId="0D6C1A34" w14:textId="77777777" w:rsidR="00080633" w:rsidRPr="00175F8B" w:rsidRDefault="00080633" w:rsidP="00175F8B">
      <w:r w:rsidRPr="00175F8B">
        <w:t>Tilsynsmyndigheten til handelsplassen kan godkjenne utsatt offentliggjøring av informasjon om handler (</w:t>
      </w:r>
      <w:proofErr w:type="spellStart"/>
      <w:r w:rsidRPr="00175F8B">
        <w:t>deferred</w:t>
      </w:r>
      <w:proofErr w:type="spellEnd"/>
      <w:r w:rsidRPr="00175F8B">
        <w:t xml:space="preserve"> </w:t>
      </w:r>
      <w:proofErr w:type="spellStart"/>
      <w:r w:rsidRPr="00175F8B">
        <w:t>publications</w:t>
      </w:r>
      <w:proofErr w:type="spellEnd"/>
      <w:r w:rsidRPr="00175F8B">
        <w:t xml:space="preserve">). På samme måte som for aksjer mv., kan tillatelse gis for handler som er store i omfang sammenlignet med normal markedsstørrelse i henhold til </w:t>
      </w:r>
      <w:proofErr w:type="spellStart"/>
      <w:r w:rsidRPr="00175F8B">
        <w:t>MiFIR</w:t>
      </w:r>
      <w:proofErr w:type="spellEnd"/>
      <w:r w:rsidRPr="00175F8B">
        <w:t xml:space="preserve"> artikkel 11 nr. 1 bokstav a. For obligasjoner og derivater mv., følger det imidlertid ytterligere muligheter for utsettelse av offentliggjøring av handler. For det første er det tillatt å utsette offentliggjøring der handelen knytter seg til et finansielt instrument eller en klasse av finansielle instrumenter som handles på en handelsplas</w:t>
      </w:r>
      <w:r w:rsidRPr="00175F8B">
        <w:t xml:space="preserve">s og som ikke har et likvid marked, jf. </w:t>
      </w:r>
      <w:proofErr w:type="spellStart"/>
      <w:r w:rsidRPr="00175F8B">
        <w:t>MiFIR</w:t>
      </w:r>
      <w:proofErr w:type="spellEnd"/>
      <w:r w:rsidRPr="00175F8B">
        <w:t xml:space="preserve"> artikkel 11 nr. 1 bokstav b. Nivå 2-regelverket angir når et finansielt instrument har et likvid marked.</w:t>
      </w:r>
      <w:r w:rsidRPr="00175F8B">
        <w:rPr>
          <w:rStyle w:val="Fotnotereferanse"/>
        </w:rPr>
        <w:footnoteReference w:id="18"/>
      </w:r>
    </w:p>
    <w:p w14:paraId="0735F145" w14:textId="77777777" w:rsidR="00080633" w:rsidRPr="00175F8B" w:rsidRDefault="00080633" w:rsidP="00175F8B">
      <w:r w:rsidRPr="00175F8B">
        <w:t>For det andre er det mulig å utsette offentliggjøringen av handler som er over en viss størrelse for det aktuelle finansielle instrumentet eller tilhørende klasse av finansielle instrumenter (SSTI-terskelen).</w:t>
      </w:r>
    </w:p>
    <w:p w14:paraId="3B759645" w14:textId="77777777" w:rsidR="00080633" w:rsidRPr="00175F8B" w:rsidRDefault="00080633" w:rsidP="00175F8B">
      <w:pPr>
        <w:pStyle w:val="Overskrift2"/>
      </w:pPr>
      <w:r w:rsidRPr="00175F8B">
        <w:t>Forventet EØS-rett</w:t>
      </w:r>
    </w:p>
    <w:p w14:paraId="2912A35E" w14:textId="77777777" w:rsidR="00080633" w:rsidRPr="00175F8B" w:rsidRDefault="00080633" w:rsidP="00175F8B">
      <w:pPr>
        <w:pStyle w:val="Overskrift3"/>
      </w:pPr>
      <w:r w:rsidRPr="00175F8B">
        <w:t>Endringer i transparensregelverket for aksjer (pre-trade)</w:t>
      </w:r>
    </w:p>
    <w:p w14:paraId="4B121FDE" w14:textId="77777777" w:rsidR="00080633" w:rsidRPr="00175F8B" w:rsidRDefault="00080633" w:rsidP="00175F8B">
      <w:r w:rsidRPr="00175F8B">
        <w:t xml:space="preserve">Den største endringen i reglene om pre-trade transparens for aksjer, knytter seg til reglene om suspensjon av referanseprisunntaket i </w:t>
      </w:r>
      <w:proofErr w:type="spellStart"/>
      <w:r w:rsidRPr="00175F8B">
        <w:t>MiFIR</w:t>
      </w:r>
      <w:proofErr w:type="spellEnd"/>
      <w:r w:rsidRPr="00175F8B">
        <w:t xml:space="preserve"> artikkel 4 nr. 1 bokstav a og unntaket for forhandlede transaksjoner i </w:t>
      </w:r>
      <w:proofErr w:type="spellStart"/>
      <w:r w:rsidRPr="00175F8B">
        <w:t>MiFIR</w:t>
      </w:r>
      <w:proofErr w:type="spellEnd"/>
      <w:r w:rsidRPr="00175F8B">
        <w:t xml:space="preserve"> artikkel 4 nr. 1 bokstav b punkt (i), i </w:t>
      </w:r>
      <w:proofErr w:type="spellStart"/>
      <w:r w:rsidRPr="00175F8B">
        <w:t>MiFIR</w:t>
      </w:r>
      <w:proofErr w:type="spellEnd"/>
      <w:r w:rsidRPr="00175F8B">
        <w:t xml:space="preserve"> artikkel 5. Mens tilsynsmyndigheten etter gjeldende regler skal suspendere nevnte unntak etter en «double </w:t>
      </w:r>
      <w:proofErr w:type="spellStart"/>
      <w:r w:rsidRPr="00175F8B">
        <w:t>volume</w:t>
      </w:r>
      <w:proofErr w:type="spellEnd"/>
      <w:r w:rsidRPr="00175F8B">
        <w:t xml:space="preserve"> </w:t>
      </w:r>
      <w:proofErr w:type="spellStart"/>
      <w:r w:rsidRPr="00175F8B">
        <w:t>cap</w:t>
      </w:r>
      <w:proofErr w:type="spellEnd"/>
      <w:r w:rsidRPr="00175F8B">
        <w:t xml:space="preserve">», hvor begrensningen av </w:t>
      </w:r>
      <w:proofErr w:type="gramStart"/>
      <w:r w:rsidRPr="00175F8B">
        <w:t>anvendelsen</w:t>
      </w:r>
      <w:proofErr w:type="gramEnd"/>
      <w:r w:rsidRPr="00175F8B">
        <w:t xml:space="preserve"> av unntaket beregnes som et tak på fire prosent av handelen pr. handelsplass eller åtte prosent av handelen på alle handelsplasser i EU, skal beregningen etter ny artikkel 5 skje etter en «single </w:t>
      </w:r>
      <w:proofErr w:type="spellStart"/>
      <w:r w:rsidRPr="00175F8B">
        <w:t>volume</w:t>
      </w:r>
      <w:proofErr w:type="spellEnd"/>
      <w:r w:rsidRPr="00175F8B">
        <w:t xml:space="preserve"> </w:t>
      </w:r>
      <w:proofErr w:type="spellStart"/>
      <w:r w:rsidRPr="00175F8B">
        <w:t>cap</w:t>
      </w:r>
      <w:proofErr w:type="spellEnd"/>
      <w:r w:rsidRPr="00175F8B">
        <w:t>» på syv prosent beregne</w:t>
      </w:r>
      <w:r w:rsidRPr="00175F8B">
        <w:t>t ut fra den totale handelen på alle handelsplasser i EU. I fortalen til forordning 2024/791 avsnitt 6 er endringen begrunnet slik:</w:t>
      </w:r>
    </w:p>
    <w:p w14:paraId="115D75DF" w14:textId="77777777" w:rsidR="00080633" w:rsidRPr="00175F8B" w:rsidRDefault="00080633" w:rsidP="00175F8B">
      <w:pPr>
        <w:pStyle w:val="blokksit"/>
      </w:pPr>
      <w:r w:rsidRPr="00175F8B">
        <w:t>«Dark trading is trading without pre-trade transparency, using the waiver laid down in Article 4(1), point (a), of Regulation (EU) No 600/2014 (‘reference price waiver’) and the waiver laid down in Article 4(1), point (b)(</w:t>
      </w:r>
      <w:proofErr w:type="spellStart"/>
      <w:r w:rsidRPr="00175F8B">
        <w:t>i</w:t>
      </w:r>
      <w:proofErr w:type="spellEnd"/>
      <w:r w:rsidRPr="00175F8B">
        <w:t>), of that Regulation (‘negotiated trade waiver’). The use of both waivers is capped by the double volume cap, which is a mechanism that limits the level of dark trading to a certain proportion of total trading in an equity instrument. First, the level of dark trading in an equity instrument on an individual venue is not to exceed 4 % of the total volume of trading in that instrument in the Union. When that threshold is exceeded, dark trading in that instrument on that venue is suspended. Second, the level</w:t>
      </w:r>
      <w:r w:rsidRPr="00175F8B">
        <w:t xml:space="preserve"> of dark trading in an equity instrument in the Union is not to exceed 8 % of the total volume of trading in that instrument in the Union. When that second threshold is exceeded, all dark trading under both waivers in that instrument is suspended. The first threshold, namely the venue-specific threshold, leaves room for the continued use of those waivers on other venues on which trading in that equity instrument is not yet suspended, until the second threshold, namely the Union-wide threshold, is exceeded. </w:t>
      </w:r>
      <w:r w:rsidRPr="00175F8B">
        <w:t xml:space="preserve">That makes monitoring the levels of dark trading and enforcing the suspension more complex. To simplify the double volume cap while keeping its effectiveness, the new single volume cap should rely solely on a Union-wide threshold set at 7 %, which should apply only to trading under the reference price waiver and not to trading under the negotiated trade </w:t>
      </w:r>
      <w:proofErr w:type="gramStart"/>
      <w:r w:rsidRPr="00175F8B">
        <w:t>waiver.»</w:t>
      </w:r>
      <w:proofErr w:type="gramEnd"/>
    </w:p>
    <w:p w14:paraId="497FA6E8" w14:textId="77777777" w:rsidR="00080633" w:rsidRPr="00175F8B" w:rsidRDefault="00080633" w:rsidP="00175F8B">
      <w:r w:rsidRPr="00175F8B">
        <w:t xml:space="preserve">Etter </w:t>
      </w:r>
      <w:proofErr w:type="spellStart"/>
      <w:r w:rsidRPr="00175F8B">
        <w:t>MiFIR</w:t>
      </w:r>
      <w:proofErr w:type="spellEnd"/>
      <w:r w:rsidRPr="00175F8B">
        <w:t xml:space="preserve"> artikkel 5 ny nr. 1 er det ikke lenger tilsynsmyndighetene, men handelsplassene selv, som skal suspendere sin bruk av unntaket i </w:t>
      </w:r>
      <w:proofErr w:type="spellStart"/>
      <w:r w:rsidRPr="00175F8B">
        <w:t>MiFIR</w:t>
      </w:r>
      <w:proofErr w:type="spellEnd"/>
      <w:r w:rsidRPr="00175F8B">
        <w:t xml:space="preserve"> artikkel 4 nr. 1 bokstav a (referanseprisunntaket), dersom prosentandelen av handelen som er gjennomført i et finansielt instrument i unionen i </w:t>
      </w:r>
      <w:proofErr w:type="gramStart"/>
      <w:r w:rsidRPr="00175F8B">
        <w:t>medhold av</w:t>
      </w:r>
      <w:proofErr w:type="gramEnd"/>
      <w:r w:rsidRPr="00175F8B">
        <w:t xml:space="preserve"> unntaket, overstiger 7 prosent av det totale volumet for handel med det finansielle instrumentet i unionen. Handelsplassene skal basere sin beslutning om å suspendere bruken av unntaket på data som ESMA offentliggjør</w:t>
      </w:r>
      <w:r w:rsidRPr="00175F8B">
        <w:t xml:space="preserve">, i samsvar med nærmere regler i </w:t>
      </w:r>
      <w:proofErr w:type="spellStart"/>
      <w:r w:rsidRPr="00175F8B">
        <w:t>MiFIR</w:t>
      </w:r>
      <w:proofErr w:type="spellEnd"/>
      <w:r w:rsidRPr="00175F8B">
        <w:t xml:space="preserve"> artikkel 5 ny nr. 4. Beslutningen skal treffes senest to arbeidsdager etter offentliggjøringen av disse opplysningene og for en periode på tre måneder (mot seks </w:t>
      </w:r>
      <w:r w:rsidRPr="00175F8B">
        <w:lastRenderedPageBreak/>
        <w:t xml:space="preserve">måneder i dagens regelverk). Etter dagens regelverk skal ESMA offentliggjøre slike rapporter månedlig. Dette reduseres til kvartalsvis rapportering. Videre oppheves kravene i </w:t>
      </w:r>
      <w:proofErr w:type="spellStart"/>
      <w:r w:rsidRPr="00175F8B">
        <w:t>MiFIR</w:t>
      </w:r>
      <w:proofErr w:type="spellEnd"/>
      <w:r w:rsidRPr="00175F8B">
        <w:t xml:space="preserve"> artikkel 5 nr. 5 og nr. 6 om ekstra rapportering fra ESMA dersom handel under et unntak nærmer seg grensen.</w:t>
      </w:r>
    </w:p>
    <w:p w14:paraId="4132E347" w14:textId="77777777" w:rsidR="00080633" w:rsidRPr="00175F8B" w:rsidRDefault="00080633" w:rsidP="00175F8B">
      <w:r w:rsidRPr="00175F8B">
        <w:t>ESMA skal begynne å off</w:t>
      </w:r>
      <w:r w:rsidRPr="00175F8B">
        <w:t xml:space="preserve">entliggjøre de </w:t>
      </w:r>
      <w:proofErr w:type="spellStart"/>
      <w:r w:rsidRPr="00175F8B">
        <w:t>kvartalsvise</w:t>
      </w:r>
      <w:proofErr w:type="spellEnd"/>
      <w:r w:rsidRPr="00175F8B">
        <w:t xml:space="preserve"> rapportene 29. september 2025, som også er tidspunktet den nye volumgrensen skal gjelde fra, jf. </w:t>
      </w:r>
      <w:proofErr w:type="spellStart"/>
      <w:r w:rsidRPr="00175F8B">
        <w:t>MiFIR</w:t>
      </w:r>
      <w:proofErr w:type="spellEnd"/>
      <w:r w:rsidRPr="00175F8B">
        <w:t xml:space="preserve"> artikkel 5 ny nr. 8.</w:t>
      </w:r>
    </w:p>
    <w:p w14:paraId="58460231" w14:textId="77777777" w:rsidR="00080633" w:rsidRPr="00175F8B" w:rsidRDefault="00080633" w:rsidP="00175F8B">
      <w:r w:rsidRPr="00175F8B">
        <w:t xml:space="preserve">Operatører av handelsplasser skal fortsatt ha systemer og prosedyrer som skal gjøre det mulig å identifisere alle handler som finner sted på deres handelsplass, jf. </w:t>
      </w:r>
      <w:proofErr w:type="spellStart"/>
      <w:r w:rsidRPr="00175F8B">
        <w:t>MiFIR</w:t>
      </w:r>
      <w:proofErr w:type="spellEnd"/>
      <w:r w:rsidRPr="00175F8B">
        <w:t xml:space="preserve"> artikkel 5 nr. 7. Reglene skal sikre et pålitelig grunnlag for overvåking av handler som foregår i henhold til «single </w:t>
      </w:r>
      <w:proofErr w:type="spellStart"/>
      <w:r w:rsidRPr="00175F8B">
        <w:t>volume</w:t>
      </w:r>
      <w:proofErr w:type="spellEnd"/>
      <w:r w:rsidRPr="00175F8B">
        <w:t xml:space="preserve"> </w:t>
      </w:r>
      <w:proofErr w:type="spellStart"/>
      <w:r w:rsidRPr="00175F8B">
        <w:t>cap</w:t>
      </w:r>
      <w:proofErr w:type="spellEnd"/>
      <w:r w:rsidRPr="00175F8B">
        <w:t xml:space="preserve">»-unntaket og for å fastslå hvorvidt «single </w:t>
      </w:r>
      <w:proofErr w:type="spellStart"/>
      <w:r w:rsidRPr="00175F8B">
        <w:t>volume</w:t>
      </w:r>
      <w:proofErr w:type="spellEnd"/>
      <w:r w:rsidRPr="00175F8B">
        <w:t xml:space="preserve"> </w:t>
      </w:r>
      <w:proofErr w:type="spellStart"/>
      <w:r w:rsidRPr="00175F8B">
        <w:t>cap</w:t>
      </w:r>
      <w:proofErr w:type="spellEnd"/>
      <w:r w:rsidRPr="00175F8B">
        <w:t>»-grensen er overskredet.</w:t>
      </w:r>
    </w:p>
    <w:p w14:paraId="10CF051E" w14:textId="77777777" w:rsidR="00080633" w:rsidRPr="00175F8B" w:rsidRDefault="00080633" w:rsidP="00175F8B">
      <w:r w:rsidRPr="00175F8B">
        <w:t xml:space="preserve">ESMA skal utarbeide nivå 2-regelverk som presiserer metoden, inkludert flaggmerking av transaksjoner for innsamling, beregning og offentliggjøring av transaksjonsopplysninger i henhold til </w:t>
      </w:r>
      <w:proofErr w:type="spellStart"/>
      <w:r w:rsidRPr="00175F8B">
        <w:t>MiFIR</w:t>
      </w:r>
      <w:proofErr w:type="spellEnd"/>
      <w:r w:rsidRPr="00175F8B">
        <w:t xml:space="preserve"> artikkel 5 nr. 4, for å gi en nøyaktig måling av det totale handelsvolumet per finansielt instrument og prosentandelene av handelen som gjøres i henhold til unntaket, se </w:t>
      </w:r>
      <w:proofErr w:type="spellStart"/>
      <w:r w:rsidRPr="00175F8B">
        <w:t>MiFIR</w:t>
      </w:r>
      <w:proofErr w:type="spellEnd"/>
      <w:r w:rsidRPr="00175F8B">
        <w:t xml:space="preserve"> artikkel 5 nr. 9.</w:t>
      </w:r>
    </w:p>
    <w:p w14:paraId="71041847" w14:textId="77777777" w:rsidR="00080633" w:rsidRPr="00175F8B" w:rsidRDefault="00080633" w:rsidP="00175F8B">
      <w:r w:rsidRPr="00175F8B">
        <w:t>Videre skal ESMA innen 29. september 2027, og hvert år deretter, vurdere volumgrensen ut fra hensynet til finansiell stabilitet, internasjonale standarder, bedrifters konkurranseevne, betydningen av markedseffekten og effektiviteten i prisdannelsen. Vurderingen skal sendes til Kommisjonen som får fullmakt til å</w:t>
      </w:r>
      <w:r w:rsidRPr="00175F8B">
        <w:t xml:space="preserve"> justere volumgrensen, se </w:t>
      </w:r>
      <w:proofErr w:type="spellStart"/>
      <w:r w:rsidRPr="00175F8B">
        <w:t>MiFIR</w:t>
      </w:r>
      <w:proofErr w:type="spellEnd"/>
      <w:r w:rsidRPr="00175F8B">
        <w:t xml:space="preserve"> artikkel 5 nr. 10 annet ledd.</w:t>
      </w:r>
    </w:p>
    <w:p w14:paraId="45244777" w14:textId="77777777" w:rsidR="00080633" w:rsidRPr="00175F8B" w:rsidRDefault="00080633" w:rsidP="00175F8B">
      <w:r w:rsidRPr="00175F8B">
        <w:t xml:space="preserve">Reglene om volumgrense skal heretter kun gjelde for unntaket for referansepris i </w:t>
      </w:r>
      <w:proofErr w:type="spellStart"/>
      <w:r w:rsidRPr="00175F8B">
        <w:t>MiFIR</w:t>
      </w:r>
      <w:proofErr w:type="spellEnd"/>
      <w:r w:rsidRPr="00175F8B">
        <w:t xml:space="preserve"> artikkel 4 nr. 1 bokstav a. Reglene om volumgrense skal </w:t>
      </w:r>
      <w:proofErr w:type="gramStart"/>
      <w:r w:rsidRPr="00175F8B">
        <w:t>således</w:t>
      </w:r>
      <w:proofErr w:type="gramEnd"/>
      <w:r w:rsidRPr="00175F8B">
        <w:t xml:space="preserve"> ikke lenger gjelde for unntaket for forhandlede transaksjoner i likvide instrumenter der prisen er gjort innenfor volumvektet </w:t>
      </w:r>
      <w:proofErr w:type="spellStart"/>
      <w:r w:rsidRPr="00175F8B">
        <w:t>spread</w:t>
      </w:r>
      <w:proofErr w:type="spellEnd"/>
      <w:r w:rsidRPr="00175F8B">
        <w:t xml:space="preserve"> i </w:t>
      </w:r>
      <w:proofErr w:type="spellStart"/>
      <w:r w:rsidRPr="00175F8B">
        <w:t>MiFIR</w:t>
      </w:r>
      <w:proofErr w:type="spellEnd"/>
      <w:r w:rsidRPr="00175F8B">
        <w:t xml:space="preserve"> artikkel 4 nr. 1 bokstav b (i).</w:t>
      </w:r>
    </w:p>
    <w:p w14:paraId="1BD67AD2" w14:textId="77777777" w:rsidR="00080633" w:rsidRPr="00175F8B" w:rsidRDefault="00080633" w:rsidP="00175F8B">
      <w:r w:rsidRPr="00175F8B">
        <w:t xml:space="preserve">Videre endres definisjonen av «likvid marked» for aksjer </w:t>
      </w:r>
      <w:proofErr w:type="spellStart"/>
      <w:proofErr w:type="gramStart"/>
      <w:r w:rsidRPr="00175F8B">
        <w:t>mv.,i</w:t>
      </w:r>
      <w:proofErr w:type="spellEnd"/>
      <w:proofErr w:type="gramEnd"/>
      <w:r w:rsidRPr="00175F8B">
        <w:t xml:space="preserve"> </w:t>
      </w:r>
      <w:proofErr w:type="spellStart"/>
      <w:r w:rsidRPr="00175F8B">
        <w:t>MiFIR</w:t>
      </w:r>
      <w:proofErr w:type="spellEnd"/>
      <w:r w:rsidRPr="00175F8B">
        <w:t xml:space="preserve"> artikkel 2 nr. 17 bokstav b. Definisjonen har bl.a. annet betydning for når unntaket fra offentliggjøring av ordreinformasjon om forhandlede transaksjoner i </w:t>
      </w:r>
      <w:proofErr w:type="spellStart"/>
      <w:r w:rsidRPr="00175F8B">
        <w:t>MiFIR</w:t>
      </w:r>
      <w:proofErr w:type="spellEnd"/>
      <w:r w:rsidRPr="00175F8B">
        <w:t xml:space="preserve"> artikkel 4 nr. 1 bokstav b (ii) kan benyttes. Under dagens regelverk er et av kravene til «likvid marked» at instrumentet har tilstrekkelig «fri flyt», eller spredning i eierskap, dvs. at en tilstrekkelig andel av aksjene ikke er «låst» til en eller flere store eiere. Dette vilkåret erstattes med det finansielle instrumentets «egenkapi</w:t>
      </w:r>
      <w:r w:rsidRPr="00175F8B">
        <w:t>talverdi». Årsaken til endringen er at «fri flyt» ofte er vanskelig å definere, mens egenkapitalverdien kan leses rett ut av markedet til enhver tid. Dagens definisjon vil gjelde frem til nytt nivå-2 regelverk er på plass.</w:t>
      </w:r>
      <w:r w:rsidRPr="00175F8B">
        <w:rPr>
          <w:rStyle w:val="Fotnotereferanse"/>
        </w:rPr>
        <w:footnoteReference w:id="19"/>
      </w:r>
    </w:p>
    <w:p w14:paraId="0E3294EC" w14:textId="0F3230C5" w:rsidR="00080633" w:rsidRPr="00175F8B" w:rsidRDefault="00080633" w:rsidP="00175F8B">
      <w:pPr>
        <w:pStyle w:val="Overskrift3"/>
      </w:pPr>
      <w:r w:rsidRPr="00175F8B">
        <w:t xml:space="preserve">Endringer i transparensregelverket for obligasjoner, strukturerte finansielle produkter og utslippskvoter </w:t>
      </w:r>
      <w:r w:rsidRPr="00175F8B">
        <w:t>(pre-trade)</w:t>
      </w:r>
    </w:p>
    <w:p w14:paraId="4587D1EA" w14:textId="77777777" w:rsidR="00080633" w:rsidRPr="00175F8B" w:rsidRDefault="00080633" w:rsidP="00175F8B">
      <w:r w:rsidRPr="00175F8B">
        <w:t xml:space="preserve">Det gjøres flere endringer i </w:t>
      </w:r>
      <w:proofErr w:type="spellStart"/>
      <w:r w:rsidRPr="00175F8B">
        <w:t>MiFIR</w:t>
      </w:r>
      <w:proofErr w:type="spellEnd"/>
      <w:r w:rsidRPr="00175F8B">
        <w:t xml:space="preserve"> artikkel 8 som omhandler pre-trade transparens for obligasjoner mv. Derivatene løf</w:t>
      </w:r>
      <w:r w:rsidRPr="00175F8B">
        <w:t xml:space="preserve">tes ut av bestemmelsen og inn i en egen bestemmelse i </w:t>
      </w:r>
      <w:proofErr w:type="spellStart"/>
      <w:r w:rsidRPr="00175F8B">
        <w:t>MiFIR</w:t>
      </w:r>
      <w:proofErr w:type="spellEnd"/>
      <w:r w:rsidRPr="00175F8B">
        <w:t xml:space="preserve"> ny artikkel 8a om pre-trade transparenskrav for derivater. Pre-trade transparenskrav for pakkeordre (</w:t>
      </w:r>
      <w:proofErr w:type="spellStart"/>
      <w:r w:rsidRPr="00175F8B">
        <w:t>package</w:t>
      </w:r>
      <w:proofErr w:type="spellEnd"/>
      <w:r w:rsidRPr="00175F8B">
        <w:t xml:space="preserve"> </w:t>
      </w:r>
      <w:proofErr w:type="spellStart"/>
      <w:r w:rsidRPr="00175F8B">
        <w:t>orders</w:t>
      </w:r>
      <w:proofErr w:type="spellEnd"/>
      <w:r w:rsidRPr="00175F8B">
        <w:t xml:space="preserve">) skilles samtidig ut i en egen bestemmelse i </w:t>
      </w:r>
      <w:proofErr w:type="spellStart"/>
      <w:r w:rsidRPr="00175F8B">
        <w:t>MiFIR</w:t>
      </w:r>
      <w:proofErr w:type="spellEnd"/>
      <w:r w:rsidRPr="00175F8B">
        <w:t xml:space="preserve"> ny artikkel 8b, se omtale i kapittel 4.3.3 flg.</w:t>
      </w:r>
    </w:p>
    <w:p w14:paraId="068CCFFC" w14:textId="77777777" w:rsidR="00080633" w:rsidRPr="00175F8B" w:rsidRDefault="00080633" w:rsidP="00175F8B">
      <w:r w:rsidRPr="00175F8B">
        <w:t>Etter gjeldende regler gjelder pre-trade transparenskravet uavhengig av hvilket handelssystem som benyttes. Ifølge fortalen til forordning 2024/791 avsnitt 7 favner reglene unødvendig vidt:</w:t>
      </w:r>
    </w:p>
    <w:p w14:paraId="63139F15" w14:textId="77777777" w:rsidR="00080633" w:rsidRPr="00175F8B" w:rsidRDefault="00080633" w:rsidP="00175F8B">
      <w:pPr>
        <w:pStyle w:val="blokksit"/>
      </w:pPr>
      <w:r w:rsidRPr="00175F8B">
        <w:t xml:space="preserve">«Article 8 of Regulation (EU) No 600/2014 sets out pre-trade transparency requirements for market operators and investment firms operating a trading venue in respect of non-equity instruments, regardless of the trading system. The benefits of those requirements have been clear for such market operators and investment firms that operate a central limit order book or a periodic auction trading system, where bids and offers are anonymous, firm and truly multilateral. Other trading systems, in particular voice </w:t>
      </w:r>
      <w:r w:rsidRPr="00175F8B">
        <w:t xml:space="preserve">trading and request-for-quote systems, provide requestors with tailor-made quotes, which have marginal informational value to other market participants. To reduce the regulatory burden imposed on such market operators and investment firms and to simplify the applicable waivers, the requirement to publish firm or indicative quotes should apply only to central limit order books and </w:t>
      </w:r>
      <w:r w:rsidRPr="00175F8B">
        <w:lastRenderedPageBreak/>
        <w:t xml:space="preserve">periodic auction trading systems. </w:t>
      </w:r>
      <w:proofErr w:type="gramStart"/>
      <w:r w:rsidRPr="00175F8B">
        <w:t>In order to</w:t>
      </w:r>
      <w:proofErr w:type="gramEnd"/>
      <w:r w:rsidRPr="00175F8B">
        <w:t xml:space="preserve"> accommodate for limiting the pre-trade transparency to central limit order books an</w:t>
      </w:r>
      <w:r w:rsidRPr="00175F8B">
        <w:t xml:space="preserve">d periodic auction trading systems, the requirements applicable to waivers as referred to in Article 9 of Regulation (EU) No 600/2014 should be amended. The waiver that is available above a size specific to the financial instrument for request-for-quote systems and for voice trading systems should be </w:t>
      </w:r>
      <w:proofErr w:type="gramStart"/>
      <w:r w:rsidRPr="00175F8B">
        <w:t>removed.»</w:t>
      </w:r>
      <w:proofErr w:type="gramEnd"/>
    </w:p>
    <w:p w14:paraId="02CACCBD" w14:textId="77777777" w:rsidR="00080633" w:rsidRPr="00175F8B" w:rsidRDefault="00080633" w:rsidP="00175F8B">
      <w:r w:rsidRPr="00175F8B">
        <w:t xml:space="preserve">Etter </w:t>
      </w:r>
      <w:proofErr w:type="spellStart"/>
      <w:r w:rsidRPr="00175F8B">
        <w:t>MiFIR</w:t>
      </w:r>
      <w:proofErr w:type="spellEnd"/>
      <w:r w:rsidRPr="00175F8B">
        <w:t xml:space="preserve"> endret artikkel 8 skal kun handelsplasser som benytter seg av et sentralt </w:t>
      </w:r>
      <w:proofErr w:type="spellStart"/>
      <w:r w:rsidRPr="00175F8B">
        <w:t>ordrebokssystem</w:t>
      </w:r>
      <w:proofErr w:type="spellEnd"/>
      <w:r w:rsidRPr="00175F8B">
        <w:t xml:space="preserve"> eller et periodisk auksjonshandelssystem, offentliggjøre aktuelle kjøps- og salgspriser og ordredybden ved disse prisene, som vises i deres systemer for obligasjoner, strukturerte finansielle produkter og utslippskvoter. Opplysningene skal løpende stilles til rådighet for offentligheten innenfor normal åpningstid. Transparenskravene tilpasses de ulike typene handelssystemer. Det gjøres imidlertid ikke endringer i</w:t>
      </w:r>
      <w:r w:rsidRPr="00175F8B">
        <w:t xml:space="preserve"> innholdet i kravene. Unntak fra transparenskravene behandles i kapittel 4.3.4.</w:t>
      </w:r>
    </w:p>
    <w:p w14:paraId="391D158C" w14:textId="77777777" w:rsidR="00080633" w:rsidRPr="00175F8B" w:rsidRDefault="00080633" w:rsidP="00175F8B">
      <w:pPr>
        <w:pStyle w:val="Overskrift3"/>
      </w:pPr>
      <w:r w:rsidRPr="00175F8B">
        <w:t>Endringer i transparensregelverket for derivater (pre-trade)</w:t>
      </w:r>
    </w:p>
    <w:p w14:paraId="2BD0801E" w14:textId="77777777" w:rsidR="00080633" w:rsidRPr="00175F8B" w:rsidRDefault="00080633" w:rsidP="00175F8B">
      <w:r w:rsidRPr="00175F8B">
        <w:t>Virkeområdet for transparensreglene for derivater endres. Etter dagens regler faller derivater inn under transparensregimet for «non-</w:t>
      </w:r>
      <w:proofErr w:type="spellStart"/>
      <w:r w:rsidRPr="00175F8B">
        <w:t>equities</w:t>
      </w:r>
      <w:proofErr w:type="spellEnd"/>
      <w:r w:rsidRPr="00175F8B">
        <w:t xml:space="preserve">». Transparensregimet for disse finansielle instrumentene beror på hvorvidt instrumentene er handlet på handelsplass eller ikke. For visse typer derivater har dette vist seg vanskelig på grunn av at derivatene er lite fungible og mangler egnende identifiserbare referansedata. På denne bakgrunn fremholder fortalen til forordning 2024/791 avsnitt 8, at transparenskrav knyttet til derivater ikke lenger bør bero på om derivatet er handlet på handelsplass eller ikke, men heller knytte seg til derivatets </w:t>
      </w:r>
      <w:r w:rsidRPr="00175F8B">
        <w:t>karakteristika:</w:t>
      </w:r>
    </w:p>
    <w:p w14:paraId="78CFCAB9" w14:textId="77777777" w:rsidR="00080633" w:rsidRPr="00175F8B" w:rsidRDefault="00080633" w:rsidP="00175F8B">
      <w:pPr>
        <w:pStyle w:val="blokksit"/>
      </w:pPr>
      <w:r w:rsidRPr="00175F8B">
        <w:t xml:space="preserve">«The derivatives should be subject to the transparency requirements regardless of whether they are traded on or off venue. The transparency requirements should apply to derivatives that are sufficiently standardised for the data published in relation to them to be meaningful for market participants beyond the contracting </w:t>
      </w:r>
      <w:proofErr w:type="gramStart"/>
      <w:r w:rsidRPr="00175F8B">
        <w:t>parties.»</w:t>
      </w:r>
      <w:proofErr w:type="gramEnd"/>
      <w:r w:rsidRPr="00175F8B">
        <w:t> </w:t>
      </w:r>
    </w:p>
    <w:p w14:paraId="56A11484" w14:textId="77777777" w:rsidR="00080633" w:rsidRPr="00175F8B" w:rsidRDefault="00080633" w:rsidP="00175F8B">
      <w:r w:rsidRPr="00175F8B">
        <w:t>Dette innebærer ifølge fortalen at børshandlede derivater fortsatt skal være gjenstand for transparenskrav. For handel i andre derivater stilles det krav til transparens dersom derivatet faller inn under clearingplikten i forordning EU/648/2012 (EMIR), ettersom en viss grad av standardisering er en forutsetning for clearing. Transaksjoner som anses uegnet for clearingplikt, slik som konserninterne transaksjoner, blir ikke underlagt transparenskravene.</w:t>
      </w:r>
    </w:p>
    <w:p w14:paraId="7C9CE8C9" w14:textId="77777777" w:rsidR="00080633" w:rsidRPr="00175F8B" w:rsidRDefault="00080633" w:rsidP="00175F8B">
      <w:r w:rsidRPr="00175F8B">
        <w:t>Endringen medfører at derivater tas ut av transparensbestemmelsene knyttet til «non-</w:t>
      </w:r>
      <w:proofErr w:type="spellStart"/>
      <w:r w:rsidRPr="00175F8B">
        <w:t>equities</w:t>
      </w:r>
      <w:proofErr w:type="spellEnd"/>
      <w:r w:rsidRPr="00175F8B">
        <w:t xml:space="preserve">» og inn i en egen bestemmelse i </w:t>
      </w:r>
      <w:proofErr w:type="spellStart"/>
      <w:r w:rsidRPr="00175F8B">
        <w:t>MiFIR</w:t>
      </w:r>
      <w:proofErr w:type="spellEnd"/>
      <w:r w:rsidRPr="00175F8B">
        <w:t xml:space="preserve"> ny artikkel 8a. Etter artikkel 8a nr. 1 skal markedsoperatører som driver et regulert marked med et ordreboksystem eller et periodisk auksjonshandelssystem, offentliggjøre alle aktuelle kjøps- og salgspriser samt ordredybden ved disse prisene, som kunngjøres gjennom deres systemer for børshandlede derivater. Opplysningene skal stilles til rådighet for offentligheten innenfor normal åpningstid.</w:t>
      </w:r>
    </w:p>
    <w:p w14:paraId="2A9B693F" w14:textId="77777777" w:rsidR="00080633" w:rsidRPr="00175F8B" w:rsidRDefault="00080633" w:rsidP="00175F8B">
      <w:r w:rsidRPr="00175F8B">
        <w:t>Andre derivater, det vil si derivater som ikke er børshandlede deriv</w:t>
      </w:r>
      <w:r w:rsidRPr="00175F8B">
        <w:t xml:space="preserve">ater og som er denominert i nærmere angitte valutaer, skal være underlagt de samme transparenskravene der de faller inn under virkeområdet til clearingplikten etter EMIR, se </w:t>
      </w:r>
      <w:proofErr w:type="spellStart"/>
      <w:r w:rsidRPr="00175F8B">
        <w:t>MiFIR</w:t>
      </w:r>
      <w:proofErr w:type="spellEnd"/>
      <w:r w:rsidRPr="00175F8B">
        <w:t xml:space="preserve"> artikkel 8a nr. 2 bokstav a. Det inntas samtidig en definisjon av OTC-derivater i </w:t>
      </w:r>
      <w:proofErr w:type="spellStart"/>
      <w:r w:rsidRPr="00175F8B">
        <w:t>MiFIR</w:t>
      </w:r>
      <w:proofErr w:type="spellEnd"/>
      <w:r w:rsidRPr="00175F8B">
        <w:t xml:space="preserve"> artikkel 2 nr. 32a, som viser til definisjonen av OTC-derivater i EMIR.</w:t>
      </w:r>
    </w:p>
    <w:p w14:paraId="2721640A" w14:textId="77777777" w:rsidR="00080633" w:rsidRPr="00175F8B" w:rsidRDefault="00080633" w:rsidP="00175F8B">
      <w:r w:rsidRPr="00175F8B">
        <w:t>Fortalen avsnitt 8 fremholder at nylige markedsbegivenheter har vist at manglende transparens i visse typer «</w:t>
      </w:r>
      <w:proofErr w:type="spellStart"/>
      <w:r w:rsidRPr="00175F8B">
        <w:t>credit</w:t>
      </w:r>
      <w:proofErr w:type="spellEnd"/>
      <w:r w:rsidRPr="00175F8B">
        <w:t xml:space="preserve"> </w:t>
      </w:r>
      <w:proofErr w:type="spellStart"/>
      <w:r w:rsidRPr="00175F8B">
        <w:t>default</w:t>
      </w:r>
      <w:proofErr w:type="spellEnd"/>
      <w:r w:rsidRPr="00175F8B">
        <w:t xml:space="preserve"> </w:t>
      </w:r>
      <w:proofErr w:type="spellStart"/>
      <w:r w:rsidRPr="00175F8B">
        <w:t>swaps</w:t>
      </w:r>
      <w:proofErr w:type="spellEnd"/>
      <w:r w:rsidRPr="00175F8B">
        <w:t xml:space="preserve">» (CDS) som refererer seg til globale, systemviktige banker eller til en indeks som omfatter slike banker, kan øke spekulasjonen rundt slike bankers kredittverdighet. Det innføres derfor særskilte regler for denne typen derivater. </w:t>
      </w:r>
      <w:proofErr w:type="spellStart"/>
      <w:r w:rsidRPr="00175F8B">
        <w:t>CDSer</w:t>
      </w:r>
      <w:proofErr w:type="spellEnd"/>
      <w:r w:rsidRPr="00175F8B">
        <w:t xml:space="preserve"> skal </w:t>
      </w:r>
      <w:proofErr w:type="gramStart"/>
      <w:r w:rsidRPr="00175F8B">
        <w:t>således</w:t>
      </w:r>
      <w:proofErr w:type="gramEnd"/>
      <w:r w:rsidRPr="00175F8B">
        <w:t xml:space="preserve"> være underlagt transparenskrav hvis de </w:t>
      </w:r>
      <w:proofErr w:type="spellStart"/>
      <w:r w:rsidRPr="00175F8B">
        <w:t>cleares</w:t>
      </w:r>
      <w:proofErr w:type="spellEnd"/>
      <w:r w:rsidRPr="00175F8B">
        <w:t xml:space="preserve"> sentralt, selv om de ikke er underlagt clearingplikt, se </w:t>
      </w:r>
      <w:proofErr w:type="spellStart"/>
      <w:r w:rsidRPr="00175F8B">
        <w:t>MiFIR</w:t>
      </w:r>
      <w:proofErr w:type="spellEnd"/>
      <w:r w:rsidRPr="00175F8B">
        <w:t xml:space="preserve"> artikkel 8a nr. 2 bokstav b og c.</w:t>
      </w:r>
    </w:p>
    <w:p w14:paraId="4707986B" w14:textId="77777777" w:rsidR="00080633" w:rsidRPr="00175F8B" w:rsidRDefault="00080633" w:rsidP="00175F8B">
      <w:r w:rsidRPr="00175F8B">
        <w:t xml:space="preserve">Videre følger det av </w:t>
      </w:r>
      <w:proofErr w:type="spellStart"/>
      <w:r w:rsidRPr="00175F8B">
        <w:t>MiFIR</w:t>
      </w:r>
      <w:proofErr w:type="spellEnd"/>
      <w:r w:rsidRPr="00175F8B">
        <w:t xml:space="preserve"> artikkel 8a nr. 3 at transparenskravene i nr. 1 og 2, skal tilpasses til ulike typer handelsplasser.</w:t>
      </w:r>
    </w:p>
    <w:p w14:paraId="096F10F9" w14:textId="77777777" w:rsidR="00080633" w:rsidRPr="00175F8B" w:rsidRDefault="00080633" w:rsidP="00175F8B">
      <w:r w:rsidRPr="00175F8B">
        <w:t xml:space="preserve">Kommisjonen gis fullmakt til å endre betingelsene for å fastslå hvilke derivater som skal være underlagt transparenskravene, dersom utviklingen i markedet krever det, jf. </w:t>
      </w:r>
      <w:proofErr w:type="spellStart"/>
      <w:r w:rsidRPr="00175F8B">
        <w:t>MiFIR</w:t>
      </w:r>
      <w:proofErr w:type="spellEnd"/>
      <w:r w:rsidRPr="00175F8B">
        <w:t xml:space="preserve"> artikkel 8a nr. 4.</w:t>
      </w:r>
    </w:p>
    <w:p w14:paraId="04EADA9B" w14:textId="77777777" w:rsidR="00080633" w:rsidRPr="00175F8B" w:rsidRDefault="00080633" w:rsidP="00175F8B">
      <w:r w:rsidRPr="00175F8B">
        <w:lastRenderedPageBreak/>
        <w:t>Pre-trade transparenskrav for pakkeordre (</w:t>
      </w:r>
      <w:proofErr w:type="spellStart"/>
      <w:r w:rsidRPr="00175F8B">
        <w:t>package</w:t>
      </w:r>
      <w:proofErr w:type="spellEnd"/>
      <w:r w:rsidRPr="00175F8B">
        <w:t xml:space="preserve"> </w:t>
      </w:r>
      <w:proofErr w:type="spellStart"/>
      <w:r w:rsidRPr="00175F8B">
        <w:t>orders</w:t>
      </w:r>
      <w:proofErr w:type="spellEnd"/>
      <w:r w:rsidRPr="00175F8B">
        <w:t xml:space="preserve">) inngikk i tidligere </w:t>
      </w:r>
      <w:proofErr w:type="spellStart"/>
      <w:r w:rsidRPr="00175F8B">
        <w:t>MiFIR</w:t>
      </w:r>
      <w:proofErr w:type="spellEnd"/>
      <w:r w:rsidRPr="00175F8B">
        <w:t xml:space="preserve"> artikkel 8, men er nå skilt ut i en egen bestemmelse i </w:t>
      </w:r>
      <w:proofErr w:type="spellStart"/>
      <w:r w:rsidRPr="00175F8B">
        <w:t>MiFIR</w:t>
      </w:r>
      <w:proofErr w:type="spellEnd"/>
      <w:r w:rsidRPr="00175F8B">
        <w:t xml:space="preserve"> ny artikkel 8b.</w:t>
      </w:r>
    </w:p>
    <w:p w14:paraId="40D11DFD" w14:textId="77777777" w:rsidR="00080633" w:rsidRPr="00175F8B" w:rsidRDefault="00080633" w:rsidP="00175F8B">
      <w:r w:rsidRPr="00175F8B">
        <w:t>Etter den nye bestemmelsen skal handelsplasser som benytter seg av et ordreboksystem eller et periodisk auksjonshandelssystem, offentliggjøre aktuelle kjøps- og salgskurser og markedsdybden ved disse prisene. Informasjonen kunngjøres via handelsplassens systemer for pakkeordre som består av obligasjoner, strukturerte finansielle produkter, utslippskvoter og derivater. Opplysningene skal løp</w:t>
      </w:r>
      <w:r w:rsidRPr="00175F8B">
        <w:t>ende stilles til rådighet for offentligheten innenfor normal åpningstid. Transparenskravene tilpasses de ulike typer handelssystemene.</w:t>
      </w:r>
    </w:p>
    <w:p w14:paraId="317836CC" w14:textId="77777777" w:rsidR="00080633" w:rsidRPr="00175F8B" w:rsidRDefault="00080633" w:rsidP="00175F8B">
      <w:pPr>
        <w:pStyle w:val="Overskrift3"/>
      </w:pPr>
      <w:r w:rsidRPr="00175F8B">
        <w:t>Unntak for obligasjoner, strukturerte finansielle produkter, utslippskvoter, derivater og pakkeordre</w:t>
      </w:r>
    </w:p>
    <w:p w14:paraId="6BDAF950" w14:textId="77777777" w:rsidR="00080633" w:rsidRPr="00175F8B" w:rsidRDefault="00080633" w:rsidP="00175F8B">
      <w:proofErr w:type="spellStart"/>
      <w:r w:rsidRPr="00175F8B">
        <w:t>MiFIR</w:t>
      </w:r>
      <w:proofErr w:type="spellEnd"/>
      <w:r w:rsidRPr="00175F8B">
        <w:t xml:space="preserve"> artikkel 9 gir fortsatt felles regler om tilsynsmyndigheters mulighet til å gjøre unntak fra transparensforpliktelsene for obligasjoner, strukturerte finansielle produkter, utslippskvoter, derivater og pakkeordre, se artikkel 9 nr. 1. Bestemmelsen justeres for å reflektere endringene omtalt i kapittel 4.3.2 og 4.3.3. Unntak som ikke lenger er aktuelle, oppheves, og ordlyden i bestemmelsen tilpasses at derivatene og pakkeordre er skilt ut i egne bestemmelser.</w:t>
      </w:r>
    </w:p>
    <w:p w14:paraId="4A9B5DA9" w14:textId="77777777" w:rsidR="00080633" w:rsidRPr="00175F8B" w:rsidRDefault="00080633" w:rsidP="00175F8B">
      <w:r w:rsidRPr="00175F8B">
        <w:t>Definisjonen av et «likvid marked» i relasjon ti</w:t>
      </w:r>
      <w:r w:rsidRPr="00175F8B">
        <w:t xml:space="preserve">l </w:t>
      </w:r>
      <w:proofErr w:type="spellStart"/>
      <w:r w:rsidRPr="00175F8B">
        <w:t>MiFIR</w:t>
      </w:r>
      <w:proofErr w:type="spellEnd"/>
      <w:r w:rsidRPr="00175F8B">
        <w:t xml:space="preserve"> artikkel 9, 11 og 11a i </w:t>
      </w:r>
      <w:proofErr w:type="spellStart"/>
      <w:r w:rsidRPr="00175F8B">
        <w:t>MiFIR</w:t>
      </w:r>
      <w:proofErr w:type="spellEnd"/>
      <w:r w:rsidRPr="00175F8B">
        <w:t xml:space="preserve"> artikkel 2 nr. 17 a endres. Endringen har betydning for </w:t>
      </w:r>
      <w:proofErr w:type="gramStart"/>
      <w:r w:rsidRPr="00175F8B">
        <w:t>anvendelsen</w:t>
      </w:r>
      <w:proofErr w:type="gramEnd"/>
      <w:r w:rsidRPr="00175F8B">
        <w:t xml:space="preserve"> av unntaket for situasjoner der det ikke finnes et likvid marked i artikkel 9 nr. 1 bokstav c. Endringen kan få betydning for både pre- og post-trade transparens for enkeltinstrumenter, og hvorvidt de havner i kategorien for likvid eller ikke-likvid. I motsetning til tidligere definisjon, skiller den nye definisjonen mellom markedet for obligasjoner og markedet for strukturerte finansielle produkter og </w:t>
      </w:r>
      <w:r w:rsidRPr="00175F8B">
        <w:t xml:space="preserve">utslippskvoter. Om markedet for obligasjoner er «likvid» avgjøres etter ny definisjonen kun ut fra om det på kontinuerlig basis er parate og villige kjøpere, der markedet vurderes ut fra størrelsen på obligasjonsutstedelsen. Etter tidligere definisjon skulle det også tas hensyn til antall og størrelse på transaksjoner, gjennomsnittlig </w:t>
      </w:r>
      <w:proofErr w:type="spellStart"/>
      <w:r w:rsidRPr="00175F8B">
        <w:t>spread</w:t>
      </w:r>
      <w:proofErr w:type="spellEnd"/>
      <w:r w:rsidRPr="00175F8B">
        <w:t xml:space="preserve"> og antall og type deltakere i markedet. For øvrige instrumenter opprettholdes definisjonen, med den endring at det i tillegg til allerede fastsatte momenter, skal tas h</w:t>
      </w:r>
      <w:r w:rsidRPr="00175F8B">
        <w:t>ensyn til størrelsen på utstedelsen der det er relevant.</w:t>
      </w:r>
    </w:p>
    <w:p w14:paraId="4564EFF1" w14:textId="46B6570D" w:rsidR="00080633" w:rsidRPr="00175F8B" w:rsidRDefault="00080633" w:rsidP="00175F8B">
      <w:r w:rsidRPr="00175F8B">
        <w:t xml:space="preserve">Som en konsekvens av endringene i </w:t>
      </w:r>
      <w:proofErr w:type="spellStart"/>
      <w:r w:rsidRPr="00175F8B">
        <w:t>MiFIR</w:t>
      </w:r>
      <w:proofErr w:type="spellEnd"/>
      <w:r w:rsidRPr="00175F8B">
        <w:t xml:space="preserve"> artikkel 9, må også nivå 2-regelverket om transparens for obligasjoner, strukturerte produkter, utslippskvoter og derivater endres. ESMA har derfor sendt forslag til endringer i kommisjonsforordning 2017/583 (RTS 2) på høring. Endringene omfatter transparensregimet for obligasjoner, strukturerte produkter og utslippskvoter. ESMA planlegger å sende forslag til endringer i nivå 2</w:t>
      </w:r>
      <w:r w:rsidR="00175F8B">
        <w:t>-</w:t>
      </w:r>
      <w:r w:rsidRPr="00175F8B">
        <w:t>regelverket om transparens for derivater på høring i fjerde kvartal 2024.</w:t>
      </w:r>
    </w:p>
    <w:p w14:paraId="4C55B855" w14:textId="77777777" w:rsidR="00080633" w:rsidRPr="00175F8B" w:rsidRDefault="00080633" w:rsidP="00175F8B">
      <w:pPr>
        <w:pStyle w:val="Overskrift3"/>
      </w:pPr>
      <w:r w:rsidRPr="00175F8B">
        <w:t>Post-trade transparens for obligasjoner, strukturerte finansielle produkter, utslippskvoter og derivater</w:t>
      </w:r>
    </w:p>
    <w:p w14:paraId="0F8D6F2C" w14:textId="77777777" w:rsidR="00080633" w:rsidRPr="00175F8B" w:rsidRDefault="00080633" w:rsidP="00175F8B">
      <w:r w:rsidRPr="00175F8B">
        <w:t xml:space="preserve">Ordlyden i </w:t>
      </w:r>
      <w:proofErr w:type="spellStart"/>
      <w:r w:rsidRPr="00175F8B">
        <w:t>MiFIR</w:t>
      </w:r>
      <w:proofErr w:type="spellEnd"/>
      <w:r w:rsidRPr="00175F8B">
        <w:t xml:space="preserve"> artikkel 10 nr. 1 om post-trade transparens justeres for å reflektere at derivater er skilt ut i en egen gruppe instrumenter. Reglene gjelder imidlertid uendret for både obligasjoner, strukturerte finansielle produkter, utslippskvoter og derivater som omfattes av </w:t>
      </w:r>
      <w:proofErr w:type="spellStart"/>
      <w:r w:rsidRPr="00175F8B">
        <w:t>MiFIR</w:t>
      </w:r>
      <w:proofErr w:type="spellEnd"/>
      <w:r w:rsidRPr="00175F8B">
        <w:t xml:space="preserve"> ny artikkel 8a.</w:t>
      </w:r>
    </w:p>
    <w:p w14:paraId="3FEE99BD" w14:textId="77777777" w:rsidR="00080633" w:rsidRPr="00175F8B" w:rsidRDefault="00080633" w:rsidP="00175F8B">
      <w:r w:rsidRPr="00175F8B">
        <w:t xml:space="preserve">Det innføres en ny bestemmelse i </w:t>
      </w:r>
      <w:proofErr w:type="spellStart"/>
      <w:r w:rsidRPr="00175F8B">
        <w:t>MiFIR</w:t>
      </w:r>
      <w:proofErr w:type="spellEnd"/>
      <w:r w:rsidRPr="00175F8B">
        <w:t xml:space="preserve"> artikkel 10 nr. 3 som presiserer at opplysningene skal stilles til rådighet for hver komponent i en pakketransaksjon så tett på realtid som teknisk mulig, sett hen til behovet for å allokere priser til bestemte finansielle instrumenter. Komponentene skal merkes, slik at det </w:t>
      </w:r>
      <w:proofErr w:type="gramStart"/>
      <w:r w:rsidRPr="00175F8B">
        <w:t>fremgår</w:t>
      </w:r>
      <w:proofErr w:type="gramEnd"/>
      <w:r w:rsidRPr="00175F8B">
        <w:t xml:space="preserve"> at de tilhører en pakke. </w:t>
      </w:r>
      <w:proofErr w:type="gramStart"/>
      <w:r w:rsidRPr="00175F8B">
        <w:t>Såfremt</w:t>
      </w:r>
      <w:proofErr w:type="gramEnd"/>
      <w:r w:rsidRPr="00175F8B">
        <w:t xml:space="preserve"> en komponent i en pakketransaksjon oppfyller krav om utsatt offentliggjøring, jf. </w:t>
      </w:r>
      <w:proofErr w:type="spellStart"/>
      <w:r w:rsidRPr="00175F8B">
        <w:t>MiFIR</w:t>
      </w:r>
      <w:proofErr w:type="spellEnd"/>
      <w:r w:rsidRPr="00175F8B">
        <w:t xml:space="preserve"> artikkel 11 eller 11a, skal opplysningene om komponenten gjøres tilgjengelige når utsettelsesperioden </w:t>
      </w:r>
      <w:r w:rsidRPr="00175F8B">
        <w:t>for transaksjonen utløper.</w:t>
      </w:r>
    </w:p>
    <w:p w14:paraId="3F8CCEB0" w14:textId="77777777" w:rsidR="00080633" w:rsidRPr="00175F8B" w:rsidRDefault="00080633" w:rsidP="00175F8B">
      <w:pPr>
        <w:pStyle w:val="Overskrift3"/>
      </w:pPr>
      <w:r w:rsidRPr="00175F8B">
        <w:t>Regimet for utsatt offentliggjøring for obligasjoner, strukturerte finansielle produkter og utslippskvoter</w:t>
      </w:r>
    </w:p>
    <w:p w14:paraId="17E2066A" w14:textId="77777777" w:rsidR="00080633" w:rsidRPr="00175F8B" w:rsidRDefault="00080633" w:rsidP="00175F8B">
      <w:pPr>
        <w:pStyle w:val="Overskrift4"/>
      </w:pPr>
      <w:r w:rsidRPr="00175F8B">
        <w:t>Endringer i utsettelsesregimet</w:t>
      </w:r>
    </w:p>
    <w:p w14:paraId="551CC721" w14:textId="77777777" w:rsidR="00080633" w:rsidRPr="00175F8B" w:rsidRDefault="00080633" w:rsidP="00175F8B">
      <w:r w:rsidRPr="00175F8B">
        <w:t xml:space="preserve">Utsettelsesregimet for derivater skilles ut i en egen bestemmelse i </w:t>
      </w:r>
      <w:proofErr w:type="spellStart"/>
      <w:r w:rsidRPr="00175F8B">
        <w:t>MiFIR</w:t>
      </w:r>
      <w:proofErr w:type="spellEnd"/>
      <w:r w:rsidRPr="00175F8B">
        <w:t xml:space="preserve"> ny artikkel 11a, se omtale i kapittel 4.3.7. Reglene om utsatt offentliggjøring for obligasjoner, strukturerte finansielle produkter og utslippskvo</w:t>
      </w:r>
      <w:r w:rsidRPr="00175F8B">
        <w:lastRenderedPageBreak/>
        <w:t xml:space="preserve">ter endres også på flere punkter. Begrunnelsen for endringene </w:t>
      </w:r>
      <w:proofErr w:type="gramStart"/>
      <w:r w:rsidRPr="00175F8B">
        <w:t>fremkommer</w:t>
      </w:r>
      <w:proofErr w:type="gramEnd"/>
      <w:r w:rsidRPr="00175F8B">
        <w:t xml:space="preserve"> i fortalen til forordning 2024/791 avsnitt 9 og 10.</w:t>
      </w:r>
    </w:p>
    <w:p w14:paraId="4C1026C9" w14:textId="77777777" w:rsidR="00080633" w:rsidRPr="00175F8B" w:rsidRDefault="00080633" w:rsidP="00175F8B">
      <w:r w:rsidRPr="00175F8B">
        <w:t xml:space="preserve">Etter </w:t>
      </w:r>
      <w:proofErr w:type="spellStart"/>
      <w:r w:rsidRPr="00175F8B">
        <w:t>MiFIR</w:t>
      </w:r>
      <w:proofErr w:type="spellEnd"/>
      <w:r w:rsidRPr="00175F8B">
        <w:t xml:space="preserve"> artikkel 11 har det vært overlatt til nasjonale tilsynsmyndigheters skjønn å fastsette tidsintervallet for den utsatte offentliggjøringen, samt detaljene rundt transaksjonen som skal utsettes. Fortalen avsnitt 9 fremholder at dette har ført til en uensartet praksis blant medlemsstatene og gjort transparensregimet </w:t>
      </w:r>
      <w:proofErr w:type="spellStart"/>
      <w:r w:rsidRPr="00175F8B">
        <w:t>inneffektivt</w:t>
      </w:r>
      <w:proofErr w:type="spellEnd"/>
      <w:r w:rsidRPr="00175F8B">
        <w:t xml:space="preserve"> og komplekst. For å sikre transparens for alle investorer, harmoniseres utsettelsesregimet på unionsnivå.</w:t>
      </w:r>
    </w:p>
    <w:p w14:paraId="22ACD925" w14:textId="77777777" w:rsidR="00080633" w:rsidRPr="00175F8B" w:rsidRDefault="00080633" w:rsidP="00175F8B">
      <w:r w:rsidRPr="00175F8B">
        <w:t xml:space="preserve">Etter </w:t>
      </w:r>
      <w:proofErr w:type="spellStart"/>
      <w:r w:rsidRPr="00175F8B">
        <w:t>MiFIR</w:t>
      </w:r>
      <w:proofErr w:type="spellEnd"/>
      <w:r w:rsidRPr="00175F8B">
        <w:t xml:space="preserve"> ny artikkel 11 skal ikke lenger nasjonale tilsynsmyndigheter gi tillatelse til utsatt offentliggjøring. Utsettelse vil heretter kunne besluttes av den relevante handelsplassen etter fullharmoniserte regler gitt i </w:t>
      </w:r>
      <w:proofErr w:type="spellStart"/>
      <w:r w:rsidRPr="00175F8B">
        <w:t>MiFIR</w:t>
      </w:r>
      <w:proofErr w:type="spellEnd"/>
      <w:r w:rsidRPr="00175F8B">
        <w:t xml:space="preserve"> artikkel 11 og i nivå-2 regelverket. Tilsynsmyndighetene har fremdeles myndighet til å tillate utsatt offentliggjøring for statsgjeld, se omtale i kapittel 4.3.6.2.</w:t>
      </w:r>
    </w:p>
    <w:p w14:paraId="5C131809" w14:textId="77777777" w:rsidR="00080633" w:rsidRPr="00175F8B" w:rsidRDefault="00080633" w:rsidP="00175F8B">
      <w:r w:rsidRPr="00175F8B">
        <w:t xml:space="preserve">Etter </w:t>
      </w:r>
      <w:proofErr w:type="spellStart"/>
      <w:r w:rsidRPr="00175F8B">
        <w:t>MiFIR</w:t>
      </w:r>
      <w:proofErr w:type="spellEnd"/>
      <w:r w:rsidRPr="00175F8B">
        <w:t xml:space="preserve"> artikkel 11 nr. 1 skal markedsoperatører og verdipapirforetak som driver en handelsplass, gi klare opplysninger om ordningene</w:t>
      </w:r>
      <w:r w:rsidRPr="00175F8B">
        <w:t xml:space="preserve"> for utsatt offentliggjøring til markedsdeltakerne og offentligheten. ESMA skal overvåke bruken av disse ordningene og </w:t>
      </w:r>
      <w:proofErr w:type="gramStart"/>
      <w:r w:rsidRPr="00175F8B">
        <w:t>avgi</w:t>
      </w:r>
      <w:proofErr w:type="gramEnd"/>
      <w:r w:rsidRPr="00175F8B">
        <w:t xml:space="preserve"> en rapport om bruken til Kommisjonen annet hvert år.</w:t>
      </w:r>
    </w:p>
    <w:p w14:paraId="638E08EE" w14:textId="77777777" w:rsidR="00080633" w:rsidRPr="00175F8B" w:rsidRDefault="00080633" w:rsidP="00175F8B">
      <w:r w:rsidRPr="00175F8B">
        <w:t>Fortalen avsnitt 10 omtaler den nærmere innretningen av utsettelsesregimet:</w:t>
      </w:r>
    </w:p>
    <w:p w14:paraId="5AF96F5F" w14:textId="77777777" w:rsidR="00080633" w:rsidRPr="00175F8B" w:rsidRDefault="00080633" w:rsidP="00175F8B">
      <w:pPr>
        <w:pStyle w:val="blokksit"/>
      </w:pPr>
      <w:r w:rsidRPr="00175F8B">
        <w:t xml:space="preserve">«To ensure an adequate level of transparency, the price and the volume of transactions executed in respect of bonds, structured finance products and emission allowances should be made public as close to real time as technically possible. In order not to expose liquidity providers in such transactions to undue risk, it should be possible to defer the publication of certain details of the transactions. The categories of transactions for which deferrals are allowed should be determined </w:t>
      </w:r>
      <w:proofErr w:type="gramStart"/>
      <w:r w:rsidRPr="00175F8B">
        <w:t>taking into account</w:t>
      </w:r>
      <w:proofErr w:type="gramEnd"/>
      <w:r w:rsidRPr="00175F8B">
        <w:t xml:space="preserve"> the size of the transactions and the liquidity of the financial instruments concerned. The exact details of the deferral regime should be determined by means of regulatory technical standards, which should be regularly reviewed </w:t>
      </w:r>
      <w:proofErr w:type="gramStart"/>
      <w:r w:rsidRPr="00175F8B">
        <w:t>in order to</w:t>
      </w:r>
      <w:proofErr w:type="gramEnd"/>
      <w:r w:rsidRPr="00175F8B">
        <w:t xml:space="preserve"> gradually decrease the applicable deferral duration. </w:t>
      </w:r>
      <w:proofErr w:type="gramStart"/>
      <w:r w:rsidRPr="00175F8B">
        <w:t>For the purpose of</w:t>
      </w:r>
      <w:proofErr w:type="gramEnd"/>
      <w:r w:rsidRPr="00175F8B">
        <w:t xml:space="preserve"> having a more stable transparency regime, a static determination of liquidity for bonds, structured finance products and emission allowances, or classes thereof, is needed. …»</w:t>
      </w:r>
    </w:p>
    <w:p w14:paraId="2E327258" w14:textId="77777777" w:rsidR="00080633" w:rsidRPr="00175F8B" w:rsidRDefault="00080633" w:rsidP="00175F8B">
      <w:r w:rsidRPr="00175F8B">
        <w:t xml:space="preserve">Mye av reguleringen for utsettelsesregimet vil gis i nivå-2 regelverket. </w:t>
      </w:r>
      <w:proofErr w:type="spellStart"/>
      <w:r w:rsidRPr="00175F8B">
        <w:t>MiFIR</w:t>
      </w:r>
      <w:proofErr w:type="spellEnd"/>
      <w:r w:rsidRPr="00175F8B">
        <w:t xml:space="preserve"> artikkel 11 nr. 1a gir imidlertid overordnede regler for ordningene for utsatt offentliggjøring for </w:t>
      </w:r>
      <w:r w:rsidRPr="00175F8B">
        <w:rPr>
          <w:rStyle w:val="kursiv"/>
        </w:rPr>
        <w:t>obligasjoner og relevante underklasser</w:t>
      </w:r>
      <w:r w:rsidRPr="00175F8B">
        <w:t>. Etter bestemmelsen skal ordningen tilrettelegges ved bruk av fem standardkategorier:</w:t>
      </w:r>
    </w:p>
    <w:p w14:paraId="605963D9" w14:textId="77777777" w:rsidR="00080633" w:rsidRPr="00175F8B" w:rsidRDefault="00080633" w:rsidP="00175F8B">
      <w:pPr>
        <w:pStyle w:val="alfaliste"/>
        <w:numPr>
          <w:ilvl w:val="0"/>
          <w:numId w:val="21"/>
        </w:numPr>
      </w:pPr>
      <w:r w:rsidRPr="00175F8B">
        <w:t>Kategori 1: mellomstore transaksjoner i et finansielt instrument hvor det er et likvid marked</w:t>
      </w:r>
    </w:p>
    <w:p w14:paraId="6058596A" w14:textId="77777777" w:rsidR="00080633" w:rsidRPr="00175F8B" w:rsidRDefault="00080633" w:rsidP="00175F8B">
      <w:pPr>
        <w:pStyle w:val="alfaliste"/>
      </w:pPr>
      <w:r w:rsidRPr="00175F8B">
        <w:t>Kategori 2: mellomstore transaksjoner i et finansielt instrument hvor det ikke er et likvid marked</w:t>
      </w:r>
    </w:p>
    <w:p w14:paraId="386B32B1" w14:textId="77777777" w:rsidR="00080633" w:rsidRPr="00175F8B" w:rsidRDefault="00080633" w:rsidP="00175F8B">
      <w:pPr>
        <w:pStyle w:val="alfaliste"/>
      </w:pPr>
      <w:r w:rsidRPr="00175F8B">
        <w:t>Kategori 3: store transaksjoner i et finansielt instrument hvor det er et likvid marked</w:t>
      </w:r>
    </w:p>
    <w:p w14:paraId="03847B75" w14:textId="77777777" w:rsidR="00080633" w:rsidRPr="00175F8B" w:rsidRDefault="00080633" w:rsidP="00175F8B">
      <w:pPr>
        <w:pStyle w:val="alfaliste"/>
      </w:pPr>
      <w:r w:rsidRPr="00175F8B">
        <w:t>Kategori 4: store transaksjoner i et finansielt instrument hvor det ikke er et likvid marked</w:t>
      </w:r>
    </w:p>
    <w:p w14:paraId="0C80F21A" w14:textId="77777777" w:rsidR="00080633" w:rsidRPr="00175F8B" w:rsidRDefault="00080633" w:rsidP="00175F8B">
      <w:pPr>
        <w:pStyle w:val="alfaliste"/>
      </w:pPr>
      <w:r w:rsidRPr="00175F8B">
        <w:t>Kategori 5: svært store transaksjoner</w:t>
      </w:r>
    </w:p>
    <w:p w14:paraId="49D48492" w14:textId="77777777" w:rsidR="00080633" w:rsidRPr="00175F8B" w:rsidRDefault="00080633" w:rsidP="00175F8B">
      <w:r w:rsidRPr="00175F8B">
        <w:t>Som nevnt i kapittel 4.3.4 gis det en ny definisjon av likvid marked i artikkel 2 nr. 17 bokstav a som, i motsetning til tidligere definisjon, skiller mellom markedet for obligasjoner og markedet for strukturerte finansielle produkter og utslippskvoter.</w:t>
      </w:r>
    </w:p>
    <w:p w14:paraId="78EEA68F" w14:textId="77777777" w:rsidR="00080633" w:rsidRPr="00175F8B" w:rsidRDefault="00080633" w:rsidP="00175F8B">
      <w:r w:rsidRPr="00175F8B">
        <w:t xml:space="preserve">Ordningene for utsatt offentliggjøring for </w:t>
      </w:r>
      <w:r w:rsidRPr="00175F8B">
        <w:rPr>
          <w:rStyle w:val="kursiv"/>
        </w:rPr>
        <w:t>strukturerte finansielle produkter og utslippskvoter og relevante underklasser</w:t>
      </w:r>
      <w:r w:rsidRPr="00175F8B">
        <w:t>, skal i sin helhet utarbeides i henhold til nivå 2-regelverk som skal etableres i samsvar med bestemmelsens nr. 4 bokstav g.</w:t>
      </w:r>
    </w:p>
    <w:p w14:paraId="7678ADC3" w14:textId="77777777" w:rsidR="00080633" w:rsidRPr="00175F8B" w:rsidRDefault="00080633" w:rsidP="00175F8B">
      <w:r w:rsidRPr="00175F8B">
        <w:t>Alle transaksjonsopplysninger skal offentliggjøres på individuelt grunnlag når perioden for utsatt offentliggjøring utløper. Dette gjelder både for obligasjoner og for strukturerte finansielle produkter og utslippskvoter.</w:t>
      </w:r>
    </w:p>
    <w:p w14:paraId="0EAF0EC0" w14:textId="77777777" w:rsidR="00080633" w:rsidRPr="00175F8B" w:rsidRDefault="00080633" w:rsidP="00175F8B">
      <w:r w:rsidRPr="00175F8B">
        <w:t xml:space="preserve">Etter </w:t>
      </w:r>
      <w:proofErr w:type="spellStart"/>
      <w:r w:rsidRPr="00175F8B">
        <w:t>MiFIR</w:t>
      </w:r>
      <w:proofErr w:type="spellEnd"/>
      <w:r w:rsidRPr="00175F8B">
        <w:t xml:space="preserve"> ny artikkel 11 nr. 2 første ledd kan tilsynsmyndigheten midlertidig suspendere forpliktelsene i </w:t>
      </w:r>
      <w:proofErr w:type="spellStart"/>
      <w:r w:rsidRPr="00175F8B">
        <w:t>MiFIR</w:t>
      </w:r>
      <w:proofErr w:type="spellEnd"/>
      <w:r w:rsidRPr="00175F8B">
        <w:t xml:space="preserve"> artikkel 10 dersom likviditeten til en klasse av obligasjoner, strukturerte finansielle produkter eller utslippskvoter faller under terskelen som er fastsatt i henhold til beregningsmetoden i </w:t>
      </w:r>
      <w:proofErr w:type="spellStart"/>
      <w:r w:rsidRPr="00175F8B">
        <w:t>MiFIR</w:t>
      </w:r>
      <w:proofErr w:type="spellEnd"/>
      <w:r w:rsidRPr="00175F8B">
        <w:t xml:space="preserve"> artikkel 9 nr. 5 bokstav a. Regelen skal gi anledning til lengre utsatt offentliggjøring av transaksjoner for den aktuelle </w:t>
      </w:r>
      <w:proofErr w:type="spellStart"/>
      <w:r w:rsidRPr="00175F8B">
        <w:t>aktivaklassen</w:t>
      </w:r>
      <w:proofErr w:type="spellEnd"/>
      <w:r w:rsidRPr="00175F8B">
        <w:t xml:space="preserve"> når likviditeten har falt, og det kan være behov for lengre utsatt of</w:t>
      </w:r>
      <w:r w:rsidRPr="00175F8B">
        <w:t>fentliggjøring for ikke å redusere aktørenes evne til å avlaste risiko de har på egen bok. Terskelen skal fastsettes på grunnlag av objektive kriterier som er spesifikke for markedet for det aktuelle finansielle instrumentet. En slik midlertidig suspensjon skal publiseres på tilsynsmyndighetens nettsted og skal varsles til ESMA, som publiserer den midlertidige suspensjonen på sitt nettsted.</w:t>
      </w:r>
    </w:p>
    <w:p w14:paraId="6CD5876E" w14:textId="77777777" w:rsidR="00080633" w:rsidRPr="00175F8B" w:rsidRDefault="00080633" w:rsidP="00175F8B">
      <w:r w:rsidRPr="00175F8B">
        <w:lastRenderedPageBreak/>
        <w:t xml:space="preserve">Etter </w:t>
      </w:r>
      <w:proofErr w:type="spellStart"/>
      <w:r w:rsidRPr="00175F8B">
        <w:t>MiFIR</w:t>
      </w:r>
      <w:proofErr w:type="spellEnd"/>
      <w:r w:rsidRPr="00175F8B">
        <w:t xml:space="preserve"> ny artikkel 11 nr. 2 tredje ledd kan ESMA forlenge den maksimale varigheten på utsettelse som er fastsatt i nivå 2-regelverket i henhold til </w:t>
      </w:r>
      <w:proofErr w:type="spellStart"/>
      <w:r w:rsidRPr="00175F8B">
        <w:t>MiFIR</w:t>
      </w:r>
      <w:proofErr w:type="spellEnd"/>
      <w:r w:rsidRPr="00175F8B">
        <w:t xml:space="preserve"> artikkel 11 nr. 4 bokstav f og g, i nødstilfeller. Nødstilfeller innebærer for eksempel en betydelig skadelig effekt på likviditeten til en obligasjonsklasse, et strukturert finansielt produkt eller utslippskvoter som handles i unionen. ESMA skal rådføre seg med tilsynsmyndigheten som er ansvarlig for å føre tilsyn med en eller flere handelsplasser der det </w:t>
      </w:r>
      <w:r w:rsidRPr="00175F8B">
        <w:t xml:space="preserve">aktuelle finansielle instrumentet handles, før beslutning om utvidelse treffes. Utvidelsen skal deretter publiseres på </w:t>
      </w:r>
      <w:proofErr w:type="spellStart"/>
      <w:r w:rsidRPr="00175F8B">
        <w:t>ESMAs</w:t>
      </w:r>
      <w:proofErr w:type="spellEnd"/>
      <w:r w:rsidRPr="00175F8B">
        <w:t xml:space="preserve"> nettsider</w:t>
      </w:r>
      <w:r w:rsidRPr="00175F8B">
        <w:t>.</w:t>
      </w:r>
    </w:p>
    <w:p w14:paraId="56B98331" w14:textId="77777777" w:rsidR="00080633" w:rsidRPr="00175F8B" w:rsidRDefault="00080633" w:rsidP="00175F8B">
      <w:r w:rsidRPr="00175F8B">
        <w:t xml:space="preserve">Vedtak etter </w:t>
      </w:r>
      <w:proofErr w:type="spellStart"/>
      <w:r w:rsidRPr="00175F8B">
        <w:t>MiFIR</w:t>
      </w:r>
      <w:proofErr w:type="spellEnd"/>
      <w:r w:rsidRPr="00175F8B">
        <w:t xml:space="preserve"> artikkel 11 nr. 2 annet og tredje ledd skal være gyldig i en periode som ikke overstiger tre måneder fra datoen for publisering på nettstedet til tilsynsmyndigheten eller ESMA. Suspensjonen eller den utvidede varigheten på en utsettelse, kan fornyes for ytterligere perioder som ikke overstiger tre måneder av gangen, dersom grunnen til suspensjonen eller utvidelsen fortsatt gjør seg gjeldende.</w:t>
      </w:r>
    </w:p>
    <w:p w14:paraId="25EACEF0" w14:textId="77777777" w:rsidR="00080633" w:rsidRPr="00175F8B" w:rsidRDefault="00080633" w:rsidP="00175F8B">
      <w:r w:rsidRPr="00175F8B">
        <w:t>Før nasjonal tilsynsmyndighet suspenderer plikten til å gi opplysninger, eller fornyer suspensjonen, skal tils</w:t>
      </w:r>
      <w:r w:rsidRPr="00175F8B">
        <w:t xml:space="preserve">ynsmyndigheten varsle ESMA, samt gi en begrunnelse. ESMA skal snarest mulig </w:t>
      </w:r>
      <w:proofErr w:type="gramStart"/>
      <w:r w:rsidRPr="00175F8B">
        <w:t>avgi</w:t>
      </w:r>
      <w:proofErr w:type="gramEnd"/>
      <w:r w:rsidRPr="00175F8B">
        <w:t xml:space="preserve"> en uttalelse til tilsynsmyndigheten om hvorvidt suspensjonen er begrunnet i samsvar med </w:t>
      </w:r>
      <w:proofErr w:type="spellStart"/>
      <w:r w:rsidRPr="00175F8B">
        <w:t>MiFIR</w:t>
      </w:r>
      <w:proofErr w:type="spellEnd"/>
      <w:r w:rsidRPr="00175F8B">
        <w:t xml:space="preserve"> artikkel 11 nr. 2 første og fjerde ledd.</w:t>
      </w:r>
    </w:p>
    <w:p w14:paraId="3C118263" w14:textId="77777777" w:rsidR="00080633" w:rsidRPr="00175F8B" w:rsidRDefault="00080633" w:rsidP="00175F8B">
      <w:r w:rsidRPr="00175F8B">
        <w:t xml:space="preserve">Etter </w:t>
      </w:r>
      <w:proofErr w:type="spellStart"/>
      <w:r w:rsidRPr="00175F8B">
        <w:t>MiFIR</w:t>
      </w:r>
      <w:proofErr w:type="spellEnd"/>
      <w:r w:rsidRPr="00175F8B">
        <w:t xml:space="preserve"> artikkel 11 nr. 4 skal det utarbeides et omfattende nivå 2-regelverk om utsatt offentliggjøring for obligasjoner, strukturerte finansielle produkter og utslippskvoter. ESMA har sendt forslag til endring av RTS 2 på høring. Det vises til omtale av høringene av nivå 2- regelverket i kapittel 1.5.</w:t>
      </w:r>
    </w:p>
    <w:p w14:paraId="06C3E875" w14:textId="77777777" w:rsidR="00080633" w:rsidRPr="00175F8B" w:rsidRDefault="00080633" w:rsidP="00175F8B">
      <w:pPr>
        <w:pStyle w:val="Overskrift4"/>
      </w:pPr>
      <w:r w:rsidRPr="00175F8B">
        <w:t>Særskilt om statsgjeld</w:t>
      </w:r>
    </w:p>
    <w:p w14:paraId="24B997D6" w14:textId="77777777" w:rsidR="00080633" w:rsidRPr="00175F8B" w:rsidRDefault="00080633" w:rsidP="00175F8B">
      <w:r w:rsidRPr="00175F8B">
        <w:t xml:space="preserve">Tilsynsmyndigheten har etter </w:t>
      </w:r>
      <w:proofErr w:type="spellStart"/>
      <w:r w:rsidRPr="00175F8B">
        <w:t>MiFIR</w:t>
      </w:r>
      <w:proofErr w:type="spellEnd"/>
      <w:r w:rsidRPr="00175F8B">
        <w:t xml:space="preserve"> artikkel 11 nr. 3 fremdeles myndighet til å tillate utsatt offentliggjøring for statsgjeld som er utstedt av medlemsstaten til den aktuelle tilsynsmyndigheten. Slik utsatt offentliggjøring gjelder i tillegg til utsatt offentliggjøring etter </w:t>
      </w:r>
      <w:proofErr w:type="spellStart"/>
      <w:r w:rsidRPr="00175F8B">
        <w:t>MiFIR</w:t>
      </w:r>
      <w:proofErr w:type="spellEnd"/>
      <w:r w:rsidRPr="00175F8B">
        <w:t xml:space="preserve"> artikkel 11 nr. 1 og omfatter:</w:t>
      </w:r>
    </w:p>
    <w:p w14:paraId="7F02C395" w14:textId="77777777" w:rsidR="00080633" w:rsidRPr="00175F8B" w:rsidRDefault="00080633" w:rsidP="00175F8B">
      <w:pPr>
        <w:pStyle w:val="Nummerertliste"/>
      </w:pPr>
      <w:r w:rsidRPr="00175F8B">
        <w:t>Utelatelse av offentliggjøring av volumet til en individuell transaksjon for en lengre periode som ikke overstiger seks måneder, eller</w:t>
      </w:r>
    </w:p>
    <w:p w14:paraId="281618FA" w14:textId="77777777" w:rsidR="00080633" w:rsidRPr="00175F8B" w:rsidRDefault="00080633" w:rsidP="00175F8B">
      <w:pPr>
        <w:pStyle w:val="Nummerertliste"/>
      </w:pPr>
      <w:r w:rsidRPr="00175F8B">
        <w:t>Utelatelse av offentliggjøring av detaljene for flere aggregerte transaksjoner for en lengre periode som ikke overstiger seks måneder</w:t>
      </w:r>
    </w:p>
    <w:p w14:paraId="72C8ED62" w14:textId="77777777" w:rsidR="00080633" w:rsidRPr="00175F8B" w:rsidRDefault="00080633" w:rsidP="00175F8B">
      <w:r w:rsidRPr="00175F8B">
        <w:t xml:space="preserve">For transaksjoner i statsgjeldsinstrumenter som ikke er utstedt av en medlemsstat, kan ESMA fatte vedtak om lengre utsatt offentliggjøring i henhold til </w:t>
      </w:r>
      <w:proofErr w:type="spellStart"/>
      <w:r w:rsidRPr="00175F8B">
        <w:t>MiFIR</w:t>
      </w:r>
      <w:proofErr w:type="spellEnd"/>
      <w:r w:rsidRPr="00175F8B">
        <w:t xml:space="preserve"> artikkel 11 nr. 3 annet ledd.</w:t>
      </w:r>
    </w:p>
    <w:p w14:paraId="2147BC25" w14:textId="77777777" w:rsidR="00080633" w:rsidRPr="00175F8B" w:rsidRDefault="00080633" w:rsidP="00175F8B">
      <w:r w:rsidRPr="00175F8B">
        <w:t>Når utsettelsesperioden utløper, skal alle detaljene om transaksjonen publiseres på individuelt grunnlag.</w:t>
      </w:r>
    </w:p>
    <w:p w14:paraId="58098E83" w14:textId="77777777" w:rsidR="00080633" w:rsidRPr="00175F8B" w:rsidRDefault="00080633" w:rsidP="00175F8B">
      <w:r w:rsidRPr="00175F8B">
        <w:t xml:space="preserve">ESMA skal publisere en liste over utsettelser som er tillatt i henhold til </w:t>
      </w:r>
      <w:proofErr w:type="spellStart"/>
      <w:r w:rsidRPr="00175F8B">
        <w:t>MiFIR</w:t>
      </w:r>
      <w:proofErr w:type="spellEnd"/>
      <w:r w:rsidRPr="00175F8B">
        <w:t xml:space="preserve"> artikkel 11 nr. 3 første og annet ledd, på sitt nettsted. ESMA skal overvåke </w:t>
      </w:r>
      <w:proofErr w:type="gramStart"/>
      <w:r w:rsidRPr="00175F8B">
        <w:t>anvendelsen</w:t>
      </w:r>
      <w:proofErr w:type="gramEnd"/>
      <w:r w:rsidRPr="00175F8B">
        <w:t xml:space="preserve"> av </w:t>
      </w:r>
      <w:proofErr w:type="spellStart"/>
      <w:r w:rsidRPr="00175F8B">
        <w:t>MiFIR</w:t>
      </w:r>
      <w:proofErr w:type="spellEnd"/>
      <w:r w:rsidRPr="00175F8B">
        <w:t xml:space="preserve"> artikkel 11 nr. 3 første og annet ledd, og skal annet hvert år avgi en rapport til Kommisjonen om hvordan bestemmelsen brukes i praksis.</w:t>
      </w:r>
    </w:p>
    <w:p w14:paraId="01AD24D7" w14:textId="77777777" w:rsidR="00080633" w:rsidRPr="00175F8B" w:rsidRDefault="00080633" w:rsidP="00175F8B">
      <w:r w:rsidRPr="00175F8B">
        <w:t xml:space="preserve">ESMA skal i nivå 2-regelverk, spesifisere kriteriene som benyttes når transaksjonsstørrelse- og type skal bestemmes etter </w:t>
      </w:r>
      <w:proofErr w:type="spellStart"/>
      <w:r w:rsidRPr="00175F8B">
        <w:t>MiFIR</w:t>
      </w:r>
      <w:proofErr w:type="spellEnd"/>
      <w:r w:rsidRPr="00175F8B">
        <w:t xml:space="preserve"> artikkel 11 nr. 3, jf. </w:t>
      </w:r>
      <w:proofErr w:type="spellStart"/>
      <w:r w:rsidRPr="00175F8B">
        <w:t>MiFIR</w:t>
      </w:r>
      <w:proofErr w:type="spellEnd"/>
      <w:r w:rsidRPr="00175F8B">
        <w:t xml:space="preserve"> artikkel 11 nr. 4 bokstav h.</w:t>
      </w:r>
    </w:p>
    <w:p w14:paraId="6A6AF923" w14:textId="77777777" w:rsidR="00080633" w:rsidRPr="00175F8B" w:rsidRDefault="00080633" w:rsidP="00175F8B">
      <w:pPr>
        <w:pStyle w:val="Overskrift3"/>
      </w:pPr>
      <w:r w:rsidRPr="00175F8B">
        <w:t>Regimet for utsatt offentliggjøring for derivater</w:t>
      </w:r>
    </w:p>
    <w:p w14:paraId="24E493ED" w14:textId="77777777" w:rsidR="00080633" w:rsidRPr="00175F8B" w:rsidRDefault="00080633" w:rsidP="00175F8B">
      <w:r w:rsidRPr="00175F8B">
        <w:t xml:space="preserve">Som nevnt i kapittel 4.3.6.1 er derivater skilt ut i et eget utsettelsesregime i </w:t>
      </w:r>
      <w:proofErr w:type="spellStart"/>
      <w:r w:rsidRPr="00175F8B">
        <w:t>MiFIR</w:t>
      </w:r>
      <w:proofErr w:type="spellEnd"/>
      <w:r w:rsidRPr="00175F8B">
        <w:t xml:space="preserve"> ny artikkel 11a. Etter bestemmelsen kan markedsoperatører og verdipapirforetak som driver en handelsplass, utsette offentliggjøring av transaksjonsdetaljer, inkludert pris og volum, for børshandlede derivater og OTC-derivater som omfattes av </w:t>
      </w:r>
      <w:proofErr w:type="spellStart"/>
      <w:r w:rsidRPr="00175F8B">
        <w:t>MiFIR</w:t>
      </w:r>
      <w:proofErr w:type="spellEnd"/>
      <w:r w:rsidRPr="00175F8B">
        <w:t xml:space="preserve"> artikkel 8a nr. 2.</w:t>
      </w:r>
    </w:p>
    <w:p w14:paraId="700BBE44" w14:textId="77777777" w:rsidR="00080633" w:rsidRPr="00175F8B" w:rsidRDefault="00080633" w:rsidP="00175F8B">
      <w:r w:rsidRPr="00175F8B">
        <w:t xml:space="preserve">De samme fem standardkategoriene som gjelder for utsatt offentliggjøring for obligasjoner, gjelder for utsatt offentliggjøring for derivater, se </w:t>
      </w:r>
      <w:proofErr w:type="spellStart"/>
      <w:r w:rsidRPr="00175F8B">
        <w:t>MiFIR</w:t>
      </w:r>
      <w:proofErr w:type="spellEnd"/>
      <w:r w:rsidRPr="00175F8B">
        <w:t xml:space="preserve"> artikkel 11a nr. 1 bokstav a til e.</w:t>
      </w:r>
    </w:p>
    <w:p w14:paraId="0D8F285F" w14:textId="77777777" w:rsidR="00080633" w:rsidRPr="00175F8B" w:rsidRDefault="00080633" w:rsidP="00175F8B">
      <w:r w:rsidRPr="00175F8B">
        <w:t>Når perioden for utsatt offentliggjøring utløper, skal alle transaksjonsdetaljer offentliggjøres på individuelt grunnlag.</w:t>
      </w:r>
    </w:p>
    <w:p w14:paraId="480C8D1E" w14:textId="77777777" w:rsidR="00080633" w:rsidRPr="00175F8B" w:rsidRDefault="00080633" w:rsidP="00175F8B">
      <w:r w:rsidRPr="00175F8B">
        <w:t xml:space="preserve">Bestemmelsen har regler om nasjonale tilsynsmyndigheters adgang til å suspendere forpliktelsene til å offentliggjøre informasjon etter artikkel 10 og om </w:t>
      </w:r>
      <w:proofErr w:type="spellStart"/>
      <w:r w:rsidRPr="00175F8B">
        <w:t>ESMAs</w:t>
      </w:r>
      <w:proofErr w:type="spellEnd"/>
      <w:r w:rsidRPr="00175F8B">
        <w:t xml:space="preserve"> adgang til å forlenge maksimal tid for utsettelse i nødstilfeller som svarer til bestemmelsene i artikkel 11. Utvalget viser til redegjørelsen i kapittel 4.3.6.1.</w:t>
      </w:r>
    </w:p>
    <w:p w14:paraId="248E921D" w14:textId="77777777" w:rsidR="00080633" w:rsidRPr="00175F8B" w:rsidRDefault="00080633" w:rsidP="00175F8B">
      <w:r w:rsidRPr="00175F8B">
        <w:t xml:space="preserve">Etter </w:t>
      </w:r>
      <w:proofErr w:type="spellStart"/>
      <w:r w:rsidRPr="00175F8B">
        <w:t>MiFIR</w:t>
      </w:r>
      <w:proofErr w:type="spellEnd"/>
      <w:r w:rsidRPr="00175F8B">
        <w:t xml:space="preserve"> artikkel 11a nr. 3 skal det utarbeides nivå 2-regelverk om utsatt offentliggjøring for derivater. ESMA planlegger å sende forslag til slikt regelverk på høring i fjerde kvartal 2024.</w:t>
      </w:r>
    </w:p>
    <w:p w14:paraId="0C8830B0" w14:textId="77777777" w:rsidR="00080633" w:rsidRPr="00175F8B" w:rsidRDefault="00080633" w:rsidP="00175F8B">
      <w:pPr>
        <w:pStyle w:val="Overskrift2"/>
      </w:pPr>
      <w:r w:rsidRPr="00175F8B">
        <w:lastRenderedPageBreak/>
        <w:t>Utvalgets vurderinger</w:t>
      </w:r>
    </w:p>
    <w:p w14:paraId="5FC094B8" w14:textId="77777777" w:rsidR="00080633" w:rsidRPr="00175F8B" w:rsidRDefault="00080633" w:rsidP="00175F8B">
      <w:r w:rsidRPr="00175F8B">
        <w:t xml:space="preserve">Utvalget bemerker at hensikten med innføringen av </w:t>
      </w:r>
      <w:proofErr w:type="spellStart"/>
      <w:r w:rsidRPr="00175F8B">
        <w:t>MiFIR</w:t>
      </w:r>
      <w:proofErr w:type="spellEnd"/>
      <w:r w:rsidRPr="00175F8B">
        <w:t xml:space="preserve"> var at transparensregelverket skulle bli fullharmonisert på alle nivåer. Regelverket har på noen områder vist seg å være uhensiktsmessig og tungvint. Endringene tar sikte på å forenkle en del av de tungvinte prosessene. For eksempel vil overgangen fra dobbel til enkel «</w:t>
      </w:r>
      <w:proofErr w:type="spellStart"/>
      <w:r w:rsidRPr="00175F8B">
        <w:t>volume</w:t>
      </w:r>
      <w:proofErr w:type="spellEnd"/>
      <w:r w:rsidRPr="00175F8B">
        <w:t xml:space="preserve"> </w:t>
      </w:r>
      <w:proofErr w:type="spellStart"/>
      <w:r w:rsidRPr="00175F8B">
        <w:t>cap</w:t>
      </w:r>
      <w:proofErr w:type="spellEnd"/>
      <w:r w:rsidRPr="00175F8B">
        <w:t>» medføre færre kalkulasjoner og være enklere å forholde seg til både for aktørene, nasjonale tilsynsmyndigheter og for ESMA. Også transparensregelverket for instrumenter som ikke er egenkapitalinstrumenter («non-</w:t>
      </w:r>
      <w:proofErr w:type="spellStart"/>
      <w:r w:rsidRPr="00175F8B">
        <w:t>equity</w:t>
      </w:r>
      <w:proofErr w:type="spellEnd"/>
      <w:r w:rsidRPr="00175F8B">
        <w:t>»-instr</w:t>
      </w:r>
      <w:r w:rsidRPr="00175F8B">
        <w:t xml:space="preserve">umenter) gjennomgår visse forenklinger. Først og fremst vil harmoniseringen av regelverket for utsatt offentliggjøring redusere nasjonale tilsynsmyndigheters anledning til å etterkomme særegenheter i sine lokale markeder. Detaljene i regelverket vil komme i kommisjonsforordninger. Status for utarbeidelsen av disse er omtalt i kapittel 1.5. Det er utvalgets vurdering at det vil være en fordel for det norske markedet at reglene om transparens trer i kraft tett opp til tidspunktet når reglene får </w:t>
      </w:r>
      <w:proofErr w:type="gramStart"/>
      <w:r w:rsidRPr="00175F8B">
        <w:t>anvendelse</w:t>
      </w:r>
      <w:proofErr w:type="gramEnd"/>
      <w:r w:rsidRPr="00175F8B">
        <w:t xml:space="preserve"> i </w:t>
      </w:r>
      <w:r w:rsidRPr="00175F8B">
        <w:t>EU. Utvalget bemerker at det vil kunne skape usikkerhet blant utstedere, investorer og andre interessenter i det norske markedet om sentrale regler for markedets funksjon og virkemåte over tid skulle avvike fra reglene i resten av Europa.</w:t>
      </w:r>
    </w:p>
    <w:p w14:paraId="7A164D4D" w14:textId="77777777" w:rsidR="00080633" w:rsidRPr="00175F8B" w:rsidRDefault="00080633" w:rsidP="00175F8B"/>
    <w:p w14:paraId="44A089D8" w14:textId="77777777" w:rsidR="00080633" w:rsidRPr="00175F8B" w:rsidRDefault="00080633" w:rsidP="00175F8B">
      <w:pPr>
        <w:pStyle w:val="Overskrift1"/>
      </w:pPr>
      <w:r w:rsidRPr="00175F8B">
        <w:t xml:space="preserve">Transparensregelverket for verdipapirforetak, herunder systematiske </w:t>
      </w:r>
      <w:proofErr w:type="spellStart"/>
      <w:r w:rsidRPr="00175F8B">
        <w:t>internaliserere</w:t>
      </w:r>
      <w:proofErr w:type="spellEnd"/>
    </w:p>
    <w:p w14:paraId="5DD4FB82" w14:textId="1385A932" w:rsidR="00080633" w:rsidRPr="00175F8B" w:rsidRDefault="00080633" w:rsidP="00175F8B">
      <w:pPr>
        <w:pStyle w:val="Overskrift2"/>
      </w:pPr>
      <w:r w:rsidRPr="00175F8B">
        <w:t xml:space="preserve">Gjeldende EU-rett </w:t>
      </w:r>
      <w:r w:rsidRPr="00175F8B">
        <w:t>(</w:t>
      </w:r>
      <w:proofErr w:type="spellStart"/>
      <w:r w:rsidRPr="00175F8B">
        <w:t>MiFIR</w:t>
      </w:r>
      <w:proofErr w:type="spellEnd"/>
      <w:r w:rsidRPr="00175F8B">
        <w:t xml:space="preserve"> før forordning 2024/791)</w:t>
      </w:r>
    </w:p>
    <w:p w14:paraId="4EC19479" w14:textId="77777777" w:rsidR="00080633" w:rsidRPr="00175F8B" w:rsidRDefault="00080633" w:rsidP="00175F8B">
      <w:pPr>
        <w:pStyle w:val="Overskrift3"/>
      </w:pPr>
      <w:r w:rsidRPr="00175F8B">
        <w:t xml:space="preserve">Systematiske </w:t>
      </w:r>
      <w:proofErr w:type="spellStart"/>
      <w:r w:rsidRPr="00175F8B">
        <w:t>internalisereres</w:t>
      </w:r>
      <w:proofErr w:type="spellEnd"/>
      <w:r w:rsidRPr="00175F8B">
        <w:t xml:space="preserve"> offentliggjør</w:t>
      </w:r>
      <w:r w:rsidRPr="00175F8B">
        <w:t>ing av kurser i aksjer mv. (pre-trade transparens)</w:t>
      </w:r>
    </w:p>
    <w:p w14:paraId="7369D586" w14:textId="77777777" w:rsidR="00080633" w:rsidRPr="00175F8B" w:rsidRDefault="00080633" w:rsidP="00175F8B">
      <w:r w:rsidRPr="00175F8B">
        <w:t xml:space="preserve">Pre-trade transparenskrav gjelder for verdipapirforetak som er SI, jf. </w:t>
      </w:r>
      <w:proofErr w:type="spellStart"/>
      <w:r w:rsidRPr="00175F8B">
        <w:t>MiFIR</w:t>
      </w:r>
      <w:proofErr w:type="spellEnd"/>
      <w:r w:rsidRPr="00175F8B">
        <w:t xml:space="preserve"> artikkel 14 flg. Det gjelder transparenskrav for de kurser en SI stiller for aksjer mv. som de er SI for, på samme måte som for handelsplasser.</w:t>
      </w:r>
    </w:p>
    <w:p w14:paraId="3E316147" w14:textId="77777777" w:rsidR="00080633" w:rsidRPr="00175F8B" w:rsidRDefault="00080633" w:rsidP="00175F8B">
      <w:proofErr w:type="spellStart"/>
      <w:r w:rsidRPr="00175F8B">
        <w:t>SIer</w:t>
      </w:r>
      <w:proofErr w:type="spellEnd"/>
      <w:r w:rsidRPr="00175F8B">
        <w:t xml:space="preserve"> er pålagt å offentliggjøre forpliktende kurser hvis det er et likvid marked for det aktuelle instrumentet, jf. </w:t>
      </w:r>
      <w:proofErr w:type="spellStart"/>
      <w:r w:rsidRPr="00175F8B">
        <w:t>MiFIR</w:t>
      </w:r>
      <w:proofErr w:type="spellEnd"/>
      <w:r w:rsidRPr="00175F8B">
        <w:t xml:space="preserve"> artikkel 14 nr. 1. Er det et </w:t>
      </w:r>
      <w:proofErr w:type="spellStart"/>
      <w:r w:rsidRPr="00175F8B">
        <w:t>illikvid</w:t>
      </w:r>
      <w:proofErr w:type="spellEnd"/>
      <w:r w:rsidRPr="00175F8B">
        <w:t xml:space="preserve"> marked for det aktuelle finansielle instrumentet, må </w:t>
      </w:r>
      <w:proofErr w:type="spellStart"/>
      <w:r w:rsidRPr="00175F8B">
        <w:t>SIen</w:t>
      </w:r>
      <w:proofErr w:type="spellEnd"/>
      <w:r w:rsidRPr="00175F8B">
        <w:t xml:space="preserve"> på forespørsel oppgi kurser til kunder, se </w:t>
      </w:r>
      <w:proofErr w:type="spellStart"/>
      <w:r w:rsidRPr="00175F8B">
        <w:t>MiFIR</w:t>
      </w:r>
      <w:proofErr w:type="spellEnd"/>
      <w:r w:rsidRPr="00175F8B">
        <w:t xml:space="preserve"> artikkel 14 nr. 1 annet ledd.</w:t>
      </w:r>
    </w:p>
    <w:p w14:paraId="076DB457" w14:textId="77777777" w:rsidR="00080633" w:rsidRPr="00175F8B" w:rsidRDefault="00080633" w:rsidP="00175F8B">
      <w:r w:rsidRPr="00175F8B">
        <w:t xml:space="preserve">Kravene gjelder kun ved handel opp til standard markedsstørrelse (standard </w:t>
      </w:r>
      <w:proofErr w:type="spellStart"/>
      <w:r w:rsidRPr="00175F8B">
        <w:t>market</w:t>
      </w:r>
      <w:proofErr w:type="spellEnd"/>
      <w:r w:rsidRPr="00175F8B">
        <w:t xml:space="preserve"> </w:t>
      </w:r>
      <w:proofErr w:type="spellStart"/>
      <w:r w:rsidRPr="00175F8B">
        <w:t>size</w:t>
      </w:r>
      <w:proofErr w:type="spellEnd"/>
      <w:r w:rsidRPr="00175F8B">
        <w:t xml:space="preserve">) for det aktuelle finansielle instrumentet, jf. </w:t>
      </w:r>
      <w:proofErr w:type="spellStart"/>
      <w:r w:rsidRPr="00175F8B">
        <w:t>MiFIR</w:t>
      </w:r>
      <w:proofErr w:type="spellEnd"/>
      <w:r w:rsidRPr="00175F8B">
        <w:t xml:space="preserve"> artikkel 14 nr. 2. Nivå 2-regelverket spesifiserer hva som menes med standard markedsstørrelse.</w:t>
      </w:r>
    </w:p>
    <w:p w14:paraId="16AC3564" w14:textId="77777777" w:rsidR="00080633" w:rsidRPr="00175F8B" w:rsidRDefault="00080633" w:rsidP="00175F8B">
      <w:r w:rsidRPr="00175F8B">
        <w:t xml:space="preserve">Videre er </w:t>
      </w:r>
      <w:proofErr w:type="spellStart"/>
      <w:r w:rsidRPr="00175F8B">
        <w:t>SIer</w:t>
      </w:r>
      <w:proofErr w:type="spellEnd"/>
      <w:r w:rsidRPr="00175F8B">
        <w:t xml:space="preserve"> pålagt å gi bindende toveis priser (det vil si ett eller flere bindende kjøps- og salgstilbud) for det aktuelle finansielle instrumentet, se </w:t>
      </w:r>
      <w:proofErr w:type="spellStart"/>
      <w:r w:rsidRPr="00175F8B">
        <w:t>MiFIR</w:t>
      </w:r>
      <w:proofErr w:type="spellEnd"/>
      <w:r w:rsidRPr="00175F8B">
        <w:t xml:space="preserve"> artikkel 14 nr. 3. Ethvert tilbud skal være minimum 10 prosent av standard markedsstørrelse for en klasse av finansielle instrumenter. Hvordan finansielle instrumenter grupperes i ulike klasser, og hva som menes med standard markedsstørrelse for en klasse av finansielle instrumenter, er presisert i </w:t>
      </w:r>
      <w:proofErr w:type="spellStart"/>
      <w:r w:rsidRPr="00175F8B">
        <w:t>MiFIR</w:t>
      </w:r>
      <w:proofErr w:type="spellEnd"/>
      <w:r w:rsidRPr="00175F8B">
        <w:t xml:space="preserve"> artikkel 14 nr. 4 og nr. 5, samt i nivå 2-regelverket.</w:t>
      </w:r>
    </w:p>
    <w:p w14:paraId="6788F140" w14:textId="77777777" w:rsidR="00080633" w:rsidRPr="00175F8B" w:rsidRDefault="00080633" w:rsidP="00175F8B">
      <w:r w:rsidRPr="00175F8B">
        <w:t xml:space="preserve">Kursene skal reflektere gjeldende markedsforhold for det aktuelle finansielle instrumentet, se </w:t>
      </w:r>
      <w:proofErr w:type="spellStart"/>
      <w:r w:rsidRPr="00175F8B">
        <w:t>MiFIR</w:t>
      </w:r>
      <w:proofErr w:type="spellEnd"/>
      <w:r w:rsidRPr="00175F8B">
        <w:t xml:space="preserve"> artikkel 14 nr. 3 siste setning. Regler for hva som er gjeldende markedsforhold er gitt i nivå 2-regelverket.</w:t>
      </w:r>
    </w:p>
    <w:p w14:paraId="0B9C1FBC" w14:textId="77777777" w:rsidR="00080633" w:rsidRPr="00175F8B" w:rsidRDefault="00080633" w:rsidP="00175F8B">
      <w:proofErr w:type="spellStart"/>
      <w:r w:rsidRPr="00175F8B">
        <w:t>SIer</w:t>
      </w:r>
      <w:proofErr w:type="spellEnd"/>
      <w:r w:rsidRPr="00175F8B">
        <w:t xml:space="preserve"> skal publisere kurser regelmessig og kontinuerlig i løpet av alminnelig åpningstid, se </w:t>
      </w:r>
      <w:proofErr w:type="spellStart"/>
      <w:r w:rsidRPr="00175F8B">
        <w:t>MiFIR</w:t>
      </w:r>
      <w:proofErr w:type="spellEnd"/>
      <w:r w:rsidRPr="00175F8B">
        <w:t xml:space="preserve"> artikkel 15 nr. 1. Kursene må være tilgjengelig til alle tider i løpet av det </w:t>
      </w:r>
      <w:proofErr w:type="spellStart"/>
      <w:r w:rsidRPr="00175F8B">
        <w:t>SIen</w:t>
      </w:r>
      <w:proofErr w:type="spellEnd"/>
      <w:r w:rsidRPr="00175F8B">
        <w:t xml:space="preserve"> har angitt som sin alminnelige åpningstid.</w:t>
      </w:r>
    </w:p>
    <w:p w14:paraId="7F7A2FF5" w14:textId="77777777" w:rsidR="00080633" w:rsidRPr="00175F8B" w:rsidRDefault="00080633" w:rsidP="00175F8B">
      <w:proofErr w:type="spellStart"/>
      <w:r w:rsidRPr="00175F8B">
        <w:t>MiFIR</w:t>
      </w:r>
      <w:proofErr w:type="spellEnd"/>
      <w:r w:rsidRPr="00175F8B">
        <w:t xml:space="preserve"> artikkel 17 nr. 3 bokstav a fastsetter at publisering kan skje ved bruk av ordningene til et regulert marked som har opptatt det aktuelle finansielle instrumentet til handel, via en APA eller gjennom egne ordninger. Nivå 2-regelverket presiserer kravene til selve publiseringen, samt ytterligere krav til </w:t>
      </w:r>
      <w:proofErr w:type="spellStart"/>
      <w:r w:rsidRPr="00175F8B">
        <w:t>SIens</w:t>
      </w:r>
      <w:proofErr w:type="spellEnd"/>
      <w:r w:rsidRPr="00175F8B">
        <w:t xml:space="preserve"> publiseringsordning.</w:t>
      </w:r>
    </w:p>
    <w:p w14:paraId="0D8EC0D8" w14:textId="77777777" w:rsidR="00080633" w:rsidRPr="00175F8B" w:rsidRDefault="00080633" w:rsidP="00175F8B">
      <w:r w:rsidRPr="00175F8B">
        <w:t xml:space="preserve">Kursene kan som utgangspunkt oppdateres når som helst, men bare trekkes tilbake ved ekstraordinære markedsforhold, jf. </w:t>
      </w:r>
      <w:proofErr w:type="spellStart"/>
      <w:r w:rsidRPr="00175F8B">
        <w:t>MiFIR</w:t>
      </w:r>
      <w:proofErr w:type="spellEnd"/>
      <w:r w:rsidRPr="00175F8B">
        <w:t xml:space="preserve"> artikkel 15 nr. 1.</w:t>
      </w:r>
    </w:p>
    <w:p w14:paraId="3888D53E" w14:textId="77777777" w:rsidR="00080633" w:rsidRPr="00175F8B" w:rsidRDefault="00080633" w:rsidP="00175F8B">
      <w:proofErr w:type="spellStart"/>
      <w:r w:rsidRPr="00175F8B">
        <w:t>SIer</w:t>
      </w:r>
      <w:proofErr w:type="spellEnd"/>
      <w:r w:rsidRPr="00175F8B">
        <w:t xml:space="preserve"> som handler i stør</w:t>
      </w:r>
      <w:r w:rsidRPr="00175F8B">
        <w:t xml:space="preserve">relser opp til standard markedsstørrelse, er i tillegg til ovenstående krav underlagt regler om utførelse av kundeordre og tilgang til kurser etter </w:t>
      </w:r>
      <w:proofErr w:type="spellStart"/>
      <w:r w:rsidRPr="00175F8B">
        <w:t>MiFIR</w:t>
      </w:r>
      <w:proofErr w:type="spellEnd"/>
      <w:r w:rsidRPr="00175F8B">
        <w:t xml:space="preserve"> artikkel 15 og artikkel 17, jf. </w:t>
      </w:r>
      <w:proofErr w:type="spellStart"/>
      <w:r w:rsidRPr="00175F8B">
        <w:t>MiFIR</w:t>
      </w:r>
      <w:proofErr w:type="spellEnd"/>
      <w:r w:rsidRPr="00175F8B">
        <w:t xml:space="preserve"> artikkel 14 nr. 2.</w:t>
      </w:r>
    </w:p>
    <w:p w14:paraId="74697CE5" w14:textId="77777777" w:rsidR="00080633" w:rsidRPr="00175F8B" w:rsidRDefault="00080633" w:rsidP="00175F8B">
      <w:proofErr w:type="spellStart"/>
      <w:r w:rsidRPr="00175F8B">
        <w:t>SIer</w:t>
      </w:r>
      <w:proofErr w:type="spellEnd"/>
      <w:r w:rsidRPr="00175F8B">
        <w:t xml:space="preserve"> er som hovedregel forpliktet til å utføre kundeordre i finansielle instrumenter de er </w:t>
      </w:r>
      <w:proofErr w:type="spellStart"/>
      <w:r w:rsidRPr="00175F8B">
        <w:t>SIer</w:t>
      </w:r>
      <w:proofErr w:type="spellEnd"/>
      <w:r w:rsidRPr="00175F8B">
        <w:t xml:space="preserve"> for, til de kurser som er gitt på tidspunktet ordrene blir mottatt, se </w:t>
      </w:r>
      <w:proofErr w:type="spellStart"/>
      <w:r w:rsidRPr="00175F8B">
        <w:t>MiFIR</w:t>
      </w:r>
      <w:proofErr w:type="spellEnd"/>
      <w:r w:rsidRPr="00175F8B">
        <w:t xml:space="preserve"> artikkel 15 nr. 2 første ledd. Presiserende regler for utførelse av kundeordre </w:t>
      </w:r>
      <w:proofErr w:type="gramStart"/>
      <w:r w:rsidRPr="00175F8B">
        <w:t>fremgår</w:t>
      </w:r>
      <w:proofErr w:type="gramEnd"/>
      <w:r w:rsidRPr="00175F8B">
        <w:t xml:space="preserve"> av </w:t>
      </w:r>
      <w:proofErr w:type="spellStart"/>
      <w:r w:rsidRPr="00175F8B">
        <w:t>MiFIR</w:t>
      </w:r>
      <w:proofErr w:type="spellEnd"/>
      <w:r w:rsidRPr="00175F8B">
        <w:t xml:space="preserve"> artikkel nr. 2 annet ledd og artikkel 15 nr. 3 og 4, samt av nivå 2-regelverket.</w:t>
      </w:r>
    </w:p>
    <w:p w14:paraId="0DE94113" w14:textId="77777777" w:rsidR="00080633" w:rsidRPr="00175F8B" w:rsidRDefault="00080633" w:rsidP="00175F8B">
      <w:r w:rsidRPr="00175F8B">
        <w:t xml:space="preserve">Det er opp til </w:t>
      </w:r>
      <w:proofErr w:type="spellStart"/>
      <w:r w:rsidRPr="00175F8B">
        <w:t>SIen</w:t>
      </w:r>
      <w:proofErr w:type="spellEnd"/>
      <w:r w:rsidRPr="00175F8B">
        <w:t xml:space="preserve"> å bestemme hvilke klienter som får tilgang til foretakets kurser, så lenge avgjørelsen er basert på </w:t>
      </w:r>
      <w:proofErr w:type="spellStart"/>
      <w:r w:rsidRPr="00175F8B">
        <w:t>SIens</w:t>
      </w:r>
      <w:proofErr w:type="spellEnd"/>
      <w:r w:rsidRPr="00175F8B">
        <w:t xml:space="preserve"> forretningsplan og fattes på en objektiv og ikke-diskriminerende måte, jf. </w:t>
      </w:r>
      <w:proofErr w:type="spellStart"/>
      <w:r w:rsidRPr="00175F8B">
        <w:t>MiFIR</w:t>
      </w:r>
      <w:proofErr w:type="spellEnd"/>
      <w:r w:rsidRPr="00175F8B">
        <w:t xml:space="preserve"> artikkel 17 nr. 1. Det er også en viss adgang til å begrense antallet transaksjoner </w:t>
      </w:r>
      <w:proofErr w:type="spellStart"/>
      <w:r w:rsidRPr="00175F8B">
        <w:t>SIer</w:t>
      </w:r>
      <w:proofErr w:type="spellEnd"/>
      <w:r w:rsidRPr="00175F8B">
        <w:t xml:space="preserve"> velger å inngå med </w:t>
      </w:r>
      <w:proofErr w:type="spellStart"/>
      <w:r w:rsidRPr="00175F8B">
        <w:t>èn</w:t>
      </w:r>
      <w:proofErr w:type="spellEnd"/>
      <w:r w:rsidRPr="00175F8B">
        <w:t xml:space="preserve"> og samme kunde til de aktuelle prisene og med ulike kunder på samme tidspunkt, se </w:t>
      </w:r>
      <w:proofErr w:type="spellStart"/>
      <w:r w:rsidRPr="00175F8B">
        <w:t>MiFIR</w:t>
      </w:r>
      <w:proofErr w:type="spellEnd"/>
      <w:r w:rsidRPr="00175F8B">
        <w:t xml:space="preserve"> artikkel 17 nr. 2 og 3. Adgangen til å begrense antallet transaksjoner som inngås, er presisert i nivå 2-regelverket.</w:t>
      </w:r>
    </w:p>
    <w:p w14:paraId="48722E53" w14:textId="77777777" w:rsidR="00080633" w:rsidRPr="00175F8B" w:rsidRDefault="00080633" w:rsidP="00175F8B">
      <w:pPr>
        <w:pStyle w:val="Overskrift3"/>
      </w:pPr>
      <w:r w:rsidRPr="00175F8B">
        <w:lastRenderedPageBreak/>
        <w:t xml:space="preserve">Systematiske </w:t>
      </w:r>
      <w:proofErr w:type="spellStart"/>
      <w:r w:rsidRPr="00175F8B">
        <w:t>internalisereres</w:t>
      </w:r>
      <w:proofErr w:type="spellEnd"/>
      <w:r w:rsidRPr="00175F8B">
        <w:t xml:space="preserve"> offentliggjøring av kurser i obligasjoner mv. (pre-trade transparens)</w:t>
      </w:r>
    </w:p>
    <w:p w14:paraId="5F67F75F" w14:textId="77777777" w:rsidR="00080633" w:rsidRPr="00175F8B" w:rsidRDefault="00080633" w:rsidP="00175F8B">
      <w:r w:rsidRPr="00175F8B">
        <w:t xml:space="preserve">Verdipapirforetak som er SI, er etter </w:t>
      </w:r>
      <w:proofErr w:type="spellStart"/>
      <w:r w:rsidRPr="00175F8B">
        <w:t>MiFIR</w:t>
      </w:r>
      <w:proofErr w:type="spellEnd"/>
      <w:r w:rsidRPr="00175F8B">
        <w:t xml:space="preserve"> artikkel 18 nr. 1 pålagt transparenskrav for «non-</w:t>
      </w:r>
      <w:proofErr w:type="spellStart"/>
      <w:r w:rsidRPr="00175F8B">
        <w:t>equity</w:t>
      </w:r>
      <w:proofErr w:type="spellEnd"/>
      <w:r w:rsidRPr="00175F8B">
        <w:t xml:space="preserve">»-instrumentene som de er SI for. Kravene svarer, med enkelte justeringer, til kravene som gjelder for aksjer mv. I motsetning til det som gjelder for aksjer mv., gjelder offentliggjøringsplikten kun hvis en kunde har bedt </w:t>
      </w:r>
      <w:proofErr w:type="spellStart"/>
      <w:r w:rsidRPr="00175F8B">
        <w:t>SIen</w:t>
      </w:r>
      <w:proofErr w:type="spellEnd"/>
      <w:r w:rsidRPr="00175F8B">
        <w:t xml:space="preserve"> om å stille en kurs og </w:t>
      </w:r>
      <w:proofErr w:type="spellStart"/>
      <w:r w:rsidRPr="00175F8B">
        <w:t>SIen</w:t>
      </w:r>
      <w:proofErr w:type="spellEnd"/>
      <w:r w:rsidRPr="00175F8B">
        <w:t xml:space="preserve"> aksepterer å stille en kurs, se </w:t>
      </w:r>
      <w:proofErr w:type="spellStart"/>
      <w:r w:rsidRPr="00175F8B">
        <w:t>MiFIR</w:t>
      </w:r>
      <w:proofErr w:type="spellEnd"/>
      <w:r w:rsidRPr="00175F8B">
        <w:t xml:space="preserve"> artikkel 18 nr. 1. Der marked for det aktuelle finansielle instrumentet er </w:t>
      </w:r>
      <w:proofErr w:type="spellStart"/>
      <w:r w:rsidRPr="00175F8B">
        <w:t>illikvid</w:t>
      </w:r>
      <w:proofErr w:type="spellEnd"/>
      <w:r w:rsidRPr="00175F8B">
        <w:t xml:space="preserve">, skal </w:t>
      </w:r>
      <w:proofErr w:type="spellStart"/>
      <w:r w:rsidRPr="00175F8B">
        <w:t>SIen</w:t>
      </w:r>
      <w:proofErr w:type="spellEnd"/>
      <w:r w:rsidRPr="00175F8B">
        <w:t xml:space="preserve"> på forespørsel oppgi kurser til sine kunder dersom </w:t>
      </w:r>
      <w:proofErr w:type="spellStart"/>
      <w:r w:rsidRPr="00175F8B">
        <w:t>SIen</w:t>
      </w:r>
      <w:proofErr w:type="spellEnd"/>
      <w:r w:rsidRPr="00175F8B">
        <w:t xml:space="preserve"> aksep</w:t>
      </w:r>
      <w:r w:rsidRPr="00175F8B">
        <w:t xml:space="preserve">terer å stille en kurs, jf. </w:t>
      </w:r>
      <w:proofErr w:type="spellStart"/>
      <w:r w:rsidRPr="00175F8B">
        <w:t>MiFIR</w:t>
      </w:r>
      <w:proofErr w:type="spellEnd"/>
      <w:r w:rsidRPr="00175F8B">
        <w:t xml:space="preserve"> artikkel 18 nr. 2. </w:t>
      </w:r>
      <w:proofErr w:type="spellStart"/>
      <w:r w:rsidRPr="00175F8B">
        <w:t>SIer</w:t>
      </w:r>
      <w:proofErr w:type="spellEnd"/>
      <w:r w:rsidRPr="00175F8B">
        <w:t xml:space="preserve"> kan unntas fra forpliktelsen til å oppgi kurser i et </w:t>
      </w:r>
      <w:proofErr w:type="spellStart"/>
      <w:r w:rsidRPr="00175F8B">
        <w:t>illikvid</w:t>
      </w:r>
      <w:proofErr w:type="spellEnd"/>
      <w:r w:rsidRPr="00175F8B">
        <w:t xml:space="preserve"> instrument til andre kunder hvis vilkårene i </w:t>
      </w:r>
      <w:proofErr w:type="spellStart"/>
      <w:r w:rsidRPr="00175F8B">
        <w:t>MiFIR</w:t>
      </w:r>
      <w:proofErr w:type="spellEnd"/>
      <w:r w:rsidRPr="00175F8B">
        <w:t xml:space="preserve"> artikkel 9 nr. 1 er til stede, dvs. at </w:t>
      </w:r>
      <w:proofErr w:type="spellStart"/>
      <w:r w:rsidRPr="00175F8B">
        <w:t>SIer</w:t>
      </w:r>
      <w:proofErr w:type="spellEnd"/>
      <w:r w:rsidRPr="00175F8B">
        <w:t xml:space="preserve"> for </w:t>
      </w:r>
      <w:proofErr w:type="spellStart"/>
      <w:r w:rsidRPr="00175F8B">
        <w:t>illikvide</w:t>
      </w:r>
      <w:proofErr w:type="spellEnd"/>
      <w:r w:rsidRPr="00175F8B">
        <w:t xml:space="preserve"> instrumenter har samme unntaksmuligheter som handelsplassene.</w:t>
      </w:r>
    </w:p>
    <w:p w14:paraId="3289F3D2" w14:textId="77777777" w:rsidR="00080633" w:rsidRPr="00175F8B" w:rsidRDefault="00080633" w:rsidP="00175F8B">
      <w:pPr>
        <w:pStyle w:val="Overskrift2"/>
      </w:pPr>
      <w:r w:rsidRPr="00175F8B">
        <w:t>Forventet EØS-rett</w:t>
      </w:r>
    </w:p>
    <w:p w14:paraId="715B7FE0" w14:textId="77777777" w:rsidR="00080633" w:rsidRPr="00175F8B" w:rsidRDefault="00080633" w:rsidP="00175F8B">
      <w:pPr>
        <w:pStyle w:val="Overskrift3"/>
      </w:pPr>
      <w:r w:rsidRPr="00175F8B">
        <w:t xml:space="preserve">Systematiske </w:t>
      </w:r>
      <w:proofErr w:type="spellStart"/>
      <w:r w:rsidRPr="00175F8B">
        <w:t>internalisereres</w:t>
      </w:r>
      <w:proofErr w:type="spellEnd"/>
      <w:r w:rsidRPr="00175F8B">
        <w:t xml:space="preserve"> offentliggjøring av kurser i aksjer mv. (pre-trade transparens)</w:t>
      </w:r>
    </w:p>
    <w:p w14:paraId="5E45A43E" w14:textId="77777777" w:rsidR="00080633" w:rsidRPr="00175F8B" w:rsidRDefault="00080633" w:rsidP="00175F8B">
      <w:r w:rsidRPr="00175F8B">
        <w:t xml:space="preserve">Formålet med å stille krav om pre-trade transparens for </w:t>
      </w:r>
      <w:proofErr w:type="spellStart"/>
      <w:r w:rsidRPr="00175F8B">
        <w:t>SIer</w:t>
      </w:r>
      <w:proofErr w:type="spellEnd"/>
      <w:r w:rsidRPr="00175F8B">
        <w:t xml:space="preserve">, er å styrke prisdannelsesprosessen og opprettholde like konkurransevilkår mellom handelsplasser og </w:t>
      </w:r>
      <w:proofErr w:type="spellStart"/>
      <w:r w:rsidRPr="00175F8B">
        <w:t>SIer</w:t>
      </w:r>
      <w:proofErr w:type="spellEnd"/>
      <w:r w:rsidRPr="00175F8B">
        <w:t xml:space="preserve">. Vilkårene som er satt i </w:t>
      </w:r>
      <w:proofErr w:type="spellStart"/>
      <w:r w:rsidRPr="00175F8B">
        <w:t>MiFIR</w:t>
      </w:r>
      <w:proofErr w:type="spellEnd"/>
      <w:r w:rsidRPr="00175F8B">
        <w:t xml:space="preserve"> artikkel 14 har imidlertid bidratt til at reglene om pre-trade transparens for </w:t>
      </w:r>
      <w:proofErr w:type="spellStart"/>
      <w:r w:rsidRPr="00175F8B">
        <w:t>SIer</w:t>
      </w:r>
      <w:proofErr w:type="spellEnd"/>
      <w:r w:rsidRPr="00175F8B">
        <w:t xml:space="preserve"> ikke har fungert fullt ut etter sin hensikt. Særlig gjelder dette regelen om at </w:t>
      </w:r>
      <w:proofErr w:type="spellStart"/>
      <w:r w:rsidRPr="00175F8B">
        <w:t>SIer</w:t>
      </w:r>
      <w:proofErr w:type="spellEnd"/>
      <w:r w:rsidRPr="00175F8B">
        <w:t xml:space="preserve"> selv kan bestemme for hvilke størrelser på bud de vil stille priser, forutsatt at de angir en pris på en minstestørrelse på bud på minst 10 prosent av den normale markedsstørrelsen. Dette har ført til a</w:t>
      </w:r>
      <w:r w:rsidRPr="00175F8B">
        <w:t>t svært små volumer er kvotert. I fortalen til forordning 2024/791 avsnitt 13 omtales behovet for endringer slik:</w:t>
      </w:r>
    </w:p>
    <w:p w14:paraId="30BABFB5" w14:textId="77777777" w:rsidR="00080633" w:rsidRPr="00175F8B" w:rsidRDefault="00080633" w:rsidP="00175F8B">
      <w:pPr>
        <w:pStyle w:val="blokksit"/>
      </w:pPr>
      <w:r w:rsidRPr="00175F8B">
        <w:t>«</w:t>
      </w:r>
      <w:proofErr w:type="gramStart"/>
      <w:r w:rsidRPr="00175F8B">
        <w:t>In order to</w:t>
      </w:r>
      <w:proofErr w:type="gramEnd"/>
      <w:r w:rsidRPr="00175F8B">
        <w:t xml:space="preserve"> reinforce the price formation process and to maintain a level playing field between trading venues and systematic </w:t>
      </w:r>
      <w:proofErr w:type="spellStart"/>
      <w:r w:rsidRPr="00175F8B">
        <w:t>internalisers</w:t>
      </w:r>
      <w:proofErr w:type="spellEnd"/>
      <w:r w:rsidRPr="00175F8B">
        <w:t xml:space="preserve">, Article 14 of Regulation (EU) No 600/2014 requires systematic </w:t>
      </w:r>
      <w:proofErr w:type="spellStart"/>
      <w:r w:rsidRPr="00175F8B">
        <w:t>internalisers</w:t>
      </w:r>
      <w:proofErr w:type="spellEnd"/>
      <w:r w:rsidRPr="00175F8B">
        <w:t xml:space="preserve"> to make public all quotes in equity instruments where those systematic </w:t>
      </w:r>
      <w:proofErr w:type="spellStart"/>
      <w:r w:rsidRPr="00175F8B">
        <w:t>internalisers</w:t>
      </w:r>
      <w:proofErr w:type="spellEnd"/>
      <w:r w:rsidRPr="00175F8B">
        <w:t xml:space="preserve"> deal in sizes of up to the standard market size. Systematic </w:t>
      </w:r>
      <w:proofErr w:type="spellStart"/>
      <w:r w:rsidRPr="00175F8B">
        <w:t>internalisers</w:t>
      </w:r>
      <w:proofErr w:type="spellEnd"/>
      <w:r w:rsidRPr="00175F8B">
        <w:t xml:space="preserve"> are free to decide at which sizes they quote, </w:t>
      </w:r>
      <w:proofErr w:type="gramStart"/>
      <w:r w:rsidRPr="00175F8B">
        <w:t>provided that</w:t>
      </w:r>
      <w:proofErr w:type="gramEnd"/>
      <w:r w:rsidRPr="00175F8B">
        <w:t xml:space="preserve"> they quote at a minimum size of 10 % of the standard market size. That possi</w:t>
      </w:r>
      <w:r w:rsidRPr="00175F8B">
        <w:t xml:space="preserve">bility, however, has led to very low levels of pre-trade transparency provided by systematic </w:t>
      </w:r>
      <w:proofErr w:type="spellStart"/>
      <w:r w:rsidRPr="00175F8B">
        <w:t>internalisers</w:t>
      </w:r>
      <w:proofErr w:type="spellEnd"/>
      <w:r w:rsidRPr="00175F8B">
        <w:t xml:space="preserve"> in equity instruments, and has hampered the achievement of a level playing field. It is therefore necessary to require systematic </w:t>
      </w:r>
      <w:proofErr w:type="spellStart"/>
      <w:r w:rsidRPr="00175F8B">
        <w:t>internalisers</w:t>
      </w:r>
      <w:proofErr w:type="spellEnd"/>
      <w:r w:rsidRPr="00175F8B">
        <w:t xml:space="preserve"> to make public firm quotes </w:t>
      </w:r>
      <w:proofErr w:type="gramStart"/>
      <w:r w:rsidRPr="00175F8B">
        <w:t>on the basis of</w:t>
      </w:r>
      <w:proofErr w:type="gramEnd"/>
      <w:r w:rsidRPr="00175F8B">
        <w:t xml:space="preserve"> a minimum quote size to be determined by means of regulatory technical standards. …»</w:t>
      </w:r>
    </w:p>
    <w:p w14:paraId="07594CC9" w14:textId="77777777" w:rsidR="00080633" w:rsidRPr="00175F8B" w:rsidRDefault="00080633" w:rsidP="00175F8B">
      <w:proofErr w:type="spellStart"/>
      <w:r w:rsidRPr="00175F8B">
        <w:t>MiFIR</w:t>
      </w:r>
      <w:proofErr w:type="spellEnd"/>
      <w:r w:rsidRPr="00175F8B">
        <w:t xml:space="preserve"> artikkel 14 nr. 2 og 3 endres derfor slik at regelen om at SI kun må stille forpliktende priser for bud på en minstestørrelse på minst 10 prosent av den normale markedsstørrelsen, oppheves. Etter artikkel 14 nye nr. 2 og 3 skal plikten til å stille priser heretter fastsettes i nivå 2-regelverket.</w:t>
      </w:r>
    </w:p>
    <w:p w14:paraId="07E3802F" w14:textId="77777777" w:rsidR="00080633" w:rsidRPr="00175F8B" w:rsidRDefault="00080633" w:rsidP="00175F8B">
      <w:r w:rsidRPr="00175F8B">
        <w:t xml:space="preserve">Ved utarbeidelsen av nivå 2-regelverket skal ESMA ta hensyn til målet om å øke pre-trade transparensen for aksjer mv. til fordel for sluttinvestor, søke å opprettholde like konkurransevilkår mellom handelsplasser </w:t>
      </w:r>
      <w:r w:rsidRPr="00175F8B">
        <w:t xml:space="preserve">og </w:t>
      </w:r>
      <w:proofErr w:type="spellStart"/>
      <w:r w:rsidRPr="00175F8B">
        <w:t>SIer</w:t>
      </w:r>
      <w:proofErr w:type="spellEnd"/>
      <w:r w:rsidRPr="00175F8B">
        <w:t>, gi sluttinvestor et tilstrekkelig utvalg av handelsalternativer, samt sikre at miljøet for handel i unionen forblir attraktivt og konkurransedyktig både nasjonalt og internasjonalt, jf. fortalen avsnitt 13.</w:t>
      </w:r>
    </w:p>
    <w:p w14:paraId="3DB9314A" w14:textId="77777777" w:rsidR="00080633" w:rsidRPr="00175F8B" w:rsidRDefault="00080633" w:rsidP="00175F8B">
      <w:r w:rsidRPr="00175F8B">
        <w:t xml:space="preserve">For å øke </w:t>
      </w:r>
      <w:proofErr w:type="spellStart"/>
      <w:r w:rsidRPr="00175F8B">
        <w:t>SIenes</w:t>
      </w:r>
      <w:proofErr w:type="spellEnd"/>
      <w:r w:rsidRPr="00175F8B">
        <w:t xml:space="preserve"> konkurranseevne endres </w:t>
      </w:r>
      <w:proofErr w:type="spellStart"/>
      <w:r w:rsidRPr="00175F8B">
        <w:t>MiFIR</w:t>
      </w:r>
      <w:proofErr w:type="spellEnd"/>
      <w:r w:rsidRPr="00175F8B">
        <w:t xml:space="preserve"> artikkel 17a nr. 2, slik at </w:t>
      </w:r>
      <w:proofErr w:type="spellStart"/>
      <w:r w:rsidRPr="00175F8B">
        <w:t>SIer</w:t>
      </w:r>
      <w:proofErr w:type="spellEnd"/>
      <w:r w:rsidRPr="00175F8B">
        <w:t xml:space="preserve"> vil ha adgang til å matche ordre av enhver størrelse på midtpunktet (midt i </w:t>
      </w:r>
      <w:proofErr w:type="spellStart"/>
      <w:r w:rsidRPr="00175F8B">
        <w:t>spreaden</w:t>
      </w:r>
      <w:proofErr w:type="spellEnd"/>
      <w:r w:rsidRPr="00175F8B">
        <w:t xml:space="preserve">), jf. fortalen avsnitt 13. Videre innføres det en ny bestemmelse i </w:t>
      </w:r>
      <w:proofErr w:type="spellStart"/>
      <w:r w:rsidRPr="00175F8B">
        <w:t>MiFIR</w:t>
      </w:r>
      <w:proofErr w:type="spellEnd"/>
      <w:r w:rsidRPr="00175F8B">
        <w:t xml:space="preserve"> artikkel 17a nr. 1 om minste kursendringer (</w:t>
      </w:r>
      <w:proofErr w:type="spellStart"/>
      <w:r w:rsidRPr="00175F8B">
        <w:t>tick</w:t>
      </w:r>
      <w:proofErr w:type="spellEnd"/>
      <w:r w:rsidRPr="00175F8B">
        <w:t xml:space="preserve"> </w:t>
      </w:r>
      <w:proofErr w:type="spellStart"/>
      <w:r w:rsidRPr="00175F8B">
        <w:t>sizes</w:t>
      </w:r>
      <w:proofErr w:type="spellEnd"/>
      <w:r w:rsidRPr="00175F8B">
        <w:t xml:space="preserve">). Etter bestemmelsen skal </w:t>
      </w:r>
      <w:proofErr w:type="spellStart"/>
      <w:r w:rsidRPr="00175F8B">
        <w:t>SIers</w:t>
      </w:r>
      <w:proofErr w:type="spellEnd"/>
      <w:r w:rsidRPr="00175F8B">
        <w:t xml:space="preserve"> kurser, herunder prisforbedringer på disse kursene, samt utførelsespriser, overholde regler om minste kursendringer i samsvar med </w:t>
      </w:r>
      <w:proofErr w:type="spellStart"/>
      <w:r w:rsidRPr="00175F8B">
        <w:t>MiFID</w:t>
      </w:r>
      <w:proofErr w:type="spellEnd"/>
      <w:r w:rsidRPr="00175F8B">
        <w:t xml:space="preserve"> II artikkel 49. Bestemmelsen innebærer at </w:t>
      </w:r>
      <w:proofErr w:type="spellStart"/>
      <w:r w:rsidRPr="00175F8B">
        <w:t>SIer</w:t>
      </w:r>
      <w:proofErr w:type="spellEnd"/>
      <w:r w:rsidRPr="00175F8B">
        <w:t xml:space="preserve"> må forholde seg</w:t>
      </w:r>
      <w:r w:rsidRPr="00175F8B">
        <w:t xml:space="preserve"> til en </w:t>
      </w:r>
      <w:proofErr w:type="spellStart"/>
      <w:r w:rsidRPr="00175F8B">
        <w:t>tick-size</w:t>
      </w:r>
      <w:proofErr w:type="spellEnd"/>
      <w:r w:rsidRPr="00175F8B">
        <w:t xml:space="preserve"> tabell på samme måte som regulerte markeder og multilaterale handelsfasiliteter må. ESMA skal utarbeide nivå 2-regelverk innen 29. mars 2025.</w:t>
      </w:r>
    </w:p>
    <w:p w14:paraId="04A4AFCA" w14:textId="77777777" w:rsidR="00080633" w:rsidRPr="00175F8B" w:rsidRDefault="00080633" w:rsidP="00175F8B">
      <w:proofErr w:type="spellStart"/>
      <w:r w:rsidRPr="00175F8B">
        <w:t>MiFIR</w:t>
      </w:r>
      <w:proofErr w:type="spellEnd"/>
      <w:r w:rsidRPr="00175F8B">
        <w:t xml:space="preserve"> artikkel 15 om utførelse av kundeordre endres ved at </w:t>
      </w:r>
      <w:proofErr w:type="spellStart"/>
      <w:r w:rsidRPr="00175F8B">
        <w:t>SIer</w:t>
      </w:r>
      <w:proofErr w:type="spellEnd"/>
      <w:r w:rsidRPr="00175F8B">
        <w:t xml:space="preserve"> blir pålagt å etablere transparente, ikke-diskriminerende og objektive kriterier for effektiv utførelse av kundeordre. Reglene om </w:t>
      </w:r>
      <w:proofErr w:type="spellStart"/>
      <w:r w:rsidRPr="00175F8B">
        <w:t>SIers</w:t>
      </w:r>
      <w:proofErr w:type="spellEnd"/>
      <w:r w:rsidRPr="00175F8B">
        <w:t xml:space="preserve"> systemer styrkes ved at det fastsettes at </w:t>
      </w:r>
      <w:proofErr w:type="spellStart"/>
      <w:r w:rsidRPr="00175F8B">
        <w:t>SIene</w:t>
      </w:r>
      <w:proofErr w:type="spellEnd"/>
      <w:r w:rsidRPr="00175F8B">
        <w:t xml:space="preserve"> skal ha ordninger som sikrer forsvarlig styring av tekniske operasjoner, herunder </w:t>
      </w:r>
      <w:r w:rsidRPr="00175F8B">
        <w:lastRenderedPageBreak/>
        <w:t xml:space="preserve">etablering av effektive beredskapsordninger for å håndtere risiko for systemforstyrrelser, se </w:t>
      </w:r>
      <w:proofErr w:type="spellStart"/>
      <w:r w:rsidRPr="00175F8B">
        <w:t>MiFIR</w:t>
      </w:r>
      <w:proofErr w:type="spellEnd"/>
      <w:r w:rsidRPr="00175F8B">
        <w:t xml:space="preserve"> artikkel 15 nr. 1 nytt tredje ledd.</w:t>
      </w:r>
    </w:p>
    <w:p w14:paraId="3CF88BEF" w14:textId="77777777" w:rsidR="00080633" w:rsidRPr="00175F8B" w:rsidRDefault="00080633" w:rsidP="00175F8B">
      <w:proofErr w:type="spellStart"/>
      <w:r w:rsidRPr="00175F8B">
        <w:t>MiFIR</w:t>
      </w:r>
      <w:proofErr w:type="spellEnd"/>
      <w:r w:rsidRPr="00175F8B">
        <w:t xml:space="preserve"> artikkel 15 nr. 1 annet ledd fastsetter at medlemsstatene skal pålegge </w:t>
      </w:r>
      <w:proofErr w:type="spellStart"/>
      <w:r w:rsidRPr="00175F8B">
        <w:t>SIer</w:t>
      </w:r>
      <w:proofErr w:type="spellEnd"/>
      <w:r w:rsidRPr="00175F8B">
        <w:t xml:space="preserve"> å melde fra til sin tilsynsmyndighet om at de oppfyller kravene til å være SI. Slik melding skal videresendes til ESMA som etablerer en liste over alle </w:t>
      </w:r>
      <w:proofErr w:type="spellStart"/>
      <w:r w:rsidRPr="00175F8B">
        <w:t>SIer</w:t>
      </w:r>
      <w:proofErr w:type="spellEnd"/>
      <w:r w:rsidRPr="00175F8B">
        <w:t xml:space="preserve"> i unionen. Bestemmelsen endres ved at ESMA skal utarbeide nivå 2-regelverk for å spesifisere denne meldingens innhold og format, se </w:t>
      </w:r>
      <w:proofErr w:type="spellStart"/>
      <w:r w:rsidRPr="00175F8B">
        <w:t>MiFIR</w:t>
      </w:r>
      <w:proofErr w:type="spellEnd"/>
      <w:r w:rsidRPr="00175F8B">
        <w:t xml:space="preserve"> artikkel 15 ny nr. 5. Nivå 2-regelverket skal forelegges Kommisjonen innen 29. mars 2025.</w:t>
      </w:r>
    </w:p>
    <w:p w14:paraId="261D2877" w14:textId="77777777" w:rsidR="00080633" w:rsidRPr="00175F8B" w:rsidRDefault="00080633" w:rsidP="00175F8B">
      <w:r w:rsidRPr="00175F8B">
        <w:t>Det gjør</w:t>
      </w:r>
      <w:r w:rsidRPr="00175F8B">
        <w:t xml:space="preserve">es endringer i </w:t>
      </w:r>
      <w:proofErr w:type="spellStart"/>
      <w:r w:rsidRPr="00175F8B">
        <w:t>MiFIR</w:t>
      </w:r>
      <w:proofErr w:type="spellEnd"/>
      <w:r w:rsidRPr="00175F8B">
        <w:t xml:space="preserve"> artikkel 16 om tilsynsmyndighetenes forpliktelser. Kravet om at tilsynsmyndighetene skal kontrollere at </w:t>
      </w:r>
      <w:proofErr w:type="spellStart"/>
      <w:r w:rsidRPr="00175F8B">
        <w:t>SIer</w:t>
      </w:r>
      <w:proofErr w:type="spellEnd"/>
      <w:r w:rsidRPr="00175F8B">
        <w:t xml:space="preserve"> overholder de fastsatte vilkårene for prisforbedringer i </w:t>
      </w:r>
      <w:proofErr w:type="spellStart"/>
      <w:r w:rsidRPr="00175F8B">
        <w:t>MiFIR</w:t>
      </w:r>
      <w:proofErr w:type="spellEnd"/>
      <w:r w:rsidRPr="00175F8B">
        <w:t xml:space="preserve"> artikkel 15 nr. 2, gjelder fremdeles. Kravet om at tilsynsmyndighetene skal påse at </w:t>
      </w:r>
      <w:proofErr w:type="spellStart"/>
      <w:r w:rsidRPr="00175F8B">
        <w:t>SIene</w:t>
      </w:r>
      <w:proofErr w:type="spellEnd"/>
      <w:r w:rsidRPr="00175F8B">
        <w:t xml:space="preserve"> regelmessig ajourfører offentliggjorte kjøps- og salgskurser i henhold til </w:t>
      </w:r>
      <w:proofErr w:type="spellStart"/>
      <w:r w:rsidRPr="00175F8B">
        <w:t>MiFIR</w:t>
      </w:r>
      <w:proofErr w:type="spellEnd"/>
      <w:r w:rsidRPr="00175F8B">
        <w:t xml:space="preserve"> artikkel 14, fjernes. Det innføres imidlertid et nytt krav om at tilsynsmyndighetene skal påse at </w:t>
      </w:r>
      <w:proofErr w:type="spellStart"/>
      <w:r w:rsidRPr="00175F8B">
        <w:t>SIer</w:t>
      </w:r>
      <w:proofErr w:type="spellEnd"/>
      <w:r w:rsidRPr="00175F8B">
        <w:t xml:space="preserve"> overholder kravene til utførelse av kundeordr</w:t>
      </w:r>
      <w:r w:rsidRPr="00175F8B">
        <w:t xml:space="preserve">e etter </w:t>
      </w:r>
      <w:proofErr w:type="spellStart"/>
      <w:r w:rsidRPr="00175F8B">
        <w:t>MiFIR</w:t>
      </w:r>
      <w:proofErr w:type="spellEnd"/>
      <w:r w:rsidRPr="00175F8B">
        <w:t xml:space="preserve"> artikkel 15 nr. 1</w:t>
      </w:r>
      <w:r w:rsidRPr="00175F8B">
        <w:t>.</w:t>
      </w:r>
    </w:p>
    <w:p w14:paraId="47A63280" w14:textId="77777777" w:rsidR="00080633" w:rsidRPr="00175F8B" w:rsidRDefault="00080633" w:rsidP="00175F8B">
      <w:pPr>
        <w:pStyle w:val="Overskrift3"/>
      </w:pPr>
      <w:r w:rsidRPr="00175F8B">
        <w:t xml:space="preserve">Systematiske </w:t>
      </w:r>
      <w:proofErr w:type="spellStart"/>
      <w:r w:rsidRPr="00175F8B">
        <w:t>internalisereres</w:t>
      </w:r>
      <w:proofErr w:type="spellEnd"/>
      <w:r w:rsidRPr="00175F8B">
        <w:t xml:space="preserve"> offentliggjøring av kurser i obligasjoner mv. (pre-trade transparens)</w:t>
      </w:r>
    </w:p>
    <w:p w14:paraId="4DEC2719" w14:textId="77777777" w:rsidR="00080633" w:rsidRPr="00175F8B" w:rsidRDefault="00080633" w:rsidP="00175F8B">
      <w:proofErr w:type="spellStart"/>
      <w:r w:rsidRPr="00175F8B">
        <w:t>MiFIR</w:t>
      </w:r>
      <w:proofErr w:type="spellEnd"/>
      <w:r w:rsidRPr="00175F8B">
        <w:t xml:space="preserve"> artiklene 18 og 19 fastsetter krav til pre-trade transparens for </w:t>
      </w:r>
      <w:proofErr w:type="spellStart"/>
      <w:r w:rsidRPr="00175F8B">
        <w:t>SIer</w:t>
      </w:r>
      <w:proofErr w:type="spellEnd"/>
      <w:r w:rsidRPr="00175F8B">
        <w:t xml:space="preserve"> som gir faste eller </w:t>
      </w:r>
      <w:proofErr w:type="spellStart"/>
      <w:r w:rsidRPr="00175F8B">
        <w:t>indikative</w:t>
      </w:r>
      <w:proofErr w:type="spellEnd"/>
      <w:r w:rsidRPr="00175F8B">
        <w:t xml:space="preserve"> kurser til sine kunder for obligasjoner mv. Disse kursene er tilpasset individuelle kunder og har i henhold til fortalen til forordning 2024/791 avsnitt 14, marginal informasjonsverdi for øvrige kunder. På bakgrunn av dette fjernes kravet om pre-trade transparens for obligasjoner mv. </w:t>
      </w:r>
      <w:proofErr w:type="spellStart"/>
      <w:r w:rsidRPr="00175F8B">
        <w:t>SIer</w:t>
      </w:r>
      <w:proofErr w:type="spellEnd"/>
      <w:r w:rsidRPr="00175F8B">
        <w:t xml:space="preserve"> kan imidlertid fremdeles oppfylle kravene til pre-trade transparens på frivillig basis, for eksempel for å imøtekomme be</w:t>
      </w:r>
      <w:r w:rsidRPr="00175F8B">
        <w:t>hovene til sine ikke profesjonelle kunder, jf. fortalen avsnitt 14.</w:t>
      </w:r>
    </w:p>
    <w:p w14:paraId="77A4D8AC" w14:textId="77777777" w:rsidR="00080633" w:rsidRPr="00175F8B" w:rsidRDefault="00080633" w:rsidP="00175F8B">
      <w:pPr>
        <w:pStyle w:val="Overskrift3"/>
      </w:pPr>
      <w:r w:rsidRPr="00175F8B">
        <w:t>Endringer i reglene om verdipapirforetaks plikt til å offentliggjøre post-trade informasjon</w:t>
      </w:r>
    </w:p>
    <w:p w14:paraId="0A194296" w14:textId="77777777" w:rsidR="00080633" w:rsidRPr="00175F8B" w:rsidRDefault="00080633" w:rsidP="00175F8B">
      <w:r w:rsidRPr="00175F8B">
        <w:t xml:space="preserve">Etter gjeldende rett er alle verdipapirforetak – ikke bare </w:t>
      </w:r>
      <w:proofErr w:type="spellStart"/>
      <w:r w:rsidRPr="00175F8B">
        <w:t>SIer</w:t>
      </w:r>
      <w:proofErr w:type="spellEnd"/>
      <w:r w:rsidRPr="00175F8B">
        <w:t xml:space="preserve"> – underlagt regler om offentliggjøring av post-trade informasjon når de gjennomfører handler utenfor en handelsplass i finansielle instrumenter som handles på en handelsplass. Reglene </w:t>
      </w:r>
      <w:proofErr w:type="gramStart"/>
      <w:r w:rsidRPr="00175F8B">
        <w:t>fremgår</w:t>
      </w:r>
      <w:proofErr w:type="gramEnd"/>
      <w:r w:rsidRPr="00175F8B">
        <w:t xml:space="preserve"> av </w:t>
      </w:r>
      <w:proofErr w:type="spellStart"/>
      <w:r w:rsidRPr="00175F8B">
        <w:t>MiFIR</w:t>
      </w:r>
      <w:proofErr w:type="spellEnd"/>
      <w:r w:rsidRPr="00175F8B">
        <w:t xml:space="preserve"> artikkel 20 (aksjer mv.) og 21 (obligasjoner mv.) og tilhørende nivå 2-regelverk (RTS 1 (for aksjer mv.) og RTS 2 (for obligasjoner mv.)). Offentliggjøring av post-trade informasjon skal skje gjennom en APA. Reglene er i stor grad basert på de tilsvarende reglene som gjelder for handelsplasser, herunder r</w:t>
      </w:r>
      <w:r w:rsidRPr="00175F8B">
        <w:t>eglene om utsatt offentliggjøring.</w:t>
      </w:r>
    </w:p>
    <w:p w14:paraId="061C30F7" w14:textId="77777777" w:rsidR="00080633" w:rsidRPr="00175F8B" w:rsidRDefault="00080633" w:rsidP="00175F8B">
      <w:r w:rsidRPr="00175F8B">
        <w:t xml:space="preserve">Det gjøres endringer i reglene om verdipapirforetaks plikt til å offentliggjøre post-trade informasjon som i hovedsak svarer til tilsvarende endringer for handelsplassene, (se kapittel 4.3. </w:t>
      </w:r>
      <w:proofErr w:type="spellStart"/>
      <w:r w:rsidRPr="00175F8B">
        <w:t>MiFIR</w:t>
      </w:r>
      <w:proofErr w:type="spellEnd"/>
      <w:r w:rsidRPr="00175F8B">
        <w:t xml:space="preserve"> artikkel 20 (aksjer mv.) får et tillegg i ny nr. 1a, hvor det presiseres at post-trade informasjonen skal publiseres én gang for hver transaksjon gjennom en enkelt APA (tilsvarende som etter gjeldende regler for obligasjoner mv.). Reglene om verdipapirforetaks plikt til å offentliggjøre post-trade informasjon for obligasjoner mv. i </w:t>
      </w:r>
      <w:proofErr w:type="spellStart"/>
      <w:r w:rsidRPr="00175F8B">
        <w:t>MiFIR</w:t>
      </w:r>
      <w:proofErr w:type="spellEnd"/>
      <w:r w:rsidRPr="00175F8B">
        <w:t xml:space="preserve"> artikkel 21 endres på samme måte som reglene for handelsplassene, herunder reglene om utsatt offentliggjøring, se kapittel 4.2.4. Virkeområdet for handler i OTC-deriv</w:t>
      </w:r>
      <w:r w:rsidRPr="00175F8B">
        <w:t xml:space="preserve">ater endres som omtalt i </w:t>
      </w:r>
      <w:proofErr w:type="spellStart"/>
      <w:r w:rsidRPr="00175F8B">
        <w:t>MiFIR</w:t>
      </w:r>
      <w:proofErr w:type="spellEnd"/>
      <w:r w:rsidRPr="00175F8B">
        <w:t xml:space="preserve"> ny artikkel 8a nr. 2, se kapittel 4.3.3. Reglene om utsatt offentliggjøring viser til endrede bestemmelser i artikkel 11 og 11a, se kapittel 4.3.6. Dette innebærer blant annet at verdipapirforetak kan benytte de samme nye ordningene for utsatt offentliggjøring som handelsplasser kan benytte.</w:t>
      </w:r>
    </w:p>
    <w:p w14:paraId="028F1740" w14:textId="77777777" w:rsidR="00080633" w:rsidRPr="00175F8B" w:rsidRDefault="00080633" w:rsidP="00175F8B">
      <w:pPr>
        <w:pStyle w:val="Overskrift2"/>
      </w:pPr>
      <w:r w:rsidRPr="00175F8B">
        <w:t>Utpekt publiseringsenhet (</w:t>
      </w:r>
      <w:proofErr w:type="spellStart"/>
      <w:r w:rsidRPr="00175F8B">
        <w:t>Designated</w:t>
      </w:r>
      <w:proofErr w:type="spellEnd"/>
      <w:r w:rsidRPr="00175F8B">
        <w:t xml:space="preserve"> Publishing </w:t>
      </w:r>
      <w:proofErr w:type="spellStart"/>
      <w:r w:rsidRPr="00175F8B">
        <w:t>Entity</w:t>
      </w:r>
      <w:proofErr w:type="spellEnd"/>
      <w:r w:rsidRPr="00175F8B">
        <w:t>)</w:t>
      </w:r>
    </w:p>
    <w:p w14:paraId="467BA979" w14:textId="09B89C6A" w:rsidR="00080633" w:rsidRPr="00175F8B" w:rsidRDefault="00080633" w:rsidP="00175F8B">
      <w:pPr>
        <w:pStyle w:val="Overskrift3"/>
      </w:pPr>
      <w:r w:rsidRPr="00175F8B">
        <w:t xml:space="preserve">Gjeldende EU-rett </w:t>
      </w:r>
      <w:r w:rsidRPr="00175F8B">
        <w:t>(</w:t>
      </w:r>
      <w:proofErr w:type="spellStart"/>
      <w:r w:rsidRPr="00175F8B">
        <w:t>MiFIR</w:t>
      </w:r>
      <w:proofErr w:type="spellEnd"/>
      <w:r w:rsidRPr="00175F8B">
        <w:t xml:space="preserve"> før forordning 2024/791)</w:t>
      </w:r>
    </w:p>
    <w:p w14:paraId="11215BC8" w14:textId="77777777" w:rsidR="00080633" w:rsidRPr="00175F8B" w:rsidRDefault="00080633" w:rsidP="00175F8B">
      <w:r w:rsidRPr="00175F8B">
        <w:t xml:space="preserve">Dersom en part i en transaksjon er en SI, må </w:t>
      </w:r>
      <w:proofErr w:type="spellStart"/>
      <w:r w:rsidRPr="00175F8B">
        <w:t>SIen</w:t>
      </w:r>
      <w:proofErr w:type="spellEnd"/>
      <w:r w:rsidRPr="00175F8B">
        <w:t xml:space="preserve"> rapportere transaksjonen til en APA, mens motparten ikke er forpliktet til å gjøre dette. Dette følger av </w:t>
      </w:r>
      <w:proofErr w:type="spellStart"/>
      <w:r w:rsidRPr="00175F8B">
        <w:t>MiFIR</w:t>
      </w:r>
      <w:proofErr w:type="spellEnd"/>
      <w:r w:rsidRPr="00175F8B">
        <w:t xml:space="preserve"> arti</w:t>
      </w:r>
      <w:r w:rsidRPr="00175F8B">
        <w:t>kkel 20 nr. 1 (aksjer mv.) og artikkel 21 nr. 1 (obligasjoner mv.).</w:t>
      </w:r>
    </w:p>
    <w:p w14:paraId="47CAC373" w14:textId="77777777" w:rsidR="00080633" w:rsidRPr="00175F8B" w:rsidRDefault="00080633" w:rsidP="00175F8B">
      <w:pPr>
        <w:pStyle w:val="Overskrift3"/>
      </w:pPr>
      <w:r w:rsidRPr="00175F8B">
        <w:lastRenderedPageBreak/>
        <w:t>Forventet EØS rett</w:t>
      </w:r>
    </w:p>
    <w:p w14:paraId="48B8EAAB" w14:textId="77777777" w:rsidR="00080633" w:rsidRPr="00175F8B" w:rsidRDefault="00080633" w:rsidP="00175F8B">
      <w:r w:rsidRPr="00175F8B">
        <w:t xml:space="preserve">Regelen om at SI må rapportere transaksjoner til en APA har ført til at mange verdipapirforetak har valgt å bli SI for å kunne rapportere handler for sine kunder, uten at foretaket handler på en systematisk måte for egen regning. Reglene har i henhold til fortalen til forordning 2024/791 avsnitt 15, påført disse verdipapirforetakene uforholdsmessige krav. På denne bakgrunn innfører </w:t>
      </w:r>
      <w:proofErr w:type="spellStart"/>
      <w:r w:rsidRPr="00175F8B">
        <w:t>MiFIR</w:t>
      </w:r>
      <w:proofErr w:type="spellEnd"/>
      <w:r w:rsidRPr="00175F8B">
        <w:t xml:space="preserve"> ny artikkel 21a regler om en ny type rolle som </w:t>
      </w:r>
      <w:r w:rsidRPr="00175F8B">
        <w:rPr>
          <w:rStyle w:val="kursiv"/>
        </w:rPr>
        <w:t>utpekt publiseringsenhet</w:t>
      </w:r>
      <w:r w:rsidRPr="00175F8B">
        <w:t xml:space="preserve"> (</w:t>
      </w:r>
      <w:proofErr w:type="spellStart"/>
      <w:r w:rsidRPr="00175F8B">
        <w:t>Designated</w:t>
      </w:r>
      <w:proofErr w:type="spellEnd"/>
      <w:r w:rsidRPr="00175F8B">
        <w:t xml:space="preserve"> Publishing </w:t>
      </w:r>
      <w:proofErr w:type="spellStart"/>
      <w:r w:rsidRPr="00175F8B">
        <w:t>Entity</w:t>
      </w:r>
      <w:proofErr w:type="spellEnd"/>
      <w:r w:rsidRPr="00175F8B">
        <w:t>), slik at et verdipapirforetak kan være ansvarlig for å gjøre en transaksjon offentlig gjennom en APA, uten å måtte velge status som SI.</w:t>
      </w:r>
    </w:p>
    <w:p w14:paraId="790F7E6E" w14:textId="77777777" w:rsidR="00080633" w:rsidRPr="00175F8B" w:rsidRDefault="00080633" w:rsidP="00175F8B">
      <w:r w:rsidRPr="00175F8B">
        <w:t xml:space="preserve">Tilsynsmyndigheten skal gi verdipapirforetaket status som utpekt publiseringsenhet for spesifikke klasser av finansielle instrumenter, på anmodning fra verdipapirforetaket. Tilsynsmyndigheten skal kommunisere slike anmodninger til ESMA, se </w:t>
      </w:r>
      <w:proofErr w:type="spellStart"/>
      <w:r w:rsidRPr="00175F8B">
        <w:t>MiFIR</w:t>
      </w:r>
      <w:proofErr w:type="spellEnd"/>
      <w:r w:rsidRPr="00175F8B">
        <w:t xml:space="preserve"> artikkel 21a nr. 1.</w:t>
      </w:r>
    </w:p>
    <w:p w14:paraId="627239C5" w14:textId="77777777" w:rsidR="00080633" w:rsidRPr="00175F8B" w:rsidRDefault="00080633" w:rsidP="00175F8B">
      <w:r w:rsidRPr="00175F8B">
        <w:t xml:space="preserve">Den parten i transaksjonen som er en utpekt publiseringsenhet, er ansvarlig for å offentliggjøre transaksjonene gjennom en APA i henhold til </w:t>
      </w:r>
      <w:proofErr w:type="spellStart"/>
      <w:r w:rsidRPr="00175F8B">
        <w:t>MiFIR</w:t>
      </w:r>
      <w:proofErr w:type="spellEnd"/>
      <w:r w:rsidRPr="00175F8B">
        <w:t xml:space="preserve"> artikkel 20 nr. 1 og artikkel 21 nr. 1, se </w:t>
      </w:r>
      <w:proofErr w:type="spellStart"/>
      <w:r w:rsidRPr="00175F8B">
        <w:t>MiFIR</w:t>
      </w:r>
      <w:proofErr w:type="spellEnd"/>
      <w:r w:rsidRPr="00175F8B">
        <w:t xml:space="preserve"> artikkel 21a nr. 2.</w:t>
      </w:r>
    </w:p>
    <w:p w14:paraId="531F257D" w14:textId="77777777" w:rsidR="00080633" w:rsidRPr="00175F8B" w:rsidRDefault="00080633" w:rsidP="00175F8B">
      <w:r w:rsidRPr="00175F8B">
        <w:t xml:space="preserve">Dersom ingen av partene, eller begge parter i transaksjonen er utpekt publiseringsenhet, er det kun parten som selger det aktuelle finansielle instrumentet som er ansvarlig for å offentliggjøre transaksjonen gjennom en APA, se </w:t>
      </w:r>
      <w:proofErr w:type="spellStart"/>
      <w:r w:rsidRPr="00175F8B">
        <w:t>MiFIR</w:t>
      </w:r>
      <w:proofErr w:type="spellEnd"/>
      <w:r w:rsidRPr="00175F8B">
        <w:t xml:space="preserve"> artikkel 21a nr. 3.</w:t>
      </w:r>
    </w:p>
    <w:p w14:paraId="6CEE0DF7" w14:textId="77777777" w:rsidR="00080633" w:rsidRPr="00175F8B" w:rsidRDefault="00080633" w:rsidP="00175F8B">
      <w:r w:rsidRPr="00175F8B">
        <w:t xml:space="preserve">ESMA skal føre et register over alle utpekte publiseringsenheter for de ulike klassene av finansielle instrumenter, slik at markedsdeltakerne kan identifisere dem. Etableringen av registeret skal skje innen 29. september 2024, se </w:t>
      </w:r>
      <w:proofErr w:type="spellStart"/>
      <w:r w:rsidRPr="00175F8B">
        <w:t>MiFIR</w:t>
      </w:r>
      <w:proofErr w:type="spellEnd"/>
      <w:r w:rsidRPr="00175F8B">
        <w:t xml:space="preserve"> artikkel 21a nr. 4.</w:t>
      </w:r>
    </w:p>
    <w:p w14:paraId="039AA99B" w14:textId="77777777" w:rsidR="00080633" w:rsidRPr="00175F8B" w:rsidRDefault="00080633" w:rsidP="00175F8B">
      <w:r w:rsidRPr="00175F8B">
        <w:t xml:space="preserve">Artikkel 27g får et nytt nr. 4a som fastsetter at en APA skal ha objektive og ikke-diskriminerende regler for tilgang til </w:t>
      </w:r>
      <w:proofErr w:type="spellStart"/>
      <w:r w:rsidRPr="00175F8B">
        <w:t>APAens</w:t>
      </w:r>
      <w:proofErr w:type="spellEnd"/>
      <w:r w:rsidRPr="00175F8B">
        <w:t xml:space="preserve"> tjenester for foretak som faller inn under transparenskravene i artikkel 20 nr. 1 og 21 nr. 1.</w:t>
      </w:r>
    </w:p>
    <w:p w14:paraId="5F694FEF" w14:textId="77777777" w:rsidR="00080633" w:rsidRPr="00175F8B" w:rsidRDefault="00080633" w:rsidP="00175F8B">
      <w:pPr>
        <w:pStyle w:val="Overskrift2"/>
      </w:pPr>
      <w:r w:rsidRPr="00175F8B">
        <w:t>Utvalgets vurderinger</w:t>
      </w:r>
    </w:p>
    <w:p w14:paraId="662C7F9B" w14:textId="77777777" w:rsidR="00080633" w:rsidRPr="00175F8B" w:rsidRDefault="00080633" w:rsidP="00175F8B">
      <w:r w:rsidRPr="00175F8B">
        <w:t xml:space="preserve">Utvalget bemerker at </w:t>
      </w:r>
      <w:proofErr w:type="spellStart"/>
      <w:r w:rsidRPr="00175F8B">
        <w:t>MiFIRs</w:t>
      </w:r>
      <w:proofErr w:type="spellEnd"/>
      <w:r w:rsidRPr="00175F8B">
        <w:t xml:space="preserve"> regler for SI på noen områder har vist seg å være uegnet til å ivareta overordnede mål om økt transparens og likebehandling av handelsplasser og </w:t>
      </w:r>
      <w:proofErr w:type="spellStart"/>
      <w:r w:rsidRPr="00175F8B">
        <w:t>SIer</w:t>
      </w:r>
      <w:proofErr w:type="spellEnd"/>
      <w:r w:rsidRPr="00175F8B">
        <w:t>. Regelen om plikt til å stille priser på 10 prosent av standard markedsstørrelse innebærer at det stilles priser for svært små volumer. Dette bidrar til et uoversiktlig prisbilde. Utvalget legger til grunn at en ordning der ESMA fastsetter reglene for plikt til å stille priser på nivå-2, vil kunne bidra til likere konkurransevilkår og til økt transparen</w:t>
      </w:r>
      <w:r w:rsidRPr="00175F8B">
        <w:t xml:space="preserve">s. Utvalget bemerker i tillegg at det innebærer forenkling at pre-trade transparensreglene faller bort for obligasjoner mv. Det er kun fire foretak som har tillatelse til å drive SI, som har Norge som hjemstat. Bare to av disse handler på en systematisk måte for egen regning. De to øvrige har tillatelse som SI for å kunne rapportere handler til APA for kunder. For disse innebærer reglene om utpekte </w:t>
      </w:r>
      <w:r w:rsidRPr="00175F8B">
        <w:t>publiseringsenheter en ikke-ubetydelig forenkling.</w:t>
      </w:r>
      <w:r w:rsidRPr="00175F8B">
        <w:t xml:space="preserve"> Utvalget antar at opprettelsen av denne kategorien tjeneste</w:t>
      </w:r>
      <w:r w:rsidRPr="00175F8B">
        <w:t xml:space="preserve"> vil kunne bidra til en reduksjon av antall </w:t>
      </w:r>
      <w:proofErr w:type="spellStart"/>
      <w:r w:rsidRPr="00175F8B">
        <w:t>SIer</w:t>
      </w:r>
      <w:proofErr w:type="spellEnd"/>
      <w:r w:rsidRPr="00175F8B">
        <w:t>.</w:t>
      </w:r>
    </w:p>
    <w:p w14:paraId="542839D8" w14:textId="77777777" w:rsidR="00080633" w:rsidRPr="00175F8B" w:rsidRDefault="00080633" w:rsidP="00175F8B"/>
    <w:p w14:paraId="263FF9D3" w14:textId="77777777" w:rsidR="00080633" w:rsidRPr="00175F8B" w:rsidRDefault="00080633" w:rsidP="00175F8B">
      <w:pPr>
        <w:pStyle w:val="Overskrift1"/>
      </w:pPr>
      <w:r w:rsidRPr="00175F8B">
        <w:t>Enkelte fellesspørsmål</w:t>
      </w:r>
    </w:p>
    <w:p w14:paraId="7F5FCBC5" w14:textId="77777777" w:rsidR="00080633" w:rsidRPr="00175F8B" w:rsidRDefault="00080633" w:rsidP="00175F8B">
      <w:pPr>
        <w:pStyle w:val="Overskrift2"/>
      </w:pPr>
      <w:r w:rsidRPr="00175F8B">
        <w:t>Innledning</w:t>
      </w:r>
    </w:p>
    <w:p w14:paraId="191946A5" w14:textId="77777777" w:rsidR="00080633" w:rsidRPr="00175F8B" w:rsidRDefault="00080633" w:rsidP="00175F8B">
      <w:r w:rsidRPr="00175F8B">
        <w:t>I dette kapittelet redegjør utvalget for to spørsmål som har betydning både for datarapporteringsforetak, regulerte markeder, verdipapirforetak og andre som skal rapportere handelsinformasjon, nemlig reglene om synkronisering av klokker og om å offentliggjøre handelsinformasjon på rimelige forretningsmessige vilkår.</w:t>
      </w:r>
    </w:p>
    <w:p w14:paraId="79B7E800" w14:textId="77777777" w:rsidR="00080633" w:rsidRPr="00175F8B" w:rsidRDefault="00080633" w:rsidP="00175F8B">
      <w:pPr>
        <w:pStyle w:val="Overskrift2"/>
      </w:pPr>
      <w:r w:rsidRPr="00175F8B">
        <w:t>Synkronisering av klokker</w:t>
      </w:r>
    </w:p>
    <w:p w14:paraId="1F4C53D2" w14:textId="0A55394C" w:rsidR="00080633" w:rsidRPr="00175F8B" w:rsidRDefault="00080633" w:rsidP="00175F8B">
      <w:pPr>
        <w:pStyle w:val="Overskrift3"/>
      </w:pPr>
      <w:r w:rsidRPr="00175F8B">
        <w:t xml:space="preserve">Gjeldende EU-rett </w:t>
      </w:r>
      <w:r w:rsidRPr="00175F8B">
        <w:t>(</w:t>
      </w:r>
      <w:proofErr w:type="spellStart"/>
      <w:r w:rsidRPr="00175F8B">
        <w:t>MiFIR</w:t>
      </w:r>
      <w:proofErr w:type="spellEnd"/>
      <w:r w:rsidRPr="00175F8B">
        <w:t xml:space="preserve"> før forordning 2024/791)</w:t>
      </w:r>
    </w:p>
    <w:p w14:paraId="4E3850AB" w14:textId="77777777" w:rsidR="00080633" w:rsidRPr="00175F8B" w:rsidRDefault="00080633" w:rsidP="00175F8B">
      <w:r w:rsidRPr="00175F8B">
        <w:t xml:space="preserve">Som omtalt i kapittel 2.2.4 gir </w:t>
      </w:r>
      <w:proofErr w:type="spellStart"/>
      <w:r w:rsidRPr="00175F8B">
        <w:t>MiFID</w:t>
      </w:r>
      <w:proofErr w:type="spellEnd"/>
      <w:r w:rsidRPr="00175F8B">
        <w:t xml:space="preserve"> II artikkel 50 regler om synkronisering av klokker. Reglene er gjennomført i verdipapirhandelloven § 11-25. Bestemmelsen gjelder for handelsplasser og deres medlemmer og deltakere.</w:t>
      </w:r>
    </w:p>
    <w:p w14:paraId="617B7E7F" w14:textId="77777777" w:rsidR="00080633" w:rsidRPr="00175F8B" w:rsidRDefault="00080633" w:rsidP="00175F8B">
      <w:pPr>
        <w:pStyle w:val="Overskrift3"/>
      </w:pPr>
      <w:r w:rsidRPr="00175F8B">
        <w:t>Forventet EØS-rett</w:t>
      </w:r>
    </w:p>
    <w:p w14:paraId="59B0A7D3" w14:textId="77777777" w:rsidR="00080633" w:rsidRPr="00175F8B" w:rsidRDefault="00080633" w:rsidP="00175F8B">
      <w:r w:rsidRPr="00175F8B">
        <w:t xml:space="preserve">Reglene om synkronisering av klokker overføres fra </w:t>
      </w:r>
      <w:proofErr w:type="spellStart"/>
      <w:r w:rsidRPr="00175F8B">
        <w:t>MiFID</w:t>
      </w:r>
      <w:proofErr w:type="spellEnd"/>
      <w:r w:rsidRPr="00175F8B">
        <w:t xml:space="preserve"> II til </w:t>
      </w:r>
      <w:proofErr w:type="spellStart"/>
      <w:r w:rsidRPr="00175F8B">
        <w:t>MiFIR</w:t>
      </w:r>
      <w:proofErr w:type="spellEnd"/>
      <w:r w:rsidRPr="00175F8B">
        <w:t>. Samtidig utvides reglene til å omfatte flere foretak. I fortalen til forordning 2024/791 avsnitt 20 understrekes behovet for konsoliderte, tidsstemplede data fra flere foretak:</w:t>
      </w:r>
    </w:p>
    <w:p w14:paraId="692333C0" w14:textId="77777777" w:rsidR="00080633" w:rsidRPr="00175F8B" w:rsidRDefault="00080633" w:rsidP="00175F8B">
      <w:pPr>
        <w:pStyle w:val="blokksit"/>
      </w:pPr>
      <w:r w:rsidRPr="00175F8B">
        <w:t xml:space="preserve">«To better monitor reportable events, Directive 2014/65/EU harmonises the synchronisation of business clocks for trading venues and their members. To ensure that, in the context of the consolidation of data, timestamps reported by different entities can be compared meaningfully, it is appropriate to extend the requirements for harmonisation of the synchronisation of business clocks to designated publishing entities, systematic </w:t>
      </w:r>
      <w:proofErr w:type="spellStart"/>
      <w:r w:rsidRPr="00175F8B">
        <w:t>internalisers</w:t>
      </w:r>
      <w:proofErr w:type="spellEnd"/>
      <w:r w:rsidRPr="00175F8B">
        <w:t xml:space="preserve">, APAs and CTPs. Due to the level of technical expertise required to specify the requirements for application of a synchronised business clock, ESMA should be empowered to develop draft regulatory technical standards to specify the level of accuracy to which the business clocks should be </w:t>
      </w:r>
      <w:proofErr w:type="gramStart"/>
      <w:r w:rsidRPr="00175F8B">
        <w:t>synchronised.»</w:t>
      </w:r>
      <w:proofErr w:type="gramEnd"/>
    </w:p>
    <w:p w14:paraId="06852E63" w14:textId="77777777" w:rsidR="00080633" w:rsidRPr="00175F8B" w:rsidRDefault="00080633" w:rsidP="00175F8B">
      <w:r w:rsidRPr="00175F8B">
        <w:t xml:space="preserve">Det innføres på denne bakgrunn en ny bestemmelse i </w:t>
      </w:r>
      <w:proofErr w:type="spellStart"/>
      <w:r w:rsidRPr="00175F8B">
        <w:t>MiFIR</w:t>
      </w:r>
      <w:proofErr w:type="spellEnd"/>
      <w:r w:rsidRPr="00175F8B">
        <w:t xml:space="preserve"> artikkel 22c som fastsetter at handelsplasser og deres medlemmer, deltakere og brukere, </w:t>
      </w:r>
      <w:proofErr w:type="spellStart"/>
      <w:r w:rsidRPr="00175F8B">
        <w:t>SIer</w:t>
      </w:r>
      <w:proofErr w:type="spellEnd"/>
      <w:r w:rsidRPr="00175F8B">
        <w:t xml:space="preserve">, utpekte publiseringsenheter, </w:t>
      </w:r>
      <w:proofErr w:type="spellStart"/>
      <w:r w:rsidRPr="00175F8B">
        <w:t>APAer</w:t>
      </w:r>
      <w:proofErr w:type="spellEnd"/>
      <w:r w:rsidRPr="00175F8B">
        <w:t xml:space="preserve"> og </w:t>
      </w:r>
      <w:proofErr w:type="spellStart"/>
      <w:r w:rsidRPr="00175F8B">
        <w:t>CTPer</w:t>
      </w:r>
      <w:proofErr w:type="spellEnd"/>
      <w:r w:rsidRPr="00175F8B">
        <w:t xml:space="preserve"> skal synkronisere klokkene (business </w:t>
      </w:r>
      <w:proofErr w:type="spellStart"/>
      <w:r w:rsidRPr="00175F8B">
        <w:t>clocks</w:t>
      </w:r>
      <w:proofErr w:type="spellEnd"/>
      <w:r w:rsidRPr="00175F8B">
        <w:t xml:space="preserve">) de bruker til å registrere dato og klokkeslett for enhver rapporteringspliktig hendelse, se </w:t>
      </w:r>
      <w:proofErr w:type="spellStart"/>
      <w:r w:rsidRPr="00175F8B">
        <w:t>MiFIR</w:t>
      </w:r>
      <w:proofErr w:type="spellEnd"/>
      <w:r w:rsidRPr="00175F8B">
        <w:t xml:space="preserve"> artikkel 22c nr. 1.</w:t>
      </w:r>
    </w:p>
    <w:p w14:paraId="3E513314" w14:textId="77777777" w:rsidR="00080633" w:rsidRPr="00175F8B" w:rsidRDefault="00080633" w:rsidP="00175F8B">
      <w:r w:rsidRPr="00175F8B">
        <w:t xml:space="preserve">Kravene til </w:t>
      </w:r>
      <w:proofErr w:type="gramStart"/>
      <w:r w:rsidRPr="00175F8B">
        <w:t>anvendelse</w:t>
      </w:r>
      <w:proofErr w:type="gramEnd"/>
      <w:r w:rsidRPr="00175F8B">
        <w:t xml:space="preserve"> av synkroniserte klokker vil bli spesifisert i nivå 2-regelverk, se </w:t>
      </w:r>
      <w:proofErr w:type="spellStart"/>
      <w:r w:rsidRPr="00175F8B">
        <w:t>MiFIR</w:t>
      </w:r>
      <w:proofErr w:type="spellEnd"/>
      <w:r w:rsidRPr="00175F8B">
        <w:t xml:space="preserve"> artikkel 22c nr. 2. ESMA har sendt forslag til kommisjonsforordning på høring, se kapittel 1.5.</w:t>
      </w:r>
    </w:p>
    <w:p w14:paraId="4C215910" w14:textId="77777777" w:rsidR="00080633" w:rsidRPr="00175F8B" w:rsidRDefault="00080633" w:rsidP="00175F8B">
      <w:pPr>
        <w:pStyle w:val="Overskrift3"/>
      </w:pPr>
      <w:r w:rsidRPr="00175F8B">
        <w:t>Utvalgets vurderinger</w:t>
      </w:r>
    </w:p>
    <w:p w14:paraId="366289A3" w14:textId="77777777" w:rsidR="00080633" w:rsidRPr="00175F8B" w:rsidRDefault="00080633" w:rsidP="00175F8B">
      <w:r w:rsidRPr="00175F8B">
        <w:t xml:space="preserve">En grunnleggende forutsetning for å kunne sammenligne pre- og post-trade informasjon fra ulike handelsplasser, datatjenestetilbydere og utførelsesplasser er at informasjonen konsolideres synkront. På denne bakgrunn utvides reglene om synkronisering av klokker til å gjelde for </w:t>
      </w:r>
      <w:proofErr w:type="spellStart"/>
      <w:r w:rsidRPr="00175F8B">
        <w:t>SIer</w:t>
      </w:r>
      <w:proofErr w:type="spellEnd"/>
      <w:r w:rsidRPr="00175F8B">
        <w:t xml:space="preserve">, utpekte publiseringsenheter, </w:t>
      </w:r>
      <w:proofErr w:type="spellStart"/>
      <w:r w:rsidRPr="00175F8B">
        <w:t>APAer</w:t>
      </w:r>
      <w:proofErr w:type="spellEnd"/>
      <w:r w:rsidRPr="00175F8B">
        <w:t xml:space="preserve"> og </w:t>
      </w:r>
      <w:proofErr w:type="spellStart"/>
      <w:r w:rsidRPr="00175F8B">
        <w:t>CTPer</w:t>
      </w:r>
      <w:proofErr w:type="spellEnd"/>
      <w:r w:rsidRPr="00175F8B">
        <w:t xml:space="preserve">, i tillegg til handelsplasser og deres medlemmer og deltakere. Utvalget bemerker at utvidelsen av reglene om synkronisering av klokker innebærer at det påløper utgifter for foretak som før ikke var underlagt reglene, men at utvidelsen er en forutsetning for at </w:t>
      </w:r>
      <w:proofErr w:type="spellStart"/>
      <w:r w:rsidRPr="00175F8B">
        <w:t>CTPene</w:t>
      </w:r>
      <w:proofErr w:type="spellEnd"/>
      <w:r w:rsidRPr="00175F8B">
        <w:t xml:space="preserve"> skal kunne fungere etter sin hensikt</w:t>
      </w:r>
      <w:r w:rsidRPr="00175F8B">
        <w:t>.</w:t>
      </w:r>
    </w:p>
    <w:p w14:paraId="7D470F59" w14:textId="77777777" w:rsidR="00080633" w:rsidRPr="00175F8B" w:rsidRDefault="00080633" w:rsidP="00175F8B">
      <w:pPr>
        <w:pStyle w:val="Overskrift2"/>
      </w:pPr>
      <w:r w:rsidRPr="00175F8B">
        <w:lastRenderedPageBreak/>
        <w:t>Krav om offentliggjøring på rimelige forretningsmessige vilkår</w:t>
      </w:r>
    </w:p>
    <w:p w14:paraId="2A24C112" w14:textId="77777777" w:rsidR="00080633" w:rsidRPr="00175F8B" w:rsidRDefault="00080633" w:rsidP="00175F8B">
      <w:pPr>
        <w:pStyle w:val="Overskrift3"/>
      </w:pPr>
      <w:r w:rsidRPr="00175F8B">
        <w:t>Gjeldende EU-rett (</w:t>
      </w:r>
      <w:proofErr w:type="spellStart"/>
      <w:r w:rsidRPr="00175F8B">
        <w:t>MiFIR</w:t>
      </w:r>
      <w:proofErr w:type="spellEnd"/>
      <w:r w:rsidRPr="00175F8B">
        <w:t xml:space="preserve"> før forordning 2024/791)</w:t>
      </w:r>
    </w:p>
    <w:p w14:paraId="5F0F8D34" w14:textId="77777777" w:rsidR="00080633" w:rsidRPr="00175F8B" w:rsidRDefault="00080633" w:rsidP="00175F8B">
      <w:proofErr w:type="spellStart"/>
      <w:r w:rsidRPr="00175F8B">
        <w:t>MiFIR</w:t>
      </w:r>
      <w:proofErr w:type="spellEnd"/>
      <w:r w:rsidRPr="00175F8B">
        <w:t xml:space="preserve"> artikkel 13 fastsetter at markedsoperatører og verdipapirforetak skal offentliggjøre pre- og post-trade informasjon om transaksjoner i finansielle instrumenter på rimelige forretningsmessige vilkår og på en ikke-diskriminerende måte. Tilsvarende krav gjelder for APA (artikkel 27g), CTP (artikkel 27h) og SI (artikkel 15 og 18). Det er utarbeidet kommisjonsforordninger som utfyller bestemmelsene. Det er i tillegg utarbeidet ESMA-guidelines</w:t>
      </w:r>
      <w:r w:rsidRPr="00175F8B">
        <w:rPr>
          <w:rStyle w:val="Fotnotereferanse"/>
        </w:rPr>
        <w:footnoteReference w:id="20"/>
      </w:r>
      <w:r w:rsidRPr="00175F8B">
        <w:t xml:space="preserve"> som gir veiledning om hvorledes begrepet «rimelige forretningsmessige vilkår» skal anvendes.</w:t>
      </w:r>
    </w:p>
    <w:p w14:paraId="72A8F089" w14:textId="77777777" w:rsidR="00080633" w:rsidRPr="00175F8B" w:rsidRDefault="00080633" w:rsidP="00175F8B">
      <w:pPr>
        <w:pStyle w:val="Overskrift3"/>
      </w:pPr>
      <w:r w:rsidRPr="00175F8B">
        <w:t>Forventet EØS-rett</w:t>
      </w:r>
    </w:p>
    <w:p w14:paraId="5620A025" w14:textId="77777777" w:rsidR="00080633" w:rsidRPr="00175F8B" w:rsidRDefault="00080633" w:rsidP="00175F8B">
      <w:r w:rsidRPr="00175F8B">
        <w:t xml:space="preserve">Reglene i </w:t>
      </w:r>
      <w:proofErr w:type="spellStart"/>
      <w:r w:rsidRPr="00175F8B">
        <w:t>MiFIR</w:t>
      </w:r>
      <w:proofErr w:type="spellEnd"/>
      <w:r w:rsidRPr="00175F8B">
        <w:t xml:space="preserve"> artikkel 13 om plikt til å offentliggjøre pre- og post-trade informasjon om transaksjoner i finansielle instrumenter på rimelige forretningsmessige vilkår og på en ikke-diskriminerende måte, utvides og gjøres langt mer detaljerte</w:t>
      </w:r>
      <w:r w:rsidRPr="00175F8B">
        <w:t>.</w:t>
      </w:r>
    </w:p>
    <w:p w14:paraId="3CAC8654" w14:textId="77777777" w:rsidR="00080633" w:rsidRPr="00175F8B" w:rsidRDefault="00080633" w:rsidP="00175F8B">
      <w:r w:rsidRPr="00175F8B">
        <w:t xml:space="preserve">Begrunnelsen for endringen er ifølge fortalen til forordning 2024/791 avsnitt 12 at reglene ikke har fungert etter sin hensikt. Opplysningene fra handelsplasser, </w:t>
      </w:r>
      <w:proofErr w:type="spellStart"/>
      <w:r w:rsidRPr="00175F8B">
        <w:t>APAer</w:t>
      </w:r>
      <w:proofErr w:type="spellEnd"/>
      <w:r w:rsidRPr="00175F8B">
        <w:t xml:space="preserve"> og </w:t>
      </w:r>
      <w:proofErr w:type="spellStart"/>
      <w:r w:rsidRPr="00175F8B">
        <w:t>SIer</w:t>
      </w:r>
      <w:proofErr w:type="spellEnd"/>
      <w:r w:rsidRPr="00175F8B">
        <w:t xml:space="preserve"> setter ikke brukerne i stand til å forstå foretakenes markedsdatapolicy og hvordan prisen for data fastsettes, selv om det er utarbeidet retningslinjer fra ESMA som gir veiledning om hvordan foretakene skal informere for å oppfylle regelverket. På denne bakgrunn innlemmes retningslinjene fra ESMA i </w:t>
      </w:r>
      <w:proofErr w:type="spellStart"/>
      <w:r w:rsidRPr="00175F8B">
        <w:t>MiFIR</w:t>
      </w:r>
      <w:proofErr w:type="spellEnd"/>
      <w:r w:rsidRPr="00175F8B">
        <w:t xml:space="preserve"> artikkel 13, slik at reglene blir rettslig bindende. Videre styrkes reglene for å sikre at handelsplasser, </w:t>
      </w:r>
      <w:proofErr w:type="spellStart"/>
      <w:r w:rsidRPr="00175F8B">
        <w:t>APAer</w:t>
      </w:r>
      <w:proofErr w:type="spellEnd"/>
      <w:r w:rsidRPr="00175F8B">
        <w:t xml:space="preserve">, </w:t>
      </w:r>
      <w:proofErr w:type="spellStart"/>
      <w:r w:rsidRPr="00175F8B">
        <w:t>CTPer</w:t>
      </w:r>
      <w:proofErr w:type="spellEnd"/>
      <w:r w:rsidRPr="00175F8B">
        <w:t xml:space="preserve"> og </w:t>
      </w:r>
      <w:proofErr w:type="spellStart"/>
      <w:r w:rsidRPr="00175F8B">
        <w:t>SIer</w:t>
      </w:r>
      <w:proofErr w:type="spellEnd"/>
      <w:r w:rsidRPr="00175F8B">
        <w:t xml:space="preserve"> ikke skal kunne kreve gebyrer for data ut fra den verdien dataen</w:t>
      </w:r>
      <w:r w:rsidRPr="00175F8B">
        <w:t>e representerer for den individuelle brukeren.</w:t>
      </w:r>
    </w:p>
    <w:p w14:paraId="41AA2B05" w14:textId="77777777" w:rsidR="00080633" w:rsidRPr="00175F8B" w:rsidRDefault="00080633" w:rsidP="00175F8B">
      <w:r w:rsidRPr="00175F8B">
        <w:t xml:space="preserve">Etter ny artikkel 13 skal markedsoperatører og verdipapirforetak som driver en handelsplass, </w:t>
      </w:r>
      <w:proofErr w:type="spellStart"/>
      <w:r w:rsidRPr="00175F8B">
        <w:t>APAer</w:t>
      </w:r>
      <w:proofErr w:type="spellEnd"/>
      <w:r w:rsidRPr="00175F8B">
        <w:t xml:space="preserve">, </w:t>
      </w:r>
      <w:proofErr w:type="spellStart"/>
      <w:r w:rsidRPr="00175F8B">
        <w:t>CTPer</w:t>
      </w:r>
      <w:proofErr w:type="spellEnd"/>
      <w:r w:rsidRPr="00175F8B">
        <w:t xml:space="preserve"> og </w:t>
      </w:r>
      <w:proofErr w:type="spellStart"/>
      <w:r w:rsidRPr="00175F8B">
        <w:t>SIer</w:t>
      </w:r>
      <w:proofErr w:type="spellEnd"/>
      <w:r w:rsidRPr="00175F8B">
        <w:t xml:space="preserve"> stille opplysninger som skal offentliggjøres i henhold til artiklene 3, 4, 6-11a, 14, 20, 21, 27g og 27h, til rådighet for offentligheten på rimelige forretningsmessige vilkår, herunder objektive og rimelige avtaleforhold. Foretakene skal sikre ikke-diskriminerende adgang til opplysningene. Opplysninger om foretakenes markedsdatapolicy skal stilles gratis til rådighet for offentligheten, på en måte som er lett å få adgang til og å forstå. Femten minutter etter offentliggjøring skal oppl</w:t>
      </w:r>
      <w:r w:rsidRPr="00175F8B">
        <w:t>ysningene stilles gratis til rådighet for offentligheten i et maskinlesbart format som er brukbart for alle brukere, herunder ikke-profesjonelle investorer.</w:t>
      </w:r>
    </w:p>
    <w:p w14:paraId="384124E0" w14:textId="77777777" w:rsidR="00080633" w:rsidRPr="00175F8B" w:rsidRDefault="00080633" w:rsidP="00175F8B">
      <w:r w:rsidRPr="00175F8B">
        <w:t>Bestemmelsen presiserer at vilkåret om «rimelige forretningsmessige vilkår» skal omfatte både gebyrenes størrelse og andre avtalevilkår. Det presiseres at gebyrenes størrelse skal fastsettes ut fra omkostningene ved utarbeidelse og formidling av opplysningene, samt en rimelig margin.</w:t>
      </w:r>
    </w:p>
    <w:p w14:paraId="363078D9" w14:textId="77777777" w:rsidR="00080633" w:rsidRPr="00175F8B" w:rsidRDefault="00080633" w:rsidP="00175F8B">
      <w:r w:rsidRPr="00175F8B">
        <w:t>Tilsynsmyndigheten skal på forespørsel få opplysninger om de faktiske omkostningene ved å utarbeide og formidle opplysningene.</w:t>
      </w:r>
    </w:p>
    <w:p w14:paraId="7C98DDA4" w14:textId="77777777" w:rsidR="00080633" w:rsidRPr="00175F8B" w:rsidRDefault="00080633" w:rsidP="00175F8B">
      <w:r w:rsidRPr="00175F8B">
        <w:t>Fortalen til forordning 2024/791 avsnitt 12 påpeker at en høy grad av detaljering er nødvendig for å presisere begrepet «rimelige forretningsmessige vilkår»</w:t>
      </w:r>
      <w:r w:rsidRPr="00175F8B">
        <w:t xml:space="preserve">. Det understrekes videre at den raske teknologiske utviklingen gir behov for fleksibilitet og at ESMA bør overvåke utviklingen nøye med tanke på behov for å justere regelverket i takt med utviklingen. Det legges derfor opp til at nærmere regler skal gis i nivå 2-regelverk, se </w:t>
      </w:r>
      <w:proofErr w:type="spellStart"/>
      <w:r w:rsidRPr="00175F8B">
        <w:t>MiFIR</w:t>
      </w:r>
      <w:proofErr w:type="spellEnd"/>
      <w:r w:rsidRPr="00175F8B">
        <w:t xml:space="preserve"> artikkel 13 nr. 5. ESMA har sendt forslag til ny kommisjonsforordning på høring, se kapittel 1.5.</w:t>
      </w:r>
    </w:p>
    <w:p w14:paraId="0F7BE15B" w14:textId="77777777" w:rsidR="00080633" w:rsidRPr="00175F8B" w:rsidRDefault="00080633" w:rsidP="00175F8B">
      <w:pPr>
        <w:pStyle w:val="Overskrift3"/>
      </w:pPr>
      <w:r w:rsidRPr="00175F8B">
        <w:t>Utvalgets vurderinger</w:t>
      </w:r>
    </w:p>
    <w:p w14:paraId="1E810E71" w14:textId="77777777" w:rsidR="00080633" w:rsidRPr="00175F8B" w:rsidRDefault="00080633" w:rsidP="00175F8B">
      <w:r w:rsidRPr="00175F8B">
        <w:t>Utvalget bemerker at lik tilgang til informasjon på rimelige og rettferdige forretningsmessige vilkår er en forutsetning for et velfungerende marked. Utvalget konstaterer at gjeldende regler ikke fullt ut har fungert etter sin hensikt. Ytterligere harmonisering legger til rette for enhetlig praktisering av regelverket som bedre ivaretar formålet.</w:t>
      </w:r>
    </w:p>
    <w:p w14:paraId="5813C93C" w14:textId="77777777" w:rsidR="00080633" w:rsidRPr="00175F8B" w:rsidRDefault="00080633" w:rsidP="00175F8B"/>
    <w:p w14:paraId="0A1BE7E1" w14:textId="77777777" w:rsidR="00080633" w:rsidRPr="00175F8B" w:rsidRDefault="00080633" w:rsidP="00175F8B">
      <w:pPr>
        <w:pStyle w:val="Overskrift1"/>
      </w:pPr>
      <w:r w:rsidRPr="00175F8B">
        <w:t>Reglene om plikt til å handle på en handelsplass</w:t>
      </w:r>
    </w:p>
    <w:p w14:paraId="6B9B577C" w14:textId="0283C139" w:rsidR="00080633" w:rsidRPr="00175F8B" w:rsidRDefault="00080633" w:rsidP="00175F8B">
      <w:pPr>
        <w:pStyle w:val="Overskrift2"/>
      </w:pPr>
      <w:r w:rsidRPr="00175F8B">
        <w:t xml:space="preserve">Gjeldende EU-rett </w:t>
      </w:r>
      <w:r w:rsidRPr="00175F8B">
        <w:t>(</w:t>
      </w:r>
      <w:proofErr w:type="spellStart"/>
      <w:r w:rsidRPr="00175F8B">
        <w:t>MiFIR</w:t>
      </w:r>
      <w:proofErr w:type="spellEnd"/>
      <w:r w:rsidRPr="00175F8B">
        <w:t xml:space="preserve"> før forordning 2024/791)</w:t>
      </w:r>
    </w:p>
    <w:p w14:paraId="41782B74" w14:textId="77777777" w:rsidR="00080633" w:rsidRPr="00175F8B" w:rsidRDefault="00080633" w:rsidP="00175F8B">
      <w:pPr>
        <w:pStyle w:val="Overskrift3"/>
      </w:pPr>
      <w:r w:rsidRPr="00175F8B">
        <w:t>Handelsplikt i aksjer</w:t>
      </w:r>
    </w:p>
    <w:p w14:paraId="3A27E146" w14:textId="77777777" w:rsidR="00080633" w:rsidRPr="00175F8B" w:rsidRDefault="00080633" w:rsidP="00175F8B">
      <w:proofErr w:type="spellStart"/>
      <w:r w:rsidRPr="00175F8B">
        <w:t>MiFIR</w:t>
      </w:r>
      <w:proofErr w:type="spellEnd"/>
      <w:r w:rsidRPr="00175F8B">
        <w:t xml:space="preserve"> artikkel 23 nr. 1 fastsetter at alle handler som utføres av verdipapirforetak i aksjer som er tatt opp til handel på et regulert marked eller som handles på en handelsplass, skal gjennomføres på et regulert marked, en MHF eller en SI. Det gjelder både ved handel for egen regning og ved utførelse av kundeordre, se fortalen til opprinnelig </w:t>
      </w:r>
      <w:proofErr w:type="spellStart"/>
      <w:r w:rsidRPr="00175F8B">
        <w:t>MiFIR</w:t>
      </w:r>
      <w:proofErr w:type="spellEnd"/>
      <w:r w:rsidRPr="00175F8B">
        <w:t xml:space="preserve"> avsnitt 11. Som alternativ til å bruke en handelsplass eller SI, kan et tredjelands handelsplass brukes, hvis den anses å være ekvivalent. Handelsplikten gjelder ikk</w:t>
      </w:r>
      <w:r w:rsidRPr="00175F8B">
        <w:t xml:space="preserve">e dersom handlene er ikke-systematiske, tilfeldige, uregelmessige og sjeldne, eller utføres mellom kvalifiserte og/eller profesjonelle motparter og ikke bidrar til prisdannelsesprosessen, se </w:t>
      </w:r>
      <w:proofErr w:type="spellStart"/>
      <w:r w:rsidRPr="00175F8B">
        <w:t>MiFIR</w:t>
      </w:r>
      <w:proofErr w:type="spellEnd"/>
      <w:r w:rsidRPr="00175F8B">
        <w:t xml:space="preserve"> artikkel 23 nr. 1. Nivå 2-regelverket presiserer hvilke transaksjoner som ikke kan anses å bidra til prisdannelsesprosessen</w:t>
      </w:r>
      <w:r w:rsidRPr="00175F8B">
        <w:t>.</w:t>
      </w:r>
    </w:p>
    <w:p w14:paraId="26FA15FE" w14:textId="77777777" w:rsidR="00080633" w:rsidRPr="00175F8B" w:rsidRDefault="00080633" w:rsidP="00175F8B">
      <w:pPr>
        <w:pStyle w:val="Overskrift3"/>
      </w:pPr>
      <w:r w:rsidRPr="00175F8B">
        <w:t>Handelsplikt for derivater</w:t>
      </w:r>
    </w:p>
    <w:p w14:paraId="632A89C3" w14:textId="77777777" w:rsidR="00080633" w:rsidRPr="00175F8B" w:rsidRDefault="00080633" w:rsidP="00175F8B">
      <w:proofErr w:type="spellStart"/>
      <w:r w:rsidRPr="00175F8B">
        <w:t>MiFIR</w:t>
      </w:r>
      <w:proofErr w:type="spellEnd"/>
      <w:r w:rsidRPr="00175F8B">
        <w:t xml:space="preserve"> artikkel 28 stiller krav om at finansielle motparter skal gjennomfør</w:t>
      </w:r>
      <w:r w:rsidRPr="00175F8B">
        <w:t xml:space="preserve">e sine transaksjoner mot andre finansielle motparter og mot store ikke-finansielle motparter i enkelte derivatinstrumenter på en handelsplass. Plikten omtales ofte som handelsplikt for derivater, og instrumenter og parter som er underlagt denne plikten kan ikke gjøre handlene OTC, herunder ikke på SI. I </w:t>
      </w:r>
      <w:proofErr w:type="spellStart"/>
      <w:r w:rsidRPr="00175F8B">
        <w:t>MiFIR</w:t>
      </w:r>
      <w:proofErr w:type="spellEnd"/>
      <w:r w:rsidRPr="00175F8B">
        <w:t xml:space="preserve"> artikkel 29 til 34 er det fastsatt enkelte andre regler som står i nær sammenheng med handelsplikten i </w:t>
      </w:r>
      <w:proofErr w:type="spellStart"/>
      <w:r w:rsidRPr="00175F8B">
        <w:t>MiFIR</w:t>
      </w:r>
      <w:proofErr w:type="spellEnd"/>
      <w:r w:rsidRPr="00175F8B">
        <w:t xml:space="preserve"> artikkel 28. Bare de bestemmelsene som endres med forordning 2024/791 vil behandles her</w:t>
      </w:r>
      <w:r w:rsidRPr="00175F8B">
        <w:t>.</w:t>
      </w:r>
    </w:p>
    <w:p w14:paraId="71F3EB88" w14:textId="77777777" w:rsidR="00080633" w:rsidRPr="00175F8B" w:rsidRDefault="00080633" w:rsidP="00175F8B">
      <w:r w:rsidRPr="00175F8B">
        <w:t>Pli</w:t>
      </w:r>
      <w:r w:rsidRPr="00175F8B">
        <w:t xml:space="preserve">kten til å handle enkelte derivater på handelsplass gjelder de samme parter og derivater som er underlagt clearingplikt etter EMIR, men slik at enkelte tilleggskrav gjelder for handelsplikten etter </w:t>
      </w:r>
      <w:proofErr w:type="spellStart"/>
      <w:r w:rsidRPr="00175F8B">
        <w:t>MiFIR</w:t>
      </w:r>
      <w:proofErr w:type="spellEnd"/>
      <w:r w:rsidRPr="00175F8B">
        <w:t xml:space="preserve">. Regelverket i </w:t>
      </w:r>
      <w:proofErr w:type="spellStart"/>
      <w:r w:rsidRPr="00175F8B">
        <w:t>MiFIR</w:t>
      </w:r>
      <w:proofErr w:type="spellEnd"/>
      <w:r w:rsidRPr="00175F8B">
        <w:t xml:space="preserve"> henger derfor nært sammen med EMIR på dette punktet.</w:t>
      </w:r>
    </w:p>
    <w:p w14:paraId="359FBD9D" w14:textId="77777777" w:rsidR="00080633" w:rsidRPr="00175F8B" w:rsidRDefault="00080633" w:rsidP="00175F8B">
      <w:r w:rsidRPr="00175F8B">
        <w:t xml:space="preserve">Etter </w:t>
      </w:r>
      <w:proofErr w:type="spellStart"/>
      <w:r w:rsidRPr="00175F8B">
        <w:t>MiFIR</w:t>
      </w:r>
      <w:proofErr w:type="spellEnd"/>
      <w:r w:rsidRPr="00175F8B">
        <w:t xml:space="preserve"> artikkel 28 er det finansielle motparter, slik disse er definert i EMIR artikkel 2 nr. 8, og ikke-finansielle motparter som tilfredsstiller kravene i EMIR artikkel 10 nr. 1 bokstav b, som er underlagt handelsplikten. Som finansielle motparter regnes blant annet verdipapirforetak, kredittinstitusjoner, forsikringsselskap, verdipapirfond og alternative investeringsfond, mens ikke-finansielle motparter bare omfattes dersom de har ikke-risikoreduserende transaksjoner over bestemte terskelverdier.</w:t>
      </w:r>
    </w:p>
    <w:p w14:paraId="4C39F797" w14:textId="77777777" w:rsidR="00080633" w:rsidRPr="00175F8B" w:rsidRDefault="00080633" w:rsidP="00175F8B">
      <w:r w:rsidRPr="00175F8B">
        <w:t>Handelsp</w:t>
      </w:r>
      <w:r w:rsidRPr="00175F8B">
        <w:t xml:space="preserve">likten gjelder etter </w:t>
      </w:r>
      <w:proofErr w:type="spellStart"/>
      <w:r w:rsidRPr="00175F8B">
        <w:t>MiFIR</w:t>
      </w:r>
      <w:proofErr w:type="spellEnd"/>
      <w:r w:rsidRPr="00175F8B">
        <w:t xml:space="preserve"> artikkel 28 nr. 1 derivater som tilhører en derivatklasse som er vurdert å falle inn under handelsplikten etter reglene i </w:t>
      </w:r>
      <w:proofErr w:type="spellStart"/>
      <w:r w:rsidRPr="00175F8B">
        <w:t>MiFIR</w:t>
      </w:r>
      <w:proofErr w:type="spellEnd"/>
      <w:r w:rsidRPr="00175F8B">
        <w:t xml:space="preserve"> artikkel 32, og som er å finne i registeret som nevnt i </w:t>
      </w:r>
      <w:proofErr w:type="spellStart"/>
      <w:r w:rsidRPr="00175F8B">
        <w:t>MiFIR</w:t>
      </w:r>
      <w:proofErr w:type="spellEnd"/>
      <w:r w:rsidRPr="00175F8B">
        <w:t xml:space="preserve"> artikkel 34. Det er gjort unntak for konserninterne transaksjoner som er omfattet av EMIR artikkel 3. Transaksjoner omfattet av overgangsreglene i EMIR artikkel 89 omfattes heller ikke av handelsplikten, jf. </w:t>
      </w:r>
      <w:proofErr w:type="spellStart"/>
      <w:r w:rsidRPr="00175F8B">
        <w:t>MiFIR</w:t>
      </w:r>
      <w:proofErr w:type="spellEnd"/>
      <w:r w:rsidRPr="00175F8B">
        <w:t xml:space="preserve"> artikkel 28 nr. 1. Det er krav om at partene i kontrakten må søke sine respektive</w:t>
      </w:r>
      <w:r w:rsidRPr="00175F8B">
        <w:t xml:space="preserve"> tilsynsmyndigheter om unntak.</w:t>
      </w:r>
    </w:p>
    <w:p w14:paraId="66DC479A" w14:textId="77777777" w:rsidR="00080633" w:rsidRPr="00175F8B" w:rsidRDefault="00080633" w:rsidP="00175F8B">
      <w:proofErr w:type="spellStart"/>
      <w:r w:rsidRPr="00175F8B">
        <w:t>MiFIR</w:t>
      </w:r>
      <w:proofErr w:type="spellEnd"/>
      <w:r w:rsidRPr="00175F8B">
        <w:t xml:space="preserve"> artikkel 32 gir ESMA hjemmel til å fastsette hvilke klasser av derivater som er underlagt clearingplikt etter EMIR artikkel 5 nr. 2 og nr. 4, som også skal være underlagt handelsplikten etter </w:t>
      </w:r>
      <w:proofErr w:type="spellStart"/>
      <w:r w:rsidRPr="00175F8B">
        <w:t>MiFIR</w:t>
      </w:r>
      <w:proofErr w:type="spellEnd"/>
      <w:r w:rsidRPr="00175F8B">
        <w:t xml:space="preserve">, og fra hvilket tidspunkt handelsplikten skal tre i kraft for de enkelte klasser. Dette fastsettes i nivå 2-regelverk som spesifiserer hvilke derivatklasser som er underlagt clearingplikt. Derivater som er underlagt clearingplikt etter </w:t>
      </w:r>
      <w:proofErr w:type="gramStart"/>
      <w:r w:rsidRPr="00175F8B">
        <w:t>EMIR</w:t>
      </w:r>
      <w:proofErr w:type="gramEnd"/>
      <w:r w:rsidRPr="00175F8B">
        <w:t xml:space="preserve"> skal kun underlegges handelsplikt dersom nærmere bestemte vilkår fastsat</w:t>
      </w:r>
      <w:r w:rsidRPr="00175F8B">
        <w:t xml:space="preserve">t i </w:t>
      </w:r>
      <w:proofErr w:type="spellStart"/>
      <w:r w:rsidRPr="00175F8B">
        <w:t>MiFIR</w:t>
      </w:r>
      <w:proofErr w:type="spellEnd"/>
      <w:r w:rsidRPr="00175F8B">
        <w:t xml:space="preserve"> artikkel 32 er oppfylt. Dette betyr at vurderingen av hvilke derivater som er underlagt handelsplikten i </w:t>
      </w:r>
      <w:proofErr w:type="spellStart"/>
      <w:r w:rsidRPr="00175F8B">
        <w:t>MiFIR</w:t>
      </w:r>
      <w:proofErr w:type="spellEnd"/>
      <w:r w:rsidRPr="00175F8B">
        <w:t xml:space="preserve"> artikkel 28 nr. 1 må gjøres løpende, og vil være avhengig av den vurdering som til enhver tid gjøres av hvilke derivater som er underlagt clearingplikt etter EMIR.</w:t>
      </w:r>
    </w:p>
    <w:p w14:paraId="2BB3C06E" w14:textId="77777777" w:rsidR="00080633" w:rsidRPr="00175F8B" w:rsidRDefault="00080633" w:rsidP="00175F8B">
      <w:r w:rsidRPr="00175F8B">
        <w:t xml:space="preserve">I tillegg til at derivatet er clearingpliktig etter EMIR, må to vilkår være oppfylt for at handelsplikten skal inntre. Den aktuelle klassen av derivater må være tatt opp til handel på en handelsplass som nevnt i </w:t>
      </w:r>
      <w:proofErr w:type="spellStart"/>
      <w:r w:rsidRPr="00175F8B">
        <w:t>MiFIR</w:t>
      </w:r>
      <w:proofErr w:type="spellEnd"/>
      <w:r w:rsidRPr="00175F8B">
        <w:t xml:space="preserve"> artikkel 28 nr. 1 og klassen av derivater må anses tilstrekkelig likvid til at den bare skal kunne handles på handelsplassene, jf. </w:t>
      </w:r>
      <w:proofErr w:type="spellStart"/>
      <w:r w:rsidRPr="00175F8B">
        <w:t>MiFIR</w:t>
      </w:r>
      <w:proofErr w:type="spellEnd"/>
      <w:r w:rsidRPr="00175F8B">
        <w:t xml:space="preserve"> artikkel 32 nr. 2.</w:t>
      </w:r>
    </w:p>
    <w:p w14:paraId="29E9FB80" w14:textId="77777777" w:rsidR="00080633" w:rsidRPr="00175F8B" w:rsidRDefault="00080633" w:rsidP="00175F8B">
      <w:r w:rsidRPr="00175F8B">
        <w:lastRenderedPageBreak/>
        <w:t xml:space="preserve">Når verdipapirforetak og markedsoperatører tilbyr porteføljekompresjon, skal de ikke være omfattet av plikten til beste utførelse etter </w:t>
      </w:r>
      <w:proofErr w:type="spellStart"/>
      <w:r w:rsidRPr="00175F8B">
        <w:t>MiFID</w:t>
      </w:r>
      <w:proofErr w:type="spellEnd"/>
      <w:r w:rsidRPr="00175F8B">
        <w:t xml:space="preserve"> II artikkel 27, transparensbestemmelsene i </w:t>
      </w:r>
      <w:proofErr w:type="spellStart"/>
      <w:r w:rsidRPr="00175F8B">
        <w:t>MiFIR</w:t>
      </w:r>
      <w:proofErr w:type="spellEnd"/>
      <w:r w:rsidRPr="00175F8B">
        <w:t xml:space="preserve"> artikkel 8, 10, 18 og 21 eller posisjonsgrenseregimet i </w:t>
      </w:r>
      <w:proofErr w:type="spellStart"/>
      <w:r w:rsidRPr="00175F8B">
        <w:t>MiFID</w:t>
      </w:r>
      <w:proofErr w:type="spellEnd"/>
      <w:r w:rsidRPr="00175F8B">
        <w:t xml:space="preserve"> II artikkel 57 og 58, jf. </w:t>
      </w:r>
      <w:proofErr w:type="spellStart"/>
      <w:r w:rsidRPr="00175F8B">
        <w:t>MiFID</w:t>
      </w:r>
      <w:proofErr w:type="spellEnd"/>
      <w:r w:rsidRPr="00175F8B">
        <w:t xml:space="preserve"> II artikkel 1 nr. 6. Dette følger av </w:t>
      </w:r>
      <w:proofErr w:type="spellStart"/>
      <w:r w:rsidRPr="00175F8B">
        <w:t>MiFIR</w:t>
      </w:r>
      <w:proofErr w:type="spellEnd"/>
      <w:r w:rsidRPr="00175F8B">
        <w:t xml:space="preserve"> artikkel 31. Porteføljekompresjon er heller ikke omfattet av handelsplikten i </w:t>
      </w:r>
      <w:proofErr w:type="spellStart"/>
      <w:r w:rsidRPr="00175F8B">
        <w:t>MiFIR</w:t>
      </w:r>
      <w:proofErr w:type="spellEnd"/>
      <w:r w:rsidRPr="00175F8B">
        <w:t xml:space="preserve"> artikkel 28 nr. 1.</w:t>
      </w:r>
    </w:p>
    <w:p w14:paraId="1062388B" w14:textId="77777777" w:rsidR="00080633" w:rsidRPr="00175F8B" w:rsidRDefault="00080633" w:rsidP="00175F8B">
      <w:r w:rsidRPr="00175F8B">
        <w:t xml:space="preserve">Etter </w:t>
      </w:r>
      <w:proofErr w:type="spellStart"/>
      <w:r w:rsidRPr="00175F8B">
        <w:t>MiFIR</w:t>
      </w:r>
      <w:proofErr w:type="spellEnd"/>
      <w:r w:rsidRPr="00175F8B">
        <w:t xml:space="preserve"> artikkel 31 nr. 2 skal volumet av transaksjoner omfattet av porteføljekompresjonen,</w:t>
      </w:r>
      <w:r w:rsidRPr="00175F8B">
        <w:t xml:space="preserve"> og tidspunktet for inngåelsen, offentliggjøres av verdipapirforetaket eller markedsoperatøren gjennom en godkjent offentliggjøringsordning (APA) i samsvar med kravene i </w:t>
      </w:r>
      <w:proofErr w:type="spellStart"/>
      <w:r w:rsidRPr="00175F8B">
        <w:t>MiFIR</w:t>
      </w:r>
      <w:proofErr w:type="spellEnd"/>
      <w:r w:rsidRPr="00175F8B">
        <w:t xml:space="preserve"> artikkel 10. Verdipapirforetak og markedsoperatører skal etter </w:t>
      </w:r>
      <w:proofErr w:type="spellStart"/>
      <w:r w:rsidRPr="00175F8B">
        <w:t>MiFIR</w:t>
      </w:r>
      <w:proofErr w:type="spellEnd"/>
      <w:r w:rsidRPr="00175F8B">
        <w:t xml:space="preserve"> artikkel 31 nr. 3 dokumentere de porteføljekompresjoner som de organiserer eller deltar i, ved å føre lister over disse. Denne dokumentasjonen skal gjøres tilgjengelig for tilsyn</w:t>
      </w:r>
      <w:r w:rsidRPr="00175F8B">
        <w:t>smyndigheten og ESMA på forespørsel.</w:t>
      </w:r>
    </w:p>
    <w:p w14:paraId="231FD436" w14:textId="77777777" w:rsidR="00080633" w:rsidRPr="00175F8B" w:rsidRDefault="00080633" w:rsidP="00175F8B">
      <w:pPr>
        <w:pStyle w:val="Overskrift2"/>
      </w:pPr>
      <w:r w:rsidRPr="00175F8B">
        <w:t>Forventet EØS-rett</w:t>
      </w:r>
    </w:p>
    <w:p w14:paraId="171CD970" w14:textId="77777777" w:rsidR="00080633" w:rsidRPr="00175F8B" w:rsidRDefault="00080633" w:rsidP="00175F8B">
      <w:pPr>
        <w:pStyle w:val="Overskrift3"/>
      </w:pPr>
      <w:r w:rsidRPr="00175F8B">
        <w:t>Endringer i reglene om verdipapirforetaks plikt til å handle aksjer på en handelsplass</w:t>
      </w:r>
    </w:p>
    <w:p w14:paraId="48CE4B8B" w14:textId="77777777" w:rsidR="00080633" w:rsidRPr="00175F8B" w:rsidRDefault="00080633" w:rsidP="00175F8B">
      <w:proofErr w:type="spellStart"/>
      <w:r w:rsidRPr="00175F8B">
        <w:t>MiFIR</w:t>
      </w:r>
      <w:proofErr w:type="spellEnd"/>
      <w:r w:rsidRPr="00175F8B">
        <w:t xml:space="preserve"> artikkel 23 nr. 1 bokstav a og b fastsetter unntak fra verdipapirforetaks plikt til å handle aksjer som er tatt opp til handel på en handelsplass. Det har imidlertid vist seg å ikke være tilstrekkelig klart når unntaket skal få </w:t>
      </w:r>
      <w:proofErr w:type="gramStart"/>
      <w:r w:rsidRPr="00175F8B">
        <w:t>anvendelse</w:t>
      </w:r>
      <w:proofErr w:type="gramEnd"/>
      <w:r w:rsidRPr="00175F8B">
        <w:t xml:space="preserve">. Det inntas derfor en distinksjon mellom aksjer basert på deres ISIN-nummer (International Securities </w:t>
      </w:r>
      <w:proofErr w:type="spellStart"/>
      <w:r w:rsidRPr="00175F8B">
        <w:t>Identification</w:t>
      </w:r>
      <w:proofErr w:type="spellEnd"/>
      <w:r w:rsidRPr="00175F8B">
        <w:t xml:space="preserve"> </w:t>
      </w:r>
      <w:proofErr w:type="spellStart"/>
      <w:r w:rsidRPr="00175F8B">
        <w:t>Number</w:t>
      </w:r>
      <w:proofErr w:type="spellEnd"/>
      <w:r w:rsidRPr="00175F8B">
        <w:t xml:space="preserve">) i </w:t>
      </w:r>
      <w:proofErr w:type="spellStart"/>
      <w:r w:rsidRPr="00175F8B">
        <w:t>MiFIR</w:t>
      </w:r>
      <w:proofErr w:type="spellEnd"/>
      <w:r w:rsidRPr="00175F8B">
        <w:t xml:space="preserve">. Det innebærer at det kun er aksjer med et ISIN fra EØS og som handles på en handelsplass, som skal være underlagt handelsplikten, se </w:t>
      </w:r>
      <w:proofErr w:type="spellStart"/>
      <w:r w:rsidRPr="00175F8B">
        <w:t>MiFIR</w:t>
      </w:r>
      <w:proofErr w:type="spellEnd"/>
      <w:r w:rsidRPr="00175F8B">
        <w:t xml:space="preserve"> ny artikkel 23 nr. 1. På denne bakgrunn fjernes unntaket for handler i aksjer som er ikke-systematiske, tilfeldige, uregelmessige og sjeldne. Målet er at dette skal gi økt klarhet for markedsdeltakerne. Endringen er i samsvar med </w:t>
      </w:r>
      <w:proofErr w:type="spellStart"/>
      <w:r w:rsidRPr="00175F8B">
        <w:t>ESMAs</w:t>
      </w:r>
      <w:proofErr w:type="spellEnd"/>
      <w:r w:rsidRPr="00175F8B">
        <w:t xml:space="preserve"> tolkning av eksisterende regelverk og innebærer dermed kodifisering av praksis, se omtale i fortalen til forordning 2024/791 avsnitt 21.</w:t>
      </w:r>
    </w:p>
    <w:p w14:paraId="2D34F3A1" w14:textId="77777777" w:rsidR="00080633" w:rsidRPr="00175F8B" w:rsidRDefault="00080633" w:rsidP="00175F8B">
      <w:r w:rsidRPr="00175F8B">
        <w:t xml:space="preserve">Det innføres et nytt unntak om at handelsplikten ikke gjelder for aksjer som handles på handelsplass i et tredjeland i lokal valuta, eller i en ikke-EØS valuta, se </w:t>
      </w:r>
      <w:proofErr w:type="spellStart"/>
      <w:r w:rsidRPr="00175F8B">
        <w:t>MiFIR</w:t>
      </w:r>
      <w:proofErr w:type="spellEnd"/>
      <w:r w:rsidRPr="00175F8B">
        <w:t xml:space="preserve"> artikkel 23 nr. 1 bokstav a.</w:t>
      </w:r>
    </w:p>
    <w:p w14:paraId="6373430C" w14:textId="77777777" w:rsidR="00080633" w:rsidRPr="00175F8B" w:rsidRDefault="00080633" w:rsidP="00175F8B">
      <w:pPr>
        <w:pStyle w:val="Overskrift3"/>
      </w:pPr>
      <w:r w:rsidRPr="00175F8B">
        <w:t>Endringer i reglene om plikt til å handle nærmere angitte derivater på en handelsplass</w:t>
      </w:r>
    </w:p>
    <w:p w14:paraId="57E02236" w14:textId="77777777" w:rsidR="00080633" w:rsidRPr="00175F8B" w:rsidRDefault="00080633" w:rsidP="00175F8B">
      <w:proofErr w:type="spellStart"/>
      <w:r w:rsidRPr="00175F8B">
        <w:t>MiFIR</w:t>
      </w:r>
      <w:proofErr w:type="spellEnd"/>
      <w:r w:rsidRPr="00175F8B">
        <w:t xml:space="preserve"> artikkel 28 krever at OTC-derivater som er underlagt clearingplikt, også skal være underlagt handelsplikt, dvs. plikten til å handle derivater på handelsplasser. EMIR ble endret ved forordning (EU) 2019/834 for å redusere omfanget av foretak som er underlagt clearingplikt. Reglene om handelsplikt i </w:t>
      </w:r>
      <w:proofErr w:type="spellStart"/>
      <w:r w:rsidRPr="00175F8B">
        <w:t>MiFIR</w:t>
      </w:r>
      <w:proofErr w:type="spellEnd"/>
      <w:r w:rsidRPr="00175F8B">
        <w:t xml:space="preserve"> ble imidlertid ikke endret samtidig. På grunn av den nære sammenhengen mellom clearingforpliktelsen og handelsforpliktelsen for derivater, endres reglene i </w:t>
      </w:r>
      <w:proofErr w:type="spellStart"/>
      <w:r w:rsidRPr="00175F8B">
        <w:t>MiFIR</w:t>
      </w:r>
      <w:proofErr w:type="spellEnd"/>
      <w:r w:rsidRPr="00175F8B">
        <w:t xml:space="preserve"> slik at det igjen blir konsistens mellom re</w:t>
      </w:r>
      <w:r w:rsidRPr="00175F8B">
        <w:t>glene. I fortalen til forordning 2024/791 avsnitt 34 omtales behovet for endringer slik:</w:t>
      </w:r>
    </w:p>
    <w:p w14:paraId="4C8D5F50" w14:textId="77777777" w:rsidR="00080633" w:rsidRPr="00175F8B" w:rsidRDefault="00080633" w:rsidP="00175F8B">
      <w:pPr>
        <w:pStyle w:val="blokksit"/>
      </w:pPr>
      <w:r w:rsidRPr="00175F8B">
        <w:t xml:space="preserve">«Article 28 of Regulation (EU) No 600/2014 requires that OTC derivatives that are subject to the clearing obligation be traded on trading venues (‘derivative trading obligation’). Regulation (EU) 2019/834 of the European Parliament and of the Council (11) amended Regulation (EU) No 648/2012 to reduce the scope of the entities that are subject to the clearing obligation. </w:t>
      </w:r>
      <w:proofErr w:type="gramStart"/>
      <w:r w:rsidRPr="00175F8B">
        <w:t>In light of</w:t>
      </w:r>
      <w:proofErr w:type="gramEnd"/>
      <w:r w:rsidRPr="00175F8B">
        <w:t xml:space="preserve"> the close interconnection between the clearing obligation and the derivative trading obligation, to ensure greater legal coherence, and to simplify the legal framework, it is necessary and appropriate to re-align the derivative trading obligation with the clearing obligation for derivatives. Without that alignment, certain smaller financial counterparties and non-financial counterparties would no longer be captured by the clearing obligation but continue to be captured by the derivative trading </w:t>
      </w:r>
      <w:proofErr w:type="gramStart"/>
      <w:r w:rsidRPr="00175F8B">
        <w:t>obligation.»</w:t>
      </w:r>
      <w:proofErr w:type="gramEnd"/>
    </w:p>
    <w:p w14:paraId="668E56E7" w14:textId="77777777" w:rsidR="00080633" w:rsidRPr="00175F8B" w:rsidRDefault="00080633" w:rsidP="00175F8B">
      <w:r w:rsidRPr="00175F8B">
        <w:t xml:space="preserve">På denne bakgrunn justeres </w:t>
      </w:r>
      <w:proofErr w:type="spellStart"/>
      <w:r w:rsidRPr="00175F8B">
        <w:t>MiFIR</w:t>
      </w:r>
      <w:proofErr w:type="spellEnd"/>
      <w:r w:rsidRPr="00175F8B">
        <w:t xml:space="preserve"> artikkel 28 nr. 1 slik at handelsplikten for derivater omfatter derivater som er underlagt clearingplikt i henhold til </w:t>
      </w:r>
      <w:proofErr w:type="spellStart"/>
      <w:r w:rsidRPr="00175F8B">
        <w:t>MiFIR</w:t>
      </w:r>
      <w:proofErr w:type="spellEnd"/>
      <w:r w:rsidRPr="00175F8B">
        <w:t xml:space="preserve"> artikkel 32, og som er oppført i </w:t>
      </w:r>
      <w:proofErr w:type="spellStart"/>
      <w:r w:rsidRPr="00175F8B">
        <w:t>ESMAs</w:t>
      </w:r>
      <w:proofErr w:type="spellEnd"/>
      <w:r w:rsidRPr="00175F8B">
        <w:t xml:space="preserve"> register over derivater som er gjenstand for handelsplikt i henhold til </w:t>
      </w:r>
      <w:proofErr w:type="spellStart"/>
      <w:r w:rsidRPr="00175F8B">
        <w:t>MiFIR</w:t>
      </w:r>
      <w:proofErr w:type="spellEnd"/>
      <w:r w:rsidRPr="00175F8B">
        <w:t xml:space="preserve"> artikkel 34. Dette innebærer at </w:t>
      </w:r>
      <w:proofErr w:type="spellStart"/>
      <w:r w:rsidRPr="00175F8B">
        <w:t>MiFIR</w:t>
      </w:r>
      <w:proofErr w:type="spellEnd"/>
      <w:r w:rsidRPr="00175F8B">
        <w:t xml:space="preserve"> artikkel 28 nr. 2 oppheves. Uten en slik justering vil visse mindre finansielle </w:t>
      </w:r>
      <w:r w:rsidRPr="00175F8B">
        <w:t xml:space="preserve">motparter og ikke-finansielle </w:t>
      </w:r>
      <w:r w:rsidRPr="00175F8B">
        <w:lastRenderedPageBreak/>
        <w:t>motparter ikke lenger</w:t>
      </w:r>
      <w:r w:rsidRPr="00175F8B">
        <w:t xml:space="preserve"> være omfattet av clearingplikten, men fortsatt være omfattet av handelsplikten for derivater, </w:t>
      </w:r>
      <w:r w:rsidRPr="00175F8B">
        <w:t>jf. fortalen til forordning 2024/791 avsnitt 34.</w:t>
      </w:r>
    </w:p>
    <w:p w14:paraId="7DA8C9C2" w14:textId="77777777" w:rsidR="00080633" w:rsidRPr="00175F8B" w:rsidRDefault="00080633" w:rsidP="00175F8B">
      <w:r w:rsidRPr="00175F8B">
        <w:t xml:space="preserve">Det innføres en ny regel i </w:t>
      </w:r>
      <w:proofErr w:type="spellStart"/>
      <w:r w:rsidRPr="00175F8B">
        <w:t>MiFIR</w:t>
      </w:r>
      <w:proofErr w:type="spellEnd"/>
      <w:r w:rsidRPr="00175F8B">
        <w:t xml:space="preserve"> artikkel 28 nr. 2a om at derivater som er unntatt fra clearingplikten i EMIR, også skal være unntatt fra handelsplikten for derivater.</w:t>
      </w:r>
    </w:p>
    <w:p w14:paraId="4F51229E" w14:textId="77777777" w:rsidR="00080633" w:rsidRPr="00175F8B" w:rsidRDefault="00080633" w:rsidP="00175F8B">
      <w:r w:rsidRPr="00175F8B">
        <w:t xml:space="preserve">Det gjøres mindre språklige endringer i </w:t>
      </w:r>
      <w:proofErr w:type="spellStart"/>
      <w:r w:rsidRPr="00175F8B">
        <w:t>MiFIR</w:t>
      </w:r>
      <w:proofErr w:type="spellEnd"/>
      <w:r w:rsidRPr="00175F8B">
        <w:t xml:space="preserve"> artikkel 28 nr. 4 bokstav b som krever at handelsplasser skal ha klare og transparente regler slik at derivater kan handles på en rettferdig, ordnet og effektiv måte, og være fritt omsettelige.</w:t>
      </w:r>
    </w:p>
    <w:p w14:paraId="76A9ED13" w14:textId="77777777" w:rsidR="00080633" w:rsidRPr="00175F8B" w:rsidRDefault="00080633" w:rsidP="00175F8B">
      <w:r w:rsidRPr="00175F8B">
        <w:t xml:space="preserve">Videre gjøres det en rekke endringer i regler som står i nær sammenheng med </w:t>
      </w:r>
      <w:proofErr w:type="spellStart"/>
      <w:r w:rsidRPr="00175F8B">
        <w:t>MiFIR</w:t>
      </w:r>
      <w:proofErr w:type="spellEnd"/>
      <w:r w:rsidRPr="00175F8B">
        <w:t xml:space="preserve"> artikkel 28. Flere av disse reglene knytter seg til post-trade risikoreduserende tjenester som er et viktig verktøy for risikostyring ved handel med OTC-derivater. Post-trade risikoreduserende tjenester er avhengige av tekniske transaksjoner som er </w:t>
      </w:r>
      <w:proofErr w:type="spellStart"/>
      <w:r w:rsidRPr="00175F8B">
        <w:t>forhåndsavtalte</w:t>
      </w:r>
      <w:proofErr w:type="spellEnd"/>
      <w:r w:rsidRPr="00175F8B">
        <w:t>, ikke prisdannende og markedsrisiko-nøytrale, og som oppnår en risikoreduksjon i hver av porteføljene. Porteføljekompresjonstjenester utgjør en stor del av slike post-trade risikoreduserende tjenester, og er som nevnt i kapittel 7.1.2, unnta</w:t>
      </w:r>
      <w:r w:rsidRPr="00175F8B">
        <w:t xml:space="preserve">tt fra plikten til beste utførelse etter </w:t>
      </w:r>
      <w:proofErr w:type="spellStart"/>
      <w:r w:rsidRPr="00175F8B">
        <w:t>MiFID</w:t>
      </w:r>
      <w:proofErr w:type="spellEnd"/>
      <w:r w:rsidRPr="00175F8B">
        <w:t xml:space="preserve"> II artikkel 27 og transparensbestemmelsene i </w:t>
      </w:r>
      <w:proofErr w:type="spellStart"/>
      <w:r w:rsidRPr="00175F8B">
        <w:t>MiFIR</w:t>
      </w:r>
      <w:proofErr w:type="spellEnd"/>
      <w:r w:rsidRPr="00175F8B">
        <w:t>.</w:t>
      </w:r>
    </w:p>
    <w:p w14:paraId="6FF8DE65" w14:textId="77777777" w:rsidR="00080633" w:rsidRPr="00175F8B" w:rsidRDefault="00080633" w:rsidP="00175F8B">
      <w:r w:rsidRPr="00175F8B">
        <w:t>Fortalen til forordning 2024/791 avsnitt 35 drøf</w:t>
      </w:r>
      <w:r w:rsidRPr="00175F8B">
        <w:t xml:space="preserve">ter risikoreduserende tjenester. Her fremholdes det at leverandører av post-trade risikoreduserende tjenester, som ikke tillater at flere tredjeparters kjøps- og salgsinteresser i finansielle instrumenter interagerer, ikke bør anses å drive et multilateralt system. De bør derfor være unntatt handelsplikten på lik linje med porteføljekompresjonstjenester. På denne bakgrunn gjøres det endringer i </w:t>
      </w:r>
      <w:proofErr w:type="spellStart"/>
      <w:r w:rsidRPr="00175F8B">
        <w:t>MiFIR</w:t>
      </w:r>
      <w:proofErr w:type="spellEnd"/>
      <w:r w:rsidRPr="00175F8B">
        <w:t xml:space="preserve"> artikkel 31. Endringen innebærer at også andre post-trade risikoreduserende tjenester enn porteføljekompresj</w:t>
      </w:r>
      <w:r w:rsidRPr="00175F8B">
        <w:t xml:space="preserve">on, skal være unntatt fra handelsplikten for derivater. Bestemmelsen får dermed et bredere anvendelsesområde. Tittelen endres fra «porteføljekompresjon» til «post-trade risikoreduserende tjenester» for å gjenspeile dette. Vurderingstemaet blir hvorvidt derivatet er formet og etablert som et resultat av en post-trade risikoreduserende tjeneste, se </w:t>
      </w:r>
      <w:proofErr w:type="spellStart"/>
      <w:r w:rsidRPr="00175F8B">
        <w:t>MiFIR</w:t>
      </w:r>
      <w:proofErr w:type="spellEnd"/>
      <w:r w:rsidRPr="00175F8B">
        <w:t xml:space="preserve"> artikkel 31 nr. 1.</w:t>
      </w:r>
    </w:p>
    <w:p w14:paraId="3978C97E" w14:textId="77777777" w:rsidR="00080633" w:rsidRPr="00175F8B" w:rsidRDefault="00080633" w:rsidP="00175F8B">
      <w:r w:rsidRPr="00175F8B">
        <w:t xml:space="preserve">Videre oppheves </w:t>
      </w:r>
      <w:proofErr w:type="spellStart"/>
      <w:r w:rsidRPr="00175F8B">
        <w:t>MiFIR</w:t>
      </w:r>
      <w:proofErr w:type="spellEnd"/>
      <w:r w:rsidRPr="00175F8B">
        <w:t xml:space="preserve"> artikkel 31 nr. 2. Det gjøres språklige endringer i </w:t>
      </w:r>
      <w:proofErr w:type="spellStart"/>
      <w:r w:rsidRPr="00175F8B">
        <w:t>MiFIR</w:t>
      </w:r>
      <w:proofErr w:type="spellEnd"/>
      <w:r w:rsidRPr="00175F8B">
        <w:t xml:space="preserve"> artikkel 31 nr. 3 og nr. 4 for å tilpasse bestemmelsene til utvidelsen i </w:t>
      </w:r>
      <w:proofErr w:type="spellStart"/>
      <w:r w:rsidRPr="00175F8B">
        <w:t>MiFIR</w:t>
      </w:r>
      <w:proofErr w:type="spellEnd"/>
      <w:r w:rsidRPr="00175F8B">
        <w:t xml:space="preserve"> artikkel 31 nr. 1.</w:t>
      </w:r>
    </w:p>
    <w:p w14:paraId="69D6C9E7" w14:textId="77777777" w:rsidR="00080633" w:rsidRPr="00175F8B" w:rsidRDefault="00080633" w:rsidP="00175F8B">
      <w:proofErr w:type="spellStart"/>
      <w:r w:rsidRPr="00175F8B">
        <w:t>MiFIR</w:t>
      </w:r>
      <w:proofErr w:type="spellEnd"/>
      <w:r w:rsidRPr="00175F8B">
        <w:t xml:space="preserve"> artikkel 32 fastsetter at det skal utarbeides nivå 2-regelverk om prosedyrene for å fastsette handelsplikt. Det gjøres en mindre språklig endring i bestemmelsens nr. 2 bokstav a om at handelsplikten kan tre i kraft dersom klassen av derivater i henhold til </w:t>
      </w:r>
      <w:proofErr w:type="spellStart"/>
      <w:r w:rsidRPr="00175F8B">
        <w:t>MiFIR</w:t>
      </w:r>
      <w:proofErr w:type="spellEnd"/>
      <w:r w:rsidRPr="00175F8B">
        <w:t xml:space="preserve"> artikkel 32 nr. 1 bokstav a eller relevante underklasser av disse, handles på minst </w:t>
      </w:r>
      <w:proofErr w:type="spellStart"/>
      <w:r w:rsidRPr="00175F8B">
        <w:t>èn</w:t>
      </w:r>
      <w:proofErr w:type="spellEnd"/>
      <w:r w:rsidRPr="00175F8B">
        <w:t xml:space="preserve"> handelsplass som nevnt i </w:t>
      </w:r>
      <w:proofErr w:type="spellStart"/>
      <w:r w:rsidRPr="00175F8B">
        <w:t>MiFIR</w:t>
      </w:r>
      <w:proofErr w:type="spellEnd"/>
      <w:r w:rsidRPr="00175F8B">
        <w:t xml:space="preserve"> artikkel 28 nr. 1.</w:t>
      </w:r>
    </w:p>
    <w:p w14:paraId="700C88AB" w14:textId="77777777" w:rsidR="00080633" w:rsidRPr="00175F8B" w:rsidRDefault="00080633" w:rsidP="00175F8B">
      <w:proofErr w:type="spellStart"/>
      <w:r w:rsidRPr="00175F8B">
        <w:t>MiFIR</w:t>
      </w:r>
      <w:proofErr w:type="spellEnd"/>
      <w:r w:rsidRPr="00175F8B">
        <w:t xml:space="preserve"> artikkel 32 nr. 4 fastsetter at ESMA skal identifisere og melde fra til Kommisjonen om de klassene av derivater som skal være underlagt handelsplikten etter </w:t>
      </w:r>
      <w:proofErr w:type="spellStart"/>
      <w:r w:rsidRPr="00175F8B">
        <w:t>MiFIR</w:t>
      </w:r>
      <w:proofErr w:type="spellEnd"/>
      <w:r w:rsidRPr="00175F8B">
        <w:t xml:space="preserve"> artikkel 28 nr. 1, i de tilfeller der ingen sentral motpart har mottatt autorisasjon etter EMIR, eller ingen av derivatene er tatt opp til handel eller handlet på handelsplass. Bestemmelsen er ikke ny, men bestemmelsens siste setning om at derivatene ikke skal være tatt opp til handel eller handlet på handelsplass, fjernes.</w:t>
      </w:r>
    </w:p>
    <w:p w14:paraId="2BE3FB96" w14:textId="77777777" w:rsidR="00080633" w:rsidRPr="00175F8B" w:rsidRDefault="00080633" w:rsidP="00175F8B">
      <w:proofErr w:type="spellStart"/>
      <w:r w:rsidRPr="00175F8B">
        <w:t>MiFIR</w:t>
      </w:r>
      <w:proofErr w:type="spellEnd"/>
      <w:r w:rsidRPr="00175F8B">
        <w:t xml:space="preserve"> artikkel 1 nr. 3 som angir anvendelsesområdet for kapittel V om derivater, endres også.</w:t>
      </w:r>
    </w:p>
    <w:p w14:paraId="64377FE2" w14:textId="77777777" w:rsidR="00080633" w:rsidRPr="00175F8B" w:rsidRDefault="00080633" w:rsidP="00175F8B">
      <w:pPr>
        <w:pStyle w:val="Overskrift3"/>
      </w:pPr>
      <w:r w:rsidRPr="00175F8B">
        <w:t>Særskilt om endringer i reglene om suspensjon av handelsplikten</w:t>
      </w:r>
    </w:p>
    <w:p w14:paraId="4031EB80" w14:textId="77777777" w:rsidR="00080633" w:rsidRPr="00175F8B" w:rsidRDefault="00080633" w:rsidP="00175F8B">
      <w:r w:rsidRPr="00175F8B">
        <w:t>EMIR artikkel 6a gir mulighet for midlertidig å suspendere clearingplikten når vilkårene som den aktuelle klassen av OTC-derivater har blitt underlagt clearingplikt på grunnlag av, ikke lenger er oppfylt, eller når en slik suspensjon anses nødvendig for å unngå en alvorlig trussel mot den finansielle stabiliteten i unionen. En slik suspensjon kan imidlertid hindre motparter fra å oppfylle sine handelsplikter for derivater, ettersom clearingplikten er en forutsetning for handelsplikten for derivater. Dette i</w:t>
      </w:r>
      <w:r w:rsidRPr="00175F8B">
        <w:t>nnebærer ifølge fortalen til forordning 2024/791 avsnitt 36 behov for å samordne regelverket. Det heter:</w:t>
      </w:r>
    </w:p>
    <w:p w14:paraId="562464A4" w14:textId="77777777" w:rsidR="00080633" w:rsidRPr="00175F8B" w:rsidRDefault="00080633" w:rsidP="00175F8B">
      <w:pPr>
        <w:pStyle w:val="blokksit"/>
      </w:pPr>
      <w:r w:rsidRPr="00175F8B">
        <w:t xml:space="preserve">«… It is therefore necessary to lay down that, where the suspension of the clearing obligation would lead to a material change in the criteria for the derivative trading obligation, it should be possible to concurrently suspend the derivative trading obligation for the same classes of OTC derivative that are subject to the suspension of the clearing obligation. ESMA should also be able to request that the Commission suspend the derivative trading obligation, where such a suspension is necessary to avoid or </w:t>
      </w:r>
      <w:r w:rsidRPr="00175F8B">
        <w:t xml:space="preserve">address adverse effects on liquidity or a serious threat to financial stability and to ensure the orderly functioning of financial markets in the </w:t>
      </w:r>
      <w:proofErr w:type="gramStart"/>
      <w:r w:rsidRPr="00175F8B">
        <w:t>Union.»</w:t>
      </w:r>
      <w:proofErr w:type="gramEnd"/>
    </w:p>
    <w:p w14:paraId="4D35CAEF" w14:textId="77777777" w:rsidR="00080633" w:rsidRPr="00175F8B" w:rsidRDefault="00080633" w:rsidP="00175F8B">
      <w:proofErr w:type="spellStart"/>
      <w:r w:rsidRPr="00175F8B">
        <w:lastRenderedPageBreak/>
        <w:t>MiFIR</w:t>
      </w:r>
      <w:proofErr w:type="spellEnd"/>
      <w:r w:rsidRPr="00175F8B">
        <w:t xml:space="preserve"> artikkel 32 ny nr. 4a fastsetter på denne bakgrunn at ESMA kan anmode Kommisjonen om å suspendere handelsplikten ved suspensjon av clearingplikten i </w:t>
      </w:r>
      <w:proofErr w:type="gramStart"/>
      <w:r w:rsidRPr="00175F8B">
        <w:t>medhold av</w:t>
      </w:r>
      <w:proofErr w:type="gramEnd"/>
      <w:r w:rsidRPr="00175F8B">
        <w:t xml:space="preserve"> EMIR artikkel 6a, dersom nærmere angitte vilkår er oppfylt. ESMA har i tillegg mulighet til å anmode Kommisjonen om å suspendere handelsplikten for spesifikke klasser av OTC-derivater eller for en bestemt type motpart, dersom en slik suspensjon er nødvendig for å unngå eller håndtere negative effekter på likviditeten eller en alvorlig trussel mot de</w:t>
      </w:r>
      <w:r w:rsidRPr="00175F8B">
        <w:t xml:space="preserve">n finansielle stabiliteten, og for å sikre velfungerende finansmarkeder i unionen. En slik suspensjon må være proporsjonal sett hen til disse målene, se </w:t>
      </w:r>
      <w:proofErr w:type="spellStart"/>
      <w:r w:rsidRPr="00175F8B">
        <w:t>MiFIR</w:t>
      </w:r>
      <w:proofErr w:type="spellEnd"/>
      <w:r w:rsidRPr="00175F8B">
        <w:t xml:space="preserve"> artikkel 32 ny nr. 4b. Videre skal ingen av de nevnte anmodningene overfor Kommisjonen gjøres offentlig tilgjengelig, se </w:t>
      </w:r>
      <w:proofErr w:type="spellStart"/>
      <w:r w:rsidRPr="00175F8B">
        <w:t>MiFIR</w:t>
      </w:r>
      <w:proofErr w:type="spellEnd"/>
      <w:r w:rsidRPr="00175F8B">
        <w:t xml:space="preserve"> artikkel 32 ny nr. 4c.</w:t>
      </w:r>
    </w:p>
    <w:p w14:paraId="23B7071F" w14:textId="77777777" w:rsidR="00080633" w:rsidRPr="00175F8B" w:rsidRDefault="00080633" w:rsidP="00175F8B">
      <w:r w:rsidRPr="00175F8B">
        <w:t xml:space="preserve">Kommisjonen skal uten unødig opphold og basert på </w:t>
      </w:r>
      <w:proofErr w:type="spellStart"/>
      <w:r w:rsidRPr="00175F8B">
        <w:t>ESMAs</w:t>
      </w:r>
      <w:proofErr w:type="spellEnd"/>
      <w:r w:rsidRPr="00175F8B">
        <w:t xml:space="preserve"> fremlagte bevis enten suspendere handelsplikten for klasser av OTC-derivater eller for bestemte typer av motparter ved hjelp av en gjennomføringsrettsakt, eller avslå anmodningen om suspensjon, se </w:t>
      </w:r>
      <w:proofErr w:type="spellStart"/>
      <w:r w:rsidRPr="00175F8B">
        <w:t>MiFIR</w:t>
      </w:r>
      <w:proofErr w:type="spellEnd"/>
      <w:r w:rsidRPr="00175F8B">
        <w:t xml:space="preserve"> artikkel 32 ny nr. 4d bokstav a og b. Videre skal en innvilget suspensjon være gyldig for en innledende periode på maksimalt tre måneder etter datoen for publisering av gjennomføringsrettsakten. Dersom årsakene til suspensjonen fremdeles gjelder etter dette tidspunktet, kan Kommisjonen forlenge suspens</w:t>
      </w:r>
      <w:r w:rsidRPr="00175F8B">
        <w:t xml:space="preserve">jonen for en ytterligere periode på maksimalt tre måneder, med en total suspensjonsperiode på maksimalt 12 måneder, se </w:t>
      </w:r>
      <w:proofErr w:type="spellStart"/>
      <w:r w:rsidRPr="00175F8B">
        <w:t>MiFIR</w:t>
      </w:r>
      <w:proofErr w:type="spellEnd"/>
      <w:r w:rsidRPr="00175F8B">
        <w:t xml:space="preserve"> artikkel 32 ny nr. 4d fjerde ledd. Dersom Kommisjonen avslår anmodning om suspensjon, skal den informere ESMA om årsakene til avslaget. Kommisjonen skal i tillegg informere Europaparlamentet og Rådet om avslaget og oversende dem årsakene som ble gitt av ESMA. Denne informasjonen skal ikke offentliggjøres, se </w:t>
      </w:r>
      <w:proofErr w:type="spellStart"/>
      <w:r w:rsidRPr="00175F8B">
        <w:t>MiFIR</w:t>
      </w:r>
      <w:proofErr w:type="spellEnd"/>
      <w:r w:rsidRPr="00175F8B">
        <w:t xml:space="preserve"> artikkel 32 nr. 4d annet ledd.</w:t>
      </w:r>
    </w:p>
    <w:p w14:paraId="3F98F100" w14:textId="77777777" w:rsidR="00080633" w:rsidRPr="00175F8B" w:rsidRDefault="00080633" w:rsidP="00175F8B">
      <w:r w:rsidRPr="00175F8B">
        <w:t>Videre innføres det en ny bestemmelse om</w:t>
      </w:r>
      <w:r w:rsidRPr="00175F8B">
        <w:t xml:space="preserve"> selvstendig suspensjon av handelsplikten for derivater i </w:t>
      </w:r>
      <w:proofErr w:type="spellStart"/>
      <w:r w:rsidRPr="00175F8B">
        <w:t>MiFIR</w:t>
      </w:r>
      <w:proofErr w:type="spellEnd"/>
      <w:r w:rsidRPr="00175F8B">
        <w:t xml:space="preserve"> ny artikkel 32a. En slik adgang er i henhold til fortalen til forordning 2024/791 avsnitt 37, nødvendig for at Kommisjonen raskt skal kunne reagere på betydelige endringer i markedsforhold som kan ha en vesentlig innvirkning på handelen med derivater og på motparter involvert i slik handel.</w:t>
      </w:r>
    </w:p>
    <w:p w14:paraId="69626470" w14:textId="77777777" w:rsidR="00080633" w:rsidRPr="00175F8B" w:rsidRDefault="00080633" w:rsidP="00175F8B">
      <w:r w:rsidRPr="00175F8B">
        <w:t>Etter bestemmelsen skal en anmodning om suspensjon komme fra tilsynsmyndigheten i en medlemsstat som skal angi hvorfor den mener at vilkårene for suspensjon</w:t>
      </w:r>
      <w:r w:rsidRPr="00175F8B">
        <w:t xml:space="preserve"> er til stede. Suspensjon etter bestemmelsen skal også være mulig der virksomheten til et EØS-verdipapirforetak med en motpart utenfor EØS blir utilbørlig påvirket av handelspliktens omfang, og hvor dette verdipapirforetaket opptrer som en </w:t>
      </w:r>
      <w:proofErr w:type="spellStart"/>
      <w:r w:rsidRPr="00175F8B">
        <w:t>market</w:t>
      </w:r>
      <w:proofErr w:type="spellEnd"/>
      <w:r w:rsidRPr="00175F8B">
        <w:t xml:space="preserve"> maker for den kategorien av derivater som er underlagt handelsplikten. Spørsmålet om overlappende handelsplikt for derivater gjør seg spesielt gjeldende der handel skjer med motparter innenfor jurisdiksjonen til et tredjeland som anvender sine egne handelsplikter f</w:t>
      </w:r>
      <w:r w:rsidRPr="00175F8B">
        <w:t xml:space="preserve">or derivater, se fortalen til forordning 2024/791 avsnitt 37. På denne bakgrunn skal tilsynsmyndigheten, ved anmodning om suspensjon, særlig påvise at en finansiell motpart innenfor tilsynsmyndighetens jurisdiksjon oppfyller følgende vilkår i </w:t>
      </w:r>
      <w:proofErr w:type="spellStart"/>
      <w:r w:rsidRPr="00175F8B">
        <w:t>MiFIR</w:t>
      </w:r>
      <w:proofErr w:type="spellEnd"/>
      <w:r w:rsidRPr="00175F8B">
        <w:t xml:space="preserve"> artikkel 32a nr. 1 bokstav a og b:</w:t>
      </w:r>
    </w:p>
    <w:p w14:paraId="7EB41BEA" w14:textId="77777777" w:rsidR="00080633" w:rsidRPr="00175F8B" w:rsidRDefault="00080633" w:rsidP="00175F8B">
      <w:pPr>
        <w:pStyle w:val="Nummerertliste"/>
        <w:numPr>
          <w:ilvl w:val="0"/>
          <w:numId w:val="20"/>
        </w:numPr>
      </w:pPr>
      <w:r w:rsidRPr="00175F8B">
        <w:t xml:space="preserve">At den finansielle motparten jevnlig handler som </w:t>
      </w:r>
      <w:proofErr w:type="spellStart"/>
      <w:r w:rsidRPr="00175F8B">
        <w:t>market</w:t>
      </w:r>
      <w:proofErr w:type="spellEnd"/>
      <w:r w:rsidRPr="00175F8B">
        <w:t xml:space="preserve"> maker i et OTC-derivat som er underlagt handelsplikt og jevnlig mottar forespørsler om tilbud for derivater som er underlagt handelsplikt fra en ikke-EØS-motpart, og som ikke har aktivt medlemskap på en EØS-handelsplattform som tilbyr handel i OTC-derivatet som er underlagt handelsplikten.</w:t>
      </w:r>
    </w:p>
    <w:p w14:paraId="5E9FCA2E" w14:textId="77777777" w:rsidR="00080633" w:rsidRPr="00175F8B" w:rsidRDefault="00080633" w:rsidP="00175F8B">
      <w:pPr>
        <w:pStyle w:val="Nummerertliste"/>
      </w:pPr>
      <w:r w:rsidRPr="00175F8B">
        <w:t>At den finansielle motparten jevnlig handler som markedsaktør i en «</w:t>
      </w:r>
      <w:proofErr w:type="spellStart"/>
      <w:r w:rsidRPr="00175F8B">
        <w:t>credit</w:t>
      </w:r>
      <w:proofErr w:type="spellEnd"/>
      <w:r w:rsidRPr="00175F8B">
        <w:t xml:space="preserve"> </w:t>
      </w:r>
      <w:proofErr w:type="spellStart"/>
      <w:r w:rsidRPr="00175F8B">
        <w:t>default</w:t>
      </w:r>
      <w:proofErr w:type="spellEnd"/>
      <w:r w:rsidRPr="00175F8B">
        <w:t xml:space="preserve"> </w:t>
      </w:r>
      <w:proofErr w:type="spellStart"/>
      <w:r w:rsidRPr="00175F8B">
        <w:t>swap</w:t>
      </w:r>
      <w:proofErr w:type="spellEnd"/>
      <w:r w:rsidRPr="00175F8B">
        <w:t>» som er underlagt handelsplikt, og:</w:t>
      </w:r>
    </w:p>
    <w:p w14:paraId="331C2F63" w14:textId="77777777" w:rsidR="00080633" w:rsidRPr="00175F8B" w:rsidRDefault="00080633" w:rsidP="00175F8B">
      <w:pPr>
        <w:pStyle w:val="romertallliste2"/>
      </w:pPr>
      <w:r w:rsidRPr="00175F8B">
        <w:t>har til hensikt å h</w:t>
      </w:r>
      <w:r w:rsidRPr="00175F8B">
        <w:t xml:space="preserve">andle med </w:t>
      </w:r>
      <w:proofErr w:type="spellStart"/>
      <w:r w:rsidRPr="00175F8B">
        <w:t>credit</w:t>
      </w:r>
      <w:proofErr w:type="spellEnd"/>
      <w:r w:rsidRPr="00175F8B">
        <w:t xml:space="preserve"> </w:t>
      </w:r>
      <w:proofErr w:type="spellStart"/>
      <w:r w:rsidRPr="00175F8B">
        <w:t>default</w:t>
      </w:r>
      <w:proofErr w:type="spellEnd"/>
      <w:r w:rsidRPr="00175F8B">
        <w:t xml:space="preserve"> </w:t>
      </w:r>
      <w:proofErr w:type="spellStart"/>
      <w:r w:rsidRPr="00175F8B">
        <w:t>swaps</w:t>
      </w:r>
      <w:proofErr w:type="spellEnd"/>
      <w:r w:rsidRPr="00175F8B">
        <w:t xml:space="preserve"> underlagt handelsplikt på egen konto på en handelsplattform som bare er åpen for motparter som er CCP-clearingmedlemmer i henhold til EMIR artikkel 2 nr. 14 («</w:t>
      </w:r>
      <w:proofErr w:type="spellStart"/>
      <w:r w:rsidRPr="00175F8B">
        <w:t>dealer</w:t>
      </w:r>
      <w:proofErr w:type="spellEnd"/>
      <w:r w:rsidRPr="00175F8B">
        <w:t>-to-</w:t>
      </w:r>
      <w:proofErr w:type="spellStart"/>
      <w:r w:rsidRPr="00175F8B">
        <w:t>dealer</w:t>
      </w:r>
      <w:proofErr w:type="spellEnd"/>
      <w:r w:rsidRPr="00175F8B">
        <w:t>»-plattform),</w:t>
      </w:r>
    </w:p>
    <w:p w14:paraId="5B52B949" w14:textId="77777777" w:rsidR="00080633" w:rsidRPr="00175F8B" w:rsidRDefault="00080633" w:rsidP="00175F8B">
      <w:pPr>
        <w:pStyle w:val="romertallliste2"/>
      </w:pPr>
      <w:r w:rsidRPr="00175F8B">
        <w:t xml:space="preserve">har til hensikt å handle </w:t>
      </w:r>
      <w:proofErr w:type="spellStart"/>
      <w:r w:rsidRPr="00175F8B">
        <w:t>credit</w:t>
      </w:r>
      <w:proofErr w:type="spellEnd"/>
      <w:r w:rsidRPr="00175F8B">
        <w:t xml:space="preserve"> </w:t>
      </w:r>
      <w:proofErr w:type="spellStart"/>
      <w:r w:rsidRPr="00175F8B">
        <w:t>default</w:t>
      </w:r>
      <w:proofErr w:type="spellEnd"/>
      <w:r w:rsidRPr="00175F8B">
        <w:t xml:space="preserve"> </w:t>
      </w:r>
      <w:proofErr w:type="spellStart"/>
      <w:r w:rsidRPr="00175F8B">
        <w:t>swaps</w:t>
      </w:r>
      <w:proofErr w:type="spellEnd"/>
      <w:r w:rsidRPr="00175F8B">
        <w:t xml:space="preserve"> underlagt handelsplikt for egen regning, med en motpart som er en </w:t>
      </w:r>
      <w:proofErr w:type="spellStart"/>
      <w:r w:rsidRPr="00175F8B">
        <w:t>market</w:t>
      </w:r>
      <w:proofErr w:type="spellEnd"/>
      <w:r w:rsidRPr="00175F8B">
        <w:t xml:space="preserve"> maker og som ikke har aktivt medlemskap på en EØS </w:t>
      </w:r>
      <w:proofErr w:type="spellStart"/>
      <w:r w:rsidRPr="00175F8B">
        <w:t>dealer</w:t>
      </w:r>
      <w:proofErr w:type="spellEnd"/>
      <w:r w:rsidRPr="00175F8B">
        <w:t>-to-</w:t>
      </w:r>
      <w:proofErr w:type="spellStart"/>
      <w:r w:rsidRPr="00175F8B">
        <w:t>dealer</w:t>
      </w:r>
      <w:proofErr w:type="spellEnd"/>
      <w:r w:rsidRPr="00175F8B">
        <w:t>-plattform som tilbyr handel i OTC-derivatet som er underlagt handelsplikt, og</w:t>
      </w:r>
    </w:p>
    <w:p w14:paraId="0F9B1AEF" w14:textId="77777777" w:rsidR="00080633" w:rsidRPr="00175F8B" w:rsidRDefault="00080633" w:rsidP="00175F8B">
      <w:pPr>
        <w:pStyle w:val="romertallliste2"/>
      </w:pPr>
      <w:r w:rsidRPr="00175F8B">
        <w:t xml:space="preserve">som </w:t>
      </w:r>
      <w:proofErr w:type="spellStart"/>
      <w:r w:rsidRPr="00175F8B">
        <w:t>clearer</w:t>
      </w:r>
      <w:proofErr w:type="spellEnd"/>
      <w:r w:rsidRPr="00175F8B">
        <w:t xml:space="preserve"> slike </w:t>
      </w:r>
      <w:proofErr w:type="spellStart"/>
      <w:r w:rsidRPr="00175F8B">
        <w:t>credit</w:t>
      </w:r>
      <w:proofErr w:type="spellEnd"/>
      <w:r w:rsidRPr="00175F8B">
        <w:t xml:space="preserve"> </w:t>
      </w:r>
      <w:proofErr w:type="spellStart"/>
      <w:r w:rsidRPr="00175F8B">
        <w:t>default</w:t>
      </w:r>
      <w:proofErr w:type="spellEnd"/>
      <w:r w:rsidRPr="00175F8B">
        <w:t xml:space="preserve"> </w:t>
      </w:r>
      <w:proofErr w:type="spellStart"/>
      <w:r w:rsidRPr="00175F8B">
        <w:t>swaps</w:t>
      </w:r>
      <w:proofErr w:type="spellEnd"/>
      <w:r w:rsidRPr="00175F8B">
        <w:t xml:space="preserve"> i en CCP som enten er autorisert eller anerkjent etter EMIR.</w:t>
      </w:r>
    </w:p>
    <w:p w14:paraId="4C650E80" w14:textId="77777777" w:rsidR="00080633" w:rsidRPr="00175F8B" w:rsidRDefault="00080633" w:rsidP="00175F8B">
      <w:r w:rsidRPr="00175F8B">
        <w:t>Kommisjonen skal ved sin vurdering av om handelsplikten skal suspenderes, vurdere hvorvidt handelsplikten skal suspenderes for spesifikke markeder, og ta høyde for om suspensjon vil forårsake vridning av clearingplikten etter EMIR (</w:t>
      </w:r>
      <w:proofErr w:type="spellStart"/>
      <w:r w:rsidRPr="00175F8B">
        <w:t>MiFIR</w:t>
      </w:r>
      <w:proofErr w:type="spellEnd"/>
      <w:r w:rsidRPr="00175F8B">
        <w:t xml:space="preserve"> artikkel 32a nr. 2). I tillegg skal Kommisjonen undersøke hvorvidt andre medlemsstater enn den som har sendt inn anmodning om suspensjon, befinner seg i en lignende situasjon (</w:t>
      </w:r>
      <w:proofErr w:type="spellStart"/>
      <w:r w:rsidRPr="00175F8B">
        <w:t>MiFIR</w:t>
      </w:r>
      <w:proofErr w:type="spellEnd"/>
      <w:r w:rsidRPr="00175F8B">
        <w:t xml:space="preserve"> artikkel 32a nr. 2 annet ledd). Tilsynsmyndigheter i andre medlemsland med finansielle motparter som er i samme situasjon, kan be om at disse blir tilføyet i gjennomføringsrettsakten etter at den har </w:t>
      </w:r>
      <w:proofErr w:type="gramStart"/>
      <w:r w:rsidRPr="00175F8B">
        <w:t>trådt</w:t>
      </w:r>
      <w:proofErr w:type="gramEnd"/>
      <w:r w:rsidRPr="00175F8B">
        <w:t xml:space="preserve"> i kraft (</w:t>
      </w:r>
      <w:proofErr w:type="spellStart"/>
      <w:r w:rsidRPr="00175F8B">
        <w:t>MiFIR</w:t>
      </w:r>
      <w:proofErr w:type="spellEnd"/>
      <w:r w:rsidRPr="00175F8B">
        <w:t xml:space="preserve"> artikkel 32a nr. 2 tredje ledd).</w:t>
      </w:r>
    </w:p>
    <w:p w14:paraId="5BEA2FDF" w14:textId="77777777" w:rsidR="00080633" w:rsidRPr="00175F8B" w:rsidRDefault="00080633" w:rsidP="00175F8B">
      <w:r w:rsidRPr="00175F8B">
        <w:lastRenderedPageBreak/>
        <w:t>Dersom handelsplikten suspenderes for en finansiell motpart i henhold til bestemmelsens nr. 1 eller 2, skal handelsplikten heller ikke gjelde for dennes motpart (</w:t>
      </w:r>
      <w:proofErr w:type="spellStart"/>
      <w:r w:rsidRPr="00175F8B">
        <w:t>MiFIR</w:t>
      </w:r>
      <w:proofErr w:type="spellEnd"/>
      <w:r w:rsidRPr="00175F8B">
        <w:t xml:space="preserve"> artikkel 32a nr. 3).</w:t>
      </w:r>
    </w:p>
    <w:p w14:paraId="423B6304" w14:textId="77777777" w:rsidR="00080633" w:rsidRPr="00175F8B" w:rsidRDefault="00080633" w:rsidP="00175F8B">
      <w:pPr>
        <w:pStyle w:val="Overskrift3"/>
      </w:pPr>
      <w:r w:rsidRPr="00175F8B">
        <w:t>Endringer i reglene om ikke-diskriminerende clearingtilgang for finansielle instrumenter</w:t>
      </w:r>
    </w:p>
    <w:p w14:paraId="7B526498" w14:textId="77777777" w:rsidR="00080633" w:rsidRPr="00175F8B" w:rsidRDefault="00080633" w:rsidP="00175F8B">
      <w:pPr>
        <w:pStyle w:val="Overskrift4"/>
      </w:pPr>
      <w:r w:rsidRPr="00175F8B">
        <w:t>Endringer i regler om tilgang til CCP</w:t>
      </w:r>
    </w:p>
    <w:p w14:paraId="22EA1AC0" w14:textId="77777777" w:rsidR="00080633" w:rsidRPr="00175F8B" w:rsidRDefault="00080633" w:rsidP="00175F8B">
      <w:proofErr w:type="spellStart"/>
      <w:r w:rsidRPr="00175F8B">
        <w:t>MiFIR</w:t>
      </w:r>
      <w:proofErr w:type="spellEnd"/>
      <w:r w:rsidRPr="00175F8B">
        <w:t xml:space="preserve"> artikkel 35 nr. 1 regulerer ikke-diskriminerende tilgang til en CCP. Bestemmelsen fastsetter at en CCP skal </w:t>
      </w:r>
      <w:proofErr w:type="spellStart"/>
      <w:r w:rsidRPr="00175F8B">
        <w:t>cleare</w:t>
      </w:r>
      <w:proofErr w:type="spellEnd"/>
      <w:r w:rsidRPr="00175F8B">
        <w:t xml:space="preserve"> finansielle instrumenter på</w:t>
      </w:r>
      <w:r w:rsidRPr="00175F8B">
        <w:t xml:space="preserve"> en ikke-diskriminerende og transparent måte. For børshandlede derivater medfører imidlertid </w:t>
      </w:r>
      <w:proofErr w:type="gramStart"/>
      <w:r w:rsidRPr="00175F8B">
        <w:t>anvendelse</w:t>
      </w:r>
      <w:proofErr w:type="gramEnd"/>
      <w:r w:rsidRPr="00175F8B">
        <w:t xml:space="preserve"> av regelen at insentivene til å utvikle nye børshandlede derivater svekkes. I fortalen til forordning 2024/791 avsnitt 38 er dette omtalt slik:</w:t>
      </w:r>
    </w:p>
    <w:p w14:paraId="0A10F139" w14:textId="77777777" w:rsidR="00080633" w:rsidRPr="00175F8B" w:rsidRDefault="00080633" w:rsidP="00175F8B">
      <w:pPr>
        <w:pStyle w:val="blokksit"/>
      </w:pPr>
      <w:r w:rsidRPr="00175F8B">
        <w:t xml:space="preserve">«Provisions concerning non-discriminatory access for exchange-traded derivatives might reduce the attractiveness of investing in new products as competitors might be able to get access without the upfront investment. The application of the non-discriminatory access regime for exchange-traded derivatives, laid down in Articles 35 and 36 of Regulation (EU) No 600/2014, might thus limit investment in such products by removing incentives for regulated markets to create new exchange-traded derivatives. It </w:t>
      </w:r>
      <w:proofErr w:type="spellStart"/>
      <w:r w:rsidRPr="00175F8B">
        <w:t>shoull</w:t>
      </w:r>
      <w:proofErr w:type="spellEnd"/>
      <w:r w:rsidRPr="00175F8B">
        <w:t xml:space="preserve"> therefore be laid down that that regime is not to apply to the central counterparty (CCP) or trading venue concerned in respect of exchange-traded derivatives, thus fostering innovation and the development of exchange-traded derivatives in the </w:t>
      </w:r>
      <w:proofErr w:type="gramStart"/>
      <w:r w:rsidRPr="00175F8B">
        <w:t>Union.»</w:t>
      </w:r>
      <w:proofErr w:type="gramEnd"/>
    </w:p>
    <w:p w14:paraId="4702D765" w14:textId="77777777" w:rsidR="00080633" w:rsidRPr="00175F8B" w:rsidRDefault="00080633" w:rsidP="00175F8B">
      <w:r w:rsidRPr="00175F8B">
        <w:t xml:space="preserve">På denne bakgrunn får </w:t>
      </w:r>
      <w:proofErr w:type="spellStart"/>
      <w:r w:rsidRPr="00175F8B">
        <w:t>MiFIR</w:t>
      </w:r>
      <w:proofErr w:type="spellEnd"/>
      <w:r w:rsidRPr="00175F8B">
        <w:t xml:space="preserve"> artikkel 35 nr. 1 et nytt annet ledd som fastsetter at kravet til at en CCP skal </w:t>
      </w:r>
      <w:proofErr w:type="spellStart"/>
      <w:r w:rsidRPr="00175F8B">
        <w:t>cleare</w:t>
      </w:r>
      <w:proofErr w:type="spellEnd"/>
      <w:r w:rsidRPr="00175F8B">
        <w:t xml:space="preserve"> finansielle instrumenter basert på ikke-diskriminerende og transparent grunnlag, ikke skal gjelde for børshandlede derivater. I henhold til fortalen er målet å legge til rette for innovasjon og utvikling av børshandlede derivater. Som følge av endringen gjøres det nødvendige tilpasninger i bestemmelsens nr. 3 og 4.</w:t>
      </w:r>
    </w:p>
    <w:p w14:paraId="530E26AA" w14:textId="77777777" w:rsidR="00080633" w:rsidRPr="00175F8B" w:rsidRDefault="00080633" w:rsidP="00175F8B">
      <w:pPr>
        <w:pStyle w:val="Overskrift4"/>
      </w:pPr>
      <w:r w:rsidRPr="00175F8B">
        <w:t>Endringer i regler om tilgang til en handelsplass</w:t>
      </w:r>
    </w:p>
    <w:p w14:paraId="60EE33F4" w14:textId="77777777" w:rsidR="00080633" w:rsidRPr="00175F8B" w:rsidRDefault="00080633" w:rsidP="00175F8B">
      <w:proofErr w:type="spellStart"/>
      <w:r w:rsidRPr="00175F8B">
        <w:t>MiFIR</w:t>
      </w:r>
      <w:proofErr w:type="spellEnd"/>
      <w:r w:rsidRPr="00175F8B">
        <w:t xml:space="preserve"> artikkel 36 gir regler om ikke-diskriminerende tilgang til en handelsplass for </w:t>
      </w:r>
      <w:proofErr w:type="spellStart"/>
      <w:r w:rsidRPr="00175F8B">
        <w:t>CCPer</w:t>
      </w:r>
      <w:proofErr w:type="spellEnd"/>
      <w:r w:rsidRPr="00175F8B">
        <w:t xml:space="preserve">. Bestemmelsen endres slik at </w:t>
      </w:r>
      <w:proofErr w:type="spellStart"/>
      <w:r w:rsidRPr="00175F8B">
        <w:t>MiFIR</w:t>
      </w:r>
      <w:proofErr w:type="spellEnd"/>
      <w:r w:rsidRPr="00175F8B">
        <w:t xml:space="preserve"> artikkel 36 nr. 1 får samme unntak for børshandlede derivater som </w:t>
      </w:r>
      <w:proofErr w:type="spellStart"/>
      <w:r w:rsidRPr="00175F8B">
        <w:t>MiFIR</w:t>
      </w:r>
      <w:proofErr w:type="spellEnd"/>
      <w:r w:rsidRPr="00175F8B">
        <w:t xml:space="preserve"> artikkel 35 nr. 1 om ikke-diskriminerende tilgang til en CCP, idet de samme hensynene gjør seg gjeldende, se omtale av disse i 7.2.4.1. Som følge av endringen gjøres det nødvendige tilpasninger i bestemmelsens nr. 3 til nr. 5, slik at regler relatert til børshandlede derivater utgår.</w:t>
      </w:r>
    </w:p>
    <w:p w14:paraId="2D4BFC92" w14:textId="77777777" w:rsidR="00080633" w:rsidRPr="00175F8B" w:rsidRDefault="00080633" w:rsidP="00175F8B">
      <w:r w:rsidRPr="00175F8B">
        <w:t xml:space="preserve">I </w:t>
      </w:r>
      <w:proofErr w:type="spellStart"/>
      <w:r w:rsidRPr="00175F8B">
        <w:t>MiFIR</w:t>
      </w:r>
      <w:proofErr w:type="spellEnd"/>
      <w:r w:rsidRPr="00175F8B">
        <w:t xml:space="preserve"> artikkel 38 nr. 1 om tilgang for tredjelands </w:t>
      </w:r>
      <w:proofErr w:type="spellStart"/>
      <w:r w:rsidRPr="00175F8B">
        <w:t>CCPer</w:t>
      </w:r>
      <w:proofErr w:type="spellEnd"/>
      <w:r w:rsidRPr="00175F8B">
        <w:t xml:space="preserve"> og handelsplasser gjøres det kun redigeringstekniske endringer.</w:t>
      </w:r>
    </w:p>
    <w:p w14:paraId="57253A37" w14:textId="77777777" w:rsidR="00080633" w:rsidRPr="00175F8B" w:rsidRDefault="00080633" w:rsidP="00175F8B">
      <w:pPr>
        <w:pStyle w:val="Overskrift2"/>
      </w:pPr>
      <w:r w:rsidRPr="00175F8B">
        <w:t>Utvalgets vurderinger</w:t>
      </w:r>
    </w:p>
    <w:p w14:paraId="4A372D44" w14:textId="77777777" w:rsidR="00080633" w:rsidRPr="00175F8B" w:rsidRDefault="00080633" w:rsidP="00175F8B">
      <w:r w:rsidRPr="00175F8B">
        <w:t>Utvalget bemerker at det er nær</w:t>
      </w:r>
      <w:r w:rsidRPr="00175F8B">
        <w:t xml:space="preserve"> sammenheng mellom clearingforpliktelsen og handelsforpliktelsen for derivater. Endringene som gjennomføres nå, innebærer at </w:t>
      </w:r>
      <w:proofErr w:type="spellStart"/>
      <w:r w:rsidRPr="00175F8B">
        <w:t>MiFIRs</w:t>
      </w:r>
      <w:proofErr w:type="spellEnd"/>
      <w:r w:rsidRPr="00175F8B">
        <w:t xml:space="preserve"> og </w:t>
      </w:r>
      <w:proofErr w:type="spellStart"/>
      <w:r w:rsidRPr="00175F8B">
        <w:t>EMIRs</w:t>
      </w:r>
      <w:proofErr w:type="spellEnd"/>
      <w:r w:rsidRPr="00175F8B">
        <w:t xml:space="preserve"> regler harmoniseres, slik at endringene som ble foretatt i EMIR ved forordning (EU) 2019/834 for å redusere omfanget av foretak som er underlagt clearingplikt, også reflekteres i </w:t>
      </w:r>
      <w:proofErr w:type="spellStart"/>
      <w:r w:rsidRPr="00175F8B">
        <w:t>MiFIR</w:t>
      </w:r>
      <w:proofErr w:type="spellEnd"/>
      <w:r w:rsidRPr="00175F8B">
        <w:t xml:space="preserve">. Endringene innebærer i tillegg at identifiserte svakheter i regelverket for børshandlede derivater håndteres. Særlig bemerkes at </w:t>
      </w:r>
      <w:proofErr w:type="spellStart"/>
      <w:r w:rsidRPr="00175F8B">
        <w:t>CCPer</w:t>
      </w:r>
      <w:proofErr w:type="spellEnd"/>
      <w:r w:rsidRPr="00175F8B">
        <w:t xml:space="preserve"> ikke lenger har rett til tilgang for å </w:t>
      </w:r>
      <w:proofErr w:type="spellStart"/>
      <w:r w:rsidRPr="00175F8B">
        <w:t>cleare</w:t>
      </w:r>
      <w:proofErr w:type="spellEnd"/>
      <w:r w:rsidRPr="00175F8B">
        <w:t xml:space="preserve"> børs</w:t>
      </w:r>
      <w:r w:rsidRPr="00175F8B">
        <w:t>handlede derivater, idet erfaringene viser at en ytterligere fragmentering av derivatmarkedet kan få uheldige konsekvenser for innovasjon og lansering av nye produkter.</w:t>
      </w:r>
    </w:p>
    <w:p w14:paraId="41D06903" w14:textId="77777777" w:rsidR="00080633" w:rsidRPr="00175F8B" w:rsidRDefault="00080633" w:rsidP="00175F8B"/>
    <w:p w14:paraId="735973B9" w14:textId="77777777" w:rsidR="00080633" w:rsidRPr="00175F8B" w:rsidRDefault="00080633" w:rsidP="00175F8B">
      <w:pPr>
        <w:pStyle w:val="Overskrift1"/>
      </w:pPr>
      <w:r w:rsidRPr="00175F8B">
        <w:t>Endringer i reglene om transaksjonsrapportering</w:t>
      </w:r>
    </w:p>
    <w:p w14:paraId="49B98607" w14:textId="13986C6B" w:rsidR="00080633" w:rsidRPr="00175F8B" w:rsidRDefault="00080633" w:rsidP="00175F8B">
      <w:pPr>
        <w:pStyle w:val="Overskrift2"/>
      </w:pPr>
      <w:r w:rsidRPr="00175F8B">
        <w:t xml:space="preserve">Gjeldende EU-rett </w:t>
      </w:r>
      <w:r w:rsidRPr="00175F8B">
        <w:t>(</w:t>
      </w:r>
      <w:proofErr w:type="spellStart"/>
      <w:r w:rsidRPr="00175F8B">
        <w:t>MiFIR</w:t>
      </w:r>
      <w:proofErr w:type="spellEnd"/>
      <w:r w:rsidRPr="00175F8B">
        <w:t xml:space="preserve"> før forordning 2024/791)</w:t>
      </w:r>
    </w:p>
    <w:p w14:paraId="6D57A444" w14:textId="77777777" w:rsidR="00080633" w:rsidRPr="00175F8B" w:rsidRDefault="00080633" w:rsidP="00175F8B">
      <w:r w:rsidRPr="00175F8B">
        <w:t xml:space="preserve">Reglene om transaksjonsrapportering er tatt inn i </w:t>
      </w:r>
      <w:proofErr w:type="spellStart"/>
      <w:r w:rsidRPr="00175F8B">
        <w:t>MiFIR</w:t>
      </w:r>
      <w:proofErr w:type="spellEnd"/>
      <w:r w:rsidRPr="00175F8B">
        <w:t xml:space="preserve"> artikkel 26. </w:t>
      </w:r>
      <w:proofErr w:type="spellStart"/>
      <w:r w:rsidRPr="00175F8B">
        <w:t>MiFIR</w:t>
      </w:r>
      <w:proofErr w:type="spellEnd"/>
      <w:r w:rsidRPr="00175F8B">
        <w:t xml:space="preserve"> artikkel 26 nr. 1 regulerer verdipapirforetakenes plikt til å rapportere utførte transaksjoner til tilsynsmyndigheten så snart som mulig og senest ved utgangen av påfølgende virkedag. Verdipapirforetakenes tilsynsmyndighet skal ha ordninger for å sikre at tilsynsmyndigheten for det mest likvide markedet for de aktuelle finansielle instrumentene også mottar opplysningene.</w:t>
      </w:r>
    </w:p>
    <w:p w14:paraId="5645A9DB" w14:textId="77777777" w:rsidR="00080633" w:rsidRPr="00175F8B" w:rsidRDefault="00080633" w:rsidP="00175F8B">
      <w:r w:rsidRPr="00175F8B">
        <w:t>Transaksjoner i finansielle instrumenter som er tatt opp til handel, eller som handles på en handelsplass, eller som det er søkt om opptak til handel for på en slik handelsplass, er omfattet av rapporteringsplikten. Det er også transaksjoner i finansielle instrumenter med underliggende som handles på handelsplass, eller der underliggende er en indeks eller kurv av finansielle instrumenter som handles på handelsplass. Transaksjonene skal rapporteres uavhengig av om transaksjonen har funnet sted på en handels</w:t>
      </w:r>
      <w:r w:rsidRPr="00175F8B">
        <w:t xml:space="preserve">plass eller ikke. Dette følger av </w:t>
      </w:r>
      <w:proofErr w:type="spellStart"/>
      <w:r w:rsidRPr="00175F8B">
        <w:t>MiFIR</w:t>
      </w:r>
      <w:proofErr w:type="spellEnd"/>
      <w:r w:rsidRPr="00175F8B">
        <w:t xml:space="preserve"> artikkel 26 nr. 2. Krav til rapporteringens innhold følger av </w:t>
      </w:r>
      <w:proofErr w:type="spellStart"/>
      <w:r w:rsidRPr="00175F8B">
        <w:t>MiFIR</w:t>
      </w:r>
      <w:proofErr w:type="spellEnd"/>
      <w:r w:rsidRPr="00175F8B">
        <w:t xml:space="preserve"> artikkel 26 nr. 3.</w:t>
      </w:r>
    </w:p>
    <w:p w14:paraId="499218CA" w14:textId="77777777" w:rsidR="00080633" w:rsidRPr="00175F8B" w:rsidRDefault="00080633" w:rsidP="00175F8B">
      <w:r w:rsidRPr="00175F8B">
        <w:t xml:space="preserve">For å tilrettelegge for transaksjonsrapporteringen etter </w:t>
      </w:r>
      <w:proofErr w:type="spellStart"/>
      <w:r w:rsidRPr="00175F8B">
        <w:t>MiFIR</w:t>
      </w:r>
      <w:proofErr w:type="spellEnd"/>
      <w:r w:rsidRPr="00175F8B">
        <w:t xml:space="preserve"> artikkel 26, er det i </w:t>
      </w:r>
      <w:proofErr w:type="spellStart"/>
      <w:r w:rsidRPr="00175F8B">
        <w:t>MiFIR</w:t>
      </w:r>
      <w:proofErr w:type="spellEnd"/>
      <w:r w:rsidRPr="00175F8B">
        <w:t xml:space="preserve"> artikkel 27 fastsatt at handelsplasser skal gi tilsynsmyndighetene de referanseopplysningene som kreves for transaksjonsrapportering for finansielle instrumenter som er tatt opp til handel på handelsplassen. For øvrige finansielle instrumenter som er underlagt rapporteringsplikten etter </w:t>
      </w:r>
      <w:proofErr w:type="spellStart"/>
      <w:r w:rsidRPr="00175F8B">
        <w:t>MiFIR</w:t>
      </w:r>
      <w:proofErr w:type="spellEnd"/>
      <w:r w:rsidRPr="00175F8B">
        <w:t xml:space="preserve"> artikkel 26 nr. 2, skal SI gi </w:t>
      </w:r>
      <w:r w:rsidRPr="00175F8B">
        <w:t>tilsynsmyndigheten referanseopplysninger for finansielle</w:t>
      </w:r>
      <w:r w:rsidRPr="00175F8B">
        <w:t xml:space="preserve"> instrumenter som handles i deres systemer. Dette vil gjelde finansielle instrumenter med underlig</w:t>
      </w:r>
      <w:r w:rsidRPr="00175F8B">
        <w:t xml:space="preserve">gende som er tatt opp til handel på en handelsplass. Kravene til rapportering av referansedata etter </w:t>
      </w:r>
      <w:proofErr w:type="spellStart"/>
      <w:r w:rsidRPr="00175F8B">
        <w:t>MiFIR</w:t>
      </w:r>
      <w:proofErr w:type="spellEnd"/>
      <w:r w:rsidRPr="00175F8B">
        <w:t xml:space="preserve"> artikkel 27 er utdypet i Kommisjonsforordning (EU) 2017/585 (RTS 23), som blant annet fastsetter nærmere krav til hvilket format det skal rapporteres på.</w:t>
      </w:r>
    </w:p>
    <w:p w14:paraId="04CDDC3F" w14:textId="77777777" w:rsidR="00080633" w:rsidRPr="00175F8B" w:rsidRDefault="00080633" w:rsidP="00175F8B">
      <w:r w:rsidRPr="00175F8B">
        <w:t xml:space="preserve">Referanseopplysningene skal videreformidles fra nasjonal tilsynsmyndighet til ESMA, som skal offentliggjøre disse på sitt nettsted, jf. </w:t>
      </w:r>
      <w:proofErr w:type="spellStart"/>
      <w:r w:rsidRPr="00175F8B">
        <w:t>MiFIR</w:t>
      </w:r>
      <w:proofErr w:type="spellEnd"/>
      <w:r w:rsidRPr="00175F8B">
        <w:t xml:space="preserve"> artikkel 27 nr. 1 tredje ledd. Dette skal gjøre det mulig for ESMA og nasjonale tilsynsmyndigheter å bruke, analysere og utveksle transaksjonsrapporter.</w:t>
      </w:r>
    </w:p>
    <w:p w14:paraId="68870EB6" w14:textId="77777777" w:rsidR="00080633" w:rsidRPr="00175F8B" w:rsidRDefault="00080633" w:rsidP="00175F8B">
      <w:pPr>
        <w:pStyle w:val="Overskrift2"/>
      </w:pPr>
      <w:r w:rsidRPr="00175F8B">
        <w:t>Forventet EØS-rett</w:t>
      </w:r>
    </w:p>
    <w:p w14:paraId="204C544E" w14:textId="77777777" w:rsidR="00080633" w:rsidRPr="00175F8B" w:rsidRDefault="00080633" w:rsidP="00175F8B">
      <w:proofErr w:type="spellStart"/>
      <w:r w:rsidRPr="00175F8B">
        <w:t>MiFIR</w:t>
      </w:r>
      <w:proofErr w:type="spellEnd"/>
      <w:r w:rsidRPr="00175F8B">
        <w:t xml:space="preserve"> artikkel 26 nr. 1 viderefører verdipapirforetakenes plikt til å rapportere utførte transaksjoner til tilsynsmyndigheten så snart som mulig og senest ved utgangen av påfølgende virkedag. Verdipapirforetakenes tilsynsmyndighet skal opprettholde ordningene for å sikre at tilsynsmyndigheten for det mest likvide markedet for de aktuelle finansielle instrumenter mottar opplysningene. Bestemmelsen utvides slik at tilsynsmyndigheten til verdipapirforetaket som utførte transaksjonen, også skal sikre at tilsynsmyndi</w:t>
      </w:r>
      <w:r w:rsidRPr="00175F8B">
        <w:t xml:space="preserve">gheten til verdipapirforetaket som formidlet ordren, tilsynsmyndighetene til filialene som har vært del av transaksjonen og tilsynsmyndigheten til handelsplassene som er benyttet, mottar de rapporterte opplysningene, se </w:t>
      </w:r>
      <w:proofErr w:type="spellStart"/>
      <w:r w:rsidRPr="00175F8B">
        <w:t>MiFIR</w:t>
      </w:r>
      <w:proofErr w:type="spellEnd"/>
      <w:r w:rsidRPr="00175F8B">
        <w:t xml:space="preserve"> artikkel 26 nr. 1 nytt annet ledd bokstav a til d</w:t>
      </w:r>
      <w:r w:rsidRPr="00175F8B">
        <w:t>.</w:t>
      </w:r>
    </w:p>
    <w:p w14:paraId="2B4AF54D" w14:textId="77777777" w:rsidR="00080633" w:rsidRPr="00175F8B" w:rsidRDefault="00080633" w:rsidP="00175F8B">
      <w:r w:rsidRPr="00175F8B">
        <w:t xml:space="preserve">Videre endres virkeområdet for rapporteringsplikten av OTC-derivater. Rapporteringsplikten etter </w:t>
      </w:r>
      <w:proofErr w:type="spellStart"/>
      <w:r w:rsidRPr="00175F8B">
        <w:t>MiFIR</w:t>
      </w:r>
      <w:proofErr w:type="spellEnd"/>
      <w:r w:rsidRPr="00175F8B">
        <w:t xml:space="preserve"> før forordning 2024/791 gjaldt for transaksjoner i finansielle instrumenter som var tatt opp til handel, eller som ble handlet på en handelsplass, eller som det var søkt om opptak til handel for på en slik handelsplass, uavhengig av om transaksjonen var gjennomført på en handelsplass eller ikke. </w:t>
      </w:r>
      <w:proofErr w:type="spellStart"/>
      <w:r w:rsidRPr="00175F8B">
        <w:t>MiFIR</w:t>
      </w:r>
      <w:proofErr w:type="spellEnd"/>
      <w:r w:rsidRPr="00175F8B">
        <w:t xml:space="preserve"> artikkel 26 ny nr. 2 gjør unntak fra dette for OTC-derivater som ikke er omfattet av </w:t>
      </w:r>
      <w:proofErr w:type="spellStart"/>
      <w:r w:rsidRPr="00175F8B">
        <w:t>MiFIR</w:t>
      </w:r>
      <w:proofErr w:type="spellEnd"/>
      <w:r w:rsidRPr="00175F8B">
        <w:t xml:space="preserve"> artikkel 8a nr. 2 om transparens, som i hovedsak er OTC-derivater som ikke er omfattet av clearingplikten i foro</w:t>
      </w:r>
      <w:r w:rsidRPr="00175F8B">
        <w:t>rdning (EU) 648/2012 (EMIR). For OTC-derivatene som ikke er omfattet av nevnte bestemmelse, gjelder rapporteringsplikten kun dersom transaksjonen skjer på en handelsplass. Kravet om transaksjonsrapportering for transaksjoner i finansielle instrumenter med underliggende som handles på handelsplass eller der underliggende er en indeks eller kurv av finansielle instrumenter som handles på handelsplass, videreføres.</w:t>
      </w:r>
    </w:p>
    <w:p w14:paraId="75B150F4" w14:textId="77777777" w:rsidR="00080633" w:rsidRPr="00175F8B" w:rsidRDefault="00080633" w:rsidP="00175F8B">
      <w:r w:rsidRPr="00175F8B">
        <w:lastRenderedPageBreak/>
        <w:t xml:space="preserve">Videre gjøres det noen endringer i hvilken informasjon som skal rapporteres i </w:t>
      </w:r>
      <w:proofErr w:type="spellStart"/>
      <w:r w:rsidRPr="00175F8B">
        <w:t>MiFIR</w:t>
      </w:r>
      <w:proofErr w:type="spellEnd"/>
      <w:r w:rsidRPr="00175F8B">
        <w:t xml:space="preserve"> artikkel 26 nr. 3. Effektiv dato, enheten som er underlagt rapporteringsforpliktelsen og transaksjonsidentifikasjonskode skal nå inntas i rapporteringen. Informasjon om unntak (</w:t>
      </w:r>
      <w:proofErr w:type="spellStart"/>
      <w:r w:rsidRPr="00175F8B">
        <w:t>waivere</w:t>
      </w:r>
      <w:proofErr w:type="spellEnd"/>
      <w:r w:rsidRPr="00175F8B">
        <w:t xml:space="preserve">) og </w:t>
      </w:r>
      <w:proofErr w:type="spellStart"/>
      <w:r w:rsidRPr="00175F8B">
        <w:t>short</w:t>
      </w:r>
      <w:proofErr w:type="spellEnd"/>
      <w:r w:rsidRPr="00175F8B">
        <w:t>-salg skal ikke lenger inkluderes.</w:t>
      </w:r>
    </w:p>
    <w:p w14:paraId="2E7B9382" w14:textId="77777777" w:rsidR="00080633" w:rsidRPr="00175F8B" w:rsidRDefault="00080633" w:rsidP="00175F8B">
      <w:r w:rsidRPr="00175F8B">
        <w:t xml:space="preserve">I </w:t>
      </w:r>
      <w:proofErr w:type="spellStart"/>
      <w:r w:rsidRPr="00175F8B">
        <w:t>MiFIR</w:t>
      </w:r>
      <w:proofErr w:type="spellEnd"/>
      <w:r w:rsidRPr="00175F8B">
        <w:t xml:space="preserve"> artikkel 26 nr. 8 er det inntatt en ny bestemmelse som regulerer rapportering av transaksjoner foretatt av filialer av verdipapirforetak og filialer av foretak fra tredjeland.</w:t>
      </w:r>
    </w:p>
    <w:p w14:paraId="55D6A73C" w14:textId="77777777" w:rsidR="00080633" w:rsidRPr="00175F8B" w:rsidRDefault="00080633" w:rsidP="00175F8B">
      <w:r w:rsidRPr="00175F8B">
        <w:t xml:space="preserve">Det er gitt utfyllende regler om transaksjonsrapportering i kommisjonsforordning (EU) 2017/590 (RTS 22). Det må gjøres endringer i denne kommisjonsforordningen som en følge av endringene i </w:t>
      </w:r>
      <w:proofErr w:type="spellStart"/>
      <w:r w:rsidRPr="00175F8B">
        <w:t>MiFIR</w:t>
      </w:r>
      <w:proofErr w:type="spellEnd"/>
      <w:r w:rsidRPr="00175F8B">
        <w:t xml:space="preserve">. ESMA planlegger å sende forslag til endringer i RTS 22 på høring i fjerde kvartal 2024. ESMA skal også utarbeide en rapport til kommisjonen der det skal vurderes om </w:t>
      </w:r>
      <w:r w:rsidRPr="00175F8B">
        <w:t>transaksjonsrapporteringen kan strømlinjeformes</w:t>
      </w:r>
      <w:r w:rsidRPr="00175F8B">
        <w:t xml:space="preserve"> ytterligere.</w:t>
      </w:r>
    </w:p>
    <w:p w14:paraId="26DA8DCD" w14:textId="77777777" w:rsidR="00080633" w:rsidRPr="00175F8B" w:rsidRDefault="00080633" w:rsidP="00175F8B">
      <w:r w:rsidRPr="00175F8B">
        <w:t xml:space="preserve">Det er videre gjort endringer i </w:t>
      </w:r>
      <w:proofErr w:type="spellStart"/>
      <w:r w:rsidRPr="00175F8B">
        <w:t>MiFIR</w:t>
      </w:r>
      <w:proofErr w:type="spellEnd"/>
      <w:r w:rsidRPr="00175F8B">
        <w:t xml:space="preserve"> artikkel 27 om rapportering av referansedata for finansielle instrumenter. Det er nå klargjort at referansedataene også rapporteres for formål knyttet til transparenskravene, slik at referansedataene for transparens- og transaksjonsrapportering strømlinjeformes. Endrede krav som følge av dette vil </w:t>
      </w:r>
      <w:proofErr w:type="gramStart"/>
      <w:r w:rsidRPr="00175F8B">
        <w:t>fremkomme</w:t>
      </w:r>
      <w:proofErr w:type="gramEnd"/>
      <w:r w:rsidRPr="00175F8B">
        <w:t xml:space="preserve"> av endringer i kommisjonsforordning (EU) 2017/585 (RTS 23) om referansedata. ESMA har sendt forslag til endringer i RTS 23 på høring. Det vises til omtale av høringene av nivå 2- regelverk i kapitt</w:t>
      </w:r>
      <w:r w:rsidRPr="00175F8B">
        <w:t>el 1.5.</w:t>
      </w:r>
    </w:p>
    <w:p w14:paraId="297EC59E" w14:textId="77777777" w:rsidR="00080633" w:rsidRPr="00175F8B" w:rsidRDefault="00080633" w:rsidP="00175F8B">
      <w:r w:rsidRPr="00175F8B">
        <w:t xml:space="preserve">Identifikatoren som er blitt benyttet for derivater, det vil si ISIN, har vist seg å være tungvint og ineffektiv. </w:t>
      </w:r>
      <w:proofErr w:type="spellStart"/>
      <w:r w:rsidRPr="00175F8B">
        <w:t>MiFIR</w:t>
      </w:r>
      <w:proofErr w:type="spellEnd"/>
      <w:r w:rsidRPr="00175F8B">
        <w:t xml:space="preserve"> artikkel 27 nr. 1 endres derfor slik at referansedata for OTC-derivater skal være basert på en globalt avtalt identifikator og eventuelle andre referansedata. Kommisjonen skal vedta en delegert rettsakt for å spesifisere referansedataene for transparensformål, se </w:t>
      </w:r>
      <w:proofErr w:type="spellStart"/>
      <w:r w:rsidRPr="00175F8B">
        <w:t>MiFIR</w:t>
      </w:r>
      <w:proofErr w:type="spellEnd"/>
      <w:r w:rsidRPr="00175F8B">
        <w:t xml:space="preserve"> artikkel 27 ny nr. 5. ESMA har sendt forslag til ny kommisjonsforordning om dette på høring, se kapittel 1.5. Videre blir utpekte publiseringsenheter (</w:t>
      </w:r>
      <w:proofErr w:type="spellStart"/>
      <w:r w:rsidRPr="00175F8B">
        <w:t>Designated</w:t>
      </w:r>
      <w:proofErr w:type="spellEnd"/>
      <w:r w:rsidRPr="00175F8B">
        <w:t xml:space="preserve"> Publishing </w:t>
      </w:r>
      <w:proofErr w:type="spellStart"/>
      <w:r w:rsidRPr="00175F8B">
        <w:t>Entities</w:t>
      </w:r>
      <w:proofErr w:type="spellEnd"/>
      <w:r w:rsidRPr="00175F8B">
        <w:t>) pålagt å gi ESMA referansedataene til OTC-derivater s</w:t>
      </w:r>
      <w:r w:rsidRPr="00175F8B">
        <w:t xml:space="preserve">om ikke er dekket av første ledd i </w:t>
      </w:r>
      <w:proofErr w:type="spellStart"/>
      <w:r w:rsidRPr="00175F8B">
        <w:t>MiFIR</w:t>
      </w:r>
      <w:proofErr w:type="spellEnd"/>
      <w:r w:rsidRPr="00175F8B">
        <w:t xml:space="preserve"> artikkel 27 nr. 1, men som faller inn under kravet om transaksjonsrapportering i </w:t>
      </w:r>
      <w:proofErr w:type="spellStart"/>
      <w:r w:rsidRPr="00175F8B">
        <w:t>MiFIR</w:t>
      </w:r>
      <w:proofErr w:type="spellEnd"/>
      <w:r w:rsidRPr="00175F8B">
        <w:t xml:space="preserve"> artikkel 26 nr. 2.</w:t>
      </w:r>
    </w:p>
    <w:p w14:paraId="7F70178F" w14:textId="77777777" w:rsidR="00080633" w:rsidRPr="00175F8B" w:rsidRDefault="00080633" w:rsidP="00175F8B">
      <w:pPr>
        <w:pStyle w:val="Overskrift2"/>
      </w:pPr>
      <w:r w:rsidRPr="00175F8B">
        <w:t>Utvalgets vurderinger</w:t>
      </w:r>
    </w:p>
    <w:p w14:paraId="0A44CF00" w14:textId="77777777" w:rsidR="00080633" w:rsidRPr="00175F8B" w:rsidRDefault="00080633" w:rsidP="00175F8B">
      <w:r w:rsidRPr="00175F8B">
        <w:t xml:space="preserve">Utvalget bemerker at kravene om rapportering av transaksjoner til tilsynsmyndighetene er sentrale for å avdekke og undersøke mulige tilfeller av </w:t>
      </w:r>
      <w:r w:rsidRPr="00175F8B">
        <w:t>markedsmisbruk, overvåke at markedene fungerer</w:t>
      </w:r>
      <w:r w:rsidRPr="00175F8B">
        <w:t xml:space="preserve"> på en rettferdig og ordnet måte og for å overvåke verdipapirforetakenes virksomhet.</w:t>
      </w:r>
    </w:p>
    <w:p w14:paraId="0CC5E4D5" w14:textId="77777777" w:rsidR="00080633" w:rsidRPr="00175F8B" w:rsidRDefault="00080633" w:rsidP="00175F8B"/>
    <w:p w14:paraId="1EE86AD7" w14:textId="77777777" w:rsidR="00080633" w:rsidRPr="00175F8B" w:rsidRDefault="00080633" w:rsidP="00175F8B">
      <w:pPr>
        <w:pStyle w:val="Overskrift1"/>
      </w:pPr>
      <w:r w:rsidRPr="00175F8B">
        <w:t>Administrative og økonomiske konsekvenser</w:t>
      </w:r>
    </w:p>
    <w:p w14:paraId="55577B11" w14:textId="77777777" w:rsidR="00080633" w:rsidRPr="00175F8B" w:rsidRDefault="00080633" w:rsidP="00175F8B">
      <w:pPr>
        <w:pStyle w:val="Overskrift2"/>
      </w:pPr>
      <w:r w:rsidRPr="00175F8B">
        <w:t>Innledende betraktninger</w:t>
      </w:r>
    </w:p>
    <w:p w14:paraId="18192786" w14:textId="77777777" w:rsidR="00080633" w:rsidRPr="00175F8B" w:rsidRDefault="00080633" w:rsidP="00175F8B">
      <w:proofErr w:type="spellStart"/>
      <w:r w:rsidRPr="00175F8B">
        <w:t>MiFID</w:t>
      </w:r>
      <w:proofErr w:type="spellEnd"/>
      <w:r w:rsidRPr="00175F8B">
        <w:t xml:space="preserve"> II og </w:t>
      </w:r>
      <w:proofErr w:type="spellStart"/>
      <w:r w:rsidRPr="00175F8B">
        <w:t>MiFIR</w:t>
      </w:r>
      <w:proofErr w:type="spellEnd"/>
      <w:r w:rsidRPr="00175F8B">
        <w:t xml:space="preserve"> er et resultat av Kommisjonens gjennomgang av </w:t>
      </w:r>
      <w:proofErr w:type="spellStart"/>
      <w:r w:rsidRPr="00175F8B">
        <w:t>MiFID</w:t>
      </w:r>
      <w:proofErr w:type="spellEnd"/>
      <w:r w:rsidRPr="00175F8B">
        <w:t xml:space="preserve"> I med sikte på å styrke reguleringen av markedet for finansielle instrumenter. Rettsaktene stiller en rekke krav til aktører som leverer investeringstjenester eller driver investeringsvirksomhet knyttet til finansielle instrumenter i EØS-området. En del av reglene har vist seg unødig kompliserte og har også medført ulik praksis mellom landene. Etter en ny gjennomgang av regelverket er det derfor vedtatt endringer som søker å forenkle regelverk</w:t>
      </w:r>
      <w:r w:rsidRPr="00175F8B">
        <w:t xml:space="preserve">et, samt sikre at det opprettes et konsolidert offentliggjøringssystem for handelsinformasjon som anses nødvendig for å </w:t>
      </w:r>
      <w:proofErr w:type="gramStart"/>
      <w:r w:rsidRPr="00175F8B">
        <w:t>integrere</w:t>
      </w:r>
      <w:proofErr w:type="gramEnd"/>
      <w:r w:rsidRPr="00175F8B">
        <w:t xml:space="preserve"> de nasjonale kapitalmarkedene til ett felleseuropeisk marked.</w:t>
      </w:r>
    </w:p>
    <w:p w14:paraId="180E0C2F" w14:textId="77777777" w:rsidR="00080633" w:rsidRPr="00175F8B" w:rsidRDefault="00080633" w:rsidP="00175F8B">
      <w:r w:rsidRPr="00175F8B">
        <w:t>Endringene som skal gjennomføres skjer i et fullharmonisert direktiv og en forordning, og det foreligger ingen aktuelle nasjonale valg. EØS-avtalen innebærer bl.a. at de tre EØS EFTA-statene skal ta nytt EØS-relevant EU-regelverk inn i vedleggene til avtalen. Når innlemmelse i EØS-avtalen av nytt regelverk trer i kraft</w:t>
      </w:r>
      <w:r w:rsidRPr="00175F8B">
        <w:t xml:space="preserve">, blir Norge forpliktet til å gjennomføre direktiver og forordninger med tilhørende kommisjonsforordninger i norsk rett. Mens direktiver skal gjennomføres i norsk lov- og forskriftsverk ved utarbeidelse av nødvendige nasjonale bestemmelser, skal forordninger gjennomføres ved inkorporasjon, dvs. henvisning til EU-forordningen slik den er tatt inn i EØS-avtalen med tilpasninger. Manglende eller avvikende gjennomføring av slike bestemmelser vil utgjøre et brudd på Norges EØS-forpliktelser. Utvalget foreslår i </w:t>
      </w:r>
      <w:r w:rsidRPr="00175F8B">
        <w:t>denne utredningen endringer i verdipapirhandelloven som er nødvendige for å oppfylle forventede nye EØS-forpliktelser.</w:t>
      </w:r>
    </w:p>
    <w:p w14:paraId="6DF62C01" w14:textId="77777777" w:rsidR="00080633" w:rsidRPr="00175F8B" w:rsidRDefault="00080633" w:rsidP="00175F8B">
      <w:r w:rsidRPr="00175F8B">
        <w:t xml:space="preserve">Fremfor å vurdere hver enkelt regel ut fra hvilket detaljnivå som hører hjemme i henholdsvis lov og forskrift, foreslår utvalget en gjennomføring av de aktuelle direktivene og forordningene i tråd med et trinnhøydeprinsipp slik det ble gjort ved gjennomføringen av </w:t>
      </w:r>
      <w:proofErr w:type="spellStart"/>
      <w:r w:rsidRPr="00175F8B">
        <w:t>MiFID</w:t>
      </w:r>
      <w:proofErr w:type="spellEnd"/>
      <w:r w:rsidRPr="00175F8B">
        <w:t xml:space="preserve"> II og </w:t>
      </w:r>
      <w:proofErr w:type="spellStart"/>
      <w:r w:rsidRPr="00175F8B">
        <w:t>MiFIR</w:t>
      </w:r>
      <w:proofErr w:type="spellEnd"/>
      <w:r w:rsidRPr="00175F8B">
        <w:t xml:space="preserve">. Dette innebærer at regler som står i </w:t>
      </w:r>
      <w:proofErr w:type="spellStart"/>
      <w:r w:rsidRPr="00175F8B">
        <w:t>hoveddirektivet</w:t>
      </w:r>
      <w:proofErr w:type="spellEnd"/>
      <w:r w:rsidRPr="00175F8B">
        <w:t xml:space="preserve"> (</w:t>
      </w:r>
      <w:proofErr w:type="spellStart"/>
      <w:r w:rsidRPr="00175F8B">
        <w:t>MiFID</w:t>
      </w:r>
      <w:proofErr w:type="spellEnd"/>
      <w:r w:rsidRPr="00175F8B">
        <w:t xml:space="preserve"> II) og </w:t>
      </w:r>
      <w:proofErr w:type="spellStart"/>
      <w:r w:rsidRPr="00175F8B">
        <w:t>hovedforordningen</w:t>
      </w:r>
      <w:proofErr w:type="spellEnd"/>
      <w:r w:rsidRPr="00175F8B">
        <w:t xml:space="preserve"> (</w:t>
      </w:r>
      <w:proofErr w:type="spellStart"/>
      <w:r w:rsidRPr="00175F8B">
        <w:t>MiFIR</w:t>
      </w:r>
      <w:proofErr w:type="spellEnd"/>
      <w:r w:rsidRPr="00175F8B">
        <w:t>) gjennomføres i lov. Bakgrunnen for valget er at utvalget mener det er behov for et tydelig system for gjennomføring, og at dette i seg selv kan bidra til å skape orden i regelverket og klarhet for brukerne.</w:t>
      </w:r>
    </w:p>
    <w:p w14:paraId="180326C4" w14:textId="77777777" w:rsidR="00080633" w:rsidRPr="00175F8B" w:rsidRDefault="00080633" w:rsidP="00175F8B">
      <w:r w:rsidRPr="00175F8B">
        <w:t>Som nevnt innebærer EØS-avtalen en plikt til å gjennomføre det aktuelle EU-regelverket. Det anses ikke hensiktsmessig å skissere alternative løsninger eller foreta en full avveining av nytten a</w:t>
      </w:r>
      <w:r w:rsidRPr="00175F8B">
        <w:t>v regelverket sett opp mot kostnaden. Utvalget har derfor valgt å foreta en overordnet analyse av det nye regelverkets konsekvenser for næringsliv, forbrukere og myndigheter i henhold til utredningsinstruksen.</w:t>
      </w:r>
    </w:p>
    <w:p w14:paraId="4BF2DF2E" w14:textId="77777777" w:rsidR="00080633" w:rsidRPr="00175F8B" w:rsidRDefault="00080633" w:rsidP="00175F8B">
      <w:r w:rsidRPr="00175F8B">
        <w:t xml:space="preserve">Nedenfor følger en oversikt over de viktigste administrative og økonomiske konsekvensene som følger av endringene i </w:t>
      </w:r>
      <w:proofErr w:type="spellStart"/>
      <w:r w:rsidRPr="00175F8B">
        <w:t>MiFID</w:t>
      </w:r>
      <w:proofErr w:type="spellEnd"/>
      <w:r w:rsidRPr="00175F8B">
        <w:t xml:space="preserve"> II og </w:t>
      </w:r>
      <w:proofErr w:type="spellStart"/>
      <w:r w:rsidRPr="00175F8B">
        <w:t>MiFIR</w:t>
      </w:r>
      <w:proofErr w:type="spellEnd"/>
      <w:r w:rsidRPr="00175F8B">
        <w:t>. Oversikten viser konsekvensene som følger av endringene på nivå 1. Utvalget påpeker at de underliggende rettsaktene som er under utarbeidelse, kan medføre andre administrative og økonomiske konsekvenser enn de som er omtalt her.</w:t>
      </w:r>
    </w:p>
    <w:p w14:paraId="3F68C778" w14:textId="77777777" w:rsidR="00080633" w:rsidRPr="00175F8B" w:rsidRDefault="00080633" w:rsidP="00175F8B">
      <w:pPr>
        <w:pStyle w:val="Overskrift2"/>
      </w:pPr>
      <w:r w:rsidRPr="00175F8B">
        <w:t>Konsekvenser for verdipapirforetak</w:t>
      </w:r>
    </w:p>
    <w:p w14:paraId="31B925AE" w14:textId="77777777" w:rsidR="00080633" w:rsidRPr="00175F8B" w:rsidRDefault="00080633" w:rsidP="00175F8B">
      <w:r w:rsidRPr="00175F8B">
        <w:t>På generelt grunnlag vil det være ressurskrevende for foretak å sette seg inn i et nytt og detaljert regelverk. Vellykket innføring vil forutsette kompetansehevingstiltak for ansatte. I mange tilfeller vil verdipapirforetakene også være avhengig av å innhente juridisk og IT-teknisk bistand.</w:t>
      </w:r>
    </w:p>
    <w:p w14:paraId="26E74AF2" w14:textId="77777777" w:rsidR="00080633" w:rsidRPr="00175F8B" w:rsidRDefault="00080633" w:rsidP="00175F8B">
      <w:r w:rsidRPr="00175F8B">
        <w:t xml:space="preserve">Endringene i </w:t>
      </w:r>
      <w:proofErr w:type="spellStart"/>
      <w:r w:rsidRPr="00175F8B">
        <w:t>MiFID</w:t>
      </w:r>
      <w:proofErr w:type="spellEnd"/>
      <w:r w:rsidRPr="00175F8B">
        <w:t xml:space="preserve"> II og </w:t>
      </w:r>
      <w:proofErr w:type="spellStart"/>
      <w:r w:rsidRPr="00175F8B">
        <w:t>MiFIR</w:t>
      </w:r>
      <w:proofErr w:type="spellEnd"/>
      <w:r w:rsidRPr="00175F8B">
        <w:t xml:space="preserve"> medfører at enkelte verdipapirforetak blir underlagt færre eller enklere krav. For det første endres egenhandelsreglene i </w:t>
      </w:r>
      <w:proofErr w:type="spellStart"/>
      <w:r w:rsidRPr="00175F8B">
        <w:t>MiFID</w:t>
      </w:r>
      <w:proofErr w:type="spellEnd"/>
      <w:r w:rsidRPr="00175F8B">
        <w:t xml:space="preserve"> II artikkel 2 nr. 1 bokstav d, slik at den som har direkte elektronisk tilgang til en handelsplass ikke lenger trenger å ha tillatelse som verdipapirforetak for å handle for egen regning, dersom øvrige vilkår i unntaket er oppfylt.</w:t>
      </w:r>
    </w:p>
    <w:p w14:paraId="1232EB60" w14:textId="77777777" w:rsidR="00080633" w:rsidRPr="00175F8B" w:rsidRDefault="00080633" w:rsidP="00175F8B">
      <w:r w:rsidRPr="00175F8B">
        <w:t xml:space="preserve">Videre forenkles beregningene som verdipapirforetak må gjøre for å kunne registrere seg som systematisk internaliserer (SI). Etter endringene i </w:t>
      </w:r>
      <w:proofErr w:type="spellStart"/>
      <w:r w:rsidRPr="00175F8B">
        <w:t>MiFID</w:t>
      </w:r>
      <w:proofErr w:type="spellEnd"/>
      <w:r w:rsidRPr="00175F8B">
        <w:t xml:space="preserve"> II skal det foretas en kvalitativ vurdering av hvorvidt et foretaks virksomhet oppfyller kravene til å være SI, i stedet for at det gjøres kvantitative beregninger basert på tall fra ESMA. Endringen er dermed en forenkling av gjeldende rett, og vil medføre noe reduserte kostnader for ESMA og verdipapirforetakene. Det er i dag fire verdipapirforetak i Norge som er registrert som SI, slik at betydningen for det </w:t>
      </w:r>
      <w:r w:rsidRPr="00175F8B">
        <w:lastRenderedPageBreak/>
        <w:t>norske markedet vil være begrenset. Det forventes ikke at flere foretak vil være pliktige til</w:t>
      </w:r>
      <w:r w:rsidRPr="00175F8B">
        <w:t xml:space="preserve"> å registrere seg som SI etter de nye beregningsreglene.</w:t>
      </w:r>
    </w:p>
    <w:p w14:paraId="467C83F6" w14:textId="77777777" w:rsidR="00080633" w:rsidRPr="00175F8B" w:rsidRDefault="00080633" w:rsidP="00175F8B">
      <w:r w:rsidRPr="00175F8B">
        <w:t xml:space="preserve">Endringer i </w:t>
      </w:r>
      <w:proofErr w:type="spellStart"/>
      <w:r w:rsidRPr="00175F8B">
        <w:t>MiFIR</w:t>
      </w:r>
      <w:proofErr w:type="spellEnd"/>
      <w:r w:rsidRPr="00175F8B">
        <w:t xml:space="preserve"> innfører også en ny type rolle for verdipapirforetak som «utpekt publiseringsenhet» (</w:t>
      </w:r>
      <w:proofErr w:type="spellStart"/>
      <w:r w:rsidRPr="00175F8B">
        <w:t>Designated</w:t>
      </w:r>
      <w:proofErr w:type="spellEnd"/>
      <w:r w:rsidRPr="00175F8B">
        <w:t xml:space="preserve"> Publishing </w:t>
      </w:r>
      <w:proofErr w:type="spellStart"/>
      <w:r w:rsidRPr="00175F8B">
        <w:t>Entity</w:t>
      </w:r>
      <w:proofErr w:type="spellEnd"/>
      <w:r w:rsidRPr="00175F8B">
        <w:t xml:space="preserve">). Verdipapirforetak kan etter endringen registrere seg som utpekt publiseringsenhet i stedet for SI. Et verdipapirforetak som registrerer seg som utpekt publiseringsenhet, vil kunne rapportere handler til APA for kunder. Verdipapirforetaket trenger dermed ikke lenger være underlagt forpliktelsene som </w:t>
      </w:r>
      <w:proofErr w:type="spellStart"/>
      <w:r w:rsidRPr="00175F8B">
        <w:t>SIer</w:t>
      </w:r>
      <w:proofErr w:type="spellEnd"/>
      <w:r w:rsidRPr="00175F8B">
        <w:t xml:space="preserve"> er underlagt for å kunne rapportere handler til APA for kunder. Av de fire foretakene</w:t>
      </w:r>
      <w:r w:rsidRPr="00175F8B">
        <w:t xml:space="preserve"> som er registrert som SI med Norge som hjemstat, har to av disse tillatelse som SI for å kunne rapportere handler til APA for kunder. For slike foretak innebærer reglene om utpekte publiseringsenheter en ikke ubetydelig forenkling.</w:t>
      </w:r>
    </w:p>
    <w:p w14:paraId="31DF5626" w14:textId="77777777" w:rsidR="00080633" w:rsidRPr="00175F8B" w:rsidRDefault="00080633" w:rsidP="00175F8B">
      <w:r w:rsidRPr="00175F8B">
        <w:t xml:space="preserve">Både </w:t>
      </w:r>
      <w:proofErr w:type="spellStart"/>
      <w:r w:rsidRPr="00175F8B">
        <w:t>SIer</w:t>
      </w:r>
      <w:proofErr w:type="spellEnd"/>
      <w:r w:rsidRPr="00175F8B">
        <w:t xml:space="preserve"> og utpekte publiseringsenheter blir pålagt krav til synkronisering av klokker, noe som vil medføre noe økte utgifter for disse foretakene.</w:t>
      </w:r>
    </w:p>
    <w:p w14:paraId="5FF8CB37" w14:textId="77777777" w:rsidR="00080633" w:rsidRPr="00175F8B" w:rsidRDefault="00080633" w:rsidP="00175F8B">
      <w:r w:rsidRPr="00175F8B">
        <w:t>Verdipapirforetakene må også tilpasse sine systemer for transaksjonsrapportering i tråd med de endrede kravene.</w:t>
      </w:r>
    </w:p>
    <w:p w14:paraId="6698EDE5" w14:textId="77777777" w:rsidR="00080633" w:rsidRPr="00175F8B" w:rsidRDefault="00080633" w:rsidP="00175F8B">
      <w:pPr>
        <w:pStyle w:val="Overskrift2"/>
      </w:pPr>
      <w:r w:rsidRPr="00175F8B">
        <w:t>Konsekvenser for handelsplasser</w:t>
      </w:r>
    </w:p>
    <w:p w14:paraId="13EB6022" w14:textId="77777777" w:rsidR="00080633" w:rsidRPr="00175F8B" w:rsidRDefault="00080633" w:rsidP="00175F8B">
      <w:r w:rsidRPr="00175F8B">
        <w:t xml:space="preserve">Endringene i </w:t>
      </w:r>
      <w:proofErr w:type="spellStart"/>
      <w:r w:rsidRPr="00175F8B">
        <w:t>MiFIR</w:t>
      </w:r>
      <w:proofErr w:type="spellEnd"/>
      <w:r w:rsidRPr="00175F8B">
        <w:t xml:space="preserve"> skal sikre at det etableres en CTP for hver </w:t>
      </w:r>
      <w:proofErr w:type="spellStart"/>
      <w:r w:rsidRPr="00175F8B">
        <w:t>aktivaklasse</w:t>
      </w:r>
      <w:proofErr w:type="spellEnd"/>
      <w:r w:rsidRPr="00175F8B">
        <w:t xml:space="preserve">. Etablering av </w:t>
      </w:r>
      <w:proofErr w:type="spellStart"/>
      <w:r w:rsidRPr="00175F8B">
        <w:t>CTPer</w:t>
      </w:r>
      <w:proofErr w:type="spellEnd"/>
      <w:r w:rsidRPr="00175F8B">
        <w:t xml:space="preserve"> innebærer bl.a. en plikt for handelsplasser å dele handelsinformasjon i sanntid med </w:t>
      </w:r>
      <w:proofErr w:type="spellStart"/>
      <w:r w:rsidRPr="00175F8B">
        <w:t>CTPen</w:t>
      </w:r>
      <w:proofErr w:type="spellEnd"/>
      <w:r w:rsidRPr="00175F8B">
        <w:t xml:space="preserve"> som straks offentliggjør denne. Kravene til deling av informasjon med </w:t>
      </w:r>
      <w:proofErr w:type="spellStart"/>
      <w:r w:rsidRPr="00175F8B">
        <w:t>CTPen</w:t>
      </w:r>
      <w:proofErr w:type="spellEnd"/>
      <w:r w:rsidRPr="00175F8B">
        <w:t xml:space="preserve"> skal harmoniseres med handelsplassens eksisterende plikt til å offentliggjøre data, slik at denne delingen ikke skal medføre en urimelig byrde for handelsplassene. Inntektene til </w:t>
      </w:r>
      <w:proofErr w:type="spellStart"/>
      <w:r w:rsidRPr="00175F8B">
        <w:t>CTPen</w:t>
      </w:r>
      <w:proofErr w:type="spellEnd"/>
      <w:r w:rsidRPr="00175F8B">
        <w:t xml:space="preserve"> skal fordeles på ulike aktører, herunder handelsplassene. Handelsplassene kan</w:t>
      </w:r>
      <w:r w:rsidRPr="00175F8B">
        <w:t xml:space="preserve"> fortsatt selge markedsdata, og må gjøre dette på «</w:t>
      </w:r>
      <w:proofErr w:type="spellStart"/>
      <w:r w:rsidRPr="00175F8B">
        <w:t>reasonable</w:t>
      </w:r>
      <w:proofErr w:type="spellEnd"/>
      <w:r w:rsidRPr="00175F8B">
        <w:t xml:space="preserve"> </w:t>
      </w:r>
      <w:proofErr w:type="spellStart"/>
      <w:r w:rsidRPr="00175F8B">
        <w:t>commercial</w:t>
      </w:r>
      <w:proofErr w:type="spellEnd"/>
      <w:r w:rsidRPr="00175F8B">
        <w:t xml:space="preserve"> basis». Prisen skal fastsettes ut fra omkostningene ved utarbeidelse og formidling av opplysningene, samt en rimelig margin. Det er ikke klart hvor mange som vil fortsette å kjøpe markedsdata fra handelsplassen i stedet for, eller i tillegg til, data fra </w:t>
      </w:r>
      <w:proofErr w:type="spellStart"/>
      <w:r w:rsidRPr="00175F8B">
        <w:t>CTPen</w:t>
      </w:r>
      <w:proofErr w:type="spellEnd"/>
      <w:r w:rsidRPr="00175F8B">
        <w:t xml:space="preserve">. Innføring av </w:t>
      </w:r>
      <w:proofErr w:type="spellStart"/>
      <w:r w:rsidRPr="00175F8B">
        <w:t>CTPer</w:t>
      </w:r>
      <w:proofErr w:type="spellEnd"/>
      <w:r w:rsidRPr="00175F8B">
        <w:t xml:space="preserve"> vil </w:t>
      </w:r>
      <w:proofErr w:type="gramStart"/>
      <w:r w:rsidRPr="00175F8B">
        <w:t>således</w:t>
      </w:r>
      <w:proofErr w:type="gramEnd"/>
      <w:r w:rsidRPr="00175F8B">
        <w:t xml:space="preserve"> kunne medføre endringer i inntekstbildet for handelsplasser.</w:t>
      </w:r>
    </w:p>
    <w:p w14:paraId="47D3A815" w14:textId="77777777" w:rsidR="00080633" w:rsidRPr="00175F8B" w:rsidRDefault="00080633" w:rsidP="00175F8B">
      <w:r w:rsidRPr="00175F8B">
        <w:t xml:space="preserve">Handelsplasser og </w:t>
      </w:r>
      <w:proofErr w:type="spellStart"/>
      <w:r w:rsidRPr="00175F8B">
        <w:t>SIer</w:t>
      </w:r>
      <w:proofErr w:type="spellEnd"/>
      <w:r w:rsidRPr="00175F8B">
        <w:t xml:space="preserve"> var tidligere underlagt rapporteringsregler knyttet til beste utførelse av ordre (RTS 27-rapportering). Denne rapporteringen anses ikke lenger nødvendig, og endringene i </w:t>
      </w:r>
      <w:proofErr w:type="spellStart"/>
      <w:r w:rsidRPr="00175F8B">
        <w:t>MiFID</w:t>
      </w:r>
      <w:proofErr w:type="spellEnd"/>
      <w:r w:rsidRPr="00175F8B">
        <w:t xml:space="preserve"> II fjerner derfor dette kravet. Dette medfører færre rapporteringskrav for handelsplasser og </w:t>
      </w:r>
      <w:proofErr w:type="spellStart"/>
      <w:r w:rsidRPr="00175F8B">
        <w:t>SIer</w:t>
      </w:r>
      <w:proofErr w:type="spellEnd"/>
      <w:r w:rsidRPr="00175F8B">
        <w:t>.</w:t>
      </w:r>
    </w:p>
    <w:p w14:paraId="1DE3FC28" w14:textId="77777777" w:rsidR="00080633" w:rsidRPr="00175F8B" w:rsidRDefault="00080633" w:rsidP="00175F8B">
      <w:r w:rsidRPr="00175F8B">
        <w:t>Endringene i reglene for varederivater vil ha liten økonomisk betydning, da den utvidede rapporteringsplikten vil medføre at én handelsplass i Norge (</w:t>
      </w:r>
      <w:proofErr w:type="spellStart"/>
      <w:r w:rsidRPr="00175F8B">
        <w:t>Nasdaq</w:t>
      </w:r>
      <w:proofErr w:type="spellEnd"/>
      <w:r w:rsidRPr="00175F8B">
        <w:t xml:space="preserve"> Oslo ASA) blir forpliktet til å sende to (i stedet for en) ukentlige rapporter til Finanstilsynet.</w:t>
      </w:r>
    </w:p>
    <w:p w14:paraId="4E4D4BCB" w14:textId="77777777" w:rsidR="00080633" w:rsidRPr="00175F8B" w:rsidRDefault="00080633" w:rsidP="00175F8B">
      <w:pPr>
        <w:pStyle w:val="Overskrift2"/>
      </w:pPr>
      <w:r w:rsidRPr="00175F8B">
        <w:t>Konsekvenser for investorer</w:t>
      </w:r>
    </w:p>
    <w:p w14:paraId="06618C9B" w14:textId="77777777" w:rsidR="00080633" w:rsidRPr="00175F8B" w:rsidRDefault="00080633" w:rsidP="00175F8B">
      <w:r w:rsidRPr="00175F8B">
        <w:t xml:space="preserve">De nye reglene om </w:t>
      </w:r>
      <w:proofErr w:type="spellStart"/>
      <w:r w:rsidRPr="00175F8B">
        <w:t>CTPer</w:t>
      </w:r>
      <w:proofErr w:type="spellEnd"/>
      <w:r w:rsidRPr="00175F8B">
        <w:t xml:space="preserve"> legger til rette for at et slikt offentliggjøringssystem faktisk etableres. Ikke-profesjonelle investorer vil, fra tidspunktet en CTP er etablert, få tilgang til gratis markedsdata i stedet for å kjøpe dette fra handelsplassene.</w:t>
      </w:r>
    </w:p>
    <w:p w14:paraId="675BD253" w14:textId="77777777" w:rsidR="00080633" w:rsidRPr="00175F8B" w:rsidRDefault="00080633" w:rsidP="00175F8B">
      <w:pPr>
        <w:pStyle w:val="Overskrift2"/>
      </w:pPr>
      <w:r w:rsidRPr="00175F8B">
        <w:t>Konsekvenser for myndighetene</w:t>
      </w:r>
    </w:p>
    <w:p w14:paraId="48A0A6F3" w14:textId="77777777" w:rsidR="00080633" w:rsidRPr="00175F8B" w:rsidRDefault="00080633" w:rsidP="00175F8B">
      <w:r w:rsidRPr="00175F8B">
        <w:t xml:space="preserve">Virksomhetsområdet som omfattes av </w:t>
      </w:r>
      <w:proofErr w:type="spellStart"/>
      <w:r w:rsidRPr="00175F8B">
        <w:t>MiFID</w:t>
      </w:r>
      <w:proofErr w:type="spellEnd"/>
      <w:r w:rsidRPr="00175F8B">
        <w:t xml:space="preserve"> II og </w:t>
      </w:r>
      <w:proofErr w:type="spellStart"/>
      <w:r w:rsidRPr="00175F8B">
        <w:t>MiFIR</w:t>
      </w:r>
      <w:proofErr w:type="spellEnd"/>
      <w:r w:rsidRPr="00175F8B">
        <w:t>, faller inn under Finanstilsynets ansvarsområd</w:t>
      </w:r>
      <w:r w:rsidRPr="00175F8B">
        <w:t>e. Virksomheten som reguleres er ikke ny, men det er like fullt et nytt regelverk å forholde seg til. Finanstilsynet vil ha ansvaret for forvaltningen av regelverket, tilsyn med foretakene og markedene omfattet av reglene, og være sanksjonsmyndighet i tilfeller av regelbrudd.</w:t>
      </w:r>
    </w:p>
    <w:p w14:paraId="5631883A" w14:textId="77777777" w:rsidR="00080633" w:rsidRPr="00175F8B" w:rsidRDefault="00080633" w:rsidP="00175F8B">
      <w:r w:rsidRPr="00175F8B">
        <w:t>I en innføringsperiode vil endringene i regelverket kreve økte ressurser fra Finanstilsynet til kompetanseheving og informasjonstiltak. Videre er deler av det nye regelverket svært detaljert, slik at Finanstilsynet fremover vil måtte føre tilsyn med overholdelse av komplekse regler. Ettersom foretak blir ilagt ytterligere krav til rapportering, vil det også kreve ekstra arbeid for Finanstilsynet å følge opp kvaliteten på rapporteringen.</w:t>
      </w:r>
    </w:p>
    <w:p w14:paraId="4543EBA4" w14:textId="77777777" w:rsidR="00080633" w:rsidRPr="00175F8B" w:rsidRDefault="00080633" w:rsidP="00175F8B">
      <w:r w:rsidRPr="00175F8B">
        <w:t>Enkelte av oppgavene Finanstilsynet var pålagt under tidligere rett, fjernes etter endringene i MIFIR. Nasjonal diskresjonær myndighet for å innvilge post-trade-utsettelser er fjernet og Finanstilsynet skal derfor ikke lenger treffe vedtak om slike utsettelser. Videre vil ikke Finanstilsynet lenger ha noen rolle ved fastsettelse av «tak» for bruk av unntak fra offentliggjøring av ordreinformasjon («</w:t>
      </w:r>
      <w:proofErr w:type="spellStart"/>
      <w:r w:rsidRPr="00175F8B">
        <w:t>volume</w:t>
      </w:r>
      <w:proofErr w:type="spellEnd"/>
      <w:r w:rsidRPr="00175F8B">
        <w:t xml:space="preserve"> </w:t>
      </w:r>
      <w:proofErr w:type="spellStart"/>
      <w:r w:rsidRPr="00175F8B">
        <w:t>cap</w:t>
      </w:r>
      <w:proofErr w:type="spellEnd"/>
      <w:r w:rsidRPr="00175F8B">
        <w:t>»).</w:t>
      </w:r>
    </w:p>
    <w:p w14:paraId="59B3D2DC" w14:textId="77777777" w:rsidR="00080633" w:rsidRPr="00175F8B" w:rsidRDefault="00080633" w:rsidP="00175F8B"/>
    <w:p w14:paraId="62AD2B6B" w14:textId="77777777" w:rsidR="00080633" w:rsidRPr="00175F8B" w:rsidRDefault="00080633" w:rsidP="00175F8B">
      <w:pPr>
        <w:pStyle w:val="Overskrift1"/>
      </w:pPr>
      <w:r w:rsidRPr="00175F8B">
        <w:t>Merknader til de enkelte bestemmelser</w:t>
      </w:r>
    </w:p>
    <w:p w14:paraId="28679E7C" w14:textId="77777777" w:rsidR="00080633" w:rsidRPr="00175F8B" w:rsidRDefault="00080633" w:rsidP="00175F8B">
      <w:pPr>
        <w:pStyle w:val="avsnitt-undertittel"/>
      </w:pPr>
      <w:r w:rsidRPr="00175F8B">
        <w:t>Til endringene i § 2-7. Definisjoner knyttet til foretak, handelsplasser mv.</w:t>
      </w:r>
    </w:p>
    <w:p w14:paraId="2A37C321" w14:textId="77777777" w:rsidR="00080633" w:rsidRPr="00175F8B" w:rsidRDefault="00080633" w:rsidP="00175F8B">
      <w:r w:rsidRPr="00175F8B">
        <w:t xml:space="preserve">Definisjonen i niende ledd endres fordi definisjonen av multilateralt system oppheves i </w:t>
      </w:r>
      <w:proofErr w:type="spellStart"/>
      <w:r w:rsidRPr="00175F8B">
        <w:t>MiFID</w:t>
      </w:r>
      <w:proofErr w:type="spellEnd"/>
      <w:r w:rsidRPr="00175F8B">
        <w:t xml:space="preserve"> II og flyttes til </w:t>
      </w:r>
      <w:proofErr w:type="spellStart"/>
      <w:r w:rsidRPr="00175F8B">
        <w:t>MiFIR</w:t>
      </w:r>
      <w:proofErr w:type="spellEnd"/>
      <w:r w:rsidRPr="00175F8B">
        <w:t>. Endringen er teknisk og innebærer ikke materielle endringer. Det vises til omtale i kapittel 2.2.2.</w:t>
      </w:r>
    </w:p>
    <w:p w14:paraId="384598CA" w14:textId="77777777" w:rsidR="00080633" w:rsidRPr="00175F8B" w:rsidRDefault="00080633" w:rsidP="00175F8B">
      <w:r w:rsidRPr="00175F8B">
        <w:t xml:space="preserve">Definisjonen av systematisk internaliserer i tiende ledd endres. Endringen svarer til endringene som gjøres i </w:t>
      </w:r>
      <w:proofErr w:type="spellStart"/>
      <w:r w:rsidRPr="00175F8B">
        <w:t>MiFID</w:t>
      </w:r>
      <w:proofErr w:type="spellEnd"/>
      <w:r w:rsidRPr="00175F8B">
        <w:t xml:space="preserve"> II artikkel 4 nr. 1 punkt (20). Det vises til omtale i kapittel 2.2.3.</w:t>
      </w:r>
    </w:p>
    <w:p w14:paraId="61034204" w14:textId="77777777" w:rsidR="00080633" w:rsidRPr="00175F8B" w:rsidRDefault="00080633" w:rsidP="00175F8B">
      <w:pPr>
        <w:pStyle w:val="avsnitt-undertittel"/>
      </w:pPr>
      <w:r w:rsidRPr="00175F8B">
        <w:t>Til endringene i § 8-1. Verdipapirmarkedsforordningen</w:t>
      </w:r>
    </w:p>
    <w:p w14:paraId="55087BFA" w14:textId="77777777" w:rsidR="00080633" w:rsidRPr="00175F8B" w:rsidRDefault="00080633" w:rsidP="00175F8B">
      <w:r w:rsidRPr="00175F8B">
        <w:t xml:space="preserve">Bestemmelsen endres, slik at forordning (EU) nr. 2024/791 inkorporeres i verdipapirhandelloven. Endringene som inkorporasjonen omfatter, relaterer seg imidlertid til deler av </w:t>
      </w:r>
      <w:proofErr w:type="spellStart"/>
      <w:r w:rsidRPr="00175F8B">
        <w:t>MiFIR</w:t>
      </w:r>
      <w:proofErr w:type="spellEnd"/>
      <w:r w:rsidRPr="00175F8B">
        <w:t xml:space="preserve"> som tidligere er endret, men hvor endringene ennå ikke er inkorporert i verdipapirhandelloven. Det er dermed nødvendig at disse endringene inkorporeres, før en inkorporasjon av forordning (EU) nr. 2024/791 kan gjennomføres. Det vises til omtale i kapittel 1.4.</w:t>
      </w:r>
    </w:p>
    <w:p w14:paraId="41890E92" w14:textId="77777777" w:rsidR="00080633" w:rsidRPr="00175F8B" w:rsidRDefault="00080633" w:rsidP="00175F8B">
      <w:pPr>
        <w:pStyle w:val="avsnitt-undertittel"/>
      </w:pPr>
      <w:r w:rsidRPr="00175F8B">
        <w:t>Til endringene i § 9-3. Unntak fra krav om tillatelse</w:t>
      </w:r>
    </w:p>
    <w:p w14:paraId="4200CE55" w14:textId="77777777" w:rsidR="00080633" w:rsidRPr="00175F8B" w:rsidRDefault="00080633" w:rsidP="00175F8B">
      <w:r w:rsidRPr="00175F8B">
        <w:t xml:space="preserve">Bestemmelsens annet ledd nr. 6 bokstav b endres, slik at den som har direkte elektronisk tilgang til en handelsplass, jf. § 9-22 tredje ledd, ikke lenger trenger å søke tillatelse til å yte investeringstjenesten omsetning av finansielle instrumenter for egen regning, dersom øvrige vilkår i unntaket er oppfylt. Bestemmelsen gjennomgår </w:t>
      </w:r>
      <w:proofErr w:type="gramStart"/>
      <w:r w:rsidRPr="00175F8B">
        <w:t>for øvrig</w:t>
      </w:r>
      <w:proofErr w:type="gramEnd"/>
      <w:r w:rsidRPr="00175F8B">
        <w:t xml:space="preserve"> språklige justeringer i tråd med endringer i </w:t>
      </w:r>
      <w:proofErr w:type="spellStart"/>
      <w:r w:rsidRPr="00175F8B">
        <w:t>MiFID</w:t>
      </w:r>
      <w:proofErr w:type="spellEnd"/>
      <w:r w:rsidRPr="00175F8B">
        <w:t xml:space="preserve"> II artikkel 2 nr. 1 bokstav d punkt ii, hvor likviditetsstyring er tatt inn som et forhold som gir unntak, sammen med risikoreduserende tiltak og finansiering.</w:t>
      </w:r>
    </w:p>
    <w:p w14:paraId="33F85DCF" w14:textId="77777777" w:rsidR="00080633" w:rsidRPr="00175F8B" w:rsidRDefault="00080633" w:rsidP="00175F8B">
      <w:r w:rsidRPr="00175F8B">
        <w:t>Det vises til omtale i kapittel 2.1.</w:t>
      </w:r>
    </w:p>
    <w:p w14:paraId="5A339A40" w14:textId="77777777" w:rsidR="00080633" w:rsidRPr="00175F8B" w:rsidRDefault="00080633" w:rsidP="00175F8B">
      <w:pPr>
        <w:pStyle w:val="avsnitt-undertittel"/>
      </w:pPr>
      <w:r w:rsidRPr="00175F8B">
        <w:t>Til endringene i § 9-26. Handelsprosessen og gjennomføring av transaksjoner på multilaterale handelsfasiliteter og organiserte handelsfasiliteter</w:t>
      </w:r>
    </w:p>
    <w:p w14:paraId="08B1711B" w14:textId="77777777" w:rsidR="00080633" w:rsidRPr="00175F8B" w:rsidRDefault="00080633" w:rsidP="00175F8B">
      <w:r w:rsidRPr="00175F8B">
        <w:t xml:space="preserve">Bestemmelsens første ledd får et nytt punkt 9 som gjennomfører </w:t>
      </w:r>
      <w:proofErr w:type="spellStart"/>
      <w:r w:rsidRPr="00175F8B">
        <w:t>MiFID</w:t>
      </w:r>
      <w:proofErr w:type="spellEnd"/>
      <w:r w:rsidRPr="00175F8B">
        <w:t xml:space="preserve"> II artikkel 31 nr. 1 nytt annet ledd. Se også merknad til § 11-18. Det vises til omtale i kapittel 2.2.4.</w:t>
      </w:r>
    </w:p>
    <w:p w14:paraId="1A4CC2D9" w14:textId="77777777" w:rsidR="00080633" w:rsidRPr="00175F8B" w:rsidRDefault="00080633" w:rsidP="00175F8B">
      <w:pPr>
        <w:pStyle w:val="avsnitt-undertittel"/>
      </w:pPr>
      <w:r w:rsidRPr="00175F8B">
        <w:t>Til endringene i § 10-19. Best mulig resultat ved utførelse av ordre</w:t>
      </w:r>
    </w:p>
    <w:p w14:paraId="0DDBAE7D" w14:textId="77777777" w:rsidR="00080633" w:rsidRPr="00175F8B" w:rsidRDefault="00080633" w:rsidP="00175F8B">
      <w:r w:rsidRPr="00175F8B">
        <w:t>Bestemmelsens åt</w:t>
      </w:r>
      <w:r w:rsidRPr="00175F8B">
        <w:t xml:space="preserve">tende ledd endres, slik at det ikke lenger vises til informasjon som er offentliggjort etter § 10- 20 idet denne bestemmelsen oppheves. </w:t>
      </w:r>
      <w:proofErr w:type="gramStart"/>
      <w:r w:rsidRPr="00175F8B">
        <w:t>For øvrig</w:t>
      </w:r>
      <w:proofErr w:type="gramEnd"/>
      <w:r w:rsidRPr="00175F8B">
        <w:t xml:space="preserve"> er det ingen endringer i bestemmelsen. Det vise til omtale i kapittel 2.4.</w:t>
      </w:r>
    </w:p>
    <w:p w14:paraId="3FC1B8F8" w14:textId="77777777" w:rsidR="00080633" w:rsidRPr="00175F8B" w:rsidRDefault="00080633" w:rsidP="00175F8B">
      <w:r w:rsidRPr="00175F8B">
        <w:t xml:space="preserve">Bestemmelsens ellevte ledd oppheves idet regler om forbud mot vederlag for ruting av ordre innføres i </w:t>
      </w:r>
      <w:proofErr w:type="spellStart"/>
      <w:r w:rsidRPr="00175F8B">
        <w:t>MiFIR</w:t>
      </w:r>
      <w:proofErr w:type="spellEnd"/>
      <w:r w:rsidRPr="00175F8B">
        <w:t xml:space="preserve"> artikkel 39a. </w:t>
      </w:r>
      <w:proofErr w:type="gramStart"/>
      <w:r w:rsidRPr="00175F8B">
        <w:t>For øvrig</w:t>
      </w:r>
      <w:proofErr w:type="gramEnd"/>
      <w:r w:rsidRPr="00175F8B">
        <w:t xml:space="preserve"> er det ingen endringer i bestemmelsen.</w:t>
      </w:r>
    </w:p>
    <w:p w14:paraId="05E1C77B" w14:textId="77777777" w:rsidR="00080633" w:rsidRPr="00175F8B" w:rsidRDefault="00080633" w:rsidP="00175F8B">
      <w:r w:rsidRPr="00175F8B">
        <w:t>Det vises til omtale i kapittel 2.3.</w:t>
      </w:r>
    </w:p>
    <w:p w14:paraId="41AE74CD" w14:textId="77777777" w:rsidR="00080633" w:rsidRPr="00175F8B" w:rsidRDefault="00080633" w:rsidP="00175F8B">
      <w:pPr>
        <w:pStyle w:val="avsnitt-undertittel"/>
      </w:pPr>
      <w:r w:rsidRPr="00175F8B">
        <w:t>Til endringene i § 11-18. Organisatoriske krav</w:t>
      </w:r>
    </w:p>
    <w:p w14:paraId="5CC3C260" w14:textId="77777777" w:rsidR="00080633" w:rsidRPr="00175F8B" w:rsidRDefault="00080633" w:rsidP="00175F8B">
      <w:r w:rsidRPr="00175F8B">
        <w:t xml:space="preserve">Første ledd får nye nummer 5 og nummer 6. </w:t>
      </w:r>
      <w:r w:rsidRPr="00175F8B">
        <w:t xml:space="preserve">Nummer 5 gjennomfører </w:t>
      </w:r>
      <w:proofErr w:type="spellStart"/>
      <w:r w:rsidRPr="00175F8B">
        <w:t>MiFID</w:t>
      </w:r>
      <w:proofErr w:type="spellEnd"/>
      <w:r w:rsidRPr="00175F8B">
        <w:t xml:space="preserve"> II artikkel 47 nr. 1</w:t>
      </w:r>
      <w:r w:rsidRPr="00175F8B">
        <w:t xml:space="preserve"> nytt første ledd. Tilsvarende bestemmelse for MHF og OHF er foreslått i § 9-26 første ledd nr. 9. Bestemmelsene stiller krav om at handelsplasser har ordninger som sikrer at de møter kravene til datakvalitet. Nummer 6 gjennomfører </w:t>
      </w:r>
      <w:proofErr w:type="spellStart"/>
      <w:r w:rsidRPr="00175F8B">
        <w:t>MiFID</w:t>
      </w:r>
      <w:proofErr w:type="spellEnd"/>
      <w:r w:rsidRPr="00175F8B">
        <w:t xml:space="preserve"> II ny artikkel 47 nr. 1 bokstav h, og stiller krav om at regulerte markeder må ha </w:t>
      </w:r>
      <w:r w:rsidRPr="00175F8B">
        <w:lastRenderedPageBreak/>
        <w:t>minst tre aktive brukere eller medlemmer som kan delta i prisdannelsen. Bestemmelsen er ny, og er utformet på samme måte som § 9-26 nr. 7 som gi</w:t>
      </w:r>
      <w:r w:rsidRPr="00175F8B">
        <w:t>r tilsvarende regel for MHF og OHF.</w:t>
      </w:r>
    </w:p>
    <w:p w14:paraId="5D04B7E9" w14:textId="77777777" w:rsidR="00080633" w:rsidRPr="00175F8B" w:rsidRDefault="00080633" w:rsidP="00175F8B">
      <w:r w:rsidRPr="00175F8B">
        <w:t>Det vises til omtale i kapittel 2.2.4.</w:t>
      </w:r>
    </w:p>
    <w:p w14:paraId="19105A16" w14:textId="77777777" w:rsidR="00080633" w:rsidRPr="00175F8B" w:rsidRDefault="00080633" w:rsidP="00175F8B">
      <w:pPr>
        <w:pStyle w:val="avsnitt-undertittel"/>
      </w:pPr>
      <w:r w:rsidRPr="00175F8B">
        <w:t xml:space="preserve">Til endringene i § 11-19. </w:t>
      </w:r>
      <w:proofErr w:type="gramStart"/>
      <w:r w:rsidRPr="00175F8B">
        <w:t>Robuste</w:t>
      </w:r>
      <w:proofErr w:type="gramEnd"/>
      <w:r w:rsidRPr="00175F8B">
        <w:t xml:space="preserve"> systemer og automatiske handelssperrer på regulert marked</w:t>
      </w:r>
    </w:p>
    <w:p w14:paraId="235CBBCF" w14:textId="77777777" w:rsidR="00080633" w:rsidRPr="00175F8B" w:rsidRDefault="00080633" w:rsidP="00175F8B">
      <w:r w:rsidRPr="00175F8B">
        <w:t xml:space="preserve">Fjerde ledd endres slik at det </w:t>
      </w:r>
      <w:proofErr w:type="gramStart"/>
      <w:r w:rsidRPr="00175F8B">
        <w:t>fremgår</w:t>
      </w:r>
      <w:proofErr w:type="gramEnd"/>
      <w:r w:rsidRPr="00175F8B">
        <w:t xml:space="preserve"> at regulerte markeder midlertidig kan stanse eller begrense handelen for en kort periode i krisesituasjoner. På denne måten gjennomføres endringene i </w:t>
      </w:r>
      <w:proofErr w:type="spellStart"/>
      <w:r w:rsidRPr="00175F8B">
        <w:t>MiFID</w:t>
      </w:r>
      <w:proofErr w:type="spellEnd"/>
      <w:r w:rsidRPr="00175F8B">
        <w:t xml:space="preserve"> II artikkel 48 nr. 5 første ledd.</w:t>
      </w:r>
    </w:p>
    <w:p w14:paraId="379DC86B" w14:textId="77777777" w:rsidR="00080633" w:rsidRPr="00175F8B" w:rsidRDefault="00080633" w:rsidP="00175F8B">
      <w:r w:rsidRPr="00175F8B">
        <w:t>Bestemmelsen får et nytt syvende ledd som fastsetter at regulerte markeder på sin hjemmeside skal opplyse om årsaken til at handelen i et finansielt instrument har blitt stanset eller begrenset og om hvordan parameterne for å stanse eller begrense handelen er benyttet for å komme frem til beslutningen. Endringene</w:t>
      </w:r>
      <w:r w:rsidRPr="00175F8B">
        <w:t xml:space="preserve"> gjennomfører endringer i </w:t>
      </w:r>
      <w:proofErr w:type="spellStart"/>
      <w:r w:rsidRPr="00175F8B">
        <w:t>MiFID</w:t>
      </w:r>
      <w:proofErr w:type="spellEnd"/>
      <w:r w:rsidRPr="00175F8B">
        <w:t xml:space="preserve"> II artikkel 48 nr. 5 nytt tredje ledd.</w:t>
      </w:r>
    </w:p>
    <w:p w14:paraId="3B1E9101" w14:textId="77777777" w:rsidR="00080633" w:rsidRPr="00175F8B" w:rsidRDefault="00080633" w:rsidP="00175F8B">
      <w:r w:rsidRPr="00175F8B">
        <w:t>Det vises til omtale i kapittel 2.2.5.</w:t>
      </w:r>
    </w:p>
    <w:p w14:paraId="1EADAEEE" w14:textId="77777777" w:rsidR="00080633" w:rsidRPr="00175F8B" w:rsidRDefault="00080633" w:rsidP="00175F8B">
      <w:pPr>
        <w:pStyle w:val="avsnitt-undertittel"/>
      </w:pPr>
      <w:r w:rsidRPr="00175F8B">
        <w:t>Til endringene i § 11-24. Minste tillatte kursendring</w:t>
      </w:r>
    </w:p>
    <w:p w14:paraId="081C9297" w14:textId="77777777" w:rsidR="00080633" w:rsidRPr="00175F8B" w:rsidRDefault="00080633" w:rsidP="00175F8B">
      <w:r w:rsidRPr="00175F8B">
        <w:t xml:space="preserve">For å gjennomføre </w:t>
      </w:r>
      <w:proofErr w:type="spellStart"/>
      <w:r w:rsidRPr="00175F8B">
        <w:t>MiFIR</w:t>
      </w:r>
      <w:proofErr w:type="spellEnd"/>
      <w:r w:rsidRPr="00175F8B">
        <w:t xml:space="preserve"> artikkel 49 nr. 2 nytt annet ledd, innføres en ny bestemmelse i § 11-24 tredje ledd.</w:t>
      </w:r>
    </w:p>
    <w:p w14:paraId="4B307230" w14:textId="77777777" w:rsidR="00080633" w:rsidRPr="00175F8B" w:rsidRDefault="00080633" w:rsidP="00175F8B">
      <w:r w:rsidRPr="00175F8B">
        <w:t>Kommisjonsforordning (EU) 2017/588 (RTS 11) som gjennomført i norsk rett i verdipapirforskriften § 11-8, gir utfyllende regler om minste tillatte kursendring.</w:t>
      </w:r>
    </w:p>
    <w:p w14:paraId="1C997248" w14:textId="77777777" w:rsidR="00080633" w:rsidRPr="00175F8B" w:rsidRDefault="00080633" w:rsidP="00175F8B">
      <w:r w:rsidRPr="00175F8B">
        <w:t>Utvalget viser til omtale i kapittel 2.2.4.</w:t>
      </w:r>
    </w:p>
    <w:p w14:paraId="45C1FBA3" w14:textId="77777777" w:rsidR="00080633" w:rsidRPr="00175F8B" w:rsidRDefault="00080633" w:rsidP="00175F8B">
      <w:pPr>
        <w:pStyle w:val="avsnitt-undertittel"/>
      </w:pPr>
      <w:r w:rsidRPr="00175F8B">
        <w:t>Til endringene i § 15-2. Kontroll av posisjonshåndtering</w:t>
      </w:r>
    </w:p>
    <w:p w14:paraId="3DDF80FE" w14:textId="77777777" w:rsidR="00080633" w:rsidRPr="00175F8B" w:rsidRDefault="00080633" w:rsidP="00175F8B">
      <w:r w:rsidRPr="00175F8B">
        <w:t xml:space="preserve">Bestemmelsens virkeområde utvides til å gjelde for handelsplasser hvor det handles i derivater med utslippskvoter som underliggende. Endringen gjennomfører endringer i </w:t>
      </w:r>
      <w:proofErr w:type="spellStart"/>
      <w:r w:rsidRPr="00175F8B">
        <w:t>MiFID</w:t>
      </w:r>
      <w:proofErr w:type="spellEnd"/>
      <w:r w:rsidRPr="00175F8B">
        <w:t> II artikkel 57.</w:t>
      </w:r>
    </w:p>
    <w:p w14:paraId="426475E0" w14:textId="77777777" w:rsidR="00080633" w:rsidRPr="00175F8B" w:rsidRDefault="00080633" w:rsidP="00175F8B">
      <w:r w:rsidRPr="00175F8B">
        <w:t xml:space="preserve">Kommisjonsforordning (EU) 2022/1299 til </w:t>
      </w:r>
      <w:proofErr w:type="spellStart"/>
      <w:r w:rsidRPr="00175F8B">
        <w:t>MiFID</w:t>
      </w:r>
      <w:proofErr w:type="spellEnd"/>
      <w:r w:rsidRPr="00175F8B">
        <w:t xml:space="preserve"> II, som gjennomført i norsk rett i verdipapirforskriften § 15-2, gir utfyllende regler om kontroll av posisjonshåndtering.</w:t>
      </w:r>
    </w:p>
    <w:p w14:paraId="230AF7E8" w14:textId="77777777" w:rsidR="00080633" w:rsidRPr="00175F8B" w:rsidRDefault="00080633" w:rsidP="00175F8B">
      <w:r w:rsidRPr="00175F8B">
        <w:t>Det vises til omtale i kapittel 2.4.</w:t>
      </w:r>
    </w:p>
    <w:p w14:paraId="76D53779" w14:textId="77777777" w:rsidR="00080633" w:rsidRPr="00175F8B" w:rsidRDefault="00080633" w:rsidP="00175F8B">
      <w:pPr>
        <w:pStyle w:val="avsnitt-undertittel"/>
      </w:pPr>
      <w:r w:rsidRPr="00175F8B">
        <w:t>Til endringene i § 15-3. Rapportering av posisjoner</w:t>
      </w:r>
    </w:p>
    <w:p w14:paraId="6CBE2600" w14:textId="77777777" w:rsidR="00080633" w:rsidRPr="00175F8B" w:rsidRDefault="00080633" w:rsidP="00175F8B">
      <w:r w:rsidRPr="00175F8B">
        <w:t xml:space="preserve">Endringen gjennomfører endringer i </w:t>
      </w:r>
      <w:proofErr w:type="spellStart"/>
      <w:r w:rsidRPr="00175F8B">
        <w:t>MiFID</w:t>
      </w:r>
      <w:proofErr w:type="spellEnd"/>
      <w:r w:rsidRPr="00175F8B">
        <w:t xml:space="preserve"> II artikkel 58. Reglene om rapportering av posisjoner får et snevrere anvendelsesområde idet rapporteringskravene ikke lenger skal gjelde for handel i utslippskvoter, men begrenses til å gjelde for derivater på utslippskvoter og varederivater.</w:t>
      </w:r>
    </w:p>
    <w:p w14:paraId="55C4B061" w14:textId="77777777" w:rsidR="00080633" w:rsidRPr="00175F8B" w:rsidRDefault="00080633" w:rsidP="00175F8B">
      <w:r w:rsidRPr="00175F8B">
        <w:t xml:space="preserve">Det gjøres også endringer i reglene om ukentlig rapportering. For handelsplasser hvor det handles opsjoner, skal det heretter </w:t>
      </w:r>
      <w:proofErr w:type="gramStart"/>
      <w:r w:rsidRPr="00175F8B">
        <w:t>avgis</w:t>
      </w:r>
      <w:proofErr w:type="gramEnd"/>
      <w:r w:rsidRPr="00175F8B">
        <w:t xml:space="preserve"> to ukentlige rapporter, hvorav én skal bestå av både futures og opsjoner, og én skal bestå av kun futures</w:t>
      </w:r>
      <w:r w:rsidRPr="00175F8B">
        <w:t>.</w:t>
      </w:r>
    </w:p>
    <w:p w14:paraId="75AF661B" w14:textId="77777777" w:rsidR="00080633" w:rsidRPr="00175F8B" w:rsidRDefault="00080633" w:rsidP="00175F8B">
      <w:r w:rsidRPr="00175F8B">
        <w:t xml:space="preserve">Kommisjonsforordning (EU) 2017/565 til </w:t>
      </w:r>
      <w:proofErr w:type="spellStart"/>
      <w:r w:rsidRPr="00175F8B">
        <w:t>MiFID</w:t>
      </w:r>
      <w:proofErr w:type="spellEnd"/>
      <w:r w:rsidRPr="00175F8B">
        <w:t xml:space="preserve"> II som gjennomført i norsk rett i verdipapirforskriften § 2-2, gir utfyllende regler om posisjonsrapportering.</w:t>
      </w:r>
    </w:p>
    <w:p w14:paraId="64ED1716" w14:textId="77777777" w:rsidR="00080633" w:rsidRPr="00175F8B" w:rsidRDefault="00080633" w:rsidP="00175F8B">
      <w:r w:rsidRPr="00175F8B">
        <w:t>Det vises til omtale i kapittel 2.4.</w:t>
      </w:r>
    </w:p>
    <w:p w14:paraId="769B9BCD" w14:textId="77777777" w:rsidR="00080633" w:rsidRPr="00175F8B" w:rsidRDefault="00080633" w:rsidP="00175F8B"/>
    <w:p w14:paraId="4AB50E7E" w14:textId="77777777" w:rsidR="00080633" w:rsidRPr="00175F8B" w:rsidRDefault="00080633" w:rsidP="00175F8B">
      <w:pPr>
        <w:pStyle w:val="Overskrift1"/>
      </w:pPr>
      <w:r w:rsidRPr="00175F8B">
        <w:t>Forslag til lovendringer</w:t>
      </w:r>
    </w:p>
    <w:p w14:paraId="1EF9DDE7" w14:textId="7CBF00CB" w:rsidR="00080633" w:rsidRPr="00175F8B" w:rsidRDefault="00080633" w:rsidP="00175F8B">
      <w:pPr>
        <w:pStyle w:val="l-lovtit"/>
      </w:pPr>
      <w:r w:rsidRPr="00175F8B">
        <w:t xml:space="preserve">Forslag til lov om endringer i Lov 29. juni 2007 nr. 75 om verdipapirhandel </w:t>
      </w:r>
      <w:r w:rsidRPr="00175F8B">
        <w:t>(verdipapirhandelloven)</w:t>
      </w:r>
    </w:p>
    <w:p w14:paraId="72C2B07F" w14:textId="77777777" w:rsidR="00080633" w:rsidRPr="00175F8B" w:rsidRDefault="00080633" w:rsidP="00175F8B">
      <w:r w:rsidRPr="00175F8B">
        <w:t>Forslaget er utformet ut fra gjeldende lov pr. 24. juni 2024.</w:t>
      </w:r>
    </w:p>
    <w:p w14:paraId="31F9E037" w14:textId="77777777" w:rsidR="00080633" w:rsidRPr="00175F8B" w:rsidRDefault="00080633" w:rsidP="00175F8B">
      <w:pPr>
        <w:pStyle w:val="l-lovkap"/>
      </w:pPr>
      <w:r w:rsidRPr="00175F8B">
        <w:t>Kapittel 1. Endringer i verdipapirhandelloven</w:t>
      </w:r>
    </w:p>
    <w:p w14:paraId="5A1B5CFE" w14:textId="77777777" w:rsidR="00080633" w:rsidRPr="00175F8B" w:rsidRDefault="00080633" w:rsidP="00175F8B">
      <w:pPr>
        <w:pStyle w:val="l-tit-endr-paragraf"/>
      </w:pPr>
      <w:r w:rsidRPr="00175F8B">
        <w:t>I § 2-7 gjøres følgende endringer:</w:t>
      </w:r>
    </w:p>
    <w:p w14:paraId="66CB7342" w14:textId="77777777" w:rsidR="00080633" w:rsidRPr="00175F8B" w:rsidRDefault="00080633" w:rsidP="00175F8B">
      <w:pPr>
        <w:pStyle w:val="l-tit-endr-ledd"/>
      </w:pPr>
      <w:r w:rsidRPr="00175F8B">
        <w:t>Niende ledd skal lyde:</w:t>
      </w:r>
    </w:p>
    <w:p w14:paraId="261195E7" w14:textId="77777777" w:rsidR="00080633" w:rsidRPr="00175F8B" w:rsidRDefault="00080633" w:rsidP="00175F8B">
      <w:pPr>
        <w:pStyle w:val="l-ledd"/>
      </w:pPr>
      <w:r w:rsidRPr="00175F8B">
        <w:t xml:space="preserve">(9) Med multilateralt system menes et system </w:t>
      </w:r>
      <w:r w:rsidRPr="00175F8B">
        <w:rPr>
          <w:rStyle w:val="l-endring"/>
        </w:rPr>
        <w:t>som definert i forordning (EU) 600/2014 artikkel 2 nr. 1 punkt (11).</w:t>
      </w:r>
    </w:p>
    <w:p w14:paraId="0BB07A1D" w14:textId="77777777" w:rsidR="00080633" w:rsidRPr="00175F8B" w:rsidRDefault="00080633" w:rsidP="00175F8B">
      <w:pPr>
        <w:pStyle w:val="l-tit-endr-ledd"/>
      </w:pPr>
      <w:r w:rsidRPr="00175F8B">
        <w:t>Tiende ledd skal lyde:</w:t>
      </w:r>
    </w:p>
    <w:p w14:paraId="0C49710C" w14:textId="77777777" w:rsidR="00080633" w:rsidRPr="00175F8B" w:rsidRDefault="00080633" w:rsidP="00175F8B">
      <w:pPr>
        <w:pStyle w:val="l-ledd"/>
      </w:pPr>
      <w:r w:rsidRPr="00175F8B">
        <w:t xml:space="preserve">(10) Med systematisk internaliserer menes et verdipapirforetak som på organisert, regelmessig og systematisk </w:t>
      </w:r>
      <w:r w:rsidRPr="00175F8B">
        <w:rPr>
          <w:rStyle w:val="l-endring"/>
        </w:rPr>
        <w:t>måte handler aksjer og andre verdipapirer som kan sidestilles med aksjer</w:t>
      </w:r>
      <w:r w:rsidRPr="00175F8B">
        <w:t xml:space="preserve"> for egen regning ved utførelse av kundeordre utenfor handelsplass uten å drive et multilateralt system. Verdipapirforetak kan velge å registrere seg som systematisk internaliserer selv om det ikke tilfredsstiller kriteriene i denne bestemmelsen.</w:t>
      </w:r>
    </w:p>
    <w:p w14:paraId="788289E9" w14:textId="77777777" w:rsidR="00080633" w:rsidRPr="00175F8B" w:rsidRDefault="00080633" w:rsidP="00175F8B">
      <w:pPr>
        <w:pStyle w:val="l-tit-endr-ledd"/>
      </w:pPr>
      <w:r w:rsidRPr="00175F8B">
        <w:t>§ 8-1 første ledd skal lyde:</w:t>
      </w:r>
    </w:p>
    <w:p w14:paraId="42F1A475" w14:textId="77777777" w:rsidR="00080633" w:rsidRPr="00175F8B" w:rsidRDefault="00080633" w:rsidP="00175F8B">
      <w:pPr>
        <w:pStyle w:val="l-ledd"/>
      </w:pPr>
      <w:r w:rsidRPr="00175F8B">
        <w:t>(1) EØS-avtalen vedlegg IX forordning (EU) nr. 600/2014 (om markeder for finansielle instrumenter (verdipapirmarkedsforordningen)) som endret ved forordning (EU) nr. 1033/2016 </w:t>
      </w:r>
      <w:r w:rsidRPr="00175F8B">
        <w:rPr>
          <w:rStyle w:val="l-endring"/>
        </w:rPr>
        <w:t>og forordning (EU) nr. 2024/791</w:t>
      </w:r>
      <w:r w:rsidRPr="00175F8B">
        <w:t xml:space="preserve"> gjelder som lov med de tilpasninger som følger av vedlegg IX, protokoll 1 til avtalen og avtalen </w:t>
      </w:r>
      <w:proofErr w:type="gramStart"/>
      <w:r w:rsidRPr="00175F8B">
        <w:t>for øvrig</w:t>
      </w:r>
      <w:proofErr w:type="gramEnd"/>
      <w:r w:rsidRPr="00175F8B">
        <w:t>.</w:t>
      </w:r>
    </w:p>
    <w:p w14:paraId="4B3EFD3C" w14:textId="77777777" w:rsidR="00080633" w:rsidRPr="00175F8B" w:rsidRDefault="00080633" w:rsidP="00175F8B">
      <w:pPr>
        <w:pStyle w:val="l-tit-endr-ledd"/>
      </w:pPr>
      <w:r w:rsidRPr="00175F8B">
        <w:t>§ 9-3 annet ledd nr. 6 bokstav b skal lyde:</w:t>
      </w:r>
    </w:p>
    <w:p w14:paraId="4A85D3BE" w14:textId="77777777" w:rsidR="00080633" w:rsidRPr="00175F8B" w:rsidRDefault="00080633" w:rsidP="00175F8B">
      <w:pPr>
        <w:pStyle w:val="friliste"/>
      </w:pPr>
      <w:r w:rsidRPr="00175F8B">
        <w:t>b.</w:t>
      </w:r>
      <w:r w:rsidRPr="00175F8B">
        <w:tab/>
        <w:t xml:space="preserve">er medlem eller deltaker på et regulert marked eller en multilateral </w:t>
      </w:r>
      <w:r w:rsidRPr="00175F8B">
        <w:rPr>
          <w:rStyle w:val="l-endring"/>
        </w:rPr>
        <w:t>handelsfasilitet med</w:t>
      </w:r>
      <w:r w:rsidRPr="00175F8B">
        <w:t xml:space="preserve"> mindre det dreier seg om et ikke-finansielt foretak som utfører transaksjoner på en handelsplass </w:t>
      </w:r>
      <w:r w:rsidRPr="00175F8B">
        <w:rPr>
          <w:rStyle w:val="l-endring"/>
        </w:rPr>
        <w:t>som ledd i likviditetsstyring eller</w:t>
      </w:r>
      <w:r w:rsidRPr="00175F8B">
        <w:t xml:space="preserve"> på en objektivt målbar måte reduserer risiko direkte relatert til forretningsvirksomheten eller likviditetsfinansieringen til foretaket eller foretak i samme konsern,</w:t>
      </w:r>
    </w:p>
    <w:p w14:paraId="0B18FDEA" w14:textId="77777777" w:rsidR="00080633" w:rsidRPr="00175F8B" w:rsidRDefault="00080633" w:rsidP="00175F8B">
      <w:pPr>
        <w:pStyle w:val="l-tit-endr-ledd"/>
      </w:pPr>
      <w:r w:rsidRPr="00175F8B">
        <w:t>Ny § 9-26 første ledd nr. 9 skal lyde:</w:t>
      </w:r>
    </w:p>
    <w:p w14:paraId="58D19DF9" w14:textId="77777777" w:rsidR="00080633" w:rsidRPr="00175F8B" w:rsidRDefault="00080633" w:rsidP="00175F8B">
      <w:pPr>
        <w:pStyle w:val="friliste"/>
      </w:pPr>
      <w:r w:rsidRPr="00175F8B">
        <w:t>9.</w:t>
      </w:r>
      <w:r w:rsidRPr="00175F8B">
        <w:tab/>
      </w:r>
      <w:r w:rsidRPr="00175F8B">
        <w:rPr>
          <w:rStyle w:val="l-endring"/>
        </w:rPr>
        <w:t>har ordninger som sikrer at de møter kravene til datakvalitet som følger av verdipapirmarkedsforordningen artikkel 22b.</w:t>
      </w:r>
    </w:p>
    <w:p w14:paraId="7CA63A7C" w14:textId="77777777" w:rsidR="00080633" w:rsidRPr="00175F8B" w:rsidRDefault="00080633" w:rsidP="00175F8B">
      <w:pPr>
        <w:pStyle w:val="l-tit-endr-paragraf"/>
      </w:pPr>
      <w:r w:rsidRPr="00175F8B">
        <w:t>I § 10-19 gjøres følgende endringer:</w:t>
      </w:r>
    </w:p>
    <w:p w14:paraId="101EAFDF" w14:textId="77777777" w:rsidR="00080633" w:rsidRPr="00175F8B" w:rsidRDefault="00080633" w:rsidP="00175F8B">
      <w:pPr>
        <w:pStyle w:val="l-tit-endr-ledd"/>
      </w:pPr>
      <w:r w:rsidRPr="00175F8B">
        <w:t>Åttende ledd skal lyde:</w:t>
      </w:r>
    </w:p>
    <w:p w14:paraId="044DA534" w14:textId="77777777" w:rsidR="00080633" w:rsidRPr="00175F8B" w:rsidRDefault="00080633" w:rsidP="00175F8B">
      <w:pPr>
        <w:pStyle w:val="l-ledd"/>
      </w:pPr>
      <w:r w:rsidRPr="00175F8B">
        <w:t xml:space="preserve">(8) Verdipapirforetak skal kontrollere sine systemer og retningslinjer for ordreutførelse for å avdekke og utbedre eventuelle svakheter. Blant annet skal verdipapirforetaket jevnlig evaluere om bruk av utførelsesplassene som nevnt i retningslinjene, er egnet til å oppnå best mulig resultat for kundene, eller om det er behov for </w:t>
      </w:r>
      <w:r w:rsidRPr="00175F8B">
        <w:rPr>
          <w:rStyle w:val="l-endring"/>
        </w:rPr>
        <w:t>endringer. Verdipapirforetaket</w:t>
      </w:r>
      <w:r w:rsidRPr="00175F8B">
        <w:t xml:space="preserve"> skal opplyse om alle vesentlige endringer i foretakets systemer og retningslinjer for ordreutførelse til kunder som foretaket har en løpende relasjon med.</w:t>
      </w:r>
    </w:p>
    <w:p w14:paraId="31C76F4B" w14:textId="77777777" w:rsidR="00080633" w:rsidRPr="00175F8B" w:rsidRDefault="00080633" w:rsidP="00175F8B">
      <w:pPr>
        <w:pStyle w:val="l-tit-endr-ledd"/>
      </w:pPr>
      <w:r w:rsidRPr="00175F8B">
        <w:lastRenderedPageBreak/>
        <w:t>Ellevte ledd oppheves.</w:t>
      </w:r>
    </w:p>
    <w:p w14:paraId="4B055AF3" w14:textId="77777777" w:rsidR="00080633" w:rsidRPr="00175F8B" w:rsidRDefault="00080633" w:rsidP="00175F8B">
      <w:pPr>
        <w:pStyle w:val="l-tit-endr-ledd"/>
      </w:pPr>
      <w:r w:rsidRPr="00175F8B">
        <w:t>Tolvte ledd blir nytt ellevte ledd.</w:t>
      </w:r>
    </w:p>
    <w:p w14:paraId="277EF9CA" w14:textId="77777777" w:rsidR="00080633" w:rsidRPr="00175F8B" w:rsidRDefault="00080633" w:rsidP="00175F8B">
      <w:pPr>
        <w:pStyle w:val="l-tit-endr-paragraf"/>
      </w:pPr>
      <w:r w:rsidRPr="00175F8B">
        <w:t>§ 10-20 oppheves.</w:t>
      </w:r>
    </w:p>
    <w:p w14:paraId="4D41883C" w14:textId="77777777" w:rsidR="00080633" w:rsidRPr="00175F8B" w:rsidRDefault="00080633" w:rsidP="00175F8B">
      <w:pPr>
        <w:pStyle w:val="l-tit-endr-ledd"/>
      </w:pPr>
      <w:r w:rsidRPr="00175F8B">
        <w:t>Nye § 11-18 første ledd nr. 5 og 6 skal lyde:</w:t>
      </w:r>
    </w:p>
    <w:p w14:paraId="66143512" w14:textId="77777777" w:rsidR="00080633" w:rsidRPr="00175F8B" w:rsidRDefault="00080633" w:rsidP="00175F8B">
      <w:pPr>
        <w:pStyle w:val="friliste"/>
        <w:rPr>
          <w:rStyle w:val="l-endring"/>
        </w:rPr>
      </w:pPr>
      <w:r w:rsidRPr="00175F8B">
        <w:rPr>
          <w:rStyle w:val="l-endring"/>
        </w:rPr>
        <w:t>5.</w:t>
      </w:r>
      <w:r w:rsidRPr="00175F8B">
        <w:rPr>
          <w:rStyle w:val="l-endring"/>
        </w:rPr>
        <w:tab/>
        <w:t>har ordninger som sikrer at det møt</w:t>
      </w:r>
      <w:r w:rsidRPr="00175F8B">
        <w:rPr>
          <w:rStyle w:val="l-endring"/>
        </w:rPr>
        <w:t>er kravene til datakvalitet som følger av verdipapirmarkedsforordningen artikkel 22b,</w:t>
      </w:r>
    </w:p>
    <w:p w14:paraId="3044D41F" w14:textId="77777777" w:rsidR="00080633" w:rsidRPr="00175F8B" w:rsidRDefault="00080633" w:rsidP="00175F8B">
      <w:pPr>
        <w:pStyle w:val="friliste"/>
      </w:pPr>
      <w:r w:rsidRPr="00175F8B">
        <w:rPr>
          <w:rStyle w:val="l-endring"/>
        </w:rPr>
        <w:t>6.</w:t>
      </w:r>
      <w:r w:rsidRPr="00175F8B">
        <w:rPr>
          <w:rStyle w:val="l-endring"/>
        </w:rPr>
        <w:tab/>
        <w:t>at det har minst tre aktive brukere eller medlemmer som kan delta i prisdannelsen.</w:t>
      </w:r>
    </w:p>
    <w:p w14:paraId="5B8A8845" w14:textId="77777777" w:rsidR="00080633" w:rsidRPr="00175F8B" w:rsidRDefault="00080633" w:rsidP="00175F8B">
      <w:pPr>
        <w:pStyle w:val="l-tit-endr-paragraf"/>
      </w:pPr>
      <w:r w:rsidRPr="00175F8B">
        <w:t>I § 11-19 gjøres følgende endringer:</w:t>
      </w:r>
    </w:p>
    <w:p w14:paraId="6C9AA531" w14:textId="77777777" w:rsidR="00080633" w:rsidRPr="00175F8B" w:rsidRDefault="00080633" w:rsidP="00175F8B">
      <w:pPr>
        <w:pStyle w:val="l-tit-endr-ledd"/>
      </w:pPr>
      <w:r w:rsidRPr="00175F8B">
        <w:t>Fjerde ledd skal lyde:</w:t>
      </w:r>
    </w:p>
    <w:p w14:paraId="03C038BF" w14:textId="77777777" w:rsidR="00080633" w:rsidRPr="00175F8B" w:rsidRDefault="00080633" w:rsidP="00175F8B">
      <w:pPr>
        <w:pStyle w:val="l-ledd"/>
      </w:pPr>
      <w:r w:rsidRPr="00175F8B">
        <w:t xml:space="preserve">(4) Det regulerte markedet kan midlertidig stanse eller begrense handelen for en kort periode </w:t>
      </w:r>
      <w:r w:rsidRPr="00175F8B">
        <w:rPr>
          <w:rStyle w:val="l-endring"/>
        </w:rPr>
        <w:t>i krisesituasjoner eller</w:t>
      </w:r>
      <w:r w:rsidRPr="00175F8B">
        <w:t xml:space="preserve"> ved betydelige prissvingninger for et finansielt instrument på det regulerte markedet eller et annet relatert marked. Det regulerte markedet kan i særlige tilfeller kansellere, endre eller korrigere enhver transaksjon.</w:t>
      </w:r>
    </w:p>
    <w:p w14:paraId="004DB941" w14:textId="77777777" w:rsidR="00080633" w:rsidRPr="00175F8B" w:rsidRDefault="00080633" w:rsidP="00175F8B">
      <w:pPr>
        <w:pStyle w:val="l-tit-endr-ledd"/>
      </w:pPr>
      <w:r w:rsidRPr="00175F8B">
        <w:t>Nytt syvende ledd skal lyde:</w:t>
      </w:r>
    </w:p>
    <w:p w14:paraId="40C89920" w14:textId="77777777" w:rsidR="00080633" w:rsidRPr="00175F8B" w:rsidRDefault="00080633" w:rsidP="00175F8B">
      <w:pPr>
        <w:pStyle w:val="l-ledd"/>
      </w:pPr>
      <w:r w:rsidRPr="00175F8B">
        <w:rPr>
          <w:rStyle w:val="l-endring"/>
        </w:rPr>
        <w:t>(7) Det regulerte markedet skal på sin hjemmeside opplyse om årsaken til at handelen i et finansielt instrument har blitt stanset eller begrenset. Videre skal det opplyses om prinsippene for fastsettelsen av de sentrale tekniske parameterne som ligger til grunn for denne beslutningen.</w:t>
      </w:r>
    </w:p>
    <w:p w14:paraId="6AA74866" w14:textId="77777777" w:rsidR="00080633" w:rsidRPr="00175F8B" w:rsidRDefault="00080633" w:rsidP="00175F8B">
      <w:pPr>
        <w:pStyle w:val="l-tit-endr-ledd"/>
      </w:pPr>
      <w:r w:rsidRPr="00175F8B">
        <w:rPr>
          <w:rStyle w:val="kursiv"/>
        </w:rPr>
        <w:t>Syvende ledd blir nytt åttende ledd.</w:t>
      </w:r>
    </w:p>
    <w:p w14:paraId="2E916F3C" w14:textId="77777777" w:rsidR="00080633" w:rsidRPr="00175F8B" w:rsidRDefault="00080633" w:rsidP="00175F8B">
      <w:pPr>
        <w:pStyle w:val="l-tit-endr-paragraf"/>
      </w:pPr>
      <w:r w:rsidRPr="00175F8B">
        <w:t>I § 11-24 gjøres følgende endringer:</w:t>
      </w:r>
    </w:p>
    <w:p w14:paraId="1C652625" w14:textId="77777777" w:rsidR="00080633" w:rsidRPr="00175F8B" w:rsidRDefault="00080633" w:rsidP="00175F8B">
      <w:pPr>
        <w:pStyle w:val="l-tit-endr-ledd"/>
      </w:pPr>
      <w:r w:rsidRPr="00175F8B">
        <w:t>Nytt tredje ledd skal lyde</w:t>
      </w:r>
    </w:p>
    <w:p w14:paraId="6F7508A5" w14:textId="77777777" w:rsidR="00080633" w:rsidRPr="00175F8B" w:rsidRDefault="00080633" w:rsidP="00175F8B">
      <w:pPr>
        <w:pStyle w:val="l-ledd"/>
      </w:pPr>
      <w:r w:rsidRPr="00175F8B">
        <w:rPr>
          <w:rStyle w:val="l-endring"/>
        </w:rPr>
        <w:t xml:space="preserve">(3) For aksjer med et internasjonalt identifikasjonsnummer (ISIN) utstedt utenfor EØS, eller for aksjer som har et EØS-ISIN og som omsettes på en handelsplass i et tredjeland i den lokale valutaen eller valutaen til et land utenfor EØS i henhold til </w:t>
      </w:r>
      <w:proofErr w:type="spellStart"/>
      <w:r w:rsidRPr="00175F8B">
        <w:rPr>
          <w:rStyle w:val="l-endring"/>
        </w:rPr>
        <w:t>MiFIR</w:t>
      </w:r>
      <w:proofErr w:type="spellEnd"/>
      <w:r w:rsidRPr="00175F8B">
        <w:rPr>
          <w:rStyle w:val="l-endring"/>
        </w:rPr>
        <w:t xml:space="preserve"> artikkel 23 nr. 1 bokstav a, kan regulerte markeder fastsette samme minste tillatte kursendring som gjelder på en handelsplass i et tredjeland som er det mest likvide markedet for omsetning av aksjene.</w:t>
      </w:r>
    </w:p>
    <w:p w14:paraId="77D98C69" w14:textId="77777777" w:rsidR="00080633" w:rsidRPr="00175F8B" w:rsidRDefault="00080633" w:rsidP="00175F8B">
      <w:pPr>
        <w:pStyle w:val="l-tit-endr-ledd"/>
      </w:pPr>
      <w:r w:rsidRPr="00175F8B">
        <w:rPr>
          <w:rStyle w:val="kursiv"/>
        </w:rPr>
        <w:t>Tredje ledd blir nytt fjerde ledd.</w:t>
      </w:r>
    </w:p>
    <w:p w14:paraId="6FEC9CB1" w14:textId="77777777" w:rsidR="00080633" w:rsidRPr="00175F8B" w:rsidRDefault="00080633" w:rsidP="00175F8B">
      <w:pPr>
        <w:pStyle w:val="l-tit-endr-paragraf"/>
      </w:pPr>
      <w:r w:rsidRPr="00175F8B">
        <w:t>§ 11-25 oppheves.</w:t>
      </w:r>
    </w:p>
    <w:p w14:paraId="63441893" w14:textId="77777777" w:rsidR="00080633" w:rsidRPr="00175F8B" w:rsidRDefault="00080633" w:rsidP="00175F8B">
      <w:pPr>
        <w:pStyle w:val="l-tit-endr-paragraf"/>
      </w:pPr>
      <w:r w:rsidRPr="00175F8B">
        <w:t>I § 15-2 gjøres føl</w:t>
      </w:r>
      <w:r w:rsidRPr="00175F8B">
        <w:t>gende endringer:</w:t>
      </w:r>
    </w:p>
    <w:p w14:paraId="466FBD5B" w14:textId="77777777" w:rsidR="00080633" w:rsidRPr="00175F8B" w:rsidRDefault="00080633" w:rsidP="00175F8B">
      <w:pPr>
        <w:pStyle w:val="l-tit-endr-ledd"/>
      </w:pPr>
      <w:r w:rsidRPr="00175F8B">
        <w:t>Første ledd første setning skal lyde:</w:t>
      </w:r>
    </w:p>
    <w:p w14:paraId="47C032DC" w14:textId="77777777" w:rsidR="00080633" w:rsidRPr="00175F8B" w:rsidRDefault="00080633" w:rsidP="00175F8B">
      <w:pPr>
        <w:pStyle w:val="l-ledd"/>
      </w:pPr>
      <w:r w:rsidRPr="00175F8B">
        <w:t xml:space="preserve">(1) Et verdipapirforetak eller en markedsoperatør som driver en handelsplass der det handles varederivater </w:t>
      </w:r>
      <w:r w:rsidRPr="00175F8B">
        <w:rPr>
          <w:rStyle w:val="l-endring"/>
        </w:rPr>
        <w:t>eller derivater på utslippskvoter</w:t>
      </w:r>
      <w:r w:rsidRPr="00175F8B">
        <w:t>, skal foreta kontroll av posisjonshåndteringen.</w:t>
      </w:r>
    </w:p>
    <w:p w14:paraId="336C03DB" w14:textId="77777777" w:rsidR="00080633" w:rsidRPr="00175F8B" w:rsidRDefault="00080633" w:rsidP="00175F8B">
      <w:pPr>
        <w:pStyle w:val="l-tit-endr-ledd"/>
      </w:pPr>
      <w:r w:rsidRPr="00175F8B">
        <w:t>Annet ledd skal lyde:</w:t>
      </w:r>
    </w:p>
    <w:p w14:paraId="51DCAB8B" w14:textId="77777777" w:rsidR="00080633" w:rsidRPr="00175F8B" w:rsidRDefault="00080633" w:rsidP="00175F8B">
      <w:pPr>
        <w:pStyle w:val="l-ledd"/>
      </w:pPr>
      <w:r w:rsidRPr="00175F8B">
        <w:t xml:space="preserve">(2) Myndigheten til å få opplysninger, herunder all relevant dokumentasjon, etter første ledd nr. 2 skal også omfatte </w:t>
      </w:r>
      <w:r w:rsidRPr="00175F8B">
        <w:rPr>
          <w:rStyle w:val="l-endring"/>
        </w:rPr>
        <w:t>posisjoner i derivater på utslippskvoter eller</w:t>
      </w:r>
      <w:r w:rsidRPr="00175F8B">
        <w:t xml:space="preserve"> posisjoner i varederivater som er basert på samme underliggende, og som deler de samme egenskapene på andre handelsplasser og i økonomisk likeverdige OTC-kontrakter dersom de holdes gjennom medlemmer eller deltakere.</w:t>
      </w:r>
    </w:p>
    <w:p w14:paraId="19ADDC2C" w14:textId="77777777" w:rsidR="00080633" w:rsidRPr="00175F8B" w:rsidRDefault="00080633" w:rsidP="00175F8B">
      <w:pPr>
        <w:pStyle w:val="l-tit-endr-paragraf"/>
      </w:pPr>
      <w:r w:rsidRPr="00175F8B">
        <w:t>I § 15-3 gjøres følgende endringer:</w:t>
      </w:r>
    </w:p>
    <w:p w14:paraId="3DE4544F" w14:textId="77777777" w:rsidR="00080633" w:rsidRPr="00175F8B" w:rsidRDefault="00080633" w:rsidP="00175F8B">
      <w:pPr>
        <w:pStyle w:val="l-tit-endr-ledd"/>
      </w:pPr>
      <w:r w:rsidRPr="00175F8B">
        <w:t>Første ledd nr. 1 skal lyde:</w:t>
      </w:r>
    </w:p>
    <w:p w14:paraId="7B8329BF" w14:textId="77777777" w:rsidR="00080633" w:rsidRPr="00175F8B" w:rsidRDefault="00080633" w:rsidP="00175F8B">
      <w:pPr>
        <w:pStyle w:val="l-ledd"/>
      </w:pPr>
      <w:r w:rsidRPr="00175F8B">
        <w:t xml:space="preserve">(1) Et verdipapirforetak eller en markedsoperatør som driver en handelsplass der det handles </w:t>
      </w:r>
      <w:r w:rsidRPr="00175F8B">
        <w:rPr>
          <w:rStyle w:val="l-endring"/>
        </w:rPr>
        <w:t>varederivater eller derivater på utslippskvoter</w:t>
      </w:r>
      <w:r w:rsidRPr="00175F8B">
        <w:t>, skal rapportere posisjoner på følgende måte:</w:t>
      </w:r>
    </w:p>
    <w:p w14:paraId="71E5766D" w14:textId="2B94EEFD" w:rsidR="00080633" w:rsidRPr="00175F8B" w:rsidRDefault="00080633" w:rsidP="00175F8B">
      <w:pPr>
        <w:pStyle w:val="friliste"/>
      </w:pPr>
      <w:r w:rsidRPr="00175F8B">
        <w:t>1.</w:t>
      </w:r>
      <w:r w:rsidR="00175F8B">
        <w:t xml:space="preserve"> </w:t>
      </w:r>
    </w:p>
    <w:p w14:paraId="0AFD1F20" w14:textId="77777777" w:rsidR="00080633" w:rsidRPr="00175F8B" w:rsidRDefault="00080633" w:rsidP="00175F8B">
      <w:pPr>
        <w:pStyle w:val="friliste2"/>
        <w:rPr>
          <w:rStyle w:val="l-endring"/>
        </w:rPr>
      </w:pPr>
      <w:r w:rsidRPr="00175F8B">
        <w:rPr>
          <w:rStyle w:val="l-endring"/>
        </w:rPr>
        <w:lastRenderedPageBreak/>
        <w:t>(i)</w:t>
      </w:r>
      <w:r w:rsidRPr="00175F8B">
        <w:rPr>
          <w:rStyle w:val="l-endring"/>
        </w:rPr>
        <w:tab/>
        <w:t>Verdipapirforetak eller markedsoperatør som driver en handelsplass der opsjoner handles, skal offentliggjøre to ukentlige rapporter, der en av rapportene ekskluderer opsjoner,</w:t>
      </w:r>
      <w:r w:rsidRPr="00175F8B">
        <w:t xml:space="preserve"> om de samlede posisjonene som innehas av de forskjellige kategoriene av personer som nevnt i femte ledd, for de forskjellige varederivatene </w:t>
      </w:r>
      <w:r w:rsidRPr="00175F8B">
        <w:rPr>
          <w:rStyle w:val="l-endring"/>
        </w:rPr>
        <w:t>eller derivatene på utslippskvotene</w:t>
      </w:r>
      <w:r w:rsidRPr="00175F8B">
        <w:t xml:space="preserve"> som handles på deres handelsplasser. </w:t>
      </w:r>
      <w:r w:rsidRPr="00175F8B">
        <w:rPr>
          <w:rStyle w:val="l-endring"/>
        </w:rPr>
        <w:t>Rapportene</w:t>
      </w:r>
      <w:r w:rsidRPr="00175F8B">
        <w:t xml:space="preserve"> skal angi:</w:t>
      </w:r>
    </w:p>
    <w:p w14:paraId="2B9FB4EA" w14:textId="77777777" w:rsidR="00080633" w:rsidRPr="00175F8B" w:rsidRDefault="00080633" w:rsidP="00175F8B">
      <w:pPr>
        <w:pStyle w:val="friliste3"/>
      </w:pPr>
      <w:r w:rsidRPr="00175F8B">
        <w:t xml:space="preserve">a) </w:t>
      </w:r>
      <w:r w:rsidRPr="00175F8B">
        <w:tab/>
        <w:t>antallet lange og korte posisjoner per kategori,</w:t>
      </w:r>
    </w:p>
    <w:p w14:paraId="28EC47E1" w14:textId="77777777" w:rsidR="00080633" w:rsidRPr="00175F8B" w:rsidRDefault="00080633" w:rsidP="00175F8B">
      <w:pPr>
        <w:pStyle w:val="friliste3"/>
      </w:pPr>
      <w:r w:rsidRPr="00175F8B">
        <w:t xml:space="preserve">b) </w:t>
      </w:r>
      <w:r w:rsidRPr="00175F8B">
        <w:tab/>
        <w:t>endringer i posisjonene siden forrige rapport,</w:t>
      </w:r>
    </w:p>
    <w:p w14:paraId="0B8E5889" w14:textId="77777777" w:rsidR="00080633" w:rsidRPr="00175F8B" w:rsidRDefault="00080633" w:rsidP="00175F8B">
      <w:pPr>
        <w:pStyle w:val="friliste3"/>
      </w:pPr>
      <w:r w:rsidRPr="00175F8B">
        <w:t xml:space="preserve">c) </w:t>
      </w:r>
      <w:r w:rsidRPr="00175F8B">
        <w:tab/>
        <w:t>prosentandelen av det samlede antallet åp</w:t>
      </w:r>
      <w:r w:rsidRPr="00175F8B">
        <w:t>ne posisjoner for hver kategori, og</w:t>
      </w:r>
    </w:p>
    <w:p w14:paraId="6EE7326B" w14:textId="77777777" w:rsidR="00080633" w:rsidRPr="00175F8B" w:rsidRDefault="00080633" w:rsidP="00175F8B">
      <w:pPr>
        <w:pStyle w:val="friliste3"/>
      </w:pPr>
      <w:r w:rsidRPr="00175F8B">
        <w:t xml:space="preserve">d) </w:t>
      </w:r>
      <w:r w:rsidRPr="00175F8B">
        <w:tab/>
        <w:t>antallet personer som innehar en posisjon i hver kategori.</w:t>
      </w:r>
    </w:p>
    <w:p w14:paraId="36862AFB" w14:textId="77777777" w:rsidR="00080633" w:rsidRPr="00175F8B" w:rsidRDefault="00080633" w:rsidP="00175F8B">
      <w:pPr>
        <w:pStyle w:val="friliste2"/>
      </w:pPr>
      <w:r w:rsidRPr="00175F8B">
        <w:rPr>
          <w:rStyle w:val="l-endring"/>
        </w:rPr>
        <w:t>(ii)</w:t>
      </w:r>
      <w:r w:rsidRPr="00175F8B">
        <w:rPr>
          <w:rStyle w:val="l-endring"/>
        </w:rPr>
        <w:tab/>
        <w:t>Verdipapirforetak eller markedsoperatør som driver en handelsplass der opsjoner ikke handles, skal offentliggjøre en ukentlig rapport som inneholder de samme elementene som i punkt (i).</w:t>
      </w:r>
    </w:p>
    <w:p w14:paraId="542BBF9E" w14:textId="77777777" w:rsidR="00080633" w:rsidRPr="00175F8B" w:rsidRDefault="00080633" w:rsidP="00175F8B">
      <w:pPr>
        <w:pStyle w:val="l-tit-endr-ledd"/>
      </w:pPr>
      <w:r w:rsidRPr="00175F8B">
        <w:t>Annet ledd skal lyde:</w:t>
      </w:r>
    </w:p>
    <w:p w14:paraId="2D62E179" w14:textId="77777777" w:rsidR="00080633" w:rsidRPr="00175F8B" w:rsidRDefault="00080633" w:rsidP="00175F8B">
      <w:pPr>
        <w:pStyle w:val="l-ledd"/>
      </w:pPr>
      <w:r w:rsidRPr="00175F8B">
        <w:t xml:space="preserve">(2) Et verdipapirforetak som handler varederivater </w:t>
      </w:r>
      <w:r w:rsidRPr="00175F8B">
        <w:rPr>
          <w:rStyle w:val="l-endring"/>
        </w:rPr>
        <w:t>eller derivater på utslippskvoter</w:t>
      </w:r>
      <w:r w:rsidRPr="00175F8B">
        <w:t xml:space="preserve"> utenfor en handelsplass, skal minst daglig gi tilsynsmyndigheten til handelsplassen der </w:t>
      </w:r>
      <w:r w:rsidRPr="00175F8B">
        <w:rPr>
          <w:rStyle w:val="l-endring"/>
        </w:rPr>
        <w:t>varederivatene eller derivatene på utslippskvotene</w:t>
      </w:r>
      <w:r w:rsidRPr="00175F8B">
        <w:t xml:space="preserve"> handles, en fullstendig oversikt over sine posisjoner, herunder posisjoner som innehas av kundene og kundenes kunder igjen ned til sluttkundenivå, i</w:t>
      </w:r>
    </w:p>
    <w:p w14:paraId="4570A6F7" w14:textId="77777777" w:rsidR="00080633" w:rsidRPr="00175F8B" w:rsidRDefault="00080633" w:rsidP="00175F8B">
      <w:pPr>
        <w:pStyle w:val="friliste"/>
      </w:pPr>
      <w:r w:rsidRPr="00175F8B">
        <w:t xml:space="preserve">1. </w:t>
      </w:r>
      <w:r w:rsidRPr="00175F8B">
        <w:tab/>
        <w:t>nevnte instrumenter som handles på en handelsplass i de tilfeller der dette er relevant, og</w:t>
      </w:r>
    </w:p>
    <w:p w14:paraId="0DC21A90" w14:textId="77777777" w:rsidR="00080633" w:rsidRPr="00175F8B" w:rsidRDefault="00080633" w:rsidP="00175F8B">
      <w:pPr>
        <w:pStyle w:val="friliste"/>
      </w:pPr>
      <w:r w:rsidRPr="00175F8B">
        <w:t xml:space="preserve">2. </w:t>
      </w:r>
      <w:r w:rsidRPr="00175F8B">
        <w:tab/>
        <w:t>i økonomisk likeverdige OTC-kontrakter.</w:t>
      </w:r>
    </w:p>
    <w:p w14:paraId="6A81CF11" w14:textId="77777777" w:rsidR="00080633" w:rsidRPr="00175F8B" w:rsidRDefault="00080633" w:rsidP="00175F8B">
      <w:pPr>
        <w:pStyle w:val="l-punktum"/>
      </w:pPr>
      <w:r w:rsidRPr="00175F8B">
        <w:t>For posisjoner i varederivater der det er fastsatt en felles posisjonsgrense etter § 15-1 syvende ledd, skal oversikten nevnt i første punktum i stedet sendes til den sentrale tilsynsmyndigheten.</w:t>
      </w:r>
    </w:p>
    <w:p w14:paraId="10F1A754" w14:textId="77777777" w:rsidR="00080633" w:rsidRPr="00175F8B" w:rsidRDefault="00080633" w:rsidP="00175F8B">
      <w:pPr>
        <w:pStyle w:val="l-tit-endr-ledd"/>
      </w:pPr>
      <w:r w:rsidRPr="00175F8B">
        <w:t>Femte ledd første setning før kolon skal lyde:</w:t>
      </w:r>
    </w:p>
    <w:p w14:paraId="21AD076D" w14:textId="77777777" w:rsidR="00080633" w:rsidRPr="00175F8B" w:rsidRDefault="00080633" w:rsidP="00175F8B">
      <w:pPr>
        <w:pStyle w:val="l-ledd"/>
      </w:pPr>
      <w:r w:rsidRPr="00175F8B">
        <w:t xml:space="preserve">(5) Et verdipapirforetak eller en markedsoperatør som driver en handelsplass, skal klassifisere personer som innehar posisjoner i </w:t>
      </w:r>
      <w:r w:rsidRPr="00175F8B">
        <w:rPr>
          <w:rStyle w:val="l-endring"/>
        </w:rPr>
        <w:t>varederivater eller derivater på utslippskvoter</w:t>
      </w:r>
      <w:r w:rsidRPr="00175F8B">
        <w:t xml:space="preserve"> ut fra arten av deres hovedvirksomhet, som enten:</w:t>
      </w:r>
    </w:p>
    <w:p w14:paraId="0602A623" w14:textId="77777777" w:rsidR="00080633" w:rsidRPr="00175F8B" w:rsidRDefault="00080633" w:rsidP="00175F8B">
      <w:pPr>
        <w:pStyle w:val="l-lovkap"/>
      </w:pPr>
      <w:r w:rsidRPr="00175F8B">
        <w:t>Kapittel 2. Ikrafttredelse og overgangsregler</w:t>
      </w:r>
    </w:p>
    <w:p w14:paraId="2EAC2F68" w14:textId="77777777" w:rsidR="00080633" w:rsidRPr="00175F8B" w:rsidRDefault="00080633" w:rsidP="00175F8B">
      <w:pPr>
        <w:pStyle w:val="l-paragraf"/>
        <w:rPr>
          <w:rStyle w:val="regular"/>
        </w:rPr>
      </w:pPr>
      <w:r w:rsidRPr="00175F8B">
        <w:rPr>
          <w:rStyle w:val="regular"/>
        </w:rPr>
        <w:t>§ 2-1.</w:t>
      </w:r>
      <w:r w:rsidRPr="00175F8B">
        <w:t xml:space="preserve"> Ikrafttredelse</w:t>
      </w:r>
    </w:p>
    <w:p w14:paraId="1EA38672" w14:textId="77777777" w:rsidR="00080633" w:rsidRPr="00175F8B" w:rsidRDefault="00080633" w:rsidP="00175F8B">
      <w:pPr>
        <w:pStyle w:val="l-ledd"/>
      </w:pPr>
      <w:r w:rsidRPr="00175F8B">
        <w:t>Loven gjelder fra den tid Kongen bestemmer. Kongen kan sette i kraft de enkelte bestemmelsene til forskjellig tid.</w:t>
      </w:r>
    </w:p>
    <w:p w14:paraId="026978D8" w14:textId="77777777" w:rsidR="00080633" w:rsidRPr="00175F8B" w:rsidRDefault="00080633" w:rsidP="00175F8B">
      <w:pPr>
        <w:pStyle w:val="l-paragraf"/>
        <w:rPr>
          <w:rStyle w:val="regular"/>
        </w:rPr>
      </w:pPr>
      <w:r w:rsidRPr="00175F8B">
        <w:rPr>
          <w:rStyle w:val="regular"/>
        </w:rPr>
        <w:t>§ 2-2.</w:t>
      </w:r>
      <w:r w:rsidRPr="00175F8B">
        <w:t xml:space="preserve"> Overgangsregler</w:t>
      </w:r>
    </w:p>
    <w:p w14:paraId="234D9724" w14:textId="77777777" w:rsidR="00080633" w:rsidRPr="00175F8B" w:rsidRDefault="00080633" w:rsidP="00175F8B">
      <w:pPr>
        <w:pStyle w:val="l-ledd"/>
      </w:pPr>
      <w:r w:rsidRPr="00175F8B">
        <w:t>Departementet kan fastsette overgangsregler i forskrift.</w:t>
      </w:r>
    </w:p>
    <w:p w14:paraId="72ABFB0C" w14:textId="77777777" w:rsidR="00080633" w:rsidRPr="00175F8B" w:rsidRDefault="00080633" w:rsidP="00175F8B"/>
    <w:sectPr w:rsidR="00000000" w:rsidRPr="00175F8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7099" w14:textId="77777777" w:rsidR="00080633" w:rsidRDefault="00080633">
      <w:pPr>
        <w:spacing w:after="0"/>
      </w:pPr>
      <w:r>
        <w:separator/>
      </w:r>
    </w:p>
  </w:endnote>
  <w:endnote w:type="continuationSeparator" w:id="0">
    <w:p w14:paraId="0BA1F86F" w14:textId="77777777" w:rsidR="00080633" w:rsidRDefault="00080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321A" w14:textId="77777777" w:rsidR="00080633" w:rsidRPr="00175F8B" w:rsidRDefault="00080633" w:rsidP="00175F8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BD49" w14:textId="77777777" w:rsidR="00080633" w:rsidRPr="00175F8B" w:rsidRDefault="00080633" w:rsidP="00175F8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041C" w14:textId="1D34F69E" w:rsidR="00080633" w:rsidRPr="00175F8B" w:rsidRDefault="00080633" w:rsidP="00175F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EA54" w14:textId="77777777" w:rsidR="00080633" w:rsidRDefault="00080633">
      <w:pPr>
        <w:spacing w:after="0"/>
      </w:pPr>
      <w:r>
        <w:separator/>
      </w:r>
    </w:p>
  </w:footnote>
  <w:footnote w:type="continuationSeparator" w:id="0">
    <w:p w14:paraId="581D1DF4" w14:textId="77777777" w:rsidR="00080633" w:rsidRDefault="00080633">
      <w:pPr>
        <w:spacing w:after="0"/>
      </w:pPr>
      <w:r>
        <w:continuationSeparator/>
      </w:r>
    </w:p>
  </w:footnote>
  <w:footnote w:id="1">
    <w:p w14:paraId="14BEA3D9" w14:textId="0BA1364E" w:rsidR="00080633" w:rsidRDefault="00080633">
      <w:pPr>
        <w:pStyle w:val="Fotnotetekst"/>
      </w:pPr>
      <w:r>
        <w:rPr>
          <w:vertAlign w:val="superscript"/>
        </w:rPr>
        <w:footnoteRef/>
      </w:r>
      <w:r w:rsidRPr="00175F8B">
        <w:t xml:space="preserve">A Capital Markets Union for </w:t>
      </w:r>
      <w:proofErr w:type="spellStart"/>
      <w:r w:rsidRPr="00175F8B">
        <w:t>people</w:t>
      </w:r>
      <w:proofErr w:type="spellEnd"/>
      <w:r w:rsidRPr="00175F8B">
        <w:t xml:space="preserve"> and </w:t>
      </w:r>
      <w:proofErr w:type="spellStart"/>
      <w:r w:rsidRPr="00175F8B">
        <w:t>businesses-new</w:t>
      </w:r>
      <w:proofErr w:type="spellEnd"/>
      <w:r w:rsidRPr="00175F8B">
        <w:t xml:space="preserve"> action plan COM/2020/590 final</w:t>
      </w:r>
    </w:p>
  </w:footnote>
  <w:footnote w:id="2">
    <w:p w14:paraId="55C11C89" w14:textId="42AD125F" w:rsidR="00080633" w:rsidRDefault="00080633">
      <w:pPr>
        <w:pStyle w:val="Fotnotetekst"/>
      </w:pPr>
      <w:r>
        <w:rPr>
          <w:vertAlign w:val="superscript"/>
        </w:rPr>
        <w:footnoteRef/>
      </w:r>
      <w:r w:rsidRPr="00175F8B">
        <w:t xml:space="preserve">The European </w:t>
      </w:r>
      <w:proofErr w:type="spellStart"/>
      <w:r w:rsidRPr="00175F8B">
        <w:t>economic</w:t>
      </w:r>
      <w:proofErr w:type="spellEnd"/>
      <w:r w:rsidRPr="00175F8B">
        <w:t xml:space="preserve"> and </w:t>
      </w:r>
      <w:proofErr w:type="spellStart"/>
      <w:r w:rsidRPr="00175F8B">
        <w:t>financial</w:t>
      </w:r>
      <w:proofErr w:type="spellEnd"/>
      <w:r w:rsidRPr="00175F8B">
        <w:t xml:space="preserve"> system: </w:t>
      </w:r>
      <w:proofErr w:type="spellStart"/>
      <w:r w:rsidRPr="00175F8B">
        <w:t>fostering</w:t>
      </w:r>
      <w:proofErr w:type="spellEnd"/>
      <w:r w:rsidRPr="00175F8B">
        <w:t xml:space="preserve"> </w:t>
      </w:r>
      <w:proofErr w:type="spellStart"/>
      <w:r w:rsidRPr="00175F8B">
        <w:t>openness</w:t>
      </w:r>
      <w:proofErr w:type="spellEnd"/>
      <w:r w:rsidRPr="00175F8B">
        <w:t xml:space="preserve">, </w:t>
      </w:r>
      <w:proofErr w:type="spellStart"/>
      <w:r w:rsidRPr="00175F8B">
        <w:t>strength</w:t>
      </w:r>
      <w:proofErr w:type="spellEnd"/>
      <w:r w:rsidRPr="00175F8B">
        <w:t xml:space="preserve"> and </w:t>
      </w:r>
      <w:proofErr w:type="spellStart"/>
      <w:r w:rsidRPr="00175F8B">
        <w:t>resilience</w:t>
      </w:r>
      <w:proofErr w:type="spellEnd"/>
      <w:r w:rsidRPr="00175F8B">
        <w:t xml:space="preserve"> COM/2021/32 final</w:t>
      </w:r>
    </w:p>
  </w:footnote>
  <w:footnote w:id="3">
    <w:p w14:paraId="34B62E31" w14:textId="04A69DA8" w:rsidR="00080633" w:rsidRDefault="00080633">
      <w:pPr>
        <w:pStyle w:val="Fotnotetekst"/>
      </w:pPr>
      <w:r>
        <w:rPr>
          <w:vertAlign w:val="superscript"/>
        </w:rPr>
        <w:footnoteRef/>
      </w:r>
      <w:proofErr w:type="spellStart"/>
      <w:r w:rsidRPr="00175F8B">
        <w:t>Summary</w:t>
      </w:r>
      <w:proofErr w:type="spellEnd"/>
      <w:r w:rsidRPr="00175F8B">
        <w:t xml:space="preserve"> Report </w:t>
      </w:r>
      <w:proofErr w:type="spellStart"/>
      <w:r w:rsidRPr="00175F8B">
        <w:t>of</w:t>
      </w:r>
      <w:proofErr w:type="spellEnd"/>
      <w:r w:rsidRPr="00175F8B">
        <w:t xml:space="preserve"> </w:t>
      </w:r>
      <w:proofErr w:type="spellStart"/>
      <w:r w:rsidRPr="00175F8B">
        <w:t>the</w:t>
      </w:r>
      <w:proofErr w:type="spellEnd"/>
      <w:r w:rsidRPr="00175F8B">
        <w:t xml:space="preserve"> Public </w:t>
      </w:r>
      <w:proofErr w:type="spellStart"/>
      <w:r w:rsidRPr="00175F8B">
        <w:t>Consultation</w:t>
      </w:r>
      <w:proofErr w:type="spellEnd"/>
      <w:r w:rsidRPr="00175F8B">
        <w:t xml:space="preserve"> </w:t>
      </w:r>
      <w:proofErr w:type="spellStart"/>
      <w:r w:rsidRPr="00175F8B">
        <w:t>on</w:t>
      </w:r>
      <w:proofErr w:type="spellEnd"/>
      <w:r w:rsidRPr="00175F8B">
        <w:t xml:space="preserve"> </w:t>
      </w:r>
      <w:proofErr w:type="spellStart"/>
      <w:r w:rsidRPr="00175F8B">
        <w:t>the</w:t>
      </w:r>
      <w:proofErr w:type="spellEnd"/>
      <w:r w:rsidRPr="00175F8B">
        <w:t xml:space="preserve"> </w:t>
      </w:r>
      <w:proofErr w:type="spellStart"/>
      <w:r w:rsidRPr="00175F8B">
        <w:t>Review</w:t>
      </w:r>
      <w:proofErr w:type="spellEnd"/>
      <w:r w:rsidRPr="00175F8B">
        <w:t xml:space="preserve"> </w:t>
      </w:r>
      <w:proofErr w:type="spellStart"/>
      <w:r w:rsidRPr="00175F8B">
        <w:t>of</w:t>
      </w:r>
      <w:proofErr w:type="spellEnd"/>
      <w:r w:rsidRPr="00175F8B">
        <w:t xml:space="preserve"> </w:t>
      </w:r>
      <w:proofErr w:type="spellStart"/>
      <w:r w:rsidRPr="00175F8B">
        <w:t>MiFID</w:t>
      </w:r>
      <w:proofErr w:type="spellEnd"/>
      <w:r w:rsidRPr="00175F8B">
        <w:t xml:space="preserve"> II/</w:t>
      </w:r>
      <w:proofErr w:type="spellStart"/>
      <w:r w:rsidRPr="00175F8B">
        <w:t>MiFIR</w:t>
      </w:r>
      <w:proofErr w:type="spellEnd"/>
      <w:r w:rsidRPr="00175F8B">
        <w:t xml:space="preserve"> by </w:t>
      </w:r>
      <w:proofErr w:type="spellStart"/>
      <w:r w:rsidRPr="00175F8B">
        <w:t>the</w:t>
      </w:r>
      <w:proofErr w:type="spellEnd"/>
      <w:r w:rsidRPr="00175F8B">
        <w:t xml:space="preserve"> European Commission</w:t>
      </w:r>
    </w:p>
  </w:footnote>
  <w:footnote w:id="4">
    <w:p w14:paraId="2206FB30" w14:textId="06FAF307" w:rsidR="00080633" w:rsidRDefault="00080633">
      <w:pPr>
        <w:pStyle w:val="Fotnotetekst"/>
      </w:pPr>
      <w:r>
        <w:rPr>
          <w:vertAlign w:val="superscript"/>
        </w:rPr>
        <w:footnoteRef/>
      </w:r>
      <w:r w:rsidRPr="00175F8B">
        <w:t>C (2024)2966</w:t>
      </w:r>
    </w:p>
  </w:footnote>
  <w:footnote w:id="5">
    <w:p w14:paraId="0CCBDE7D" w14:textId="644A0179" w:rsidR="00080633" w:rsidRDefault="00080633">
      <w:pPr>
        <w:pStyle w:val="Fotnotetekst"/>
      </w:pPr>
      <w:r>
        <w:rPr>
          <w:vertAlign w:val="superscript"/>
        </w:rPr>
        <w:footnoteRef/>
      </w:r>
      <w:r w:rsidRPr="00175F8B">
        <w:t>Begrepet utførelsesplass er omtalt i NOU 2017: 1 kapittel 6.11.2</w:t>
      </w:r>
    </w:p>
  </w:footnote>
  <w:footnote w:id="6">
    <w:p w14:paraId="51861E65" w14:textId="06276610" w:rsidR="00080633" w:rsidRDefault="00080633">
      <w:pPr>
        <w:pStyle w:val="Fotnotetekst"/>
      </w:pPr>
      <w:r>
        <w:rPr>
          <w:vertAlign w:val="superscript"/>
        </w:rPr>
        <w:footnoteRef/>
      </w:r>
      <w:r w:rsidRPr="00175F8B">
        <w:t>ESMA70-445-38</w:t>
      </w:r>
    </w:p>
  </w:footnote>
  <w:footnote w:id="7">
    <w:p w14:paraId="063105A6" w14:textId="308324E4" w:rsidR="00080633" w:rsidRDefault="00080633">
      <w:pPr>
        <w:pStyle w:val="Fotnotetekst"/>
      </w:pPr>
      <w:r>
        <w:rPr>
          <w:vertAlign w:val="superscript"/>
        </w:rPr>
        <w:footnoteRef/>
      </w:r>
      <w:r w:rsidRPr="00175F8B">
        <w:t xml:space="preserve">Report </w:t>
      </w:r>
      <w:proofErr w:type="spellStart"/>
      <w:r w:rsidRPr="00175F8B">
        <w:t>of</w:t>
      </w:r>
      <w:proofErr w:type="spellEnd"/>
      <w:r w:rsidRPr="00175F8B">
        <w:t xml:space="preserve"> 5 </w:t>
      </w:r>
      <w:proofErr w:type="spellStart"/>
      <w:r w:rsidRPr="00175F8B">
        <w:t>December</w:t>
      </w:r>
      <w:proofErr w:type="spellEnd"/>
      <w:r w:rsidRPr="00175F8B">
        <w:t xml:space="preserve"> 2019 </w:t>
      </w:r>
      <w:proofErr w:type="spellStart"/>
      <w:r w:rsidRPr="00175F8B">
        <w:t>on</w:t>
      </w:r>
      <w:proofErr w:type="spellEnd"/>
      <w:r w:rsidRPr="00175F8B">
        <w:t xml:space="preserve"> </w:t>
      </w:r>
      <w:proofErr w:type="spellStart"/>
      <w:r w:rsidRPr="00175F8B">
        <w:t>the</w:t>
      </w:r>
      <w:proofErr w:type="spellEnd"/>
      <w:r w:rsidRPr="00175F8B">
        <w:t xml:space="preserve"> </w:t>
      </w:r>
      <w:proofErr w:type="spellStart"/>
      <w:r w:rsidRPr="00175F8B">
        <w:t>development</w:t>
      </w:r>
      <w:proofErr w:type="spellEnd"/>
      <w:r w:rsidRPr="00175F8B">
        <w:t xml:space="preserve"> in </w:t>
      </w:r>
      <w:proofErr w:type="spellStart"/>
      <w:r w:rsidRPr="00175F8B">
        <w:t>prices</w:t>
      </w:r>
      <w:proofErr w:type="spellEnd"/>
      <w:r w:rsidRPr="00175F8B">
        <w:t xml:space="preserve"> for pre- and post-trade data and </w:t>
      </w:r>
      <w:proofErr w:type="spellStart"/>
      <w:r w:rsidRPr="00175F8B">
        <w:t>on</w:t>
      </w:r>
      <w:proofErr w:type="spellEnd"/>
      <w:r w:rsidRPr="00175F8B">
        <w:t xml:space="preserve"> </w:t>
      </w:r>
      <w:proofErr w:type="spellStart"/>
      <w:r w:rsidRPr="00175F8B">
        <w:t>the</w:t>
      </w:r>
      <w:proofErr w:type="spellEnd"/>
      <w:r w:rsidRPr="00175F8B">
        <w:t xml:space="preserve"> </w:t>
      </w:r>
      <w:proofErr w:type="spellStart"/>
      <w:r w:rsidRPr="00175F8B">
        <w:t>consolidated</w:t>
      </w:r>
      <w:proofErr w:type="spellEnd"/>
      <w:r w:rsidRPr="00175F8B">
        <w:t xml:space="preserve"> tape for </w:t>
      </w:r>
      <w:proofErr w:type="spellStart"/>
      <w:r w:rsidRPr="00175F8B">
        <w:t>equity</w:t>
      </w:r>
      <w:proofErr w:type="spellEnd"/>
      <w:r w:rsidRPr="00175F8B">
        <w:t xml:space="preserve"> instruments,</w:t>
      </w:r>
    </w:p>
  </w:footnote>
  <w:footnote w:id="8">
    <w:p w14:paraId="5169FA01" w14:textId="322B17B2" w:rsidR="00080633" w:rsidRDefault="00080633">
      <w:pPr>
        <w:pStyle w:val="Fotnotetekst"/>
      </w:pPr>
      <w:r>
        <w:rPr>
          <w:vertAlign w:val="superscript"/>
        </w:rPr>
        <w:footnoteRef/>
      </w:r>
      <w:r w:rsidRPr="00175F8B">
        <w:t>Se Prop. 100 S (2015–2016) punkt 3.3.2.12</w:t>
      </w:r>
    </w:p>
  </w:footnote>
  <w:footnote w:id="9">
    <w:p w14:paraId="0C72681E" w14:textId="3A38CB7A" w:rsidR="00080633" w:rsidRDefault="00080633">
      <w:pPr>
        <w:pStyle w:val="Fotnotetekst"/>
      </w:pPr>
      <w:r>
        <w:rPr>
          <w:vertAlign w:val="superscript"/>
        </w:rPr>
        <w:footnoteRef/>
      </w:r>
      <w:r w:rsidRPr="00175F8B">
        <w:t>Kommisjonsforordning 2017/587 (RTS 1) artikkel 12 og 14</w:t>
      </w:r>
    </w:p>
  </w:footnote>
  <w:footnote w:id="10">
    <w:p w14:paraId="53FA342F" w14:textId="2FE2C98F" w:rsidR="00080633" w:rsidRDefault="00080633">
      <w:pPr>
        <w:pStyle w:val="Fotnotetekst"/>
      </w:pPr>
      <w:r>
        <w:rPr>
          <w:vertAlign w:val="superscript"/>
        </w:rPr>
        <w:footnoteRef/>
      </w:r>
      <w:r w:rsidRPr="00175F8B">
        <w:t>Kommisjonsforordning 2017/587 (RTS 1) artikkel 15 nr. 1 og 2.</w:t>
      </w:r>
    </w:p>
  </w:footnote>
  <w:footnote w:id="11">
    <w:p w14:paraId="57919C44" w14:textId="2A5B3C4E" w:rsidR="00080633" w:rsidRDefault="00080633">
      <w:pPr>
        <w:pStyle w:val="Fotnotetekst"/>
      </w:pPr>
      <w:r>
        <w:rPr>
          <w:vertAlign w:val="superscript"/>
        </w:rPr>
        <w:footnoteRef/>
      </w:r>
      <w:r w:rsidRPr="00175F8B">
        <w:t>Kommisjonsforordning 2017/583 (RTS 2) artikkel 2, jf. vedlegg 1.</w:t>
      </w:r>
    </w:p>
  </w:footnote>
  <w:footnote w:id="12">
    <w:p w14:paraId="06EB5C99" w14:textId="09254F83" w:rsidR="00080633" w:rsidRDefault="00080633">
      <w:pPr>
        <w:pStyle w:val="Fotnotetekst"/>
      </w:pPr>
      <w:r>
        <w:rPr>
          <w:vertAlign w:val="superscript"/>
        </w:rPr>
        <w:footnoteRef/>
      </w:r>
      <w:r w:rsidRPr="00175F8B">
        <w:t>Kommisjonsforordning 2017/583 (RTS 2) artikkel 3 og 4.</w:t>
      </w:r>
    </w:p>
  </w:footnote>
  <w:footnote w:id="13">
    <w:p w14:paraId="174A425D" w14:textId="7767F987" w:rsidR="00080633" w:rsidRDefault="00080633">
      <w:pPr>
        <w:pStyle w:val="Fotnotetekst"/>
      </w:pPr>
      <w:r>
        <w:rPr>
          <w:vertAlign w:val="superscript"/>
        </w:rPr>
        <w:footnoteRef/>
      </w:r>
      <w:r w:rsidRPr="00175F8B">
        <w:t>Kommisjonsforordning 2017/583 (RTS 2) artikkel 5 nr. 2.</w:t>
      </w:r>
    </w:p>
  </w:footnote>
  <w:footnote w:id="14">
    <w:p w14:paraId="451D010F" w14:textId="6ADC9EEF" w:rsidR="00080633" w:rsidRDefault="00080633">
      <w:pPr>
        <w:pStyle w:val="Fotnotetekst"/>
      </w:pPr>
      <w:r>
        <w:rPr>
          <w:vertAlign w:val="superscript"/>
        </w:rPr>
        <w:footnoteRef/>
      </w:r>
      <w:r w:rsidRPr="00175F8B">
        <w:t xml:space="preserve">Kommisjonsforordning 2017/583 (RTS 2) artikkel 6 og 13. </w:t>
      </w:r>
    </w:p>
  </w:footnote>
  <w:footnote w:id="15">
    <w:p w14:paraId="1A84BE48" w14:textId="2CCA306F" w:rsidR="00080633" w:rsidRDefault="00080633">
      <w:pPr>
        <w:pStyle w:val="Fotnotetekst"/>
      </w:pPr>
      <w:r>
        <w:rPr>
          <w:vertAlign w:val="superscript"/>
        </w:rPr>
        <w:footnoteRef/>
      </w:r>
      <w:r w:rsidRPr="00175F8B">
        <w:t>Kommisjonsforordning 2017/583 (RTS 2) artikkel 16.</w:t>
      </w:r>
    </w:p>
  </w:footnote>
  <w:footnote w:id="16">
    <w:p w14:paraId="04616807" w14:textId="63B0E4AB" w:rsidR="00080633" w:rsidRDefault="00080633">
      <w:pPr>
        <w:pStyle w:val="Fotnotetekst"/>
      </w:pPr>
      <w:r>
        <w:rPr>
          <w:vertAlign w:val="superscript"/>
        </w:rPr>
        <w:footnoteRef/>
      </w:r>
      <w:r w:rsidRPr="00175F8B">
        <w:t>Kommisjonsforordning 2017/583 (RTS 2) artikkel 7.</w:t>
      </w:r>
    </w:p>
  </w:footnote>
  <w:footnote w:id="17">
    <w:p w14:paraId="6A6A8986" w14:textId="144165DD" w:rsidR="00080633" w:rsidRDefault="00080633">
      <w:pPr>
        <w:pStyle w:val="Fotnotetekst"/>
      </w:pPr>
      <w:r>
        <w:rPr>
          <w:vertAlign w:val="superscript"/>
        </w:rPr>
        <w:footnoteRef/>
      </w:r>
      <w:r w:rsidRPr="00175F8B">
        <w:t>Kommisjonsforordning 2017/583 (RTS 2) artikkel 7 nr. 4.</w:t>
      </w:r>
    </w:p>
  </w:footnote>
  <w:footnote w:id="18">
    <w:p w14:paraId="46FBF28E" w14:textId="2BED9EC9" w:rsidR="00080633" w:rsidRDefault="00080633">
      <w:pPr>
        <w:pStyle w:val="Fotnotetekst"/>
      </w:pPr>
      <w:r>
        <w:rPr>
          <w:vertAlign w:val="superscript"/>
        </w:rPr>
        <w:footnoteRef/>
      </w:r>
      <w:r w:rsidRPr="00175F8B">
        <w:t>Kommisjonsforordning 2017/583 (RTS 2) artikkel 13.</w:t>
      </w:r>
    </w:p>
  </w:footnote>
  <w:footnote w:id="19">
    <w:p w14:paraId="52FB253C" w14:textId="55F15425" w:rsidR="00080633" w:rsidRDefault="00080633">
      <w:pPr>
        <w:pStyle w:val="Fotnotetekst"/>
      </w:pPr>
      <w:r>
        <w:rPr>
          <w:vertAlign w:val="superscript"/>
        </w:rPr>
        <w:footnoteRef/>
      </w:r>
      <w:r w:rsidRPr="00175F8B">
        <w:t xml:space="preserve">Se Commission </w:t>
      </w:r>
      <w:proofErr w:type="spellStart"/>
      <w:r w:rsidRPr="00175F8B">
        <w:t>Notice</w:t>
      </w:r>
      <w:proofErr w:type="spellEnd"/>
      <w:r w:rsidRPr="00175F8B">
        <w:t xml:space="preserve"> C/2024/2557</w:t>
      </w:r>
    </w:p>
  </w:footnote>
  <w:footnote w:id="20">
    <w:p w14:paraId="5D3D1E5A" w14:textId="2635E217" w:rsidR="00080633" w:rsidRDefault="00080633">
      <w:pPr>
        <w:pStyle w:val="Fotnotetekst"/>
      </w:pPr>
      <w:r>
        <w:rPr>
          <w:vertAlign w:val="superscript"/>
        </w:rPr>
        <w:footnoteRef/>
      </w:r>
      <w:r w:rsidRPr="00175F8B">
        <w:t xml:space="preserve">Final Guidelines </w:t>
      </w:r>
      <w:proofErr w:type="spellStart"/>
      <w:r w:rsidRPr="00175F8B">
        <w:t>on</w:t>
      </w:r>
      <w:proofErr w:type="spellEnd"/>
      <w:r w:rsidRPr="00175F8B">
        <w:t xml:space="preserve"> </w:t>
      </w:r>
      <w:proofErr w:type="spellStart"/>
      <w:r w:rsidRPr="00175F8B">
        <w:t>the</w:t>
      </w:r>
      <w:proofErr w:type="spellEnd"/>
      <w:r w:rsidRPr="00175F8B">
        <w:t xml:space="preserve"> </w:t>
      </w:r>
      <w:proofErr w:type="spellStart"/>
      <w:r w:rsidRPr="00175F8B">
        <w:t>MiFID</w:t>
      </w:r>
      <w:proofErr w:type="spellEnd"/>
      <w:r w:rsidRPr="00175F8B">
        <w:t xml:space="preserve"> II/ </w:t>
      </w:r>
      <w:proofErr w:type="spellStart"/>
      <w:r w:rsidRPr="00175F8B">
        <w:t>MiFIR</w:t>
      </w:r>
      <w:proofErr w:type="spellEnd"/>
      <w:r w:rsidRPr="00175F8B">
        <w:t xml:space="preserve"> </w:t>
      </w:r>
      <w:proofErr w:type="spellStart"/>
      <w:r w:rsidRPr="00175F8B">
        <w:t>obligations</w:t>
      </w:r>
      <w:proofErr w:type="spellEnd"/>
      <w:r w:rsidRPr="00175F8B">
        <w:t xml:space="preserve"> </w:t>
      </w:r>
      <w:proofErr w:type="spellStart"/>
      <w:r w:rsidRPr="00175F8B">
        <w:t>on</w:t>
      </w:r>
      <w:proofErr w:type="spellEnd"/>
      <w:r w:rsidRPr="00175F8B">
        <w:t xml:space="preserve"> </w:t>
      </w:r>
      <w:proofErr w:type="spellStart"/>
      <w:r w:rsidRPr="00175F8B">
        <w:t>market</w:t>
      </w:r>
      <w:proofErr w:type="spellEnd"/>
      <w:r w:rsidRPr="00175F8B">
        <w:t xml:space="preserv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892E" w14:textId="3DB328E7" w:rsidR="00080633" w:rsidRPr="00175F8B" w:rsidRDefault="00080633" w:rsidP="00175F8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2D41" w14:textId="7C2F4D3D" w:rsidR="00080633" w:rsidRPr="00175F8B" w:rsidRDefault="00080633" w:rsidP="00175F8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53CC" w14:textId="77777777" w:rsidR="00080633" w:rsidRPr="00175F8B" w:rsidRDefault="00080633" w:rsidP="00175F8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848178020">
    <w:abstractNumId w:val="6"/>
  </w:num>
  <w:num w:numId="2" w16cid:durableId="1692414924">
    <w:abstractNumId w:val="14"/>
  </w:num>
  <w:num w:numId="3" w16cid:durableId="1228229329">
    <w:abstractNumId w:val="13"/>
  </w:num>
  <w:num w:numId="4" w16cid:durableId="1357806089">
    <w:abstractNumId w:val="11"/>
  </w:num>
  <w:num w:numId="5" w16cid:durableId="1534609839">
    <w:abstractNumId w:val="8"/>
  </w:num>
  <w:num w:numId="6" w16cid:durableId="1265266717">
    <w:abstractNumId w:val="2"/>
  </w:num>
  <w:num w:numId="7" w16cid:durableId="1275866976">
    <w:abstractNumId w:val="3"/>
  </w:num>
  <w:num w:numId="8" w16cid:durableId="1497571733">
    <w:abstractNumId w:val="12"/>
  </w:num>
  <w:num w:numId="9" w16cid:durableId="1283994951">
    <w:abstractNumId w:val="16"/>
  </w:num>
  <w:num w:numId="10" w16cid:durableId="414741893">
    <w:abstractNumId w:val="4"/>
  </w:num>
  <w:num w:numId="11" w16cid:durableId="939534572">
    <w:abstractNumId w:val="5"/>
  </w:num>
  <w:num w:numId="12" w16cid:durableId="473646977">
    <w:abstractNumId w:val="15"/>
  </w:num>
  <w:num w:numId="13" w16cid:durableId="1240941545">
    <w:abstractNumId w:val="18"/>
  </w:num>
  <w:num w:numId="14" w16cid:durableId="2103329624">
    <w:abstractNumId w:val="9"/>
  </w:num>
  <w:num w:numId="15" w16cid:durableId="350297510">
    <w:abstractNumId w:val="10"/>
  </w:num>
  <w:num w:numId="16" w16cid:durableId="508254809">
    <w:abstractNumId w:val="0"/>
  </w:num>
  <w:num w:numId="17" w16cid:durableId="1184710409">
    <w:abstractNumId w:val="17"/>
  </w:num>
  <w:num w:numId="18" w16cid:durableId="339817487">
    <w:abstractNumId w:val="1"/>
  </w:num>
  <w:num w:numId="19" w16cid:durableId="513887746">
    <w:abstractNumId w:val="7"/>
  </w:num>
  <w:num w:numId="20" w16cid:durableId="22216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0846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75F8B"/>
    <w:rsid w:val="00080633"/>
    <w:rsid w:val="00175F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0B720"/>
  <w14:defaultImageDpi w14:val="0"/>
  <w15:docId w15:val="{C46B154E-24F1-4CCC-B89A-7F72F9CE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8B"/>
    <w:pPr>
      <w:spacing w:after="120" w:line="240" w:lineRule="auto"/>
    </w:pPr>
    <w:rPr>
      <w:rFonts w:ascii="Times" w:eastAsia="Batang" w:hAnsi="Times" w:cs="Times New Roman"/>
      <w:kern w:val="0"/>
      <w:sz w:val="24"/>
      <w:szCs w:val="20"/>
    </w:rPr>
  </w:style>
  <w:style w:type="paragraph" w:styleId="Overskrift1">
    <w:name w:val="heading 1"/>
    <w:basedOn w:val="Normal"/>
    <w:next w:val="Normal"/>
    <w:link w:val="Overskrift1Tegn"/>
    <w:qFormat/>
    <w:rsid w:val="00175F8B"/>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175F8B"/>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175F8B"/>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175F8B"/>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175F8B"/>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175F8B"/>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175F8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75F8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75F8B"/>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175F8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5F8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75F8B"/>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175F8B"/>
    <w:pPr>
      <w:numPr>
        <w:numId w:val="2"/>
      </w:numPr>
      <w:spacing w:after="0" w:line="276" w:lineRule="auto"/>
    </w:pPr>
    <w:rPr>
      <w:rFonts w:ascii="Times New Roman" w:eastAsia="Times New Roman" w:hAnsi="Times New Roman"/>
      <w:spacing w:val="4"/>
      <w:szCs w:val="22"/>
    </w:rPr>
  </w:style>
  <w:style w:type="paragraph" w:customStyle="1" w:styleId="alfaliste2">
    <w:name w:val="alfaliste 2"/>
    <w:basedOn w:val="Liste2"/>
    <w:rsid w:val="00175F8B"/>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75F8B"/>
    <w:pPr>
      <w:numPr>
        <w:ilvl w:val="2"/>
        <w:numId w:val="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75F8B"/>
    <w:pPr>
      <w:numPr>
        <w:ilvl w:val="3"/>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75F8B"/>
    <w:pPr>
      <w:numPr>
        <w:ilvl w:val="4"/>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175F8B"/>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75F8B"/>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75F8B"/>
    <w:pPr>
      <w:keepNext/>
      <w:keepLines/>
      <w:spacing w:before="360"/>
    </w:pPr>
    <w:rPr>
      <w:rFonts w:ascii="Times New Roman" w:hAnsi="Times New Roman"/>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75F8B"/>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basedOn w:val="Normal"/>
    <w:next w:val="Normal"/>
    <w:rsid w:val="00175F8B"/>
    <w:rPr>
      <w:i/>
      <w:sz w:val="28"/>
    </w:rPr>
  </w:style>
  <w:style w:type="character" w:customStyle="1" w:styleId="Overskrift2Tegn">
    <w:name w:val="Overskrift 2 Tegn"/>
    <w:link w:val="Overskrift2"/>
    <w:rsid w:val="00175F8B"/>
    <w:rPr>
      <w:rFonts w:ascii="Arial" w:eastAsia="Times New Roman" w:hAnsi="Arial" w:cs="Times New Roman"/>
      <w:b/>
      <w:spacing w:val="4"/>
      <w:kern w:val="0"/>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75F8B"/>
    <w:pPr>
      <w:spacing w:before="60" w:after="0" w:line="276" w:lineRule="auto"/>
      <w:ind w:left="397"/>
    </w:pPr>
    <w:rPr>
      <w:rFonts w:ascii="Times New Roman" w:eastAsia="Times New Roman" w:hAnsi="Times New Roman"/>
      <w:szCs w:val="22"/>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75F8B"/>
    <w:pPr>
      <w:spacing w:after="0" w:line="276" w:lineRule="auto"/>
    </w:pPr>
    <w:rPr>
      <w:rFonts w:ascii="Times New Roman" w:eastAsia="Times New Roman" w:hAnsi="Times New Roman"/>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75F8B"/>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75F8B"/>
  </w:style>
  <w:style w:type="paragraph" w:customStyle="1" w:styleId="Def">
    <w:name w:val="Def"/>
    <w:basedOn w:val="NormalWeb"/>
    <w:qFormat/>
    <w:rsid w:val="00175F8B"/>
  </w:style>
  <w:style w:type="paragraph" w:customStyle="1" w:styleId="del-nr">
    <w:name w:val="del-nr"/>
    <w:basedOn w:val="Normal"/>
    <w:qFormat/>
    <w:rsid w:val="00175F8B"/>
    <w:pPr>
      <w:keepNext/>
      <w:keepLines/>
      <w:spacing w:before="360" w:after="0"/>
      <w:jc w:val="center"/>
    </w:pPr>
    <w:rPr>
      <w:rFonts w:ascii="Times New Roman" w:hAnsi="Times New Roman"/>
      <w:i/>
      <w:sz w:val="48"/>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75F8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75F8B"/>
    <w:rPr>
      <w:i/>
    </w:rPr>
  </w:style>
  <w:style w:type="paragraph" w:customStyle="1" w:styleId="figur-noter">
    <w:name w:val="figur-noter"/>
    <w:basedOn w:val="Normal"/>
    <w:next w:val="Normal"/>
    <w:rsid w:val="00175F8B"/>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75F8B"/>
    <w:pPr>
      <w:spacing w:before="60" w:after="0" w:line="276" w:lineRule="auto"/>
      <w:ind w:left="794"/>
    </w:pPr>
    <w:rPr>
      <w:rFonts w:ascii="Times New Roman" w:eastAsia="Times New Roman" w:hAnsi="Times New Roman"/>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75F8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175F8B"/>
    <w:rPr>
      <w:sz w:val="20"/>
    </w:rPr>
  </w:style>
  <w:style w:type="character" w:customStyle="1" w:styleId="FotnotetekstTegn">
    <w:name w:val="Fotnotetekst Tegn"/>
    <w:link w:val="Fotnotetekst"/>
    <w:rsid w:val="00175F8B"/>
    <w:rPr>
      <w:rFonts w:ascii="Times" w:eastAsia="Batang" w:hAnsi="Times" w:cs="Times New Roman"/>
      <w:kern w:val="0"/>
      <w:sz w:val="20"/>
      <w:szCs w:val="20"/>
    </w:rPr>
  </w:style>
  <w:style w:type="paragraph" w:customStyle="1" w:styleId="friliste">
    <w:name w:val="friliste"/>
    <w:basedOn w:val="Normal"/>
    <w:qFormat/>
    <w:rsid w:val="00175F8B"/>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175F8B"/>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175F8B"/>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175F8B"/>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175F8B"/>
    <w:pPr>
      <w:tabs>
        <w:tab w:val="left" w:pos="1985"/>
      </w:tabs>
      <w:spacing w:after="0" w:line="276" w:lineRule="auto"/>
      <w:ind w:left="1985" w:hanging="397"/>
    </w:pPr>
    <w:rPr>
      <w:rFonts w:ascii="Times New Roman" w:eastAsia="Times New Roman" w:hAnsi="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75F8B"/>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75F8B"/>
    <w:pPr>
      <w:spacing w:before="60" w:after="0" w:line="276" w:lineRule="auto"/>
      <w:ind w:left="1191"/>
    </w:pPr>
    <w:rPr>
      <w:rFonts w:ascii="Times New Roman" w:eastAsia="Times New Roman" w:hAnsi="Times New Roman"/>
      <w:szCs w:val="22"/>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Normal"/>
    <w:qFormat/>
    <w:rsid w:val="00175F8B"/>
    <w:pPr>
      <w:numPr>
        <w:numId w:val="10"/>
      </w:numPr>
      <w:spacing w:after="0" w:line="276" w:lineRule="auto"/>
    </w:pPr>
    <w:rPr>
      <w:rFonts w:ascii="Times New Roman" w:eastAsia="Times New Roman" w:hAnsi="Times New Roman"/>
      <w:spacing w:val="4"/>
      <w:szCs w:val="22"/>
    </w:rPr>
  </w:style>
  <w:style w:type="paragraph" w:customStyle="1" w:styleId="l-alfaliste2">
    <w:name w:val="l-alfaliste 2"/>
    <w:basedOn w:val="alfaliste2"/>
    <w:qFormat/>
    <w:rsid w:val="00175F8B"/>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75F8B"/>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75F8B"/>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75F8B"/>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75F8B"/>
    <w:rPr>
      <w:lang w:val="nn-NO"/>
    </w:rPr>
  </w:style>
  <w:style w:type="paragraph" w:customStyle="1" w:styleId="l-ledd">
    <w:name w:val="l-ledd"/>
    <w:basedOn w:val="Normal"/>
    <w:qFormat/>
    <w:rsid w:val="00175F8B"/>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75F8B"/>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75F8B"/>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75F8B"/>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75F8B"/>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75F8B"/>
  </w:style>
  <w:style w:type="paragraph" w:customStyle="1" w:styleId="l-tit-endr-ledd">
    <w:name w:val="l-tit-endr-ledd"/>
    <w:basedOn w:val="Normal"/>
    <w:qFormat/>
    <w:rsid w:val="00175F8B"/>
    <w:pPr>
      <w:keepNext/>
      <w:spacing w:before="240" w:after="0"/>
    </w:pPr>
    <w:rPr>
      <w:rFonts w:eastAsia="Times New Roman"/>
      <w:noProof/>
      <w:spacing w:val="4"/>
      <w:szCs w:val="22"/>
      <w:lang w:val="nn-NO"/>
    </w:rPr>
  </w:style>
  <w:style w:type="paragraph" w:customStyle="1" w:styleId="l-tit-endr-lov">
    <w:name w:val="l-tit-endr-lov"/>
    <w:basedOn w:val="Normal"/>
    <w:qFormat/>
    <w:rsid w:val="00175F8B"/>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75F8B"/>
    <w:pPr>
      <w:keepNext/>
      <w:spacing w:before="240" w:after="0"/>
    </w:pPr>
    <w:rPr>
      <w:rFonts w:eastAsia="Times New Roman"/>
      <w:noProof/>
      <w:spacing w:val="4"/>
      <w:szCs w:val="22"/>
      <w:lang w:val="nn-NO"/>
    </w:rPr>
  </w:style>
  <w:style w:type="paragraph" w:customStyle="1" w:styleId="l-tit-endr-lovkap">
    <w:name w:val="l-tit-endr-lovkap"/>
    <w:basedOn w:val="Normal"/>
    <w:qFormat/>
    <w:rsid w:val="00175F8B"/>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175F8B"/>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175F8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75F8B"/>
    <w:pPr>
      <w:numPr>
        <w:numId w:val="9"/>
      </w:numPr>
      <w:contextualSpacing/>
    </w:pPr>
    <w:rPr>
      <w:rFonts w:ascii="Times New Roman" w:eastAsia="Times New Roman" w:hAnsi="Times New Roman"/>
      <w:spacing w:val="4"/>
      <w:szCs w:val="22"/>
    </w:rPr>
  </w:style>
  <w:style w:type="paragraph" w:styleId="Liste2">
    <w:name w:val="List 2"/>
    <w:basedOn w:val="Normal"/>
    <w:rsid w:val="00175F8B"/>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175F8B"/>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175F8B"/>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175F8B"/>
    <w:pPr>
      <w:numPr>
        <w:ilvl w:val="4"/>
        <w:numId w:val="9"/>
      </w:numPr>
      <w:spacing w:after="0" w:line="276" w:lineRule="auto"/>
    </w:pPr>
    <w:rPr>
      <w:rFonts w:ascii="Times New Roman" w:eastAsia="Times New Roman" w:hAnsi="Times New Roman"/>
      <w:szCs w:val="22"/>
    </w:rPr>
  </w:style>
  <w:style w:type="paragraph" w:customStyle="1" w:styleId="Listebombe">
    <w:name w:val="Liste bombe"/>
    <w:basedOn w:val="Liste"/>
    <w:qFormat/>
    <w:rsid w:val="00175F8B"/>
    <w:pPr>
      <w:numPr>
        <w:numId w:val="11"/>
      </w:numPr>
    </w:pPr>
  </w:style>
  <w:style w:type="paragraph" w:customStyle="1" w:styleId="Listebombe2">
    <w:name w:val="Liste bombe 2"/>
    <w:basedOn w:val="Liste2"/>
    <w:qFormat/>
    <w:rsid w:val="00175F8B"/>
    <w:pPr>
      <w:numPr>
        <w:ilvl w:val="0"/>
        <w:numId w:val="12"/>
      </w:numPr>
      <w:ind w:left="794" w:hanging="397"/>
    </w:pPr>
  </w:style>
  <w:style w:type="paragraph" w:customStyle="1" w:styleId="Listebombe3">
    <w:name w:val="Liste bombe 3"/>
    <w:basedOn w:val="Liste3"/>
    <w:qFormat/>
    <w:rsid w:val="00175F8B"/>
    <w:pPr>
      <w:numPr>
        <w:ilvl w:val="0"/>
        <w:numId w:val="13"/>
      </w:numPr>
      <w:ind w:left="1191" w:hanging="397"/>
    </w:pPr>
  </w:style>
  <w:style w:type="paragraph" w:customStyle="1" w:styleId="Listebombe4">
    <w:name w:val="Liste bombe 4"/>
    <w:basedOn w:val="Liste4"/>
    <w:qFormat/>
    <w:rsid w:val="00175F8B"/>
    <w:pPr>
      <w:numPr>
        <w:ilvl w:val="0"/>
        <w:numId w:val="14"/>
      </w:numPr>
      <w:ind w:left="1588" w:hanging="397"/>
    </w:pPr>
  </w:style>
  <w:style w:type="paragraph" w:customStyle="1" w:styleId="Listebombe5">
    <w:name w:val="Liste bombe 5"/>
    <w:basedOn w:val="Liste5"/>
    <w:qFormat/>
    <w:rsid w:val="00175F8B"/>
    <w:pPr>
      <w:numPr>
        <w:ilvl w:val="0"/>
        <w:numId w:val="1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175F8B"/>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75F8B"/>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175F8B"/>
    <w:pPr>
      <w:numPr>
        <w:numId w:val="5"/>
      </w:numPr>
      <w:contextualSpacing/>
    </w:pPr>
  </w:style>
  <w:style w:type="paragraph" w:styleId="Nummerertliste2">
    <w:name w:val="List Number 2"/>
    <w:basedOn w:val="Normal"/>
    <w:rsid w:val="00175F8B"/>
    <w:pPr>
      <w:numPr>
        <w:ilvl w:val="1"/>
        <w:numId w:val="5"/>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75F8B"/>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75F8B"/>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75F8B"/>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75F8B"/>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175F8B"/>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175F8B"/>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175F8B"/>
    <w:pPr>
      <w:spacing w:after="0" w:line="276" w:lineRule="auto"/>
      <w:ind w:left="1588"/>
    </w:pPr>
    <w:rPr>
      <w:rFonts w:ascii="Times New Roman" w:eastAsia="Times New Roman" w:hAnsi="Times New Roman"/>
      <w:szCs w:val="22"/>
    </w:rPr>
  </w:style>
  <w:style w:type="paragraph" w:customStyle="1" w:styleId="oppnevnelse">
    <w:name w:val="oppnevnelse"/>
    <w:basedOn w:val="Normal"/>
    <w:next w:val="Normal"/>
    <w:rsid w:val="00175F8B"/>
    <w:pPr>
      <w:jc w:val="center"/>
    </w:pPr>
    <w:rPr>
      <w:b/>
    </w:rPr>
  </w:style>
  <w:style w:type="character" w:customStyle="1" w:styleId="Overskrift1Tegn">
    <w:name w:val="Overskrift 1 Tegn"/>
    <w:link w:val="Overskrift1"/>
    <w:rsid w:val="00175F8B"/>
    <w:rPr>
      <w:rFonts w:ascii="Arial" w:eastAsia="Times New Roman" w:hAnsi="Arial" w:cs="Times New Roman"/>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75F8B"/>
    <w:pPr>
      <w:spacing w:before="60" w:after="0" w:line="276" w:lineRule="auto"/>
      <w:ind w:left="1588"/>
    </w:pPr>
    <w:rPr>
      <w:rFonts w:ascii="Times New Roman" w:eastAsia="Times New Roman" w:hAnsi="Times New Roman"/>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75F8B"/>
    <w:pPr>
      <w:spacing w:before="60" w:after="0" w:line="276" w:lineRule="auto"/>
      <w:ind w:left="1985"/>
    </w:pPr>
    <w:rPr>
      <w:rFonts w:ascii="Times New Roman" w:eastAsia="Times New Roman" w:hAnsi="Times New Roman"/>
      <w:szCs w:val="22"/>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75F8B"/>
    <w:rPr>
      <w:rFonts w:ascii="Arial" w:eastAsia="Times New Roman" w:hAnsi="Arial" w:cs="Times New Roman"/>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75F8B"/>
    <w:rPr>
      <w:rFonts w:ascii="Arial" w:eastAsia="Times New Roman" w:hAnsi="Arial" w:cs="Times New Roman"/>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75F8B"/>
    <w:rPr>
      <w:rFonts w:ascii="Arial" w:eastAsia="Times New Roman" w:hAnsi="Arial" w:cs="Times New Roman"/>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75F8B"/>
    <w:pPr>
      <w:spacing w:line="276" w:lineRule="auto"/>
    </w:pPr>
    <w:rPr>
      <w:rFonts w:ascii="Times New Roman" w:eastAsia="Times New Roman" w:hAnsi="Times New Roman"/>
      <w:spacing w:val="6"/>
      <w:sz w:val="19"/>
      <w:szCs w:val="22"/>
    </w:rPr>
  </w:style>
  <w:style w:type="paragraph" w:customStyle="1" w:styleId="ramme-noter">
    <w:name w:val="ramme-noter"/>
    <w:basedOn w:val="Normal"/>
    <w:next w:val="Normal"/>
    <w:rsid w:val="00175F8B"/>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75F8B"/>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75F8B"/>
    <w:pPr>
      <w:numPr>
        <w:numId w:val="17"/>
      </w:numPr>
      <w:spacing w:after="0"/>
    </w:pPr>
  </w:style>
  <w:style w:type="paragraph" w:customStyle="1" w:styleId="romertallliste2">
    <w:name w:val="romertall liste 2"/>
    <w:basedOn w:val="Normal"/>
    <w:rsid w:val="00175F8B"/>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75F8B"/>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75F8B"/>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75F8B"/>
    <w:pPr>
      <w:numPr>
        <w:ilvl w:val="4"/>
        <w:numId w:val="17"/>
      </w:numPr>
      <w:spacing w:after="0" w:line="276" w:lineRule="auto"/>
    </w:pPr>
    <w:rPr>
      <w:rFonts w:ascii="Times New Roman" w:eastAsia="Times New Roman" w:hAnsi="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175F8B"/>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75F8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75F8B"/>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75F8B"/>
    <w:pPr>
      <w:keepNext/>
      <w:keepLines/>
      <w:numPr>
        <w:ilvl w:val="6"/>
        <w:numId w:val="19"/>
      </w:numPr>
      <w:spacing w:before="240" w:line="276" w:lineRule="auto"/>
    </w:pPr>
    <w:rPr>
      <w:rFonts w:ascii="Arial" w:eastAsia="Times New Roman" w:hAnsi="Arial"/>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175F8B"/>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Web"/>
    <w:qFormat/>
    <w:rsid w:val="00175F8B"/>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75F8B"/>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75F8B"/>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175F8B"/>
    <w:pPr>
      <w:keepNext/>
      <w:keepLines/>
      <w:spacing w:before="360" w:after="240" w:line="276" w:lineRule="auto"/>
      <w:jc w:val="center"/>
    </w:pPr>
    <w:rPr>
      <w:rFonts w:ascii="Arial" w:eastAsia="Times New Roman" w:hAnsi="Arial"/>
      <w:b/>
      <w:spacing w:val="4"/>
      <w:sz w:val="28"/>
      <w:szCs w:val="22"/>
    </w:rPr>
  </w:style>
  <w:style w:type="paragraph" w:customStyle="1" w:styleId="tittel-ramme">
    <w:name w:val="tittel-ramme"/>
    <w:basedOn w:val="Normal"/>
    <w:next w:val="Normal"/>
    <w:rsid w:val="00175F8B"/>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75F8B"/>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175F8B"/>
    <w:rPr>
      <w:rFonts w:ascii="Arial" w:eastAsia="Times New Roman" w:hAnsi="Arial" w:cs="Times New Roman"/>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175F8B"/>
    <w:rPr>
      <w:b w:val="0"/>
    </w:rPr>
  </w:style>
  <w:style w:type="paragraph" w:customStyle="1" w:styleId="Undervedl-tittel">
    <w:name w:val="Undervedl-tittel"/>
    <w:basedOn w:val="Normal"/>
    <w:next w:val="Normal"/>
    <w:rsid w:val="00175F8B"/>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75F8B"/>
    <w:pPr>
      <w:keepNext/>
      <w:spacing w:before="360" w:after="80" w:line="276" w:lineRule="auto"/>
      <w:jc w:val="center"/>
      <w:outlineLvl w:val="0"/>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175F8B"/>
    <w:pPr>
      <w:numPr>
        <w:ilvl w:val="5"/>
        <w:numId w:val="19"/>
      </w:numPr>
      <w:spacing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75F8B"/>
    <w:pPr>
      <w:keepNext/>
      <w:numPr>
        <w:numId w:val="16"/>
      </w:numPr>
      <w:spacing w:line="276" w:lineRule="auto"/>
      <w:ind w:left="357" w:hanging="357"/>
      <w:outlineLvl w:val="0"/>
    </w:pPr>
    <w:rPr>
      <w:rFonts w:ascii="Arial" w:eastAsia="Times New Roman" w:hAnsi="Arial"/>
      <w:b/>
      <w:spacing w:val="4"/>
      <w:szCs w:val="22"/>
      <w:u w:val="single"/>
    </w:rPr>
  </w:style>
  <w:style w:type="paragraph" w:customStyle="1" w:styleId="Kilde">
    <w:name w:val="Kilde"/>
    <w:basedOn w:val="Normal"/>
    <w:next w:val="Normal"/>
    <w:rsid w:val="00175F8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75F8B"/>
    <w:rPr>
      <w:rFonts w:ascii="Times" w:eastAsia="Batang" w:hAnsi="Times" w:cs="Times New Roman"/>
      <w:kern w:val="0"/>
      <w:sz w:val="20"/>
      <w:szCs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semiHidden/>
    <w:rsid w:val="00175F8B"/>
    <w:rPr>
      <w:rFonts w:ascii="Times" w:eastAsia="Batang" w:hAnsi="Times" w:cs="Times New Roman"/>
      <w:kern w:val="0"/>
      <w:sz w:val="24"/>
      <w:szCs w:val="20"/>
    </w:rPr>
  </w:style>
  <w:style w:type="character" w:styleId="Fotnotereferanse">
    <w:name w:val="footnote reference"/>
    <w:rsid w:val="00175F8B"/>
    <w:rPr>
      <w:vertAlign w:val="superscript"/>
    </w:rPr>
  </w:style>
  <w:style w:type="character" w:customStyle="1" w:styleId="gjennomstreket">
    <w:name w:val="gjennomstreket"/>
    <w:uiPriority w:val="1"/>
    <w:rsid w:val="00175F8B"/>
    <w:rPr>
      <w:strike/>
      <w:dstrike w:val="0"/>
    </w:rPr>
  </w:style>
  <w:style w:type="character" w:customStyle="1" w:styleId="halvfet0">
    <w:name w:val="halvfet"/>
    <w:rsid w:val="00175F8B"/>
    <w:rPr>
      <w:b/>
    </w:rPr>
  </w:style>
  <w:style w:type="character" w:styleId="Hyperkobling">
    <w:name w:val="Hyperlink"/>
    <w:uiPriority w:val="99"/>
    <w:unhideWhenUsed/>
    <w:rsid w:val="00175F8B"/>
    <w:rPr>
      <w:color w:val="0000FF"/>
      <w:u w:val="single"/>
    </w:rPr>
  </w:style>
  <w:style w:type="character" w:customStyle="1" w:styleId="kursiv">
    <w:name w:val="kursiv"/>
    <w:rsid w:val="00175F8B"/>
    <w:rPr>
      <w:i/>
    </w:rPr>
  </w:style>
  <w:style w:type="character" w:customStyle="1" w:styleId="l-endring">
    <w:name w:val="l-endring"/>
    <w:rsid w:val="00175F8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75F8B"/>
  </w:style>
  <w:style w:type="character" w:styleId="Plassholdertekst">
    <w:name w:val="Placeholder Text"/>
    <w:uiPriority w:val="99"/>
    <w:rsid w:val="00175F8B"/>
    <w:rPr>
      <w:color w:val="808080"/>
    </w:rPr>
  </w:style>
  <w:style w:type="character" w:customStyle="1" w:styleId="regular">
    <w:name w:val="regular"/>
    <w:uiPriority w:val="1"/>
    <w:qFormat/>
    <w:rsid w:val="00175F8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75F8B"/>
    <w:rPr>
      <w:vertAlign w:val="superscript"/>
    </w:rPr>
  </w:style>
  <w:style w:type="character" w:customStyle="1" w:styleId="skrift-senket">
    <w:name w:val="skrift-senket"/>
    <w:rsid w:val="00175F8B"/>
    <w:rPr>
      <w:vertAlign w:val="subscript"/>
    </w:rPr>
  </w:style>
  <w:style w:type="character" w:customStyle="1" w:styleId="SluttnotetekstTegn">
    <w:name w:val="Sluttnotetekst Tegn"/>
    <w:link w:val="Sluttnotetekst"/>
    <w:uiPriority w:val="99"/>
    <w:semiHidden/>
    <w:rsid w:val="00175F8B"/>
    <w:rPr>
      <w:rFonts w:ascii="Times" w:eastAsia="Batang" w:hAnsi="Times" w:cs="Times New Roman"/>
      <w:kern w:val="0"/>
      <w:sz w:val="20"/>
      <w:szCs w:val="20"/>
    </w:rPr>
  </w:style>
  <w:style w:type="character" w:customStyle="1" w:styleId="sperret0">
    <w:name w:val="sperret"/>
    <w:rsid w:val="00175F8B"/>
    <w:rPr>
      <w:spacing w:val="30"/>
    </w:rPr>
  </w:style>
  <w:style w:type="character" w:customStyle="1" w:styleId="SterktsitatTegn">
    <w:name w:val="Sterkt sitat Tegn"/>
    <w:link w:val="Sterktsitat"/>
    <w:uiPriority w:val="30"/>
    <w:rsid w:val="00175F8B"/>
    <w:rPr>
      <w:rFonts w:ascii="Times" w:eastAsia="Batang" w:hAnsi="Times" w:cs="Times New Roman"/>
      <w:b/>
      <w:bCs/>
      <w:i/>
      <w:iCs/>
      <w:color w:val="4F81BD"/>
      <w:kern w:val="0"/>
      <w:sz w:val="24"/>
      <w:szCs w:val="20"/>
    </w:rPr>
  </w:style>
  <w:style w:type="character" w:customStyle="1" w:styleId="Stikkord">
    <w:name w:val="Stikkord"/>
    <w:qFormat/>
    <w:rsid w:val="00175F8B"/>
    <w:rPr>
      <w:color w:val="0070C0"/>
    </w:rPr>
  </w:style>
  <w:style w:type="character" w:customStyle="1" w:styleId="stikkord0">
    <w:name w:val="stikkord"/>
    <w:uiPriority w:val="99"/>
  </w:style>
  <w:style w:type="character" w:styleId="Sterk">
    <w:name w:val="Strong"/>
    <w:uiPriority w:val="22"/>
    <w:qFormat/>
    <w:rsid w:val="00175F8B"/>
    <w:rPr>
      <w:b/>
      <w:bCs/>
    </w:rPr>
  </w:style>
  <w:style w:type="character" w:customStyle="1" w:styleId="TopptekstTegn">
    <w:name w:val="Topptekst Tegn"/>
    <w:link w:val="Topptekst"/>
    <w:rsid w:val="00175F8B"/>
    <w:rPr>
      <w:rFonts w:ascii="Times" w:eastAsia="Batang" w:hAnsi="Times" w:cs="Times New Roman"/>
      <w:kern w:val="0"/>
      <w:sz w:val="20"/>
      <w:szCs w:val="20"/>
    </w:rPr>
  </w:style>
  <w:style w:type="character" w:customStyle="1" w:styleId="UnderskriftTegn">
    <w:name w:val="Underskrift Tegn"/>
    <w:link w:val="Underskrift"/>
    <w:uiPriority w:val="99"/>
    <w:semiHidden/>
    <w:rsid w:val="00175F8B"/>
    <w:rPr>
      <w:rFonts w:ascii="Times" w:eastAsia="Batang" w:hAnsi="Times" w:cs="Times New Roman"/>
      <w:kern w:val="0"/>
      <w:sz w:val="24"/>
      <w:szCs w:val="20"/>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75F8B"/>
    <w:rPr>
      <w:rFonts w:ascii="Arial" w:eastAsia="Batang" w:hAnsi="Arial" w:cs="Times New Roman"/>
      <w:i/>
      <w:kern w:val="0"/>
      <w:sz w:val="24"/>
      <w:szCs w:val="20"/>
    </w:rPr>
  </w:style>
  <w:style w:type="character" w:customStyle="1" w:styleId="Overskrift7Tegn">
    <w:name w:val="Overskrift 7 Tegn"/>
    <w:link w:val="Overskrift7"/>
    <w:rsid w:val="00175F8B"/>
    <w:rPr>
      <w:rFonts w:ascii="Arial" w:eastAsia="Batang" w:hAnsi="Arial" w:cs="Times New Roman"/>
      <w:kern w:val="0"/>
      <w:sz w:val="24"/>
      <w:szCs w:val="20"/>
    </w:rPr>
  </w:style>
  <w:style w:type="character" w:customStyle="1" w:styleId="Overskrift8Tegn">
    <w:name w:val="Overskrift 8 Tegn"/>
    <w:link w:val="Overskrift8"/>
    <w:rsid w:val="00175F8B"/>
    <w:rPr>
      <w:rFonts w:ascii="Arial" w:eastAsia="Batang" w:hAnsi="Arial" w:cs="Times New Roman"/>
      <w:i/>
      <w:kern w:val="0"/>
      <w:sz w:val="24"/>
      <w:szCs w:val="20"/>
    </w:rPr>
  </w:style>
  <w:style w:type="character" w:customStyle="1" w:styleId="Overskrift9Tegn">
    <w:name w:val="Overskrift 9 Tegn"/>
    <w:link w:val="Overskrift9"/>
    <w:rsid w:val="00175F8B"/>
    <w:rPr>
      <w:rFonts w:ascii="Arial" w:eastAsia="Batang" w:hAnsi="Arial" w:cs="Times New Roman"/>
      <w:i/>
      <w:kern w:val="0"/>
      <w:szCs w:val="20"/>
    </w:rPr>
  </w:style>
  <w:style w:type="table" w:styleId="Tabelltemaer">
    <w:name w:val="Table Theme"/>
    <w:basedOn w:val="Vanligtabell"/>
    <w:uiPriority w:val="99"/>
    <w:semiHidden/>
    <w:unhideWhenUsed/>
    <w:rsid w:val="00175F8B"/>
    <w:pPr>
      <w:spacing w:after="0" w:line="240" w:lineRule="auto"/>
    </w:pPr>
    <w:rPr>
      <w:rFonts w:ascii="Calibri" w:eastAsia="Calibri"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5F8B"/>
    <w:rPr>
      <w:szCs w:val="24"/>
    </w:rPr>
  </w:style>
  <w:style w:type="paragraph" w:styleId="INNH1">
    <w:name w:val="toc 1"/>
    <w:basedOn w:val="Normal"/>
    <w:next w:val="Normal"/>
    <w:uiPriority w:val="39"/>
    <w:rsid w:val="00175F8B"/>
    <w:pPr>
      <w:tabs>
        <w:tab w:val="right" w:leader="dot" w:pos="8306"/>
      </w:tabs>
      <w:spacing w:before="100" w:after="160" w:line="288" w:lineRule="auto"/>
      <w:ind w:right="1134"/>
    </w:pPr>
    <w:rPr>
      <w:rFonts w:ascii="Open Sans" w:eastAsia="Times New Roman" w:hAnsi="Open Sans"/>
      <w:sz w:val="22"/>
      <w:szCs w:val="22"/>
    </w:rPr>
  </w:style>
  <w:style w:type="paragraph" w:styleId="INNH2">
    <w:name w:val="toc 2"/>
    <w:basedOn w:val="Normal"/>
    <w:next w:val="Normal"/>
    <w:uiPriority w:val="39"/>
    <w:rsid w:val="00175F8B"/>
    <w:pPr>
      <w:tabs>
        <w:tab w:val="right" w:leader="dot" w:pos="8306"/>
      </w:tabs>
      <w:spacing w:before="100" w:after="160" w:line="288" w:lineRule="auto"/>
      <w:ind w:left="199" w:right="1134"/>
    </w:pPr>
    <w:rPr>
      <w:rFonts w:ascii="Open Sans" w:eastAsia="Times New Roman" w:hAnsi="Open Sans"/>
      <w:sz w:val="22"/>
      <w:szCs w:val="22"/>
    </w:rPr>
  </w:style>
  <w:style w:type="paragraph" w:styleId="INNH3">
    <w:name w:val="toc 3"/>
    <w:basedOn w:val="Normal"/>
    <w:next w:val="Normal"/>
    <w:uiPriority w:val="39"/>
    <w:rsid w:val="00175F8B"/>
    <w:pPr>
      <w:tabs>
        <w:tab w:val="right" w:leader="dot" w:pos="8306"/>
      </w:tabs>
      <w:spacing w:before="100" w:after="160" w:line="288" w:lineRule="auto"/>
      <w:ind w:left="403" w:right="1134"/>
    </w:pPr>
    <w:rPr>
      <w:rFonts w:ascii="Open Sans" w:eastAsia="Times New Roman" w:hAnsi="Open Sans"/>
      <w:sz w:val="22"/>
      <w:szCs w:val="22"/>
    </w:rPr>
  </w:style>
  <w:style w:type="paragraph" w:styleId="INNH4">
    <w:name w:val="toc 4"/>
    <w:basedOn w:val="Normal"/>
    <w:next w:val="Normal"/>
    <w:semiHidden/>
    <w:rsid w:val="00175F8B"/>
    <w:pPr>
      <w:tabs>
        <w:tab w:val="right" w:pos="8306"/>
      </w:tabs>
      <w:ind w:left="600"/>
    </w:pPr>
  </w:style>
  <w:style w:type="paragraph" w:styleId="INNH5">
    <w:name w:val="toc 5"/>
    <w:basedOn w:val="Normal"/>
    <w:next w:val="Normal"/>
    <w:semiHidden/>
    <w:rsid w:val="00175F8B"/>
    <w:pPr>
      <w:tabs>
        <w:tab w:val="right" w:pos="8306"/>
      </w:tabs>
      <w:ind w:left="800"/>
    </w:pPr>
  </w:style>
  <w:style w:type="paragraph" w:styleId="INNH6">
    <w:name w:val="toc 6"/>
    <w:basedOn w:val="Normal"/>
    <w:next w:val="Normal"/>
    <w:semiHidden/>
    <w:rsid w:val="00175F8B"/>
    <w:pPr>
      <w:tabs>
        <w:tab w:val="right" w:pos="8306"/>
      </w:tabs>
      <w:ind w:left="1000"/>
    </w:pPr>
  </w:style>
  <w:style w:type="paragraph" w:styleId="INNH7">
    <w:name w:val="toc 7"/>
    <w:basedOn w:val="Normal"/>
    <w:next w:val="Normal"/>
    <w:semiHidden/>
    <w:rsid w:val="00175F8B"/>
    <w:pPr>
      <w:tabs>
        <w:tab w:val="right" w:pos="8306"/>
      </w:tabs>
      <w:ind w:left="1200"/>
    </w:pPr>
  </w:style>
  <w:style w:type="paragraph" w:styleId="INNH8">
    <w:name w:val="toc 8"/>
    <w:basedOn w:val="Normal"/>
    <w:next w:val="Normal"/>
    <w:semiHidden/>
    <w:rsid w:val="00175F8B"/>
    <w:pPr>
      <w:tabs>
        <w:tab w:val="right" w:pos="8306"/>
      </w:tabs>
      <w:ind w:left="1400"/>
    </w:pPr>
  </w:style>
  <w:style w:type="paragraph" w:styleId="INNH9">
    <w:name w:val="toc 9"/>
    <w:basedOn w:val="Normal"/>
    <w:next w:val="Normal"/>
    <w:semiHidden/>
    <w:rsid w:val="00175F8B"/>
    <w:pPr>
      <w:tabs>
        <w:tab w:val="right" w:pos="8306"/>
      </w:tabs>
      <w:ind w:left="1600"/>
    </w:pPr>
  </w:style>
  <w:style w:type="paragraph" w:customStyle="1" w:styleId="Nou-nr">
    <w:name w:val="Nou-nr"/>
    <w:basedOn w:val="Normal"/>
    <w:next w:val="Normal"/>
    <w:rsid w:val="00175F8B"/>
    <w:pPr>
      <w:jc w:val="center"/>
    </w:pPr>
    <w:rPr>
      <w:b/>
    </w:rPr>
  </w:style>
  <w:style w:type="paragraph" w:customStyle="1" w:styleId="Nou-tit">
    <w:name w:val="Nou-tit"/>
    <w:basedOn w:val="Normal"/>
    <w:next w:val="Normal"/>
    <w:rsid w:val="00175F8B"/>
    <w:pPr>
      <w:spacing w:before="640" w:after="640" w:line="640" w:lineRule="exact"/>
      <w:jc w:val="center"/>
    </w:pPr>
    <w:rPr>
      <w:b/>
      <w:sz w:val="50"/>
    </w:rPr>
  </w:style>
  <w:style w:type="paragraph" w:customStyle="1" w:styleId="Nou-undertit">
    <w:name w:val="Nou-undertit"/>
    <w:basedOn w:val="Normal"/>
    <w:next w:val="Normal"/>
    <w:rsid w:val="00175F8B"/>
    <w:pPr>
      <w:jc w:val="center"/>
    </w:pPr>
    <w:rPr>
      <w:i/>
      <w:sz w:val="32"/>
    </w:rPr>
  </w:style>
  <w:style w:type="paragraph" w:styleId="Punktliste">
    <w:name w:val="List Bullet"/>
    <w:basedOn w:val="Normal"/>
    <w:rsid w:val="00175F8B"/>
    <w:pPr>
      <w:ind w:left="283" w:hanging="283"/>
    </w:pPr>
  </w:style>
  <w:style w:type="paragraph" w:customStyle="1" w:styleId="tillmatr-tit">
    <w:name w:val="tillmatr-tit"/>
    <w:basedOn w:val="Normal"/>
    <w:next w:val="Normal"/>
    <w:rsid w:val="00175F8B"/>
    <w:rPr>
      <w:i/>
      <w:sz w:val="28"/>
    </w:rPr>
  </w:style>
  <w:style w:type="table" w:customStyle="1" w:styleId="StandardTabell">
    <w:name w:val="StandardTabell"/>
    <w:basedOn w:val="Vanligtabell"/>
    <w:uiPriority w:val="99"/>
    <w:qFormat/>
    <w:rsid w:val="00175F8B"/>
    <w:pPr>
      <w:spacing w:after="0" w:line="240" w:lineRule="auto"/>
    </w:pPr>
    <w:rPr>
      <w:rFonts w:ascii="Times" w:eastAsia="Calibri" w:hAnsi="Times" w:cs="Times New Roman"/>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75F8B"/>
    <w:pPr>
      <w:spacing w:after="0" w:line="240" w:lineRule="auto"/>
    </w:pPr>
    <w:rPr>
      <w:rFonts w:ascii="Times" w:eastAsia="Calibri" w:hAnsi="Times" w:cs="Times New Roman"/>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75F8B"/>
    <w:pPr>
      <w:ind w:left="240" w:hanging="240"/>
    </w:pPr>
  </w:style>
  <w:style w:type="paragraph" w:styleId="Indeks2">
    <w:name w:val="index 2"/>
    <w:basedOn w:val="Normal"/>
    <w:next w:val="Normal"/>
    <w:autoRedefine/>
    <w:uiPriority w:val="99"/>
    <w:semiHidden/>
    <w:unhideWhenUsed/>
    <w:rsid w:val="00175F8B"/>
    <w:pPr>
      <w:ind w:left="480" w:hanging="240"/>
    </w:pPr>
  </w:style>
  <w:style w:type="paragraph" w:styleId="Indeks3">
    <w:name w:val="index 3"/>
    <w:basedOn w:val="Normal"/>
    <w:next w:val="Normal"/>
    <w:autoRedefine/>
    <w:uiPriority w:val="99"/>
    <w:semiHidden/>
    <w:unhideWhenUsed/>
    <w:rsid w:val="00175F8B"/>
    <w:pPr>
      <w:ind w:left="720" w:hanging="240"/>
    </w:pPr>
  </w:style>
  <w:style w:type="paragraph" w:styleId="Indeks4">
    <w:name w:val="index 4"/>
    <w:basedOn w:val="Normal"/>
    <w:next w:val="Normal"/>
    <w:autoRedefine/>
    <w:uiPriority w:val="99"/>
    <w:semiHidden/>
    <w:unhideWhenUsed/>
    <w:rsid w:val="00175F8B"/>
    <w:pPr>
      <w:ind w:left="960" w:hanging="240"/>
    </w:pPr>
  </w:style>
  <w:style w:type="paragraph" w:styleId="Indeks5">
    <w:name w:val="index 5"/>
    <w:basedOn w:val="Normal"/>
    <w:next w:val="Normal"/>
    <w:autoRedefine/>
    <w:uiPriority w:val="99"/>
    <w:semiHidden/>
    <w:unhideWhenUsed/>
    <w:rsid w:val="00175F8B"/>
    <w:pPr>
      <w:ind w:left="1200" w:hanging="240"/>
    </w:pPr>
  </w:style>
  <w:style w:type="paragraph" w:styleId="Indeks6">
    <w:name w:val="index 6"/>
    <w:basedOn w:val="Normal"/>
    <w:next w:val="Normal"/>
    <w:autoRedefine/>
    <w:uiPriority w:val="99"/>
    <w:semiHidden/>
    <w:unhideWhenUsed/>
    <w:rsid w:val="00175F8B"/>
    <w:pPr>
      <w:ind w:left="1440" w:hanging="240"/>
    </w:pPr>
  </w:style>
  <w:style w:type="paragraph" w:styleId="Indeks7">
    <w:name w:val="index 7"/>
    <w:basedOn w:val="Normal"/>
    <w:next w:val="Normal"/>
    <w:autoRedefine/>
    <w:uiPriority w:val="99"/>
    <w:semiHidden/>
    <w:unhideWhenUsed/>
    <w:rsid w:val="00175F8B"/>
    <w:pPr>
      <w:ind w:left="1680" w:hanging="240"/>
    </w:pPr>
  </w:style>
  <w:style w:type="paragraph" w:styleId="Indeks8">
    <w:name w:val="index 8"/>
    <w:basedOn w:val="Normal"/>
    <w:next w:val="Normal"/>
    <w:autoRedefine/>
    <w:uiPriority w:val="99"/>
    <w:semiHidden/>
    <w:unhideWhenUsed/>
    <w:rsid w:val="00175F8B"/>
    <w:pPr>
      <w:ind w:left="1920" w:hanging="240"/>
    </w:pPr>
  </w:style>
  <w:style w:type="paragraph" w:styleId="Indeks9">
    <w:name w:val="index 9"/>
    <w:basedOn w:val="Normal"/>
    <w:next w:val="Normal"/>
    <w:autoRedefine/>
    <w:uiPriority w:val="99"/>
    <w:semiHidden/>
    <w:unhideWhenUsed/>
    <w:rsid w:val="00175F8B"/>
    <w:pPr>
      <w:ind w:left="2160" w:hanging="240"/>
    </w:pPr>
  </w:style>
  <w:style w:type="paragraph" w:styleId="Vanliginnrykk">
    <w:name w:val="Normal Indent"/>
    <w:basedOn w:val="Normal"/>
    <w:uiPriority w:val="99"/>
    <w:semiHidden/>
    <w:unhideWhenUsed/>
    <w:rsid w:val="00175F8B"/>
    <w:pPr>
      <w:ind w:left="708"/>
    </w:pPr>
  </w:style>
  <w:style w:type="paragraph" w:styleId="Merknadstekst">
    <w:name w:val="annotation text"/>
    <w:basedOn w:val="Normal"/>
    <w:link w:val="MerknadstekstTegn"/>
    <w:semiHidden/>
    <w:rsid w:val="00175F8B"/>
    <w:rPr>
      <w:sz w:val="20"/>
    </w:rPr>
  </w:style>
  <w:style w:type="character" w:customStyle="1" w:styleId="MerknadstekstTegn">
    <w:name w:val="Merknadstekst Tegn"/>
    <w:link w:val="Merknadstekst"/>
    <w:semiHidden/>
    <w:rsid w:val="00175F8B"/>
    <w:rPr>
      <w:rFonts w:ascii="Times" w:eastAsia="Batang" w:hAnsi="Times" w:cs="Times New Roman"/>
      <w:kern w:val="0"/>
      <w:sz w:val="20"/>
      <w:szCs w:val="20"/>
    </w:rPr>
  </w:style>
  <w:style w:type="paragraph" w:styleId="Topptekst">
    <w:name w:val="header"/>
    <w:basedOn w:val="Normal"/>
    <w:link w:val="TopptekstTegn"/>
    <w:rsid w:val="00175F8B"/>
    <w:pPr>
      <w:tabs>
        <w:tab w:val="center" w:pos="4536"/>
        <w:tab w:val="right" w:pos="9072"/>
      </w:tabs>
    </w:pPr>
    <w:rPr>
      <w:sz w:val="20"/>
    </w:rPr>
  </w:style>
  <w:style w:type="character" w:customStyle="1" w:styleId="TopptekstTegn1">
    <w:name w:val="Topptekst Tegn1"/>
    <w:basedOn w:val="Standardskriftforavsnitt"/>
    <w:uiPriority w:val="99"/>
    <w:semiHidden/>
    <w:rsid w:val="00175F8B"/>
    <w:rPr>
      <w:rFonts w:ascii="Times" w:eastAsia="Batang" w:hAnsi="Times" w:cs="Times New Roman"/>
      <w:kern w:val="0"/>
      <w:sz w:val="24"/>
      <w:szCs w:val="20"/>
      <w14:ligatures w14:val="none"/>
    </w:rPr>
  </w:style>
  <w:style w:type="paragraph" w:styleId="Bunntekst">
    <w:name w:val="footer"/>
    <w:basedOn w:val="Normal"/>
    <w:link w:val="BunntekstTegn"/>
    <w:rsid w:val="00175F8B"/>
    <w:pPr>
      <w:tabs>
        <w:tab w:val="center" w:pos="4153"/>
        <w:tab w:val="right" w:pos="8306"/>
      </w:tabs>
    </w:pPr>
    <w:rPr>
      <w:sz w:val="20"/>
    </w:rPr>
  </w:style>
  <w:style w:type="character" w:customStyle="1" w:styleId="BunntekstTegn1">
    <w:name w:val="Bunntekst Tegn1"/>
    <w:basedOn w:val="Standardskriftforavsnitt"/>
    <w:uiPriority w:val="99"/>
    <w:semiHidden/>
    <w:rsid w:val="00175F8B"/>
    <w:rPr>
      <w:rFonts w:ascii="Times" w:eastAsia="Batang" w:hAnsi="Times" w:cs="Times New Roman"/>
      <w:kern w:val="0"/>
      <w:sz w:val="24"/>
      <w:szCs w:val="20"/>
      <w14:ligatures w14:val="none"/>
    </w:rPr>
  </w:style>
  <w:style w:type="paragraph" w:styleId="Stikkordregisteroverskrift">
    <w:name w:val="index heading"/>
    <w:basedOn w:val="Normal"/>
    <w:next w:val="Indeks1"/>
    <w:uiPriority w:val="99"/>
    <w:semiHidden/>
    <w:unhideWhenUsed/>
    <w:rsid w:val="00175F8B"/>
    <w:rPr>
      <w:rFonts w:ascii="Cambria" w:eastAsia="Times New Roman" w:hAnsi="Cambria"/>
      <w:b/>
      <w:bCs/>
    </w:rPr>
  </w:style>
  <w:style w:type="paragraph" w:styleId="Bildetekst">
    <w:name w:val="caption"/>
    <w:basedOn w:val="Normal"/>
    <w:next w:val="Normal"/>
    <w:uiPriority w:val="35"/>
    <w:semiHidden/>
    <w:unhideWhenUsed/>
    <w:qFormat/>
    <w:rsid w:val="00175F8B"/>
    <w:pPr>
      <w:spacing w:after="200"/>
    </w:pPr>
    <w:rPr>
      <w:b/>
      <w:bCs/>
      <w:color w:val="4F81BD"/>
      <w:sz w:val="18"/>
      <w:szCs w:val="18"/>
    </w:rPr>
  </w:style>
  <w:style w:type="paragraph" w:styleId="Figurliste">
    <w:name w:val="table of figures"/>
    <w:basedOn w:val="Normal"/>
    <w:next w:val="Normal"/>
    <w:uiPriority w:val="99"/>
    <w:semiHidden/>
    <w:unhideWhenUsed/>
    <w:rsid w:val="00175F8B"/>
  </w:style>
  <w:style w:type="paragraph" w:styleId="Konvoluttadresse">
    <w:name w:val="envelope address"/>
    <w:basedOn w:val="Normal"/>
    <w:uiPriority w:val="99"/>
    <w:semiHidden/>
    <w:unhideWhenUsed/>
    <w:rsid w:val="00175F8B"/>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175F8B"/>
    <w:rPr>
      <w:rFonts w:ascii="Cambria" w:eastAsia="Times New Roman" w:hAnsi="Cambria"/>
      <w:sz w:val="20"/>
    </w:rPr>
  </w:style>
  <w:style w:type="character" w:styleId="Merknadsreferanse">
    <w:name w:val="annotation reference"/>
    <w:semiHidden/>
    <w:rsid w:val="00175F8B"/>
    <w:rPr>
      <w:sz w:val="16"/>
    </w:rPr>
  </w:style>
  <w:style w:type="character" w:styleId="Linjenummer">
    <w:name w:val="line number"/>
    <w:basedOn w:val="Standardskriftforavsnitt"/>
    <w:uiPriority w:val="99"/>
    <w:semiHidden/>
    <w:unhideWhenUsed/>
    <w:rsid w:val="00175F8B"/>
  </w:style>
  <w:style w:type="character" w:styleId="Sluttnotereferanse">
    <w:name w:val="endnote reference"/>
    <w:uiPriority w:val="99"/>
    <w:semiHidden/>
    <w:unhideWhenUsed/>
    <w:rsid w:val="00175F8B"/>
    <w:rPr>
      <w:vertAlign w:val="superscript"/>
    </w:rPr>
  </w:style>
  <w:style w:type="paragraph" w:styleId="Sluttnotetekst">
    <w:name w:val="endnote text"/>
    <w:basedOn w:val="Normal"/>
    <w:link w:val="SluttnotetekstTegn"/>
    <w:uiPriority w:val="99"/>
    <w:semiHidden/>
    <w:unhideWhenUsed/>
    <w:rsid w:val="00175F8B"/>
    <w:rPr>
      <w:sz w:val="20"/>
    </w:rPr>
  </w:style>
  <w:style w:type="character" w:customStyle="1" w:styleId="SluttnotetekstTegn1">
    <w:name w:val="Sluttnotetekst Tegn1"/>
    <w:basedOn w:val="Standardskriftforavsnitt"/>
    <w:uiPriority w:val="99"/>
    <w:semiHidden/>
    <w:rsid w:val="00175F8B"/>
    <w:rPr>
      <w:rFonts w:ascii="Times" w:eastAsia="Batang" w:hAnsi="Times" w:cs="Times New Roman"/>
      <w:kern w:val="0"/>
      <w:sz w:val="20"/>
      <w:szCs w:val="20"/>
      <w14:ligatures w14:val="none"/>
    </w:rPr>
  </w:style>
  <w:style w:type="paragraph" w:styleId="Kildeliste">
    <w:name w:val="table of authorities"/>
    <w:basedOn w:val="Normal"/>
    <w:next w:val="Normal"/>
    <w:uiPriority w:val="99"/>
    <w:semiHidden/>
    <w:unhideWhenUsed/>
    <w:rsid w:val="00175F8B"/>
    <w:pPr>
      <w:ind w:left="240" w:hanging="240"/>
    </w:pPr>
  </w:style>
  <w:style w:type="paragraph" w:styleId="Makrotekst">
    <w:name w:val="macro"/>
    <w:link w:val="MakrotekstTegn"/>
    <w:uiPriority w:val="99"/>
    <w:semiHidden/>
    <w:unhideWhenUsed/>
    <w:rsid w:val="00175F8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rPr>
  </w:style>
  <w:style w:type="character" w:customStyle="1" w:styleId="MakrotekstTegn">
    <w:name w:val="Makrotekst Tegn"/>
    <w:link w:val="Makrotekst"/>
    <w:uiPriority w:val="99"/>
    <w:semiHidden/>
    <w:rsid w:val="00175F8B"/>
    <w:rPr>
      <w:rFonts w:ascii="Consolas" w:eastAsia="Times New Roman" w:hAnsi="Consolas" w:cs="Times New Roman"/>
      <w:kern w:val="0"/>
      <w:sz w:val="20"/>
      <w:szCs w:val="20"/>
    </w:rPr>
  </w:style>
  <w:style w:type="paragraph" w:styleId="Kildelisteoverskrift">
    <w:name w:val="toa heading"/>
    <w:basedOn w:val="Normal"/>
    <w:next w:val="Normal"/>
    <w:uiPriority w:val="99"/>
    <w:semiHidden/>
    <w:unhideWhenUsed/>
    <w:rsid w:val="00175F8B"/>
    <w:pPr>
      <w:spacing w:before="120"/>
    </w:pPr>
    <w:rPr>
      <w:rFonts w:ascii="Cambria" w:eastAsia="Times New Roman" w:hAnsi="Cambria"/>
      <w:b/>
      <w:bCs/>
      <w:szCs w:val="24"/>
    </w:rPr>
  </w:style>
  <w:style w:type="paragraph" w:styleId="Punktliste2">
    <w:name w:val="List Bullet 2"/>
    <w:basedOn w:val="Normal"/>
    <w:rsid w:val="00175F8B"/>
    <w:pPr>
      <w:spacing w:after="0"/>
      <w:ind w:left="568" w:hanging="284"/>
    </w:pPr>
  </w:style>
  <w:style w:type="paragraph" w:styleId="Punktliste3">
    <w:name w:val="List Bullet 3"/>
    <w:basedOn w:val="Normal"/>
    <w:rsid w:val="00175F8B"/>
    <w:pPr>
      <w:spacing w:after="0"/>
      <w:ind w:left="851" w:hanging="284"/>
    </w:pPr>
  </w:style>
  <w:style w:type="paragraph" w:styleId="Punktliste4">
    <w:name w:val="List Bullet 4"/>
    <w:basedOn w:val="Normal"/>
    <w:rsid w:val="00175F8B"/>
    <w:pPr>
      <w:spacing w:after="0"/>
      <w:ind w:left="1135" w:hanging="284"/>
    </w:pPr>
  </w:style>
  <w:style w:type="paragraph" w:styleId="Punktliste5">
    <w:name w:val="List Bullet 5"/>
    <w:basedOn w:val="Normal"/>
    <w:rsid w:val="00175F8B"/>
    <w:pPr>
      <w:spacing w:after="0"/>
      <w:ind w:left="1418" w:hanging="284"/>
    </w:pPr>
  </w:style>
  <w:style w:type="paragraph" w:styleId="Tittel">
    <w:name w:val="Title"/>
    <w:basedOn w:val="Normal"/>
    <w:next w:val="Normal"/>
    <w:link w:val="TittelTegn"/>
    <w:uiPriority w:val="10"/>
    <w:qFormat/>
    <w:rsid w:val="00175F8B"/>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175F8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5F8B"/>
    <w:pPr>
      <w:ind w:left="4252"/>
    </w:pPr>
  </w:style>
  <w:style w:type="character" w:customStyle="1" w:styleId="HilsenTegn">
    <w:name w:val="Hilsen Tegn"/>
    <w:link w:val="Hilsen"/>
    <w:uiPriority w:val="99"/>
    <w:semiHidden/>
    <w:rsid w:val="00175F8B"/>
    <w:rPr>
      <w:rFonts w:ascii="Times" w:eastAsia="Batang" w:hAnsi="Times" w:cs="Times New Roman"/>
      <w:kern w:val="0"/>
      <w:sz w:val="24"/>
      <w:szCs w:val="20"/>
    </w:rPr>
  </w:style>
  <w:style w:type="paragraph" w:styleId="Underskrift">
    <w:name w:val="Signature"/>
    <w:basedOn w:val="Normal"/>
    <w:link w:val="UnderskriftTegn"/>
    <w:uiPriority w:val="99"/>
    <w:semiHidden/>
    <w:unhideWhenUsed/>
    <w:rsid w:val="00175F8B"/>
    <w:pPr>
      <w:ind w:left="4252"/>
    </w:pPr>
  </w:style>
  <w:style w:type="character" w:customStyle="1" w:styleId="UnderskriftTegn1">
    <w:name w:val="Underskrift Tegn1"/>
    <w:basedOn w:val="Standardskriftforavsnitt"/>
    <w:uiPriority w:val="99"/>
    <w:semiHidden/>
    <w:rsid w:val="00175F8B"/>
    <w:rPr>
      <w:rFonts w:ascii="Times" w:eastAsia="Batang" w:hAnsi="Times" w:cs="Times New Roman"/>
      <w:kern w:val="0"/>
      <w:sz w:val="24"/>
      <w:szCs w:val="20"/>
      <w14:ligatures w14:val="none"/>
    </w:rPr>
  </w:style>
  <w:style w:type="paragraph" w:styleId="Brdtekst">
    <w:name w:val="Body Text"/>
    <w:basedOn w:val="Normal"/>
    <w:link w:val="BrdtekstTegn"/>
    <w:uiPriority w:val="99"/>
    <w:semiHidden/>
    <w:unhideWhenUsed/>
    <w:rsid w:val="00175F8B"/>
  </w:style>
  <w:style w:type="character" w:customStyle="1" w:styleId="BrdtekstTegn">
    <w:name w:val="Brødtekst Tegn"/>
    <w:link w:val="Brdtekst"/>
    <w:uiPriority w:val="99"/>
    <w:semiHidden/>
    <w:rsid w:val="00175F8B"/>
    <w:rPr>
      <w:rFonts w:ascii="Times" w:eastAsia="Batang" w:hAnsi="Times" w:cs="Times New Roman"/>
      <w:kern w:val="0"/>
      <w:sz w:val="24"/>
      <w:szCs w:val="20"/>
    </w:rPr>
  </w:style>
  <w:style w:type="paragraph" w:styleId="Brdtekstinnrykk">
    <w:name w:val="Body Text Indent"/>
    <w:basedOn w:val="Normal"/>
    <w:link w:val="BrdtekstinnrykkTegn"/>
    <w:uiPriority w:val="99"/>
    <w:semiHidden/>
    <w:unhideWhenUsed/>
    <w:rsid w:val="00175F8B"/>
    <w:pPr>
      <w:ind w:left="283"/>
    </w:pPr>
  </w:style>
  <w:style w:type="character" w:customStyle="1" w:styleId="BrdtekstinnrykkTegn">
    <w:name w:val="Brødtekstinnrykk Tegn"/>
    <w:link w:val="Brdtekstinnrykk"/>
    <w:uiPriority w:val="99"/>
    <w:semiHidden/>
    <w:rsid w:val="00175F8B"/>
    <w:rPr>
      <w:rFonts w:ascii="Times" w:eastAsia="Batang" w:hAnsi="Times" w:cs="Times New Roman"/>
      <w:kern w:val="0"/>
      <w:sz w:val="24"/>
      <w:szCs w:val="20"/>
    </w:rPr>
  </w:style>
  <w:style w:type="paragraph" w:styleId="Liste-forts">
    <w:name w:val="List Continue"/>
    <w:basedOn w:val="Normal"/>
    <w:uiPriority w:val="99"/>
    <w:semiHidden/>
    <w:unhideWhenUsed/>
    <w:rsid w:val="00175F8B"/>
    <w:pPr>
      <w:ind w:left="283"/>
      <w:contextualSpacing/>
    </w:pPr>
  </w:style>
  <w:style w:type="paragraph" w:styleId="Liste-forts2">
    <w:name w:val="List Continue 2"/>
    <w:basedOn w:val="Normal"/>
    <w:uiPriority w:val="99"/>
    <w:semiHidden/>
    <w:unhideWhenUsed/>
    <w:rsid w:val="00175F8B"/>
    <w:pPr>
      <w:ind w:left="566"/>
      <w:contextualSpacing/>
    </w:pPr>
  </w:style>
  <w:style w:type="paragraph" w:styleId="Liste-forts3">
    <w:name w:val="List Continue 3"/>
    <w:basedOn w:val="Normal"/>
    <w:uiPriority w:val="99"/>
    <w:semiHidden/>
    <w:unhideWhenUsed/>
    <w:rsid w:val="00175F8B"/>
    <w:pPr>
      <w:ind w:left="849"/>
      <w:contextualSpacing/>
    </w:pPr>
  </w:style>
  <w:style w:type="paragraph" w:styleId="Liste-forts4">
    <w:name w:val="List Continue 4"/>
    <w:basedOn w:val="Normal"/>
    <w:uiPriority w:val="99"/>
    <w:semiHidden/>
    <w:unhideWhenUsed/>
    <w:rsid w:val="00175F8B"/>
    <w:pPr>
      <w:ind w:left="1132"/>
      <w:contextualSpacing/>
    </w:pPr>
  </w:style>
  <w:style w:type="paragraph" w:styleId="Liste-forts5">
    <w:name w:val="List Continue 5"/>
    <w:basedOn w:val="Normal"/>
    <w:uiPriority w:val="99"/>
    <w:semiHidden/>
    <w:unhideWhenUsed/>
    <w:rsid w:val="00175F8B"/>
    <w:pPr>
      <w:ind w:left="1415"/>
      <w:contextualSpacing/>
    </w:pPr>
  </w:style>
  <w:style w:type="paragraph" w:styleId="Meldingshode">
    <w:name w:val="Message Header"/>
    <w:basedOn w:val="Normal"/>
    <w:link w:val="MeldingshodeTegn"/>
    <w:uiPriority w:val="99"/>
    <w:semiHidden/>
    <w:unhideWhenUsed/>
    <w:rsid w:val="00175F8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175F8B"/>
    <w:rPr>
      <w:rFonts w:ascii="Cambria" w:eastAsia="Times New Roman" w:hAnsi="Cambria" w:cs="Times New Roman"/>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75F8B"/>
  </w:style>
  <w:style w:type="character" w:customStyle="1" w:styleId="InnledendehilsenTegn">
    <w:name w:val="Innledende hilsen Tegn"/>
    <w:link w:val="Innledendehilsen"/>
    <w:uiPriority w:val="99"/>
    <w:semiHidden/>
    <w:rsid w:val="00175F8B"/>
    <w:rPr>
      <w:rFonts w:ascii="Times" w:eastAsia="Batang" w:hAnsi="Times" w:cs="Times New Roman"/>
      <w:kern w:val="0"/>
      <w:sz w:val="24"/>
      <w:szCs w:val="20"/>
    </w:rPr>
  </w:style>
  <w:style w:type="paragraph" w:styleId="Dato0">
    <w:name w:val="Date"/>
    <w:basedOn w:val="Normal"/>
    <w:next w:val="Normal"/>
    <w:link w:val="DatoTegn"/>
    <w:uiPriority w:val="99"/>
    <w:semiHidden/>
    <w:unhideWhenUsed/>
    <w:rsid w:val="00175F8B"/>
  </w:style>
  <w:style w:type="character" w:customStyle="1" w:styleId="DatoTegn1">
    <w:name w:val="Dato Tegn1"/>
    <w:basedOn w:val="Standardskriftforavsnitt"/>
    <w:uiPriority w:val="99"/>
    <w:semiHidden/>
    <w:rsid w:val="00175F8B"/>
    <w:rPr>
      <w:rFonts w:ascii="Times" w:eastAsia="Batang" w:hAnsi="Times" w:cs="Times New Roman"/>
      <w:kern w:val="0"/>
      <w:sz w:val="24"/>
      <w:szCs w:val="20"/>
      <w14:ligatures w14:val="none"/>
    </w:rPr>
  </w:style>
  <w:style w:type="paragraph" w:styleId="Brdtekst-frsteinnrykk">
    <w:name w:val="Body Text First Indent"/>
    <w:basedOn w:val="Brdtekst"/>
    <w:link w:val="Brdtekst-frsteinnrykkTegn"/>
    <w:uiPriority w:val="99"/>
    <w:semiHidden/>
    <w:unhideWhenUsed/>
    <w:rsid w:val="00175F8B"/>
    <w:pPr>
      <w:spacing w:after="0"/>
      <w:ind w:firstLine="360"/>
    </w:pPr>
  </w:style>
  <w:style w:type="character" w:customStyle="1" w:styleId="Brdtekst-frsteinnrykkTegn">
    <w:name w:val="Brødtekst - første innrykk Tegn"/>
    <w:link w:val="Brdtekst-frsteinnrykk"/>
    <w:uiPriority w:val="99"/>
    <w:semiHidden/>
    <w:rsid w:val="00175F8B"/>
    <w:rPr>
      <w:rFonts w:ascii="Times" w:eastAsia="Batang" w:hAnsi="Times" w:cs="Times New Roman"/>
      <w:kern w:val="0"/>
      <w:sz w:val="24"/>
      <w:szCs w:val="20"/>
    </w:rPr>
  </w:style>
  <w:style w:type="paragraph" w:styleId="Brdtekst-frsteinnrykk2">
    <w:name w:val="Body Text First Indent 2"/>
    <w:basedOn w:val="Brdtekstinnrykk"/>
    <w:link w:val="Brdtekst-frsteinnrykk2Tegn"/>
    <w:uiPriority w:val="99"/>
    <w:semiHidden/>
    <w:unhideWhenUsed/>
    <w:rsid w:val="00175F8B"/>
    <w:pPr>
      <w:spacing w:after="0"/>
      <w:ind w:left="360" w:firstLine="360"/>
    </w:pPr>
  </w:style>
  <w:style w:type="character" w:customStyle="1" w:styleId="Brdtekst-frsteinnrykk2Tegn">
    <w:name w:val="Brødtekst - første innrykk 2 Tegn"/>
    <w:link w:val="Brdtekst-frsteinnrykk2"/>
    <w:uiPriority w:val="99"/>
    <w:semiHidden/>
    <w:rsid w:val="00175F8B"/>
    <w:rPr>
      <w:rFonts w:ascii="Times" w:eastAsia="Batang" w:hAnsi="Times" w:cs="Times New Roman"/>
      <w:kern w:val="0"/>
      <w:sz w:val="24"/>
      <w:szCs w:val="20"/>
    </w:rPr>
  </w:style>
  <w:style w:type="paragraph" w:styleId="Notatoverskrift">
    <w:name w:val="Note Heading"/>
    <w:basedOn w:val="Normal"/>
    <w:next w:val="Normal"/>
    <w:link w:val="NotatoverskriftTegn"/>
    <w:uiPriority w:val="99"/>
    <w:semiHidden/>
    <w:unhideWhenUsed/>
    <w:rsid w:val="00175F8B"/>
  </w:style>
  <w:style w:type="character" w:customStyle="1" w:styleId="NotatoverskriftTegn">
    <w:name w:val="Notatoverskrift Tegn"/>
    <w:link w:val="Notatoverskrift"/>
    <w:uiPriority w:val="99"/>
    <w:semiHidden/>
    <w:rsid w:val="00175F8B"/>
    <w:rPr>
      <w:rFonts w:ascii="Times" w:eastAsia="Batang" w:hAnsi="Times" w:cs="Times New Roman"/>
      <w:kern w:val="0"/>
      <w:sz w:val="24"/>
      <w:szCs w:val="20"/>
    </w:rPr>
  </w:style>
  <w:style w:type="paragraph" w:styleId="Brdtekst2">
    <w:name w:val="Body Text 2"/>
    <w:basedOn w:val="Normal"/>
    <w:link w:val="Brdtekst2Tegn"/>
    <w:uiPriority w:val="99"/>
    <w:semiHidden/>
    <w:unhideWhenUsed/>
    <w:rsid w:val="00175F8B"/>
    <w:pPr>
      <w:spacing w:line="480" w:lineRule="auto"/>
    </w:pPr>
  </w:style>
  <w:style w:type="character" w:customStyle="1" w:styleId="Brdtekst2Tegn">
    <w:name w:val="Brødtekst 2 Tegn"/>
    <w:link w:val="Brdtekst2"/>
    <w:uiPriority w:val="99"/>
    <w:semiHidden/>
    <w:rsid w:val="00175F8B"/>
    <w:rPr>
      <w:rFonts w:ascii="Times" w:eastAsia="Batang" w:hAnsi="Times" w:cs="Times New Roman"/>
      <w:kern w:val="0"/>
      <w:sz w:val="24"/>
      <w:szCs w:val="20"/>
    </w:rPr>
  </w:style>
  <w:style w:type="paragraph" w:styleId="Brdtekst3">
    <w:name w:val="Body Text 3"/>
    <w:basedOn w:val="Normal"/>
    <w:link w:val="Brdtekst3Tegn"/>
    <w:uiPriority w:val="99"/>
    <w:semiHidden/>
    <w:unhideWhenUsed/>
    <w:rsid w:val="00175F8B"/>
    <w:rPr>
      <w:sz w:val="16"/>
      <w:szCs w:val="16"/>
    </w:rPr>
  </w:style>
  <w:style w:type="character" w:customStyle="1" w:styleId="Brdtekst3Tegn">
    <w:name w:val="Brødtekst 3 Tegn"/>
    <w:link w:val="Brdtekst3"/>
    <w:uiPriority w:val="99"/>
    <w:semiHidden/>
    <w:rsid w:val="00175F8B"/>
    <w:rPr>
      <w:rFonts w:ascii="Times" w:eastAsia="Batang" w:hAnsi="Times" w:cs="Times New Roman"/>
      <w:kern w:val="0"/>
      <w:sz w:val="16"/>
      <w:szCs w:val="16"/>
    </w:rPr>
  </w:style>
  <w:style w:type="paragraph" w:styleId="Brdtekstinnrykk2">
    <w:name w:val="Body Text Indent 2"/>
    <w:basedOn w:val="Normal"/>
    <w:link w:val="Brdtekstinnrykk2Tegn"/>
    <w:uiPriority w:val="99"/>
    <w:semiHidden/>
    <w:unhideWhenUsed/>
    <w:rsid w:val="00175F8B"/>
    <w:pPr>
      <w:spacing w:line="480" w:lineRule="auto"/>
      <w:ind w:left="283"/>
    </w:pPr>
  </w:style>
  <w:style w:type="character" w:customStyle="1" w:styleId="Brdtekstinnrykk2Tegn">
    <w:name w:val="Brødtekstinnrykk 2 Tegn"/>
    <w:link w:val="Brdtekstinnrykk2"/>
    <w:uiPriority w:val="99"/>
    <w:semiHidden/>
    <w:rsid w:val="00175F8B"/>
    <w:rPr>
      <w:rFonts w:ascii="Times" w:eastAsia="Batang" w:hAnsi="Times" w:cs="Times New Roman"/>
      <w:kern w:val="0"/>
      <w:sz w:val="24"/>
      <w:szCs w:val="20"/>
    </w:rPr>
  </w:style>
  <w:style w:type="paragraph" w:styleId="Brdtekstinnrykk3">
    <w:name w:val="Body Text Indent 3"/>
    <w:basedOn w:val="Normal"/>
    <w:link w:val="Brdtekstinnrykk3Tegn"/>
    <w:uiPriority w:val="99"/>
    <w:semiHidden/>
    <w:unhideWhenUsed/>
    <w:rsid w:val="00175F8B"/>
    <w:pPr>
      <w:ind w:left="283"/>
    </w:pPr>
    <w:rPr>
      <w:sz w:val="16"/>
      <w:szCs w:val="16"/>
    </w:rPr>
  </w:style>
  <w:style w:type="character" w:customStyle="1" w:styleId="Brdtekstinnrykk3Tegn">
    <w:name w:val="Brødtekstinnrykk 3 Tegn"/>
    <w:link w:val="Brdtekstinnrykk3"/>
    <w:uiPriority w:val="99"/>
    <w:semiHidden/>
    <w:rsid w:val="00175F8B"/>
    <w:rPr>
      <w:rFonts w:ascii="Times" w:eastAsia="Batang" w:hAnsi="Times" w:cs="Times New Roman"/>
      <w:kern w:val="0"/>
      <w:sz w:val="16"/>
      <w:szCs w:val="16"/>
    </w:rPr>
  </w:style>
  <w:style w:type="paragraph" w:styleId="Blokktekst">
    <w:name w:val="Block Text"/>
    <w:basedOn w:val="Normal"/>
    <w:uiPriority w:val="99"/>
    <w:semiHidden/>
    <w:unhideWhenUsed/>
    <w:rsid w:val="00175F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175F8B"/>
    <w:rPr>
      <w:color w:val="800080"/>
      <w:u w:val="single"/>
    </w:rPr>
  </w:style>
  <w:style w:type="character" w:styleId="Utheving">
    <w:name w:val="Emphasis"/>
    <w:uiPriority w:val="20"/>
    <w:qFormat/>
    <w:rsid w:val="00175F8B"/>
    <w:rPr>
      <w:i/>
      <w:iCs/>
    </w:rPr>
  </w:style>
  <w:style w:type="paragraph" w:styleId="Dokumentkart">
    <w:name w:val="Document Map"/>
    <w:basedOn w:val="Normal"/>
    <w:link w:val="DokumentkartTegn"/>
    <w:uiPriority w:val="99"/>
    <w:semiHidden/>
    <w:unhideWhenUsed/>
    <w:rsid w:val="00175F8B"/>
    <w:rPr>
      <w:rFonts w:ascii="Tahoma" w:hAnsi="Tahoma" w:cs="Tahoma"/>
      <w:sz w:val="16"/>
      <w:szCs w:val="16"/>
    </w:rPr>
  </w:style>
  <w:style w:type="character" w:customStyle="1" w:styleId="DokumentkartTegn">
    <w:name w:val="Dokumentkart Tegn"/>
    <w:link w:val="Dokumentkart"/>
    <w:uiPriority w:val="99"/>
    <w:semiHidden/>
    <w:rsid w:val="00175F8B"/>
    <w:rPr>
      <w:rFonts w:ascii="Tahoma" w:eastAsia="Batang" w:hAnsi="Tahoma" w:cs="Tahoma"/>
      <w:kern w:val="0"/>
      <w:sz w:val="16"/>
      <w:szCs w:val="16"/>
    </w:rPr>
  </w:style>
  <w:style w:type="paragraph" w:styleId="Rentekst">
    <w:name w:val="Plain Text"/>
    <w:basedOn w:val="Normal"/>
    <w:link w:val="RentekstTegn"/>
    <w:uiPriority w:val="99"/>
    <w:semiHidden/>
    <w:unhideWhenUsed/>
    <w:rsid w:val="00175F8B"/>
    <w:rPr>
      <w:rFonts w:ascii="Consolas" w:hAnsi="Consolas"/>
      <w:sz w:val="21"/>
      <w:szCs w:val="21"/>
    </w:rPr>
  </w:style>
  <w:style w:type="character" w:customStyle="1" w:styleId="RentekstTegn">
    <w:name w:val="Ren tekst Tegn"/>
    <w:link w:val="Rentekst"/>
    <w:uiPriority w:val="99"/>
    <w:semiHidden/>
    <w:rsid w:val="00175F8B"/>
    <w:rPr>
      <w:rFonts w:ascii="Consolas" w:eastAsia="Batang" w:hAnsi="Consolas" w:cs="Times New Roman"/>
      <w:kern w:val="0"/>
      <w:sz w:val="21"/>
      <w:szCs w:val="21"/>
    </w:rPr>
  </w:style>
  <w:style w:type="paragraph" w:styleId="E-postsignatur">
    <w:name w:val="E-mail Signature"/>
    <w:basedOn w:val="Normal"/>
    <w:link w:val="E-postsignaturTegn"/>
    <w:uiPriority w:val="99"/>
    <w:semiHidden/>
    <w:unhideWhenUsed/>
    <w:rsid w:val="00175F8B"/>
  </w:style>
  <w:style w:type="character" w:customStyle="1" w:styleId="E-postsignaturTegn">
    <w:name w:val="E-postsignatur Tegn"/>
    <w:link w:val="E-postsignatur"/>
    <w:uiPriority w:val="99"/>
    <w:semiHidden/>
    <w:rsid w:val="00175F8B"/>
    <w:rPr>
      <w:rFonts w:ascii="Times" w:eastAsia="Batang" w:hAnsi="Times" w:cs="Times New Roman"/>
      <w:kern w:val="0"/>
      <w:sz w:val="24"/>
      <w:szCs w:val="20"/>
    </w:rPr>
  </w:style>
  <w:style w:type="character" w:styleId="HTML-akronym">
    <w:name w:val="HTML Acronym"/>
    <w:basedOn w:val="Standardskriftforavsnitt"/>
    <w:uiPriority w:val="99"/>
    <w:semiHidden/>
    <w:unhideWhenUsed/>
    <w:rsid w:val="00175F8B"/>
  </w:style>
  <w:style w:type="paragraph" w:styleId="HTML-adresse">
    <w:name w:val="HTML Address"/>
    <w:basedOn w:val="Normal"/>
    <w:link w:val="HTML-adresseTegn"/>
    <w:uiPriority w:val="99"/>
    <w:semiHidden/>
    <w:unhideWhenUsed/>
    <w:rsid w:val="00175F8B"/>
    <w:rPr>
      <w:i/>
      <w:iCs/>
    </w:rPr>
  </w:style>
  <w:style w:type="character" w:customStyle="1" w:styleId="HTML-adresseTegn">
    <w:name w:val="HTML-adresse Tegn"/>
    <w:link w:val="HTML-adresse"/>
    <w:uiPriority w:val="99"/>
    <w:semiHidden/>
    <w:rsid w:val="00175F8B"/>
    <w:rPr>
      <w:rFonts w:ascii="Times" w:eastAsia="Batang" w:hAnsi="Times" w:cs="Times New Roman"/>
      <w:i/>
      <w:iCs/>
      <w:kern w:val="0"/>
      <w:sz w:val="24"/>
      <w:szCs w:val="20"/>
    </w:rPr>
  </w:style>
  <w:style w:type="character" w:styleId="HTML-sitat">
    <w:name w:val="HTML Cite"/>
    <w:uiPriority w:val="99"/>
    <w:semiHidden/>
    <w:unhideWhenUsed/>
    <w:rsid w:val="00175F8B"/>
    <w:rPr>
      <w:i/>
      <w:iCs/>
    </w:rPr>
  </w:style>
  <w:style w:type="character" w:styleId="HTML-kode">
    <w:name w:val="HTML Code"/>
    <w:uiPriority w:val="99"/>
    <w:semiHidden/>
    <w:unhideWhenUsed/>
    <w:rsid w:val="00175F8B"/>
    <w:rPr>
      <w:rFonts w:ascii="Consolas" w:hAnsi="Consolas"/>
      <w:sz w:val="20"/>
      <w:szCs w:val="20"/>
    </w:rPr>
  </w:style>
  <w:style w:type="character" w:styleId="HTML-definisjon">
    <w:name w:val="HTML Definition"/>
    <w:uiPriority w:val="99"/>
    <w:semiHidden/>
    <w:unhideWhenUsed/>
    <w:rsid w:val="00175F8B"/>
    <w:rPr>
      <w:i/>
      <w:iCs/>
    </w:rPr>
  </w:style>
  <w:style w:type="character" w:styleId="HTML-tastatur">
    <w:name w:val="HTML Keyboard"/>
    <w:uiPriority w:val="99"/>
    <w:semiHidden/>
    <w:unhideWhenUsed/>
    <w:rsid w:val="00175F8B"/>
    <w:rPr>
      <w:rFonts w:ascii="Consolas" w:hAnsi="Consolas"/>
      <w:sz w:val="20"/>
      <w:szCs w:val="20"/>
    </w:rPr>
  </w:style>
  <w:style w:type="paragraph" w:styleId="HTML-forhndsformatert">
    <w:name w:val="HTML Preformatted"/>
    <w:basedOn w:val="Normal"/>
    <w:link w:val="HTML-forhndsformatertTegn"/>
    <w:uiPriority w:val="99"/>
    <w:semiHidden/>
    <w:unhideWhenUsed/>
    <w:rsid w:val="00175F8B"/>
    <w:rPr>
      <w:rFonts w:ascii="Consolas" w:hAnsi="Consolas"/>
      <w:sz w:val="20"/>
    </w:rPr>
  </w:style>
  <w:style w:type="character" w:customStyle="1" w:styleId="HTML-forhndsformatertTegn">
    <w:name w:val="HTML-forhåndsformatert Tegn"/>
    <w:link w:val="HTML-forhndsformatert"/>
    <w:uiPriority w:val="99"/>
    <w:semiHidden/>
    <w:rsid w:val="00175F8B"/>
    <w:rPr>
      <w:rFonts w:ascii="Consolas" w:eastAsia="Batang" w:hAnsi="Consolas" w:cs="Times New Roman"/>
      <w:kern w:val="0"/>
      <w:sz w:val="20"/>
      <w:szCs w:val="20"/>
    </w:rPr>
  </w:style>
  <w:style w:type="character" w:styleId="HTML-eksempel">
    <w:name w:val="HTML Sample"/>
    <w:uiPriority w:val="99"/>
    <w:semiHidden/>
    <w:unhideWhenUsed/>
    <w:rsid w:val="00175F8B"/>
    <w:rPr>
      <w:rFonts w:ascii="Consolas" w:hAnsi="Consolas"/>
      <w:sz w:val="24"/>
      <w:szCs w:val="24"/>
    </w:rPr>
  </w:style>
  <w:style w:type="character" w:styleId="HTML-skrivemaskin">
    <w:name w:val="HTML Typewriter"/>
    <w:uiPriority w:val="99"/>
    <w:semiHidden/>
    <w:unhideWhenUsed/>
    <w:rsid w:val="00175F8B"/>
    <w:rPr>
      <w:rFonts w:ascii="Consolas" w:hAnsi="Consolas"/>
      <w:sz w:val="20"/>
      <w:szCs w:val="20"/>
    </w:rPr>
  </w:style>
  <w:style w:type="character" w:styleId="HTML-variabel">
    <w:name w:val="HTML Variable"/>
    <w:uiPriority w:val="99"/>
    <w:semiHidden/>
    <w:unhideWhenUsed/>
    <w:rsid w:val="00175F8B"/>
    <w:rPr>
      <w:i/>
      <w:iCs/>
    </w:rPr>
  </w:style>
  <w:style w:type="paragraph" w:styleId="Kommentaremne">
    <w:name w:val="annotation subject"/>
    <w:basedOn w:val="Merknadstekst"/>
    <w:next w:val="Merknadstekst"/>
    <w:link w:val="KommentaremneTegn"/>
    <w:uiPriority w:val="99"/>
    <w:semiHidden/>
    <w:unhideWhenUsed/>
    <w:rsid w:val="00175F8B"/>
    <w:rPr>
      <w:b/>
      <w:bCs/>
    </w:rPr>
  </w:style>
  <w:style w:type="character" w:customStyle="1" w:styleId="KommentaremneTegn">
    <w:name w:val="Kommentaremne Tegn"/>
    <w:link w:val="Kommentaremne"/>
    <w:uiPriority w:val="99"/>
    <w:semiHidden/>
    <w:rsid w:val="00175F8B"/>
    <w:rPr>
      <w:rFonts w:ascii="Times" w:eastAsia="Batang" w:hAnsi="Times" w:cs="Times New Roman"/>
      <w:b/>
      <w:bCs/>
      <w:kern w:val="0"/>
      <w:sz w:val="20"/>
      <w:szCs w:val="20"/>
    </w:rPr>
  </w:style>
  <w:style w:type="paragraph" w:styleId="Bobletekst">
    <w:name w:val="Balloon Text"/>
    <w:basedOn w:val="Normal"/>
    <w:link w:val="BobletekstTegn"/>
    <w:uiPriority w:val="99"/>
    <w:semiHidden/>
    <w:unhideWhenUsed/>
    <w:rsid w:val="00175F8B"/>
    <w:rPr>
      <w:rFonts w:ascii="Tahoma" w:hAnsi="Tahoma" w:cs="Tahoma"/>
      <w:sz w:val="16"/>
      <w:szCs w:val="16"/>
    </w:rPr>
  </w:style>
  <w:style w:type="character" w:customStyle="1" w:styleId="BobletekstTegn">
    <w:name w:val="Bobletekst Tegn"/>
    <w:link w:val="Bobletekst"/>
    <w:uiPriority w:val="99"/>
    <w:semiHidden/>
    <w:rsid w:val="00175F8B"/>
    <w:rPr>
      <w:rFonts w:ascii="Tahoma" w:eastAsia="Batang" w:hAnsi="Tahoma" w:cs="Tahoma"/>
      <w:kern w:val="0"/>
      <w:sz w:val="16"/>
      <w:szCs w:val="16"/>
    </w:rPr>
  </w:style>
  <w:style w:type="paragraph" w:styleId="Ingenmellomrom">
    <w:name w:val="No Spacing"/>
    <w:uiPriority w:val="1"/>
    <w:qFormat/>
    <w:rsid w:val="00175F8B"/>
    <w:pPr>
      <w:spacing w:after="0" w:line="240" w:lineRule="auto"/>
    </w:pPr>
    <w:rPr>
      <w:rFonts w:ascii="Times" w:eastAsia="Times New Roman" w:hAnsi="Times" w:cs="Times New Roman"/>
      <w:kern w:val="0"/>
      <w:sz w:val="24"/>
      <w:szCs w:val="20"/>
    </w:rPr>
  </w:style>
  <w:style w:type="paragraph" w:styleId="Sterktsitat">
    <w:name w:val="Intense Quote"/>
    <w:basedOn w:val="Normal"/>
    <w:next w:val="Normal"/>
    <w:link w:val="SterktsitatTegn"/>
    <w:uiPriority w:val="30"/>
    <w:qFormat/>
    <w:rsid w:val="00175F8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5F8B"/>
    <w:rPr>
      <w:rFonts w:ascii="Times" w:eastAsia="Batang" w:hAnsi="Times" w:cs="Times New Roman"/>
      <w:i/>
      <w:iCs/>
      <w:color w:val="4472C4" w:themeColor="accent1"/>
      <w:kern w:val="0"/>
      <w:sz w:val="24"/>
      <w:szCs w:val="20"/>
      <w14:ligatures w14:val="none"/>
    </w:rPr>
  </w:style>
  <w:style w:type="character" w:styleId="Svakutheving">
    <w:name w:val="Subtle Emphasis"/>
    <w:uiPriority w:val="19"/>
    <w:qFormat/>
    <w:rsid w:val="00175F8B"/>
    <w:rPr>
      <w:i/>
      <w:iCs/>
      <w:color w:val="808080"/>
    </w:rPr>
  </w:style>
  <w:style w:type="character" w:styleId="Sterkutheving">
    <w:name w:val="Intense Emphasis"/>
    <w:uiPriority w:val="21"/>
    <w:qFormat/>
    <w:rsid w:val="00175F8B"/>
    <w:rPr>
      <w:b/>
      <w:bCs/>
      <w:i/>
      <w:iCs/>
      <w:color w:val="4F81BD"/>
    </w:rPr>
  </w:style>
  <w:style w:type="character" w:styleId="Svakreferanse">
    <w:name w:val="Subtle Reference"/>
    <w:uiPriority w:val="31"/>
    <w:qFormat/>
    <w:rsid w:val="00175F8B"/>
    <w:rPr>
      <w:smallCaps/>
      <w:color w:val="C0504D"/>
      <w:u w:val="single"/>
    </w:rPr>
  </w:style>
  <w:style w:type="character" w:styleId="Sterkreferanse">
    <w:name w:val="Intense Reference"/>
    <w:uiPriority w:val="32"/>
    <w:qFormat/>
    <w:rsid w:val="00175F8B"/>
    <w:rPr>
      <w:b/>
      <w:bCs/>
      <w:smallCaps/>
      <w:color w:val="C0504D"/>
      <w:spacing w:val="5"/>
      <w:u w:val="single"/>
    </w:rPr>
  </w:style>
  <w:style w:type="character" w:styleId="Boktittel">
    <w:name w:val="Book Title"/>
    <w:uiPriority w:val="33"/>
    <w:qFormat/>
    <w:rsid w:val="00175F8B"/>
    <w:rPr>
      <w:b/>
      <w:bCs/>
      <w:smallCaps/>
      <w:spacing w:val="5"/>
    </w:rPr>
  </w:style>
  <w:style w:type="paragraph" w:styleId="Bibliografi">
    <w:name w:val="Bibliography"/>
    <w:basedOn w:val="Normal"/>
    <w:next w:val="Normal"/>
    <w:uiPriority w:val="37"/>
    <w:semiHidden/>
    <w:unhideWhenUsed/>
    <w:rsid w:val="00175F8B"/>
  </w:style>
  <w:style w:type="paragraph" w:styleId="Overskriftforinnholdsfortegnelse">
    <w:name w:val="TOC Heading"/>
    <w:basedOn w:val="Overskrift1"/>
    <w:next w:val="Normal"/>
    <w:uiPriority w:val="39"/>
    <w:unhideWhenUsed/>
    <w:qFormat/>
    <w:rsid w:val="00175F8B"/>
    <w:pPr>
      <w:numPr>
        <w:numId w:val="0"/>
      </w:numPr>
      <w:spacing w:before="480" w:after="0" w:line="259" w:lineRule="auto"/>
      <w:outlineLvl w:val="9"/>
    </w:pPr>
    <w:rPr>
      <w:rFonts w:ascii="Open Sans" w:hAnsi="Open Sans"/>
      <w:bCs/>
      <w:kern w:val="0"/>
      <w:sz w:val="28"/>
      <w:szCs w:val="28"/>
    </w:rPr>
  </w:style>
  <w:style w:type="paragraph" w:customStyle="1" w:styleId="Figur">
    <w:name w:val="Figur"/>
    <w:basedOn w:val="Normal"/>
    <w:uiPriority w:val="99"/>
    <w:rsid w:val="00175F8B"/>
    <w:pPr>
      <w:suppressAutoHyphens/>
      <w:spacing w:before="400" w:after="200"/>
      <w:jc w:val="center"/>
    </w:pPr>
    <w:rPr>
      <w:b/>
      <w:bCs/>
      <w:color w:val="FF0000"/>
    </w:rPr>
  </w:style>
  <w:style w:type="table" w:customStyle="1" w:styleId="Tabell-VM">
    <w:name w:val="Tabell-VM"/>
    <w:basedOn w:val="Tabelltemaer"/>
    <w:uiPriority w:val="99"/>
    <w:qFormat/>
    <w:rsid w:val="00175F8B"/>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175F8B"/>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5F8B"/>
    <w:pPr>
      <w:spacing w:after="0" w:line="240" w:lineRule="auto"/>
    </w:pPr>
    <w:rPr>
      <w:rFonts w:ascii="Times" w:eastAsia="Calibri" w:hAnsi="Times" w:cs="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5F8B"/>
    <w:pPr>
      <w:spacing w:after="0" w:line="240" w:lineRule="auto"/>
    </w:pPr>
    <w:rPr>
      <w:rFonts w:ascii="Times" w:eastAsia="Calibri" w:hAnsi="Times" w:cs="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175F8B"/>
    <w:pPr>
      <w:numPr>
        <w:numId w:val="2"/>
      </w:numPr>
    </w:pPr>
  </w:style>
  <w:style w:type="numbering" w:customStyle="1" w:styleId="l-AlfaListeStil">
    <w:name w:val="l-AlfaListeStil"/>
    <w:uiPriority w:val="99"/>
    <w:rsid w:val="00175F8B"/>
    <w:pPr>
      <w:numPr>
        <w:numId w:val="3"/>
      </w:numPr>
    </w:pPr>
  </w:style>
  <w:style w:type="numbering" w:customStyle="1" w:styleId="l-ListeStilMal">
    <w:name w:val="l-ListeStilMal"/>
    <w:uiPriority w:val="99"/>
    <w:rsid w:val="00175F8B"/>
    <w:pPr>
      <w:numPr>
        <w:numId w:val="4"/>
      </w:numPr>
    </w:pPr>
  </w:style>
  <w:style w:type="numbering" w:customStyle="1" w:styleId="l-NummerertListeStil">
    <w:name w:val="l-NummerertListeStil"/>
    <w:uiPriority w:val="99"/>
    <w:rsid w:val="00175F8B"/>
    <w:pPr>
      <w:numPr>
        <w:numId w:val="18"/>
      </w:numPr>
    </w:pPr>
  </w:style>
  <w:style w:type="numbering" w:customStyle="1" w:styleId="NrListeStil">
    <w:name w:val="NrListeStil"/>
    <w:uiPriority w:val="99"/>
    <w:rsid w:val="00175F8B"/>
    <w:pPr>
      <w:numPr>
        <w:numId w:val="5"/>
      </w:numPr>
    </w:pPr>
  </w:style>
  <w:style w:type="numbering" w:customStyle="1" w:styleId="OpplistingListeStil">
    <w:name w:val="OpplistingListeStil"/>
    <w:uiPriority w:val="99"/>
    <w:rsid w:val="00175F8B"/>
    <w:pPr>
      <w:numPr>
        <w:numId w:val="6"/>
      </w:numPr>
    </w:pPr>
  </w:style>
  <w:style w:type="numbering" w:customStyle="1" w:styleId="OverskrifterListeStil">
    <w:name w:val="OverskrifterListeStil"/>
    <w:uiPriority w:val="99"/>
    <w:rsid w:val="00175F8B"/>
    <w:pPr>
      <w:numPr>
        <w:numId w:val="7"/>
      </w:numPr>
    </w:pPr>
  </w:style>
  <w:style w:type="numbering" w:customStyle="1" w:styleId="RomListeStil">
    <w:name w:val="RomListeStil"/>
    <w:uiPriority w:val="99"/>
    <w:rsid w:val="00175F8B"/>
    <w:pPr>
      <w:numPr>
        <w:numId w:val="8"/>
      </w:numPr>
    </w:pPr>
  </w:style>
  <w:style w:type="numbering" w:customStyle="1" w:styleId="StrekListeStil">
    <w:name w:val="StrekListeStil"/>
    <w:uiPriority w:val="99"/>
    <w:rsid w:val="00175F8B"/>
    <w:pPr>
      <w:numPr>
        <w:numId w:val="9"/>
      </w:numPr>
    </w:pPr>
  </w:style>
  <w:style w:type="paragraph" w:customStyle="1" w:styleId="Sammendrag">
    <w:name w:val="Sammendrag"/>
    <w:basedOn w:val="Overskrift1"/>
    <w:qFormat/>
    <w:rsid w:val="00175F8B"/>
    <w:pPr>
      <w:numPr>
        <w:numId w:val="0"/>
      </w:numPr>
    </w:pPr>
  </w:style>
  <w:style w:type="paragraph" w:customStyle="1" w:styleId="ForfatterMerknad">
    <w:name w:val="ForfatterMerknad"/>
    <w:basedOn w:val="Normal"/>
    <w:qFormat/>
    <w:rsid w:val="00175F8B"/>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175F8B"/>
    <w:pPr>
      <w:spacing w:before="60" w:line="276" w:lineRule="auto"/>
    </w:pPr>
    <w:rPr>
      <w:rFonts w:ascii="Arial" w:eastAsia="Times New Roman" w:hAnsi="Arial"/>
      <w:color w:val="943634"/>
      <w:spacing w:val="4"/>
      <w:sz w:val="26"/>
      <w:szCs w:val="22"/>
    </w:rPr>
  </w:style>
  <w:style w:type="paragraph" w:customStyle="1" w:styleId="tblRad">
    <w:name w:val="tblRad"/>
    <w:rsid w:val="00175F8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75F8B"/>
  </w:style>
  <w:style w:type="paragraph" w:customStyle="1" w:styleId="tbl2LinjeSumBold">
    <w:name w:val="tbl2LinjeSumBold"/>
    <w:basedOn w:val="tblRad"/>
    <w:rsid w:val="00175F8B"/>
    <w:rPr>
      <w:b/>
    </w:rPr>
  </w:style>
  <w:style w:type="paragraph" w:customStyle="1" w:styleId="tblDelsum1">
    <w:name w:val="tblDelsum1"/>
    <w:basedOn w:val="tblRad"/>
    <w:rsid w:val="00175F8B"/>
    <w:rPr>
      <w:i/>
    </w:rPr>
  </w:style>
  <w:style w:type="paragraph" w:customStyle="1" w:styleId="tblDelsum1-Kapittel">
    <w:name w:val="tblDelsum1 - Kapittel"/>
    <w:basedOn w:val="tblDelsum1"/>
    <w:rsid w:val="00175F8B"/>
    <w:pPr>
      <w:keepNext w:val="0"/>
    </w:pPr>
  </w:style>
  <w:style w:type="paragraph" w:customStyle="1" w:styleId="tblDelsum2">
    <w:name w:val="tblDelsum2"/>
    <w:basedOn w:val="tblRad"/>
    <w:rsid w:val="00175F8B"/>
    <w:rPr>
      <w:b/>
      <w:i/>
    </w:rPr>
  </w:style>
  <w:style w:type="paragraph" w:customStyle="1" w:styleId="tblDelsum2-Kapittel">
    <w:name w:val="tblDelsum2 - Kapittel"/>
    <w:basedOn w:val="tblDelsum2"/>
    <w:rsid w:val="00175F8B"/>
    <w:pPr>
      <w:keepNext w:val="0"/>
    </w:pPr>
  </w:style>
  <w:style w:type="paragraph" w:customStyle="1" w:styleId="tblTabelloverskrift">
    <w:name w:val="tblTabelloverskrift"/>
    <w:rsid w:val="00175F8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75F8B"/>
    <w:pPr>
      <w:spacing w:after="0"/>
      <w:jc w:val="right"/>
    </w:pPr>
    <w:rPr>
      <w:b w:val="0"/>
      <w:caps w:val="0"/>
      <w:sz w:val="16"/>
    </w:rPr>
  </w:style>
  <w:style w:type="paragraph" w:customStyle="1" w:styleId="tblKategoriOverskrift">
    <w:name w:val="tblKategoriOverskrift"/>
    <w:basedOn w:val="tblRad"/>
    <w:rsid w:val="00175F8B"/>
    <w:pPr>
      <w:spacing w:before="120"/>
    </w:pPr>
    <w:rPr>
      <w:b/>
    </w:rPr>
  </w:style>
  <w:style w:type="paragraph" w:customStyle="1" w:styleId="tblKolonneoverskrift">
    <w:name w:val="tblKolonneoverskrift"/>
    <w:basedOn w:val="Normal"/>
    <w:rsid w:val="00175F8B"/>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175F8B"/>
    <w:pPr>
      <w:spacing w:after="360"/>
      <w:jc w:val="center"/>
    </w:pPr>
    <w:rPr>
      <w:b w:val="0"/>
      <w:caps w:val="0"/>
    </w:rPr>
  </w:style>
  <w:style w:type="paragraph" w:customStyle="1" w:styleId="tblKolonneoverskrift-Vedtak">
    <w:name w:val="tblKolonneoverskrift - Vedtak"/>
    <w:basedOn w:val="tblTabelloverskrift-Vedtak"/>
    <w:rsid w:val="00175F8B"/>
    <w:pPr>
      <w:spacing w:after="0"/>
    </w:pPr>
  </w:style>
  <w:style w:type="paragraph" w:customStyle="1" w:styleId="tblOverskrift-Vedtak">
    <w:name w:val="tblOverskrift - Vedtak"/>
    <w:basedOn w:val="tblRad"/>
    <w:rsid w:val="00175F8B"/>
    <w:pPr>
      <w:spacing w:before="360"/>
      <w:jc w:val="center"/>
    </w:pPr>
  </w:style>
  <w:style w:type="paragraph" w:customStyle="1" w:styleId="tblRadBold">
    <w:name w:val="tblRadBold"/>
    <w:basedOn w:val="tblRad"/>
    <w:rsid w:val="00175F8B"/>
    <w:rPr>
      <w:b/>
    </w:rPr>
  </w:style>
  <w:style w:type="paragraph" w:customStyle="1" w:styleId="tblRadItalic">
    <w:name w:val="tblRadItalic"/>
    <w:basedOn w:val="tblRad"/>
    <w:rsid w:val="00175F8B"/>
    <w:rPr>
      <w:i/>
    </w:rPr>
  </w:style>
  <w:style w:type="paragraph" w:customStyle="1" w:styleId="tblRadItalicSiste">
    <w:name w:val="tblRadItalicSiste"/>
    <w:basedOn w:val="tblRadItalic"/>
    <w:rsid w:val="00175F8B"/>
  </w:style>
  <w:style w:type="paragraph" w:customStyle="1" w:styleId="tblRadMedLuft">
    <w:name w:val="tblRadMedLuft"/>
    <w:basedOn w:val="tblRad"/>
    <w:rsid w:val="00175F8B"/>
    <w:pPr>
      <w:spacing w:before="120"/>
    </w:pPr>
  </w:style>
  <w:style w:type="paragraph" w:customStyle="1" w:styleId="tblRadMedLuftSiste">
    <w:name w:val="tblRadMedLuftSiste"/>
    <w:basedOn w:val="tblRadMedLuft"/>
    <w:rsid w:val="00175F8B"/>
    <w:pPr>
      <w:spacing w:after="120"/>
    </w:pPr>
  </w:style>
  <w:style w:type="paragraph" w:customStyle="1" w:styleId="tblRadMedLuftSiste-Vedtak">
    <w:name w:val="tblRadMedLuftSiste - Vedtak"/>
    <w:basedOn w:val="tblRadMedLuftSiste"/>
    <w:rsid w:val="00175F8B"/>
    <w:pPr>
      <w:keepNext w:val="0"/>
    </w:pPr>
  </w:style>
  <w:style w:type="paragraph" w:customStyle="1" w:styleId="tblRadSiste">
    <w:name w:val="tblRadSiste"/>
    <w:basedOn w:val="tblRad"/>
    <w:rsid w:val="00175F8B"/>
  </w:style>
  <w:style w:type="paragraph" w:customStyle="1" w:styleId="tblSluttsum">
    <w:name w:val="tblSluttsum"/>
    <w:basedOn w:val="tblRad"/>
    <w:rsid w:val="00175F8B"/>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NOU-mal-V3.dotx</Template>
  <TotalTime>1</TotalTime>
  <Pages>64</Pages>
  <Words>31135</Words>
  <Characters>183277</Characters>
  <Application>Microsoft Office Word</Application>
  <DocSecurity>0</DocSecurity>
  <Lines>1527</Lines>
  <Paragraphs>427</Paragraphs>
  <ScaleCrop>false</ScaleCrop>
  <Company/>
  <LinksUpToDate>false</LinksUpToDate>
  <CharactersWithSpaces>213985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2024-07-26T09:54:00Z</dcterms:created>
  <dcterms:modified xsi:type="dcterms:W3CDTF">2024-07-26T09:55:00Z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2024-07-26T09:54:53Z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0517b391-1c82-4fb4-b113-e15d6a007345</vt:lpwstr>
  </property>
  <property fmtid="{D5CDD505-2E9C-101B-9397-08002B2CF9AE}" pid="8" name="MSIP_Label_b22f7043-6caf-4431-9109-8eff758a1d8b_ContentBits">
    <vt:lpwstr>0</vt:lpwstr>
  </property>
</Properties>
</file>