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7E4" w:rsidRPr="00BC7F3F" w:rsidRDefault="00057D89">
      <w:pPr>
        <w:pStyle w:val="Title"/>
        <w:jc w:val="right"/>
        <w:rPr>
          <w:lang w:val="en-GB"/>
        </w:rPr>
      </w:pPr>
      <w:r w:rsidRPr="00BC7F3F">
        <w:rPr>
          <w:lang w:val="en-GB"/>
        </w:rPr>
        <w:t>E-vote 2011</w:t>
      </w:r>
    </w:p>
    <w:p w:rsidR="00EE57E4" w:rsidRPr="00BC7F3F" w:rsidRDefault="00DC5FE5">
      <w:pPr>
        <w:pStyle w:val="Title"/>
        <w:jc w:val="right"/>
        <w:rPr>
          <w:lang w:val="en-GB"/>
        </w:rPr>
      </w:pPr>
      <w:r w:rsidRPr="00BC7F3F">
        <w:rPr>
          <w:lang w:val="en-GB"/>
        </w:rPr>
        <w:t>Security</w:t>
      </w:r>
      <w:r w:rsidR="00057D89" w:rsidRPr="00BC7F3F">
        <w:rPr>
          <w:lang w:val="en-GB"/>
        </w:rPr>
        <w:t xml:space="preserve"> Architecture</w:t>
      </w:r>
    </w:p>
    <w:p w:rsidR="00EE57E4" w:rsidRPr="00BC7F3F" w:rsidRDefault="00C06EE5">
      <w:pPr>
        <w:pStyle w:val="Title"/>
        <w:jc w:val="right"/>
        <w:rPr>
          <w:lang w:val="en-GB"/>
        </w:rPr>
      </w:pPr>
      <w:r>
        <w:rPr>
          <w:lang w:val="en-GB"/>
        </w:rPr>
        <w:t>General Overview</w:t>
      </w:r>
    </w:p>
    <w:p w:rsidR="00EE57E4" w:rsidRPr="00BC7F3F" w:rsidRDefault="00FD7BBE">
      <w:pPr>
        <w:pStyle w:val="Title"/>
        <w:jc w:val="right"/>
        <w:rPr>
          <w:sz w:val="28"/>
          <w:lang w:val="en-GB"/>
        </w:rPr>
      </w:pPr>
      <w:r w:rsidRPr="00BC7F3F">
        <w:rPr>
          <w:sz w:val="28"/>
          <w:lang w:val="en-GB"/>
        </w:rPr>
        <w:t xml:space="preserve">V </w:t>
      </w:r>
      <w:r w:rsidR="00370FD3">
        <w:rPr>
          <w:sz w:val="28"/>
          <w:lang w:val="en-GB"/>
        </w:rPr>
        <w:t>1.</w:t>
      </w:r>
      <w:r w:rsidR="00744A3F">
        <w:rPr>
          <w:sz w:val="28"/>
          <w:lang w:val="en-GB"/>
        </w:rPr>
        <w:t>1</w:t>
      </w:r>
    </w:p>
    <w:p w:rsidR="00EE57E4" w:rsidRPr="00BC7F3F" w:rsidRDefault="00EE57E4" w:rsidP="008C4506">
      <w:pPr>
        <w:pStyle w:val="InfoBlue"/>
      </w:pPr>
    </w:p>
    <w:p w:rsidR="00CD53D7" w:rsidRDefault="00CD53D7" w:rsidP="00CD53D7">
      <w:pPr>
        <w:rPr>
          <w:i/>
          <w:iCs/>
        </w:rPr>
      </w:pPr>
      <w:r>
        <w:rPr>
          <w:i/>
          <w:iCs/>
        </w:rPr>
        <w:t>Source Code, High Level Architecture Documentation and Common Criteria Documentation Copyright (C) 2010-2011 and ownership belongs to The Norwegian Ministry of Local Government and Regional Development and EDB ErgoGroup 67 AS  (“Licensor”)</w:t>
      </w:r>
    </w:p>
    <w:p w:rsidR="00CD53D7" w:rsidRDefault="00CD53D7" w:rsidP="00CD53D7">
      <w:pPr>
        <w:rPr>
          <w:i/>
          <w:iCs/>
        </w:rPr>
      </w:pPr>
    </w:p>
    <w:p w:rsidR="00CD53D7" w:rsidRDefault="00CD53D7" w:rsidP="00CD53D7">
      <w:pPr>
        <w:rPr>
          <w:i/>
          <w:iCs/>
        </w:rPr>
      </w:pPr>
      <w:r>
        <w:rPr>
          <w:i/>
          <w:iCs/>
        </w:rPr>
        <w:t>The Norwegian Ministry of Local Government and Regional Development has the right to use, modify (whether by itself or by the use of contractors) and copy the software for the sole purposes of performing Norwegian Public Sector Elections, including to install and run the code on the necessary number of locations centrally and in any number of counties and municipalities, and to allow access to the solution from anywhere in the world by persons who have the right to participate in Norwegian national or local elections. This also applies to elections to the Longyearbyen Community Council at Svalbard and any possible future public elections in Norway arranged by the Election Authorities.</w:t>
      </w:r>
    </w:p>
    <w:p w:rsidR="00CD53D7" w:rsidRDefault="00CD53D7" w:rsidP="00CD53D7">
      <w:pPr>
        <w:rPr>
          <w:i/>
          <w:iCs/>
        </w:rPr>
      </w:pPr>
    </w:p>
    <w:p w:rsidR="00CD53D7" w:rsidRDefault="00CD53D7" w:rsidP="00CD53D7">
      <w:pPr>
        <w:rPr>
          <w:i/>
          <w:iCs/>
        </w:rPr>
      </w:pPr>
      <w:r>
        <w:rPr>
          <w:i/>
          <w:iCs/>
        </w:rPr>
        <w:t>EDB Ergo Group 67 AS (or whom it appoints) has the right, inside and outside of Norway to use, copy, modify and enhance the materials, as well as a right of licensing and transfer, internally and externally, either by itself or with the assistance of a third party, as part of the further development and customization of its own standard solutions or delivered together with its own standard solutions.</w:t>
      </w:r>
    </w:p>
    <w:p w:rsidR="00CD53D7" w:rsidRDefault="00CD53D7" w:rsidP="00CD53D7">
      <w:pPr>
        <w:rPr>
          <w:i/>
          <w:iCs/>
        </w:rPr>
      </w:pPr>
    </w:p>
    <w:p w:rsidR="00CD53D7" w:rsidRDefault="00CD53D7" w:rsidP="00CD53D7">
      <w:r>
        <w:rPr>
          <w:i/>
          <w:iCs/>
        </w:rPr>
        <w:t>The Norwegian Ministry of Local Government and Regional Development and EDB ErgoGroup AS hereby grant to you (any third party) the right to copy, modify, inspect, compile, debug and run the software for the sole purpose of testing, reviewing or evaluating the code or the system solely for non-commercial purposes. Any other use of the source code (or parts of it) for any other purpose (including but not limited to any commercial purposes) by any third party is subject to EDB ErgoGroup 67 AS’ prior written approval.</w:t>
      </w:r>
    </w:p>
    <w:p w:rsidR="00CD53D7" w:rsidRDefault="00CD53D7" w:rsidP="00CD53D7"/>
    <w:p w:rsidR="00053ED4" w:rsidRPr="00CD53D7" w:rsidRDefault="00053ED4">
      <w:pPr>
        <w:pStyle w:val="InfoBlue"/>
        <w:rPr>
          <w:lang w:val="en-US"/>
        </w:rPr>
      </w:pPr>
    </w:p>
    <w:p w:rsidR="00EE57E4" w:rsidRPr="00BC7F3F" w:rsidRDefault="00EE57E4">
      <w:pPr>
        <w:pStyle w:val="Title"/>
        <w:rPr>
          <w:sz w:val="28"/>
          <w:lang w:val="en-GB"/>
        </w:rPr>
      </w:pPr>
    </w:p>
    <w:p w:rsidR="00EE57E4" w:rsidRPr="00BC7F3F" w:rsidRDefault="00EE57E4">
      <w:pPr>
        <w:rPr>
          <w:sz w:val="28"/>
          <w:lang w:val="en-GB"/>
        </w:rPr>
        <w:sectPr w:rsidR="00EE57E4" w:rsidRPr="00BC7F3F">
          <w:headerReference w:type="default" r:id="rId12"/>
          <w:footerReference w:type="even" r:id="rId13"/>
          <w:pgSz w:w="11907" w:h="16840" w:code="9"/>
          <w:pgMar w:top="1440" w:right="1440" w:bottom="1440" w:left="1440" w:header="709" w:footer="709" w:gutter="0"/>
          <w:cols w:space="708"/>
          <w:vAlign w:val="center"/>
        </w:sectPr>
      </w:pPr>
    </w:p>
    <w:p w:rsidR="00EE57E4" w:rsidRPr="00BC7F3F" w:rsidRDefault="00057D89" w:rsidP="00DF56FA">
      <w:pPr>
        <w:pStyle w:val="Title"/>
        <w:jc w:val="left"/>
        <w:rPr>
          <w:lang w:val="en-GB"/>
        </w:rPr>
      </w:pPr>
      <w:r w:rsidRPr="00BC7F3F">
        <w:rPr>
          <w:lang w:val="en-GB"/>
        </w:rPr>
        <w:lastRenderedPageBreak/>
        <w:t>Change history</w:t>
      </w:r>
    </w:p>
    <w:p w:rsidR="0013304B" w:rsidRPr="00BC7F3F" w:rsidRDefault="0013304B" w:rsidP="0013304B">
      <w:pPr>
        <w:rPr>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04"/>
        <w:gridCol w:w="1152"/>
        <w:gridCol w:w="3744"/>
        <w:gridCol w:w="2304"/>
      </w:tblGrid>
      <w:tr w:rsidR="00EE57E4" w:rsidRPr="00BC7F3F">
        <w:tc>
          <w:tcPr>
            <w:tcW w:w="2304" w:type="dxa"/>
          </w:tcPr>
          <w:p w:rsidR="00EE57E4" w:rsidRPr="00BC7F3F" w:rsidRDefault="00057D89" w:rsidP="00057D89">
            <w:pPr>
              <w:pStyle w:val="Tabletext"/>
              <w:tabs>
                <w:tab w:val="left" w:pos="822"/>
                <w:tab w:val="center" w:pos="1044"/>
              </w:tabs>
              <w:rPr>
                <w:b/>
                <w:lang w:val="en-GB"/>
              </w:rPr>
            </w:pPr>
            <w:r w:rsidRPr="00BC7F3F">
              <w:rPr>
                <w:b/>
                <w:lang w:val="en-GB"/>
              </w:rPr>
              <w:t>Date</w:t>
            </w:r>
          </w:p>
        </w:tc>
        <w:tc>
          <w:tcPr>
            <w:tcW w:w="1152" w:type="dxa"/>
          </w:tcPr>
          <w:p w:rsidR="00EE57E4" w:rsidRPr="00BC7F3F" w:rsidRDefault="00057D89">
            <w:pPr>
              <w:pStyle w:val="Tabletext"/>
              <w:jc w:val="center"/>
              <w:rPr>
                <w:b/>
                <w:lang w:val="en-GB"/>
              </w:rPr>
            </w:pPr>
            <w:r w:rsidRPr="00BC7F3F">
              <w:rPr>
                <w:b/>
                <w:lang w:val="en-GB"/>
              </w:rPr>
              <w:t>Version</w:t>
            </w:r>
          </w:p>
        </w:tc>
        <w:tc>
          <w:tcPr>
            <w:tcW w:w="3744" w:type="dxa"/>
          </w:tcPr>
          <w:p w:rsidR="00EE57E4" w:rsidRPr="00BC7F3F" w:rsidRDefault="00057D89">
            <w:pPr>
              <w:pStyle w:val="Tabletext"/>
              <w:jc w:val="center"/>
              <w:rPr>
                <w:b/>
                <w:lang w:val="en-GB"/>
              </w:rPr>
            </w:pPr>
            <w:r w:rsidRPr="00BC7F3F">
              <w:rPr>
                <w:b/>
                <w:lang w:val="en-GB"/>
              </w:rPr>
              <w:t>Description</w:t>
            </w:r>
          </w:p>
        </w:tc>
        <w:tc>
          <w:tcPr>
            <w:tcW w:w="2304" w:type="dxa"/>
          </w:tcPr>
          <w:p w:rsidR="00EE57E4" w:rsidRPr="00BC7F3F" w:rsidRDefault="00057D89">
            <w:pPr>
              <w:pStyle w:val="Tabletext"/>
              <w:jc w:val="center"/>
              <w:rPr>
                <w:b/>
                <w:lang w:val="en-GB"/>
              </w:rPr>
            </w:pPr>
            <w:r w:rsidRPr="00BC7F3F">
              <w:rPr>
                <w:b/>
                <w:lang w:val="en-GB"/>
              </w:rPr>
              <w:t>Author</w:t>
            </w:r>
          </w:p>
        </w:tc>
      </w:tr>
      <w:tr w:rsidR="00EE57E4" w:rsidRPr="00BC7F3F">
        <w:tc>
          <w:tcPr>
            <w:tcW w:w="2304" w:type="dxa"/>
          </w:tcPr>
          <w:p w:rsidR="00EE57E4" w:rsidRPr="00BC7F3F" w:rsidRDefault="00207EF3" w:rsidP="00DC5FE5">
            <w:pPr>
              <w:pStyle w:val="Tabletext"/>
              <w:rPr>
                <w:lang w:val="en-GB"/>
              </w:rPr>
            </w:pPr>
            <w:r>
              <w:rPr>
                <w:lang w:val="en-GB"/>
              </w:rPr>
              <w:t>18.11</w:t>
            </w:r>
            <w:r w:rsidR="00FD7BBE" w:rsidRPr="00BC7F3F">
              <w:rPr>
                <w:lang w:val="en-GB"/>
              </w:rPr>
              <w:t>.2010</w:t>
            </w:r>
          </w:p>
        </w:tc>
        <w:tc>
          <w:tcPr>
            <w:tcW w:w="1152" w:type="dxa"/>
          </w:tcPr>
          <w:p w:rsidR="00EE57E4" w:rsidRPr="00BC7F3F" w:rsidRDefault="00FD7BBE">
            <w:pPr>
              <w:pStyle w:val="Tabletext"/>
              <w:rPr>
                <w:lang w:val="en-GB"/>
              </w:rPr>
            </w:pPr>
            <w:r w:rsidRPr="00BC7F3F">
              <w:rPr>
                <w:lang w:val="en-GB"/>
              </w:rPr>
              <w:t>0.1</w:t>
            </w:r>
          </w:p>
        </w:tc>
        <w:tc>
          <w:tcPr>
            <w:tcW w:w="3744" w:type="dxa"/>
          </w:tcPr>
          <w:p w:rsidR="00EE57E4" w:rsidRPr="00BC7F3F" w:rsidRDefault="00FD7BBE">
            <w:pPr>
              <w:pStyle w:val="Tabletext"/>
              <w:rPr>
                <w:lang w:val="en-GB"/>
              </w:rPr>
            </w:pPr>
            <w:r w:rsidRPr="00BC7F3F">
              <w:rPr>
                <w:lang w:val="en-GB"/>
              </w:rPr>
              <w:t>Initial</w:t>
            </w:r>
          </w:p>
        </w:tc>
        <w:tc>
          <w:tcPr>
            <w:tcW w:w="2304" w:type="dxa"/>
          </w:tcPr>
          <w:p w:rsidR="00EE57E4" w:rsidRPr="00BC7F3F" w:rsidRDefault="00EE57E4">
            <w:pPr>
              <w:pStyle w:val="Tabletext"/>
              <w:rPr>
                <w:lang w:val="en-GB"/>
              </w:rPr>
            </w:pPr>
          </w:p>
        </w:tc>
      </w:tr>
      <w:tr w:rsidR="00EE57E4" w:rsidRPr="00BC7F3F">
        <w:tc>
          <w:tcPr>
            <w:tcW w:w="2304" w:type="dxa"/>
          </w:tcPr>
          <w:p w:rsidR="00EE57E4" w:rsidRPr="00BC7F3F" w:rsidRDefault="00207EF3">
            <w:pPr>
              <w:pStyle w:val="Tabletext"/>
              <w:rPr>
                <w:lang w:val="en-GB"/>
              </w:rPr>
            </w:pPr>
            <w:r>
              <w:rPr>
                <w:lang w:val="en-GB"/>
              </w:rPr>
              <w:t>07.12.2010</w:t>
            </w:r>
          </w:p>
        </w:tc>
        <w:tc>
          <w:tcPr>
            <w:tcW w:w="1152" w:type="dxa"/>
          </w:tcPr>
          <w:p w:rsidR="00EE57E4" w:rsidRPr="00BC7F3F" w:rsidRDefault="00207EF3">
            <w:pPr>
              <w:pStyle w:val="Tabletext"/>
              <w:rPr>
                <w:lang w:val="en-GB"/>
              </w:rPr>
            </w:pPr>
            <w:r>
              <w:rPr>
                <w:lang w:val="en-GB"/>
              </w:rPr>
              <w:t>0.5</w:t>
            </w:r>
          </w:p>
        </w:tc>
        <w:tc>
          <w:tcPr>
            <w:tcW w:w="3744" w:type="dxa"/>
          </w:tcPr>
          <w:p w:rsidR="00EE57E4" w:rsidRPr="00BC7F3F" w:rsidRDefault="00207EF3" w:rsidP="00CB7B61">
            <w:pPr>
              <w:pStyle w:val="Tabletext"/>
              <w:rPr>
                <w:lang w:val="en-GB"/>
              </w:rPr>
            </w:pPr>
            <w:r>
              <w:rPr>
                <w:lang w:val="en-GB"/>
              </w:rPr>
              <w:t>Complete version for review</w:t>
            </w:r>
          </w:p>
        </w:tc>
        <w:tc>
          <w:tcPr>
            <w:tcW w:w="2304" w:type="dxa"/>
          </w:tcPr>
          <w:p w:rsidR="00EE57E4" w:rsidRPr="00BC7F3F" w:rsidRDefault="00EE57E4">
            <w:pPr>
              <w:pStyle w:val="Tabletext"/>
              <w:rPr>
                <w:lang w:val="en-GB"/>
              </w:rPr>
            </w:pPr>
          </w:p>
        </w:tc>
      </w:tr>
      <w:tr w:rsidR="00EE57E4" w:rsidRPr="00BC7F3F">
        <w:tc>
          <w:tcPr>
            <w:tcW w:w="2304" w:type="dxa"/>
          </w:tcPr>
          <w:p w:rsidR="00EE57E4" w:rsidRPr="00BC7F3F" w:rsidRDefault="00370FD3">
            <w:pPr>
              <w:pStyle w:val="Tabletext"/>
              <w:rPr>
                <w:lang w:val="en-GB"/>
              </w:rPr>
            </w:pPr>
            <w:r>
              <w:rPr>
                <w:lang w:val="en-GB"/>
              </w:rPr>
              <w:t>03.03.2011</w:t>
            </w:r>
          </w:p>
        </w:tc>
        <w:tc>
          <w:tcPr>
            <w:tcW w:w="1152" w:type="dxa"/>
          </w:tcPr>
          <w:p w:rsidR="00EE57E4" w:rsidRPr="00BC7F3F" w:rsidRDefault="00370FD3">
            <w:pPr>
              <w:pStyle w:val="Tabletext"/>
              <w:rPr>
                <w:lang w:val="en-GB"/>
              </w:rPr>
            </w:pPr>
            <w:r>
              <w:rPr>
                <w:lang w:val="en-GB"/>
              </w:rPr>
              <w:t>1.0</w:t>
            </w:r>
          </w:p>
        </w:tc>
        <w:tc>
          <w:tcPr>
            <w:tcW w:w="3744" w:type="dxa"/>
          </w:tcPr>
          <w:p w:rsidR="00EE57E4" w:rsidRPr="00BC7F3F" w:rsidRDefault="00370FD3" w:rsidP="0013304B">
            <w:pPr>
              <w:pStyle w:val="Tabletext"/>
              <w:rPr>
                <w:lang w:val="en-GB"/>
              </w:rPr>
            </w:pPr>
            <w:r>
              <w:rPr>
                <w:lang w:val="en-GB"/>
              </w:rPr>
              <w:t>Minor updates after revview</w:t>
            </w:r>
          </w:p>
        </w:tc>
        <w:tc>
          <w:tcPr>
            <w:tcW w:w="2304" w:type="dxa"/>
          </w:tcPr>
          <w:p w:rsidR="00EE57E4" w:rsidRPr="00BC7F3F" w:rsidRDefault="00EE57E4">
            <w:pPr>
              <w:pStyle w:val="Tabletext"/>
              <w:rPr>
                <w:lang w:val="en-GB"/>
              </w:rPr>
            </w:pPr>
          </w:p>
        </w:tc>
      </w:tr>
      <w:tr w:rsidR="00EE57E4" w:rsidRPr="00BC7F3F">
        <w:tc>
          <w:tcPr>
            <w:tcW w:w="2304" w:type="dxa"/>
          </w:tcPr>
          <w:p w:rsidR="00EE57E4" w:rsidRPr="00BC7F3F" w:rsidRDefault="00744A3F">
            <w:pPr>
              <w:pStyle w:val="Tabletext"/>
              <w:rPr>
                <w:lang w:val="en-GB"/>
              </w:rPr>
            </w:pPr>
            <w:r>
              <w:rPr>
                <w:lang w:val="en-GB"/>
              </w:rPr>
              <w:t>11.03.2011</w:t>
            </w:r>
          </w:p>
        </w:tc>
        <w:tc>
          <w:tcPr>
            <w:tcW w:w="1152" w:type="dxa"/>
          </w:tcPr>
          <w:p w:rsidR="00EE57E4" w:rsidRPr="00BC7F3F" w:rsidRDefault="00744A3F">
            <w:pPr>
              <w:pStyle w:val="Tabletext"/>
              <w:rPr>
                <w:lang w:val="en-GB"/>
              </w:rPr>
            </w:pPr>
            <w:r>
              <w:rPr>
                <w:lang w:val="en-GB"/>
              </w:rPr>
              <w:t>1.1</w:t>
            </w:r>
          </w:p>
        </w:tc>
        <w:tc>
          <w:tcPr>
            <w:tcW w:w="3744" w:type="dxa"/>
          </w:tcPr>
          <w:p w:rsidR="00EE57E4" w:rsidRPr="00BC7F3F" w:rsidRDefault="00744A3F">
            <w:pPr>
              <w:pStyle w:val="Tabletext"/>
              <w:rPr>
                <w:lang w:val="en-GB"/>
              </w:rPr>
            </w:pPr>
            <w:r>
              <w:rPr>
                <w:lang w:val="en-GB"/>
              </w:rPr>
              <w:t>QA</w:t>
            </w:r>
          </w:p>
        </w:tc>
        <w:tc>
          <w:tcPr>
            <w:tcW w:w="2304" w:type="dxa"/>
          </w:tcPr>
          <w:p w:rsidR="00EE57E4" w:rsidRPr="00BC7F3F" w:rsidRDefault="00EE57E4">
            <w:pPr>
              <w:pStyle w:val="Tabletext"/>
              <w:rPr>
                <w:lang w:val="en-GB"/>
              </w:rPr>
            </w:pPr>
          </w:p>
        </w:tc>
      </w:tr>
      <w:tr w:rsidR="007A1C4B" w:rsidRPr="00BC7F3F">
        <w:tc>
          <w:tcPr>
            <w:tcW w:w="2304" w:type="dxa"/>
          </w:tcPr>
          <w:p w:rsidR="007A1C4B" w:rsidRPr="00BC7F3F" w:rsidRDefault="007A1C4B">
            <w:pPr>
              <w:pStyle w:val="Tabletext"/>
              <w:rPr>
                <w:lang w:val="en-GB"/>
              </w:rPr>
            </w:pPr>
          </w:p>
        </w:tc>
        <w:tc>
          <w:tcPr>
            <w:tcW w:w="1152" w:type="dxa"/>
          </w:tcPr>
          <w:p w:rsidR="007A1C4B" w:rsidRPr="00BC7F3F" w:rsidRDefault="007A1C4B">
            <w:pPr>
              <w:pStyle w:val="Tabletext"/>
              <w:rPr>
                <w:lang w:val="en-GB"/>
              </w:rPr>
            </w:pPr>
          </w:p>
        </w:tc>
        <w:tc>
          <w:tcPr>
            <w:tcW w:w="3744" w:type="dxa"/>
          </w:tcPr>
          <w:p w:rsidR="007A1C4B" w:rsidRPr="00BC7F3F" w:rsidRDefault="007A1C4B" w:rsidP="007A1C4B">
            <w:pPr>
              <w:pStyle w:val="Tabletext"/>
              <w:rPr>
                <w:lang w:val="en-GB"/>
              </w:rPr>
            </w:pPr>
          </w:p>
        </w:tc>
        <w:tc>
          <w:tcPr>
            <w:tcW w:w="2304" w:type="dxa"/>
          </w:tcPr>
          <w:p w:rsidR="007A1C4B" w:rsidRPr="00BC7F3F" w:rsidRDefault="007A1C4B">
            <w:pPr>
              <w:pStyle w:val="Tabletext"/>
              <w:rPr>
                <w:lang w:val="en-GB"/>
              </w:rPr>
            </w:pPr>
          </w:p>
        </w:tc>
      </w:tr>
      <w:tr w:rsidR="00377175" w:rsidRPr="00BC7F3F">
        <w:tc>
          <w:tcPr>
            <w:tcW w:w="2304" w:type="dxa"/>
          </w:tcPr>
          <w:p w:rsidR="00377175" w:rsidRPr="00BC7F3F" w:rsidRDefault="00377175">
            <w:pPr>
              <w:pStyle w:val="Tabletext"/>
              <w:rPr>
                <w:lang w:val="en-GB"/>
              </w:rPr>
            </w:pPr>
          </w:p>
        </w:tc>
        <w:tc>
          <w:tcPr>
            <w:tcW w:w="1152" w:type="dxa"/>
          </w:tcPr>
          <w:p w:rsidR="00377175" w:rsidRPr="00BC7F3F" w:rsidRDefault="00377175">
            <w:pPr>
              <w:pStyle w:val="Tabletext"/>
              <w:rPr>
                <w:lang w:val="en-GB"/>
              </w:rPr>
            </w:pPr>
          </w:p>
        </w:tc>
        <w:tc>
          <w:tcPr>
            <w:tcW w:w="3744" w:type="dxa"/>
          </w:tcPr>
          <w:p w:rsidR="00377175" w:rsidRPr="00BC7F3F" w:rsidRDefault="00377175" w:rsidP="007A1C4B">
            <w:pPr>
              <w:pStyle w:val="Tabletext"/>
              <w:rPr>
                <w:lang w:val="en-GB"/>
              </w:rPr>
            </w:pPr>
          </w:p>
        </w:tc>
        <w:tc>
          <w:tcPr>
            <w:tcW w:w="2304" w:type="dxa"/>
          </w:tcPr>
          <w:p w:rsidR="00377175" w:rsidRPr="00BC7F3F" w:rsidRDefault="00377175">
            <w:pPr>
              <w:pStyle w:val="Tabletext"/>
              <w:rPr>
                <w:lang w:val="en-GB"/>
              </w:rPr>
            </w:pPr>
          </w:p>
        </w:tc>
      </w:tr>
      <w:tr w:rsidR="00377175" w:rsidRPr="00BC7F3F">
        <w:tc>
          <w:tcPr>
            <w:tcW w:w="2304" w:type="dxa"/>
          </w:tcPr>
          <w:p w:rsidR="00377175" w:rsidRPr="00BC7F3F" w:rsidRDefault="00377175">
            <w:pPr>
              <w:pStyle w:val="Tabletext"/>
              <w:rPr>
                <w:lang w:val="en-GB"/>
              </w:rPr>
            </w:pPr>
          </w:p>
        </w:tc>
        <w:tc>
          <w:tcPr>
            <w:tcW w:w="1152" w:type="dxa"/>
          </w:tcPr>
          <w:p w:rsidR="00377175" w:rsidRPr="00BC7F3F" w:rsidRDefault="00377175">
            <w:pPr>
              <w:pStyle w:val="Tabletext"/>
              <w:rPr>
                <w:lang w:val="en-GB"/>
              </w:rPr>
            </w:pPr>
          </w:p>
        </w:tc>
        <w:tc>
          <w:tcPr>
            <w:tcW w:w="3744" w:type="dxa"/>
          </w:tcPr>
          <w:p w:rsidR="00377175" w:rsidRPr="00BC7F3F" w:rsidRDefault="00377175" w:rsidP="007A1C4B">
            <w:pPr>
              <w:pStyle w:val="Tabletext"/>
              <w:rPr>
                <w:highlight w:val="yellow"/>
                <w:lang w:val="en-GB"/>
              </w:rPr>
            </w:pPr>
          </w:p>
        </w:tc>
        <w:tc>
          <w:tcPr>
            <w:tcW w:w="2304" w:type="dxa"/>
          </w:tcPr>
          <w:p w:rsidR="00377175" w:rsidRPr="00BC7F3F" w:rsidRDefault="00377175">
            <w:pPr>
              <w:pStyle w:val="Tabletext"/>
              <w:rPr>
                <w:lang w:val="en-GB"/>
              </w:rPr>
            </w:pPr>
          </w:p>
        </w:tc>
      </w:tr>
      <w:tr w:rsidR="007233B7" w:rsidRPr="00BC7F3F">
        <w:tc>
          <w:tcPr>
            <w:tcW w:w="2304" w:type="dxa"/>
          </w:tcPr>
          <w:p w:rsidR="007233B7" w:rsidRPr="00BC7F3F" w:rsidRDefault="007233B7">
            <w:pPr>
              <w:pStyle w:val="Tabletext"/>
              <w:rPr>
                <w:lang w:val="en-GB"/>
              </w:rPr>
            </w:pPr>
          </w:p>
        </w:tc>
        <w:tc>
          <w:tcPr>
            <w:tcW w:w="1152" w:type="dxa"/>
          </w:tcPr>
          <w:p w:rsidR="007233B7" w:rsidRPr="00BC7F3F" w:rsidRDefault="007233B7">
            <w:pPr>
              <w:pStyle w:val="Tabletext"/>
              <w:rPr>
                <w:lang w:val="en-GB"/>
              </w:rPr>
            </w:pPr>
          </w:p>
        </w:tc>
        <w:tc>
          <w:tcPr>
            <w:tcW w:w="3744" w:type="dxa"/>
          </w:tcPr>
          <w:p w:rsidR="007233B7" w:rsidRPr="00BC7F3F" w:rsidRDefault="007233B7" w:rsidP="007A1C4B">
            <w:pPr>
              <w:pStyle w:val="Tabletext"/>
              <w:rPr>
                <w:highlight w:val="yellow"/>
                <w:lang w:val="en-GB"/>
              </w:rPr>
            </w:pPr>
          </w:p>
        </w:tc>
        <w:tc>
          <w:tcPr>
            <w:tcW w:w="2304" w:type="dxa"/>
          </w:tcPr>
          <w:p w:rsidR="007233B7" w:rsidRPr="00BC7F3F" w:rsidRDefault="007233B7">
            <w:pPr>
              <w:pStyle w:val="Tabletext"/>
              <w:rPr>
                <w:lang w:val="en-GB"/>
              </w:rPr>
            </w:pPr>
          </w:p>
        </w:tc>
      </w:tr>
      <w:tr w:rsidR="00FF3979" w:rsidRPr="00BC7F3F">
        <w:tc>
          <w:tcPr>
            <w:tcW w:w="2304" w:type="dxa"/>
          </w:tcPr>
          <w:p w:rsidR="00FF3979" w:rsidRPr="00BC7F3F" w:rsidRDefault="00FF3979">
            <w:pPr>
              <w:pStyle w:val="Tabletext"/>
              <w:rPr>
                <w:lang w:val="en-GB"/>
              </w:rPr>
            </w:pPr>
          </w:p>
        </w:tc>
        <w:tc>
          <w:tcPr>
            <w:tcW w:w="1152" w:type="dxa"/>
          </w:tcPr>
          <w:p w:rsidR="00FF3979" w:rsidRPr="00BC7F3F" w:rsidRDefault="00FF3979">
            <w:pPr>
              <w:pStyle w:val="Tabletext"/>
              <w:rPr>
                <w:lang w:val="en-GB"/>
              </w:rPr>
            </w:pPr>
          </w:p>
        </w:tc>
        <w:tc>
          <w:tcPr>
            <w:tcW w:w="3744" w:type="dxa"/>
          </w:tcPr>
          <w:p w:rsidR="00FF3979" w:rsidRPr="00BC7F3F" w:rsidRDefault="00FF3979" w:rsidP="007A1C4B">
            <w:pPr>
              <w:pStyle w:val="Tabletext"/>
              <w:rPr>
                <w:lang w:val="en-GB"/>
              </w:rPr>
            </w:pPr>
          </w:p>
        </w:tc>
        <w:tc>
          <w:tcPr>
            <w:tcW w:w="2304" w:type="dxa"/>
          </w:tcPr>
          <w:p w:rsidR="00FF3979" w:rsidRPr="00BC7F3F" w:rsidRDefault="00FF3979">
            <w:pPr>
              <w:pStyle w:val="Tabletext"/>
              <w:rPr>
                <w:lang w:val="en-GB"/>
              </w:rPr>
            </w:pPr>
          </w:p>
        </w:tc>
      </w:tr>
    </w:tbl>
    <w:p w:rsidR="00EE57E4" w:rsidRPr="00BC7F3F" w:rsidRDefault="00EE57E4">
      <w:pPr>
        <w:rPr>
          <w:lang w:val="en-GB"/>
        </w:rPr>
      </w:pPr>
    </w:p>
    <w:p w:rsidR="00EE57E4" w:rsidRPr="00BC7F3F" w:rsidRDefault="00EE57E4" w:rsidP="006E4098">
      <w:pPr>
        <w:rPr>
          <w:lang w:val="en-GB"/>
        </w:rPr>
      </w:pPr>
      <w:r w:rsidRPr="00BC7F3F">
        <w:rPr>
          <w:lang w:val="en-GB"/>
        </w:rPr>
        <w:br w:type="page"/>
      </w:r>
      <w:r w:rsidR="00D629B0" w:rsidRPr="00DF56FA">
        <w:rPr>
          <w:rFonts w:ascii="Arial" w:hAnsi="Arial" w:cs="Arial"/>
          <w:b/>
          <w:sz w:val="36"/>
          <w:szCs w:val="36"/>
          <w:lang w:val="en-GB"/>
        </w:rPr>
        <w:lastRenderedPageBreak/>
        <w:t>Contents</w:t>
      </w:r>
    </w:p>
    <w:p w:rsidR="00744A3F" w:rsidRDefault="004D635B">
      <w:pPr>
        <w:pStyle w:val="TOC1"/>
        <w:tabs>
          <w:tab w:val="left" w:pos="432"/>
        </w:tabs>
        <w:rPr>
          <w:rFonts w:asciiTheme="minorHAnsi" w:eastAsiaTheme="minorEastAsia" w:hAnsiTheme="minorHAnsi" w:cstheme="minorBidi"/>
          <w:noProof/>
          <w:sz w:val="22"/>
          <w:szCs w:val="22"/>
        </w:rPr>
      </w:pPr>
      <w:r w:rsidRPr="004D635B">
        <w:rPr>
          <w:lang w:val="en-GB"/>
        </w:rPr>
        <w:fldChar w:fldCharType="begin"/>
      </w:r>
      <w:r w:rsidR="00997C7A" w:rsidRPr="00BC7F3F">
        <w:rPr>
          <w:lang w:val="en-GB"/>
        </w:rPr>
        <w:instrText xml:space="preserve"> TOC \o "1-2" </w:instrText>
      </w:r>
      <w:r w:rsidRPr="004D635B">
        <w:rPr>
          <w:lang w:val="en-GB"/>
        </w:rPr>
        <w:fldChar w:fldCharType="separate"/>
      </w:r>
      <w:r w:rsidR="00744A3F" w:rsidRPr="00B245B5">
        <w:rPr>
          <w:noProof/>
          <w:lang w:val="en-GB"/>
        </w:rPr>
        <w:t>1.</w:t>
      </w:r>
      <w:r w:rsidR="00744A3F">
        <w:rPr>
          <w:rFonts w:asciiTheme="minorHAnsi" w:eastAsiaTheme="minorEastAsia" w:hAnsiTheme="minorHAnsi" w:cstheme="minorBidi"/>
          <w:noProof/>
          <w:sz w:val="22"/>
          <w:szCs w:val="22"/>
        </w:rPr>
        <w:tab/>
      </w:r>
      <w:r w:rsidR="00744A3F" w:rsidRPr="00B245B5">
        <w:rPr>
          <w:noProof/>
          <w:lang w:val="en-GB"/>
        </w:rPr>
        <w:t>Introduction</w:t>
      </w:r>
      <w:r w:rsidR="00744A3F">
        <w:rPr>
          <w:noProof/>
        </w:rPr>
        <w:tab/>
      </w:r>
      <w:r>
        <w:rPr>
          <w:noProof/>
        </w:rPr>
        <w:fldChar w:fldCharType="begin"/>
      </w:r>
      <w:r w:rsidR="00744A3F">
        <w:rPr>
          <w:noProof/>
        </w:rPr>
        <w:instrText xml:space="preserve"> PAGEREF _Toc287608114 \h </w:instrText>
      </w:r>
      <w:r>
        <w:rPr>
          <w:noProof/>
        </w:rPr>
      </w:r>
      <w:r>
        <w:rPr>
          <w:noProof/>
        </w:rPr>
        <w:fldChar w:fldCharType="separate"/>
      </w:r>
      <w:r w:rsidR="00744A3F">
        <w:rPr>
          <w:noProof/>
        </w:rPr>
        <w:t>4</w:t>
      </w:r>
      <w:r>
        <w:rPr>
          <w:noProof/>
        </w:rPr>
        <w:fldChar w:fldCharType="end"/>
      </w:r>
    </w:p>
    <w:p w:rsidR="00744A3F" w:rsidRDefault="00744A3F">
      <w:pPr>
        <w:pStyle w:val="TOC1"/>
        <w:tabs>
          <w:tab w:val="left" w:pos="432"/>
        </w:tabs>
        <w:rPr>
          <w:rFonts w:asciiTheme="minorHAnsi" w:eastAsiaTheme="minorEastAsia" w:hAnsiTheme="minorHAnsi" w:cstheme="minorBidi"/>
          <w:noProof/>
          <w:sz w:val="22"/>
          <w:szCs w:val="22"/>
        </w:rPr>
      </w:pPr>
      <w:r w:rsidRPr="00B245B5">
        <w:rPr>
          <w:noProof/>
          <w:lang w:val="en-GB"/>
        </w:rPr>
        <w:t>2.</w:t>
      </w:r>
      <w:r>
        <w:rPr>
          <w:rFonts w:asciiTheme="minorHAnsi" w:eastAsiaTheme="minorEastAsia" w:hAnsiTheme="minorHAnsi" w:cstheme="minorBidi"/>
          <w:noProof/>
          <w:sz w:val="22"/>
          <w:szCs w:val="22"/>
        </w:rPr>
        <w:tab/>
      </w:r>
      <w:r w:rsidRPr="00B245B5">
        <w:rPr>
          <w:noProof/>
          <w:lang w:val="en-GB"/>
        </w:rPr>
        <w:t>Overall conceptual design</w:t>
      </w:r>
      <w:r>
        <w:rPr>
          <w:noProof/>
        </w:rPr>
        <w:tab/>
      </w:r>
      <w:r w:rsidR="004D635B">
        <w:rPr>
          <w:noProof/>
        </w:rPr>
        <w:fldChar w:fldCharType="begin"/>
      </w:r>
      <w:r>
        <w:rPr>
          <w:noProof/>
        </w:rPr>
        <w:instrText xml:space="preserve"> PAGEREF _Toc287608115 \h </w:instrText>
      </w:r>
      <w:r w:rsidR="004D635B">
        <w:rPr>
          <w:noProof/>
        </w:rPr>
      </w:r>
      <w:r w:rsidR="004D635B">
        <w:rPr>
          <w:noProof/>
        </w:rPr>
        <w:fldChar w:fldCharType="separate"/>
      </w:r>
      <w:r>
        <w:rPr>
          <w:noProof/>
        </w:rPr>
        <w:t>5</w:t>
      </w:r>
      <w:r w:rsidR="004D635B">
        <w:rPr>
          <w:noProof/>
        </w:rPr>
        <w:fldChar w:fldCharType="end"/>
      </w:r>
    </w:p>
    <w:p w:rsidR="00744A3F" w:rsidRDefault="00744A3F">
      <w:pPr>
        <w:pStyle w:val="TOC2"/>
        <w:tabs>
          <w:tab w:val="left" w:pos="1000"/>
        </w:tabs>
        <w:rPr>
          <w:rFonts w:asciiTheme="minorHAnsi" w:eastAsiaTheme="minorEastAsia" w:hAnsiTheme="minorHAnsi" w:cstheme="minorBidi"/>
          <w:noProof/>
          <w:sz w:val="22"/>
          <w:szCs w:val="22"/>
        </w:rPr>
      </w:pPr>
      <w:r w:rsidRPr="00B245B5">
        <w:rPr>
          <w:noProof/>
          <w:lang w:val="en-GB"/>
        </w:rPr>
        <w:t>2.1</w:t>
      </w:r>
      <w:r>
        <w:rPr>
          <w:rFonts w:asciiTheme="minorHAnsi" w:eastAsiaTheme="minorEastAsia" w:hAnsiTheme="minorHAnsi" w:cstheme="minorBidi"/>
          <w:noProof/>
          <w:sz w:val="22"/>
          <w:szCs w:val="22"/>
        </w:rPr>
        <w:tab/>
      </w:r>
      <w:r w:rsidRPr="00B245B5">
        <w:rPr>
          <w:noProof/>
          <w:lang w:val="en-GB"/>
        </w:rPr>
        <w:t>Main security domains and the interfaces between them</w:t>
      </w:r>
      <w:r>
        <w:rPr>
          <w:noProof/>
        </w:rPr>
        <w:tab/>
      </w:r>
      <w:r w:rsidR="004D635B">
        <w:rPr>
          <w:noProof/>
        </w:rPr>
        <w:fldChar w:fldCharType="begin"/>
      </w:r>
      <w:r>
        <w:rPr>
          <w:noProof/>
        </w:rPr>
        <w:instrText xml:space="preserve"> PAGEREF _Toc287608116 \h </w:instrText>
      </w:r>
      <w:r w:rsidR="004D635B">
        <w:rPr>
          <w:noProof/>
        </w:rPr>
      </w:r>
      <w:r w:rsidR="004D635B">
        <w:rPr>
          <w:noProof/>
        </w:rPr>
        <w:fldChar w:fldCharType="separate"/>
      </w:r>
      <w:r>
        <w:rPr>
          <w:noProof/>
        </w:rPr>
        <w:t>5</w:t>
      </w:r>
      <w:r w:rsidR="004D635B">
        <w:rPr>
          <w:noProof/>
        </w:rPr>
        <w:fldChar w:fldCharType="end"/>
      </w:r>
    </w:p>
    <w:p w:rsidR="00744A3F" w:rsidRDefault="00744A3F">
      <w:pPr>
        <w:pStyle w:val="TOC2"/>
        <w:tabs>
          <w:tab w:val="left" w:pos="1000"/>
        </w:tabs>
        <w:rPr>
          <w:rFonts w:asciiTheme="minorHAnsi" w:eastAsiaTheme="minorEastAsia" w:hAnsiTheme="minorHAnsi" w:cstheme="minorBidi"/>
          <w:noProof/>
          <w:sz w:val="22"/>
          <w:szCs w:val="22"/>
        </w:rPr>
      </w:pPr>
      <w:r w:rsidRPr="00B245B5">
        <w:rPr>
          <w:noProof/>
          <w:lang w:val="en-GB"/>
        </w:rPr>
        <w:t>2.2</w:t>
      </w:r>
      <w:r>
        <w:rPr>
          <w:rFonts w:asciiTheme="minorHAnsi" w:eastAsiaTheme="minorEastAsia" w:hAnsiTheme="minorHAnsi" w:cstheme="minorBidi"/>
          <w:noProof/>
          <w:sz w:val="22"/>
          <w:szCs w:val="22"/>
        </w:rPr>
        <w:tab/>
      </w:r>
      <w:r w:rsidRPr="00B245B5">
        <w:rPr>
          <w:noProof/>
          <w:lang w:val="en-GB"/>
        </w:rPr>
        <w:t>Main user groups</w:t>
      </w:r>
      <w:r>
        <w:rPr>
          <w:noProof/>
        </w:rPr>
        <w:tab/>
      </w:r>
      <w:r w:rsidR="004D635B">
        <w:rPr>
          <w:noProof/>
        </w:rPr>
        <w:fldChar w:fldCharType="begin"/>
      </w:r>
      <w:r>
        <w:rPr>
          <w:noProof/>
        </w:rPr>
        <w:instrText xml:space="preserve"> PAGEREF _Toc287608117 \h </w:instrText>
      </w:r>
      <w:r w:rsidR="004D635B">
        <w:rPr>
          <w:noProof/>
        </w:rPr>
      </w:r>
      <w:r w:rsidR="004D635B">
        <w:rPr>
          <w:noProof/>
        </w:rPr>
        <w:fldChar w:fldCharType="separate"/>
      </w:r>
      <w:r>
        <w:rPr>
          <w:noProof/>
        </w:rPr>
        <w:t>7</w:t>
      </w:r>
      <w:r w:rsidR="004D635B">
        <w:rPr>
          <w:noProof/>
        </w:rPr>
        <w:fldChar w:fldCharType="end"/>
      </w:r>
    </w:p>
    <w:p w:rsidR="00744A3F" w:rsidRDefault="00744A3F">
      <w:pPr>
        <w:pStyle w:val="TOC2"/>
        <w:tabs>
          <w:tab w:val="left" w:pos="1000"/>
        </w:tabs>
        <w:rPr>
          <w:rFonts w:asciiTheme="minorHAnsi" w:eastAsiaTheme="minorEastAsia" w:hAnsiTheme="minorHAnsi" w:cstheme="minorBidi"/>
          <w:noProof/>
          <w:sz w:val="22"/>
          <w:szCs w:val="22"/>
        </w:rPr>
      </w:pPr>
      <w:r w:rsidRPr="00B245B5">
        <w:rPr>
          <w:noProof/>
          <w:lang w:val="en-GB"/>
        </w:rPr>
        <w:t>2.3</w:t>
      </w:r>
      <w:r>
        <w:rPr>
          <w:rFonts w:asciiTheme="minorHAnsi" w:eastAsiaTheme="minorEastAsia" w:hAnsiTheme="minorHAnsi" w:cstheme="minorBidi"/>
          <w:noProof/>
          <w:sz w:val="22"/>
          <w:szCs w:val="22"/>
        </w:rPr>
        <w:tab/>
      </w:r>
      <w:r w:rsidRPr="00B245B5">
        <w:rPr>
          <w:noProof/>
          <w:lang w:val="en-GB"/>
        </w:rPr>
        <w:t>Authentication in general</w:t>
      </w:r>
      <w:r>
        <w:rPr>
          <w:noProof/>
        </w:rPr>
        <w:tab/>
      </w:r>
      <w:r w:rsidR="004D635B">
        <w:rPr>
          <w:noProof/>
        </w:rPr>
        <w:fldChar w:fldCharType="begin"/>
      </w:r>
      <w:r>
        <w:rPr>
          <w:noProof/>
        </w:rPr>
        <w:instrText xml:space="preserve"> PAGEREF _Toc287608118 \h </w:instrText>
      </w:r>
      <w:r w:rsidR="004D635B">
        <w:rPr>
          <w:noProof/>
        </w:rPr>
      </w:r>
      <w:r w:rsidR="004D635B">
        <w:rPr>
          <w:noProof/>
        </w:rPr>
        <w:fldChar w:fldCharType="separate"/>
      </w:r>
      <w:r>
        <w:rPr>
          <w:noProof/>
        </w:rPr>
        <w:t>7</w:t>
      </w:r>
      <w:r w:rsidR="004D635B">
        <w:rPr>
          <w:noProof/>
        </w:rPr>
        <w:fldChar w:fldCharType="end"/>
      </w:r>
    </w:p>
    <w:p w:rsidR="00744A3F" w:rsidRDefault="00744A3F">
      <w:pPr>
        <w:pStyle w:val="TOC2"/>
        <w:tabs>
          <w:tab w:val="left" w:pos="1000"/>
        </w:tabs>
        <w:rPr>
          <w:rFonts w:asciiTheme="minorHAnsi" w:eastAsiaTheme="minorEastAsia" w:hAnsiTheme="minorHAnsi" w:cstheme="minorBidi"/>
          <w:noProof/>
          <w:sz w:val="22"/>
          <w:szCs w:val="22"/>
        </w:rPr>
      </w:pPr>
      <w:r w:rsidRPr="00B245B5">
        <w:rPr>
          <w:noProof/>
          <w:lang w:val="en-GB"/>
        </w:rPr>
        <w:t>2.4</w:t>
      </w:r>
      <w:r>
        <w:rPr>
          <w:rFonts w:asciiTheme="minorHAnsi" w:eastAsiaTheme="minorEastAsia" w:hAnsiTheme="minorHAnsi" w:cstheme="minorBidi"/>
          <w:noProof/>
          <w:sz w:val="22"/>
          <w:szCs w:val="22"/>
        </w:rPr>
        <w:tab/>
      </w:r>
      <w:r w:rsidRPr="00B245B5">
        <w:rPr>
          <w:noProof/>
          <w:lang w:val="en-GB"/>
        </w:rPr>
        <w:t>Authorisation and access control in general</w:t>
      </w:r>
      <w:r>
        <w:rPr>
          <w:noProof/>
        </w:rPr>
        <w:tab/>
      </w:r>
      <w:r w:rsidR="004D635B">
        <w:rPr>
          <w:noProof/>
        </w:rPr>
        <w:fldChar w:fldCharType="begin"/>
      </w:r>
      <w:r>
        <w:rPr>
          <w:noProof/>
        </w:rPr>
        <w:instrText xml:space="preserve"> PAGEREF _Toc287608119 \h </w:instrText>
      </w:r>
      <w:r w:rsidR="004D635B">
        <w:rPr>
          <w:noProof/>
        </w:rPr>
      </w:r>
      <w:r w:rsidR="004D635B">
        <w:rPr>
          <w:noProof/>
        </w:rPr>
        <w:fldChar w:fldCharType="separate"/>
      </w:r>
      <w:r>
        <w:rPr>
          <w:noProof/>
        </w:rPr>
        <w:t>8</w:t>
      </w:r>
      <w:r w:rsidR="004D635B">
        <w:rPr>
          <w:noProof/>
        </w:rPr>
        <w:fldChar w:fldCharType="end"/>
      </w:r>
    </w:p>
    <w:p w:rsidR="00744A3F" w:rsidRDefault="00744A3F">
      <w:pPr>
        <w:pStyle w:val="TOC1"/>
        <w:tabs>
          <w:tab w:val="left" w:pos="432"/>
        </w:tabs>
        <w:rPr>
          <w:rFonts w:asciiTheme="minorHAnsi" w:eastAsiaTheme="minorEastAsia" w:hAnsiTheme="minorHAnsi" w:cstheme="minorBidi"/>
          <w:noProof/>
          <w:sz w:val="22"/>
          <w:szCs w:val="22"/>
        </w:rPr>
      </w:pPr>
      <w:r w:rsidRPr="00B245B5">
        <w:rPr>
          <w:noProof/>
          <w:lang w:val="en-GB"/>
        </w:rPr>
        <w:t>3.</w:t>
      </w:r>
      <w:r>
        <w:rPr>
          <w:rFonts w:asciiTheme="minorHAnsi" w:eastAsiaTheme="minorEastAsia" w:hAnsiTheme="minorHAnsi" w:cstheme="minorBidi"/>
          <w:noProof/>
          <w:sz w:val="22"/>
          <w:szCs w:val="22"/>
        </w:rPr>
        <w:tab/>
      </w:r>
      <w:r w:rsidRPr="00B245B5">
        <w:rPr>
          <w:noProof/>
          <w:lang w:val="en-GB"/>
        </w:rPr>
        <w:t>Overall logical design</w:t>
      </w:r>
      <w:r>
        <w:rPr>
          <w:noProof/>
        </w:rPr>
        <w:tab/>
      </w:r>
      <w:r w:rsidR="004D635B">
        <w:rPr>
          <w:noProof/>
        </w:rPr>
        <w:fldChar w:fldCharType="begin"/>
      </w:r>
      <w:r>
        <w:rPr>
          <w:noProof/>
        </w:rPr>
        <w:instrText xml:space="preserve"> PAGEREF _Toc287608120 \h </w:instrText>
      </w:r>
      <w:r w:rsidR="004D635B">
        <w:rPr>
          <w:noProof/>
        </w:rPr>
      </w:r>
      <w:r w:rsidR="004D635B">
        <w:rPr>
          <w:noProof/>
        </w:rPr>
        <w:fldChar w:fldCharType="separate"/>
      </w:r>
      <w:r>
        <w:rPr>
          <w:noProof/>
        </w:rPr>
        <w:t>9</w:t>
      </w:r>
      <w:r w:rsidR="004D635B">
        <w:rPr>
          <w:noProof/>
        </w:rPr>
        <w:fldChar w:fldCharType="end"/>
      </w:r>
    </w:p>
    <w:p w:rsidR="00744A3F" w:rsidRDefault="00744A3F">
      <w:pPr>
        <w:pStyle w:val="TOC2"/>
        <w:tabs>
          <w:tab w:val="left" w:pos="1000"/>
        </w:tabs>
        <w:rPr>
          <w:rFonts w:asciiTheme="minorHAnsi" w:eastAsiaTheme="minorEastAsia" w:hAnsiTheme="minorHAnsi" w:cstheme="minorBidi"/>
          <w:noProof/>
          <w:sz w:val="22"/>
          <w:szCs w:val="22"/>
        </w:rPr>
      </w:pPr>
      <w:r w:rsidRPr="00B245B5">
        <w:rPr>
          <w:noProof/>
          <w:lang w:val="en-GB"/>
        </w:rPr>
        <w:t>3.1</w:t>
      </w:r>
      <w:r>
        <w:rPr>
          <w:rFonts w:asciiTheme="minorHAnsi" w:eastAsiaTheme="minorEastAsia" w:hAnsiTheme="minorHAnsi" w:cstheme="minorBidi"/>
          <w:noProof/>
          <w:sz w:val="22"/>
          <w:szCs w:val="22"/>
        </w:rPr>
        <w:tab/>
      </w:r>
      <w:r w:rsidRPr="00B245B5">
        <w:rPr>
          <w:noProof/>
          <w:lang w:val="en-GB"/>
        </w:rPr>
        <w:t>Application architecture</w:t>
      </w:r>
      <w:r>
        <w:rPr>
          <w:noProof/>
        </w:rPr>
        <w:tab/>
      </w:r>
      <w:r w:rsidR="004D635B">
        <w:rPr>
          <w:noProof/>
        </w:rPr>
        <w:fldChar w:fldCharType="begin"/>
      </w:r>
      <w:r>
        <w:rPr>
          <w:noProof/>
        </w:rPr>
        <w:instrText xml:space="preserve"> PAGEREF _Toc287608121 \h </w:instrText>
      </w:r>
      <w:r w:rsidR="004D635B">
        <w:rPr>
          <w:noProof/>
        </w:rPr>
      </w:r>
      <w:r w:rsidR="004D635B">
        <w:rPr>
          <w:noProof/>
        </w:rPr>
        <w:fldChar w:fldCharType="separate"/>
      </w:r>
      <w:r>
        <w:rPr>
          <w:noProof/>
        </w:rPr>
        <w:t>9</w:t>
      </w:r>
      <w:r w:rsidR="004D635B">
        <w:rPr>
          <w:noProof/>
        </w:rPr>
        <w:fldChar w:fldCharType="end"/>
      </w:r>
    </w:p>
    <w:p w:rsidR="00744A3F" w:rsidRDefault="00744A3F">
      <w:pPr>
        <w:pStyle w:val="TOC2"/>
        <w:tabs>
          <w:tab w:val="left" w:pos="100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Logging, auditing, and monitoring</w:t>
      </w:r>
      <w:r>
        <w:rPr>
          <w:noProof/>
        </w:rPr>
        <w:tab/>
      </w:r>
      <w:r w:rsidR="004D635B">
        <w:rPr>
          <w:noProof/>
        </w:rPr>
        <w:fldChar w:fldCharType="begin"/>
      </w:r>
      <w:r>
        <w:rPr>
          <w:noProof/>
        </w:rPr>
        <w:instrText xml:space="preserve"> PAGEREF _Toc287608122 \h </w:instrText>
      </w:r>
      <w:r w:rsidR="004D635B">
        <w:rPr>
          <w:noProof/>
        </w:rPr>
      </w:r>
      <w:r w:rsidR="004D635B">
        <w:rPr>
          <w:noProof/>
        </w:rPr>
        <w:fldChar w:fldCharType="separate"/>
      </w:r>
      <w:r>
        <w:rPr>
          <w:noProof/>
        </w:rPr>
        <w:t>9</w:t>
      </w:r>
      <w:r w:rsidR="004D635B">
        <w:rPr>
          <w:noProof/>
        </w:rPr>
        <w:fldChar w:fldCharType="end"/>
      </w:r>
    </w:p>
    <w:p w:rsidR="00744A3F" w:rsidRDefault="00744A3F">
      <w:pPr>
        <w:pStyle w:val="TOC1"/>
        <w:tabs>
          <w:tab w:val="left" w:pos="432"/>
        </w:tabs>
        <w:rPr>
          <w:rFonts w:asciiTheme="minorHAnsi" w:eastAsiaTheme="minorEastAsia" w:hAnsiTheme="minorHAnsi" w:cstheme="minorBidi"/>
          <w:noProof/>
          <w:sz w:val="22"/>
          <w:szCs w:val="22"/>
        </w:rPr>
      </w:pPr>
      <w:r w:rsidRPr="00B245B5">
        <w:rPr>
          <w:noProof/>
          <w:lang w:val="en-GB"/>
        </w:rPr>
        <w:t>4.</w:t>
      </w:r>
      <w:r>
        <w:rPr>
          <w:rFonts w:asciiTheme="minorHAnsi" w:eastAsiaTheme="minorEastAsia" w:hAnsiTheme="minorHAnsi" w:cstheme="minorBidi"/>
          <w:noProof/>
          <w:sz w:val="22"/>
          <w:szCs w:val="22"/>
        </w:rPr>
        <w:tab/>
      </w:r>
      <w:r w:rsidRPr="00B245B5">
        <w:rPr>
          <w:noProof/>
          <w:lang w:val="en-GB"/>
        </w:rPr>
        <w:t>Overall physical design</w:t>
      </w:r>
      <w:r>
        <w:rPr>
          <w:noProof/>
        </w:rPr>
        <w:tab/>
      </w:r>
      <w:r w:rsidR="004D635B">
        <w:rPr>
          <w:noProof/>
        </w:rPr>
        <w:fldChar w:fldCharType="begin"/>
      </w:r>
      <w:r>
        <w:rPr>
          <w:noProof/>
        </w:rPr>
        <w:instrText xml:space="preserve"> PAGEREF _Toc287608123 \h </w:instrText>
      </w:r>
      <w:r w:rsidR="004D635B">
        <w:rPr>
          <w:noProof/>
        </w:rPr>
      </w:r>
      <w:r w:rsidR="004D635B">
        <w:rPr>
          <w:noProof/>
        </w:rPr>
        <w:fldChar w:fldCharType="separate"/>
      </w:r>
      <w:r>
        <w:rPr>
          <w:noProof/>
        </w:rPr>
        <w:t>10</w:t>
      </w:r>
      <w:r w:rsidR="004D635B">
        <w:rPr>
          <w:noProof/>
        </w:rPr>
        <w:fldChar w:fldCharType="end"/>
      </w:r>
    </w:p>
    <w:p w:rsidR="00744A3F" w:rsidRDefault="00744A3F">
      <w:pPr>
        <w:pStyle w:val="TOC2"/>
        <w:tabs>
          <w:tab w:val="left" w:pos="1000"/>
        </w:tabs>
        <w:rPr>
          <w:rFonts w:asciiTheme="minorHAnsi" w:eastAsiaTheme="minorEastAsia" w:hAnsiTheme="minorHAnsi" w:cstheme="minorBidi"/>
          <w:noProof/>
          <w:sz w:val="22"/>
          <w:szCs w:val="22"/>
        </w:rPr>
      </w:pPr>
      <w:r w:rsidRPr="00B245B5">
        <w:rPr>
          <w:noProof/>
          <w:lang w:val="en-GB"/>
        </w:rPr>
        <w:t>4.1</w:t>
      </w:r>
      <w:r>
        <w:rPr>
          <w:rFonts w:asciiTheme="minorHAnsi" w:eastAsiaTheme="minorEastAsia" w:hAnsiTheme="minorHAnsi" w:cstheme="minorBidi"/>
          <w:noProof/>
          <w:sz w:val="22"/>
          <w:szCs w:val="22"/>
        </w:rPr>
        <w:tab/>
      </w:r>
      <w:r w:rsidRPr="00B245B5">
        <w:rPr>
          <w:noProof/>
          <w:lang w:val="en-GB"/>
        </w:rPr>
        <w:t>Desktop environment</w:t>
      </w:r>
      <w:r>
        <w:rPr>
          <w:noProof/>
        </w:rPr>
        <w:tab/>
      </w:r>
      <w:r w:rsidR="004D635B">
        <w:rPr>
          <w:noProof/>
        </w:rPr>
        <w:fldChar w:fldCharType="begin"/>
      </w:r>
      <w:r>
        <w:rPr>
          <w:noProof/>
        </w:rPr>
        <w:instrText xml:space="preserve"> PAGEREF _Toc287608124 \h </w:instrText>
      </w:r>
      <w:r w:rsidR="004D635B">
        <w:rPr>
          <w:noProof/>
        </w:rPr>
      </w:r>
      <w:r w:rsidR="004D635B">
        <w:rPr>
          <w:noProof/>
        </w:rPr>
        <w:fldChar w:fldCharType="separate"/>
      </w:r>
      <w:r>
        <w:rPr>
          <w:noProof/>
        </w:rPr>
        <w:t>10</w:t>
      </w:r>
      <w:r w:rsidR="004D635B">
        <w:rPr>
          <w:noProof/>
        </w:rPr>
        <w:fldChar w:fldCharType="end"/>
      </w:r>
    </w:p>
    <w:p w:rsidR="00744A3F" w:rsidRDefault="00744A3F">
      <w:pPr>
        <w:pStyle w:val="TOC2"/>
        <w:tabs>
          <w:tab w:val="left" w:pos="1000"/>
        </w:tabs>
        <w:rPr>
          <w:rFonts w:asciiTheme="minorHAnsi" w:eastAsiaTheme="minorEastAsia" w:hAnsiTheme="minorHAnsi" w:cstheme="minorBidi"/>
          <w:noProof/>
          <w:sz w:val="22"/>
          <w:szCs w:val="22"/>
        </w:rPr>
      </w:pPr>
      <w:r w:rsidRPr="00B245B5">
        <w:rPr>
          <w:noProof/>
          <w:lang w:val="en-GB"/>
        </w:rPr>
        <w:t>4.2</w:t>
      </w:r>
      <w:r>
        <w:rPr>
          <w:rFonts w:asciiTheme="minorHAnsi" w:eastAsiaTheme="minorEastAsia" w:hAnsiTheme="minorHAnsi" w:cstheme="minorBidi"/>
          <w:noProof/>
          <w:sz w:val="22"/>
          <w:szCs w:val="22"/>
        </w:rPr>
        <w:tab/>
      </w:r>
      <w:r w:rsidRPr="00B245B5">
        <w:rPr>
          <w:noProof/>
          <w:lang w:val="en-GB"/>
        </w:rPr>
        <w:t>Local area network environment</w:t>
      </w:r>
      <w:r>
        <w:rPr>
          <w:noProof/>
        </w:rPr>
        <w:tab/>
      </w:r>
      <w:r w:rsidR="004D635B">
        <w:rPr>
          <w:noProof/>
        </w:rPr>
        <w:fldChar w:fldCharType="begin"/>
      </w:r>
      <w:r>
        <w:rPr>
          <w:noProof/>
        </w:rPr>
        <w:instrText xml:space="preserve"> PAGEREF _Toc287608125 \h </w:instrText>
      </w:r>
      <w:r w:rsidR="004D635B">
        <w:rPr>
          <w:noProof/>
        </w:rPr>
      </w:r>
      <w:r w:rsidR="004D635B">
        <w:rPr>
          <w:noProof/>
        </w:rPr>
        <w:fldChar w:fldCharType="separate"/>
      </w:r>
      <w:r>
        <w:rPr>
          <w:noProof/>
        </w:rPr>
        <w:t>11</w:t>
      </w:r>
      <w:r w:rsidR="004D635B">
        <w:rPr>
          <w:noProof/>
        </w:rPr>
        <w:fldChar w:fldCharType="end"/>
      </w:r>
    </w:p>
    <w:p w:rsidR="00744A3F" w:rsidRDefault="00744A3F">
      <w:pPr>
        <w:pStyle w:val="TOC2"/>
        <w:tabs>
          <w:tab w:val="left" w:pos="1000"/>
        </w:tabs>
        <w:rPr>
          <w:rFonts w:asciiTheme="minorHAnsi" w:eastAsiaTheme="minorEastAsia" w:hAnsiTheme="minorHAnsi" w:cstheme="minorBidi"/>
          <w:noProof/>
          <w:sz w:val="22"/>
          <w:szCs w:val="22"/>
        </w:rPr>
      </w:pPr>
      <w:r w:rsidRPr="00B245B5">
        <w:rPr>
          <w:noProof/>
          <w:lang w:val="en-GB"/>
        </w:rPr>
        <w:t>4.3</w:t>
      </w:r>
      <w:r>
        <w:rPr>
          <w:rFonts w:asciiTheme="minorHAnsi" w:eastAsiaTheme="minorEastAsia" w:hAnsiTheme="minorHAnsi" w:cstheme="minorBidi"/>
          <w:noProof/>
          <w:sz w:val="22"/>
          <w:szCs w:val="22"/>
        </w:rPr>
        <w:tab/>
      </w:r>
      <w:r w:rsidRPr="00B245B5">
        <w:rPr>
          <w:noProof/>
          <w:lang w:val="en-GB"/>
        </w:rPr>
        <w:t>Wide area networking environment</w:t>
      </w:r>
      <w:r>
        <w:rPr>
          <w:noProof/>
        </w:rPr>
        <w:tab/>
      </w:r>
      <w:r w:rsidR="004D635B">
        <w:rPr>
          <w:noProof/>
        </w:rPr>
        <w:fldChar w:fldCharType="begin"/>
      </w:r>
      <w:r>
        <w:rPr>
          <w:noProof/>
        </w:rPr>
        <w:instrText xml:space="preserve"> PAGEREF _Toc287608126 \h </w:instrText>
      </w:r>
      <w:r w:rsidR="004D635B">
        <w:rPr>
          <w:noProof/>
        </w:rPr>
      </w:r>
      <w:r w:rsidR="004D635B">
        <w:rPr>
          <w:noProof/>
        </w:rPr>
        <w:fldChar w:fldCharType="separate"/>
      </w:r>
      <w:r>
        <w:rPr>
          <w:noProof/>
        </w:rPr>
        <w:t>11</w:t>
      </w:r>
      <w:r w:rsidR="004D635B">
        <w:rPr>
          <w:noProof/>
        </w:rPr>
        <w:fldChar w:fldCharType="end"/>
      </w:r>
    </w:p>
    <w:p w:rsidR="00744A3F" w:rsidRDefault="00744A3F">
      <w:pPr>
        <w:pStyle w:val="TOC2"/>
        <w:tabs>
          <w:tab w:val="left" w:pos="1000"/>
        </w:tabs>
        <w:rPr>
          <w:rFonts w:asciiTheme="minorHAnsi" w:eastAsiaTheme="minorEastAsia" w:hAnsiTheme="minorHAnsi" w:cstheme="minorBidi"/>
          <w:noProof/>
          <w:sz w:val="22"/>
          <w:szCs w:val="22"/>
        </w:rPr>
      </w:pPr>
      <w:r w:rsidRPr="00B245B5">
        <w:rPr>
          <w:noProof/>
          <w:lang w:val="en-GB"/>
        </w:rPr>
        <w:t>4.4</w:t>
      </w:r>
      <w:r>
        <w:rPr>
          <w:rFonts w:asciiTheme="minorHAnsi" w:eastAsiaTheme="minorEastAsia" w:hAnsiTheme="minorHAnsi" w:cstheme="minorBidi"/>
          <w:noProof/>
          <w:sz w:val="22"/>
          <w:szCs w:val="22"/>
        </w:rPr>
        <w:tab/>
      </w:r>
      <w:r w:rsidRPr="00B245B5">
        <w:rPr>
          <w:noProof/>
          <w:lang w:val="en-GB"/>
        </w:rPr>
        <w:t>Network components</w:t>
      </w:r>
      <w:r>
        <w:rPr>
          <w:noProof/>
        </w:rPr>
        <w:tab/>
      </w:r>
      <w:r w:rsidR="004D635B">
        <w:rPr>
          <w:noProof/>
        </w:rPr>
        <w:fldChar w:fldCharType="begin"/>
      </w:r>
      <w:r>
        <w:rPr>
          <w:noProof/>
        </w:rPr>
        <w:instrText xml:space="preserve"> PAGEREF _Toc287608127 \h </w:instrText>
      </w:r>
      <w:r w:rsidR="004D635B">
        <w:rPr>
          <w:noProof/>
        </w:rPr>
      </w:r>
      <w:r w:rsidR="004D635B">
        <w:rPr>
          <w:noProof/>
        </w:rPr>
        <w:fldChar w:fldCharType="separate"/>
      </w:r>
      <w:r>
        <w:rPr>
          <w:noProof/>
        </w:rPr>
        <w:t>11</w:t>
      </w:r>
      <w:r w:rsidR="004D635B">
        <w:rPr>
          <w:noProof/>
        </w:rPr>
        <w:fldChar w:fldCharType="end"/>
      </w:r>
    </w:p>
    <w:p w:rsidR="00744A3F" w:rsidRDefault="00744A3F">
      <w:pPr>
        <w:pStyle w:val="TOC2"/>
        <w:tabs>
          <w:tab w:val="left" w:pos="1000"/>
        </w:tabs>
        <w:rPr>
          <w:rFonts w:asciiTheme="minorHAnsi" w:eastAsiaTheme="minorEastAsia" w:hAnsiTheme="minorHAnsi" w:cstheme="minorBidi"/>
          <w:noProof/>
          <w:sz w:val="22"/>
          <w:szCs w:val="22"/>
        </w:rPr>
      </w:pPr>
      <w:r w:rsidRPr="00B245B5">
        <w:rPr>
          <w:noProof/>
          <w:lang w:val="en-GB"/>
        </w:rPr>
        <w:t>4.5</w:t>
      </w:r>
      <w:r>
        <w:rPr>
          <w:rFonts w:asciiTheme="minorHAnsi" w:eastAsiaTheme="minorEastAsia" w:hAnsiTheme="minorHAnsi" w:cstheme="minorBidi"/>
          <w:noProof/>
          <w:sz w:val="22"/>
          <w:szCs w:val="22"/>
        </w:rPr>
        <w:tab/>
      </w:r>
      <w:r w:rsidRPr="00B245B5">
        <w:rPr>
          <w:noProof/>
          <w:lang w:val="en-GB"/>
        </w:rPr>
        <w:t>Solution topology</w:t>
      </w:r>
      <w:r>
        <w:rPr>
          <w:noProof/>
        </w:rPr>
        <w:tab/>
      </w:r>
      <w:r w:rsidR="004D635B">
        <w:rPr>
          <w:noProof/>
        </w:rPr>
        <w:fldChar w:fldCharType="begin"/>
      </w:r>
      <w:r>
        <w:rPr>
          <w:noProof/>
        </w:rPr>
        <w:instrText xml:space="preserve"> PAGEREF _Toc287608128 \h </w:instrText>
      </w:r>
      <w:r w:rsidR="004D635B">
        <w:rPr>
          <w:noProof/>
        </w:rPr>
      </w:r>
      <w:r w:rsidR="004D635B">
        <w:rPr>
          <w:noProof/>
        </w:rPr>
        <w:fldChar w:fldCharType="separate"/>
      </w:r>
      <w:r>
        <w:rPr>
          <w:noProof/>
        </w:rPr>
        <w:t>11</w:t>
      </w:r>
      <w:r w:rsidR="004D635B">
        <w:rPr>
          <w:noProof/>
        </w:rPr>
        <w:fldChar w:fldCharType="end"/>
      </w:r>
    </w:p>
    <w:p w:rsidR="004251E8" w:rsidRPr="00BC7F3F" w:rsidRDefault="004D635B" w:rsidP="004251E8">
      <w:pPr>
        <w:rPr>
          <w:lang w:val="en-GB"/>
        </w:rPr>
      </w:pPr>
      <w:r w:rsidRPr="00BC7F3F">
        <w:rPr>
          <w:lang w:val="en-GB"/>
        </w:rPr>
        <w:fldChar w:fldCharType="end"/>
      </w:r>
    </w:p>
    <w:p w:rsidR="004251E8" w:rsidRPr="00BC7F3F" w:rsidRDefault="004251E8">
      <w:pPr>
        <w:widowControl/>
        <w:spacing w:line="240" w:lineRule="auto"/>
        <w:rPr>
          <w:lang w:val="en-GB"/>
        </w:rPr>
      </w:pPr>
      <w:r w:rsidRPr="00BC7F3F">
        <w:rPr>
          <w:lang w:val="en-GB"/>
        </w:rPr>
        <w:br w:type="page"/>
      </w:r>
    </w:p>
    <w:p w:rsidR="00EE57E4" w:rsidRPr="00BC7F3F" w:rsidRDefault="00057D89" w:rsidP="007A1C4B">
      <w:pPr>
        <w:pStyle w:val="Heading1"/>
        <w:pageBreakBefore/>
        <w:rPr>
          <w:lang w:val="en-GB"/>
        </w:rPr>
      </w:pPr>
      <w:bookmarkStart w:id="0" w:name="_Toc287608114"/>
      <w:r w:rsidRPr="00BC7F3F">
        <w:rPr>
          <w:lang w:val="en-GB"/>
        </w:rPr>
        <w:lastRenderedPageBreak/>
        <w:t>Introduction</w:t>
      </w:r>
      <w:bookmarkEnd w:id="0"/>
    </w:p>
    <w:p w:rsidR="00046028" w:rsidRPr="00BC7F3F" w:rsidRDefault="00162983" w:rsidP="00DC5FE5">
      <w:pPr>
        <w:rPr>
          <w:lang w:val="en-GB"/>
        </w:rPr>
      </w:pPr>
      <w:r w:rsidRPr="00BC7F3F">
        <w:rPr>
          <w:lang w:val="en-GB"/>
        </w:rPr>
        <w:t>T</w:t>
      </w:r>
      <w:r w:rsidR="00046028" w:rsidRPr="00BC7F3F">
        <w:rPr>
          <w:lang w:val="en-GB"/>
        </w:rPr>
        <w:t xml:space="preserve">his document </w:t>
      </w:r>
      <w:r w:rsidRPr="00BC7F3F">
        <w:rPr>
          <w:lang w:val="en-GB"/>
        </w:rPr>
        <w:t>present</w:t>
      </w:r>
      <w:r w:rsidR="00DD45DC" w:rsidRPr="00BC7F3F">
        <w:rPr>
          <w:lang w:val="en-GB"/>
        </w:rPr>
        <w:t>s</w:t>
      </w:r>
      <w:r w:rsidRPr="00BC7F3F">
        <w:rPr>
          <w:lang w:val="en-GB"/>
        </w:rPr>
        <w:t xml:space="preserve"> the security architecture of the election systems which is part of the E-vote 2011 project.</w:t>
      </w:r>
      <w:r w:rsidR="00DD45DC" w:rsidRPr="00BC7F3F">
        <w:rPr>
          <w:lang w:val="en-GB"/>
        </w:rPr>
        <w:t xml:space="preserve"> </w:t>
      </w:r>
      <w:r w:rsidRPr="00BC7F3F">
        <w:rPr>
          <w:lang w:val="en-GB"/>
        </w:rPr>
        <w:t xml:space="preserve">By </w:t>
      </w:r>
      <w:r w:rsidRPr="00BC7F3F">
        <w:rPr>
          <w:i/>
          <w:lang w:val="en-GB"/>
        </w:rPr>
        <w:t>security architecture</w:t>
      </w:r>
      <w:r w:rsidRPr="00BC7F3F">
        <w:rPr>
          <w:lang w:val="en-GB"/>
        </w:rPr>
        <w:t xml:space="preserve">, we mean the conceptual, logical, and physical design which is used to protect </w:t>
      </w:r>
      <w:r w:rsidR="00B773CF" w:rsidRPr="00BC7F3F">
        <w:rPr>
          <w:lang w:val="en-GB"/>
        </w:rPr>
        <w:t>the systems and the information they protect</w:t>
      </w:r>
      <w:r w:rsidRPr="00BC7F3F">
        <w:rPr>
          <w:lang w:val="en-GB"/>
        </w:rPr>
        <w:t xml:space="preserve"> from compromise.</w:t>
      </w:r>
    </w:p>
    <w:p w:rsidR="00997C7A" w:rsidRPr="00BC7F3F" w:rsidRDefault="00997C7A" w:rsidP="00997C7A">
      <w:pPr>
        <w:rPr>
          <w:b/>
          <w:lang w:val="en-GB"/>
        </w:rPr>
      </w:pPr>
    </w:p>
    <w:p w:rsidR="00B773CF" w:rsidRPr="00BC7F3F" w:rsidRDefault="00B773CF" w:rsidP="00B773CF">
      <w:pPr>
        <w:rPr>
          <w:lang w:val="en-GB"/>
        </w:rPr>
      </w:pPr>
      <w:r w:rsidRPr="00BC7F3F">
        <w:rPr>
          <w:lang w:val="en-GB"/>
        </w:rPr>
        <w:t>The E-Vote 2011</w:t>
      </w:r>
      <w:r w:rsidR="0018650E" w:rsidRPr="00BC7F3F">
        <w:rPr>
          <w:lang w:val="en-GB"/>
        </w:rPr>
        <w:t>solution</w:t>
      </w:r>
      <w:r w:rsidRPr="00BC7F3F">
        <w:rPr>
          <w:lang w:val="en-GB"/>
        </w:rPr>
        <w:t xml:space="preserve"> consists of three different but interacting systems:</w:t>
      </w:r>
    </w:p>
    <w:p w:rsidR="00B773CF" w:rsidRPr="00BC7F3F" w:rsidRDefault="00B773CF" w:rsidP="00B773CF">
      <w:pPr>
        <w:rPr>
          <w:lang w:val="en-GB"/>
        </w:rPr>
      </w:pPr>
    </w:p>
    <w:p w:rsidR="00B773CF" w:rsidRPr="00BC7F3F" w:rsidRDefault="00B773CF" w:rsidP="00B773CF">
      <w:pPr>
        <w:rPr>
          <w:lang w:val="en-GB"/>
        </w:rPr>
      </w:pPr>
      <w:r w:rsidRPr="00BC7F3F">
        <w:rPr>
          <w:lang w:val="en-GB"/>
        </w:rPr>
        <w:object w:dxaOrig="10259" w:dyaOrig="1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45pt;height:65.05pt" o:ole="">
            <v:imagedata r:id="rId14" o:title=""/>
          </v:shape>
          <o:OLEObject Type="Embed" ProgID="Visio.Drawing.11" ShapeID="_x0000_i1025" DrawAspect="Content" ObjectID="_1368616059" r:id="rId15"/>
        </w:object>
      </w:r>
    </w:p>
    <w:p w:rsidR="00B773CF" w:rsidRPr="00BC7F3F" w:rsidRDefault="00B773CF" w:rsidP="00B773CF">
      <w:pPr>
        <w:rPr>
          <w:lang w:val="en-GB"/>
        </w:rPr>
      </w:pPr>
    </w:p>
    <w:p w:rsidR="00B773CF" w:rsidRPr="00BC7F3F" w:rsidRDefault="00131DE2" w:rsidP="00B773CF">
      <w:pPr>
        <w:rPr>
          <w:lang w:val="en-GB"/>
        </w:rPr>
      </w:pPr>
      <w:r w:rsidRPr="00131DE2">
        <w:rPr>
          <w:lang w:val="en-GB"/>
        </w:rPr>
        <w:t>Each system can operate in its own environment, but require interaction to satisfy common requirements for configuration, authentication, reporting, auditing, and key management.</w:t>
      </w:r>
      <w:r w:rsidR="00B773CF" w:rsidRPr="00BC7F3F">
        <w:rPr>
          <w:lang w:val="en-GB"/>
        </w:rPr>
        <w:t xml:space="preserve"> The security architectur</w:t>
      </w:r>
      <w:r w:rsidR="0018650E" w:rsidRPr="00BC7F3F">
        <w:rPr>
          <w:lang w:val="en-GB"/>
        </w:rPr>
        <w:t>e document</w:t>
      </w:r>
      <w:r w:rsidR="00C06EE5">
        <w:rPr>
          <w:lang w:val="en-GB"/>
        </w:rPr>
        <w:t>ation</w:t>
      </w:r>
      <w:r w:rsidR="0018650E" w:rsidRPr="00BC7F3F">
        <w:rPr>
          <w:lang w:val="en-GB"/>
        </w:rPr>
        <w:t xml:space="preserve"> is divided in one </w:t>
      </w:r>
      <w:r w:rsidR="00C06EE5">
        <w:rPr>
          <w:lang w:val="en-GB"/>
        </w:rPr>
        <w:t>document</w:t>
      </w:r>
      <w:r w:rsidR="00B773CF" w:rsidRPr="00BC7F3F">
        <w:rPr>
          <w:lang w:val="en-GB"/>
        </w:rPr>
        <w:t xml:space="preserve"> for each of these systems.</w:t>
      </w:r>
    </w:p>
    <w:p w:rsidR="00B773CF" w:rsidRPr="00BC7F3F" w:rsidRDefault="00B773CF" w:rsidP="00B773CF">
      <w:pPr>
        <w:rPr>
          <w:lang w:val="en-GB"/>
        </w:rPr>
      </w:pPr>
    </w:p>
    <w:p w:rsidR="00053ED4" w:rsidRPr="00BC7F3F" w:rsidRDefault="00140EB9" w:rsidP="00B773CF">
      <w:pPr>
        <w:rPr>
          <w:b/>
          <w:lang w:val="en-GB"/>
        </w:rPr>
      </w:pPr>
      <w:r w:rsidRPr="00BC7F3F">
        <w:rPr>
          <w:b/>
          <w:lang w:val="en-GB"/>
        </w:rPr>
        <w:t>Definitions</w:t>
      </w:r>
      <w:r w:rsidR="00997C7A" w:rsidRPr="00BC7F3F">
        <w:rPr>
          <w:b/>
          <w:lang w:val="en-GB"/>
        </w:rPr>
        <w:t>:</w:t>
      </w:r>
    </w:p>
    <w:tbl>
      <w:tblPr>
        <w:tblStyle w:val="TableGrid"/>
        <w:tblW w:w="9498" w:type="dxa"/>
        <w:tblInd w:w="108" w:type="dxa"/>
        <w:tblLook w:val="04A0"/>
      </w:tblPr>
      <w:tblGrid>
        <w:gridCol w:w="4475"/>
        <w:gridCol w:w="5023"/>
      </w:tblGrid>
      <w:tr w:rsidR="00140EB9" w:rsidRPr="00BC7F3F" w:rsidTr="00140EB9">
        <w:tc>
          <w:tcPr>
            <w:tcW w:w="4475" w:type="dxa"/>
          </w:tcPr>
          <w:p w:rsidR="00140EB9" w:rsidRPr="00BC7F3F" w:rsidRDefault="00140EB9" w:rsidP="00140EB9">
            <w:pPr>
              <w:jc w:val="both"/>
              <w:rPr>
                <w:lang w:val="en-GB"/>
              </w:rPr>
            </w:pPr>
            <w:r w:rsidRPr="00BC7F3F">
              <w:rPr>
                <w:lang w:val="en-GB"/>
              </w:rPr>
              <w:t>E-vote 2011</w:t>
            </w:r>
          </w:p>
        </w:tc>
        <w:tc>
          <w:tcPr>
            <w:tcW w:w="5023" w:type="dxa"/>
          </w:tcPr>
          <w:p w:rsidR="00140EB9" w:rsidRPr="00BC7F3F" w:rsidRDefault="00140EB9" w:rsidP="00140EB9">
            <w:pPr>
              <w:jc w:val="both"/>
              <w:rPr>
                <w:lang w:val="en-GB"/>
              </w:rPr>
            </w:pPr>
            <w:r w:rsidRPr="00BC7F3F">
              <w:rPr>
                <w:lang w:val="en-GB"/>
              </w:rPr>
              <w:t>The project</w:t>
            </w:r>
          </w:p>
        </w:tc>
      </w:tr>
      <w:tr w:rsidR="00140EB9" w:rsidRPr="00BC7F3F" w:rsidTr="00140EB9">
        <w:tc>
          <w:tcPr>
            <w:tcW w:w="4475" w:type="dxa"/>
          </w:tcPr>
          <w:p w:rsidR="00140EB9" w:rsidRPr="00BC7F3F" w:rsidRDefault="00140EB9" w:rsidP="00140EB9">
            <w:pPr>
              <w:jc w:val="both"/>
              <w:rPr>
                <w:lang w:val="en-GB"/>
              </w:rPr>
            </w:pPr>
            <w:r w:rsidRPr="00BC7F3F">
              <w:rPr>
                <w:lang w:val="en-GB"/>
              </w:rPr>
              <w:t>E-voting client</w:t>
            </w:r>
          </w:p>
        </w:tc>
        <w:tc>
          <w:tcPr>
            <w:tcW w:w="5023" w:type="dxa"/>
          </w:tcPr>
          <w:p w:rsidR="00140EB9" w:rsidRPr="00BC7F3F" w:rsidRDefault="00140EB9" w:rsidP="00140EB9">
            <w:pPr>
              <w:jc w:val="both"/>
              <w:rPr>
                <w:lang w:val="en-GB"/>
              </w:rPr>
            </w:pPr>
            <w:r w:rsidRPr="00BC7F3F">
              <w:rPr>
                <w:lang w:val="en-GB"/>
              </w:rPr>
              <w:t>Subsystem for casting votes electronically</w:t>
            </w:r>
          </w:p>
        </w:tc>
      </w:tr>
      <w:tr w:rsidR="00140EB9" w:rsidRPr="00BC7F3F" w:rsidTr="00140EB9">
        <w:tc>
          <w:tcPr>
            <w:tcW w:w="4475" w:type="dxa"/>
          </w:tcPr>
          <w:p w:rsidR="00140EB9" w:rsidRPr="00BC7F3F" w:rsidRDefault="00140EB9" w:rsidP="00140EB9">
            <w:pPr>
              <w:jc w:val="both"/>
              <w:rPr>
                <w:lang w:val="en-GB"/>
              </w:rPr>
            </w:pPr>
            <w:r w:rsidRPr="00BC7F3F">
              <w:rPr>
                <w:lang w:val="en-GB"/>
              </w:rPr>
              <w:t>E-voting system</w:t>
            </w:r>
            <w:r w:rsidR="007A1C4B" w:rsidRPr="00BC7F3F">
              <w:rPr>
                <w:lang w:val="en-GB"/>
              </w:rPr>
              <w:t xml:space="preserve"> (eVoting)</w:t>
            </w:r>
          </w:p>
        </w:tc>
        <w:tc>
          <w:tcPr>
            <w:tcW w:w="5023" w:type="dxa"/>
          </w:tcPr>
          <w:p w:rsidR="00140EB9" w:rsidRPr="00BC7F3F" w:rsidRDefault="00140EB9" w:rsidP="00140EB9">
            <w:pPr>
              <w:jc w:val="both"/>
              <w:rPr>
                <w:lang w:val="en-GB"/>
              </w:rPr>
            </w:pPr>
            <w:r w:rsidRPr="00BC7F3F">
              <w:rPr>
                <w:lang w:val="en-GB"/>
              </w:rPr>
              <w:t>The subsystem handling eVoting. (Includes E-voting client, backend functions for storing votes, and functions for tallying votes i.e. counting of eVotes).</w:t>
            </w:r>
          </w:p>
        </w:tc>
      </w:tr>
      <w:tr w:rsidR="00140EB9" w:rsidRPr="00BC7F3F" w:rsidTr="00140EB9">
        <w:tc>
          <w:tcPr>
            <w:tcW w:w="4475" w:type="dxa"/>
          </w:tcPr>
          <w:p w:rsidR="00140EB9" w:rsidRPr="00BC7F3F" w:rsidRDefault="007A1C4B" w:rsidP="007A1C4B">
            <w:pPr>
              <w:jc w:val="both"/>
              <w:rPr>
                <w:lang w:val="en-GB"/>
              </w:rPr>
            </w:pPr>
            <w:r w:rsidRPr="00BC7F3F">
              <w:rPr>
                <w:lang w:val="en-GB"/>
              </w:rPr>
              <w:t>Election a</w:t>
            </w:r>
            <w:r w:rsidR="00140EB9" w:rsidRPr="00BC7F3F">
              <w:rPr>
                <w:lang w:val="en-GB"/>
              </w:rPr>
              <w:t xml:space="preserve">dministration system </w:t>
            </w:r>
            <w:r w:rsidRPr="00BC7F3F">
              <w:rPr>
                <w:lang w:val="en-GB"/>
              </w:rPr>
              <w:t>(</w:t>
            </w:r>
            <w:r w:rsidR="00140EB9" w:rsidRPr="00BC7F3F">
              <w:rPr>
                <w:lang w:val="en-GB"/>
              </w:rPr>
              <w:t>Admin</w:t>
            </w:r>
            <w:r w:rsidRPr="00BC7F3F">
              <w:rPr>
                <w:lang w:val="en-GB"/>
              </w:rPr>
              <w:t>)</w:t>
            </w:r>
          </w:p>
        </w:tc>
        <w:tc>
          <w:tcPr>
            <w:tcW w:w="5023" w:type="dxa"/>
          </w:tcPr>
          <w:p w:rsidR="00140EB9" w:rsidRPr="00BC7F3F" w:rsidRDefault="00140EB9" w:rsidP="00140EB9">
            <w:pPr>
              <w:jc w:val="both"/>
              <w:rPr>
                <w:lang w:val="en-GB"/>
              </w:rPr>
            </w:pPr>
            <w:r w:rsidRPr="00BC7F3F">
              <w:rPr>
                <w:lang w:val="en-GB"/>
              </w:rPr>
              <w:t>Subsystem for configuring and managing elections</w:t>
            </w:r>
          </w:p>
        </w:tc>
      </w:tr>
      <w:tr w:rsidR="00140EB9" w:rsidRPr="00BC7F3F" w:rsidTr="00140EB9">
        <w:tc>
          <w:tcPr>
            <w:tcW w:w="4475" w:type="dxa"/>
          </w:tcPr>
          <w:p w:rsidR="00140EB9" w:rsidRPr="00BC7F3F" w:rsidRDefault="00140EB9" w:rsidP="00140EB9">
            <w:pPr>
              <w:jc w:val="both"/>
              <w:rPr>
                <w:lang w:val="en-GB"/>
              </w:rPr>
            </w:pPr>
            <w:r w:rsidRPr="00BC7F3F">
              <w:rPr>
                <w:lang w:val="en-GB"/>
              </w:rPr>
              <w:t>List proposals</w:t>
            </w:r>
          </w:p>
        </w:tc>
        <w:tc>
          <w:tcPr>
            <w:tcW w:w="5023" w:type="dxa"/>
          </w:tcPr>
          <w:p w:rsidR="00140EB9" w:rsidRPr="00BC7F3F" w:rsidRDefault="00140EB9" w:rsidP="00140EB9">
            <w:pPr>
              <w:jc w:val="both"/>
              <w:rPr>
                <w:lang w:val="en-GB"/>
              </w:rPr>
            </w:pPr>
            <w:r w:rsidRPr="00BC7F3F">
              <w:rPr>
                <w:lang w:val="en-GB"/>
              </w:rPr>
              <w:t>Part of the Admin system</w:t>
            </w:r>
          </w:p>
        </w:tc>
      </w:tr>
      <w:tr w:rsidR="00140EB9" w:rsidRPr="00BC7F3F" w:rsidTr="00140EB9">
        <w:tc>
          <w:tcPr>
            <w:tcW w:w="4475" w:type="dxa"/>
          </w:tcPr>
          <w:p w:rsidR="00140EB9" w:rsidRPr="00BC7F3F" w:rsidRDefault="00140EB9" w:rsidP="00140EB9">
            <w:pPr>
              <w:jc w:val="both"/>
              <w:rPr>
                <w:lang w:val="en-GB"/>
              </w:rPr>
            </w:pPr>
            <w:r w:rsidRPr="00BC7F3F">
              <w:rPr>
                <w:lang w:val="en-GB"/>
              </w:rPr>
              <w:t>Electoral Roll</w:t>
            </w:r>
          </w:p>
        </w:tc>
        <w:tc>
          <w:tcPr>
            <w:tcW w:w="5023" w:type="dxa"/>
          </w:tcPr>
          <w:p w:rsidR="00140EB9" w:rsidRPr="00BC7F3F" w:rsidRDefault="00140EB9" w:rsidP="00140EB9">
            <w:pPr>
              <w:jc w:val="both"/>
              <w:rPr>
                <w:lang w:val="en-GB"/>
              </w:rPr>
            </w:pPr>
            <w:r w:rsidRPr="00BC7F3F">
              <w:rPr>
                <w:lang w:val="en-GB"/>
              </w:rPr>
              <w:t>Part of the Admin system</w:t>
            </w:r>
          </w:p>
        </w:tc>
      </w:tr>
      <w:tr w:rsidR="00140EB9" w:rsidRPr="00BC7F3F" w:rsidTr="00140EB9">
        <w:tc>
          <w:tcPr>
            <w:tcW w:w="4475" w:type="dxa"/>
          </w:tcPr>
          <w:p w:rsidR="00140EB9" w:rsidRPr="00BC7F3F" w:rsidRDefault="00140EB9" w:rsidP="00140EB9">
            <w:pPr>
              <w:jc w:val="both"/>
              <w:rPr>
                <w:lang w:val="en-GB"/>
              </w:rPr>
            </w:pPr>
            <w:r w:rsidRPr="00BC7F3F">
              <w:rPr>
                <w:lang w:val="en-GB"/>
              </w:rPr>
              <w:t>Election configuration</w:t>
            </w:r>
          </w:p>
        </w:tc>
        <w:tc>
          <w:tcPr>
            <w:tcW w:w="5023" w:type="dxa"/>
          </w:tcPr>
          <w:p w:rsidR="00140EB9" w:rsidRPr="00BC7F3F" w:rsidRDefault="00140EB9" w:rsidP="00140EB9">
            <w:pPr>
              <w:jc w:val="both"/>
              <w:rPr>
                <w:lang w:val="en-GB"/>
              </w:rPr>
            </w:pPr>
            <w:r w:rsidRPr="00BC7F3F">
              <w:rPr>
                <w:lang w:val="en-GB"/>
              </w:rPr>
              <w:t>Part of the Admin system</w:t>
            </w:r>
          </w:p>
        </w:tc>
      </w:tr>
      <w:tr w:rsidR="00140EB9" w:rsidRPr="00BC7F3F" w:rsidTr="00140EB9">
        <w:tc>
          <w:tcPr>
            <w:tcW w:w="4475" w:type="dxa"/>
          </w:tcPr>
          <w:p w:rsidR="00140EB9" w:rsidRPr="00BC7F3F" w:rsidRDefault="00140EB9" w:rsidP="00140EB9">
            <w:pPr>
              <w:jc w:val="both"/>
              <w:rPr>
                <w:lang w:val="en-GB"/>
              </w:rPr>
            </w:pPr>
            <w:r w:rsidRPr="00BC7F3F">
              <w:rPr>
                <w:lang w:val="en-GB"/>
              </w:rPr>
              <w:t>Counting registration</w:t>
            </w:r>
          </w:p>
        </w:tc>
        <w:tc>
          <w:tcPr>
            <w:tcW w:w="5023" w:type="dxa"/>
          </w:tcPr>
          <w:p w:rsidR="00140EB9" w:rsidRPr="00BC7F3F" w:rsidRDefault="00140EB9" w:rsidP="007A1C4B">
            <w:pPr>
              <w:jc w:val="both"/>
              <w:rPr>
                <w:lang w:val="en-GB"/>
              </w:rPr>
            </w:pPr>
            <w:r w:rsidRPr="00BC7F3F">
              <w:rPr>
                <w:lang w:val="en-GB"/>
              </w:rPr>
              <w:t xml:space="preserve">Part of the Admin system </w:t>
            </w:r>
          </w:p>
        </w:tc>
      </w:tr>
      <w:tr w:rsidR="00140EB9" w:rsidRPr="00BC7F3F" w:rsidTr="00140EB9">
        <w:tc>
          <w:tcPr>
            <w:tcW w:w="4475" w:type="dxa"/>
          </w:tcPr>
          <w:p w:rsidR="00140EB9" w:rsidRPr="00BC7F3F" w:rsidRDefault="00140EB9" w:rsidP="00140EB9">
            <w:pPr>
              <w:jc w:val="both"/>
              <w:rPr>
                <w:lang w:val="en-GB"/>
              </w:rPr>
            </w:pPr>
            <w:r w:rsidRPr="00BC7F3F">
              <w:rPr>
                <w:lang w:val="en-GB"/>
              </w:rPr>
              <w:t>Settlement</w:t>
            </w:r>
          </w:p>
        </w:tc>
        <w:tc>
          <w:tcPr>
            <w:tcW w:w="5023" w:type="dxa"/>
          </w:tcPr>
          <w:p w:rsidR="00140EB9" w:rsidRPr="00BC7F3F" w:rsidRDefault="00140EB9" w:rsidP="00140EB9">
            <w:pPr>
              <w:jc w:val="both"/>
              <w:rPr>
                <w:lang w:val="en-GB"/>
              </w:rPr>
            </w:pPr>
            <w:r w:rsidRPr="00BC7F3F">
              <w:rPr>
                <w:lang w:val="en-GB"/>
              </w:rPr>
              <w:t>Part of the Admin system</w:t>
            </w:r>
          </w:p>
        </w:tc>
      </w:tr>
      <w:tr w:rsidR="00140EB9" w:rsidRPr="00BC7F3F" w:rsidTr="00140EB9">
        <w:tc>
          <w:tcPr>
            <w:tcW w:w="4475" w:type="dxa"/>
          </w:tcPr>
          <w:p w:rsidR="00140EB9" w:rsidRPr="00BC7F3F" w:rsidRDefault="00140EB9" w:rsidP="007A1C4B">
            <w:pPr>
              <w:jc w:val="both"/>
              <w:rPr>
                <w:lang w:val="en-GB"/>
              </w:rPr>
            </w:pPr>
            <w:r w:rsidRPr="00BC7F3F">
              <w:rPr>
                <w:lang w:val="en-GB"/>
              </w:rPr>
              <w:t>eCounting of pVotes system (</w:t>
            </w:r>
            <w:r w:rsidR="007A1C4B" w:rsidRPr="00BC7F3F">
              <w:rPr>
                <w:lang w:val="en-GB"/>
              </w:rPr>
              <w:t>S</w:t>
            </w:r>
            <w:r w:rsidRPr="00BC7F3F">
              <w:rPr>
                <w:lang w:val="en-GB"/>
              </w:rPr>
              <w:t>canning)</w:t>
            </w:r>
          </w:p>
        </w:tc>
        <w:tc>
          <w:tcPr>
            <w:tcW w:w="5023" w:type="dxa"/>
          </w:tcPr>
          <w:p w:rsidR="00140EB9" w:rsidRPr="00BC7F3F" w:rsidRDefault="00140EB9" w:rsidP="00140EB9">
            <w:pPr>
              <w:jc w:val="both"/>
              <w:rPr>
                <w:lang w:val="en-GB"/>
              </w:rPr>
            </w:pPr>
            <w:r w:rsidRPr="00BC7F3F">
              <w:rPr>
                <w:lang w:val="en-GB"/>
              </w:rPr>
              <w:t>Subsystem for counting of paper ballots</w:t>
            </w:r>
          </w:p>
        </w:tc>
      </w:tr>
      <w:tr w:rsidR="00140EB9" w:rsidRPr="00BC7F3F" w:rsidTr="00140EB9">
        <w:tc>
          <w:tcPr>
            <w:tcW w:w="4475" w:type="dxa"/>
          </w:tcPr>
          <w:p w:rsidR="00140EB9" w:rsidRPr="00BC7F3F" w:rsidRDefault="00140EB9" w:rsidP="00140EB9">
            <w:pPr>
              <w:jc w:val="both"/>
              <w:rPr>
                <w:lang w:val="en-GB"/>
              </w:rPr>
            </w:pPr>
            <w:r w:rsidRPr="00BC7F3F">
              <w:rPr>
                <w:lang w:val="en-GB"/>
              </w:rPr>
              <w:t>Reporting</w:t>
            </w:r>
          </w:p>
        </w:tc>
        <w:tc>
          <w:tcPr>
            <w:tcW w:w="5023" w:type="dxa"/>
          </w:tcPr>
          <w:p w:rsidR="00140EB9" w:rsidRPr="00BC7F3F" w:rsidRDefault="00140EB9" w:rsidP="00140EB9">
            <w:pPr>
              <w:jc w:val="both"/>
              <w:rPr>
                <w:lang w:val="en-GB"/>
              </w:rPr>
            </w:pPr>
            <w:r w:rsidRPr="00BC7F3F">
              <w:rPr>
                <w:lang w:val="en-GB"/>
              </w:rPr>
              <w:t>Horizontal reporting functionality</w:t>
            </w:r>
          </w:p>
        </w:tc>
      </w:tr>
      <w:tr w:rsidR="00140EB9" w:rsidRPr="00BC7F3F" w:rsidTr="00140EB9">
        <w:tc>
          <w:tcPr>
            <w:tcW w:w="4475" w:type="dxa"/>
          </w:tcPr>
          <w:p w:rsidR="00140EB9" w:rsidRPr="00BC7F3F" w:rsidRDefault="00140EB9" w:rsidP="00140EB9">
            <w:pPr>
              <w:jc w:val="both"/>
              <w:rPr>
                <w:lang w:val="en-GB"/>
              </w:rPr>
            </w:pPr>
            <w:r w:rsidRPr="00BC7F3F">
              <w:rPr>
                <w:lang w:val="en-GB"/>
              </w:rPr>
              <w:t>Log &amp; Audit</w:t>
            </w:r>
          </w:p>
        </w:tc>
        <w:tc>
          <w:tcPr>
            <w:tcW w:w="5023" w:type="dxa"/>
          </w:tcPr>
          <w:p w:rsidR="00140EB9" w:rsidRPr="00BC7F3F" w:rsidRDefault="00140EB9" w:rsidP="00140EB9">
            <w:pPr>
              <w:jc w:val="both"/>
              <w:rPr>
                <w:lang w:val="en-GB"/>
              </w:rPr>
            </w:pPr>
            <w:r w:rsidRPr="00BC7F3F">
              <w:rPr>
                <w:lang w:val="en-GB"/>
              </w:rPr>
              <w:t>Horizontal log and audit functionality</w:t>
            </w:r>
          </w:p>
        </w:tc>
      </w:tr>
    </w:tbl>
    <w:p w:rsidR="00997C7A" w:rsidRPr="00BC7F3F" w:rsidRDefault="00997C7A" w:rsidP="007A1C4B">
      <w:pPr>
        <w:rPr>
          <w:lang w:val="en-GB"/>
        </w:rPr>
      </w:pPr>
    </w:p>
    <w:p w:rsidR="00DD45DC" w:rsidRPr="00BC7F3F" w:rsidRDefault="00DD45DC">
      <w:pPr>
        <w:widowControl/>
        <w:spacing w:line="240" w:lineRule="auto"/>
        <w:rPr>
          <w:rFonts w:ascii="Arial" w:hAnsi="Arial"/>
          <w:b/>
          <w:sz w:val="28"/>
          <w:lang w:val="en-GB"/>
        </w:rPr>
      </w:pPr>
      <w:r w:rsidRPr="00BC7F3F">
        <w:rPr>
          <w:lang w:val="en-GB"/>
        </w:rPr>
        <w:br w:type="page"/>
      </w:r>
    </w:p>
    <w:p w:rsidR="00E110B4" w:rsidRPr="00BC7F3F" w:rsidRDefault="00B773CF" w:rsidP="00B773CF">
      <w:pPr>
        <w:pStyle w:val="Heading1"/>
        <w:rPr>
          <w:lang w:val="en-GB"/>
        </w:rPr>
      </w:pPr>
      <w:bookmarkStart w:id="1" w:name="_Toc287608115"/>
      <w:r w:rsidRPr="00BC7F3F">
        <w:rPr>
          <w:lang w:val="en-GB"/>
        </w:rPr>
        <w:lastRenderedPageBreak/>
        <w:t>Overall conceptual design</w:t>
      </w:r>
      <w:bookmarkEnd w:id="1"/>
    </w:p>
    <w:p w:rsidR="00B773CF" w:rsidRPr="00BC7F3F" w:rsidRDefault="00B773CF" w:rsidP="00B773CF">
      <w:pPr>
        <w:rPr>
          <w:lang w:val="en-GB"/>
        </w:rPr>
      </w:pPr>
      <w:r w:rsidRPr="00BC7F3F">
        <w:rPr>
          <w:lang w:val="en-GB"/>
        </w:rPr>
        <w:t xml:space="preserve">Conceptual Design is the view of the security solution </w:t>
      </w:r>
      <w:r w:rsidRPr="00BC7F3F">
        <w:rPr>
          <w:i/>
          <w:lang w:val="en-GB"/>
        </w:rPr>
        <w:t>from the user point of view</w:t>
      </w:r>
      <w:r w:rsidRPr="00BC7F3F">
        <w:rPr>
          <w:lang w:val="en-GB"/>
        </w:rPr>
        <w:t>.  It seeks to define the characteristics of information access and authentication that are part of the user experience.</w:t>
      </w:r>
    </w:p>
    <w:p w:rsidR="00DD45DC" w:rsidRPr="00BC7F3F" w:rsidRDefault="00DD45DC" w:rsidP="00DD45DC">
      <w:pPr>
        <w:pStyle w:val="Heading2"/>
        <w:rPr>
          <w:lang w:val="en-GB"/>
        </w:rPr>
      </w:pPr>
      <w:bookmarkStart w:id="2" w:name="_Toc287608116"/>
      <w:r w:rsidRPr="00BC7F3F">
        <w:rPr>
          <w:lang w:val="en-GB"/>
        </w:rPr>
        <w:t>Main security domains and the interfaces between them</w:t>
      </w:r>
      <w:bookmarkEnd w:id="2"/>
    </w:p>
    <w:p w:rsidR="0018650E" w:rsidRPr="00BC7F3F" w:rsidRDefault="0018650E" w:rsidP="00C06EE5">
      <w:pPr>
        <w:rPr>
          <w:lang w:val="en-GB"/>
        </w:rPr>
      </w:pPr>
      <w:r w:rsidRPr="00BC7F3F">
        <w:rPr>
          <w:lang w:val="en-GB"/>
        </w:rPr>
        <w:t xml:space="preserve">The </w:t>
      </w:r>
      <w:r w:rsidR="004056C5" w:rsidRPr="00BC7F3F">
        <w:rPr>
          <w:lang w:val="en-GB"/>
        </w:rPr>
        <w:t>security objectives for the election solution describe the security domains to be secured. The three election systems are contained in different security domains as illustrated below.</w:t>
      </w:r>
    </w:p>
    <w:p w:rsidR="00BF1A62" w:rsidRPr="00BC7F3F" w:rsidRDefault="00BF1A62" w:rsidP="00B773CF">
      <w:pPr>
        <w:rPr>
          <w:lang w:val="en-GB"/>
        </w:rPr>
      </w:pPr>
    </w:p>
    <w:p w:rsidR="004056C5" w:rsidRPr="00BC7F3F" w:rsidRDefault="005E7F7F" w:rsidP="004056C5">
      <w:pPr>
        <w:keepNext/>
        <w:rPr>
          <w:lang w:val="en-GB"/>
        </w:rPr>
      </w:pPr>
      <w:r w:rsidRPr="00BC7F3F">
        <w:rPr>
          <w:noProof/>
          <w:lang w:val="nb-NO" w:eastAsia="nb-NO"/>
        </w:rPr>
        <w:drawing>
          <wp:inline distT="0" distB="0" distL="0" distR="0">
            <wp:extent cx="5732145" cy="406019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5732145" cy="4060190"/>
                    </a:xfrm>
                    <a:prstGeom prst="rect">
                      <a:avLst/>
                    </a:prstGeom>
                    <a:noFill/>
                    <a:ln w="9525">
                      <a:noFill/>
                      <a:miter lim="800000"/>
                      <a:headEnd/>
                      <a:tailEnd/>
                    </a:ln>
                  </pic:spPr>
                </pic:pic>
              </a:graphicData>
            </a:graphic>
          </wp:inline>
        </w:drawing>
      </w:r>
    </w:p>
    <w:p w:rsidR="00BF1A62" w:rsidRPr="00BC7F3F" w:rsidRDefault="004056C5" w:rsidP="004056C5">
      <w:pPr>
        <w:pStyle w:val="Caption"/>
        <w:rPr>
          <w:lang w:val="en-GB"/>
        </w:rPr>
      </w:pPr>
      <w:r w:rsidRPr="00BC7F3F">
        <w:rPr>
          <w:lang w:val="en-GB"/>
        </w:rPr>
        <w:t xml:space="preserve">Figure </w:t>
      </w:r>
      <w:r w:rsidR="004D635B" w:rsidRPr="00BC7F3F">
        <w:rPr>
          <w:lang w:val="en-GB"/>
        </w:rPr>
        <w:fldChar w:fldCharType="begin"/>
      </w:r>
      <w:r w:rsidRPr="00BC7F3F">
        <w:rPr>
          <w:lang w:val="en-GB"/>
        </w:rPr>
        <w:instrText xml:space="preserve"> SEQ Figure \* ARABIC </w:instrText>
      </w:r>
      <w:r w:rsidR="004D635B" w:rsidRPr="00BC7F3F">
        <w:rPr>
          <w:lang w:val="en-GB"/>
        </w:rPr>
        <w:fldChar w:fldCharType="separate"/>
      </w:r>
      <w:r w:rsidR="00D9185E">
        <w:rPr>
          <w:noProof/>
          <w:lang w:val="en-GB"/>
        </w:rPr>
        <w:t>1</w:t>
      </w:r>
      <w:r w:rsidR="004D635B" w:rsidRPr="00BC7F3F">
        <w:rPr>
          <w:lang w:val="en-GB"/>
        </w:rPr>
        <w:fldChar w:fldCharType="end"/>
      </w:r>
      <w:r w:rsidRPr="00BC7F3F">
        <w:rPr>
          <w:lang w:val="en-GB"/>
        </w:rPr>
        <w:t xml:space="preserve">: </w:t>
      </w:r>
      <w:r w:rsidR="00DB06C8" w:rsidRPr="00BC7F3F">
        <w:rPr>
          <w:lang w:val="en-GB"/>
        </w:rPr>
        <w:t>The E</w:t>
      </w:r>
      <w:r w:rsidRPr="00BC7F3F">
        <w:rPr>
          <w:lang w:val="en-GB"/>
        </w:rPr>
        <w:t xml:space="preserve">lection </w:t>
      </w:r>
      <w:r w:rsidR="00DB06C8" w:rsidRPr="00BC7F3F">
        <w:rPr>
          <w:lang w:val="en-GB"/>
        </w:rPr>
        <w:t>Domain (ED)</w:t>
      </w:r>
    </w:p>
    <w:p w:rsidR="004056C5" w:rsidRPr="00C06EE5" w:rsidRDefault="004056C5" w:rsidP="003148AA">
      <w:pPr>
        <w:pStyle w:val="ListParagraph"/>
        <w:numPr>
          <w:ilvl w:val="0"/>
          <w:numId w:val="3"/>
        </w:numPr>
        <w:rPr>
          <w:lang w:val="en-GB"/>
        </w:rPr>
      </w:pPr>
      <w:r w:rsidRPr="00C06EE5">
        <w:rPr>
          <w:b/>
          <w:lang w:val="en-GB"/>
        </w:rPr>
        <w:t xml:space="preserve">Election Domain (ED) </w:t>
      </w:r>
      <w:r w:rsidRPr="00C06EE5">
        <w:rPr>
          <w:lang w:val="en-GB"/>
        </w:rPr>
        <w:t xml:space="preserve">contains all the Election and Voting Services that are necessary to prepare and complete an election. </w:t>
      </w:r>
    </w:p>
    <w:p w:rsidR="004056C5" w:rsidRPr="00C06EE5" w:rsidRDefault="00DB06C8" w:rsidP="003148AA">
      <w:pPr>
        <w:pStyle w:val="ListParagraph"/>
        <w:numPr>
          <w:ilvl w:val="0"/>
          <w:numId w:val="3"/>
        </w:numPr>
        <w:rPr>
          <w:lang w:val="en-GB"/>
        </w:rPr>
      </w:pPr>
      <w:r w:rsidRPr="00C06EE5">
        <w:rPr>
          <w:b/>
          <w:lang w:val="en-GB"/>
        </w:rPr>
        <w:t xml:space="preserve">Internet - </w:t>
      </w:r>
      <w:r w:rsidR="004056C5" w:rsidRPr="00C06EE5">
        <w:rPr>
          <w:b/>
          <w:lang w:val="en-GB"/>
        </w:rPr>
        <w:t>Public Network Domain (PND)</w:t>
      </w:r>
      <w:r w:rsidR="004056C5" w:rsidRPr="00C06EE5">
        <w:rPr>
          <w:lang w:val="en-GB"/>
        </w:rPr>
        <w:t xml:space="preserve"> contains that part of the communications infrastructure which is not under the control of the Election Service operators and clients. </w:t>
      </w:r>
    </w:p>
    <w:p w:rsidR="004056C5" w:rsidRPr="00C06EE5" w:rsidRDefault="00413816" w:rsidP="003148AA">
      <w:pPr>
        <w:pStyle w:val="ListParagraph"/>
        <w:numPr>
          <w:ilvl w:val="0"/>
          <w:numId w:val="3"/>
        </w:numPr>
        <w:rPr>
          <w:lang w:val="en-GB"/>
        </w:rPr>
      </w:pPr>
      <w:r w:rsidRPr="00C06EE5">
        <w:rPr>
          <w:lang w:val="en-GB"/>
        </w:rPr>
        <w:t xml:space="preserve">The </w:t>
      </w:r>
      <w:r w:rsidR="00DB06C8" w:rsidRPr="00C06EE5">
        <w:rPr>
          <w:b/>
          <w:lang w:val="en-GB"/>
        </w:rPr>
        <w:t xml:space="preserve">Central </w:t>
      </w:r>
      <w:r w:rsidR="004056C5" w:rsidRPr="00C06EE5">
        <w:rPr>
          <w:b/>
          <w:lang w:val="en-GB"/>
        </w:rPr>
        <w:t xml:space="preserve">Election Service Domain </w:t>
      </w:r>
      <w:r w:rsidR="004056C5" w:rsidRPr="00C06EE5">
        <w:rPr>
          <w:lang w:val="en-GB"/>
        </w:rPr>
        <w:t xml:space="preserve">contains that part of the communications and processing infrastructure which will be under the Government’s control.  It is used to host the election preparation services, the e-voting collection services, as well as the election settlement services. </w:t>
      </w:r>
      <w:r w:rsidR="00DB06C8" w:rsidRPr="00C06EE5">
        <w:rPr>
          <w:lang w:val="en-GB"/>
        </w:rPr>
        <w:t>The original tender defines a</w:t>
      </w:r>
      <w:r w:rsidR="002D6846" w:rsidRPr="00C06EE5">
        <w:rPr>
          <w:lang w:val="en-GB"/>
        </w:rPr>
        <w:t>n</w:t>
      </w:r>
      <w:r w:rsidR="00DB06C8" w:rsidRPr="00C06EE5">
        <w:rPr>
          <w:lang w:val="en-GB"/>
        </w:rPr>
        <w:t xml:space="preserve"> </w:t>
      </w:r>
      <w:r w:rsidR="00DB06C8" w:rsidRPr="00C06EE5">
        <w:rPr>
          <w:i/>
          <w:lang w:val="en-GB"/>
        </w:rPr>
        <w:t>Election Service Domain (ESD)</w:t>
      </w:r>
      <w:r w:rsidR="00DB06C8" w:rsidRPr="00C06EE5">
        <w:rPr>
          <w:lang w:val="en-GB"/>
        </w:rPr>
        <w:t xml:space="preserve"> which also included the Paper Voting Domain under </w:t>
      </w:r>
      <w:r w:rsidR="002D6846" w:rsidRPr="00C06EE5">
        <w:rPr>
          <w:lang w:val="en-GB"/>
        </w:rPr>
        <w:t>m</w:t>
      </w:r>
      <w:r w:rsidR="00DB06C8" w:rsidRPr="00C06EE5">
        <w:rPr>
          <w:lang w:val="en-GB"/>
        </w:rPr>
        <w:t>unicipal control.</w:t>
      </w:r>
    </w:p>
    <w:p w:rsidR="004056C5" w:rsidRPr="00C06EE5" w:rsidRDefault="00413816" w:rsidP="003148AA">
      <w:pPr>
        <w:pStyle w:val="ListParagraph"/>
        <w:numPr>
          <w:ilvl w:val="0"/>
          <w:numId w:val="3"/>
        </w:numPr>
        <w:rPr>
          <w:lang w:val="en-GB"/>
        </w:rPr>
      </w:pPr>
      <w:r w:rsidRPr="00C06EE5">
        <w:rPr>
          <w:lang w:val="en-GB"/>
        </w:rPr>
        <w:t xml:space="preserve">The </w:t>
      </w:r>
      <w:r w:rsidR="002D6846" w:rsidRPr="00C06EE5">
        <w:rPr>
          <w:b/>
          <w:lang w:val="en-GB"/>
        </w:rPr>
        <w:t xml:space="preserve">Election Administration Domain </w:t>
      </w:r>
      <w:r w:rsidR="002D6846" w:rsidRPr="00C06EE5">
        <w:rPr>
          <w:lang w:val="en-GB"/>
        </w:rPr>
        <w:t xml:space="preserve">contains all the services </w:t>
      </w:r>
      <w:r w:rsidR="0071316E" w:rsidRPr="00C06EE5">
        <w:rPr>
          <w:lang w:val="en-GB"/>
        </w:rPr>
        <w:t xml:space="preserve">required to prepare an election (called the </w:t>
      </w:r>
      <w:r w:rsidR="0071316E" w:rsidRPr="00C06EE5">
        <w:rPr>
          <w:i/>
          <w:lang w:val="en-GB"/>
        </w:rPr>
        <w:t>Election Preparation Domain (EPD)</w:t>
      </w:r>
      <w:r w:rsidR="0071316E" w:rsidRPr="00C06EE5">
        <w:rPr>
          <w:lang w:val="en-GB"/>
        </w:rPr>
        <w:t xml:space="preserve"> in the original tender) and the election settlement processes (called the </w:t>
      </w:r>
      <w:r w:rsidR="0071316E" w:rsidRPr="00C06EE5">
        <w:rPr>
          <w:i/>
          <w:lang w:val="en-GB"/>
        </w:rPr>
        <w:t>Election Settlement Domain (ELSD)</w:t>
      </w:r>
      <w:r w:rsidR="0071316E" w:rsidRPr="00C06EE5">
        <w:rPr>
          <w:lang w:val="en-GB"/>
        </w:rPr>
        <w:t xml:space="preserve"> in the original tender). </w:t>
      </w:r>
      <w:r w:rsidR="004056C5" w:rsidRPr="00C06EE5">
        <w:rPr>
          <w:lang w:val="en-GB"/>
        </w:rPr>
        <w:t xml:space="preserve">Election </w:t>
      </w:r>
      <w:r w:rsidR="002D6846" w:rsidRPr="00C06EE5">
        <w:rPr>
          <w:lang w:val="en-GB"/>
        </w:rPr>
        <w:t>preparation provides</w:t>
      </w:r>
      <w:r w:rsidR="004056C5" w:rsidRPr="00C06EE5">
        <w:rPr>
          <w:lang w:val="en-GB"/>
        </w:rPr>
        <w:t xml:space="preserve"> abilities both for paper-voting and for electronic voting. </w:t>
      </w:r>
      <w:r w:rsidR="0071316E" w:rsidRPr="00C06EE5">
        <w:rPr>
          <w:lang w:val="en-GB"/>
        </w:rPr>
        <w:t>In Settlement, t</w:t>
      </w:r>
      <w:r w:rsidR="004056C5" w:rsidRPr="00C06EE5">
        <w:rPr>
          <w:lang w:val="en-GB"/>
        </w:rPr>
        <w:t>he results of both paper-votes and e-votes are merged into the final election results, seats are distributed and the election results</w:t>
      </w:r>
      <w:r w:rsidR="0071316E" w:rsidRPr="00C06EE5">
        <w:rPr>
          <w:lang w:val="en-GB"/>
        </w:rPr>
        <w:t xml:space="preserve"> are computed for publication</w:t>
      </w:r>
      <w:r w:rsidR="004056C5" w:rsidRPr="00C06EE5">
        <w:rPr>
          <w:lang w:val="en-GB"/>
        </w:rPr>
        <w:t>.</w:t>
      </w:r>
      <w:r w:rsidR="000265D3" w:rsidRPr="00C06EE5">
        <w:rPr>
          <w:lang w:val="en-GB"/>
        </w:rPr>
        <w:t xml:space="preserve"> This domain is part of the </w:t>
      </w:r>
      <w:r w:rsidR="000265D3" w:rsidRPr="00C06EE5">
        <w:rPr>
          <w:i/>
          <w:lang w:val="en-GB"/>
        </w:rPr>
        <w:t>Central Election Service Domain</w:t>
      </w:r>
      <w:r w:rsidR="000265D3" w:rsidRPr="00C06EE5">
        <w:rPr>
          <w:lang w:val="en-GB"/>
        </w:rPr>
        <w:t xml:space="preserve"> and is described in detail in a separate </w:t>
      </w:r>
      <w:r w:rsidR="00C06EE5" w:rsidRPr="00C06EE5">
        <w:rPr>
          <w:lang w:val="en-GB"/>
        </w:rPr>
        <w:t>document [Ref. “Security Architecture - Election Administration System”]</w:t>
      </w:r>
      <w:r w:rsidR="000265D3" w:rsidRPr="00C06EE5">
        <w:rPr>
          <w:lang w:val="en-GB"/>
        </w:rPr>
        <w:t>.</w:t>
      </w:r>
    </w:p>
    <w:p w:rsidR="00413816" w:rsidRPr="00C06EE5" w:rsidRDefault="00413816" w:rsidP="003148AA">
      <w:pPr>
        <w:pStyle w:val="ListParagraph"/>
        <w:numPr>
          <w:ilvl w:val="0"/>
          <w:numId w:val="3"/>
        </w:numPr>
        <w:rPr>
          <w:lang w:val="en-GB"/>
        </w:rPr>
      </w:pPr>
      <w:r w:rsidRPr="00C06EE5">
        <w:rPr>
          <w:lang w:val="en-GB"/>
        </w:rPr>
        <w:t xml:space="preserve">The </w:t>
      </w:r>
      <w:r w:rsidRPr="00C06EE5">
        <w:rPr>
          <w:b/>
          <w:lang w:val="en-GB"/>
        </w:rPr>
        <w:t>Paper Voting Domain (PVD)</w:t>
      </w:r>
      <w:r w:rsidRPr="00C06EE5">
        <w:rPr>
          <w:lang w:val="en-GB"/>
        </w:rPr>
        <w:t xml:space="preserve"> contains all </w:t>
      </w:r>
      <w:r w:rsidR="000265D3" w:rsidRPr="00C06EE5">
        <w:rPr>
          <w:lang w:val="en-GB"/>
        </w:rPr>
        <w:t xml:space="preserve">systems to scan, verify, and count paper ballots. This domain is part of the </w:t>
      </w:r>
      <w:r w:rsidR="000265D3" w:rsidRPr="00C06EE5">
        <w:rPr>
          <w:i/>
          <w:lang w:val="en-GB"/>
        </w:rPr>
        <w:t>Municipal LAN Domain</w:t>
      </w:r>
      <w:r w:rsidR="000265D3" w:rsidRPr="00C06EE5">
        <w:rPr>
          <w:lang w:val="en-GB"/>
        </w:rPr>
        <w:t xml:space="preserve"> and is described in detail in a separate </w:t>
      </w:r>
      <w:r w:rsidR="00C06EE5" w:rsidRPr="00C06EE5">
        <w:rPr>
          <w:lang w:val="en-GB"/>
        </w:rPr>
        <w:t>document [Ref. “Security Architecture - Electronic counting of paper votes”]</w:t>
      </w:r>
      <w:r w:rsidR="000265D3" w:rsidRPr="00C06EE5">
        <w:rPr>
          <w:lang w:val="en-GB"/>
        </w:rPr>
        <w:t>.</w:t>
      </w:r>
    </w:p>
    <w:p w:rsidR="000265D3" w:rsidRPr="00C06EE5" w:rsidRDefault="000265D3" w:rsidP="003148AA">
      <w:pPr>
        <w:pStyle w:val="ListParagraph"/>
        <w:numPr>
          <w:ilvl w:val="0"/>
          <w:numId w:val="3"/>
        </w:numPr>
        <w:rPr>
          <w:lang w:val="en-GB"/>
        </w:rPr>
      </w:pPr>
      <w:r w:rsidRPr="00C06EE5">
        <w:rPr>
          <w:lang w:val="en-GB"/>
        </w:rPr>
        <w:t xml:space="preserve">The </w:t>
      </w:r>
      <w:r w:rsidRPr="00C06EE5">
        <w:rPr>
          <w:b/>
          <w:lang w:val="en-GB"/>
        </w:rPr>
        <w:t>e-Voting Collection Domain (EVCD)</w:t>
      </w:r>
      <w:r w:rsidRPr="00C06EE5">
        <w:rPr>
          <w:lang w:val="en-GB"/>
        </w:rPr>
        <w:t xml:space="preserve"> contains the IT infrastructure to host the electronic ballot </w:t>
      </w:r>
      <w:r w:rsidRPr="00C06EE5">
        <w:rPr>
          <w:lang w:val="en-GB"/>
        </w:rPr>
        <w:lastRenderedPageBreak/>
        <w:t xml:space="preserve">collection process. The EVCD are physically separate from the EPD and ELSD to facilitate the anonymity of the ballot. This domain is part of the </w:t>
      </w:r>
      <w:r w:rsidRPr="00C06EE5">
        <w:rPr>
          <w:i/>
          <w:lang w:val="en-GB"/>
        </w:rPr>
        <w:t>Central Election Service Domain</w:t>
      </w:r>
      <w:r w:rsidRPr="00C06EE5">
        <w:rPr>
          <w:lang w:val="en-GB"/>
        </w:rPr>
        <w:t xml:space="preserve"> and is described in detail in a separate </w:t>
      </w:r>
      <w:r w:rsidR="00C06EE5" w:rsidRPr="00C06EE5">
        <w:rPr>
          <w:lang w:val="en-GB"/>
        </w:rPr>
        <w:t>document [Ref. “Security Architecture - Electronic Voting”].</w:t>
      </w:r>
    </w:p>
    <w:p w:rsidR="004056C5" w:rsidRPr="00C06EE5" w:rsidRDefault="00B97699" w:rsidP="003148AA">
      <w:pPr>
        <w:pStyle w:val="ListParagraph"/>
        <w:numPr>
          <w:ilvl w:val="0"/>
          <w:numId w:val="3"/>
        </w:numPr>
        <w:rPr>
          <w:lang w:val="en-GB"/>
        </w:rPr>
      </w:pPr>
      <w:r w:rsidRPr="00C06EE5">
        <w:rPr>
          <w:lang w:val="en-GB"/>
        </w:rPr>
        <w:t>The original tender define</w:t>
      </w:r>
      <w:r w:rsidR="0007767B" w:rsidRPr="00C06EE5">
        <w:rPr>
          <w:lang w:val="en-GB"/>
        </w:rPr>
        <w:t>s</w:t>
      </w:r>
      <w:r w:rsidRPr="00C06EE5">
        <w:rPr>
          <w:lang w:val="en-GB"/>
        </w:rPr>
        <w:t xml:space="preserve"> t</w:t>
      </w:r>
      <w:r w:rsidR="004056C5" w:rsidRPr="00C06EE5">
        <w:rPr>
          <w:lang w:val="en-GB"/>
        </w:rPr>
        <w:t xml:space="preserve">he </w:t>
      </w:r>
      <w:r w:rsidR="004056C5" w:rsidRPr="00C06EE5">
        <w:rPr>
          <w:i/>
          <w:lang w:val="en-GB"/>
        </w:rPr>
        <w:t>Client Network Domain (CND)</w:t>
      </w:r>
      <w:r w:rsidR="004056C5" w:rsidRPr="00C06EE5">
        <w:rPr>
          <w:lang w:val="en-GB"/>
        </w:rPr>
        <w:t xml:space="preserve"> </w:t>
      </w:r>
      <w:r w:rsidRPr="00C06EE5">
        <w:rPr>
          <w:lang w:val="en-GB"/>
        </w:rPr>
        <w:t>as</w:t>
      </w:r>
      <w:r w:rsidR="004056C5" w:rsidRPr="00C06EE5">
        <w:rPr>
          <w:lang w:val="en-GB"/>
        </w:rPr>
        <w:t xml:space="preserve"> that element of the infrastructure under client control, which is used to support access to the Election Service. </w:t>
      </w:r>
      <w:r w:rsidR="0007767B" w:rsidRPr="00C06EE5">
        <w:rPr>
          <w:lang w:val="en-GB"/>
        </w:rPr>
        <w:t xml:space="preserve">As part of CND the </w:t>
      </w:r>
      <w:r w:rsidR="004056C5" w:rsidRPr="00C06EE5">
        <w:rPr>
          <w:i/>
          <w:lang w:val="en-GB"/>
        </w:rPr>
        <w:t>Election Administration Client (EAC)</w:t>
      </w:r>
      <w:r w:rsidR="004056C5" w:rsidRPr="00C06EE5">
        <w:rPr>
          <w:lang w:val="en-GB"/>
        </w:rPr>
        <w:t xml:space="preserve"> </w:t>
      </w:r>
      <w:r w:rsidR="0007767B" w:rsidRPr="00C06EE5">
        <w:rPr>
          <w:lang w:val="en-GB"/>
        </w:rPr>
        <w:t>was defined to contain clients</w:t>
      </w:r>
      <w:r w:rsidR="004056C5" w:rsidRPr="00C06EE5">
        <w:rPr>
          <w:lang w:val="en-GB"/>
        </w:rPr>
        <w:t xml:space="preserve"> for election preparation and administration.</w:t>
      </w:r>
      <w:r w:rsidR="0007767B" w:rsidRPr="00C06EE5">
        <w:rPr>
          <w:lang w:val="en-GB"/>
        </w:rPr>
        <w:t xml:space="preserve"> </w:t>
      </w:r>
      <w:r w:rsidR="001D6C18" w:rsidRPr="00C06EE5">
        <w:rPr>
          <w:lang w:val="en-GB"/>
        </w:rPr>
        <w:t>As t</w:t>
      </w:r>
      <w:r w:rsidR="0007767B" w:rsidRPr="00C06EE5">
        <w:rPr>
          <w:lang w:val="en-GB"/>
        </w:rPr>
        <w:t>he solution does not contain any mechanism to implement any common client domains</w:t>
      </w:r>
      <w:r w:rsidR="001D6C18" w:rsidRPr="00C06EE5">
        <w:rPr>
          <w:lang w:val="en-GB"/>
        </w:rPr>
        <w:t xml:space="preserve">, these terms are purely conceptual </w:t>
      </w:r>
      <w:r w:rsidR="0018476A" w:rsidRPr="00C06EE5">
        <w:rPr>
          <w:lang w:val="en-GB"/>
        </w:rPr>
        <w:t>and included just as a</w:t>
      </w:r>
      <w:r w:rsidR="001D6C18" w:rsidRPr="00C06EE5">
        <w:rPr>
          <w:lang w:val="en-GB"/>
        </w:rPr>
        <w:t xml:space="preserve"> reference.</w:t>
      </w:r>
    </w:p>
    <w:p w:rsidR="0018476A" w:rsidRPr="00C06EE5" w:rsidRDefault="0018476A" w:rsidP="003148AA">
      <w:pPr>
        <w:pStyle w:val="ListParagraph"/>
        <w:numPr>
          <w:ilvl w:val="0"/>
          <w:numId w:val="3"/>
        </w:numPr>
        <w:rPr>
          <w:lang w:val="en-GB"/>
        </w:rPr>
      </w:pPr>
      <w:r w:rsidRPr="00C06EE5">
        <w:rPr>
          <w:lang w:val="en-GB"/>
        </w:rPr>
        <w:t xml:space="preserve">The </w:t>
      </w:r>
      <w:r w:rsidRPr="00C06EE5">
        <w:rPr>
          <w:b/>
          <w:lang w:val="en-GB"/>
        </w:rPr>
        <w:t>Election Administration Client Domain</w:t>
      </w:r>
      <w:r w:rsidRPr="00C06EE5">
        <w:rPr>
          <w:lang w:val="en-GB"/>
        </w:rPr>
        <w:t xml:space="preserve"> contains the clients used for election preparation and administration. The </w:t>
      </w:r>
      <w:r w:rsidRPr="00C06EE5">
        <w:rPr>
          <w:b/>
          <w:lang w:val="en-GB"/>
        </w:rPr>
        <w:t>List Proposals Clients</w:t>
      </w:r>
      <w:r w:rsidRPr="00C06EE5">
        <w:rPr>
          <w:lang w:val="en-GB"/>
        </w:rPr>
        <w:t xml:space="preserve"> are client used by party representatives to access the public part of election administration. Both kinds of clients are described in detail together with the election administration system.</w:t>
      </w:r>
    </w:p>
    <w:p w:rsidR="004056C5" w:rsidRPr="00C06EE5" w:rsidRDefault="004056C5" w:rsidP="003148AA">
      <w:pPr>
        <w:pStyle w:val="ListParagraph"/>
        <w:numPr>
          <w:ilvl w:val="0"/>
          <w:numId w:val="3"/>
        </w:numPr>
        <w:rPr>
          <w:lang w:val="en-GB"/>
        </w:rPr>
      </w:pPr>
      <w:r w:rsidRPr="00C06EE5">
        <w:rPr>
          <w:b/>
          <w:lang w:val="en-GB"/>
        </w:rPr>
        <w:t>E-Voting Client Application</w:t>
      </w:r>
      <w:r w:rsidRPr="00C06EE5">
        <w:rPr>
          <w:lang w:val="en-GB"/>
        </w:rPr>
        <w:t xml:space="preserve"> </w:t>
      </w:r>
      <w:r w:rsidRPr="00C06EE5">
        <w:rPr>
          <w:b/>
          <w:lang w:val="en-GB"/>
        </w:rPr>
        <w:t>(EVCA)</w:t>
      </w:r>
      <w:r w:rsidRPr="00C06EE5">
        <w:rPr>
          <w:lang w:val="en-GB"/>
        </w:rPr>
        <w:t xml:space="preserve"> is that element of the </w:t>
      </w:r>
      <w:r w:rsidR="001D6C18" w:rsidRPr="00C06EE5">
        <w:rPr>
          <w:lang w:val="en-GB"/>
        </w:rPr>
        <w:t>client network</w:t>
      </w:r>
      <w:r w:rsidRPr="00C06EE5">
        <w:rPr>
          <w:lang w:val="en-GB"/>
        </w:rPr>
        <w:t xml:space="preserve"> that is supplied by the election service and </w:t>
      </w:r>
      <w:r w:rsidR="001D6C18" w:rsidRPr="00C06EE5">
        <w:rPr>
          <w:lang w:val="en-GB"/>
        </w:rPr>
        <w:t>used to access the public E-voting services in EVCD</w:t>
      </w:r>
      <w:r w:rsidRPr="00C06EE5">
        <w:rPr>
          <w:lang w:val="en-GB"/>
        </w:rPr>
        <w:t>.</w:t>
      </w:r>
      <w:r w:rsidR="001D6C18" w:rsidRPr="00C06EE5">
        <w:rPr>
          <w:lang w:val="en-GB"/>
        </w:rPr>
        <w:t xml:space="preserve"> The e-voting client is described in detail together with the </w:t>
      </w:r>
      <w:r w:rsidR="0018476A" w:rsidRPr="00C06EE5">
        <w:rPr>
          <w:lang w:val="en-GB"/>
        </w:rPr>
        <w:t>rest of the e-voting system.</w:t>
      </w:r>
    </w:p>
    <w:p w:rsidR="00D115D5" w:rsidRPr="00C06EE5" w:rsidRDefault="00D115D5" w:rsidP="004056C5">
      <w:pPr>
        <w:rPr>
          <w:lang w:val="en-GB"/>
        </w:rPr>
      </w:pPr>
    </w:p>
    <w:p w:rsidR="005E7F7F" w:rsidRPr="00C06EE5" w:rsidRDefault="00D115D5" w:rsidP="008066C5">
      <w:pPr>
        <w:rPr>
          <w:lang w:val="en-GB"/>
        </w:rPr>
      </w:pPr>
      <w:r w:rsidRPr="00C06EE5">
        <w:rPr>
          <w:lang w:val="en-GB"/>
        </w:rPr>
        <w:t>The required interactions between the systems are done through the following interfaces (numbered in the figure above):</w:t>
      </w:r>
    </w:p>
    <w:p w:rsidR="005E7F7F" w:rsidRPr="00C06EE5" w:rsidRDefault="005E7F7F" w:rsidP="003148AA">
      <w:pPr>
        <w:pStyle w:val="ListParagraph"/>
        <w:numPr>
          <w:ilvl w:val="0"/>
          <w:numId w:val="2"/>
        </w:numPr>
        <w:rPr>
          <w:lang w:val="en-GB"/>
        </w:rPr>
      </w:pPr>
      <w:r w:rsidRPr="00C06EE5">
        <w:rPr>
          <w:b/>
          <w:lang w:val="en-GB"/>
        </w:rPr>
        <w:t>User authentication</w:t>
      </w:r>
      <w:r w:rsidR="00033D9B" w:rsidRPr="00C06EE5">
        <w:rPr>
          <w:lang w:val="en-GB"/>
        </w:rPr>
        <w:t>. Web interface over HTTPS. Possible redirected from election service. Described in the section “Authentication in general” below.</w:t>
      </w:r>
    </w:p>
    <w:p w:rsidR="005E7F7F" w:rsidRPr="00C06EE5" w:rsidRDefault="00033D9B" w:rsidP="003148AA">
      <w:pPr>
        <w:pStyle w:val="ListParagraph"/>
        <w:numPr>
          <w:ilvl w:val="0"/>
          <w:numId w:val="2"/>
        </w:numPr>
        <w:rPr>
          <w:lang w:val="en-GB"/>
        </w:rPr>
      </w:pPr>
      <w:r w:rsidRPr="00C06EE5">
        <w:rPr>
          <w:b/>
          <w:lang w:val="en-GB"/>
        </w:rPr>
        <w:t>Verify user authentication</w:t>
      </w:r>
      <w:r w:rsidRPr="00C06EE5">
        <w:rPr>
          <w:lang w:val="en-GB"/>
        </w:rPr>
        <w:t>. Web service over mutual authenticated connection. Described in the section “Authentication in general” below.</w:t>
      </w:r>
    </w:p>
    <w:p w:rsidR="005E7F7F" w:rsidRPr="00C06EE5" w:rsidRDefault="00033D9B" w:rsidP="003148AA">
      <w:pPr>
        <w:pStyle w:val="ListParagraph"/>
        <w:numPr>
          <w:ilvl w:val="0"/>
          <w:numId w:val="2"/>
        </w:numPr>
        <w:rPr>
          <w:lang w:val="en-GB"/>
        </w:rPr>
      </w:pPr>
      <w:r w:rsidRPr="00C06EE5">
        <w:rPr>
          <w:b/>
          <w:lang w:val="en-GB"/>
        </w:rPr>
        <w:t>Public web interface for list proposals</w:t>
      </w:r>
      <w:r w:rsidRPr="00C06EE5">
        <w:rPr>
          <w:lang w:val="en-GB"/>
        </w:rPr>
        <w:t xml:space="preserve"> over HTTPS. Described </w:t>
      </w:r>
      <w:r w:rsidR="00783DD8" w:rsidRPr="00C06EE5">
        <w:rPr>
          <w:lang w:val="en-GB"/>
        </w:rPr>
        <w:t>together with the election administration system.</w:t>
      </w:r>
    </w:p>
    <w:p w:rsidR="005E7F7F" w:rsidRPr="00C06EE5" w:rsidRDefault="00783DD8" w:rsidP="003148AA">
      <w:pPr>
        <w:pStyle w:val="ListParagraph"/>
        <w:numPr>
          <w:ilvl w:val="0"/>
          <w:numId w:val="2"/>
        </w:numPr>
        <w:rPr>
          <w:lang w:val="en-GB"/>
        </w:rPr>
      </w:pPr>
      <w:r w:rsidRPr="00C06EE5">
        <w:rPr>
          <w:b/>
          <w:lang w:val="en-GB"/>
        </w:rPr>
        <w:t>Web interface for election administration</w:t>
      </w:r>
      <w:r w:rsidRPr="00C06EE5">
        <w:rPr>
          <w:lang w:val="en-GB"/>
        </w:rPr>
        <w:t xml:space="preserve"> over mutual authenticated HTTPS connection. Described together with the election administration system.</w:t>
      </w:r>
    </w:p>
    <w:p w:rsidR="005E7F7F" w:rsidRPr="00C06EE5" w:rsidRDefault="000954DF" w:rsidP="003148AA">
      <w:pPr>
        <w:pStyle w:val="ListParagraph"/>
        <w:numPr>
          <w:ilvl w:val="0"/>
          <w:numId w:val="2"/>
        </w:numPr>
        <w:rPr>
          <w:lang w:val="en-GB"/>
        </w:rPr>
      </w:pPr>
      <w:r w:rsidRPr="00C06EE5">
        <w:rPr>
          <w:b/>
          <w:lang w:val="en-GB"/>
        </w:rPr>
        <w:t>Interfaces</w:t>
      </w:r>
      <w:r w:rsidR="00783DD8" w:rsidRPr="00C06EE5">
        <w:rPr>
          <w:b/>
          <w:lang w:val="en-GB"/>
        </w:rPr>
        <w:t xml:space="preserve"> for the </w:t>
      </w:r>
      <w:r w:rsidR="008066C5" w:rsidRPr="00C06EE5">
        <w:rPr>
          <w:b/>
          <w:lang w:val="en-GB"/>
        </w:rPr>
        <w:t>Paper Voting D</w:t>
      </w:r>
      <w:r w:rsidR="00783DD8" w:rsidRPr="00C06EE5">
        <w:rPr>
          <w:b/>
          <w:lang w:val="en-GB"/>
        </w:rPr>
        <w:t>omain</w:t>
      </w:r>
      <w:r w:rsidR="00783DD8" w:rsidRPr="00C06EE5">
        <w:rPr>
          <w:lang w:val="en-GB"/>
        </w:rPr>
        <w:t xml:space="preserve">. </w:t>
      </w:r>
      <w:r w:rsidRPr="00C06EE5">
        <w:rPr>
          <w:lang w:val="en-GB"/>
        </w:rPr>
        <w:t>The following interfaces is used:</w:t>
      </w:r>
    </w:p>
    <w:p w:rsidR="00783DD8" w:rsidRPr="00C06EE5" w:rsidRDefault="00783DD8" w:rsidP="003148AA">
      <w:pPr>
        <w:pStyle w:val="ListParagraph"/>
        <w:numPr>
          <w:ilvl w:val="1"/>
          <w:numId w:val="2"/>
        </w:numPr>
        <w:rPr>
          <w:lang w:val="en-GB"/>
        </w:rPr>
      </w:pPr>
      <w:r w:rsidRPr="00C06EE5">
        <w:rPr>
          <w:lang w:val="en-GB"/>
        </w:rPr>
        <w:t>Get election configuration in EML (XML) format</w:t>
      </w:r>
      <w:r w:rsidR="000954DF" w:rsidRPr="00C06EE5">
        <w:rPr>
          <w:lang w:val="en-GB"/>
        </w:rPr>
        <w:t xml:space="preserve"> over </w:t>
      </w:r>
      <w:r w:rsidR="006502BA" w:rsidRPr="00C06EE5">
        <w:rPr>
          <w:lang w:val="en-GB"/>
        </w:rPr>
        <w:t xml:space="preserve">a </w:t>
      </w:r>
      <w:r w:rsidR="000954DF" w:rsidRPr="00C06EE5">
        <w:rPr>
          <w:lang w:val="en-GB"/>
        </w:rPr>
        <w:t>mutual authenticated HTTPS connection.</w:t>
      </w:r>
      <w:r w:rsidR="004F7C3C" w:rsidRPr="00C06EE5">
        <w:rPr>
          <w:lang w:val="en-GB"/>
        </w:rPr>
        <w:t xml:space="preserve"> The configuration EML files are digitally signed by the Election Administration system.</w:t>
      </w:r>
    </w:p>
    <w:p w:rsidR="000954DF" w:rsidRPr="00C06EE5" w:rsidRDefault="000954DF" w:rsidP="003148AA">
      <w:pPr>
        <w:pStyle w:val="ListParagraph"/>
        <w:numPr>
          <w:ilvl w:val="1"/>
          <w:numId w:val="2"/>
        </w:numPr>
        <w:rPr>
          <w:lang w:val="en-GB"/>
        </w:rPr>
      </w:pPr>
      <w:r w:rsidRPr="00C06EE5">
        <w:rPr>
          <w:lang w:val="en-GB"/>
        </w:rPr>
        <w:t xml:space="preserve">Deliver ballot count results in EML (XML) format over </w:t>
      </w:r>
      <w:r w:rsidR="006502BA" w:rsidRPr="00C06EE5">
        <w:rPr>
          <w:lang w:val="en-GB"/>
        </w:rPr>
        <w:t xml:space="preserve">a </w:t>
      </w:r>
      <w:r w:rsidRPr="00C06EE5">
        <w:rPr>
          <w:lang w:val="en-GB"/>
        </w:rPr>
        <w:t>mutual authenticated HTTPS connection.</w:t>
      </w:r>
      <w:r w:rsidR="004F7C3C" w:rsidRPr="00C06EE5">
        <w:rPr>
          <w:lang w:val="en-GB"/>
        </w:rPr>
        <w:t xml:space="preserve"> The counting EML files are digitally signed by the responsible system operator at the scanning site.</w:t>
      </w:r>
    </w:p>
    <w:p w:rsidR="000954DF" w:rsidRPr="00C06EE5" w:rsidRDefault="000954DF" w:rsidP="003148AA">
      <w:pPr>
        <w:pStyle w:val="ListParagraph"/>
        <w:numPr>
          <w:ilvl w:val="1"/>
          <w:numId w:val="2"/>
        </w:numPr>
        <w:rPr>
          <w:lang w:val="en-GB"/>
        </w:rPr>
      </w:pPr>
      <w:r w:rsidRPr="00C06EE5">
        <w:rPr>
          <w:lang w:val="en-GB"/>
        </w:rPr>
        <w:t xml:space="preserve">Deliver </w:t>
      </w:r>
      <w:r w:rsidR="004F7C3C" w:rsidRPr="00C06EE5">
        <w:rPr>
          <w:lang w:val="en-GB"/>
        </w:rPr>
        <w:t xml:space="preserve">copy of local </w:t>
      </w:r>
      <w:r w:rsidRPr="00C06EE5">
        <w:rPr>
          <w:lang w:val="en-GB"/>
        </w:rPr>
        <w:t>log events through rsyslog service (UDP/514).</w:t>
      </w:r>
      <w:r w:rsidR="00FE7A4B" w:rsidRPr="00C06EE5">
        <w:rPr>
          <w:lang w:val="en-GB"/>
        </w:rPr>
        <w:t xml:space="preserve"> The audit log data is </w:t>
      </w:r>
      <w:r w:rsidR="00D22F9B" w:rsidRPr="00C06EE5">
        <w:rPr>
          <w:lang w:val="en-GB"/>
        </w:rPr>
        <w:t>immutabilized before it is sent.</w:t>
      </w:r>
    </w:p>
    <w:p w:rsidR="005E7F7F" w:rsidRPr="00C06EE5" w:rsidRDefault="000954DF" w:rsidP="003148AA">
      <w:pPr>
        <w:pStyle w:val="ListParagraph"/>
        <w:numPr>
          <w:ilvl w:val="0"/>
          <w:numId w:val="2"/>
        </w:numPr>
        <w:rPr>
          <w:lang w:val="en-GB"/>
        </w:rPr>
      </w:pPr>
      <w:r w:rsidRPr="00C06EE5">
        <w:rPr>
          <w:b/>
          <w:lang w:val="en-GB"/>
        </w:rPr>
        <w:t>Get initially load and daily updates of the electoral roll</w:t>
      </w:r>
      <w:r w:rsidR="008066C5" w:rsidRPr="00C06EE5">
        <w:rPr>
          <w:b/>
          <w:lang w:val="en-GB"/>
        </w:rPr>
        <w:t xml:space="preserve"> </w:t>
      </w:r>
      <w:r w:rsidR="008066C5" w:rsidRPr="00C06EE5">
        <w:rPr>
          <w:lang w:val="en-GB"/>
        </w:rPr>
        <w:t>from Skattedirektoratet (SKD)</w:t>
      </w:r>
      <w:r w:rsidRPr="00C06EE5">
        <w:rPr>
          <w:lang w:val="en-GB"/>
        </w:rPr>
        <w:t>.</w:t>
      </w:r>
    </w:p>
    <w:p w:rsidR="005E7F7F" w:rsidRPr="00C06EE5" w:rsidRDefault="000954DF" w:rsidP="003148AA">
      <w:pPr>
        <w:pStyle w:val="ListParagraph"/>
        <w:numPr>
          <w:ilvl w:val="0"/>
          <w:numId w:val="2"/>
        </w:numPr>
        <w:rPr>
          <w:lang w:val="en-GB"/>
        </w:rPr>
      </w:pPr>
      <w:r w:rsidRPr="00C06EE5">
        <w:rPr>
          <w:b/>
          <w:lang w:val="en-GB"/>
        </w:rPr>
        <w:t xml:space="preserve">Send </w:t>
      </w:r>
      <w:r w:rsidR="008066C5" w:rsidRPr="00C06EE5">
        <w:rPr>
          <w:b/>
          <w:lang w:val="en-GB"/>
        </w:rPr>
        <w:t xml:space="preserve">preliminary and final </w:t>
      </w:r>
      <w:r w:rsidRPr="00C06EE5">
        <w:rPr>
          <w:b/>
          <w:lang w:val="en-GB"/>
        </w:rPr>
        <w:t>reports of election result</w:t>
      </w:r>
      <w:r w:rsidRPr="00C06EE5">
        <w:rPr>
          <w:lang w:val="en-GB"/>
        </w:rPr>
        <w:t>s</w:t>
      </w:r>
      <w:r w:rsidR="008066C5" w:rsidRPr="00C06EE5">
        <w:rPr>
          <w:lang w:val="en-GB"/>
        </w:rPr>
        <w:t xml:space="preserve"> to Statistisk Sentralbyrå (SSB)</w:t>
      </w:r>
      <w:r w:rsidRPr="00C06EE5">
        <w:rPr>
          <w:lang w:val="en-GB"/>
        </w:rPr>
        <w:t>.</w:t>
      </w:r>
    </w:p>
    <w:p w:rsidR="005E7F7F" w:rsidRPr="00C06EE5" w:rsidRDefault="008066C5" w:rsidP="003148AA">
      <w:pPr>
        <w:pStyle w:val="ListParagraph"/>
        <w:numPr>
          <w:ilvl w:val="0"/>
          <w:numId w:val="2"/>
        </w:numPr>
        <w:rPr>
          <w:lang w:val="en-GB"/>
        </w:rPr>
      </w:pPr>
      <w:r w:rsidRPr="00C06EE5">
        <w:rPr>
          <w:b/>
          <w:lang w:val="en-GB"/>
        </w:rPr>
        <w:t>Interfaces for the eVoting Collection Domain</w:t>
      </w:r>
      <w:r w:rsidRPr="00C06EE5">
        <w:rPr>
          <w:lang w:val="en-GB"/>
        </w:rPr>
        <w:t>. The following interfaces is used:</w:t>
      </w:r>
    </w:p>
    <w:p w:rsidR="008066C5" w:rsidRPr="00C06EE5" w:rsidRDefault="008066C5" w:rsidP="003148AA">
      <w:pPr>
        <w:pStyle w:val="ListParagraph"/>
        <w:numPr>
          <w:ilvl w:val="1"/>
          <w:numId w:val="2"/>
        </w:numPr>
        <w:rPr>
          <w:lang w:val="en-GB"/>
        </w:rPr>
      </w:pPr>
      <w:r w:rsidRPr="00C06EE5">
        <w:rPr>
          <w:lang w:val="en-GB"/>
        </w:rPr>
        <w:t xml:space="preserve">Get election configuration in EML (XML) format from </w:t>
      </w:r>
      <w:r w:rsidR="006502BA" w:rsidRPr="00C06EE5">
        <w:rPr>
          <w:lang w:val="en-GB"/>
        </w:rPr>
        <w:t xml:space="preserve">a </w:t>
      </w:r>
      <w:r w:rsidRPr="00C06EE5">
        <w:rPr>
          <w:lang w:val="en-GB"/>
        </w:rPr>
        <w:t>mutual authenticated HTTPS connection.</w:t>
      </w:r>
      <w:r w:rsidR="004F7C3C" w:rsidRPr="00C06EE5">
        <w:rPr>
          <w:lang w:val="en-GB"/>
        </w:rPr>
        <w:t xml:space="preserve"> </w:t>
      </w:r>
      <w:r w:rsidR="00FE7A4B" w:rsidRPr="00C06EE5">
        <w:rPr>
          <w:lang w:val="en-GB"/>
        </w:rPr>
        <w:t>The configuration EML files are digitally signed by the Election Administration system.</w:t>
      </w:r>
    </w:p>
    <w:p w:rsidR="00FE7A4B" w:rsidRPr="00C06EE5" w:rsidRDefault="008066C5" w:rsidP="003148AA">
      <w:pPr>
        <w:pStyle w:val="ListParagraph"/>
        <w:numPr>
          <w:ilvl w:val="1"/>
          <w:numId w:val="2"/>
        </w:numPr>
        <w:rPr>
          <w:lang w:val="en-GB"/>
        </w:rPr>
      </w:pPr>
      <w:r w:rsidRPr="00C06EE5">
        <w:rPr>
          <w:lang w:val="en-GB"/>
        </w:rPr>
        <w:t xml:space="preserve">Deliver eVoting count results in EML (XML) format over </w:t>
      </w:r>
      <w:r w:rsidR="006502BA" w:rsidRPr="00C06EE5">
        <w:rPr>
          <w:lang w:val="en-GB"/>
        </w:rPr>
        <w:t xml:space="preserve">a </w:t>
      </w:r>
      <w:r w:rsidRPr="00C06EE5">
        <w:rPr>
          <w:lang w:val="en-GB"/>
        </w:rPr>
        <w:t>mutual authenticated HTTPS connection.</w:t>
      </w:r>
      <w:r w:rsidR="00FE7A4B" w:rsidRPr="00C06EE5">
        <w:rPr>
          <w:lang w:val="en-GB"/>
        </w:rPr>
        <w:t xml:space="preserve"> The counting EML files from eVoting are digitally signed by </w:t>
      </w:r>
      <w:r w:rsidR="00FE0377" w:rsidRPr="00C06EE5">
        <w:rPr>
          <w:lang w:val="en-GB"/>
        </w:rPr>
        <w:t>the Counting module</w:t>
      </w:r>
      <w:r w:rsidR="00FE7A4B" w:rsidRPr="00C06EE5">
        <w:rPr>
          <w:lang w:val="en-GB"/>
        </w:rPr>
        <w:t>.</w:t>
      </w:r>
    </w:p>
    <w:p w:rsidR="008066C5" w:rsidRPr="00C06EE5" w:rsidRDefault="008066C5" w:rsidP="003148AA">
      <w:pPr>
        <w:pStyle w:val="ListParagraph"/>
        <w:numPr>
          <w:ilvl w:val="1"/>
          <w:numId w:val="2"/>
        </w:numPr>
        <w:rPr>
          <w:lang w:val="en-GB"/>
        </w:rPr>
      </w:pPr>
      <w:r w:rsidRPr="00C06EE5">
        <w:rPr>
          <w:lang w:val="en-GB"/>
        </w:rPr>
        <w:t xml:space="preserve">Deliver </w:t>
      </w:r>
      <w:r w:rsidR="004F7C3C" w:rsidRPr="00C06EE5">
        <w:rPr>
          <w:lang w:val="en-GB"/>
        </w:rPr>
        <w:t xml:space="preserve">copy of local </w:t>
      </w:r>
      <w:r w:rsidRPr="00C06EE5">
        <w:rPr>
          <w:lang w:val="en-GB"/>
        </w:rPr>
        <w:t xml:space="preserve">log events through </w:t>
      </w:r>
      <w:r w:rsidR="00FE7A4B" w:rsidRPr="00C06EE5">
        <w:rPr>
          <w:lang w:val="en-GB"/>
        </w:rPr>
        <w:t xml:space="preserve">the same </w:t>
      </w:r>
      <w:r w:rsidRPr="00C06EE5">
        <w:rPr>
          <w:lang w:val="en-GB"/>
        </w:rPr>
        <w:t xml:space="preserve">rsyslog service </w:t>
      </w:r>
      <w:r w:rsidR="00FE7A4B" w:rsidRPr="00C06EE5">
        <w:rPr>
          <w:lang w:val="en-GB"/>
        </w:rPr>
        <w:t xml:space="preserve">as 5c </w:t>
      </w:r>
      <w:r w:rsidRPr="00C06EE5">
        <w:rPr>
          <w:lang w:val="en-GB"/>
        </w:rPr>
        <w:t>(UDP/514).</w:t>
      </w:r>
      <w:r w:rsidR="00D22F9B" w:rsidRPr="00C06EE5">
        <w:rPr>
          <w:lang w:val="en-GB"/>
        </w:rPr>
        <w:t xml:space="preserve"> The audit log data is immutabilized before it is sent.</w:t>
      </w:r>
    </w:p>
    <w:p w:rsidR="00D22F9B" w:rsidRPr="00C06EE5" w:rsidRDefault="00D22F9B" w:rsidP="003148AA">
      <w:pPr>
        <w:pStyle w:val="ListParagraph"/>
        <w:numPr>
          <w:ilvl w:val="1"/>
          <w:numId w:val="2"/>
        </w:numPr>
        <w:rPr>
          <w:lang w:val="en-GB"/>
        </w:rPr>
      </w:pPr>
      <w:r w:rsidRPr="00C06EE5">
        <w:rPr>
          <w:lang w:val="en-GB"/>
        </w:rPr>
        <w:t>Check if a voter is eligible to cast a vote in a</w:t>
      </w:r>
      <w:r w:rsidR="006502BA" w:rsidRPr="00C06EE5">
        <w:rPr>
          <w:lang w:val="en-GB"/>
        </w:rPr>
        <w:t>n</w:t>
      </w:r>
      <w:r w:rsidRPr="00C06EE5">
        <w:rPr>
          <w:lang w:val="en-GB"/>
        </w:rPr>
        <w:t xml:space="preserve"> election</w:t>
      </w:r>
      <w:r w:rsidR="006502BA" w:rsidRPr="00C06EE5">
        <w:rPr>
          <w:lang w:val="en-GB"/>
        </w:rPr>
        <w:t xml:space="preserve"> with a web service over a mutual authenticated HTTPS connection.</w:t>
      </w:r>
    </w:p>
    <w:p w:rsidR="008066C5" w:rsidRPr="00C06EE5" w:rsidRDefault="006502BA" w:rsidP="003148AA">
      <w:pPr>
        <w:pStyle w:val="ListParagraph"/>
        <w:numPr>
          <w:ilvl w:val="1"/>
          <w:numId w:val="2"/>
        </w:numPr>
        <w:rPr>
          <w:lang w:val="en-GB"/>
        </w:rPr>
      </w:pPr>
      <w:r w:rsidRPr="00C06EE5">
        <w:rPr>
          <w:lang w:val="en-GB"/>
        </w:rPr>
        <w:t xml:space="preserve">Get a record based file for the whole electoral roll with mark-offs from a web service over a mutual authenticated HTTPS connection. The electoral roll copy is used to </w:t>
      </w:r>
      <w:r w:rsidR="00D22F9B" w:rsidRPr="00C06EE5">
        <w:rPr>
          <w:lang w:val="en-GB"/>
        </w:rPr>
        <w:t xml:space="preserve">check the final electronic ballots and to filter out all voters which </w:t>
      </w:r>
      <w:r w:rsidR="00C06EE5" w:rsidRPr="00C06EE5">
        <w:rPr>
          <w:lang w:val="en-GB"/>
        </w:rPr>
        <w:t>have</w:t>
      </w:r>
      <w:r w:rsidR="00D22F9B" w:rsidRPr="00C06EE5">
        <w:rPr>
          <w:lang w:val="en-GB"/>
        </w:rPr>
        <w:t xml:space="preserve"> cast a paper vote from the final electronic count.</w:t>
      </w:r>
    </w:p>
    <w:p w:rsidR="005E7F7F" w:rsidRPr="00C06EE5" w:rsidRDefault="008066C5" w:rsidP="003148AA">
      <w:pPr>
        <w:pStyle w:val="ListParagraph"/>
        <w:numPr>
          <w:ilvl w:val="0"/>
          <w:numId w:val="2"/>
        </w:numPr>
        <w:rPr>
          <w:lang w:val="en-GB"/>
        </w:rPr>
      </w:pPr>
      <w:r w:rsidRPr="00C06EE5">
        <w:rPr>
          <w:b/>
          <w:lang w:val="en-GB"/>
        </w:rPr>
        <w:t>Public web interface for electronic voting</w:t>
      </w:r>
      <w:r w:rsidRPr="00C06EE5">
        <w:rPr>
          <w:lang w:val="en-GB"/>
        </w:rPr>
        <w:t xml:space="preserve"> over HTTPS. Described together with the electronic voting system.</w:t>
      </w:r>
    </w:p>
    <w:p w:rsidR="006502BA" w:rsidRPr="00C06EE5" w:rsidRDefault="006502BA" w:rsidP="006502BA">
      <w:pPr>
        <w:rPr>
          <w:lang w:val="en-GB"/>
        </w:rPr>
      </w:pPr>
    </w:p>
    <w:p w:rsidR="006502BA" w:rsidRPr="00C06EE5" w:rsidRDefault="006502BA" w:rsidP="006502BA">
      <w:pPr>
        <w:rPr>
          <w:lang w:val="en-GB"/>
        </w:rPr>
      </w:pPr>
      <w:r w:rsidRPr="00C06EE5">
        <w:rPr>
          <w:lang w:val="en-GB"/>
        </w:rPr>
        <w:t>More detailed information on the interfaces could be found in System Architecture documents</w:t>
      </w:r>
      <w:r w:rsidR="00C06EE5">
        <w:rPr>
          <w:lang w:val="en-GB"/>
        </w:rPr>
        <w:t xml:space="preserve"> [Ref. “System Architecture - Interfaces]</w:t>
      </w:r>
      <w:r w:rsidRPr="00C06EE5">
        <w:rPr>
          <w:lang w:val="en-GB"/>
        </w:rPr>
        <w:t>.</w:t>
      </w:r>
    </w:p>
    <w:p w:rsidR="008066C5" w:rsidRPr="00BC7F3F" w:rsidRDefault="008066C5" w:rsidP="008066C5">
      <w:pPr>
        <w:rPr>
          <w:lang w:val="en-GB"/>
        </w:rPr>
      </w:pPr>
    </w:p>
    <w:p w:rsidR="00B773CF" w:rsidRPr="00BC7F3F" w:rsidRDefault="00BF1A62" w:rsidP="00B773CF">
      <w:pPr>
        <w:pStyle w:val="Heading2"/>
        <w:rPr>
          <w:lang w:val="en-GB"/>
        </w:rPr>
      </w:pPr>
      <w:bookmarkStart w:id="3" w:name="_Toc287608117"/>
      <w:r w:rsidRPr="00BC7F3F">
        <w:rPr>
          <w:lang w:val="en-GB"/>
        </w:rPr>
        <w:t>Main user</w:t>
      </w:r>
      <w:r w:rsidR="00DD45DC" w:rsidRPr="00BC7F3F">
        <w:rPr>
          <w:lang w:val="en-GB"/>
        </w:rPr>
        <w:t xml:space="preserve"> </w:t>
      </w:r>
      <w:r w:rsidRPr="00BC7F3F">
        <w:rPr>
          <w:lang w:val="en-GB"/>
        </w:rPr>
        <w:t>groups</w:t>
      </w:r>
      <w:bookmarkEnd w:id="3"/>
    </w:p>
    <w:p w:rsidR="00BB7E9B" w:rsidRPr="00BC7F3F" w:rsidRDefault="00BB7E9B" w:rsidP="00BB7E9B">
      <w:pPr>
        <w:rPr>
          <w:lang w:val="en-GB"/>
        </w:rPr>
      </w:pPr>
      <w:r w:rsidRPr="00BC7F3F">
        <w:rPr>
          <w:lang w:val="en-GB"/>
        </w:rPr>
        <w:t xml:space="preserve">The </w:t>
      </w:r>
      <w:r w:rsidR="009709CA">
        <w:rPr>
          <w:lang w:val="en-GB"/>
        </w:rPr>
        <w:t xml:space="preserve">three </w:t>
      </w:r>
      <w:r w:rsidRPr="00BC7F3F">
        <w:rPr>
          <w:lang w:val="en-GB"/>
        </w:rPr>
        <w:t xml:space="preserve">systems have several different user groups which </w:t>
      </w:r>
      <w:r w:rsidR="005D7572" w:rsidRPr="00BC7F3F">
        <w:rPr>
          <w:lang w:val="en-GB"/>
        </w:rPr>
        <w:t>are</w:t>
      </w:r>
      <w:r w:rsidRPr="00BC7F3F">
        <w:rPr>
          <w:lang w:val="en-GB"/>
        </w:rPr>
        <w:t xml:space="preserve"> described in more detail under each. The main user groups</w:t>
      </w:r>
      <w:r w:rsidR="005D7572" w:rsidRPr="00BC7F3F">
        <w:rPr>
          <w:lang w:val="en-GB"/>
        </w:rPr>
        <w:t xml:space="preserve"> are</w:t>
      </w:r>
      <w:r w:rsidRPr="00BC7F3F">
        <w:rPr>
          <w:lang w:val="en-GB"/>
        </w:rPr>
        <w:t>:</w:t>
      </w:r>
    </w:p>
    <w:p w:rsidR="00BB7E9B" w:rsidRPr="00BC7F3F" w:rsidRDefault="00BB7E9B" w:rsidP="008C5943">
      <w:pPr>
        <w:pStyle w:val="ListParagraph"/>
        <w:numPr>
          <w:ilvl w:val="0"/>
          <w:numId w:val="5"/>
        </w:numPr>
        <w:rPr>
          <w:lang w:val="en-GB"/>
        </w:rPr>
      </w:pPr>
      <w:r w:rsidRPr="00BC7F3F">
        <w:rPr>
          <w:b/>
          <w:lang w:val="en-GB"/>
        </w:rPr>
        <w:t>Election administrators/officials</w:t>
      </w:r>
      <w:r w:rsidRPr="00BC7F3F">
        <w:rPr>
          <w:lang w:val="en-GB"/>
        </w:rPr>
        <w:t xml:space="preserve"> </w:t>
      </w:r>
      <w:r w:rsidR="008C5943" w:rsidRPr="00BC7F3F">
        <w:rPr>
          <w:lang w:val="en-GB"/>
        </w:rPr>
        <w:t>setup, configures, and administers</w:t>
      </w:r>
      <w:r w:rsidRPr="00BC7F3F">
        <w:rPr>
          <w:lang w:val="en-GB"/>
        </w:rPr>
        <w:t xml:space="preserve"> elections before, during, and after the election. The </w:t>
      </w:r>
      <w:r w:rsidR="00B7267B" w:rsidRPr="00BC7F3F">
        <w:rPr>
          <w:lang w:val="en-GB"/>
        </w:rPr>
        <w:t xml:space="preserve">tasks are done in a web application from </w:t>
      </w:r>
      <w:r w:rsidRPr="00BC7F3F">
        <w:rPr>
          <w:lang w:val="en-GB"/>
        </w:rPr>
        <w:t xml:space="preserve">client PCs </w:t>
      </w:r>
      <w:r w:rsidR="00B7267B" w:rsidRPr="00BC7F3F">
        <w:rPr>
          <w:lang w:val="en-GB"/>
        </w:rPr>
        <w:t xml:space="preserve">which </w:t>
      </w:r>
      <w:r w:rsidRPr="00BC7F3F">
        <w:rPr>
          <w:lang w:val="en-GB"/>
        </w:rPr>
        <w:t>are under municipal control and have a special purpose SSL client certificate installed.</w:t>
      </w:r>
    </w:p>
    <w:p w:rsidR="00BB7E9B" w:rsidRPr="00BC7F3F" w:rsidRDefault="00BB7E9B" w:rsidP="008C5943">
      <w:pPr>
        <w:pStyle w:val="ListParagraph"/>
        <w:numPr>
          <w:ilvl w:val="0"/>
          <w:numId w:val="5"/>
        </w:numPr>
        <w:rPr>
          <w:lang w:val="en-GB"/>
        </w:rPr>
      </w:pPr>
      <w:r w:rsidRPr="00BC7F3F">
        <w:rPr>
          <w:b/>
          <w:lang w:val="en-GB"/>
        </w:rPr>
        <w:t>Political party officials</w:t>
      </w:r>
      <w:r w:rsidRPr="00BC7F3F">
        <w:rPr>
          <w:lang w:val="en-GB"/>
        </w:rPr>
        <w:t xml:space="preserve"> </w:t>
      </w:r>
      <w:r w:rsidR="00B7267B" w:rsidRPr="00BC7F3F">
        <w:rPr>
          <w:lang w:val="en-GB"/>
        </w:rPr>
        <w:t xml:space="preserve">use a public web application to </w:t>
      </w:r>
      <w:r w:rsidRPr="00BC7F3F">
        <w:rPr>
          <w:lang w:val="en-GB"/>
        </w:rPr>
        <w:t xml:space="preserve">send in list proposals with candidates for the different parties before the election. </w:t>
      </w:r>
    </w:p>
    <w:p w:rsidR="00BB7E9B" w:rsidRPr="00BC7F3F" w:rsidRDefault="00BB7E9B" w:rsidP="008C5943">
      <w:pPr>
        <w:pStyle w:val="ListParagraph"/>
        <w:numPr>
          <w:ilvl w:val="0"/>
          <w:numId w:val="5"/>
        </w:numPr>
        <w:rPr>
          <w:lang w:val="en-GB"/>
        </w:rPr>
      </w:pPr>
      <w:r w:rsidRPr="00BC7F3F">
        <w:rPr>
          <w:b/>
          <w:lang w:val="en-GB"/>
        </w:rPr>
        <w:t>Eligible voters</w:t>
      </w:r>
      <w:r w:rsidR="005D7572" w:rsidRPr="00BC7F3F">
        <w:rPr>
          <w:lang w:val="en-GB"/>
        </w:rPr>
        <w:t xml:space="preserve"> cast their electronic vote</w:t>
      </w:r>
      <w:r w:rsidR="00B7267B" w:rsidRPr="00BC7F3F">
        <w:rPr>
          <w:lang w:val="en-GB"/>
        </w:rPr>
        <w:t xml:space="preserve"> in a public web application</w:t>
      </w:r>
      <w:r w:rsidR="005D7572" w:rsidRPr="00BC7F3F">
        <w:rPr>
          <w:lang w:val="en-GB"/>
        </w:rPr>
        <w:t>. Only eligible voters in the election roll could cast their vote.</w:t>
      </w:r>
    </w:p>
    <w:p w:rsidR="00BB7E9B" w:rsidRPr="00BC7F3F" w:rsidRDefault="00737E74" w:rsidP="008C5943">
      <w:pPr>
        <w:pStyle w:val="ListParagraph"/>
        <w:numPr>
          <w:ilvl w:val="0"/>
          <w:numId w:val="5"/>
        </w:numPr>
        <w:rPr>
          <w:lang w:val="en-GB"/>
        </w:rPr>
      </w:pPr>
      <w:r w:rsidRPr="00BC7F3F">
        <w:rPr>
          <w:b/>
          <w:lang w:val="en-GB"/>
        </w:rPr>
        <w:t>Operators in pVoting</w:t>
      </w:r>
      <w:r w:rsidRPr="00BC7F3F">
        <w:rPr>
          <w:lang w:val="en-GB"/>
        </w:rPr>
        <w:t xml:space="preserve"> scan paper ballots, verify them, count them</w:t>
      </w:r>
      <w:r w:rsidR="005D7572" w:rsidRPr="00BC7F3F">
        <w:rPr>
          <w:lang w:val="en-GB"/>
        </w:rPr>
        <w:t>, and report the results</w:t>
      </w:r>
      <w:r w:rsidRPr="00BC7F3F">
        <w:rPr>
          <w:lang w:val="en-GB"/>
        </w:rPr>
        <w:t xml:space="preserve"> with </w:t>
      </w:r>
      <w:r w:rsidR="008C5943" w:rsidRPr="00BC7F3F">
        <w:rPr>
          <w:lang w:val="en-GB"/>
        </w:rPr>
        <w:t>PC</w:t>
      </w:r>
      <w:r w:rsidRPr="00BC7F3F">
        <w:rPr>
          <w:lang w:val="en-GB"/>
        </w:rPr>
        <w:t xml:space="preserve"> applications installed </w:t>
      </w:r>
      <w:r w:rsidR="008C5943" w:rsidRPr="00BC7F3F">
        <w:rPr>
          <w:lang w:val="en-GB"/>
        </w:rPr>
        <w:t xml:space="preserve">in municipal local network </w:t>
      </w:r>
      <w:r w:rsidRPr="00BC7F3F">
        <w:rPr>
          <w:lang w:val="en-GB"/>
        </w:rPr>
        <w:t xml:space="preserve">at counting centrals. </w:t>
      </w:r>
    </w:p>
    <w:p w:rsidR="00837EAE" w:rsidRPr="00BC7F3F" w:rsidRDefault="008C5943" w:rsidP="008C5943">
      <w:pPr>
        <w:pStyle w:val="ListParagraph"/>
        <w:numPr>
          <w:ilvl w:val="0"/>
          <w:numId w:val="5"/>
        </w:numPr>
        <w:rPr>
          <w:lang w:val="en-GB"/>
        </w:rPr>
      </w:pPr>
      <w:r w:rsidRPr="00BC7F3F">
        <w:rPr>
          <w:b/>
          <w:lang w:val="en-GB"/>
        </w:rPr>
        <w:t>Operators in eVoting</w:t>
      </w:r>
      <w:r w:rsidRPr="00BC7F3F">
        <w:rPr>
          <w:lang w:val="en-GB"/>
        </w:rPr>
        <w:t xml:space="preserve"> setup and configure the election and report the counting results from the </w:t>
      </w:r>
      <w:r w:rsidR="00B7267B" w:rsidRPr="00BC7F3F">
        <w:rPr>
          <w:lang w:val="en-GB"/>
        </w:rPr>
        <w:t>electronic v</w:t>
      </w:r>
      <w:r w:rsidRPr="00BC7F3F">
        <w:rPr>
          <w:lang w:val="en-GB"/>
        </w:rPr>
        <w:t xml:space="preserve">oting. </w:t>
      </w:r>
    </w:p>
    <w:p w:rsidR="00B773CF" w:rsidRPr="00BC7F3F" w:rsidRDefault="00B773CF" w:rsidP="00B773CF">
      <w:pPr>
        <w:rPr>
          <w:lang w:val="en-GB"/>
        </w:rPr>
      </w:pPr>
    </w:p>
    <w:p w:rsidR="00B773CF" w:rsidRPr="00BC7F3F" w:rsidRDefault="00B773CF" w:rsidP="00B773CF">
      <w:pPr>
        <w:pStyle w:val="Heading2"/>
        <w:rPr>
          <w:lang w:val="en-GB"/>
        </w:rPr>
      </w:pPr>
      <w:bookmarkStart w:id="4" w:name="_Toc419224216"/>
      <w:bookmarkStart w:id="5" w:name="_Toc287608118"/>
      <w:r w:rsidRPr="00BC7F3F">
        <w:rPr>
          <w:lang w:val="en-GB"/>
        </w:rPr>
        <w:t>Authentication</w:t>
      </w:r>
      <w:bookmarkEnd w:id="4"/>
      <w:r w:rsidR="00BF1A62" w:rsidRPr="00BC7F3F">
        <w:rPr>
          <w:lang w:val="en-GB"/>
        </w:rPr>
        <w:t xml:space="preserve"> in general</w:t>
      </w:r>
      <w:bookmarkEnd w:id="5"/>
    </w:p>
    <w:p w:rsidR="00BC7F3F" w:rsidRPr="00BC7F3F" w:rsidRDefault="00BC7F3F" w:rsidP="00B7267B">
      <w:pPr>
        <w:rPr>
          <w:lang w:val="en-GB"/>
        </w:rPr>
      </w:pPr>
      <w:r w:rsidRPr="00BC7F3F">
        <w:rPr>
          <w:lang w:val="en-GB"/>
        </w:rPr>
        <w:t xml:space="preserve">The national personal identification number (“fødselsnummer” in Norwegian) is used as user identification in all applications. </w:t>
      </w:r>
    </w:p>
    <w:p w:rsidR="00BC7F3F" w:rsidRDefault="00BC7F3F" w:rsidP="00B7267B">
      <w:pPr>
        <w:rPr>
          <w:lang w:val="en-GB"/>
        </w:rPr>
      </w:pPr>
    </w:p>
    <w:p w:rsidR="00A7746E" w:rsidRDefault="00A7746E" w:rsidP="00B7267B">
      <w:pPr>
        <w:rPr>
          <w:lang w:val="en-GB"/>
        </w:rPr>
      </w:pPr>
      <w:r>
        <w:rPr>
          <w:lang w:val="en-GB"/>
        </w:rPr>
        <w:t>Users of the Admin (including public list proposal) and eVoting web applications authenticate themselves through the national electronic ID service (</w:t>
      </w:r>
      <w:r w:rsidR="007A3782">
        <w:rPr>
          <w:lang w:val="en-GB"/>
        </w:rPr>
        <w:t>“</w:t>
      </w:r>
      <w:r>
        <w:rPr>
          <w:lang w:val="en-GB"/>
        </w:rPr>
        <w:t>MinID</w:t>
      </w:r>
      <w:r w:rsidR="007A3782">
        <w:rPr>
          <w:lang w:val="en-GB"/>
        </w:rPr>
        <w:t>”</w:t>
      </w:r>
      <w:r w:rsidR="00744A3F">
        <w:rPr>
          <w:lang w:val="en-GB"/>
        </w:rPr>
        <w:t xml:space="preserve"> at “ID-porten”</w:t>
      </w:r>
      <w:r>
        <w:rPr>
          <w:lang w:val="en-GB"/>
        </w:rPr>
        <w:t>).</w:t>
      </w:r>
      <w:r w:rsidR="00660B54">
        <w:rPr>
          <w:lang w:val="en-GB"/>
        </w:rPr>
        <w:t xml:space="preserve"> </w:t>
      </w:r>
      <w:r w:rsidR="00D638BB" w:rsidRPr="00D638BB">
        <w:rPr>
          <w:lang w:val="en-GB"/>
        </w:rPr>
        <w:t>This is in principle a single-sign-on system for many government services, but the configuration does not allow single-sign on towards the election systems.</w:t>
      </w:r>
    </w:p>
    <w:p w:rsidR="00A7746E" w:rsidRDefault="00A7746E" w:rsidP="00B7267B">
      <w:pPr>
        <w:rPr>
          <w:lang w:val="en-GB"/>
        </w:rPr>
      </w:pPr>
    </w:p>
    <w:p w:rsidR="00A7746E" w:rsidRDefault="00A7746E" w:rsidP="00B7267B">
      <w:pPr>
        <w:rPr>
          <w:lang w:val="en-GB"/>
        </w:rPr>
      </w:pPr>
      <w:r>
        <w:rPr>
          <w:lang w:val="en-GB"/>
        </w:rPr>
        <w:t>Operators in the</w:t>
      </w:r>
      <w:r w:rsidR="00A25DA2">
        <w:rPr>
          <w:lang w:val="en-GB"/>
        </w:rPr>
        <w:t xml:space="preserve"> pVoting and eVoting domains authenticate themselves with a token file generated and down</w:t>
      </w:r>
      <w:r w:rsidR="00660B54">
        <w:rPr>
          <w:lang w:val="en-GB"/>
        </w:rPr>
        <w:softHyphen/>
      </w:r>
      <w:r w:rsidR="00A25DA2">
        <w:rPr>
          <w:lang w:val="en-GB"/>
        </w:rPr>
        <w:t>loaded from the Admin web application. The token includes user identification and permissions (user role). The token is digitally signed by the Admin system and encrypted with a key generated from a user provided pass</w:t>
      </w:r>
      <w:r w:rsidR="00660B54">
        <w:rPr>
          <w:lang w:val="en-GB"/>
        </w:rPr>
        <w:softHyphen/>
      </w:r>
      <w:r w:rsidR="00A25DA2">
        <w:rPr>
          <w:lang w:val="en-GB"/>
        </w:rPr>
        <w:t>word.</w:t>
      </w:r>
    </w:p>
    <w:p w:rsidR="00660B54" w:rsidRDefault="00660B54" w:rsidP="00B7267B">
      <w:pPr>
        <w:rPr>
          <w:lang w:val="en-GB"/>
        </w:rPr>
      </w:pPr>
    </w:p>
    <w:p w:rsidR="00660B54" w:rsidRDefault="00660B54" w:rsidP="00B7267B">
      <w:pPr>
        <w:rPr>
          <w:lang w:val="en-GB"/>
        </w:rPr>
      </w:pPr>
      <w:r>
        <w:rPr>
          <w:lang w:val="en-GB"/>
        </w:rPr>
        <w:t>Call to web services are authenticated (only by the infrastructure) based on the calling IP address and provided SSL client certificate.</w:t>
      </w:r>
    </w:p>
    <w:p w:rsidR="00A7746E" w:rsidRPr="00BC7F3F" w:rsidRDefault="00A7746E" w:rsidP="00B7267B">
      <w:pPr>
        <w:rPr>
          <w:lang w:val="en-GB"/>
        </w:rPr>
      </w:pPr>
    </w:p>
    <w:p w:rsidR="00095A82" w:rsidRDefault="007A3782" w:rsidP="00095A82">
      <w:r>
        <w:rPr>
          <w:lang w:val="en-GB"/>
        </w:rPr>
        <w:t xml:space="preserve">Authentication with </w:t>
      </w:r>
      <w:r w:rsidR="00744A3F">
        <w:rPr>
          <w:lang w:val="en-GB"/>
        </w:rPr>
        <w:t>ID-porten</w:t>
      </w:r>
      <w:r>
        <w:rPr>
          <w:lang w:val="en-GB"/>
        </w:rPr>
        <w:t xml:space="preserve"> </w:t>
      </w:r>
      <w:r w:rsidR="00095A82" w:rsidRPr="00095A82">
        <w:t xml:space="preserve">adheres to </w:t>
      </w:r>
      <w:r w:rsidR="00095A82">
        <w:t xml:space="preserve">the </w:t>
      </w:r>
      <w:r w:rsidR="00095A82" w:rsidRPr="00095A82">
        <w:t>SAML version 2.0</w:t>
      </w:r>
      <w:r>
        <w:rPr>
          <w:lang w:val="en-GB"/>
        </w:rPr>
        <w:t xml:space="preserve"> </w:t>
      </w:r>
      <w:r w:rsidR="00095A82">
        <w:rPr>
          <w:lang w:val="en-GB"/>
        </w:rPr>
        <w:t xml:space="preserve">(SAMLv2) </w:t>
      </w:r>
      <w:r>
        <w:rPr>
          <w:lang w:val="en-GB"/>
        </w:rPr>
        <w:t xml:space="preserve">standard. </w:t>
      </w:r>
      <w:r w:rsidR="00095A82" w:rsidRPr="00095A82">
        <w:t xml:space="preserve">SAML is the “Security Assertion Markup Language”, and defines standards for exchanging information about identity and authentication state within a Circle of Trust. </w:t>
      </w:r>
    </w:p>
    <w:p w:rsidR="00095A82" w:rsidRDefault="00095A82" w:rsidP="00095A82"/>
    <w:p w:rsidR="00095A82" w:rsidRDefault="00095A82" w:rsidP="00095A82">
      <w:r w:rsidRPr="00095A82">
        <w:t xml:space="preserve">SAMLv2 includes the concepts of single sign-on (SSO) and single log-out (SLO). SLO implies that logging out of a single service provider will log the user out of all service providers in the Circle of Trust on which they have sessions. </w:t>
      </w:r>
    </w:p>
    <w:p w:rsidR="00095A82" w:rsidRDefault="00095A82" w:rsidP="00095A82"/>
    <w:p w:rsidR="00095A82" w:rsidRDefault="00095A82" w:rsidP="00095A82">
      <w:r w:rsidRPr="00095A82">
        <w:t>The SAMLv2 specification supports a</w:t>
      </w:r>
      <w:r>
        <w:t xml:space="preserve"> “</w:t>
      </w:r>
      <w:r w:rsidRPr="00095A82">
        <w:t xml:space="preserve">service provider first” approach, in which the user first attempts to access the service provides resource. </w:t>
      </w:r>
      <w:r w:rsidR="00744A3F">
        <w:t>ID-porten</w:t>
      </w:r>
      <w:r w:rsidRPr="00095A82">
        <w:t xml:space="preserve"> uses this approach for Single Sign On. </w:t>
      </w:r>
    </w:p>
    <w:p w:rsidR="00095A82" w:rsidRDefault="00095A82" w:rsidP="00095A82"/>
    <w:p w:rsidR="00095A82" w:rsidRDefault="00095A82" w:rsidP="00095A82">
      <w:r w:rsidRPr="00095A82">
        <w:t xml:space="preserve">Following is a description of how </w:t>
      </w:r>
      <w:r>
        <w:t>the Admin and eVoting web applications</w:t>
      </w:r>
      <w:r w:rsidRPr="00095A82">
        <w:t xml:space="preserve"> redirects a user to </w:t>
      </w:r>
      <w:r w:rsidR="00744A3F">
        <w:t>ID-porten</w:t>
      </w:r>
      <w:r w:rsidRPr="00095A82">
        <w:t xml:space="preserve"> so </w:t>
      </w:r>
      <w:r>
        <w:t>s</w:t>
      </w:r>
      <w:r w:rsidRPr="00095A82">
        <w:t>he can authenticate there, a</w:t>
      </w:r>
      <w:r>
        <w:t>nd then come authenticated back</w:t>
      </w:r>
      <w:r w:rsidRPr="00095A82">
        <w:t xml:space="preserve">: </w:t>
      </w:r>
    </w:p>
    <w:p w:rsidR="00257739" w:rsidRDefault="00B81B69" w:rsidP="00257739">
      <w:pPr>
        <w:keepNext/>
      </w:pPr>
      <w:r>
        <w:rPr>
          <w:noProof/>
          <w:lang w:val="nb-NO" w:eastAsia="nb-NO"/>
        </w:rPr>
        <w:lastRenderedPageBreak/>
        <w:drawing>
          <wp:inline distT="0" distB="0" distL="0" distR="0">
            <wp:extent cx="5733415" cy="3484880"/>
            <wp:effectExtent l="1905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5733415" cy="3484880"/>
                    </a:xfrm>
                    <a:prstGeom prst="rect">
                      <a:avLst/>
                    </a:prstGeom>
                    <a:noFill/>
                    <a:ln w="9525">
                      <a:noFill/>
                      <a:miter lim="800000"/>
                      <a:headEnd/>
                      <a:tailEnd/>
                    </a:ln>
                  </pic:spPr>
                </pic:pic>
              </a:graphicData>
            </a:graphic>
          </wp:inline>
        </w:drawing>
      </w:r>
    </w:p>
    <w:p w:rsidR="00257739" w:rsidRDefault="00257739" w:rsidP="00257739">
      <w:pPr>
        <w:pStyle w:val="Caption"/>
      </w:pPr>
      <w:r>
        <w:t xml:space="preserve">Figure </w:t>
      </w:r>
      <w:fldSimple w:instr=" SEQ Figure \* ARABIC ">
        <w:r w:rsidR="00D9185E">
          <w:rPr>
            <w:noProof/>
          </w:rPr>
          <w:t>2</w:t>
        </w:r>
      </w:fldSimple>
      <w:r>
        <w:t xml:space="preserve">: </w:t>
      </w:r>
      <w:r w:rsidR="00B81B69">
        <w:t>A</w:t>
      </w:r>
      <w:r>
        <w:t>uthentication process</w:t>
      </w:r>
      <w:r w:rsidR="00B81B69">
        <w:t xml:space="preserve"> with ID-porten</w:t>
      </w:r>
    </w:p>
    <w:p w:rsidR="00095A82" w:rsidRPr="00095A82" w:rsidRDefault="00095A82" w:rsidP="00095A82"/>
    <w:p w:rsidR="00095A82" w:rsidRPr="00095A82" w:rsidRDefault="00095A82" w:rsidP="00095A82">
      <w:r w:rsidRPr="00095A82">
        <w:t xml:space="preserve">The steps involved are as follows: </w:t>
      </w:r>
    </w:p>
    <w:p w:rsidR="00095A82" w:rsidRPr="00095A82" w:rsidRDefault="00095A82" w:rsidP="004C7D8D">
      <w:pPr>
        <w:pStyle w:val="ListParagraph"/>
        <w:numPr>
          <w:ilvl w:val="0"/>
          <w:numId w:val="8"/>
        </w:numPr>
      </w:pPr>
      <w:r w:rsidRPr="00095A82">
        <w:t xml:space="preserve">The user tries to access the </w:t>
      </w:r>
      <w:r>
        <w:t xml:space="preserve">election web </w:t>
      </w:r>
      <w:r w:rsidRPr="00095A82">
        <w:t xml:space="preserve">site via the browser </w:t>
      </w:r>
    </w:p>
    <w:p w:rsidR="00095A82" w:rsidRPr="00095A82" w:rsidRDefault="00095A82" w:rsidP="004C7D8D">
      <w:pPr>
        <w:pStyle w:val="ListParagraph"/>
        <w:numPr>
          <w:ilvl w:val="0"/>
          <w:numId w:val="8"/>
        </w:numPr>
      </w:pPr>
      <w:r w:rsidRPr="00095A82">
        <w:t xml:space="preserve">The user gets redirected to </w:t>
      </w:r>
      <w:r w:rsidR="004C5258">
        <w:t>ID-porten</w:t>
      </w:r>
      <w:r w:rsidRPr="00095A82">
        <w:t xml:space="preserve"> since </w:t>
      </w:r>
      <w:r>
        <w:t>s</w:t>
      </w:r>
      <w:r w:rsidRPr="00095A82">
        <w:t xml:space="preserve">he doesn’t have a session with the </w:t>
      </w:r>
      <w:r>
        <w:t>election web site</w:t>
      </w:r>
      <w:r w:rsidRPr="00095A82">
        <w:t xml:space="preserve"> </w:t>
      </w:r>
    </w:p>
    <w:p w:rsidR="00095A82" w:rsidRPr="00095A82" w:rsidRDefault="004C5258" w:rsidP="004C7D8D">
      <w:pPr>
        <w:pStyle w:val="ListParagraph"/>
        <w:numPr>
          <w:ilvl w:val="0"/>
          <w:numId w:val="8"/>
        </w:numPr>
      </w:pPr>
      <w:r>
        <w:t>ID-porten</w:t>
      </w:r>
      <w:r w:rsidR="00095A82" w:rsidRPr="00095A82">
        <w:t xml:space="preserve"> asks the user to authenticate </w:t>
      </w:r>
    </w:p>
    <w:p w:rsidR="00095A82" w:rsidRPr="00095A82" w:rsidRDefault="00095A82" w:rsidP="004C7D8D">
      <w:pPr>
        <w:pStyle w:val="ListParagraph"/>
        <w:numPr>
          <w:ilvl w:val="0"/>
          <w:numId w:val="8"/>
        </w:numPr>
      </w:pPr>
      <w:r w:rsidRPr="00095A82">
        <w:t xml:space="preserve">The user authenticates </w:t>
      </w:r>
      <w:r w:rsidR="0080798A">
        <w:t xml:space="preserve">with MinID </w:t>
      </w:r>
      <w:r w:rsidRPr="00095A82">
        <w:t xml:space="preserve">by entering </w:t>
      </w:r>
      <w:r>
        <w:t>her</w:t>
      </w:r>
      <w:r w:rsidRPr="00095A82">
        <w:t xml:space="preserve"> credential (Social security number, PIN</w:t>
      </w:r>
      <w:r w:rsidR="00F50B2E">
        <w:t>,</w:t>
      </w:r>
      <w:r w:rsidRPr="00095A82">
        <w:t xml:space="preserve"> and password) </w:t>
      </w:r>
    </w:p>
    <w:p w:rsidR="00095A82" w:rsidRPr="00095A82" w:rsidRDefault="00095A82" w:rsidP="004C7D8D">
      <w:pPr>
        <w:pStyle w:val="ListParagraph"/>
        <w:numPr>
          <w:ilvl w:val="0"/>
          <w:numId w:val="8"/>
        </w:numPr>
      </w:pPr>
      <w:r w:rsidRPr="00095A82">
        <w:t xml:space="preserve">The authenticated user returns to the </w:t>
      </w:r>
      <w:r>
        <w:t>election web site</w:t>
      </w:r>
      <w:r w:rsidRPr="00095A82">
        <w:t xml:space="preserve"> with a SAMLv2 artifact </w:t>
      </w:r>
    </w:p>
    <w:p w:rsidR="00095A82" w:rsidRPr="00095A82" w:rsidRDefault="00095A82" w:rsidP="004C7D8D">
      <w:pPr>
        <w:pStyle w:val="ListParagraph"/>
        <w:numPr>
          <w:ilvl w:val="0"/>
          <w:numId w:val="8"/>
        </w:numPr>
      </w:pPr>
      <w:r w:rsidRPr="00095A82">
        <w:t xml:space="preserve">The </w:t>
      </w:r>
      <w:r>
        <w:t>election system</w:t>
      </w:r>
      <w:r w:rsidRPr="00095A82">
        <w:t xml:space="preserve"> enclose the artifact in a SOAP request directly to </w:t>
      </w:r>
      <w:r w:rsidR="0080798A">
        <w:t>ID-porten</w:t>
      </w:r>
      <w:r w:rsidRPr="00095A82">
        <w:t xml:space="preserve"> </w:t>
      </w:r>
    </w:p>
    <w:p w:rsidR="00095A82" w:rsidRDefault="0080798A" w:rsidP="004C7D8D">
      <w:pPr>
        <w:pStyle w:val="ListParagraph"/>
        <w:numPr>
          <w:ilvl w:val="0"/>
          <w:numId w:val="8"/>
        </w:numPr>
      </w:pPr>
      <w:r>
        <w:t>ID-porten</w:t>
      </w:r>
      <w:r w:rsidR="00095A82" w:rsidRPr="00095A82">
        <w:t xml:space="preserve"> responds</w:t>
      </w:r>
      <w:r>
        <w:t xml:space="preserve"> to</w:t>
      </w:r>
      <w:r w:rsidR="00095A82" w:rsidRPr="00095A82">
        <w:t xml:space="preserve"> the SOAP request with the assertion document the artifact refers to, and which contains information about the user </w:t>
      </w:r>
    </w:p>
    <w:p w:rsidR="00095A82" w:rsidRPr="00095A82" w:rsidRDefault="00095A82" w:rsidP="004C7D8D">
      <w:pPr>
        <w:pStyle w:val="ListParagraph"/>
        <w:numPr>
          <w:ilvl w:val="0"/>
          <w:numId w:val="8"/>
        </w:numPr>
      </w:pPr>
      <w:r w:rsidRPr="00095A82">
        <w:t xml:space="preserve">The </w:t>
      </w:r>
      <w:r w:rsidR="004C7D8D">
        <w:t>election system</w:t>
      </w:r>
      <w:r w:rsidRPr="00095A82">
        <w:t xml:space="preserve"> establish a user session based on the information received about the user and gives access to the site the user tried to reach in step 1. </w:t>
      </w:r>
    </w:p>
    <w:p w:rsidR="00095A82" w:rsidRPr="00095A82" w:rsidRDefault="00095A82" w:rsidP="00095A82"/>
    <w:p w:rsidR="00095A82" w:rsidRDefault="00095A82" w:rsidP="00095A82">
      <w:pPr>
        <w:rPr>
          <w:lang w:val="en-GB"/>
        </w:rPr>
      </w:pPr>
      <w:r w:rsidRPr="00095A82">
        <w:t xml:space="preserve">If the user already has an active session in </w:t>
      </w:r>
      <w:r w:rsidR="0080798A">
        <w:t>ID-porten</w:t>
      </w:r>
      <w:r w:rsidRPr="00095A82">
        <w:t>, as a result of a recent authentication, the user goes directly from step 2 to step 5 (step 3 and 4 is not necessary). This gives Single Sign On.</w:t>
      </w:r>
      <w:r w:rsidR="00862EAA">
        <w:t xml:space="preserve"> More detailed description of </w:t>
      </w:r>
      <w:r w:rsidR="0080798A">
        <w:t>ID-porten</w:t>
      </w:r>
      <w:r w:rsidR="00862EAA">
        <w:t xml:space="preserve"> could be found in </w:t>
      </w:r>
      <w:r w:rsidR="00183CB9">
        <w:t>i</w:t>
      </w:r>
      <w:r w:rsidR="00862EAA" w:rsidRPr="00862EAA">
        <w:t>mplementation guide</w:t>
      </w:r>
      <w:r w:rsidR="00183CB9">
        <w:t>s</w:t>
      </w:r>
      <w:r w:rsidR="00862EAA">
        <w:t xml:space="preserve"> from Difi.</w:t>
      </w:r>
    </w:p>
    <w:p w:rsidR="004407C4" w:rsidRPr="00BC7F3F" w:rsidRDefault="004407C4" w:rsidP="00B773CF">
      <w:pPr>
        <w:rPr>
          <w:lang w:val="en-GB"/>
        </w:rPr>
      </w:pPr>
    </w:p>
    <w:p w:rsidR="00BF1A62" w:rsidRDefault="00BC7F3F" w:rsidP="00BF1A62">
      <w:pPr>
        <w:pStyle w:val="Heading2"/>
        <w:rPr>
          <w:lang w:val="en-GB"/>
        </w:rPr>
      </w:pPr>
      <w:bookmarkStart w:id="6" w:name="_Toc287608119"/>
      <w:r w:rsidRPr="00BC7F3F">
        <w:rPr>
          <w:lang w:val="en-GB"/>
        </w:rPr>
        <w:t>Authori</w:t>
      </w:r>
      <w:r>
        <w:rPr>
          <w:lang w:val="en-GB"/>
        </w:rPr>
        <w:t>s</w:t>
      </w:r>
      <w:r w:rsidRPr="00BC7F3F">
        <w:rPr>
          <w:lang w:val="en-GB"/>
        </w:rPr>
        <w:t>ation an</w:t>
      </w:r>
      <w:r>
        <w:rPr>
          <w:lang w:val="en-GB"/>
        </w:rPr>
        <w:t>d</w:t>
      </w:r>
      <w:r w:rsidRPr="00BC7F3F">
        <w:rPr>
          <w:lang w:val="en-GB"/>
        </w:rPr>
        <w:t xml:space="preserve"> a</w:t>
      </w:r>
      <w:r w:rsidR="00BF1A62" w:rsidRPr="00BC7F3F">
        <w:rPr>
          <w:lang w:val="en-GB"/>
        </w:rPr>
        <w:t>ccess control in general</w:t>
      </w:r>
      <w:bookmarkEnd w:id="6"/>
    </w:p>
    <w:p w:rsidR="002553D1" w:rsidRDefault="00FA662C" w:rsidP="00183CB9">
      <w:pPr>
        <w:rPr>
          <w:lang w:val="en-GB"/>
        </w:rPr>
      </w:pPr>
      <w:r>
        <w:rPr>
          <w:lang w:val="en-GB"/>
        </w:rPr>
        <w:t xml:space="preserve">Only predefined users could log on to the Admin web application. </w:t>
      </w:r>
      <w:r w:rsidR="00A7746E" w:rsidRPr="00BC7F3F">
        <w:rPr>
          <w:lang w:val="en-GB"/>
        </w:rPr>
        <w:t>Users and user roles are defined in the Admin system. Users with special roles (</w:t>
      </w:r>
      <w:r w:rsidR="00183CB9" w:rsidRPr="00183CB9">
        <w:rPr>
          <w:lang w:val="en-GB"/>
        </w:rPr>
        <w:t>e.g. “Systemansvarlig” and “Valghendelseansvarlig”</w:t>
      </w:r>
      <w:r w:rsidR="00A7746E" w:rsidRPr="00BC7F3F">
        <w:rPr>
          <w:lang w:val="en-GB"/>
        </w:rPr>
        <w:t>) have permission to create, edit, and delete roles and users in the Admin web application.</w:t>
      </w:r>
      <w:r>
        <w:rPr>
          <w:lang w:val="en-GB"/>
        </w:rPr>
        <w:t xml:space="preserve"> </w:t>
      </w:r>
      <w:r w:rsidR="00B93C7B">
        <w:rPr>
          <w:lang w:val="en-GB"/>
        </w:rPr>
        <w:t xml:space="preserve">Access to pages, entities, and tasks in the Admin application is secured by a role based access control (RBAC) system. A more detailed description of the RBAC system could be found </w:t>
      </w:r>
      <w:r w:rsidR="00183CB9">
        <w:rPr>
          <w:lang w:val="en-GB"/>
        </w:rPr>
        <w:t>in</w:t>
      </w:r>
      <w:r w:rsidR="00B93C7B">
        <w:rPr>
          <w:lang w:val="en-GB"/>
        </w:rPr>
        <w:t xml:space="preserve"> </w:t>
      </w:r>
      <w:r w:rsidR="00106D75">
        <w:rPr>
          <w:lang w:val="en-GB"/>
        </w:rPr>
        <w:t>the “</w:t>
      </w:r>
      <w:r w:rsidR="00183CB9" w:rsidRPr="00183CB9">
        <w:rPr>
          <w:lang w:val="en-GB"/>
        </w:rPr>
        <w:t>Security Architecture</w:t>
      </w:r>
      <w:r w:rsidR="00183CB9">
        <w:rPr>
          <w:lang w:val="en-GB"/>
        </w:rPr>
        <w:t xml:space="preserve"> - </w:t>
      </w:r>
      <w:r w:rsidR="00183CB9" w:rsidRPr="00183CB9">
        <w:rPr>
          <w:lang w:val="en-GB"/>
        </w:rPr>
        <w:t>Election Administration System</w:t>
      </w:r>
      <w:r w:rsidR="00106D75">
        <w:rPr>
          <w:lang w:val="en-GB"/>
        </w:rPr>
        <w:t xml:space="preserve">” </w:t>
      </w:r>
      <w:r w:rsidR="00183CB9">
        <w:rPr>
          <w:lang w:val="en-GB"/>
        </w:rPr>
        <w:t>document</w:t>
      </w:r>
      <w:r w:rsidR="00106D75">
        <w:rPr>
          <w:lang w:val="en-GB"/>
        </w:rPr>
        <w:t>.</w:t>
      </w:r>
    </w:p>
    <w:p w:rsidR="002553D1" w:rsidRDefault="002553D1" w:rsidP="00A7746E">
      <w:pPr>
        <w:rPr>
          <w:lang w:val="en-GB"/>
        </w:rPr>
      </w:pPr>
    </w:p>
    <w:p w:rsidR="00FA662C" w:rsidRDefault="00FA662C" w:rsidP="00A7746E">
      <w:pPr>
        <w:rPr>
          <w:lang w:val="en-GB"/>
        </w:rPr>
      </w:pPr>
      <w:r>
        <w:rPr>
          <w:lang w:val="en-GB"/>
        </w:rPr>
        <w:t>When political party officials want to s</w:t>
      </w:r>
      <w:r w:rsidR="00183CB9">
        <w:rPr>
          <w:lang w:val="en-GB"/>
        </w:rPr>
        <w:t xml:space="preserve">ubmit </w:t>
      </w:r>
      <w:r>
        <w:rPr>
          <w:lang w:val="en-GB"/>
        </w:rPr>
        <w:t>a list proposal, they need a user created for them.</w:t>
      </w:r>
      <w:r w:rsidR="002553D1">
        <w:rPr>
          <w:lang w:val="en-GB"/>
        </w:rPr>
        <w:t xml:space="preserve"> Only users in the role “Listeforslagsstiller” have access to functionality in the public list proposal web application.</w:t>
      </w:r>
    </w:p>
    <w:p w:rsidR="00106D75" w:rsidRDefault="00106D75" w:rsidP="00A7746E">
      <w:pPr>
        <w:rPr>
          <w:lang w:val="en-GB"/>
        </w:rPr>
      </w:pPr>
    </w:p>
    <w:p w:rsidR="00106D75" w:rsidRDefault="00BF0D07" w:rsidP="00A7746E">
      <w:pPr>
        <w:rPr>
          <w:lang w:val="en-GB"/>
        </w:rPr>
      </w:pPr>
      <w:r>
        <w:rPr>
          <w:lang w:val="en-GB"/>
        </w:rPr>
        <w:t>Web services in the Admin system access other services as a user belonging to the user role “Web Service”.</w:t>
      </w:r>
    </w:p>
    <w:p w:rsidR="00FA662C" w:rsidRDefault="00FA662C" w:rsidP="00A7746E">
      <w:pPr>
        <w:rPr>
          <w:lang w:val="en-GB"/>
        </w:rPr>
      </w:pPr>
    </w:p>
    <w:p w:rsidR="00FA662C" w:rsidRDefault="00FA662C" w:rsidP="00A7746E">
      <w:pPr>
        <w:rPr>
          <w:lang w:val="en-GB"/>
        </w:rPr>
      </w:pPr>
      <w:r>
        <w:rPr>
          <w:lang w:val="en-GB"/>
        </w:rPr>
        <w:t>In the application for electronic voting, u</w:t>
      </w:r>
      <w:r w:rsidRPr="00FA662C">
        <w:rPr>
          <w:lang w:val="en-GB"/>
        </w:rPr>
        <w:t xml:space="preserve">sers are not created up front in the system. </w:t>
      </w:r>
      <w:r>
        <w:rPr>
          <w:lang w:val="en-GB"/>
        </w:rPr>
        <w:t xml:space="preserve">Everyone </w:t>
      </w:r>
      <w:r w:rsidRPr="00FA662C">
        <w:rPr>
          <w:lang w:val="en-GB"/>
        </w:rPr>
        <w:t>with MinID</w:t>
      </w:r>
      <w:r>
        <w:rPr>
          <w:lang w:val="en-GB"/>
        </w:rPr>
        <w:t xml:space="preserve"> could log on to the</w:t>
      </w:r>
      <w:r w:rsidR="00585FE5">
        <w:rPr>
          <w:lang w:val="en-GB"/>
        </w:rPr>
        <w:t xml:space="preserve"> application, but o</w:t>
      </w:r>
      <w:r w:rsidRPr="00FA662C">
        <w:rPr>
          <w:lang w:val="en-GB"/>
        </w:rPr>
        <w:t>nly eligible voters in the election roll could cast their vote.</w:t>
      </w:r>
    </w:p>
    <w:p w:rsidR="00B73A39" w:rsidRDefault="00B73A39" w:rsidP="00A7746E">
      <w:pPr>
        <w:rPr>
          <w:lang w:val="en-GB"/>
        </w:rPr>
      </w:pPr>
    </w:p>
    <w:p w:rsidR="002553D1" w:rsidRDefault="002553D1" w:rsidP="002553D1">
      <w:pPr>
        <w:rPr>
          <w:lang w:val="en-GB"/>
        </w:rPr>
      </w:pPr>
      <w:r>
        <w:rPr>
          <w:lang w:val="en-GB"/>
        </w:rPr>
        <w:t>It is not defined any local users in the eCounting of pVotes domain. Operators on these systems need to log on to the Admin web application to generate and download a security token file which must be present when starting a pVoting application. The token state which permissions (role) the user has. Only users with the right permissions are allowed to start the different applications.</w:t>
      </w:r>
    </w:p>
    <w:p w:rsidR="00106D75" w:rsidRDefault="00106D75" w:rsidP="002553D1">
      <w:pPr>
        <w:rPr>
          <w:lang w:val="en-GB"/>
        </w:rPr>
      </w:pPr>
    </w:p>
    <w:p w:rsidR="0066488A" w:rsidRPr="00BC7F3F" w:rsidRDefault="0066488A" w:rsidP="0066488A">
      <w:pPr>
        <w:pStyle w:val="Heading1"/>
        <w:rPr>
          <w:lang w:val="en-GB"/>
        </w:rPr>
      </w:pPr>
      <w:bookmarkStart w:id="7" w:name="_Toc419224219"/>
      <w:bookmarkStart w:id="8" w:name="_Toc287608120"/>
      <w:r w:rsidRPr="00BC7F3F">
        <w:rPr>
          <w:lang w:val="en-GB"/>
        </w:rPr>
        <w:t>Overall logical design</w:t>
      </w:r>
      <w:bookmarkEnd w:id="7"/>
      <w:bookmarkEnd w:id="8"/>
    </w:p>
    <w:p w:rsidR="0066488A" w:rsidRPr="00BC7F3F" w:rsidRDefault="0066488A" w:rsidP="0066488A">
      <w:pPr>
        <w:rPr>
          <w:lang w:val="en-GB"/>
        </w:rPr>
      </w:pPr>
      <w:r w:rsidRPr="00BC7F3F">
        <w:rPr>
          <w:lang w:val="en-GB"/>
        </w:rPr>
        <w:t xml:space="preserve">Logical Design is the view of the security solution </w:t>
      </w:r>
      <w:r w:rsidRPr="00BC7F3F">
        <w:rPr>
          <w:i/>
          <w:lang w:val="en-GB"/>
        </w:rPr>
        <w:t>from the design team’s point of view</w:t>
      </w:r>
      <w:r w:rsidRPr="00BC7F3F">
        <w:rPr>
          <w:lang w:val="en-GB"/>
        </w:rPr>
        <w:t xml:space="preserve">.  It seeks to define as far as possible technology-neutral design which meets the needs of the users. </w:t>
      </w:r>
    </w:p>
    <w:p w:rsidR="0066488A" w:rsidRPr="00BC7F3F" w:rsidRDefault="0066488A" w:rsidP="0066488A">
      <w:pPr>
        <w:rPr>
          <w:lang w:val="en-GB"/>
        </w:rPr>
      </w:pPr>
    </w:p>
    <w:p w:rsidR="0066488A" w:rsidRDefault="0066488A" w:rsidP="0066488A">
      <w:pPr>
        <w:pStyle w:val="Heading2"/>
        <w:rPr>
          <w:lang w:val="en-GB"/>
        </w:rPr>
      </w:pPr>
      <w:bookmarkStart w:id="9" w:name="_Toc419224220"/>
      <w:bookmarkStart w:id="10" w:name="_Toc287608121"/>
      <w:r w:rsidRPr="00BC7F3F">
        <w:rPr>
          <w:lang w:val="en-GB"/>
        </w:rPr>
        <w:t>Application architecture</w:t>
      </w:r>
      <w:bookmarkEnd w:id="9"/>
      <w:bookmarkEnd w:id="10"/>
    </w:p>
    <w:p w:rsidR="005368C9" w:rsidRDefault="005368C9" w:rsidP="005368C9">
      <w:pPr>
        <w:rPr>
          <w:lang w:val="en-GB"/>
        </w:rPr>
      </w:pPr>
      <w:r>
        <w:rPr>
          <w:lang w:val="en-GB"/>
        </w:rPr>
        <w:t>The architecture of each of the three systems is described in more detail in separate documents.</w:t>
      </w:r>
    </w:p>
    <w:p w:rsidR="005368C9" w:rsidRPr="005368C9" w:rsidRDefault="005368C9" w:rsidP="005368C9">
      <w:pPr>
        <w:rPr>
          <w:lang w:val="en-GB"/>
        </w:rPr>
      </w:pPr>
    </w:p>
    <w:p w:rsidR="00A0244E" w:rsidRDefault="00CC4402" w:rsidP="00A0244E">
      <w:pPr>
        <w:keepNext/>
      </w:pPr>
      <w:r>
        <w:rPr>
          <w:noProof/>
          <w:lang w:val="nb-NO" w:eastAsia="nb-NO"/>
        </w:rPr>
        <w:drawing>
          <wp:inline distT="0" distB="0" distL="0" distR="0">
            <wp:extent cx="5727700" cy="4054475"/>
            <wp:effectExtent l="19050" t="0" r="635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5727700" cy="4054475"/>
                    </a:xfrm>
                    <a:prstGeom prst="rect">
                      <a:avLst/>
                    </a:prstGeom>
                    <a:noFill/>
                    <a:ln w="9525">
                      <a:noFill/>
                      <a:miter lim="800000"/>
                      <a:headEnd/>
                      <a:tailEnd/>
                    </a:ln>
                  </pic:spPr>
                </pic:pic>
              </a:graphicData>
            </a:graphic>
          </wp:inline>
        </w:drawing>
      </w:r>
    </w:p>
    <w:p w:rsidR="0066488A" w:rsidRDefault="00A0244E" w:rsidP="00A0244E">
      <w:pPr>
        <w:pStyle w:val="Caption"/>
      </w:pPr>
      <w:r>
        <w:t xml:space="preserve">Figure </w:t>
      </w:r>
      <w:fldSimple w:instr=" SEQ Figure \* ARABIC ">
        <w:r w:rsidR="00D9185E">
          <w:rPr>
            <w:noProof/>
          </w:rPr>
          <w:t>3</w:t>
        </w:r>
      </w:fldSimple>
      <w:r>
        <w:t>: Overall logical design</w:t>
      </w:r>
    </w:p>
    <w:p w:rsidR="0081614A" w:rsidRDefault="00BB7CC4" w:rsidP="00BB7CC4">
      <w:pPr>
        <w:pStyle w:val="Heading2"/>
      </w:pPr>
      <w:bookmarkStart w:id="11" w:name="_Toc287608122"/>
      <w:r>
        <w:t>Logging, auditing, and monitoring</w:t>
      </w:r>
      <w:bookmarkEnd w:id="11"/>
    </w:p>
    <w:p w:rsidR="00BB7CC4" w:rsidRDefault="00BB7CC4" w:rsidP="00BB7CC4">
      <w:r>
        <w:t xml:space="preserve">Logs are collected in all three systems </w:t>
      </w:r>
      <w:r w:rsidR="003775F0">
        <w:t xml:space="preserve">locally </w:t>
      </w:r>
      <w:r>
        <w:t xml:space="preserve">and </w:t>
      </w:r>
      <w:r w:rsidR="003775F0">
        <w:t xml:space="preserve">a copy is </w:t>
      </w:r>
      <w:r>
        <w:t xml:space="preserve">sent to a central log </w:t>
      </w:r>
      <w:r w:rsidR="003775F0">
        <w:t>and audit system. Logs are collected from both application events and infrastructure events. To prevent tampering with the log data, the log files are “</w:t>
      </w:r>
      <w:r w:rsidR="00D9185E">
        <w:t>immutabilized</w:t>
      </w:r>
      <w:r w:rsidR="003775F0">
        <w:t>” by continuously appending hashes (</w:t>
      </w:r>
      <w:r w:rsidR="003775F0" w:rsidRPr="003775F0">
        <w:t>HMAC</w:t>
      </w:r>
      <w:r w:rsidR="003775F0">
        <w:t xml:space="preserve">) of previous log entries. Application logs are </w:t>
      </w:r>
      <w:r w:rsidR="00D9185E">
        <w:t>immutabilized</w:t>
      </w:r>
      <w:r w:rsidR="003775F0">
        <w:t xml:space="preserve"> locally before they are sent to the central system. Standard infrastructure logs are </w:t>
      </w:r>
      <w:r w:rsidR="00D9185E">
        <w:t>immutabilized in the central system.</w:t>
      </w:r>
    </w:p>
    <w:p w:rsidR="00D9185E" w:rsidRDefault="00D9185E" w:rsidP="00BB7CC4"/>
    <w:p w:rsidR="00D9185E" w:rsidRPr="00BB7CC4" w:rsidRDefault="00D9185E" w:rsidP="00BB7CC4">
      <w:r>
        <w:t>Below is a</w:t>
      </w:r>
      <w:r w:rsidR="006F6889">
        <w:t>n</w:t>
      </w:r>
      <w:r>
        <w:t xml:space="preserve"> overview of the log and audit solution. </w:t>
      </w:r>
      <w:r w:rsidR="006B336C">
        <w:t>Details</w:t>
      </w:r>
      <w:r>
        <w:t xml:space="preserve"> about which events get logged are in separate documents for each system.</w:t>
      </w:r>
    </w:p>
    <w:p w:rsidR="00D9185E" w:rsidRDefault="00BB7CC4" w:rsidP="00D9185E">
      <w:pPr>
        <w:keepNext/>
      </w:pPr>
      <w:r>
        <w:rPr>
          <w:noProof/>
          <w:lang w:val="nb-NO" w:eastAsia="nb-NO"/>
        </w:rPr>
        <w:lastRenderedPageBreak/>
        <w:drawing>
          <wp:inline distT="0" distB="0" distL="0" distR="0">
            <wp:extent cx="5724525" cy="716089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5724525" cy="7160895"/>
                    </a:xfrm>
                    <a:prstGeom prst="rect">
                      <a:avLst/>
                    </a:prstGeom>
                    <a:noFill/>
                    <a:ln w="9525">
                      <a:noFill/>
                      <a:miter lim="800000"/>
                      <a:headEnd/>
                      <a:tailEnd/>
                    </a:ln>
                  </pic:spPr>
                </pic:pic>
              </a:graphicData>
            </a:graphic>
          </wp:inline>
        </w:drawing>
      </w:r>
    </w:p>
    <w:p w:rsidR="0081614A" w:rsidRPr="0081614A" w:rsidRDefault="00D9185E" w:rsidP="00D9185E">
      <w:pPr>
        <w:pStyle w:val="Caption"/>
      </w:pPr>
      <w:r>
        <w:t xml:space="preserve">Figure </w:t>
      </w:r>
      <w:fldSimple w:instr=" SEQ Figure \* ARABIC ">
        <w:r>
          <w:rPr>
            <w:noProof/>
          </w:rPr>
          <w:t>4</w:t>
        </w:r>
      </w:fldSimple>
      <w:r>
        <w:t>: Log and audit - Logical design</w:t>
      </w:r>
    </w:p>
    <w:p w:rsidR="004E71ED" w:rsidRPr="00BC7F3F" w:rsidRDefault="004E71ED" w:rsidP="004E71ED">
      <w:pPr>
        <w:pStyle w:val="Heading1"/>
        <w:rPr>
          <w:lang w:val="en-GB"/>
        </w:rPr>
      </w:pPr>
      <w:bookmarkStart w:id="12" w:name="_Toc287608123"/>
      <w:r w:rsidRPr="00BC7F3F">
        <w:rPr>
          <w:lang w:val="en-GB"/>
        </w:rPr>
        <w:t>Overall physical design</w:t>
      </w:r>
      <w:bookmarkEnd w:id="12"/>
    </w:p>
    <w:p w:rsidR="004E71ED" w:rsidRPr="00BC7F3F" w:rsidRDefault="004E71ED" w:rsidP="004E71ED">
      <w:pPr>
        <w:rPr>
          <w:lang w:val="en-GB"/>
        </w:rPr>
      </w:pPr>
      <w:r w:rsidRPr="00BC7F3F">
        <w:rPr>
          <w:lang w:val="en-GB"/>
        </w:rPr>
        <w:t>Physical Design is the view of the security solution from the developer’s point of view.  It seeks to define the configuration of the physical components used to implement the technology solution and to provide a process for operation and support of the system.</w:t>
      </w:r>
    </w:p>
    <w:p w:rsidR="004E71ED" w:rsidRDefault="004E71ED" w:rsidP="00694F3E">
      <w:pPr>
        <w:pStyle w:val="Heading2"/>
        <w:rPr>
          <w:lang w:val="en-GB"/>
        </w:rPr>
      </w:pPr>
      <w:bookmarkStart w:id="13" w:name="_Toc287608124"/>
      <w:r w:rsidRPr="00BC7F3F">
        <w:rPr>
          <w:lang w:val="en-GB"/>
        </w:rPr>
        <w:t>Desktop environment</w:t>
      </w:r>
      <w:bookmarkEnd w:id="13"/>
    </w:p>
    <w:p w:rsidR="007F77A6" w:rsidRDefault="007F77A6" w:rsidP="007F77A6">
      <w:pPr>
        <w:rPr>
          <w:lang w:val="en-GB"/>
        </w:rPr>
      </w:pPr>
      <w:r>
        <w:rPr>
          <w:lang w:val="en-GB"/>
        </w:rPr>
        <w:t xml:space="preserve">We have no influence on the clients used by the electronic voters and political parties’ representatives. They could use any </w:t>
      </w:r>
      <w:r w:rsidR="00BB3825">
        <w:rPr>
          <w:lang w:val="en-GB"/>
        </w:rPr>
        <w:t>supported</w:t>
      </w:r>
      <w:r>
        <w:rPr>
          <w:lang w:val="en-GB"/>
        </w:rPr>
        <w:t xml:space="preserve"> web browser on any platform.</w:t>
      </w:r>
    </w:p>
    <w:p w:rsidR="007F77A6" w:rsidRDefault="007F77A6" w:rsidP="007F77A6">
      <w:pPr>
        <w:rPr>
          <w:lang w:val="en-GB"/>
        </w:rPr>
      </w:pPr>
    </w:p>
    <w:p w:rsidR="007F77A6" w:rsidRDefault="007F77A6" w:rsidP="007F77A6">
      <w:pPr>
        <w:rPr>
          <w:lang w:val="en-GB"/>
        </w:rPr>
      </w:pPr>
      <w:r>
        <w:rPr>
          <w:lang w:val="en-GB"/>
        </w:rPr>
        <w:t xml:space="preserve">The </w:t>
      </w:r>
      <w:r w:rsidR="006C0EA3">
        <w:rPr>
          <w:lang w:val="en-GB"/>
        </w:rPr>
        <w:t xml:space="preserve">municipal </w:t>
      </w:r>
      <w:r w:rsidR="00183CB9">
        <w:rPr>
          <w:lang w:val="en-GB"/>
        </w:rPr>
        <w:t>A</w:t>
      </w:r>
      <w:r w:rsidR="006C0EA3">
        <w:rPr>
          <w:lang w:val="en-GB"/>
        </w:rPr>
        <w:t xml:space="preserve">dmin client, the poll station client, and the </w:t>
      </w:r>
      <w:r w:rsidR="00183CB9">
        <w:rPr>
          <w:lang w:val="en-GB"/>
        </w:rPr>
        <w:t>A</w:t>
      </w:r>
      <w:r w:rsidR="006C0EA3">
        <w:rPr>
          <w:lang w:val="en-GB"/>
        </w:rPr>
        <w:t xml:space="preserve">dmin client at the scanning site are under municipal administration and - security policy. </w:t>
      </w:r>
      <w:r w:rsidR="0074199C">
        <w:rPr>
          <w:lang w:val="en-GB"/>
        </w:rPr>
        <w:t xml:space="preserve">To access the </w:t>
      </w:r>
      <w:r w:rsidR="00183CB9">
        <w:rPr>
          <w:lang w:val="en-GB"/>
        </w:rPr>
        <w:t>Admin</w:t>
      </w:r>
      <w:r w:rsidR="0074199C">
        <w:rPr>
          <w:lang w:val="en-GB"/>
        </w:rPr>
        <w:t xml:space="preserve"> system, t</w:t>
      </w:r>
      <w:r w:rsidR="006C0EA3">
        <w:rPr>
          <w:lang w:val="en-GB"/>
        </w:rPr>
        <w:t>he user need</w:t>
      </w:r>
      <w:r w:rsidR="0074199C">
        <w:rPr>
          <w:lang w:val="en-GB"/>
        </w:rPr>
        <w:t>s</w:t>
      </w:r>
      <w:r w:rsidR="006C0EA3">
        <w:rPr>
          <w:lang w:val="en-GB"/>
        </w:rPr>
        <w:t xml:space="preserve"> a standard web browser and </w:t>
      </w:r>
      <w:r w:rsidR="0074199C">
        <w:rPr>
          <w:lang w:val="en-GB"/>
        </w:rPr>
        <w:t>an</w:t>
      </w:r>
      <w:r w:rsidR="006C0EA3">
        <w:rPr>
          <w:lang w:val="en-GB"/>
        </w:rPr>
        <w:t xml:space="preserve"> installed SSL client certificate. </w:t>
      </w:r>
    </w:p>
    <w:p w:rsidR="006C0EA3" w:rsidRDefault="006C0EA3" w:rsidP="007F77A6">
      <w:pPr>
        <w:rPr>
          <w:lang w:val="en-GB"/>
        </w:rPr>
      </w:pPr>
    </w:p>
    <w:p w:rsidR="007F77A6" w:rsidRPr="007F77A6" w:rsidRDefault="0074199C" w:rsidP="007F77A6">
      <w:pPr>
        <w:rPr>
          <w:lang w:val="en-GB"/>
        </w:rPr>
      </w:pPr>
      <w:r>
        <w:rPr>
          <w:lang w:val="en-GB"/>
        </w:rPr>
        <w:t>Each system for electronic counting of paper votes consists of one file - and database server, three desktop Windows applications, a smart card reader, and at least one ballot scanner.</w:t>
      </w:r>
      <w:r w:rsidR="00C42000">
        <w:rPr>
          <w:lang w:val="en-GB"/>
        </w:rPr>
        <w:t xml:space="preserve"> The systems will be installed temporary in municipal LANs during elections. The installations will be run under municipal administration and - security policy.</w:t>
      </w:r>
    </w:p>
    <w:p w:rsidR="004E71ED" w:rsidRDefault="004E71ED" w:rsidP="00694F3E">
      <w:pPr>
        <w:pStyle w:val="Heading2"/>
        <w:rPr>
          <w:lang w:val="en-GB"/>
        </w:rPr>
      </w:pPr>
      <w:bookmarkStart w:id="14" w:name="_Toc287608125"/>
      <w:r w:rsidRPr="00BC7F3F">
        <w:rPr>
          <w:lang w:val="en-GB"/>
        </w:rPr>
        <w:t xml:space="preserve">Local </w:t>
      </w:r>
      <w:r w:rsidR="00DF56FA">
        <w:rPr>
          <w:lang w:val="en-GB"/>
        </w:rPr>
        <w:t>a</w:t>
      </w:r>
      <w:r w:rsidRPr="00BC7F3F">
        <w:rPr>
          <w:lang w:val="en-GB"/>
        </w:rPr>
        <w:t xml:space="preserve">rea </w:t>
      </w:r>
      <w:r w:rsidR="00DF56FA">
        <w:rPr>
          <w:lang w:val="en-GB"/>
        </w:rPr>
        <w:t>n</w:t>
      </w:r>
      <w:r w:rsidRPr="00BC7F3F">
        <w:rPr>
          <w:lang w:val="en-GB"/>
        </w:rPr>
        <w:t>etwork environment</w:t>
      </w:r>
      <w:bookmarkEnd w:id="14"/>
    </w:p>
    <w:p w:rsidR="003864B4" w:rsidRDefault="003864B4" w:rsidP="003864B4">
      <w:pPr>
        <w:rPr>
          <w:lang w:val="en-GB"/>
        </w:rPr>
      </w:pPr>
      <w:r>
        <w:rPr>
          <w:lang w:val="en-GB"/>
        </w:rPr>
        <w:t>The systems for electronic voting and election administration are deployed at Brønnøysund service provider. The two systems are run in separate environments.</w:t>
      </w:r>
    </w:p>
    <w:p w:rsidR="003864B4" w:rsidRDefault="003864B4" w:rsidP="003864B4">
      <w:pPr>
        <w:rPr>
          <w:lang w:val="en-GB"/>
        </w:rPr>
      </w:pPr>
    </w:p>
    <w:p w:rsidR="003864B4" w:rsidRPr="003864B4" w:rsidRDefault="003864B4" w:rsidP="003864B4">
      <w:pPr>
        <w:rPr>
          <w:lang w:val="en-GB"/>
        </w:rPr>
      </w:pPr>
      <w:r>
        <w:rPr>
          <w:lang w:val="en-GB"/>
        </w:rPr>
        <w:t>The systems for electronic counting of paper votes are deployed at several municipal LANs</w:t>
      </w:r>
      <w:r w:rsidR="00050FFE">
        <w:rPr>
          <w:lang w:val="en-GB"/>
        </w:rPr>
        <w:t xml:space="preserve"> with I</w:t>
      </w:r>
      <w:r>
        <w:rPr>
          <w:lang w:val="en-GB"/>
        </w:rPr>
        <w:t>nternet connection.</w:t>
      </w:r>
    </w:p>
    <w:p w:rsidR="004E71ED" w:rsidRDefault="004E71ED" w:rsidP="00694F3E">
      <w:pPr>
        <w:pStyle w:val="Heading2"/>
        <w:rPr>
          <w:lang w:val="en-GB"/>
        </w:rPr>
      </w:pPr>
      <w:bookmarkStart w:id="15" w:name="_Toc287608126"/>
      <w:r w:rsidRPr="00BC7F3F">
        <w:rPr>
          <w:lang w:val="en-GB"/>
        </w:rPr>
        <w:t xml:space="preserve">Wide </w:t>
      </w:r>
      <w:r w:rsidR="00DF56FA">
        <w:rPr>
          <w:lang w:val="en-GB"/>
        </w:rPr>
        <w:t>a</w:t>
      </w:r>
      <w:r w:rsidRPr="00BC7F3F">
        <w:rPr>
          <w:lang w:val="en-GB"/>
        </w:rPr>
        <w:t>rea networking environment</w:t>
      </w:r>
      <w:bookmarkEnd w:id="15"/>
    </w:p>
    <w:p w:rsidR="00F21397" w:rsidRPr="00F21397" w:rsidRDefault="00F21397" w:rsidP="00F21397">
      <w:pPr>
        <w:rPr>
          <w:lang w:val="en-GB"/>
        </w:rPr>
      </w:pPr>
      <w:r>
        <w:rPr>
          <w:lang w:val="en-GB"/>
        </w:rPr>
        <w:t>The web applications for electronic voting and election administration are accessed from</w:t>
      </w:r>
      <w:r w:rsidR="00183CB9">
        <w:rPr>
          <w:lang w:val="en-GB"/>
        </w:rPr>
        <w:t xml:space="preserve"> I</w:t>
      </w:r>
      <w:r>
        <w:rPr>
          <w:lang w:val="en-GB"/>
        </w:rPr>
        <w:t xml:space="preserve">nternet. SSL server certificate are installed for each system and all connection is by </w:t>
      </w:r>
      <w:r w:rsidR="00183CB9">
        <w:rPr>
          <w:lang w:val="en-GB"/>
        </w:rPr>
        <w:t>HTTPS</w:t>
      </w:r>
      <w:r>
        <w:rPr>
          <w:lang w:val="en-GB"/>
        </w:rPr>
        <w:t xml:space="preserve">. All Admin clients </w:t>
      </w:r>
      <w:r w:rsidR="00BC39DC">
        <w:rPr>
          <w:lang w:val="en-GB"/>
        </w:rPr>
        <w:t xml:space="preserve">(except for list proposals) </w:t>
      </w:r>
      <w:r>
        <w:rPr>
          <w:lang w:val="en-GB"/>
        </w:rPr>
        <w:t>have installed SSL client certificates. All connections from these clients are by mutual authenticated HTTPS.</w:t>
      </w:r>
    </w:p>
    <w:p w:rsidR="004E71ED" w:rsidRDefault="004E71ED" w:rsidP="00694F3E">
      <w:pPr>
        <w:pStyle w:val="Heading2"/>
        <w:rPr>
          <w:lang w:val="en-GB"/>
        </w:rPr>
      </w:pPr>
      <w:bookmarkStart w:id="16" w:name="_Toc419224226"/>
      <w:bookmarkStart w:id="17" w:name="_Toc287608127"/>
      <w:r w:rsidRPr="00BC7F3F">
        <w:rPr>
          <w:lang w:val="en-GB"/>
        </w:rPr>
        <w:t>Network components</w:t>
      </w:r>
      <w:bookmarkEnd w:id="16"/>
      <w:bookmarkEnd w:id="17"/>
    </w:p>
    <w:p w:rsidR="00BC39DC" w:rsidRDefault="00BC39DC" w:rsidP="00BC39DC">
      <w:pPr>
        <w:rPr>
          <w:lang w:val="en-GB"/>
        </w:rPr>
      </w:pPr>
      <w:r>
        <w:rPr>
          <w:lang w:val="en-GB"/>
        </w:rPr>
        <w:t xml:space="preserve">The internet facing </w:t>
      </w:r>
      <w:r w:rsidR="001D7AF2">
        <w:rPr>
          <w:lang w:val="en-GB"/>
        </w:rPr>
        <w:t xml:space="preserve">web </w:t>
      </w:r>
      <w:r>
        <w:rPr>
          <w:lang w:val="en-GB"/>
        </w:rPr>
        <w:t>servers are protected by firewalls. The firewall rules accept only HTTP traffic to these servers. Traffic to election administration system (except public list proposal) is only allowed from municipal owned IP addresses.</w:t>
      </w:r>
    </w:p>
    <w:p w:rsidR="00BC39DC" w:rsidRDefault="00BC39DC" w:rsidP="00BC39DC">
      <w:pPr>
        <w:rPr>
          <w:lang w:val="en-GB"/>
        </w:rPr>
      </w:pPr>
    </w:p>
    <w:p w:rsidR="00AF354B" w:rsidRDefault="001D7AF2" w:rsidP="00BC39DC">
      <w:pPr>
        <w:rPr>
          <w:lang w:val="en-GB"/>
        </w:rPr>
      </w:pPr>
      <w:r>
        <w:rPr>
          <w:lang w:val="en-GB"/>
        </w:rPr>
        <w:t xml:space="preserve">The firewalls also accept log traffic from the E-voting environment and systems for E-counting of p-votes down to the central log servers. </w:t>
      </w:r>
    </w:p>
    <w:p w:rsidR="00AF354B" w:rsidRDefault="00AF354B" w:rsidP="00BC39DC">
      <w:pPr>
        <w:rPr>
          <w:lang w:val="en-GB"/>
        </w:rPr>
      </w:pPr>
    </w:p>
    <w:p w:rsidR="00AF354B" w:rsidRDefault="001D7AF2" w:rsidP="00BC39DC">
      <w:pPr>
        <w:rPr>
          <w:lang w:val="en-GB"/>
        </w:rPr>
      </w:pPr>
      <w:r>
        <w:rPr>
          <w:lang w:val="en-GB"/>
        </w:rPr>
        <w:t>Log events from the systems for E-cou</w:t>
      </w:r>
      <w:r w:rsidR="00050FFE">
        <w:rPr>
          <w:lang w:val="en-GB"/>
        </w:rPr>
        <w:t>nting of p-votes are sent over I</w:t>
      </w:r>
      <w:r>
        <w:rPr>
          <w:lang w:val="en-GB"/>
        </w:rPr>
        <w:t>nternet (default port 514)</w:t>
      </w:r>
      <w:r w:rsidR="00AF354B">
        <w:rPr>
          <w:lang w:val="en-GB"/>
        </w:rPr>
        <w:t xml:space="preserve">. </w:t>
      </w:r>
    </w:p>
    <w:p w:rsidR="00FD2E2F" w:rsidRDefault="00FD2E2F" w:rsidP="00BC39DC">
      <w:pPr>
        <w:rPr>
          <w:lang w:val="en-GB"/>
        </w:rPr>
      </w:pPr>
    </w:p>
    <w:p w:rsidR="00AF354B" w:rsidRDefault="00DE7CFF" w:rsidP="00BC39DC">
      <w:pPr>
        <w:rPr>
          <w:lang w:val="en-GB"/>
        </w:rPr>
      </w:pPr>
      <w:r>
        <w:rPr>
          <w:lang w:val="en-GB"/>
        </w:rPr>
        <w:t>A load balancer is also deployed in front of the internet facing web servers. The Admin system (except public list proposals) is deployed in parallel servers for higher availability. The E-voting system is deployed in parallel servers for higher availability and load sharing.</w:t>
      </w:r>
    </w:p>
    <w:p w:rsidR="00032299" w:rsidRDefault="00032299" w:rsidP="00BC39DC">
      <w:pPr>
        <w:rPr>
          <w:lang w:val="en-GB"/>
        </w:rPr>
      </w:pPr>
    </w:p>
    <w:p w:rsidR="00032299" w:rsidRDefault="00032299" w:rsidP="00BC39DC">
      <w:pPr>
        <w:rPr>
          <w:lang w:val="en-GB"/>
        </w:rPr>
      </w:pPr>
      <w:r>
        <w:rPr>
          <w:lang w:val="en-GB"/>
        </w:rPr>
        <w:t>Firewalls or other filtering devices are also deployed between the E-voting and Admin system, and between front end and backend of these systems.</w:t>
      </w:r>
    </w:p>
    <w:p w:rsidR="004E71ED" w:rsidRDefault="004E71ED" w:rsidP="00694F3E">
      <w:pPr>
        <w:pStyle w:val="Heading2"/>
        <w:rPr>
          <w:lang w:val="en-GB"/>
        </w:rPr>
      </w:pPr>
      <w:bookmarkStart w:id="18" w:name="_Toc419224228"/>
      <w:bookmarkStart w:id="19" w:name="_Toc287608128"/>
      <w:r w:rsidRPr="00BC7F3F">
        <w:rPr>
          <w:lang w:val="en-GB"/>
        </w:rPr>
        <w:t>Solution topology</w:t>
      </w:r>
      <w:bookmarkEnd w:id="18"/>
      <w:bookmarkEnd w:id="19"/>
    </w:p>
    <w:p w:rsidR="00D9185E" w:rsidRPr="00D9185E" w:rsidRDefault="00D9185E" w:rsidP="00D9185E">
      <w:pPr>
        <w:rPr>
          <w:lang w:val="en-GB"/>
        </w:rPr>
      </w:pPr>
      <w:r>
        <w:rPr>
          <w:lang w:val="en-GB"/>
        </w:rPr>
        <w:t xml:space="preserve">The central part of the </w:t>
      </w:r>
      <w:r w:rsidR="00E5464A">
        <w:rPr>
          <w:lang w:val="en-GB"/>
        </w:rPr>
        <w:t>E-voting and Admin</w:t>
      </w:r>
      <w:r>
        <w:rPr>
          <w:lang w:val="en-GB"/>
        </w:rPr>
        <w:t xml:space="preserve"> is deployed in two data centres at Brønnøysund</w:t>
      </w:r>
      <w:r w:rsidR="00E5464A">
        <w:rPr>
          <w:lang w:val="en-GB"/>
        </w:rPr>
        <w:t xml:space="preserve">. The system needed for handling the return codes for E-voting are deployed in two data centres at </w:t>
      </w:r>
      <w:r w:rsidR="00E5464A" w:rsidRPr="00E5464A">
        <w:rPr>
          <w:lang w:val="en-GB"/>
        </w:rPr>
        <w:t xml:space="preserve">Directorate for Civil Protection and Emergency Planning </w:t>
      </w:r>
      <w:r w:rsidR="00E5464A">
        <w:rPr>
          <w:lang w:val="en-GB"/>
        </w:rPr>
        <w:t>(DSB). The offline (airgapped) systems used for cleansing and mixing of E-votes are placed in KRD’s own data centres.</w:t>
      </w:r>
    </w:p>
    <w:p w:rsidR="00A53697" w:rsidRDefault="00032299" w:rsidP="00A53697">
      <w:pPr>
        <w:keepNext/>
      </w:pPr>
      <w:r>
        <w:rPr>
          <w:noProof/>
          <w:lang w:val="nb-NO" w:eastAsia="nb-NO"/>
        </w:rPr>
        <w:lastRenderedPageBreak/>
        <w:drawing>
          <wp:inline distT="0" distB="0" distL="0" distR="0">
            <wp:extent cx="5732145" cy="4021455"/>
            <wp:effectExtent l="1905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5732145" cy="4021455"/>
                    </a:xfrm>
                    <a:prstGeom prst="rect">
                      <a:avLst/>
                    </a:prstGeom>
                    <a:noFill/>
                    <a:ln w="9525">
                      <a:noFill/>
                      <a:miter lim="800000"/>
                      <a:headEnd/>
                      <a:tailEnd/>
                    </a:ln>
                  </pic:spPr>
                </pic:pic>
              </a:graphicData>
            </a:graphic>
          </wp:inline>
        </w:drawing>
      </w:r>
    </w:p>
    <w:p w:rsidR="00032299" w:rsidRDefault="00A53697" w:rsidP="00A53697">
      <w:pPr>
        <w:pStyle w:val="Caption"/>
        <w:rPr>
          <w:lang w:val="en-GB"/>
        </w:rPr>
      </w:pPr>
      <w:r>
        <w:t xml:space="preserve">Figure </w:t>
      </w:r>
      <w:fldSimple w:instr=" SEQ Figure \* ARABIC ">
        <w:r w:rsidR="00D9185E">
          <w:rPr>
            <w:noProof/>
          </w:rPr>
          <w:t>5</w:t>
        </w:r>
      </w:fldSimple>
      <w:r>
        <w:t>: Operational environment</w:t>
      </w:r>
    </w:p>
    <w:p w:rsidR="00A53697" w:rsidRPr="00032299" w:rsidRDefault="00A53697" w:rsidP="00032299">
      <w:pPr>
        <w:rPr>
          <w:lang w:val="en-GB"/>
        </w:rPr>
      </w:pPr>
    </w:p>
    <w:p w:rsidR="00A53697" w:rsidRDefault="00A53697">
      <w:pPr>
        <w:widowControl/>
        <w:spacing w:line="240" w:lineRule="auto"/>
        <w:rPr>
          <w:rFonts w:ascii="Arial" w:hAnsi="Arial"/>
          <w:b/>
          <w:sz w:val="28"/>
          <w:lang w:val="en-GB"/>
        </w:rPr>
      </w:pPr>
    </w:p>
    <w:sectPr w:rsidR="00A53697" w:rsidSect="002B0B75">
      <w:headerReference w:type="default" r:id="rId21"/>
      <w:footerReference w:type="default" r:id="rId22"/>
      <w:headerReference w:type="first" r:id="rId23"/>
      <w:footerReference w:type="first" r:id="rId24"/>
      <w:pgSz w:w="11907" w:h="16840" w:code="9"/>
      <w:pgMar w:top="1440" w:right="1440" w:bottom="1440" w:left="1440"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F54" w:rsidRDefault="00D76F54">
      <w:r>
        <w:separator/>
      </w:r>
    </w:p>
  </w:endnote>
  <w:endnote w:type="continuationSeparator" w:id="0">
    <w:p w:rsidR="00D76F54" w:rsidRDefault="00D76F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6FA" w:rsidRDefault="004D635B">
    <w:pPr>
      <w:pStyle w:val="Footer"/>
      <w:framePr w:wrap="around" w:vAnchor="text" w:hAnchor="margin" w:xAlign="right" w:y="1"/>
      <w:rPr>
        <w:rStyle w:val="PageNumber"/>
      </w:rPr>
    </w:pPr>
    <w:r>
      <w:rPr>
        <w:rStyle w:val="PageNumber"/>
      </w:rPr>
      <w:fldChar w:fldCharType="begin"/>
    </w:r>
    <w:r w:rsidR="00DF56FA">
      <w:rPr>
        <w:rStyle w:val="PageNumber"/>
      </w:rPr>
      <w:instrText xml:space="preserve">PAGE  </w:instrText>
    </w:r>
    <w:r>
      <w:rPr>
        <w:rStyle w:val="PageNumber"/>
      </w:rPr>
      <w:fldChar w:fldCharType="end"/>
    </w:r>
  </w:p>
  <w:p w:rsidR="00DF56FA" w:rsidRDefault="00DF56F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62"/>
      <w:gridCol w:w="3162"/>
      <w:gridCol w:w="3162"/>
    </w:tblGrid>
    <w:tr w:rsidR="00DF56FA">
      <w:tc>
        <w:tcPr>
          <w:tcW w:w="3162" w:type="dxa"/>
          <w:tcBorders>
            <w:top w:val="nil"/>
            <w:left w:val="nil"/>
            <w:bottom w:val="nil"/>
            <w:right w:val="nil"/>
          </w:tcBorders>
        </w:tcPr>
        <w:p w:rsidR="00DF56FA" w:rsidRDefault="00DF56FA">
          <w:pPr>
            <w:ind w:right="360"/>
          </w:pPr>
        </w:p>
      </w:tc>
      <w:tc>
        <w:tcPr>
          <w:tcW w:w="3162" w:type="dxa"/>
          <w:tcBorders>
            <w:top w:val="nil"/>
            <w:left w:val="nil"/>
            <w:bottom w:val="nil"/>
            <w:right w:val="nil"/>
          </w:tcBorders>
        </w:tcPr>
        <w:p w:rsidR="00DF56FA" w:rsidRDefault="00DF56FA">
          <w:pPr>
            <w:jc w:val="center"/>
          </w:pPr>
        </w:p>
      </w:tc>
      <w:tc>
        <w:tcPr>
          <w:tcW w:w="3162" w:type="dxa"/>
          <w:tcBorders>
            <w:top w:val="nil"/>
            <w:left w:val="nil"/>
            <w:bottom w:val="nil"/>
            <w:right w:val="nil"/>
          </w:tcBorders>
        </w:tcPr>
        <w:p w:rsidR="00DF56FA" w:rsidRDefault="00DF56FA">
          <w:pPr>
            <w:jc w:val="right"/>
          </w:pPr>
          <w:r>
            <w:t xml:space="preserve">Page </w:t>
          </w:r>
          <w:r w:rsidR="004D635B">
            <w:rPr>
              <w:rStyle w:val="PageNumber"/>
            </w:rPr>
            <w:fldChar w:fldCharType="begin"/>
          </w:r>
          <w:r>
            <w:rPr>
              <w:rStyle w:val="PageNumber"/>
            </w:rPr>
            <w:instrText xml:space="preserve"> PAGE </w:instrText>
          </w:r>
          <w:r w:rsidR="004D635B">
            <w:rPr>
              <w:rStyle w:val="PageNumber"/>
            </w:rPr>
            <w:fldChar w:fldCharType="separate"/>
          </w:r>
          <w:r w:rsidR="008A05C5">
            <w:rPr>
              <w:rStyle w:val="PageNumber"/>
              <w:noProof/>
            </w:rPr>
            <w:t>12</w:t>
          </w:r>
          <w:r w:rsidR="004D635B">
            <w:rPr>
              <w:rStyle w:val="PageNumber"/>
            </w:rPr>
            <w:fldChar w:fldCharType="end"/>
          </w:r>
          <w:r>
            <w:rPr>
              <w:rStyle w:val="PageNumber"/>
            </w:rPr>
            <w:t xml:space="preserve"> of </w:t>
          </w:r>
          <w:fldSimple w:instr=" NUMPAGES  \* MERGEFORMAT ">
            <w:r w:rsidR="008A05C5" w:rsidRPr="008A05C5">
              <w:rPr>
                <w:rStyle w:val="PageNumber"/>
                <w:noProof/>
              </w:rPr>
              <w:t>12</w:t>
            </w:r>
          </w:fldSimple>
        </w:p>
      </w:tc>
    </w:tr>
  </w:tbl>
  <w:p w:rsidR="00DF56FA" w:rsidRDefault="00DF56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6FA" w:rsidRDefault="00DF56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F54" w:rsidRDefault="00D76F54">
      <w:r>
        <w:separator/>
      </w:r>
    </w:p>
  </w:footnote>
  <w:footnote w:type="continuationSeparator" w:id="0">
    <w:p w:rsidR="00D76F54" w:rsidRDefault="00D76F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6FA" w:rsidRDefault="00DF56FA">
    <w:pPr>
      <w:rPr>
        <w:sz w:val="24"/>
      </w:rPr>
    </w:pPr>
  </w:p>
  <w:p w:rsidR="00DF56FA" w:rsidRDefault="00DF56FA">
    <w:pPr>
      <w:pBdr>
        <w:top w:val="single" w:sz="6" w:space="1" w:color="auto"/>
      </w:pBdr>
      <w:rPr>
        <w:sz w:val="24"/>
      </w:rPr>
    </w:pPr>
  </w:p>
  <w:p w:rsidR="00DF56FA" w:rsidRDefault="004D635B">
    <w:pPr>
      <w:pBdr>
        <w:bottom w:val="single" w:sz="6" w:space="1" w:color="auto"/>
      </w:pBdr>
      <w:jc w:val="right"/>
      <w:rPr>
        <w:rFonts w:ascii="Arial" w:hAnsi="Arial"/>
        <w:b/>
        <w:sz w:val="36"/>
      </w:rPr>
    </w:pPr>
    <w:fldSimple w:instr=" DOCPROPERTY &quot;Company&quot;  \* MERGEFORMAT ">
      <w:r w:rsidR="00DF56FA">
        <w:rPr>
          <w:rFonts w:ascii="Arial" w:hAnsi="Arial"/>
          <w:b/>
          <w:sz w:val="36"/>
        </w:rPr>
        <w:t>ErgoGroup</w:t>
      </w:r>
    </w:fldSimple>
  </w:p>
  <w:p w:rsidR="00DF56FA" w:rsidRDefault="00DF56FA">
    <w:pPr>
      <w:pBdr>
        <w:bottom w:val="single" w:sz="6" w:space="1" w:color="auto"/>
      </w:pBdr>
      <w:jc w:val="right"/>
      <w:rPr>
        <w:sz w:val="24"/>
      </w:rPr>
    </w:pPr>
  </w:p>
  <w:p w:rsidR="00DF56FA" w:rsidRDefault="00DF56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379"/>
      <w:gridCol w:w="3179"/>
    </w:tblGrid>
    <w:tr w:rsidR="00DF56FA" w:rsidTr="00053ED4">
      <w:tc>
        <w:tcPr>
          <w:tcW w:w="6379" w:type="dxa"/>
        </w:tcPr>
        <w:p w:rsidR="00DF56FA" w:rsidRDefault="00DF56FA" w:rsidP="00057D89">
          <w:r>
            <w:t>E-vote 2011</w:t>
          </w:r>
        </w:p>
      </w:tc>
      <w:tc>
        <w:tcPr>
          <w:tcW w:w="3179" w:type="dxa"/>
        </w:tcPr>
        <w:p w:rsidR="00DF56FA" w:rsidRDefault="00DF56FA" w:rsidP="00744A3F">
          <w:pPr>
            <w:tabs>
              <w:tab w:val="left" w:pos="1135"/>
            </w:tabs>
            <w:spacing w:before="40"/>
            <w:ind w:right="68"/>
          </w:pPr>
          <w:r w:rsidRPr="00543B0F">
            <w:t>Version</w:t>
          </w:r>
          <w:r w:rsidR="00370FD3">
            <w:t>: 1.</w:t>
          </w:r>
          <w:r w:rsidR="00744A3F">
            <w:t>1</w:t>
          </w:r>
        </w:p>
      </w:tc>
    </w:tr>
    <w:tr w:rsidR="00DF56FA" w:rsidTr="00053ED4">
      <w:tc>
        <w:tcPr>
          <w:tcW w:w="6379" w:type="dxa"/>
        </w:tcPr>
        <w:p w:rsidR="00DF56FA" w:rsidRPr="00543B0F" w:rsidRDefault="00DF56FA" w:rsidP="00057D89">
          <w:r>
            <w:t>Security</w:t>
          </w:r>
          <w:r w:rsidRPr="00543B0F">
            <w:t xml:space="preserve"> Architecture</w:t>
          </w:r>
          <w:r w:rsidR="00FD2E2F">
            <w:t xml:space="preserve"> - General overview</w:t>
          </w:r>
        </w:p>
      </w:tc>
      <w:tc>
        <w:tcPr>
          <w:tcW w:w="3179" w:type="dxa"/>
        </w:tcPr>
        <w:p w:rsidR="00DF56FA" w:rsidRPr="000538EE" w:rsidRDefault="00DF56FA" w:rsidP="00744A3F">
          <w:pPr>
            <w:rPr>
              <w:lang w:val="nb-NO"/>
            </w:rPr>
          </w:pPr>
          <w:r>
            <w:rPr>
              <w:lang w:val="nb-NO"/>
            </w:rPr>
            <w:t xml:space="preserve">Date: </w:t>
          </w:r>
          <w:r w:rsidR="00744A3F">
            <w:rPr>
              <w:lang w:val="nb-NO"/>
            </w:rPr>
            <w:t>11</w:t>
          </w:r>
          <w:r w:rsidR="005368C9">
            <w:rPr>
              <w:lang w:val="nb-NO"/>
            </w:rPr>
            <w:t>.</w:t>
          </w:r>
          <w:r w:rsidR="00370FD3">
            <w:rPr>
              <w:lang w:val="nb-NO"/>
            </w:rPr>
            <w:t>03.2011</w:t>
          </w:r>
        </w:p>
      </w:tc>
    </w:tr>
  </w:tbl>
  <w:p w:rsidR="00DF56FA" w:rsidRDefault="00DF56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6FA" w:rsidRDefault="00DF56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A3D45FA"/>
    <w:multiLevelType w:val="hybridMultilevel"/>
    <w:tmpl w:val="83A249FE"/>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10225B"/>
    <w:multiLevelType w:val="hybridMultilevel"/>
    <w:tmpl w:val="5A70E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8271EB"/>
    <w:multiLevelType w:val="hybridMultilevel"/>
    <w:tmpl w:val="0840E37C"/>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6B02FD"/>
    <w:multiLevelType w:val="hybridMultilevel"/>
    <w:tmpl w:val="A2C4E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AB6971"/>
    <w:multiLevelType w:val="hybridMultilevel"/>
    <w:tmpl w:val="E2101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1A2922"/>
    <w:multiLevelType w:val="hybridMultilevel"/>
    <w:tmpl w:val="4FDAF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7E124E"/>
    <w:multiLevelType w:val="hybridMultilevel"/>
    <w:tmpl w:val="F81CE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5"/>
  </w:num>
  <w:num w:numId="8">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2263D"/>
    <w:rsid w:val="000019D2"/>
    <w:rsid w:val="00002A9E"/>
    <w:rsid w:val="0000368F"/>
    <w:rsid w:val="000102B5"/>
    <w:rsid w:val="00010D50"/>
    <w:rsid w:val="0001798F"/>
    <w:rsid w:val="000265D3"/>
    <w:rsid w:val="00026963"/>
    <w:rsid w:val="000305F1"/>
    <w:rsid w:val="00032299"/>
    <w:rsid w:val="00033D9B"/>
    <w:rsid w:val="000367E7"/>
    <w:rsid w:val="00037A99"/>
    <w:rsid w:val="00040DE3"/>
    <w:rsid w:val="00045E5C"/>
    <w:rsid w:val="00046028"/>
    <w:rsid w:val="00050FFE"/>
    <w:rsid w:val="000534EC"/>
    <w:rsid w:val="000538EE"/>
    <w:rsid w:val="00053ED4"/>
    <w:rsid w:val="00056769"/>
    <w:rsid w:val="00057D89"/>
    <w:rsid w:val="000761D6"/>
    <w:rsid w:val="0007767B"/>
    <w:rsid w:val="00081800"/>
    <w:rsid w:val="00091000"/>
    <w:rsid w:val="00091712"/>
    <w:rsid w:val="0009417D"/>
    <w:rsid w:val="000954DF"/>
    <w:rsid w:val="00095A82"/>
    <w:rsid w:val="000A02D0"/>
    <w:rsid w:val="000A313C"/>
    <w:rsid w:val="000A3FE6"/>
    <w:rsid w:val="000B21F7"/>
    <w:rsid w:val="000B28FA"/>
    <w:rsid w:val="000B2966"/>
    <w:rsid w:val="000B732A"/>
    <w:rsid w:val="000D5BEE"/>
    <w:rsid w:val="000F110C"/>
    <w:rsid w:val="000F257E"/>
    <w:rsid w:val="000F4010"/>
    <w:rsid w:val="00100202"/>
    <w:rsid w:val="00101528"/>
    <w:rsid w:val="001025EF"/>
    <w:rsid w:val="00102B2A"/>
    <w:rsid w:val="00106D75"/>
    <w:rsid w:val="00131DE2"/>
    <w:rsid w:val="0013304B"/>
    <w:rsid w:val="001343F5"/>
    <w:rsid w:val="0013628E"/>
    <w:rsid w:val="00140E5D"/>
    <w:rsid w:val="00140EB9"/>
    <w:rsid w:val="00142435"/>
    <w:rsid w:val="001439AA"/>
    <w:rsid w:val="00145AD8"/>
    <w:rsid w:val="0014763B"/>
    <w:rsid w:val="00147CD7"/>
    <w:rsid w:val="00152261"/>
    <w:rsid w:val="00153FD8"/>
    <w:rsid w:val="00160621"/>
    <w:rsid w:val="00162983"/>
    <w:rsid w:val="00163229"/>
    <w:rsid w:val="00163CE3"/>
    <w:rsid w:val="00173663"/>
    <w:rsid w:val="00177071"/>
    <w:rsid w:val="0018096A"/>
    <w:rsid w:val="00183CB9"/>
    <w:rsid w:val="0018476A"/>
    <w:rsid w:val="00185633"/>
    <w:rsid w:val="0018650E"/>
    <w:rsid w:val="001947EA"/>
    <w:rsid w:val="001A7B75"/>
    <w:rsid w:val="001B0390"/>
    <w:rsid w:val="001C4C61"/>
    <w:rsid w:val="001D6C18"/>
    <w:rsid w:val="001D7AF2"/>
    <w:rsid w:val="001E0234"/>
    <w:rsid w:val="001E3438"/>
    <w:rsid w:val="001F30A1"/>
    <w:rsid w:val="001F7224"/>
    <w:rsid w:val="002064EE"/>
    <w:rsid w:val="00207EF3"/>
    <w:rsid w:val="00220733"/>
    <w:rsid w:val="00220FF0"/>
    <w:rsid w:val="00224B08"/>
    <w:rsid w:val="00244D5A"/>
    <w:rsid w:val="00251E69"/>
    <w:rsid w:val="00252AA0"/>
    <w:rsid w:val="002553D1"/>
    <w:rsid w:val="00257739"/>
    <w:rsid w:val="00260AF0"/>
    <w:rsid w:val="00264562"/>
    <w:rsid w:val="00264EC5"/>
    <w:rsid w:val="00277465"/>
    <w:rsid w:val="0028017F"/>
    <w:rsid w:val="002839FA"/>
    <w:rsid w:val="0028498E"/>
    <w:rsid w:val="002969EA"/>
    <w:rsid w:val="002A2898"/>
    <w:rsid w:val="002A2A8A"/>
    <w:rsid w:val="002B0B75"/>
    <w:rsid w:val="002B4635"/>
    <w:rsid w:val="002B5D2A"/>
    <w:rsid w:val="002C2610"/>
    <w:rsid w:val="002C3399"/>
    <w:rsid w:val="002C4C97"/>
    <w:rsid w:val="002C71A2"/>
    <w:rsid w:val="002D3780"/>
    <w:rsid w:val="002D6846"/>
    <w:rsid w:val="002F39F0"/>
    <w:rsid w:val="003148AA"/>
    <w:rsid w:val="003209B5"/>
    <w:rsid w:val="00332708"/>
    <w:rsid w:val="00333B1D"/>
    <w:rsid w:val="00335A15"/>
    <w:rsid w:val="00337FF2"/>
    <w:rsid w:val="00342F90"/>
    <w:rsid w:val="00347016"/>
    <w:rsid w:val="00370FD3"/>
    <w:rsid w:val="0037309D"/>
    <w:rsid w:val="00377175"/>
    <w:rsid w:val="003775F0"/>
    <w:rsid w:val="00385D09"/>
    <w:rsid w:val="003864B4"/>
    <w:rsid w:val="003E602C"/>
    <w:rsid w:val="003F5287"/>
    <w:rsid w:val="00404CB3"/>
    <w:rsid w:val="004056C5"/>
    <w:rsid w:val="00413816"/>
    <w:rsid w:val="00417F71"/>
    <w:rsid w:val="0042184D"/>
    <w:rsid w:val="004251E8"/>
    <w:rsid w:val="004321FB"/>
    <w:rsid w:val="004333AA"/>
    <w:rsid w:val="0043505C"/>
    <w:rsid w:val="004366D8"/>
    <w:rsid w:val="004407C4"/>
    <w:rsid w:val="0044118C"/>
    <w:rsid w:val="004422EF"/>
    <w:rsid w:val="00446E8E"/>
    <w:rsid w:val="00470A94"/>
    <w:rsid w:val="00472B82"/>
    <w:rsid w:val="00473759"/>
    <w:rsid w:val="00477FFA"/>
    <w:rsid w:val="004809D2"/>
    <w:rsid w:val="0048270C"/>
    <w:rsid w:val="00485AE1"/>
    <w:rsid w:val="004A26B8"/>
    <w:rsid w:val="004B4F96"/>
    <w:rsid w:val="004C5258"/>
    <w:rsid w:val="004C7D8D"/>
    <w:rsid w:val="004D3EE9"/>
    <w:rsid w:val="004D635B"/>
    <w:rsid w:val="004E71ED"/>
    <w:rsid w:val="004F6C4A"/>
    <w:rsid w:val="004F7C3C"/>
    <w:rsid w:val="00510678"/>
    <w:rsid w:val="00514E3F"/>
    <w:rsid w:val="00515E6D"/>
    <w:rsid w:val="00517271"/>
    <w:rsid w:val="00520267"/>
    <w:rsid w:val="005368C9"/>
    <w:rsid w:val="00540416"/>
    <w:rsid w:val="00543B0F"/>
    <w:rsid w:val="00544F59"/>
    <w:rsid w:val="00585FE5"/>
    <w:rsid w:val="00587C52"/>
    <w:rsid w:val="00587C91"/>
    <w:rsid w:val="00590D42"/>
    <w:rsid w:val="005922A7"/>
    <w:rsid w:val="005A382F"/>
    <w:rsid w:val="005B6062"/>
    <w:rsid w:val="005C616E"/>
    <w:rsid w:val="005D7572"/>
    <w:rsid w:val="005E7F7F"/>
    <w:rsid w:val="005F0FD0"/>
    <w:rsid w:val="005F203E"/>
    <w:rsid w:val="00606347"/>
    <w:rsid w:val="006109AE"/>
    <w:rsid w:val="00610D19"/>
    <w:rsid w:val="006152CE"/>
    <w:rsid w:val="006156A2"/>
    <w:rsid w:val="006208FC"/>
    <w:rsid w:val="006253F1"/>
    <w:rsid w:val="006409C7"/>
    <w:rsid w:val="00647AA2"/>
    <w:rsid w:val="00647E47"/>
    <w:rsid w:val="006502BA"/>
    <w:rsid w:val="00660B54"/>
    <w:rsid w:val="0066488A"/>
    <w:rsid w:val="006857C0"/>
    <w:rsid w:val="006914B7"/>
    <w:rsid w:val="00692A9E"/>
    <w:rsid w:val="00694F3E"/>
    <w:rsid w:val="006953C2"/>
    <w:rsid w:val="006A03DF"/>
    <w:rsid w:val="006A183E"/>
    <w:rsid w:val="006B336C"/>
    <w:rsid w:val="006B370F"/>
    <w:rsid w:val="006C0EA3"/>
    <w:rsid w:val="006C25F2"/>
    <w:rsid w:val="006C4D19"/>
    <w:rsid w:val="006E1BF7"/>
    <w:rsid w:val="006E2449"/>
    <w:rsid w:val="006E4098"/>
    <w:rsid w:val="006F1DBC"/>
    <w:rsid w:val="006F6889"/>
    <w:rsid w:val="007028DE"/>
    <w:rsid w:val="007110C4"/>
    <w:rsid w:val="0071316E"/>
    <w:rsid w:val="00714EF3"/>
    <w:rsid w:val="007233B7"/>
    <w:rsid w:val="0072537D"/>
    <w:rsid w:val="00730162"/>
    <w:rsid w:val="00732D3B"/>
    <w:rsid w:val="00734865"/>
    <w:rsid w:val="00737D3A"/>
    <w:rsid w:val="00737E74"/>
    <w:rsid w:val="0074199C"/>
    <w:rsid w:val="00743208"/>
    <w:rsid w:val="00744A3F"/>
    <w:rsid w:val="007530A1"/>
    <w:rsid w:val="0076036A"/>
    <w:rsid w:val="007608E9"/>
    <w:rsid w:val="007668C7"/>
    <w:rsid w:val="00766F88"/>
    <w:rsid w:val="00777DD6"/>
    <w:rsid w:val="00781F9F"/>
    <w:rsid w:val="00783DD8"/>
    <w:rsid w:val="00785E40"/>
    <w:rsid w:val="007970E8"/>
    <w:rsid w:val="007A1C4B"/>
    <w:rsid w:val="007A3782"/>
    <w:rsid w:val="007A444D"/>
    <w:rsid w:val="007B7BFD"/>
    <w:rsid w:val="007C2875"/>
    <w:rsid w:val="007D2D4D"/>
    <w:rsid w:val="007E3282"/>
    <w:rsid w:val="007E757C"/>
    <w:rsid w:val="007F3209"/>
    <w:rsid w:val="007F77A6"/>
    <w:rsid w:val="008003F8"/>
    <w:rsid w:val="008066C5"/>
    <w:rsid w:val="0080798A"/>
    <w:rsid w:val="00810611"/>
    <w:rsid w:val="00811370"/>
    <w:rsid w:val="00811EDB"/>
    <w:rsid w:val="00815090"/>
    <w:rsid w:val="008155C3"/>
    <w:rsid w:val="0081614A"/>
    <w:rsid w:val="008232EB"/>
    <w:rsid w:val="00835789"/>
    <w:rsid w:val="00837EAE"/>
    <w:rsid w:val="008416B2"/>
    <w:rsid w:val="00844BA4"/>
    <w:rsid w:val="00850EAD"/>
    <w:rsid w:val="008519F3"/>
    <w:rsid w:val="00851AF9"/>
    <w:rsid w:val="00854261"/>
    <w:rsid w:val="00862A7F"/>
    <w:rsid w:val="00862EAA"/>
    <w:rsid w:val="00863D54"/>
    <w:rsid w:val="008642A6"/>
    <w:rsid w:val="00865F31"/>
    <w:rsid w:val="008754D0"/>
    <w:rsid w:val="00895ABE"/>
    <w:rsid w:val="008A05C5"/>
    <w:rsid w:val="008A140D"/>
    <w:rsid w:val="008A4930"/>
    <w:rsid w:val="008C4506"/>
    <w:rsid w:val="008C5943"/>
    <w:rsid w:val="008D15CA"/>
    <w:rsid w:val="008E28A9"/>
    <w:rsid w:val="008E3CF3"/>
    <w:rsid w:val="008F7091"/>
    <w:rsid w:val="008F7107"/>
    <w:rsid w:val="00900609"/>
    <w:rsid w:val="00904339"/>
    <w:rsid w:val="009434C6"/>
    <w:rsid w:val="00950144"/>
    <w:rsid w:val="009709CA"/>
    <w:rsid w:val="009718BB"/>
    <w:rsid w:val="00976877"/>
    <w:rsid w:val="00977B0E"/>
    <w:rsid w:val="0098247C"/>
    <w:rsid w:val="00982874"/>
    <w:rsid w:val="00983191"/>
    <w:rsid w:val="009849C7"/>
    <w:rsid w:val="00991ED7"/>
    <w:rsid w:val="00992BCC"/>
    <w:rsid w:val="00993C36"/>
    <w:rsid w:val="00997C7A"/>
    <w:rsid w:val="009B2E37"/>
    <w:rsid w:val="009B53A8"/>
    <w:rsid w:val="009E2FAC"/>
    <w:rsid w:val="009E792A"/>
    <w:rsid w:val="009F1B43"/>
    <w:rsid w:val="009F3B77"/>
    <w:rsid w:val="00A0244E"/>
    <w:rsid w:val="00A03E1F"/>
    <w:rsid w:val="00A1623C"/>
    <w:rsid w:val="00A20741"/>
    <w:rsid w:val="00A21FA6"/>
    <w:rsid w:val="00A25DA2"/>
    <w:rsid w:val="00A31296"/>
    <w:rsid w:val="00A321CD"/>
    <w:rsid w:val="00A33C57"/>
    <w:rsid w:val="00A34D6E"/>
    <w:rsid w:val="00A53697"/>
    <w:rsid w:val="00A57968"/>
    <w:rsid w:val="00A57FD6"/>
    <w:rsid w:val="00A71F56"/>
    <w:rsid w:val="00A75446"/>
    <w:rsid w:val="00A765B8"/>
    <w:rsid w:val="00A7746E"/>
    <w:rsid w:val="00A8049E"/>
    <w:rsid w:val="00AB5715"/>
    <w:rsid w:val="00AB6B2A"/>
    <w:rsid w:val="00AC2645"/>
    <w:rsid w:val="00AC6D9C"/>
    <w:rsid w:val="00AE3543"/>
    <w:rsid w:val="00AE7009"/>
    <w:rsid w:val="00AF354B"/>
    <w:rsid w:val="00AF5341"/>
    <w:rsid w:val="00B07C81"/>
    <w:rsid w:val="00B1125B"/>
    <w:rsid w:val="00B21AAD"/>
    <w:rsid w:val="00B249C6"/>
    <w:rsid w:val="00B256BA"/>
    <w:rsid w:val="00B2784D"/>
    <w:rsid w:val="00B31195"/>
    <w:rsid w:val="00B33CA6"/>
    <w:rsid w:val="00B37926"/>
    <w:rsid w:val="00B419ED"/>
    <w:rsid w:val="00B46AFE"/>
    <w:rsid w:val="00B53436"/>
    <w:rsid w:val="00B642DC"/>
    <w:rsid w:val="00B669E8"/>
    <w:rsid w:val="00B66B83"/>
    <w:rsid w:val="00B66ED8"/>
    <w:rsid w:val="00B7227D"/>
    <w:rsid w:val="00B7267B"/>
    <w:rsid w:val="00B732DB"/>
    <w:rsid w:val="00B73A39"/>
    <w:rsid w:val="00B773CF"/>
    <w:rsid w:val="00B81B69"/>
    <w:rsid w:val="00B918E6"/>
    <w:rsid w:val="00B91C0D"/>
    <w:rsid w:val="00B93C7B"/>
    <w:rsid w:val="00B97699"/>
    <w:rsid w:val="00BA0596"/>
    <w:rsid w:val="00BA62F1"/>
    <w:rsid w:val="00BB3825"/>
    <w:rsid w:val="00BB515A"/>
    <w:rsid w:val="00BB7CC4"/>
    <w:rsid w:val="00BB7E9B"/>
    <w:rsid w:val="00BB7F6D"/>
    <w:rsid w:val="00BC3423"/>
    <w:rsid w:val="00BC39DC"/>
    <w:rsid w:val="00BC7F3F"/>
    <w:rsid w:val="00BD198C"/>
    <w:rsid w:val="00BF0D07"/>
    <w:rsid w:val="00BF1A62"/>
    <w:rsid w:val="00BF2413"/>
    <w:rsid w:val="00C00E7C"/>
    <w:rsid w:val="00C03678"/>
    <w:rsid w:val="00C06EE5"/>
    <w:rsid w:val="00C074FC"/>
    <w:rsid w:val="00C1589D"/>
    <w:rsid w:val="00C20DB5"/>
    <w:rsid w:val="00C237B7"/>
    <w:rsid w:val="00C318AA"/>
    <w:rsid w:val="00C34B6C"/>
    <w:rsid w:val="00C42000"/>
    <w:rsid w:val="00C436F5"/>
    <w:rsid w:val="00C510D9"/>
    <w:rsid w:val="00C633B4"/>
    <w:rsid w:val="00C64255"/>
    <w:rsid w:val="00C64C3F"/>
    <w:rsid w:val="00C66AE1"/>
    <w:rsid w:val="00C7464D"/>
    <w:rsid w:val="00C82829"/>
    <w:rsid w:val="00C92151"/>
    <w:rsid w:val="00C93B4E"/>
    <w:rsid w:val="00CB6FFF"/>
    <w:rsid w:val="00CB7B61"/>
    <w:rsid w:val="00CC27EB"/>
    <w:rsid w:val="00CC3D50"/>
    <w:rsid w:val="00CC4402"/>
    <w:rsid w:val="00CC7AE2"/>
    <w:rsid w:val="00CD29BE"/>
    <w:rsid w:val="00CD53D7"/>
    <w:rsid w:val="00CD5469"/>
    <w:rsid w:val="00CD6A69"/>
    <w:rsid w:val="00CE23DF"/>
    <w:rsid w:val="00CE3065"/>
    <w:rsid w:val="00CF648C"/>
    <w:rsid w:val="00D115D5"/>
    <w:rsid w:val="00D11AF2"/>
    <w:rsid w:val="00D16BD5"/>
    <w:rsid w:val="00D175B7"/>
    <w:rsid w:val="00D2263D"/>
    <w:rsid w:val="00D22F9B"/>
    <w:rsid w:val="00D3499E"/>
    <w:rsid w:val="00D444A6"/>
    <w:rsid w:val="00D4736B"/>
    <w:rsid w:val="00D502E8"/>
    <w:rsid w:val="00D530E7"/>
    <w:rsid w:val="00D56A32"/>
    <w:rsid w:val="00D629B0"/>
    <w:rsid w:val="00D638BB"/>
    <w:rsid w:val="00D72E4A"/>
    <w:rsid w:val="00D76F54"/>
    <w:rsid w:val="00D82F1A"/>
    <w:rsid w:val="00D83274"/>
    <w:rsid w:val="00D9185E"/>
    <w:rsid w:val="00DA0797"/>
    <w:rsid w:val="00DB06C8"/>
    <w:rsid w:val="00DB24B6"/>
    <w:rsid w:val="00DB682A"/>
    <w:rsid w:val="00DB7D61"/>
    <w:rsid w:val="00DC1DAC"/>
    <w:rsid w:val="00DC5FE5"/>
    <w:rsid w:val="00DD44D3"/>
    <w:rsid w:val="00DD45DC"/>
    <w:rsid w:val="00DD5AA0"/>
    <w:rsid w:val="00DD7453"/>
    <w:rsid w:val="00DE3297"/>
    <w:rsid w:val="00DE6F01"/>
    <w:rsid w:val="00DE7742"/>
    <w:rsid w:val="00DE7CFF"/>
    <w:rsid w:val="00DF56FA"/>
    <w:rsid w:val="00E0775E"/>
    <w:rsid w:val="00E110B4"/>
    <w:rsid w:val="00E11699"/>
    <w:rsid w:val="00E11E06"/>
    <w:rsid w:val="00E17ED4"/>
    <w:rsid w:val="00E257D2"/>
    <w:rsid w:val="00E428CD"/>
    <w:rsid w:val="00E43CAF"/>
    <w:rsid w:val="00E532F9"/>
    <w:rsid w:val="00E5464A"/>
    <w:rsid w:val="00E67649"/>
    <w:rsid w:val="00E9440F"/>
    <w:rsid w:val="00EA0F4A"/>
    <w:rsid w:val="00EB53EB"/>
    <w:rsid w:val="00EC144B"/>
    <w:rsid w:val="00EE434B"/>
    <w:rsid w:val="00EE57E4"/>
    <w:rsid w:val="00EF0B3F"/>
    <w:rsid w:val="00EF6AD2"/>
    <w:rsid w:val="00F105BB"/>
    <w:rsid w:val="00F15782"/>
    <w:rsid w:val="00F21397"/>
    <w:rsid w:val="00F23815"/>
    <w:rsid w:val="00F31784"/>
    <w:rsid w:val="00F4463A"/>
    <w:rsid w:val="00F453FE"/>
    <w:rsid w:val="00F50B2E"/>
    <w:rsid w:val="00F6213E"/>
    <w:rsid w:val="00F64CFB"/>
    <w:rsid w:val="00F85B4F"/>
    <w:rsid w:val="00F86AD2"/>
    <w:rsid w:val="00F9568D"/>
    <w:rsid w:val="00FA079C"/>
    <w:rsid w:val="00FA12D0"/>
    <w:rsid w:val="00FA662C"/>
    <w:rsid w:val="00FA6C1C"/>
    <w:rsid w:val="00FC0292"/>
    <w:rsid w:val="00FC6721"/>
    <w:rsid w:val="00FD2E2F"/>
    <w:rsid w:val="00FD7BBE"/>
    <w:rsid w:val="00FE0377"/>
    <w:rsid w:val="00FE7A4B"/>
    <w:rsid w:val="00FE7F90"/>
    <w:rsid w:val="00FF1169"/>
    <w:rsid w:val="00FF1607"/>
    <w:rsid w:val="00FF3979"/>
    <w:rsid w:val="00FF777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A69"/>
    <w:pPr>
      <w:widowControl w:val="0"/>
      <w:spacing w:line="240" w:lineRule="atLeast"/>
    </w:pPr>
    <w:rPr>
      <w:lang w:val="en-US" w:eastAsia="en-US"/>
    </w:rPr>
  </w:style>
  <w:style w:type="paragraph" w:styleId="Heading1">
    <w:name w:val="heading 1"/>
    <w:basedOn w:val="Normal"/>
    <w:next w:val="Normal"/>
    <w:qFormat/>
    <w:rsid w:val="00844BA4"/>
    <w:pPr>
      <w:keepNext/>
      <w:numPr>
        <w:numId w:val="1"/>
      </w:numPr>
      <w:spacing w:before="120" w:after="60"/>
      <w:outlineLvl w:val="0"/>
    </w:pPr>
    <w:rPr>
      <w:rFonts w:ascii="Arial" w:hAnsi="Arial"/>
      <w:b/>
      <w:sz w:val="28"/>
    </w:rPr>
  </w:style>
  <w:style w:type="paragraph" w:styleId="Heading2">
    <w:name w:val="heading 2"/>
    <w:basedOn w:val="Heading1"/>
    <w:next w:val="Normal"/>
    <w:qFormat/>
    <w:rsid w:val="00844BA4"/>
    <w:pPr>
      <w:numPr>
        <w:ilvl w:val="1"/>
      </w:numPr>
      <w:outlineLvl w:val="1"/>
    </w:pPr>
    <w:rPr>
      <w:sz w:val="24"/>
    </w:rPr>
  </w:style>
  <w:style w:type="paragraph" w:styleId="Heading3">
    <w:name w:val="heading 3"/>
    <w:basedOn w:val="Heading1"/>
    <w:next w:val="Normal"/>
    <w:qFormat/>
    <w:rsid w:val="00CD6A69"/>
    <w:pPr>
      <w:numPr>
        <w:ilvl w:val="2"/>
      </w:numPr>
      <w:outlineLvl w:val="2"/>
    </w:pPr>
    <w:rPr>
      <w:b w:val="0"/>
      <w:i/>
      <w:sz w:val="20"/>
    </w:rPr>
  </w:style>
  <w:style w:type="paragraph" w:styleId="Heading4">
    <w:name w:val="heading 4"/>
    <w:basedOn w:val="Heading1"/>
    <w:next w:val="Normal"/>
    <w:qFormat/>
    <w:rsid w:val="00CD6A69"/>
    <w:pPr>
      <w:numPr>
        <w:ilvl w:val="3"/>
      </w:numPr>
      <w:outlineLvl w:val="3"/>
    </w:pPr>
    <w:rPr>
      <w:b w:val="0"/>
      <w:sz w:val="20"/>
    </w:rPr>
  </w:style>
  <w:style w:type="paragraph" w:styleId="Heading5">
    <w:name w:val="heading 5"/>
    <w:basedOn w:val="Normal"/>
    <w:next w:val="Normal"/>
    <w:qFormat/>
    <w:rsid w:val="00CD6A69"/>
    <w:pPr>
      <w:numPr>
        <w:ilvl w:val="4"/>
        <w:numId w:val="1"/>
      </w:numPr>
      <w:spacing w:before="240" w:after="60"/>
      <w:ind w:left="2880"/>
      <w:outlineLvl w:val="4"/>
    </w:pPr>
    <w:rPr>
      <w:sz w:val="22"/>
    </w:rPr>
  </w:style>
  <w:style w:type="paragraph" w:styleId="Heading6">
    <w:name w:val="heading 6"/>
    <w:basedOn w:val="Normal"/>
    <w:next w:val="Normal"/>
    <w:qFormat/>
    <w:rsid w:val="00CD6A69"/>
    <w:pPr>
      <w:numPr>
        <w:ilvl w:val="5"/>
        <w:numId w:val="1"/>
      </w:numPr>
      <w:spacing w:before="240" w:after="60"/>
      <w:ind w:left="2880"/>
      <w:outlineLvl w:val="5"/>
    </w:pPr>
    <w:rPr>
      <w:i/>
      <w:sz w:val="22"/>
    </w:rPr>
  </w:style>
  <w:style w:type="paragraph" w:styleId="Heading7">
    <w:name w:val="heading 7"/>
    <w:basedOn w:val="Normal"/>
    <w:next w:val="Normal"/>
    <w:qFormat/>
    <w:rsid w:val="00CD6A69"/>
    <w:pPr>
      <w:numPr>
        <w:ilvl w:val="6"/>
        <w:numId w:val="1"/>
      </w:numPr>
      <w:spacing w:before="240" w:after="60"/>
      <w:ind w:left="2880"/>
      <w:outlineLvl w:val="6"/>
    </w:pPr>
  </w:style>
  <w:style w:type="paragraph" w:styleId="Heading8">
    <w:name w:val="heading 8"/>
    <w:basedOn w:val="Normal"/>
    <w:next w:val="Normal"/>
    <w:qFormat/>
    <w:rsid w:val="00CD6A69"/>
    <w:pPr>
      <w:numPr>
        <w:ilvl w:val="7"/>
        <w:numId w:val="1"/>
      </w:numPr>
      <w:spacing w:before="240" w:after="60"/>
      <w:ind w:left="2880"/>
      <w:outlineLvl w:val="7"/>
    </w:pPr>
    <w:rPr>
      <w:i/>
    </w:rPr>
  </w:style>
  <w:style w:type="paragraph" w:styleId="Heading9">
    <w:name w:val="heading 9"/>
    <w:basedOn w:val="Normal"/>
    <w:next w:val="Normal"/>
    <w:qFormat/>
    <w:rsid w:val="00CD6A69"/>
    <w:pPr>
      <w:numPr>
        <w:ilvl w:val="8"/>
        <w:numId w:val="1"/>
      </w:numPr>
      <w:spacing w:before="240" w:after="60"/>
      <w:ind w:left="288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2">
    <w:name w:val="Paragraph2"/>
    <w:basedOn w:val="Normal"/>
    <w:rsid w:val="00CD6A69"/>
    <w:pPr>
      <w:spacing w:before="80"/>
      <w:ind w:left="720"/>
      <w:jc w:val="both"/>
    </w:pPr>
    <w:rPr>
      <w:color w:val="000000"/>
      <w:lang w:val="en-AU"/>
    </w:rPr>
  </w:style>
  <w:style w:type="paragraph" w:styleId="Title">
    <w:name w:val="Title"/>
    <w:basedOn w:val="Normal"/>
    <w:next w:val="Normal"/>
    <w:qFormat/>
    <w:rsid w:val="00CD6A69"/>
    <w:pPr>
      <w:spacing w:line="240" w:lineRule="auto"/>
      <w:jc w:val="center"/>
    </w:pPr>
    <w:rPr>
      <w:rFonts w:ascii="Arial" w:hAnsi="Arial"/>
      <w:b/>
      <w:sz w:val="36"/>
    </w:rPr>
  </w:style>
  <w:style w:type="paragraph" w:styleId="Subtitle">
    <w:name w:val="Subtitle"/>
    <w:basedOn w:val="Normal"/>
    <w:qFormat/>
    <w:rsid w:val="00CD6A69"/>
    <w:pPr>
      <w:spacing w:after="60"/>
      <w:jc w:val="center"/>
    </w:pPr>
    <w:rPr>
      <w:rFonts w:ascii="Arial" w:hAnsi="Arial"/>
      <w:i/>
      <w:sz w:val="36"/>
      <w:lang w:val="en-AU"/>
    </w:rPr>
  </w:style>
  <w:style w:type="paragraph" w:styleId="NormalIndent">
    <w:name w:val="Normal Indent"/>
    <w:basedOn w:val="Normal"/>
    <w:rsid w:val="00CD6A69"/>
    <w:pPr>
      <w:ind w:left="900" w:hanging="900"/>
    </w:pPr>
  </w:style>
  <w:style w:type="paragraph" w:styleId="TOC1">
    <w:name w:val="toc 1"/>
    <w:basedOn w:val="Normal"/>
    <w:next w:val="Normal"/>
    <w:uiPriority w:val="39"/>
    <w:rsid w:val="00844BA4"/>
    <w:pPr>
      <w:tabs>
        <w:tab w:val="right" w:pos="9360"/>
      </w:tabs>
      <w:spacing w:before="240" w:after="60"/>
      <w:ind w:right="720"/>
    </w:pPr>
    <w:rPr>
      <w:rFonts w:ascii="Arial" w:hAnsi="Arial"/>
      <w:sz w:val="24"/>
    </w:rPr>
  </w:style>
  <w:style w:type="paragraph" w:styleId="TOC2">
    <w:name w:val="toc 2"/>
    <w:basedOn w:val="Normal"/>
    <w:next w:val="Normal"/>
    <w:uiPriority w:val="39"/>
    <w:rsid w:val="00CD6A69"/>
    <w:pPr>
      <w:tabs>
        <w:tab w:val="right" w:pos="9360"/>
      </w:tabs>
      <w:ind w:left="432" w:right="720"/>
    </w:pPr>
  </w:style>
  <w:style w:type="paragraph" w:styleId="TOC3">
    <w:name w:val="toc 3"/>
    <w:basedOn w:val="Normal"/>
    <w:next w:val="Normal"/>
    <w:uiPriority w:val="39"/>
    <w:rsid w:val="00CD6A69"/>
    <w:pPr>
      <w:tabs>
        <w:tab w:val="left" w:pos="1440"/>
        <w:tab w:val="right" w:pos="9360"/>
      </w:tabs>
      <w:ind w:left="864"/>
    </w:pPr>
  </w:style>
  <w:style w:type="paragraph" w:styleId="Header">
    <w:name w:val="header"/>
    <w:basedOn w:val="Normal"/>
    <w:rsid w:val="00CD6A69"/>
    <w:pPr>
      <w:tabs>
        <w:tab w:val="center" w:pos="4320"/>
        <w:tab w:val="right" w:pos="8640"/>
      </w:tabs>
    </w:pPr>
  </w:style>
  <w:style w:type="paragraph" w:styleId="Footer">
    <w:name w:val="footer"/>
    <w:basedOn w:val="Normal"/>
    <w:rsid w:val="00CD6A69"/>
    <w:pPr>
      <w:tabs>
        <w:tab w:val="center" w:pos="4320"/>
        <w:tab w:val="right" w:pos="8640"/>
      </w:tabs>
    </w:pPr>
  </w:style>
  <w:style w:type="character" w:styleId="PageNumber">
    <w:name w:val="page number"/>
    <w:basedOn w:val="DefaultParagraphFont"/>
    <w:rsid w:val="00CD6A69"/>
  </w:style>
  <w:style w:type="paragraph" w:customStyle="1" w:styleId="Bullet1">
    <w:name w:val="Bullet1"/>
    <w:basedOn w:val="Normal"/>
    <w:rsid w:val="00CD6A69"/>
    <w:pPr>
      <w:ind w:left="720" w:hanging="432"/>
    </w:pPr>
  </w:style>
  <w:style w:type="paragraph" w:customStyle="1" w:styleId="Bullet2">
    <w:name w:val="Bullet2"/>
    <w:basedOn w:val="Normal"/>
    <w:rsid w:val="00CD6A69"/>
    <w:pPr>
      <w:ind w:left="1440" w:hanging="360"/>
    </w:pPr>
    <w:rPr>
      <w:color w:val="000080"/>
    </w:rPr>
  </w:style>
  <w:style w:type="paragraph" w:customStyle="1" w:styleId="Tabletext">
    <w:name w:val="Tabletext"/>
    <w:basedOn w:val="Normal"/>
    <w:rsid w:val="00CD6A69"/>
    <w:pPr>
      <w:keepLines/>
      <w:spacing w:after="120"/>
    </w:pPr>
  </w:style>
  <w:style w:type="paragraph" w:styleId="BodyText">
    <w:name w:val="Body Text"/>
    <w:basedOn w:val="Normal"/>
    <w:link w:val="BodyTextChar"/>
    <w:rsid w:val="00CD6A69"/>
    <w:pPr>
      <w:keepLines/>
      <w:spacing w:after="120"/>
      <w:ind w:left="720"/>
    </w:pPr>
  </w:style>
  <w:style w:type="paragraph" w:styleId="DocumentMap">
    <w:name w:val="Document Map"/>
    <w:basedOn w:val="Normal"/>
    <w:semiHidden/>
    <w:rsid w:val="00CD6A69"/>
    <w:pPr>
      <w:shd w:val="clear" w:color="auto" w:fill="000080"/>
    </w:pPr>
    <w:rPr>
      <w:rFonts w:ascii="Tahoma" w:hAnsi="Tahoma"/>
    </w:rPr>
  </w:style>
  <w:style w:type="character" w:styleId="FootnoteReference">
    <w:name w:val="footnote reference"/>
    <w:basedOn w:val="DefaultParagraphFont"/>
    <w:semiHidden/>
    <w:rsid w:val="00CD6A69"/>
    <w:rPr>
      <w:sz w:val="20"/>
      <w:vertAlign w:val="superscript"/>
    </w:rPr>
  </w:style>
  <w:style w:type="paragraph" w:styleId="FootnoteText">
    <w:name w:val="footnote text"/>
    <w:basedOn w:val="Normal"/>
    <w:semiHidden/>
    <w:rsid w:val="00CD6A69"/>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
    <w:rsid w:val="00CD6A69"/>
    <w:pPr>
      <w:spacing w:before="480" w:after="60" w:line="240" w:lineRule="auto"/>
      <w:jc w:val="center"/>
    </w:pPr>
    <w:rPr>
      <w:rFonts w:ascii="Arial" w:hAnsi="Arial"/>
      <w:b/>
      <w:kern w:val="28"/>
      <w:sz w:val="32"/>
    </w:rPr>
  </w:style>
  <w:style w:type="paragraph" w:customStyle="1" w:styleId="Paragraph1">
    <w:name w:val="Paragraph1"/>
    <w:basedOn w:val="Normal"/>
    <w:rsid w:val="00CD6A69"/>
    <w:pPr>
      <w:spacing w:before="80" w:line="240" w:lineRule="auto"/>
      <w:jc w:val="both"/>
    </w:pPr>
  </w:style>
  <w:style w:type="paragraph" w:customStyle="1" w:styleId="Paragraph3">
    <w:name w:val="Paragraph3"/>
    <w:basedOn w:val="Normal"/>
    <w:rsid w:val="00CD6A69"/>
    <w:pPr>
      <w:spacing w:before="80" w:line="240" w:lineRule="auto"/>
      <w:ind w:left="1530"/>
      <w:jc w:val="both"/>
    </w:pPr>
  </w:style>
  <w:style w:type="paragraph" w:customStyle="1" w:styleId="Paragraph4">
    <w:name w:val="Paragraph4"/>
    <w:basedOn w:val="Normal"/>
    <w:rsid w:val="00CD6A69"/>
    <w:pPr>
      <w:spacing w:before="80" w:line="240" w:lineRule="auto"/>
      <w:ind w:left="2250"/>
      <w:jc w:val="both"/>
    </w:pPr>
  </w:style>
  <w:style w:type="paragraph" w:styleId="TOC4">
    <w:name w:val="toc 4"/>
    <w:basedOn w:val="Normal"/>
    <w:next w:val="Normal"/>
    <w:autoRedefine/>
    <w:semiHidden/>
    <w:rsid w:val="00CD6A69"/>
    <w:pPr>
      <w:ind w:left="600"/>
    </w:pPr>
  </w:style>
  <w:style w:type="paragraph" w:styleId="TOC5">
    <w:name w:val="toc 5"/>
    <w:basedOn w:val="Normal"/>
    <w:next w:val="Normal"/>
    <w:autoRedefine/>
    <w:semiHidden/>
    <w:rsid w:val="00CD6A69"/>
    <w:pPr>
      <w:ind w:left="800"/>
    </w:pPr>
  </w:style>
  <w:style w:type="paragraph" w:styleId="TOC6">
    <w:name w:val="toc 6"/>
    <w:basedOn w:val="Normal"/>
    <w:next w:val="Normal"/>
    <w:autoRedefine/>
    <w:semiHidden/>
    <w:rsid w:val="00CD6A69"/>
    <w:pPr>
      <w:ind w:left="1000"/>
    </w:pPr>
  </w:style>
  <w:style w:type="paragraph" w:styleId="TOC7">
    <w:name w:val="toc 7"/>
    <w:basedOn w:val="Normal"/>
    <w:next w:val="Normal"/>
    <w:autoRedefine/>
    <w:semiHidden/>
    <w:rsid w:val="00CD6A69"/>
    <w:pPr>
      <w:ind w:left="1200"/>
    </w:pPr>
  </w:style>
  <w:style w:type="paragraph" w:styleId="TOC8">
    <w:name w:val="toc 8"/>
    <w:basedOn w:val="Normal"/>
    <w:next w:val="Normal"/>
    <w:autoRedefine/>
    <w:semiHidden/>
    <w:rsid w:val="00CD6A69"/>
    <w:pPr>
      <w:ind w:left="1400"/>
    </w:pPr>
  </w:style>
  <w:style w:type="paragraph" w:styleId="TOC9">
    <w:name w:val="toc 9"/>
    <w:basedOn w:val="Normal"/>
    <w:next w:val="Normal"/>
    <w:autoRedefine/>
    <w:semiHidden/>
    <w:rsid w:val="00CD6A69"/>
    <w:pPr>
      <w:ind w:left="1600"/>
    </w:pPr>
  </w:style>
  <w:style w:type="paragraph" w:styleId="BodyText2">
    <w:name w:val="Body Text 2"/>
    <w:basedOn w:val="Normal"/>
    <w:rsid w:val="00CD6A69"/>
    <w:rPr>
      <w:i/>
      <w:color w:val="0000FF"/>
    </w:rPr>
  </w:style>
  <w:style w:type="paragraph" w:styleId="BodyTextIndent">
    <w:name w:val="Body Text Indent"/>
    <w:basedOn w:val="Normal"/>
    <w:rsid w:val="00CD6A69"/>
    <w:pPr>
      <w:ind w:left="720"/>
    </w:pPr>
    <w:rPr>
      <w:i/>
      <w:color w:val="0000FF"/>
      <w:u w:val="single"/>
    </w:rPr>
  </w:style>
  <w:style w:type="paragraph" w:customStyle="1" w:styleId="Body">
    <w:name w:val="Body"/>
    <w:basedOn w:val="Normal"/>
    <w:rsid w:val="00CD6A69"/>
    <w:pPr>
      <w:widowControl/>
      <w:spacing w:before="120" w:line="240" w:lineRule="auto"/>
      <w:jc w:val="both"/>
    </w:pPr>
    <w:rPr>
      <w:rFonts w:ascii="Book Antiqua" w:hAnsi="Book Antiqua"/>
    </w:rPr>
  </w:style>
  <w:style w:type="paragraph" w:customStyle="1" w:styleId="Bullet">
    <w:name w:val="Bullet"/>
    <w:basedOn w:val="Normal"/>
    <w:rsid w:val="00CD6A69"/>
    <w:pPr>
      <w:widowControl/>
      <w:tabs>
        <w:tab w:val="left" w:pos="720"/>
      </w:tabs>
      <w:spacing w:before="120" w:line="240" w:lineRule="auto"/>
      <w:ind w:left="720" w:right="360" w:hanging="720"/>
      <w:jc w:val="both"/>
    </w:pPr>
    <w:rPr>
      <w:rFonts w:ascii="Book Antiqua" w:hAnsi="Book Antiqua"/>
    </w:rPr>
  </w:style>
  <w:style w:type="paragraph" w:customStyle="1" w:styleId="InfoBlue">
    <w:name w:val="InfoBlue"/>
    <w:basedOn w:val="Normal"/>
    <w:next w:val="BodyText"/>
    <w:autoRedefine/>
    <w:rsid w:val="008C4506"/>
    <w:pPr>
      <w:spacing w:after="120"/>
      <w:ind w:left="720"/>
    </w:pPr>
    <w:rPr>
      <w:color w:val="0000FF"/>
      <w:lang w:val="en-GB"/>
    </w:rPr>
  </w:style>
  <w:style w:type="character" w:styleId="Hyperlink">
    <w:name w:val="Hyperlink"/>
    <w:basedOn w:val="DefaultParagraphFont"/>
    <w:rsid w:val="00CD6A69"/>
    <w:rPr>
      <w:color w:val="0000FF"/>
      <w:u w:val="single"/>
    </w:rPr>
  </w:style>
  <w:style w:type="character" w:styleId="Strong">
    <w:name w:val="Strong"/>
    <w:basedOn w:val="DefaultParagraphFont"/>
    <w:qFormat/>
    <w:rsid w:val="00CD6A69"/>
    <w:rPr>
      <w:b/>
    </w:rPr>
  </w:style>
  <w:style w:type="character" w:styleId="FollowedHyperlink">
    <w:name w:val="FollowedHyperlink"/>
    <w:basedOn w:val="DefaultParagraphFont"/>
    <w:rsid w:val="00CD6A69"/>
    <w:rPr>
      <w:color w:val="800080"/>
      <w:u w:val="single"/>
    </w:rPr>
  </w:style>
  <w:style w:type="paragraph" w:styleId="BalloonText">
    <w:name w:val="Balloon Text"/>
    <w:basedOn w:val="Normal"/>
    <w:link w:val="BalloonTextChar"/>
    <w:rsid w:val="00991ED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91ED7"/>
    <w:rPr>
      <w:rFonts w:ascii="Tahoma" w:hAnsi="Tahoma" w:cs="Tahoma"/>
      <w:sz w:val="16"/>
      <w:szCs w:val="16"/>
      <w:lang w:val="en-US" w:eastAsia="en-US"/>
    </w:rPr>
  </w:style>
  <w:style w:type="paragraph" w:styleId="NormalWeb">
    <w:name w:val="Normal (Web)"/>
    <w:basedOn w:val="Normal"/>
    <w:uiPriority w:val="99"/>
    <w:unhideWhenUsed/>
    <w:rsid w:val="00057D89"/>
    <w:pPr>
      <w:widowControl/>
      <w:spacing w:before="100" w:beforeAutospacing="1" w:after="100" w:afterAutospacing="1" w:line="240" w:lineRule="auto"/>
    </w:pPr>
    <w:rPr>
      <w:sz w:val="24"/>
      <w:szCs w:val="24"/>
      <w:lang w:val="nb-NO" w:eastAsia="nb-NO"/>
    </w:rPr>
  </w:style>
  <w:style w:type="character" w:styleId="Emphasis">
    <w:name w:val="Emphasis"/>
    <w:basedOn w:val="DefaultParagraphFont"/>
    <w:uiPriority w:val="20"/>
    <w:qFormat/>
    <w:rsid w:val="00057D89"/>
    <w:rPr>
      <w:i/>
      <w:iCs/>
    </w:rPr>
  </w:style>
  <w:style w:type="paragraph" w:styleId="ListParagraph">
    <w:name w:val="List Paragraph"/>
    <w:basedOn w:val="Normal"/>
    <w:uiPriority w:val="34"/>
    <w:qFormat/>
    <w:rsid w:val="00046028"/>
    <w:pPr>
      <w:ind w:left="720"/>
      <w:contextualSpacing/>
    </w:pPr>
  </w:style>
  <w:style w:type="table" w:styleId="TableGrid">
    <w:name w:val="Table Grid"/>
    <w:basedOn w:val="TableNormal"/>
    <w:uiPriority w:val="59"/>
    <w:rsid w:val="000460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1F7224"/>
    <w:rPr>
      <w:lang w:val="en-US" w:eastAsia="en-US"/>
    </w:rPr>
  </w:style>
  <w:style w:type="paragraph" w:styleId="Caption">
    <w:name w:val="caption"/>
    <w:basedOn w:val="Normal"/>
    <w:next w:val="Normal"/>
    <w:unhideWhenUsed/>
    <w:qFormat/>
    <w:rsid w:val="00B37926"/>
    <w:pPr>
      <w:spacing w:after="200" w:line="240" w:lineRule="auto"/>
    </w:pPr>
    <w:rPr>
      <w:b/>
      <w:bCs/>
      <w:color w:val="4F81BD" w:themeColor="accent1"/>
      <w:sz w:val="18"/>
      <w:szCs w:val="18"/>
    </w:rPr>
  </w:style>
  <w:style w:type="paragraph" w:styleId="PlainText">
    <w:name w:val="Plain Text"/>
    <w:basedOn w:val="Normal"/>
    <w:link w:val="PlainTextChar"/>
    <w:uiPriority w:val="99"/>
    <w:unhideWhenUsed/>
    <w:rsid w:val="00163229"/>
    <w:pPr>
      <w:widowControl/>
      <w:spacing w:line="240" w:lineRule="auto"/>
    </w:pPr>
    <w:rPr>
      <w:rFonts w:ascii="Consolas" w:eastAsiaTheme="minorHAnsi" w:hAnsi="Consolas" w:cstheme="minorBidi"/>
      <w:sz w:val="21"/>
      <w:szCs w:val="21"/>
      <w:lang w:val="nb-NO"/>
    </w:rPr>
  </w:style>
  <w:style w:type="character" w:customStyle="1" w:styleId="PlainTextChar">
    <w:name w:val="Plain Text Char"/>
    <w:basedOn w:val="DefaultParagraphFont"/>
    <w:link w:val="PlainText"/>
    <w:uiPriority w:val="99"/>
    <w:rsid w:val="00163229"/>
    <w:rPr>
      <w:rFonts w:ascii="Consolas" w:eastAsiaTheme="minorHAnsi" w:hAnsi="Consolas" w:cstheme="minorBidi"/>
      <w:sz w:val="21"/>
      <w:szCs w:val="21"/>
      <w:lang w:eastAsia="en-US"/>
    </w:rPr>
  </w:style>
  <w:style w:type="paragraph" w:styleId="Index1">
    <w:name w:val="index 1"/>
    <w:basedOn w:val="Normal"/>
    <w:next w:val="Normal"/>
    <w:autoRedefine/>
    <w:rsid w:val="004E71ED"/>
    <w:pPr>
      <w:widowControl/>
      <w:spacing w:line="240" w:lineRule="auto"/>
      <w:ind w:left="200" w:hanging="200"/>
    </w:pPr>
  </w:style>
  <w:style w:type="character" w:styleId="CommentReference">
    <w:name w:val="annotation reference"/>
    <w:basedOn w:val="DefaultParagraphFont"/>
    <w:rsid w:val="00D638BB"/>
    <w:rPr>
      <w:sz w:val="16"/>
      <w:szCs w:val="16"/>
    </w:rPr>
  </w:style>
  <w:style w:type="paragraph" w:styleId="CommentText">
    <w:name w:val="annotation text"/>
    <w:basedOn w:val="Normal"/>
    <w:link w:val="CommentTextChar"/>
    <w:rsid w:val="00D638BB"/>
    <w:pPr>
      <w:spacing w:line="240" w:lineRule="auto"/>
    </w:pPr>
  </w:style>
  <w:style w:type="character" w:customStyle="1" w:styleId="CommentTextChar">
    <w:name w:val="Comment Text Char"/>
    <w:basedOn w:val="DefaultParagraphFont"/>
    <w:link w:val="CommentText"/>
    <w:rsid w:val="00D638BB"/>
    <w:rPr>
      <w:lang w:val="en-US" w:eastAsia="en-US"/>
    </w:rPr>
  </w:style>
  <w:style w:type="paragraph" w:styleId="CommentSubject">
    <w:name w:val="annotation subject"/>
    <w:basedOn w:val="CommentText"/>
    <w:next w:val="CommentText"/>
    <w:link w:val="CommentSubjectChar"/>
    <w:rsid w:val="00D638BB"/>
    <w:rPr>
      <w:b/>
      <w:bCs/>
    </w:rPr>
  </w:style>
  <w:style w:type="character" w:customStyle="1" w:styleId="CommentSubjectChar">
    <w:name w:val="Comment Subject Char"/>
    <w:basedOn w:val="CommentTextChar"/>
    <w:link w:val="CommentSubject"/>
    <w:rsid w:val="00D638BB"/>
    <w:rPr>
      <w:b/>
      <w:bCs/>
    </w:rPr>
  </w:style>
</w:styles>
</file>

<file path=word/webSettings.xml><?xml version="1.0" encoding="utf-8"?>
<w:webSettings xmlns:r="http://schemas.openxmlformats.org/officeDocument/2006/relationships" xmlns:w="http://schemas.openxmlformats.org/wordprocessingml/2006/main">
  <w:divs>
    <w:div w:id="207844002">
      <w:bodyDiv w:val="1"/>
      <w:marLeft w:val="0"/>
      <w:marRight w:val="0"/>
      <w:marTop w:val="0"/>
      <w:marBottom w:val="0"/>
      <w:divBdr>
        <w:top w:val="none" w:sz="0" w:space="0" w:color="auto"/>
        <w:left w:val="none" w:sz="0" w:space="0" w:color="auto"/>
        <w:bottom w:val="none" w:sz="0" w:space="0" w:color="auto"/>
        <w:right w:val="none" w:sz="0" w:space="0" w:color="auto"/>
      </w:divBdr>
    </w:div>
    <w:div w:id="260334473">
      <w:bodyDiv w:val="1"/>
      <w:marLeft w:val="0"/>
      <w:marRight w:val="0"/>
      <w:marTop w:val="0"/>
      <w:marBottom w:val="0"/>
      <w:divBdr>
        <w:top w:val="none" w:sz="0" w:space="0" w:color="auto"/>
        <w:left w:val="none" w:sz="0" w:space="0" w:color="auto"/>
        <w:bottom w:val="none" w:sz="0" w:space="0" w:color="auto"/>
        <w:right w:val="none" w:sz="0" w:space="0" w:color="auto"/>
      </w:divBdr>
    </w:div>
    <w:div w:id="615138244">
      <w:bodyDiv w:val="1"/>
      <w:marLeft w:val="0"/>
      <w:marRight w:val="0"/>
      <w:marTop w:val="0"/>
      <w:marBottom w:val="0"/>
      <w:divBdr>
        <w:top w:val="none" w:sz="0" w:space="0" w:color="auto"/>
        <w:left w:val="none" w:sz="0" w:space="0" w:color="auto"/>
        <w:bottom w:val="none" w:sz="0" w:space="0" w:color="auto"/>
        <w:right w:val="none" w:sz="0" w:space="0" w:color="auto"/>
      </w:divBdr>
    </w:div>
    <w:div w:id="1817843404">
      <w:bodyDiv w:val="1"/>
      <w:marLeft w:val="603"/>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Gruppering xmlns="fb76f145-0a91-481e-aaa9-fc3564434192" xsi:nil="true"/>
    <QA_x0020_Type xmlns="27828e4a-0687-4b6d-9c28-b951f23d9211">5</QA_x0020_Type>
    <QA_x0020_Description xmlns="27828e4a-0687-4b6d-9c28-b951f23d9211" xsi:nil="true"/>
    <QA_x0020_Reference xmlns="27828e4a-0687-4b6d-9c28-b951f23d9211">
      <Value xmlns="27828e4a-0687-4b6d-9c28-b951f23d9211">8</Value>
    </QA_x0020_Reference>
    <QA_x0020_Owner xmlns="27828e4a-0687-4b6d-9c28-b951f23d9211">
      <UserInfo xmlns="27828e4a-0687-4b6d-9c28-b951f23d9211">
        <DisplayName xmlns="27828e4a-0687-4b6d-9c28-b951f23d9211"/>
        <AccountId xmlns="27828e4a-0687-4b6d-9c28-b951f23d9211">20</AccountId>
        <AccountType xmlns="27828e4a-0687-4b6d-9c28-b951f23d9211"/>
      </UserInfo>
    </QA_x0020_Owner>
    <QA_x0020_Scope xmlns="27828e4a-0687-4b6d-9c28-b951f23d9211">
      <Value xmlns="27828e4a-0687-4b6d-9c28-b951f23d9211">1</Value>
      <Value xmlns="27828e4a-0687-4b6d-9c28-b951f23d9211">2</Value>
    </QA_x0020_Scope>
    <QA_x0020_Forvalter xmlns="27828e4a-0687-4b6d-9c28-b951f23d9211">
      <UserInfo xmlns="27828e4a-0687-4b6d-9c28-b951f23d9211">
        <DisplayName xmlns="27828e4a-0687-4b6d-9c28-b951f23d9211"/>
        <AccountId xmlns="27828e4a-0687-4b6d-9c28-b951f23d9211">21</AccountId>
        <AccountType xmlns="27828e4a-0687-4b6d-9c28-b951f23d9211"/>
      </UserInfo>
    </QA_x0020_Forvalter>
    <QA_x0020_Valid_x0020_from xmlns="27828e4a-0687-4b6d-9c28-b951f23d9211"/>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82B9AFC57F7147A760783FA6CAF4E8" ma:contentTypeVersion="21" ma:contentTypeDescription="Create a new document." ma:contentTypeScope="" ma:versionID="f95487ba9c1cccf3ce54889f95002e10">
  <xsd:schema xmlns:xsd="http://www.w3.org/2001/XMLSchema" xmlns:p="http://schemas.microsoft.com/office/2006/metadata/properties" xmlns:ns1="27828e4a-0687-4b6d-9c28-b951f23d9211" xmlns:ns3="fb76f145-0a91-481e-aaa9-fc3564434192" targetNamespace="http://schemas.microsoft.com/office/2006/metadata/properties" ma:root="true" ma:fieldsID="468d0599490063472a7090dfba3f66d5" ns1:_="" ns3:_="">
    <xsd:import namespace="27828e4a-0687-4b6d-9c28-b951f23d9211"/>
    <xsd:import namespace="fb76f145-0a91-481e-aaa9-fc3564434192"/>
    <xsd:element name="properties">
      <xsd:complexType>
        <xsd:sequence>
          <xsd:element name="documentManagement">
            <xsd:complexType>
              <xsd:all>
                <xsd:element ref="ns1:QA_x0020_Type"/>
                <xsd:element ref="ns1:QA_x0020_Description" minOccurs="0"/>
                <xsd:element ref="ns1:QA_x0020_Reference" minOccurs="0"/>
                <xsd:element ref="ns1:QA_x0020_Scope" minOccurs="0"/>
                <xsd:element ref="ns1:QA_x0020_Forvalter"/>
                <xsd:element ref="ns1:QA_x0020_Owner"/>
                <xsd:element ref="ns1:QA_x0020_Valid_x0020_from"/>
                <xsd:element ref="ns3:Gruppering" minOccurs="0"/>
              </xsd:all>
            </xsd:complexType>
          </xsd:element>
        </xsd:sequence>
      </xsd:complexType>
    </xsd:element>
  </xsd:schema>
  <xsd:schema xmlns:xsd="http://www.w3.org/2001/XMLSchema" xmlns:dms="http://schemas.microsoft.com/office/2006/documentManagement/types" targetNamespace="27828e4a-0687-4b6d-9c28-b951f23d9211" elementFormDefault="qualified">
    <xsd:import namespace="http://schemas.microsoft.com/office/2006/documentManagement/types"/>
    <xsd:element name="QA_x0020_Type" ma:index="0" ma:displayName="Innholdstype" ma:list="{8885da27-0f3e-42c3-80a5-198a5dd251dd}" ma:internalName="QA_x0020_Type" ma:readOnly="false" ma:showField="Title" ma:web="27828e4a-0687-4b6d-9c28-b951f23d9211">
      <xsd:simpleType>
        <xsd:restriction base="dms:Lookup"/>
      </xsd:simpleType>
    </xsd:element>
    <xsd:element name="QA_x0020_Description" ma:index="3" nillable="true" ma:displayName="Beskrivelse" ma:default="" ma:description="Beskriv hva dokumentet inneholder og hva det skal brukes til." ma:internalName="QA_x0020_Description">
      <xsd:simpleType>
        <xsd:restriction base="dms:Text">
          <xsd:maxLength value="255"/>
        </xsd:restriction>
      </xsd:simpleType>
    </xsd:element>
    <xsd:element name="QA_x0020_Reference" ma:index="4" nillable="true" ma:displayName="Referanse" ma:description="Koble dokumentet til en prosess eller kategori hvis det er relevant." ma:list="{14e8b65b-8e3e-480d-87b5-e462842ff2c2}" ma:internalName="QA_x0020_Reference" ma:readOnly="false" ma:showField="Title" ma:web="27828e4a-0687-4b6d-9c28-b951f23d9211">
      <xsd:complexType>
        <xsd:complexContent>
          <xsd:extension base="dms:MultiChoiceLookup">
            <xsd:sequence>
              <xsd:element name="Value" type="dms:Lookup" maxOccurs="unbounded" minOccurs="0" nillable="true"/>
            </xsd:sequence>
          </xsd:extension>
        </xsd:complexContent>
      </xsd:complexType>
    </xsd:element>
    <xsd:element name="QA_x0020_Scope" ma:index="5" nillable="true" ma:displayName="Omfang" ma:description="Velg hvilke enheter dokumentet / informasjonen er gyldig for." ma:list="{1ef35f90-8feb-47db-ad52-3bc10396319a}" ma:internalName="QA_x0020_Scope" ma:readOnly="false" ma:showField="Title" ma:web="27828e4a-0687-4b6d-9c28-b951f23d9211" ma:requiredMultiChoice="true">
      <xsd:complexType>
        <xsd:complexContent>
          <xsd:extension base="dms:MultiChoiceLookup">
            <xsd:sequence>
              <xsd:element name="Value" type="dms:Lookup" maxOccurs="unbounded" minOccurs="0" nillable="true"/>
            </xsd:sequence>
          </xsd:extension>
        </xsd:complexContent>
      </xsd:complexType>
    </xsd:element>
    <xsd:element name="QA_x0020_Forvalter" ma:index="6" ma:displayName="Forvalter" ma:description="Navn på ansvarlig for å forvalte dokumentet." ma:list="UserInfo" ma:internalName="QA_x0020_Forval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QA_x0020_Owner" ma:index="7" ma:displayName="Eier" ma:description="Navn på eieren av dette dokumentet." ma:list="UserInfo" ma:internalName="QA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QA_x0020_Valid_x0020_from" ma:index="8" ma:displayName="Gyldig fra" ma:default="[today]" ma:description="Dato når dokumentet blir gyldig." ma:format="DateOnly" ma:internalName="QA_x0020_Valid_x0020_from">
      <xsd:simpleType>
        <xsd:restriction base="dms:DateTime"/>
      </xsd:simpleType>
    </xsd:element>
  </xsd:schema>
  <xsd:schema xmlns:xsd="http://www.w3.org/2001/XMLSchema" xmlns:dms="http://schemas.microsoft.com/office/2006/documentManagement/types" targetNamespace="fb76f145-0a91-481e-aaa9-fc3564434192" elementFormDefault="qualified">
    <xsd:import namespace="http://schemas.microsoft.com/office/2006/documentManagement/types"/>
    <xsd:element name="Gruppering" ma:index="15" nillable="true" ma:displayName="Gruppering" ma:description="Tekstfelt til fri bruk for å feks. gruppere enkelte dokumenter sammen." ma:internalName="Grupperi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ma:readOnly="true"/>
        <xsd:element ref="dc:title" minOccurs="0" maxOccurs="1" ma:index="2"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7EDEB-FF5A-470E-A5AB-8332F951BC28}">
  <ds:schemaRefs>
    <ds:schemaRef ds:uri="http://schemas.microsoft.com/office/2006/metadata/longProperties"/>
  </ds:schemaRefs>
</ds:datastoreItem>
</file>

<file path=customXml/itemProps2.xml><?xml version="1.0" encoding="utf-8"?>
<ds:datastoreItem xmlns:ds="http://schemas.openxmlformats.org/officeDocument/2006/customXml" ds:itemID="{D836DD67-A4EA-49C8-B8B7-B4529CDF258D}">
  <ds:schemaRefs>
    <ds:schemaRef ds:uri="http://schemas.microsoft.com/sharepoint/v3/contenttype/forms"/>
  </ds:schemaRefs>
</ds:datastoreItem>
</file>

<file path=customXml/itemProps3.xml><?xml version="1.0" encoding="utf-8"?>
<ds:datastoreItem xmlns:ds="http://schemas.openxmlformats.org/officeDocument/2006/customXml" ds:itemID="{B5F01AC3-0D99-4CB1-A351-C65EAE7C9A5B}">
  <ds:schemaRefs>
    <ds:schemaRef ds:uri="http://schemas.microsoft.com/office/2006/metadata/properties"/>
    <ds:schemaRef ds:uri="fb76f145-0a91-481e-aaa9-fc3564434192"/>
    <ds:schemaRef ds:uri="27828e4a-0687-4b6d-9c28-b951f23d9211"/>
  </ds:schemaRefs>
</ds:datastoreItem>
</file>

<file path=customXml/itemProps4.xml><?xml version="1.0" encoding="utf-8"?>
<ds:datastoreItem xmlns:ds="http://schemas.openxmlformats.org/officeDocument/2006/customXml" ds:itemID="{D0E2F4EE-CB23-4FDF-8523-0B930E3F8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28e4a-0687-4b6d-9c28-b951f23d9211"/>
    <ds:schemaRef ds:uri="fb76f145-0a91-481e-aaa9-fc356443419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D75FE6B-69C2-4DD6-AB85-6B9C1DDFC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3267</Words>
  <Characters>17317</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
    </vt:vector>
  </TitlesOfParts>
  <Company>ErgoGroup</Company>
  <LinksUpToDate>false</LinksUpToDate>
  <CharactersWithSpaces>20543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E-vote 2011</dc:subject>
  <dc:creator>Markus Harboe</dc:creator>
  <cp:lastModifiedBy>Svein Winje</cp:lastModifiedBy>
  <cp:revision>8</cp:revision>
  <cp:lastPrinted>1601-01-01T00:00:00Z</cp:lastPrinted>
  <dcterms:created xsi:type="dcterms:W3CDTF">2011-03-09T17:27:00Z</dcterms:created>
  <dcterms:modified xsi:type="dcterms:W3CDTF">2011-06-03T12:21:00Z</dcterms:modified>
</cp:coreProperties>
</file>