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E6A54" w:rsidP="00FE6A54">
      <w:pPr>
        <w:pStyle w:val="i-dep"/>
      </w:pPr>
      <w:r>
        <w:t>Olje- og energidepartementet</w:t>
      </w:r>
    </w:p>
    <w:p w:rsidR="00000000" w:rsidRPr="00FE6A54" w:rsidRDefault="00667627" w:rsidP="00FE6A54">
      <w:pPr>
        <w:pStyle w:val="i-budkap-over"/>
        <w:rPr>
          <w:rFonts w:ascii="Times New Roman" w:hAnsi="Times New Roman" w:cs="Times New Roman"/>
          <w:bCs/>
          <w:szCs w:val="24"/>
        </w:rPr>
      </w:pPr>
      <w:r>
        <w:t>Kap. 1800, 1810, 1820, 1840, 2440, 2490, 4810, 4820, 5440, 5582 og 5685</w:t>
      </w:r>
    </w:p>
    <w:p w:rsidR="00000000" w:rsidRDefault="00667627" w:rsidP="00FE6A54">
      <w:pPr>
        <w:pStyle w:val="i-hode"/>
      </w:pPr>
      <w:r>
        <w:t>Prop. 26 S</w:t>
      </w:r>
    </w:p>
    <w:p w:rsidR="00000000" w:rsidRDefault="00667627" w:rsidP="00FE6A54">
      <w:pPr>
        <w:pStyle w:val="i-sesjon"/>
      </w:pPr>
      <w:r>
        <w:t>(2019–2020)</w:t>
      </w:r>
    </w:p>
    <w:p w:rsidR="00000000" w:rsidRDefault="00667627" w:rsidP="00FE6A54">
      <w:pPr>
        <w:pStyle w:val="i-hode-tit"/>
      </w:pPr>
      <w:r>
        <w:t>Proposisjon til Stortinget (forslag til stortingsvedtak)</w:t>
      </w:r>
    </w:p>
    <w:p w:rsidR="00000000" w:rsidRDefault="00667627" w:rsidP="00FE6A54">
      <w:pPr>
        <w:pStyle w:val="i-tit"/>
      </w:pPr>
      <w:r>
        <w:t xml:space="preserve">Endringar i statsbudsjettet 2019 under </w:t>
      </w:r>
      <w:r>
        <w:br/>
        <w:t>Olje</w:t>
      </w:r>
      <w:r>
        <w:t>- og energidepartementet</w:t>
      </w:r>
    </w:p>
    <w:p w:rsidR="00000000" w:rsidRDefault="00667627" w:rsidP="00FE6A54">
      <w:pPr>
        <w:pStyle w:val="i-statsrdato"/>
      </w:pPr>
      <w:r>
        <w:t xml:space="preserve">Tilråding frå Olje- og energidepartementet 22. november 2019, </w:t>
      </w:r>
      <w:r>
        <w:br/>
        <w:t xml:space="preserve">godkjend i statsråd same dagen. </w:t>
      </w:r>
      <w:r>
        <w:br/>
        <w:t>(Regjeringa Solberg)</w:t>
      </w:r>
    </w:p>
    <w:p w:rsidR="00000000" w:rsidRDefault="00667627" w:rsidP="00FE6A54">
      <w:pPr>
        <w:pStyle w:val="Overskrift1"/>
      </w:pPr>
      <w:r>
        <w:t>Innleiing</w:t>
      </w:r>
    </w:p>
    <w:p w:rsidR="00000000" w:rsidRDefault="00667627" w:rsidP="00FE6A54">
      <w:r>
        <w:t>I</w:t>
      </w:r>
      <w:r>
        <w:t xml:space="preserve"> denne proposisjonen kjem Olje- og energidepartementet med framlegg til endringar i statsbudsjettet 2019 i samsvar med kapittel 2. I kapittel 3 gjer departementet greie for bruk av fullmakter under petroleumsverksemda. </w:t>
      </w:r>
    </w:p>
    <w:p w:rsidR="00000000" w:rsidRDefault="00667627" w:rsidP="00FE6A54">
      <w:pPr>
        <w:pStyle w:val="Overskrift1"/>
      </w:pPr>
      <w:r>
        <w:t>Endringar i statsbudsjettet 2019</w:t>
      </w:r>
    </w:p>
    <w:p w:rsidR="00000000" w:rsidRDefault="00667627" w:rsidP="00FE6A54">
      <w:pPr>
        <w:pStyle w:val="b-budkaptit"/>
      </w:pPr>
      <w:r>
        <w:t>Kap. 1800 Olje- og energidepartementet</w:t>
      </w:r>
    </w:p>
    <w:p w:rsidR="00000000" w:rsidRDefault="00667627" w:rsidP="00FE6A54">
      <w:pPr>
        <w:pStyle w:val="b-post"/>
      </w:pPr>
      <w:r>
        <w:t>Post 21 Spesielle driftsutgifter, kan overførast, kan nyttast under post 72</w:t>
      </w:r>
    </w:p>
    <w:p w:rsidR="00000000" w:rsidRDefault="00667627" w:rsidP="00FE6A54">
      <w:r>
        <w:t>Riksantikvaren disponerer midlar under posten til dekning av utgifter til kulturminneundersøkingar i regulerte vassdrag. Basert på vurdering</w:t>
      </w:r>
      <w:r>
        <w:t xml:space="preserve">ar av framdrifta i dei ulike undersøkingane som går føre seg, vil delar av pågåande arbeid og utbetalingsbehov bli forskyvd til 2020. </w:t>
      </w:r>
    </w:p>
    <w:p w:rsidR="00000000" w:rsidRDefault="00667627" w:rsidP="00FE6A54">
      <w:r>
        <w:t>Det er avsett midlar under posten til departementets oppfølging av arbeidet med å etablere eit fullskala demonstrasjonspr</w:t>
      </w:r>
      <w:r>
        <w:t>osjekt for fangst og lagring av CO</w:t>
      </w:r>
      <w:r>
        <w:rPr>
          <w:rStyle w:val="skrift-senket"/>
          <w:sz w:val="21"/>
          <w:szCs w:val="21"/>
        </w:rPr>
        <w:t>2</w:t>
      </w:r>
      <w:r>
        <w:t xml:space="preserve"> i Noreg, blant anna kvalitetssikring av underlaget for investeringsavgjerda om fullskalaprosjekt for CO</w:t>
      </w:r>
      <w:r>
        <w:rPr>
          <w:rStyle w:val="skrift-senket"/>
          <w:sz w:val="21"/>
          <w:szCs w:val="21"/>
        </w:rPr>
        <w:t>2</w:t>
      </w:r>
      <w:r>
        <w:t>-handtering i Noreg. Delar av arbeidet og utbetalingsbehovet blir forskyvd til 2020.</w:t>
      </w:r>
    </w:p>
    <w:p w:rsidR="00000000" w:rsidRDefault="00667627" w:rsidP="00FE6A54">
      <w:r>
        <w:t>Det er foreslått å redusere løy</w:t>
      </w:r>
      <w:r>
        <w:t xml:space="preserve">vinga med 10 mill. kroner, til 16,5 mill. kroner. </w:t>
      </w:r>
    </w:p>
    <w:p w:rsidR="00000000" w:rsidRDefault="00667627" w:rsidP="00FE6A54">
      <w:pPr>
        <w:pStyle w:val="b-post"/>
      </w:pPr>
      <w:r>
        <w:t>Post 70 Tilskot til internasjonale organisasjonar mv.</w:t>
      </w:r>
    </w:p>
    <w:p w:rsidR="00000000" w:rsidRDefault="00667627" w:rsidP="00FE6A54">
      <w:r>
        <w:t>Det er sett av 3,3 mill. kroner til Noregs økonomiske bidrag til ACER i 2019. Som følgje av at avgjerda om innlemming av den tredje energimarknadspakke</w:t>
      </w:r>
      <w:r>
        <w:t>n i EØS-avtala, under dette forordninga om ACER, trådde i kraft 1. november 2019, vil det ikkje vere utgifter til ACER i inneverande år.</w:t>
      </w:r>
    </w:p>
    <w:p w:rsidR="00000000" w:rsidRDefault="00667627" w:rsidP="00FE6A54">
      <w:r>
        <w:t>Det er foreslått å redusere løyvinga med 3,3 mill. kroner, til 3,7 mill. kroner.</w:t>
      </w:r>
    </w:p>
    <w:p w:rsidR="00000000" w:rsidRDefault="00667627" w:rsidP="00FE6A54">
      <w:pPr>
        <w:pStyle w:val="b-budkaptit"/>
      </w:pPr>
      <w:r>
        <w:lastRenderedPageBreak/>
        <w:t>Kap. 1810 Oljedirektoratet</w:t>
      </w:r>
    </w:p>
    <w:p w:rsidR="00000000" w:rsidRDefault="00667627" w:rsidP="00FE6A54">
      <w:pPr>
        <w:pStyle w:val="b-post"/>
      </w:pPr>
      <w:r>
        <w:t>Post 01 Dri</w:t>
      </w:r>
      <w:r>
        <w:t>ftsutgifter</w:t>
      </w:r>
    </w:p>
    <w:p w:rsidR="00000000" w:rsidRDefault="00667627" w:rsidP="00FE6A54">
      <w:r>
        <w:t>Oljedirektoratet har motteke fleire søknader enn venta i samband med konsesjonsrunden i førehandsdefinerte område, TFO 2019, noko som gir auka arbeidsmengd til behandling av søknader. Arbeidet med å behandle konsesjonssøknader er gebyrfinansier</w:t>
      </w:r>
      <w:r>
        <w:t>t. Vidare skuldast auken meir tilsynsaktivitet.</w:t>
      </w:r>
    </w:p>
    <w:p w:rsidR="00000000" w:rsidRDefault="00667627" w:rsidP="00FE6A54">
      <w:r>
        <w:t>Det er foreslått å auke løyvinga med 5,5 mill. kroner, til om lag 312,9 mill. kroner. Ein viser til tilsvarande inntektsauke under kap. 4810, post 01 Gebyrinntekter.</w:t>
      </w:r>
    </w:p>
    <w:p w:rsidR="00000000" w:rsidRDefault="00667627" w:rsidP="00FE6A54">
      <w:pPr>
        <w:pStyle w:val="b-post"/>
      </w:pPr>
      <w:r>
        <w:t>Post 23 Oppdrags- og samarbeidsverksemd, k</w:t>
      </w:r>
      <w:r>
        <w:t>an overførast</w:t>
      </w:r>
    </w:p>
    <w:p w:rsidR="00000000" w:rsidRDefault="00667627" w:rsidP="00FE6A54">
      <w:r>
        <w:t>Utgifter til Oljedirektoratets samarbeidsavtale med Direktoratet for utviklingssamarbeid (Norad) om rådgiving innanfor petroleumsforvaltning for utviklingsland (Olje for utvikling) er anslått å bli 25 mill. kroner lågare enn gjeldande løyving</w:t>
      </w:r>
      <w:r>
        <w:t>. Reduksjonen skuldast mindre aktivitet i enkelte prosjekt som følgje av forseinka signering av nye institusjonsavtaler. Reduksjonen er delvis motsvara av auka utgifter til Diskos-samarbeidet (6,5 mill. kroner) som skuldast auka aktivitet. Det er sett i ga</w:t>
      </w:r>
      <w:r>
        <w:t>ng fleire prosjekt og det har vorte meir konsulentbistand enn opphavleg budsjettert.</w:t>
      </w:r>
    </w:p>
    <w:p w:rsidR="00000000" w:rsidRDefault="00667627" w:rsidP="00FE6A54">
      <w:r>
        <w:t>På denne bakgrunnen er det foreslått å redusere løyvinga med 18,5 mill. kroner, til 100,5 mill. kroner. Ein viser til ti</w:t>
      </w:r>
      <w:r>
        <w:t>lsvarande inntektsreduksjon under kap. 4810, post 02 Oppdrags- og samarbeidsinntekter.</w:t>
      </w:r>
    </w:p>
    <w:p w:rsidR="00000000" w:rsidRDefault="00667627" w:rsidP="00FE6A54">
      <w:pPr>
        <w:pStyle w:val="b-budkaptit"/>
      </w:pPr>
      <w:r>
        <w:t xml:space="preserve">Kap. 1820 Noregs vassdrags- og energidirektorat </w:t>
      </w:r>
    </w:p>
    <w:p w:rsidR="00000000" w:rsidRDefault="00667627" w:rsidP="00FE6A54">
      <w:pPr>
        <w:pStyle w:val="b-post"/>
      </w:pPr>
      <w:r>
        <w:t>Post 01 Driftsutgifter</w:t>
      </w:r>
    </w:p>
    <w:p w:rsidR="00000000" w:rsidRDefault="00667627" w:rsidP="00FE6A54">
      <w:r>
        <w:t>Det er foreslått å redusere løyvinga med 2 mill. kroner, til om lag 571,4 mill. kroner. Ein viser</w:t>
      </w:r>
      <w:r>
        <w:t xml:space="preserve"> til omtale og tilsvarande utgiftsauke under kap. 2490, post 45 Større utstyrsanskaffingar og vedlikehald.</w:t>
      </w:r>
    </w:p>
    <w:p w:rsidR="00000000" w:rsidRDefault="00667627" w:rsidP="00FE6A54">
      <w:pPr>
        <w:pStyle w:val="b-post"/>
      </w:pPr>
      <w:r>
        <w:t>Post 23 Oppdrags- og samarbeidsverksemd, kan overførast</w:t>
      </w:r>
    </w:p>
    <w:p w:rsidR="00000000" w:rsidRDefault="00667627" w:rsidP="00FE6A54">
      <w:r>
        <w:t>Utgifter til internasjonale rådgivingsoppdrag og bistand innanfor vassdrags- og energisektore</w:t>
      </w:r>
      <w:r>
        <w:t xml:space="preserve">n, er anslått å bli 17 mill. kroner lågare enn gjeldande løyving. Reduksjonen har samanheng med mindre aktivitet og forseinkingar i ulike program. </w:t>
      </w:r>
    </w:p>
    <w:p w:rsidR="00000000" w:rsidRDefault="00667627" w:rsidP="00FE6A54">
      <w:r>
        <w:t>På denne bakgrunnen er det foreslått å redusere løyvinga med 17 mill. kroner, til 72 mill. kroner. Ein viser</w:t>
      </w:r>
      <w:r>
        <w:t xml:space="preserve"> til tilsvarande inntektsreduksjon under kap. 4820, post 02 Oppdrags- og samarbeidsinntekter.</w:t>
      </w:r>
    </w:p>
    <w:p w:rsidR="00000000" w:rsidRDefault="00667627" w:rsidP="00FE6A54">
      <w:pPr>
        <w:pStyle w:val="b-budkaptit"/>
      </w:pPr>
      <w:r>
        <w:t>Kap. 1840 CO</w:t>
      </w:r>
      <w:r>
        <w:rPr>
          <w:rStyle w:val="skrift-senket"/>
          <w:sz w:val="21"/>
          <w:szCs w:val="21"/>
        </w:rPr>
        <w:t>2</w:t>
      </w:r>
      <w:r>
        <w:t xml:space="preserve">-handtering </w:t>
      </w:r>
    </w:p>
    <w:p w:rsidR="00000000" w:rsidRDefault="00667627" w:rsidP="00FE6A54">
      <w:pPr>
        <w:pStyle w:val="b-post"/>
      </w:pPr>
      <w:r>
        <w:t>Post 72 Fullskala CO</w:t>
      </w:r>
      <w:r>
        <w:rPr>
          <w:rStyle w:val="skrift-senket"/>
          <w:sz w:val="21"/>
          <w:szCs w:val="21"/>
        </w:rPr>
        <w:t>2</w:t>
      </w:r>
      <w:r>
        <w:t>-handtering, kan overførast, kan nyttast under post 70</w:t>
      </w:r>
    </w:p>
    <w:p w:rsidR="00000000" w:rsidRDefault="00667627" w:rsidP="00FE6A54">
      <w:r>
        <w:t>Ved Stortingets vedtak 21. juni 2019 vart det gitt ei tilleg</w:t>
      </w:r>
      <w:r>
        <w:t>gsløyving på 150 mill. kroner og ei tilsegnsfullmakt på 195 mill. kroner til delfinansiering (75 prosent) av utgiftene til ein undersøkingsbrønn for CO</w:t>
      </w:r>
      <w:r>
        <w:rPr>
          <w:rStyle w:val="skrift-senket"/>
          <w:sz w:val="21"/>
          <w:szCs w:val="21"/>
        </w:rPr>
        <w:t>2</w:t>
      </w:r>
      <w:r>
        <w:t>-lagring. Brønnen inngår i arbeidet med forprosjektering av fullskalaprosjektet for CO</w:t>
      </w:r>
      <w:r>
        <w:rPr>
          <w:rStyle w:val="skrift-senket"/>
          <w:sz w:val="21"/>
          <w:szCs w:val="21"/>
        </w:rPr>
        <w:t>2</w:t>
      </w:r>
      <w:r>
        <w:t>-handtering. Unde</w:t>
      </w:r>
      <w:r>
        <w:t>rsøkingsbrønnen vil redusere uvissa i prosjektet. Statens utgifter til undersøkingsbrønn inklusive eventuelle utgifter ved fjerning, er samla avgrensa oppover til totalt 345 mill. kroner.</w:t>
      </w:r>
    </w:p>
    <w:p w:rsidR="00000000" w:rsidRDefault="00667627" w:rsidP="00FE6A54">
      <w:r>
        <w:t>Equinors oppdaterte utbetalingsplan viser eit utbetalingsbehov i 201</w:t>
      </w:r>
      <w:r>
        <w:t>9 på om lag 180 mill. kroner mot tidlegare estimert 150 mill. kroner. Vidare har arbeidet med brønntesting og analyse auka. Resterande utbetalingsbehov på 165 mill. kroner er foreslått i budsjettet for 2020.</w:t>
      </w:r>
    </w:p>
    <w:p w:rsidR="00000000" w:rsidRDefault="00667627" w:rsidP="00FE6A54">
      <w:r>
        <w:t>På denne bakgrunnen er det foreslått å auke løyv</w:t>
      </w:r>
      <w:r>
        <w:t xml:space="preserve">inga med 30 mill. kroner, til 329 mill. kroner. </w:t>
      </w:r>
    </w:p>
    <w:p w:rsidR="00000000" w:rsidRDefault="00667627" w:rsidP="00FE6A54">
      <w:pPr>
        <w:pStyle w:val="b-budkaptit"/>
      </w:pPr>
      <w:r>
        <w:t>Kap. 2440/5440 Statens direkte økonomiske engasjement i petroleumsverksemda</w:t>
      </w:r>
    </w:p>
    <w:p w:rsidR="00FE6A54" w:rsidRPr="00FE6A54" w:rsidRDefault="00FE6A54" w:rsidP="00FE6A54">
      <w:pPr>
        <w:pStyle w:val="tabell-tittel"/>
      </w:pPr>
      <w:r>
        <w:t>Endring av løyvingar på statsbudsjettet 2019 under kap. 2440/5440 Statens direkte økonomiske engasjement i petroleumsverksemda (i mill. kroner)</w:t>
      </w:r>
    </w:p>
    <w:p w:rsidR="00000000" w:rsidRDefault="00667627" w:rsidP="00FE6A54">
      <w:pPr>
        <w:pStyle w:val="Tabellnavn"/>
      </w:pPr>
      <w:r>
        <w:t>0</w:t>
      </w:r>
      <w:r w:rsidR="00FE6A54">
        <w:t>5</w:t>
      </w:r>
      <w:r>
        <w:t>J1tx2</w:t>
      </w:r>
    </w:p>
    <w:tbl>
      <w:tblPr>
        <w:tblStyle w:val="StandardTabell"/>
        <w:tblW w:w="0" w:type="auto"/>
        <w:tblLayout w:type="fixed"/>
        <w:tblLook w:val="04A0" w:firstRow="1" w:lastRow="0" w:firstColumn="1" w:lastColumn="0" w:noHBand="0" w:noVBand="1"/>
      </w:tblPr>
      <w:tblGrid>
        <w:gridCol w:w="1400"/>
        <w:gridCol w:w="3740"/>
        <w:gridCol w:w="1400"/>
        <w:gridCol w:w="1580"/>
        <w:gridCol w:w="1400"/>
      </w:tblGrid>
      <w:tr w:rsidR="00000000" w:rsidTr="00FE6A54">
        <w:trPr>
          <w:trHeight w:val="600"/>
        </w:trPr>
        <w:tc>
          <w:tcPr>
            <w:tcW w:w="1400" w:type="dxa"/>
            <w:shd w:val="clear" w:color="auto" w:fill="FFFFFF"/>
          </w:tcPr>
          <w:p w:rsidR="00000000" w:rsidRDefault="00667627" w:rsidP="00FE6A54">
            <w:r>
              <w:lastRenderedPageBreak/>
              <w:t>Kap/post/</w:t>
            </w:r>
            <w:r>
              <w:br/>
              <w:t>underpost</w:t>
            </w:r>
          </w:p>
        </w:tc>
        <w:tc>
          <w:tcPr>
            <w:tcW w:w="3740" w:type="dxa"/>
          </w:tcPr>
          <w:p w:rsidR="00000000" w:rsidRDefault="00667627" w:rsidP="00FE6A54"/>
        </w:tc>
        <w:tc>
          <w:tcPr>
            <w:tcW w:w="1400" w:type="dxa"/>
          </w:tcPr>
          <w:p w:rsidR="00000000" w:rsidRDefault="00667627" w:rsidP="00FE6A54">
            <w:pPr>
              <w:jc w:val="right"/>
            </w:pPr>
            <w:r>
              <w:t>Gjeldande</w:t>
            </w:r>
            <w:r>
              <w:br/>
              <w:t xml:space="preserve"> løyving 2019</w:t>
            </w:r>
            <w:r>
              <w:rPr>
                <w:rStyle w:val="skrift-hevet"/>
                <w:sz w:val="19"/>
                <w:szCs w:val="19"/>
              </w:rPr>
              <w:t>1</w:t>
            </w:r>
          </w:p>
        </w:tc>
        <w:tc>
          <w:tcPr>
            <w:tcW w:w="1580" w:type="dxa"/>
          </w:tcPr>
          <w:p w:rsidR="00000000" w:rsidRDefault="00667627" w:rsidP="00FE6A54">
            <w:pPr>
              <w:jc w:val="right"/>
            </w:pPr>
            <w:r>
              <w:t>Forslag til ny</w:t>
            </w:r>
            <w:r>
              <w:br/>
              <w:t xml:space="preserve"> løyving for 2019</w:t>
            </w:r>
          </w:p>
        </w:tc>
        <w:tc>
          <w:tcPr>
            <w:tcW w:w="1400" w:type="dxa"/>
          </w:tcPr>
          <w:p w:rsidR="00000000" w:rsidRDefault="00667627" w:rsidP="00FE6A54">
            <w:pPr>
              <w:jc w:val="right"/>
            </w:pPr>
            <w:r>
              <w:t>Endring</w:t>
            </w:r>
          </w:p>
        </w:tc>
      </w:tr>
      <w:tr w:rsidR="00000000" w:rsidTr="00FE6A54">
        <w:trPr>
          <w:trHeight w:val="380"/>
        </w:trPr>
        <w:tc>
          <w:tcPr>
            <w:tcW w:w="1400" w:type="dxa"/>
          </w:tcPr>
          <w:p w:rsidR="00000000" w:rsidRDefault="00667627" w:rsidP="00FE6A54">
            <w:r>
              <w:rPr>
                <w:rStyle w:val="kursiv"/>
                <w:sz w:val="21"/>
                <w:szCs w:val="21"/>
              </w:rPr>
              <w:t>Kap. 2440</w:t>
            </w:r>
          </w:p>
        </w:tc>
        <w:tc>
          <w:tcPr>
            <w:tcW w:w="3740" w:type="dxa"/>
          </w:tcPr>
          <w:p w:rsidR="00000000" w:rsidRDefault="00667627" w:rsidP="00FE6A54"/>
        </w:tc>
        <w:tc>
          <w:tcPr>
            <w:tcW w:w="1400" w:type="dxa"/>
          </w:tcPr>
          <w:p w:rsidR="00000000" w:rsidRDefault="00667627" w:rsidP="00FE6A54">
            <w:pPr>
              <w:jc w:val="right"/>
            </w:pPr>
          </w:p>
        </w:tc>
        <w:tc>
          <w:tcPr>
            <w:tcW w:w="1580" w:type="dxa"/>
          </w:tcPr>
          <w:p w:rsidR="00000000" w:rsidRDefault="00667627" w:rsidP="00FE6A54">
            <w:pPr>
              <w:jc w:val="right"/>
            </w:pPr>
          </w:p>
        </w:tc>
        <w:tc>
          <w:tcPr>
            <w:tcW w:w="1400" w:type="dxa"/>
          </w:tcPr>
          <w:p w:rsidR="00000000" w:rsidRDefault="00667627" w:rsidP="00FE6A54">
            <w:pPr>
              <w:jc w:val="right"/>
            </w:pPr>
          </w:p>
        </w:tc>
      </w:tr>
      <w:tr w:rsidR="00000000" w:rsidTr="00FE6A54">
        <w:trPr>
          <w:trHeight w:val="380"/>
        </w:trPr>
        <w:tc>
          <w:tcPr>
            <w:tcW w:w="1400" w:type="dxa"/>
          </w:tcPr>
          <w:p w:rsidR="00000000" w:rsidRDefault="00667627" w:rsidP="00FE6A54">
            <w:r>
              <w:t>30</w:t>
            </w:r>
          </w:p>
        </w:tc>
        <w:tc>
          <w:tcPr>
            <w:tcW w:w="3740" w:type="dxa"/>
          </w:tcPr>
          <w:p w:rsidR="00000000" w:rsidRDefault="00667627" w:rsidP="00FE6A54">
            <w:r>
              <w:t>Investeringar</w:t>
            </w:r>
          </w:p>
        </w:tc>
        <w:tc>
          <w:tcPr>
            <w:tcW w:w="1400" w:type="dxa"/>
          </w:tcPr>
          <w:p w:rsidR="00000000" w:rsidRDefault="00667627" w:rsidP="00FE6A54">
            <w:pPr>
              <w:jc w:val="right"/>
            </w:pPr>
            <w:r>
              <w:t>29 000</w:t>
            </w:r>
          </w:p>
        </w:tc>
        <w:tc>
          <w:tcPr>
            <w:tcW w:w="1580" w:type="dxa"/>
          </w:tcPr>
          <w:p w:rsidR="00000000" w:rsidRDefault="00667627" w:rsidP="00FE6A54">
            <w:pPr>
              <w:jc w:val="right"/>
            </w:pPr>
            <w:r>
              <w:t>27 000</w:t>
            </w:r>
          </w:p>
        </w:tc>
        <w:tc>
          <w:tcPr>
            <w:tcW w:w="1400" w:type="dxa"/>
          </w:tcPr>
          <w:p w:rsidR="00000000" w:rsidRDefault="00667627" w:rsidP="00FE6A54">
            <w:pPr>
              <w:jc w:val="right"/>
            </w:pPr>
            <w:r>
              <w:t>-2 000</w:t>
            </w:r>
          </w:p>
        </w:tc>
      </w:tr>
      <w:tr w:rsidR="00000000" w:rsidTr="00FE6A54">
        <w:trPr>
          <w:trHeight w:val="380"/>
        </w:trPr>
        <w:tc>
          <w:tcPr>
            <w:tcW w:w="1400" w:type="dxa"/>
          </w:tcPr>
          <w:p w:rsidR="00000000" w:rsidRDefault="00667627" w:rsidP="00FE6A54"/>
        </w:tc>
        <w:tc>
          <w:tcPr>
            <w:tcW w:w="3740" w:type="dxa"/>
          </w:tcPr>
          <w:p w:rsidR="00000000" w:rsidRDefault="00667627" w:rsidP="00FE6A54">
            <w:r>
              <w:t>Sum kap. 2440</w:t>
            </w:r>
          </w:p>
        </w:tc>
        <w:tc>
          <w:tcPr>
            <w:tcW w:w="1400" w:type="dxa"/>
          </w:tcPr>
          <w:p w:rsidR="00000000" w:rsidRDefault="00667627" w:rsidP="00FE6A54">
            <w:pPr>
              <w:jc w:val="right"/>
            </w:pPr>
            <w:r>
              <w:t>29 000</w:t>
            </w:r>
          </w:p>
        </w:tc>
        <w:tc>
          <w:tcPr>
            <w:tcW w:w="1580" w:type="dxa"/>
          </w:tcPr>
          <w:p w:rsidR="00000000" w:rsidRDefault="00667627" w:rsidP="00FE6A54">
            <w:pPr>
              <w:jc w:val="right"/>
            </w:pPr>
            <w:r>
              <w:t>27 000</w:t>
            </w:r>
          </w:p>
        </w:tc>
        <w:tc>
          <w:tcPr>
            <w:tcW w:w="1400" w:type="dxa"/>
          </w:tcPr>
          <w:p w:rsidR="00000000" w:rsidRDefault="00667627" w:rsidP="00FE6A54">
            <w:pPr>
              <w:jc w:val="right"/>
            </w:pPr>
            <w:r>
              <w:t>-2 000</w:t>
            </w:r>
          </w:p>
        </w:tc>
      </w:tr>
      <w:tr w:rsidR="00000000" w:rsidTr="00FE6A54">
        <w:trPr>
          <w:trHeight w:val="380"/>
        </w:trPr>
        <w:tc>
          <w:tcPr>
            <w:tcW w:w="1400" w:type="dxa"/>
          </w:tcPr>
          <w:p w:rsidR="00000000" w:rsidRDefault="00667627" w:rsidP="00FE6A54">
            <w:r>
              <w:rPr>
                <w:rStyle w:val="kursiv"/>
                <w:sz w:val="21"/>
                <w:szCs w:val="21"/>
              </w:rPr>
              <w:t>Kap. 5440</w:t>
            </w:r>
          </w:p>
        </w:tc>
        <w:tc>
          <w:tcPr>
            <w:tcW w:w="3740" w:type="dxa"/>
          </w:tcPr>
          <w:p w:rsidR="00000000" w:rsidRDefault="00667627" w:rsidP="00FE6A54"/>
        </w:tc>
        <w:tc>
          <w:tcPr>
            <w:tcW w:w="1400" w:type="dxa"/>
          </w:tcPr>
          <w:p w:rsidR="00000000" w:rsidRDefault="00667627" w:rsidP="00FE6A54">
            <w:pPr>
              <w:jc w:val="right"/>
            </w:pPr>
          </w:p>
        </w:tc>
        <w:tc>
          <w:tcPr>
            <w:tcW w:w="1580" w:type="dxa"/>
          </w:tcPr>
          <w:p w:rsidR="00000000" w:rsidRDefault="00667627" w:rsidP="00FE6A54">
            <w:pPr>
              <w:jc w:val="right"/>
            </w:pPr>
          </w:p>
        </w:tc>
        <w:tc>
          <w:tcPr>
            <w:tcW w:w="1400" w:type="dxa"/>
          </w:tcPr>
          <w:p w:rsidR="00000000" w:rsidRDefault="00667627" w:rsidP="00FE6A54">
            <w:pPr>
              <w:jc w:val="right"/>
            </w:pPr>
          </w:p>
        </w:tc>
      </w:tr>
      <w:tr w:rsidR="00000000" w:rsidTr="00FE6A54">
        <w:trPr>
          <w:trHeight w:val="380"/>
        </w:trPr>
        <w:tc>
          <w:tcPr>
            <w:tcW w:w="1400" w:type="dxa"/>
          </w:tcPr>
          <w:p w:rsidR="00000000" w:rsidRDefault="00667627" w:rsidP="00FE6A54">
            <w:r>
              <w:t>24.1</w:t>
            </w:r>
          </w:p>
        </w:tc>
        <w:tc>
          <w:tcPr>
            <w:tcW w:w="3740" w:type="dxa"/>
          </w:tcPr>
          <w:p w:rsidR="00000000" w:rsidRDefault="00667627" w:rsidP="00FE6A54">
            <w:r>
              <w:t>Driftsinntekter</w:t>
            </w:r>
          </w:p>
        </w:tc>
        <w:tc>
          <w:tcPr>
            <w:tcW w:w="1400" w:type="dxa"/>
          </w:tcPr>
          <w:p w:rsidR="00000000" w:rsidRDefault="00667627" w:rsidP="00FE6A54">
            <w:pPr>
              <w:jc w:val="right"/>
            </w:pPr>
            <w:r>
              <w:t>159 200</w:t>
            </w:r>
          </w:p>
        </w:tc>
        <w:tc>
          <w:tcPr>
            <w:tcW w:w="1580" w:type="dxa"/>
          </w:tcPr>
          <w:p w:rsidR="00000000" w:rsidRDefault="00667627" w:rsidP="00FE6A54">
            <w:pPr>
              <w:jc w:val="right"/>
            </w:pPr>
            <w:r>
              <w:t>154 400</w:t>
            </w:r>
          </w:p>
        </w:tc>
        <w:tc>
          <w:tcPr>
            <w:tcW w:w="1400" w:type="dxa"/>
          </w:tcPr>
          <w:p w:rsidR="00000000" w:rsidRDefault="00667627" w:rsidP="00FE6A54">
            <w:pPr>
              <w:jc w:val="right"/>
            </w:pPr>
            <w:r>
              <w:t>-4 800</w:t>
            </w:r>
          </w:p>
        </w:tc>
      </w:tr>
      <w:tr w:rsidR="00000000" w:rsidTr="00FE6A54">
        <w:trPr>
          <w:trHeight w:val="380"/>
        </w:trPr>
        <w:tc>
          <w:tcPr>
            <w:tcW w:w="1400" w:type="dxa"/>
          </w:tcPr>
          <w:p w:rsidR="00000000" w:rsidRDefault="00667627" w:rsidP="00FE6A54">
            <w:r>
              <w:t>24.2</w:t>
            </w:r>
          </w:p>
        </w:tc>
        <w:tc>
          <w:tcPr>
            <w:tcW w:w="3740" w:type="dxa"/>
          </w:tcPr>
          <w:p w:rsidR="00000000" w:rsidRDefault="00667627" w:rsidP="00FE6A54">
            <w:r>
              <w:t>Driftsutgifter</w:t>
            </w:r>
          </w:p>
        </w:tc>
        <w:tc>
          <w:tcPr>
            <w:tcW w:w="1400" w:type="dxa"/>
          </w:tcPr>
          <w:p w:rsidR="00000000" w:rsidRDefault="00667627" w:rsidP="00FE6A54">
            <w:pPr>
              <w:jc w:val="right"/>
            </w:pPr>
            <w:r>
              <w:t>-27 400</w:t>
            </w:r>
          </w:p>
        </w:tc>
        <w:tc>
          <w:tcPr>
            <w:tcW w:w="1580" w:type="dxa"/>
          </w:tcPr>
          <w:p w:rsidR="00000000" w:rsidRDefault="00667627" w:rsidP="00FE6A54">
            <w:pPr>
              <w:jc w:val="right"/>
            </w:pPr>
            <w:r>
              <w:t>-30 500</w:t>
            </w:r>
          </w:p>
        </w:tc>
        <w:tc>
          <w:tcPr>
            <w:tcW w:w="1400" w:type="dxa"/>
          </w:tcPr>
          <w:p w:rsidR="00000000" w:rsidRDefault="00667627" w:rsidP="00FE6A54">
            <w:pPr>
              <w:jc w:val="right"/>
            </w:pPr>
            <w:r>
              <w:t>-3 100</w:t>
            </w:r>
          </w:p>
        </w:tc>
      </w:tr>
      <w:tr w:rsidR="00000000" w:rsidTr="00FE6A54">
        <w:trPr>
          <w:trHeight w:val="380"/>
        </w:trPr>
        <w:tc>
          <w:tcPr>
            <w:tcW w:w="1400" w:type="dxa"/>
          </w:tcPr>
          <w:p w:rsidR="00000000" w:rsidRDefault="00667627" w:rsidP="00FE6A54">
            <w:r>
              <w:t>24.3</w:t>
            </w:r>
          </w:p>
        </w:tc>
        <w:tc>
          <w:tcPr>
            <w:tcW w:w="3740" w:type="dxa"/>
          </w:tcPr>
          <w:p w:rsidR="00000000" w:rsidRDefault="00667627" w:rsidP="00FE6A54">
            <w:r>
              <w:t>Leite- og feltutviklingsutgifter</w:t>
            </w:r>
          </w:p>
        </w:tc>
        <w:tc>
          <w:tcPr>
            <w:tcW w:w="1400" w:type="dxa"/>
          </w:tcPr>
          <w:p w:rsidR="00000000" w:rsidRDefault="00667627" w:rsidP="00FE6A54">
            <w:pPr>
              <w:jc w:val="right"/>
            </w:pPr>
            <w:r>
              <w:t>-2 100</w:t>
            </w:r>
          </w:p>
        </w:tc>
        <w:tc>
          <w:tcPr>
            <w:tcW w:w="1580" w:type="dxa"/>
          </w:tcPr>
          <w:p w:rsidR="00000000" w:rsidRDefault="00667627" w:rsidP="00FE6A54">
            <w:pPr>
              <w:jc w:val="right"/>
            </w:pPr>
            <w:r>
              <w:t>-2 100</w:t>
            </w:r>
          </w:p>
        </w:tc>
        <w:tc>
          <w:tcPr>
            <w:tcW w:w="1400" w:type="dxa"/>
          </w:tcPr>
          <w:p w:rsidR="00000000" w:rsidRDefault="00667627" w:rsidP="00FE6A54">
            <w:pPr>
              <w:jc w:val="right"/>
            </w:pPr>
            <w:r>
              <w:t>-</w:t>
            </w:r>
          </w:p>
        </w:tc>
      </w:tr>
      <w:tr w:rsidR="00000000" w:rsidTr="00FE6A54">
        <w:trPr>
          <w:trHeight w:val="380"/>
        </w:trPr>
        <w:tc>
          <w:tcPr>
            <w:tcW w:w="1400" w:type="dxa"/>
          </w:tcPr>
          <w:p w:rsidR="00000000" w:rsidRDefault="00667627" w:rsidP="00FE6A54">
            <w:r>
              <w:t>24.4</w:t>
            </w:r>
          </w:p>
        </w:tc>
        <w:tc>
          <w:tcPr>
            <w:tcW w:w="3740" w:type="dxa"/>
          </w:tcPr>
          <w:p w:rsidR="00000000" w:rsidRDefault="00667627" w:rsidP="00FE6A54">
            <w:r>
              <w:t>Avskrivingar</w:t>
            </w:r>
          </w:p>
        </w:tc>
        <w:tc>
          <w:tcPr>
            <w:tcW w:w="1400" w:type="dxa"/>
          </w:tcPr>
          <w:p w:rsidR="00000000" w:rsidRDefault="00667627" w:rsidP="00FE6A54">
            <w:pPr>
              <w:jc w:val="right"/>
            </w:pPr>
            <w:r>
              <w:t>-20 200</w:t>
            </w:r>
          </w:p>
        </w:tc>
        <w:tc>
          <w:tcPr>
            <w:tcW w:w="1580" w:type="dxa"/>
          </w:tcPr>
          <w:p w:rsidR="00000000" w:rsidRDefault="00667627" w:rsidP="00FE6A54">
            <w:pPr>
              <w:jc w:val="right"/>
            </w:pPr>
            <w:r>
              <w:t>-23 200</w:t>
            </w:r>
          </w:p>
        </w:tc>
        <w:tc>
          <w:tcPr>
            <w:tcW w:w="1400" w:type="dxa"/>
          </w:tcPr>
          <w:p w:rsidR="00000000" w:rsidRDefault="00667627" w:rsidP="00FE6A54">
            <w:pPr>
              <w:jc w:val="right"/>
            </w:pPr>
            <w:r>
              <w:t>-3 000</w:t>
            </w:r>
          </w:p>
        </w:tc>
      </w:tr>
      <w:tr w:rsidR="00000000" w:rsidTr="00FE6A54">
        <w:trPr>
          <w:trHeight w:val="380"/>
        </w:trPr>
        <w:tc>
          <w:tcPr>
            <w:tcW w:w="1400" w:type="dxa"/>
          </w:tcPr>
          <w:p w:rsidR="00000000" w:rsidRDefault="00667627" w:rsidP="00FE6A54">
            <w:r>
              <w:t>24.5</w:t>
            </w:r>
          </w:p>
        </w:tc>
        <w:tc>
          <w:tcPr>
            <w:tcW w:w="3740" w:type="dxa"/>
          </w:tcPr>
          <w:p w:rsidR="00000000" w:rsidRDefault="00667627" w:rsidP="00FE6A54">
            <w:r>
              <w:t>Renter av statens kapital</w:t>
            </w:r>
          </w:p>
        </w:tc>
        <w:tc>
          <w:tcPr>
            <w:tcW w:w="1400" w:type="dxa"/>
          </w:tcPr>
          <w:p w:rsidR="00000000" w:rsidRDefault="00667627" w:rsidP="00FE6A54">
            <w:pPr>
              <w:jc w:val="right"/>
            </w:pPr>
            <w:r>
              <w:t>-2 900</w:t>
            </w:r>
          </w:p>
        </w:tc>
        <w:tc>
          <w:tcPr>
            <w:tcW w:w="1580" w:type="dxa"/>
          </w:tcPr>
          <w:p w:rsidR="00000000" w:rsidRDefault="00667627" w:rsidP="00FE6A54">
            <w:pPr>
              <w:jc w:val="right"/>
            </w:pPr>
            <w:r>
              <w:t>-2 800</w:t>
            </w:r>
          </w:p>
        </w:tc>
        <w:tc>
          <w:tcPr>
            <w:tcW w:w="1400" w:type="dxa"/>
          </w:tcPr>
          <w:p w:rsidR="00000000" w:rsidRDefault="00667627" w:rsidP="00FE6A54">
            <w:pPr>
              <w:jc w:val="right"/>
            </w:pPr>
            <w:r>
              <w:t>100</w:t>
            </w:r>
          </w:p>
        </w:tc>
      </w:tr>
      <w:tr w:rsidR="00000000" w:rsidTr="00FE6A54">
        <w:trPr>
          <w:trHeight w:val="380"/>
        </w:trPr>
        <w:tc>
          <w:tcPr>
            <w:tcW w:w="1400" w:type="dxa"/>
          </w:tcPr>
          <w:p w:rsidR="00000000" w:rsidRDefault="00667627" w:rsidP="00FE6A54">
            <w:r>
              <w:t>24</w:t>
            </w:r>
          </w:p>
        </w:tc>
        <w:tc>
          <w:tcPr>
            <w:tcW w:w="3740" w:type="dxa"/>
          </w:tcPr>
          <w:p w:rsidR="00000000" w:rsidRDefault="00667627" w:rsidP="00FE6A54">
            <w:r>
              <w:t>Driftsresultat</w:t>
            </w:r>
          </w:p>
        </w:tc>
        <w:tc>
          <w:tcPr>
            <w:tcW w:w="1400" w:type="dxa"/>
          </w:tcPr>
          <w:p w:rsidR="00000000" w:rsidRDefault="00667627" w:rsidP="00FE6A54">
            <w:pPr>
              <w:jc w:val="right"/>
            </w:pPr>
            <w:r>
              <w:t>106 600</w:t>
            </w:r>
          </w:p>
        </w:tc>
        <w:tc>
          <w:tcPr>
            <w:tcW w:w="1580" w:type="dxa"/>
          </w:tcPr>
          <w:p w:rsidR="00000000" w:rsidRDefault="00667627" w:rsidP="00FE6A54">
            <w:pPr>
              <w:jc w:val="right"/>
            </w:pPr>
            <w:r>
              <w:t>95 800</w:t>
            </w:r>
          </w:p>
        </w:tc>
        <w:tc>
          <w:tcPr>
            <w:tcW w:w="1400" w:type="dxa"/>
          </w:tcPr>
          <w:p w:rsidR="00000000" w:rsidRDefault="00667627" w:rsidP="00FE6A54">
            <w:pPr>
              <w:jc w:val="right"/>
            </w:pPr>
            <w:r>
              <w:t>-10 800</w:t>
            </w:r>
          </w:p>
        </w:tc>
      </w:tr>
      <w:tr w:rsidR="00000000" w:rsidTr="00FE6A54">
        <w:trPr>
          <w:trHeight w:val="380"/>
        </w:trPr>
        <w:tc>
          <w:tcPr>
            <w:tcW w:w="1400" w:type="dxa"/>
          </w:tcPr>
          <w:p w:rsidR="00000000" w:rsidRDefault="00667627" w:rsidP="00FE6A54">
            <w:r>
              <w:t>30</w:t>
            </w:r>
          </w:p>
        </w:tc>
        <w:tc>
          <w:tcPr>
            <w:tcW w:w="3740" w:type="dxa"/>
          </w:tcPr>
          <w:p w:rsidR="00000000" w:rsidRDefault="00667627" w:rsidP="00FE6A54">
            <w:r>
              <w:t>Avskrivingar</w:t>
            </w:r>
          </w:p>
        </w:tc>
        <w:tc>
          <w:tcPr>
            <w:tcW w:w="1400" w:type="dxa"/>
          </w:tcPr>
          <w:p w:rsidR="00000000" w:rsidRDefault="00667627" w:rsidP="00FE6A54">
            <w:pPr>
              <w:jc w:val="right"/>
            </w:pPr>
            <w:r>
              <w:t>20 200</w:t>
            </w:r>
          </w:p>
        </w:tc>
        <w:tc>
          <w:tcPr>
            <w:tcW w:w="1580" w:type="dxa"/>
          </w:tcPr>
          <w:p w:rsidR="00000000" w:rsidRDefault="00667627" w:rsidP="00FE6A54">
            <w:pPr>
              <w:jc w:val="right"/>
            </w:pPr>
            <w:r>
              <w:t>23 200</w:t>
            </w:r>
          </w:p>
        </w:tc>
        <w:tc>
          <w:tcPr>
            <w:tcW w:w="1400" w:type="dxa"/>
          </w:tcPr>
          <w:p w:rsidR="00000000" w:rsidRDefault="00667627" w:rsidP="00FE6A54">
            <w:pPr>
              <w:jc w:val="right"/>
            </w:pPr>
            <w:r>
              <w:t>3 000</w:t>
            </w:r>
          </w:p>
        </w:tc>
      </w:tr>
      <w:tr w:rsidR="00000000" w:rsidTr="00FE6A54">
        <w:trPr>
          <w:trHeight w:val="380"/>
        </w:trPr>
        <w:tc>
          <w:tcPr>
            <w:tcW w:w="1400" w:type="dxa"/>
          </w:tcPr>
          <w:p w:rsidR="00000000" w:rsidRDefault="00667627" w:rsidP="00FE6A54">
            <w:r>
              <w:t>80</w:t>
            </w:r>
          </w:p>
        </w:tc>
        <w:tc>
          <w:tcPr>
            <w:tcW w:w="3740" w:type="dxa"/>
          </w:tcPr>
          <w:p w:rsidR="00000000" w:rsidRDefault="00667627" w:rsidP="00FE6A54">
            <w:r>
              <w:t>Renter av statens kapital</w:t>
            </w:r>
          </w:p>
        </w:tc>
        <w:tc>
          <w:tcPr>
            <w:tcW w:w="1400" w:type="dxa"/>
          </w:tcPr>
          <w:p w:rsidR="00000000" w:rsidRDefault="00667627" w:rsidP="00FE6A54">
            <w:pPr>
              <w:jc w:val="right"/>
            </w:pPr>
            <w:r>
              <w:t>2 900</w:t>
            </w:r>
          </w:p>
        </w:tc>
        <w:tc>
          <w:tcPr>
            <w:tcW w:w="1580" w:type="dxa"/>
          </w:tcPr>
          <w:p w:rsidR="00000000" w:rsidRDefault="00667627" w:rsidP="00FE6A54">
            <w:pPr>
              <w:jc w:val="right"/>
            </w:pPr>
            <w:r>
              <w:t>2 800</w:t>
            </w:r>
          </w:p>
        </w:tc>
        <w:tc>
          <w:tcPr>
            <w:tcW w:w="1400" w:type="dxa"/>
          </w:tcPr>
          <w:p w:rsidR="00000000" w:rsidRDefault="00667627" w:rsidP="00FE6A54">
            <w:pPr>
              <w:jc w:val="right"/>
            </w:pPr>
            <w:r>
              <w:t>-100</w:t>
            </w:r>
          </w:p>
        </w:tc>
      </w:tr>
      <w:tr w:rsidR="00000000" w:rsidTr="00FE6A54">
        <w:trPr>
          <w:trHeight w:val="380"/>
        </w:trPr>
        <w:tc>
          <w:tcPr>
            <w:tcW w:w="1400" w:type="dxa"/>
          </w:tcPr>
          <w:p w:rsidR="00000000" w:rsidRDefault="00667627" w:rsidP="00FE6A54"/>
        </w:tc>
        <w:tc>
          <w:tcPr>
            <w:tcW w:w="3740" w:type="dxa"/>
          </w:tcPr>
          <w:p w:rsidR="00000000" w:rsidRDefault="00667627" w:rsidP="00FE6A54">
            <w:r>
              <w:t>Sum kap. 5440</w:t>
            </w:r>
          </w:p>
        </w:tc>
        <w:tc>
          <w:tcPr>
            <w:tcW w:w="1400" w:type="dxa"/>
          </w:tcPr>
          <w:p w:rsidR="00000000" w:rsidRDefault="00667627" w:rsidP="00FE6A54">
            <w:pPr>
              <w:jc w:val="right"/>
            </w:pPr>
            <w:r>
              <w:t>129 700</w:t>
            </w:r>
          </w:p>
        </w:tc>
        <w:tc>
          <w:tcPr>
            <w:tcW w:w="1580" w:type="dxa"/>
          </w:tcPr>
          <w:p w:rsidR="00000000" w:rsidRDefault="00667627" w:rsidP="00FE6A54">
            <w:pPr>
              <w:jc w:val="right"/>
            </w:pPr>
            <w:r>
              <w:t>121 800</w:t>
            </w:r>
          </w:p>
        </w:tc>
        <w:tc>
          <w:tcPr>
            <w:tcW w:w="1400" w:type="dxa"/>
          </w:tcPr>
          <w:p w:rsidR="00000000" w:rsidRDefault="00667627" w:rsidP="00FE6A54">
            <w:pPr>
              <w:jc w:val="right"/>
            </w:pPr>
            <w:r>
              <w:t>-7 900</w:t>
            </w:r>
          </w:p>
        </w:tc>
      </w:tr>
      <w:tr w:rsidR="00000000" w:rsidTr="00FE6A54">
        <w:trPr>
          <w:trHeight w:val="380"/>
        </w:trPr>
        <w:tc>
          <w:tcPr>
            <w:tcW w:w="5140" w:type="dxa"/>
            <w:gridSpan w:val="2"/>
          </w:tcPr>
          <w:p w:rsidR="00000000" w:rsidRDefault="00667627" w:rsidP="00FE6A54">
            <w:r>
              <w:t>Kontantstraum til SDØE:</w:t>
            </w:r>
          </w:p>
        </w:tc>
        <w:tc>
          <w:tcPr>
            <w:tcW w:w="1400" w:type="dxa"/>
          </w:tcPr>
          <w:p w:rsidR="00000000" w:rsidRDefault="00667627" w:rsidP="00FE6A54">
            <w:pPr>
              <w:jc w:val="right"/>
            </w:pPr>
          </w:p>
        </w:tc>
        <w:tc>
          <w:tcPr>
            <w:tcW w:w="1580" w:type="dxa"/>
          </w:tcPr>
          <w:p w:rsidR="00000000" w:rsidRDefault="00667627" w:rsidP="00FE6A54">
            <w:pPr>
              <w:jc w:val="right"/>
            </w:pPr>
          </w:p>
        </w:tc>
        <w:tc>
          <w:tcPr>
            <w:tcW w:w="1400" w:type="dxa"/>
          </w:tcPr>
          <w:p w:rsidR="00000000" w:rsidRDefault="00667627" w:rsidP="00FE6A54">
            <w:pPr>
              <w:jc w:val="right"/>
            </w:pPr>
          </w:p>
        </w:tc>
      </w:tr>
      <w:tr w:rsidR="00000000" w:rsidTr="00FE6A54">
        <w:trPr>
          <w:trHeight w:val="380"/>
        </w:trPr>
        <w:tc>
          <w:tcPr>
            <w:tcW w:w="5140" w:type="dxa"/>
            <w:gridSpan w:val="2"/>
          </w:tcPr>
          <w:p w:rsidR="00000000" w:rsidRDefault="00667627" w:rsidP="00FE6A54">
            <w:r>
              <w:t>Innbetalingar</w:t>
            </w:r>
            <w:r>
              <w:rPr>
                <w:rStyle w:val="skrift-hevet"/>
                <w:sz w:val="21"/>
                <w:szCs w:val="21"/>
              </w:rPr>
              <w:t>2</w:t>
            </w:r>
          </w:p>
        </w:tc>
        <w:tc>
          <w:tcPr>
            <w:tcW w:w="1400" w:type="dxa"/>
          </w:tcPr>
          <w:p w:rsidR="00000000" w:rsidRDefault="00667627" w:rsidP="00FE6A54">
            <w:pPr>
              <w:jc w:val="right"/>
            </w:pPr>
            <w:r>
              <w:t>159 200</w:t>
            </w:r>
          </w:p>
        </w:tc>
        <w:tc>
          <w:tcPr>
            <w:tcW w:w="1580" w:type="dxa"/>
          </w:tcPr>
          <w:p w:rsidR="00000000" w:rsidRDefault="00667627" w:rsidP="00FE6A54">
            <w:pPr>
              <w:jc w:val="right"/>
            </w:pPr>
            <w:r>
              <w:t>154 400</w:t>
            </w:r>
          </w:p>
        </w:tc>
        <w:tc>
          <w:tcPr>
            <w:tcW w:w="1400" w:type="dxa"/>
          </w:tcPr>
          <w:p w:rsidR="00000000" w:rsidRDefault="00667627" w:rsidP="00FE6A54">
            <w:pPr>
              <w:jc w:val="right"/>
            </w:pPr>
            <w:r>
              <w:t>-4 800</w:t>
            </w:r>
          </w:p>
        </w:tc>
      </w:tr>
      <w:tr w:rsidR="00000000" w:rsidTr="00FE6A54">
        <w:trPr>
          <w:trHeight w:val="380"/>
        </w:trPr>
        <w:tc>
          <w:tcPr>
            <w:tcW w:w="5140" w:type="dxa"/>
            <w:gridSpan w:val="2"/>
          </w:tcPr>
          <w:p w:rsidR="00000000" w:rsidRDefault="00667627" w:rsidP="00FE6A54">
            <w:r>
              <w:t>Utbetalingar</w:t>
            </w:r>
            <w:r>
              <w:rPr>
                <w:rStyle w:val="skrift-hevet"/>
                <w:sz w:val="21"/>
                <w:szCs w:val="21"/>
              </w:rPr>
              <w:t>3</w:t>
            </w:r>
          </w:p>
        </w:tc>
        <w:tc>
          <w:tcPr>
            <w:tcW w:w="1400" w:type="dxa"/>
          </w:tcPr>
          <w:p w:rsidR="00000000" w:rsidRDefault="00667627" w:rsidP="00FE6A54">
            <w:pPr>
              <w:jc w:val="right"/>
            </w:pPr>
            <w:r>
              <w:t>58 500</w:t>
            </w:r>
          </w:p>
        </w:tc>
        <w:tc>
          <w:tcPr>
            <w:tcW w:w="1580" w:type="dxa"/>
          </w:tcPr>
          <w:p w:rsidR="00000000" w:rsidRDefault="00667627" w:rsidP="00FE6A54">
            <w:pPr>
              <w:jc w:val="right"/>
            </w:pPr>
            <w:r>
              <w:t>59 600</w:t>
            </w:r>
          </w:p>
        </w:tc>
        <w:tc>
          <w:tcPr>
            <w:tcW w:w="1400" w:type="dxa"/>
          </w:tcPr>
          <w:p w:rsidR="00000000" w:rsidRDefault="00667627" w:rsidP="00FE6A54">
            <w:pPr>
              <w:jc w:val="right"/>
            </w:pPr>
            <w:r>
              <w:t>1 100</w:t>
            </w:r>
          </w:p>
        </w:tc>
      </w:tr>
      <w:tr w:rsidR="00000000" w:rsidTr="00FE6A54">
        <w:trPr>
          <w:trHeight w:val="380"/>
        </w:trPr>
        <w:tc>
          <w:tcPr>
            <w:tcW w:w="5140" w:type="dxa"/>
            <w:gridSpan w:val="2"/>
          </w:tcPr>
          <w:p w:rsidR="00000000" w:rsidRDefault="00667627" w:rsidP="00FE6A54">
            <w:r>
              <w:t>Netto kontantstraum frå SDØE</w:t>
            </w:r>
          </w:p>
        </w:tc>
        <w:tc>
          <w:tcPr>
            <w:tcW w:w="1400" w:type="dxa"/>
          </w:tcPr>
          <w:p w:rsidR="00000000" w:rsidRDefault="00667627" w:rsidP="00FE6A54">
            <w:pPr>
              <w:jc w:val="right"/>
            </w:pPr>
            <w:r>
              <w:t>100 700</w:t>
            </w:r>
          </w:p>
        </w:tc>
        <w:tc>
          <w:tcPr>
            <w:tcW w:w="1580" w:type="dxa"/>
          </w:tcPr>
          <w:p w:rsidR="00000000" w:rsidRDefault="00667627" w:rsidP="00FE6A54">
            <w:pPr>
              <w:jc w:val="right"/>
            </w:pPr>
            <w:r>
              <w:t>94 800</w:t>
            </w:r>
          </w:p>
        </w:tc>
        <w:tc>
          <w:tcPr>
            <w:tcW w:w="1400" w:type="dxa"/>
          </w:tcPr>
          <w:p w:rsidR="00000000" w:rsidRDefault="00667627" w:rsidP="00FE6A54">
            <w:pPr>
              <w:jc w:val="right"/>
            </w:pPr>
            <w:r>
              <w:t>-5 900</w:t>
            </w:r>
          </w:p>
        </w:tc>
      </w:tr>
    </w:tbl>
    <w:p w:rsidR="00000000" w:rsidRDefault="00667627" w:rsidP="00FE6A54">
      <w:pPr>
        <w:pStyle w:val="tabell-noter"/>
        <w:rPr>
          <w:rStyle w:val="skrift-hevet"/>
          <w:spacing w:val="4"/>
          <w:sz w:val="24"/>
          <w:szCs w:val="24"/>
        </w:rPr>
      </w:pPr>
      <w:r>
        <w:rPr>
          <w:rStyle w:val="skrift-hevet"/>
          <w:sz w:val="17"/>
          <w:szCs w:val="17"/>
        </w:rPr>
        <w:t>1</w:t>
      </w:r>
      <w:r>
        <w:rPr>
          <w:rStyle w:val="skrift-hevet"/>
          <w:sz w:val="17"/>
          <w:szCs w:val="17"/>
        </w:rPr>
        <w:tab/>
      </w:r>
      <w:r>
        <w:t>Gjeldande løyving for 2019 er basert på Stortingets løyvingsvedtak av 18. desember 2018 og seinare endringar i 2019 (revidert budsjett), jf. Prop. 114 S (2018–2019) og Innst. 391 S (2018–2019)</w:t>
      </w:r>
    </w:p>
    <w:p w:rsidR="00000000" w:rsidRDefault="00667627" w:rsidP="00FE6A54">
      <w:pPr>
        <w:pStyle w:val="tabell-noter"/>
        <w:rPr>
          <w:rStyle w:val="skrift-hevet"/>
          <w:spacing w:val="4"/>
          <w:sz w:val="24"/>
          <w:szCs w:val="24"/>
        </w:rPr>
      </w:pPr>
      <w:r>
        <w:rPr>
          <w:rStyle w:val="skrift-hevet"/>
          <w:sz w:val="17"/>
          <w:szCs w:val="17"/>
        </w:rPr>
        <w:t xml:space="preserve">2 </w:t>
      </w:r>
      <w:r>
        <w:rPr>
          <w:rStyle w:val="skrift-hevet"/>
          <w:sz w:val="17"/>
          <w:szCs w:val="17"/>
        </w:rPr>
        <w:tab/>
      </w:r>
      <w:r>
        <w:t>Innbetalingar = driftsinntekter</w:t>
      </w:r>
    </w:p>
    <w:p w:rsidR="00000000" w:rsidRPr="00FE6A54" w:rsidRDefault="00667627" w:rsidP="00FE6A54">
      <w:pPr>
        <w:pStyle w:val="tabell-noter"/>
      </w:pPr>
      <w:r>
        <w:rPr>
          <w:rStyle w:val="skrift-hevet"/>
          <w:sz w:val="17"/>
          <w:szCs w:val="17"/>
        </w:rPr>
        <w:t>3</w:t>
      </w:r>
      <w:r>
        <w:t xml:space="preserve"> </w:t>
      </w:r>
      <w:r>
        <w:tab/>
        <w:t xml:space="preserve">Utbetalingar = investeringar + driftsutgifter + leite- og </w:t>
      </w:r>
      <w:r w:rsidRPr="00FE6A54">
        <w:t xml:space="preserve">feltutviklingskostnader </w:t>
      </w:r>
    </w:p>
    <w:p w:rsidR="00000000" w:rsidRDefault="00667627" w:rsidP="00FE6A54">
      <w:r>
        <w:t>Overslaget for kap. 2440, post 30 Investeringar er redusert med 2 000 mill. kroner, til 27 000 mill. kroner. Nedgangen skuldast lågare inv</w:t>
      </w:r>
      <w:r>
        <w:t>esteringsoverslag for fleire utbyggingar som Troll fase 3, Snorre/SEP og Johan Sverdrup, og utsetjing av enkelte mindre prosjekt. Det har òg vore lågare investeringar i produksjonsboring som følgje av seinare boreoppstart på Maria, og lågare driftsinvester</w:t>
      </w:r>
      <w:r>
        <w:t xml:space="preserve">ingar som følgje av </w:t>
      </w:r>
      <w:r>
        <w:lastRenderedPageBreak/>
        <w:t>optimalisering/prioritering av fleire mindre prosjekt. Reduksjonen er noko motverka av auka investeringar for offshore ferdigstilling av Martin Linge.</w:t>
      </w:r>
    </w:p>
    <w:p w:rsidR="00000000" w:rsidRDefault="00667627" w:rsidP="00FE6A54">
      <w:r>
        <w:t xml:space="preserve">Overslaget for kap. 5440, underpost 24.1 Driftsinntekter er redusert med 4 800 mill. </w:t>
      </w:r>
      <w:r>
        <w:t>kroner, til 154 400 mill. kroner. Reduksjonen skuldast i hovudsak lågare prisføresetnader for gass og lågare gassal. Overslaget baserer seg på ein oljepris for 2019 på 559 kroner per fat. Det same som i revidert budsjett 2019.</w:t>
      </w:r>
    </w:p>
    <w:p w:rsidR="00000000" w:rsidRDefault="00667627" w:rsidP="00FE6A54">
      <w:r>
        <w:t>Overslaget for kap. 5440, und</w:t>
      </w:r>
      <w:r>
        <w:t>erpost 24.2 Driftsutgifter er auka med 3 100 mill. kroner, til 30 500 mill. kroner. Auken skuldast høgare produksjonskostnader grunna høgare priser på straum og CO</w:t>
      </w:r>
      <w:r>
        <w:rPr>
          <w:rStyle w:val="skrift-senket"/>
          <w:sz w:val="21"/>
          <w:szCs w:val="21"/>
        </w:rPr>
        <w:t>2</w:t>
      </w:r>
      <w:r>
        <w:t>-kvotar, og auka vedlikehald på enkelte felt. Vidare skuldast det høg</w:t>
      </w:r>
      <w:r>
        <w:t>are tariff- og skiperkostnader, og auka kostnader til kjøp av tredjepartsgass.</w:t>
      </w:r>
    </w:p>
    <w:p w:rsidR="00000000" w:rsidRDefault="00667627" w:rsidP="00FE6A54">
      <w:r>
        <w:t>Overslaget for kap. 5440, underpost 24.4 Avskrivingar er auka med 3 000 mill. kroner, til 23 200 mill. kroner. Auken skuldast større sal av olje frå fleire store felt som Gullfa</w:t>
      </w:r>
      <w:r>
        <w:t>ks, Åsgard og Oseberg.</w:t>
      </w:r>
    </w:p>
    <w:p w:rsidR="00000000" w:rsidRDefault="00667627" w:rsidP="00FE6A54">
      <w:r>
        <w:t>Overslaget for kap. 5440, underpost 24.5 Renter av statens kapital er redusert med 100 mill. kroner, til 2 800 mill. kroner. Nedgangen skuldast oppdatert rentesats.</w:t>
      </w:r>
    </w:p>
    <w:p w:rsidR="00000000" w:rsidRDefault="00667627" w:rsidP="00FE6A54">
      <w:r>
        <w:t>Endringar i underpostar omtalt over medfører at overslaget over SDØE</w:t>
      </w:r>
      <w:r>
        <w:t xml:space="preserve">s driftsresultat er redusert med 10 800 mill. kroner, frå 106 600 mill. kroner til 95 800 mill. kroner. </w:t>
      </w:r>
    </w:p>
    <w:p w:rsidR="00000000" w:rsidRDefault="00667627" w:rsidP="00FE6A54">
      <w:r>
        <w:t>Overslaget for netto kontantstraum frå SDØE er redusert frå 100 700 mill. kroner til 94 800 mill. kroner, ein reduksjon på 5 900 mill. kroner frå gjeld</w:t>
      </w:r>
      <w:r>
        <w:t>ande løyving for 2019.</w:t>
      </w:r>
    </w:p>
    <w:p w:rsidR="00000000" w:rsidRDefault="00667627" w:rsidP="00FE6A54">
      <w:pPr>
        <w:pStyle w:val="b-budkaptit"/>
      </w:pPr>
      <w:r>
        <w:t>Kap. 2490 NVE Anlegg</w:t>
      </w:r>
    </w:p>
    <w:p w:rsidR="00000000" w:rsidRDefault="00667627" w:rsidP="00FE6A54">
      <w:pPr>
        <w:pStyle w:val="b-post"/>
      </w:pPr>
      <w:r>
        <w:t>Post 24 Driftsresultat</w:t>
      </w:r>
    </w:p>
    <w:p w:rsidR="00FE6A54" w:rsidRPr="00FE6A54" w:rsidRDefault="00FE6A54" w:rsidP="00FE6A54">
      <w:pPr>
        <w:pStyle w:val="tabell-tittel"/>
      </w:pPr>
      <w:r>
        <w:t>Endringar under kap. 2490 NVE Anlegg (i 1 000 kr)</w:t>
      </w:r>
    </w:p>
    <w:p w:rsidR="00000000" w:rsidRDefault="00667627" w:rsidP="00FE6A54">
      <w:pPr>
        <w:pStyle w:val="Tabellnavn"/>
      </w:pPr>
      <w:r>
        <w:t>06J1tx2</w:t>
      </w:r>
    </w:p>
    <w:tbl>
      <w:tblPr>
        <w:tblStyle w:val="StandardTabell"/>
        <w:tblW w:w="0" w:type="auto"/>
        <w:tblLayout w:type="fixed"/>
        <w:tblLook w:val="04A0" w:firstRow="1" w:lastRow="0" w:firstColumn="1" w:lastColumn="0" w:noHBand="0" w:noVBand="1"/>
      </w:tblPr>
      <w:tblGrid>
        <w:gridCol w:w="680"/>
        <w:gridCol w:w="680"/>
        <w:gridCol w:w="3960"/>
        <w:gridCol w:w="1400"/>
        <w:gridCol w:w="1400"/>
        <w:gridCol w:w="1400"/>
      </w:tblGrid>
      <w:tr w:rsidR="00000000" w:rsidTr="00FE6A54">
        <w:trPr>
          <w:trHeight w:val="600"/>
        </w:trPr>
        <w:tc>
          <w:tcPr>
            <w:tcW w:w="1360" w:type="dxa"/>
            <w:gridSpan w:val="2"/>
            <w:shd w:val="clear" w:color="auto" w:fill="FFFFFF"/>
          </w:tcPr>
          <w:p w:rsidR="00000000" w:rsidRDefault="00667627" w:rsidP="00FE6A54">
            <w:r>
              <w:t>Kap./post/</w:t>
            </w:r>
            <w:r>
              <w:br/>
              <w:t>underpost</w:t>
            </w:r>
          </w:p>
        </w:tc>
        <w:tc>
          <w:tcPr>
            <w:tcW w:w="3960" w:type="dxa"/>
          </w:tcPr>
          <w:p w:rsidR="00000000" w:rsidRDefault="00667627" w:rsidP="00FE6A54">
            <w:r>
              <w:br/>
              <w:t xml:space="preserve">Nemning </w:t>
            </w:r>
          </w:p>
        </w:tc>
        <w:tc>
          <w:tcPr>
            <w:tcW w:w="1400" w:type="dxa"/>
          </w:tcPr>
          <w:p w:rsidR="00000000" w:rsidRDefault="00667627" w:rsidP="00FE6A54">
            <w:pPr>
              <w:jc w:val="right"/>
            </w:pPr>
            <w:r>
              <w:t>Gjeldande</w:t>
            </w:r>
            <w:r>
              <w:br/>
              <w:t xml:space="preserve"> overslag</w:t>
            </w:r>
          </w:p>
        </w:tc>
        <w:tc>
          <w:tcPr>
            <w:tcW w:w="1400" w:type="dxa"/>
          </w:tcPr>
          <w:p w:rsidR="00000000" w:rsidRDefault="00667627" w:rsidP="00FE6A54">
            <w:pPr>
              <w:jc w:val="right"/>
            </w:pPr>
            <w:r>
              <w:t xml:space="preserve">Nytt </w:t>
            </w:r>
            <w:r w:rsidR="00FE6A54">
              <w:br/>
            </w:r>
            <w:r>
              <w:t>overslag</w:t>
            </w:r>
          </w:p>
        </w:tc>
        <w:tc>
          <w:tcPr>
            <w:tcW w:w="1400" w:type="dxa"/>
          </w:tcPr>
          <w:p w:rsidR="00000000" w:rsidRDefault="00667627" w:rsidP="00FE6A54">
            <w:pPr>
              <w:jc w:val="right"/>
            </w:pPr>
            <w:r>
              <w:t>Endring</w:t>
            </w:r>
          </w:p>
        </w:tc>
      </w:tr>
      <w:tr w:rsidR="00000000" w:rsidTr="00FE6A54">
        <w:trPr>
          <w:trHeight w:val="380"/>
        </w:trPr>
        <w:tc>
          <w:tcPr>
            <w:tcW w:w="680" w:type="dxa"/>
          </w:tcPr>
          <w:p w:rsidR="00000000" w:rsidRDefault="00667627" w:rsidP="00FE6A54">
            <w:r>
              <w:t>2490</w:t>
            </w:r>
          </w:p>
        </w:tc>
        <w:tc>
          <w:tcPr>
            <w:tcW w:w="680" w:type="dxa"/>
          </w:tcPr>
          <w:p w:rsidR="00000000" w:rsidRDefault="00667627" w:rsidP="00FE6A54">
            <w:r>
              <w:t>24.1</w:t>
            </w:r>
          </w:p>
        </w:tc>
        <w:tc>
          <w:tcPr>
            <w:tcW w:w="3960" w:type="dxa"/>
          </w:tcPr>
          <w:p w:rsidR="00000000" w:rsidRDefault="00667627" w:rsidP="00FE6A54">
            <w:r>
              <w:t>Driftsinntekter</w:t>
            </w:r>
          </w:p>
        </w:tc>
        <w:tc>
          <w:tcPr>
            <w:tcW w:w="1400" w:type="dxa"/>
          </w:tcPr>
          <w:p w:rsidR="00000000" w:rsidRDefault="00667627" w:rsidP="00FE6A54">
            <w:pPr>
              <w:jc w:val="right"/>
            </w:pPr>
            <w:r>
              <w:t>-80 </w:t>
            </w:r>
            <w:r>
              <w:t xml:space="preserve">000 </w:t>
            </w:r>
          </w:p>
        </w:tc>
        <w:tc>
          <w:tcPr>
            <w:tcW w:w="1400" w:type="dxa"/>
          </w:tcPr>
          <w:p w:rsidR="00000000" w:rsidRDefault="00667627" w:rsidP="00FE6A54">
            <w:pPr>
              <w:jc w:val="right"/>
            </w:pPr>
            <w:r>
              <w:t>-128 500</w:t>
            </w:r>
          </w:p>
        </w:tc>
        <w:tc>
          <w:tcPr>
            <w:tcW w:w="1400" w:type="dxa"/>
          </w:tcPr>
          <w:p w:rsidR="00000000" w:rsidRDefault="00667627" w:rsidP="00FE6A54">
            <w:pPr>
              <w:jc w:val="right"/>
            </w:pPr>
            <w:r>
              <w:t>-48 500</w:t>
            </w:r>
          </w:p>
        </w:tc>
      </w:tr>
      <w:tr w:rsidR="00000000" w:rsidTr="00FE6A54">
        <w:trPr>
          <w:trHeight w:val="380"/>
        </w:trPr>
        <w:tc>
          <w:tcPr>
            <w:tcW w:w="680" w:type="dxa"/>
          </w:tcPr>
          <w:p w:rsidR="00000000" w:rsidRDefault="00667627" w:rsidP="00FE6A54"/>
        </w:tc>
        <w:tc>
          <w:tcPr>
            <w:tcW w:w="680" w:type="dxa"/>
          </w:tcPr>
          <w:p w:rsidR="00000000" w:rsidRDefault="00667627" w:rsidP="00FE6A54">
            <w:r>
              <w:t>24.2</w:t>
            </w:r>
          </w:p>
        </w:tc>
        <w:tc>
          <w:tcPr>
            <w:tcW w:w="3960" w:type="dxa"/>
          </w:tcPr>
          <w:p w:rsidR="00000000" w:rsidRDefault="00667627" w:rsidP="00FE6A54">
            <w:r>
              <w:t>Driftsutgifter</w:t>
            </w:r>
          </w:p>
        </w:tc>
        <w:tc>
          <w:tcPr>
            <w:tcW w:w="1400" w:type="dxa"/>
          </w:tcPr>
          <w:p w:rsidR="00000000" w:rsidRDefault="00667627" w:rsidP="00FE6A54">
            <w:pPr>
              <w:jc w:val="right"/>
            </w:pPr>
            <w:r>
              <w:t>75 300</w:t>
            </w:r>
          </w:p>
        </w:tc>
        <w:tc>
          <w:tcPr>
            <w:tcW w:w="1400" w:type="dxa"/>
          </w:tcPr>
          <w:p w:rsidR="00000000" w:rsidRDefault="00667627" w:rsidP="00FE6A54">
            <w:pPr>
              <w:jc w:val="right"/>
            </w:pPr>
            <w:r>
              <w:t>125 800</w:t>
            </w:r>
          </w:p>
        </w:tc>
        <w:tc>
          <w:tcPr>
            <w:tcW w:w="1400" w:type="dxa"/>
          </w:tcPr>
          <w:p w:rsidR="00000000" w:rsidRDefault="00667627" w:rsidP="00FE6A54">
            <w:pPr>
              <w:jc w:val="right"/>
            </w:pPr>
            <w:r>
              <w:t>50 500</w:t>
            </w:r>
          </w:p>
        </w:tc>
      </w:tr>
      <w:tr w:rsidR="00000000" w:rsidTr="00FE6A54">
        <w:trPr>
          <w:trHeight w:val="380"/>
        </w:trPr>
        <w:tc>
          <w:tcPr>
            <w:tcW w:w="680" w:type="dxa"/>
          </w:tcPr>
          <w:p w:rsidR="00000000" w:rsidRDefault="00667627" w:rsidP="00FE6A54"/>
        </w:tc>
        <w:tc>
          <w:tcPr>
            <w:tcW w:w="680" w:type="dxa"/>
          </w:tcPr>
          <w:p w:rsidR="00000000" w:rsidRDefault="00667627" w:rsidP="00FE6A54">
            <w:r>
              <w:t>24.3</w:t>
            </w:r>
          </w:p>
        </w:tc>
        <w:tc>
          <w:tcPr>
            <w:tcW w:w="3960" w:type="dxa"/>
          </w:tcPr>
          <w:p w:rsidR="00000000" w:rsidRDefault="00667627" w:rsidP="00FE6A54">
            <w:r>
              <w:t>Avskrivingar</w:t>
            </w:r>
          </w:p>
        </w:tc>
        <w:tc>
          <w:tcPr>
            <w:tcW w:w="1400" w:type="dxa"/>
          </w:tcPr>
          <w:p w:rsidR="00000000" w:rsidRDefault="00667627" w:rsidP="00FE6A54">
            <w:pPr>
              <w:jc w:val="right"/>
            </w:pPr>
            <w:r>
              <w:t>4 500</w:t>
            </w:r>
          </w:p>
        </w:tc>
        <w:tc>
          <w:tcPr>
            <w:tcW w:w="1400" w:type="dxa"/>
          </w:tcPr>
          <w:p w:rsidR="00000000" w:rsidRDefault="00667627" w:rsidP="00FE6A54">
            <w:pPr>
              <w:jc w:val="right"/>
            </w:pPr>
            <w:r>
              <w:t>2 500</w:t>
            </w:r>
          </w:p>
        </w:tc>
        <w:tc>
          <w:tcPr>
            <w:tcW w:w="1400" w:type="dxa"/>
          </w:tcPr>
          <w:p w:rsidR="00000000" w:rsidRDefault="00667627" w:rsidP="00FE6A54">
            <w:pPr>
              <w:jc w:val="right"/>
            </w:pPr>
            <w:r>
              <w:t>-2 000</w:t>
            </w:r>
          </w:p>
        </w:tc>
      </w:tr>
      <w:tr w:rsidR="00000000" w:rsidTr="00FE6A54">
        <w:trPr>
          <w:trHeight w:val="380"/>
        </w:trPr>
        <w:tc>
          <w:tcPr>
            <w:tcW w:w="680" w:type="dxa"/>
          </w:tcPr>
          <w:p w:rsidR="00000000" w:rsidRDefault="00667627" w:rsidP="00FE6A54"/>
        </w:tc>
        <w:tc>
          <w:tcPr>
            <w:tcW w:w="680" w:type="dxa"/>
          </w:tcPr>
          <w:p w:rsidR="00000000" w:rsidRDefault="00667627" w:rsidP="00FE6A54">
            <w:r>
              <w:t>24.4</w:t>
            </w:r>
          </w:p>
        </w:tc>
        <w:tc>
          <w:tcPr>
            <w:tcW w:w="3960" w:type="dxa"/>
          </w:tcPr>
          <w:p w:rsidR="00000000" w:rsidRDefault="00667627" w:rsidP="00FE6A54">
            <w:r>
              <w:t>Renter av statens kapital</w:t>
            </w:r>
          </w:p>
        </w:tc>
        <w:tc>
          <w:tcPr>
            <w:tcW w:w="1400" w:type="dxa"/>
          </w:tcPr>
          <w:p w:rsidR="00000000" w:rsidRDefault="00667627" w:rsidP="00FE6A54">
            <w:pPr>
              <w:jc w:val="right"/>
            </w:pPr>
            <w:r>
              <w:t>200</w:t>
            </w:r>
          </w:p>
        </w:tc>
        <w:tc>
          <w:tcPr>
            <w:tcW w:w="1400" w:type="dxa"/>
          </w:tcPr>
          <w:p w:rsidR="00000000" w:rsidRDefault="00667627" w:rsidP="00FE6A54">
            <w:pPr>
              <w:jc w:val="right"/>
            </w:pPr>
            <w:r>
              <w:t>200</w:t>
            </w:r>
          </w:p>
        </w:tc>
        <w:tc>
          <w:tcPr>
            <w:tcW w:w="1400" w:type="dxa"/>
          </w:tcPr>
          <w:p w:rsidR="00000000" w:rsidRDefault="00667627" w:rsidP="00FE6A54">
            <w:pPr>
              <w:jc w:val="right"/>
            </w:pPr>
            <w:r>
              <w:t>-</w:t>
            </w:r>
          </w:p>
        </w:tc>
      </w:tr>
      <w:tr w:rsidR="00000000" w:rsidTr="00FE6A54">
        <w:trPr>
          <w:trHeight w:val="380"/>
        </w:trPr>
        <w:tc>
          <w:tcPr>
            <w:tcW w:w="680" w:type="dxa"/>
          </w:tcPr>
          <w:p w:rsidR="00000000" w:rsidRDefault="00667627" w:rsidP="00FE6A54"/>
        </w:tc>
        <w:tc>
          <w:tcPr>
            <w:tcW w:w="680" w:type="dxa"/>
          </w:tcPr>
          <w:p w:rsidR="00000000" w:rsidRDefault="00667627" w:rsidP="00FE6A54">
            <w:r>
              <w:t>24.5</w:t>
            </w:r>
          </w:p>
        </w:tc>
        <w:tc>
          <w:tcPr>
            <w:tcW w:w="3960" w:type="dxa"/>
          </w:tcPr>
          <w:p w:rsidR="00000000" w:rsidRDefault="00667627" w:rsidP="00FE6A54">
            <w:r>
              <w:t>Investeringsformål</w:t>
            </w:r>
          </w:p>
        </w:tc>
        <w:tc>
          <w:tcPr>
            <w:tcW w:w="1400" w:type="dxa"/>
          </w:tcPr>
          <w:p w:rsidR="00000000" w:rsidRDefault="00667627" w:rsidP="00FE6A54">
            <w:pPr>
              <w:jc w:val="right"/>
            </w:pPr>
            <w:r>
              <w:t>0</w:t>
            </w:r>
          </w:p>
        </w:tc>
        <w:tc>
          <w:tcPr>
            <w:tcW w:w="1400" w:type="dxa"/>
          </w:tcPr>
          <w:p w:rsidR="00000000" w:rsidRDefault="00667627" w:rsidP="00FE6A54">
            <w:pPr>
              <w:jc w:val="right"/>
            </w:pPr>
            <w:r>
              <w:t>0</w:t>
            </w:r>
          </w:p>
        </w:tc>
        <w:tc>
          <w:tcPr>
            <w:tcW w:w="1400" w:type="dxa"/>
          </w:tcPr>
          <w:p w:rsidR="00000000" w:rsidRDefault="00667627" w:rsidP="00FE6A54">
            <w:pPr>
              <w:jc w:val="right"/>
            </w:pPr>
            <w:r>
              <w:t>-</w:t>
            </w:r>
          </w:p>
        </w:tc>
      </w:tr>
      <w:tr w:rsidR="00000000" w:rsidTr="00FE6A54">
        <w:trPr>
          <w:trHeight w:val="380"/>
        </w:trPr>
        <w:tc>
          <w:tcPr>
            <w:tcW w:w="680" w:type="dxa"/>
          </w:tcPr>
          <w:p w:rsidR="00000000" w:rsidRDefault="00667627" w:rsidP="00FE6A54"/>
        </w:tc>
        <w:tc>
          <w:tcPr>
            <w:tcW w:w="680" w:type="dxa"/>
          </w:tcPr>
          <w:p w:rsidR="00000000" w:rsidRDefault="00667627" w:rsidP="00FE6A54">
            <w:r>
              <w:t>24.6</w:t>
            </w:r>
          </w:p>
        </w:tc>
        <w:tc>
          <w:tcPr>
            <w:tcW w:w="3960" w:type="dxa"/>
          </w:tcPr>
          <w:p w:rsidR="00000000" w:rsidRDefault="00667627" w:rsidP="00FE6A54">
            <w:r>
              <w:t>Reguleringsfond</w:t>
            </w:r>
          </w:p>
        </w:tc>
        <w:tc>
          <w:tcPr>
            <w:tcW w:w="1400" w:type="dxa"/>
          </w:tcPr>
          <w:p w:rsidR="00000000" w:rsidRDefault="00667627" w:rsidP="00FE6A54">
            <w:pPr>
              <w:jc w:val="right"/>
            </w:pPr>
            <w:r>
              <w:t>0</w:t>
            </w:r>
          </w:p>
        </w:tc>
        <w:tc>
          <w:tcPr>
            <w:tcW w:w="1400" w:type="dxa"/>
          </w:tcPr>
          <w:p w:rsidR="00000000" w:rsidRDefault="00667627" w:rsidP="00FE6A54">
            <w:pPr>
              <w:jc w:val="right"/>
            </w:pPr>
            <w:r>
              <w:t>0</w:t>
            </w:r>
          </w:p>
        </w:tc>
        <w:tc>
          <w:tcPr>
            <w:tcW w:w="1400" w:type="dxa"/>
          </w:tcPr>
          <w:p w:rsidR="00000000" w:rsidRDefault="00667627" w:rsidP="00FE6A54">
            <w:pPr>
              <w:jc w:val="right"/>
            </w:pPr>
            <w:r>
              <w:t>-</w:t>
            </w:r>
          </w:p>
        </w:tc>
      </w:tr>
      <w:tr w:rsidR="00000000" w:rsidTr="00FE6A54">
        <w:trPr>
          <w:trHeight w:val="380"/>
        </w:trPr>
        <w:tc>
          <w:tcPr>
            <w:tcW w:w="680" w:type="dxa"/>
          </w:tcPr>
          <w:p w:rsidR="00000000" w:rsidRDefault="00667627" w:rsidP="00FE6A54"/>
        </w:tc>
        <w:tc>
          <w:tcPr>
            <w:tcW w:w="680" w:type="dxa"/>
          </w:tcPr>
          <w:p w:rsidR="00000000" w:rsidRDefault="00667627" w:rsidP="00FE6A54">
            <w:r>
              <w:t>24</w:t>
            </w:r>
          </w:p>
        </w:tc>
        <w:tc>
          <w:tcPr>
            <w:tcW w:w="3960" w:type="dxa"/>
          </w:tcPr>
          <w:p w:rsidR="00000000" w:rsidRDefault="00667627" w:rsidP="00FE6A54">
            <w:r>
              <w:t>Driftsresultat</w:t>
            </w:r>
          </w:p>
        </w:tc>
        <w:tc>
          <w:tcPr>
            <w:tcW w:w="1400" w:type="dxa"/>
          </w:tcPr>
          <w:p w:rsidR="00000000" w:rsidRDefault="00667627" w:rsidP="00FE6A54">
            <w:pPr>
              <w:jc w:val="right"/>
            </w:pPr>
            <w:r>
              <w:t xml:space="preserve">0 </w:t>
            </w:r>
          </w:p>
        </w:tc>
        <w:tc>
          <w:tcPr>
            <w:tcW w:w="1400" w:type="dxa"/>
          </w:tcPr>
          <w:p w:rsidR="00000000" w:rsidRDefault="00667627" w:rsidP="00FE6A54">
            <w:pPr>
              <w:jc w:val="right"/>
            </w:pPr>
            <w:r>
              <w:t>0</w:t>
            </w:r>
          </w:p>
        </w:tc>
        <w:tc>
          <w:tcPr>
            <w:tcW w:w="1400" w:type="dxa"/>
          </w:tcPr>
          <w:p w:rsidR="00000000" w:rsidRDefault="00667627" w:rsidP="00FE6A54">
            <w:pPr>
              <w:jc w:val="right"/>
            </w:pPr>
            <w:r>
              <w:t>-</w:t>
            </w:r>
          </w:p>
        </w:tc>
      </w:tr>
    </w:tbl>
    <w:p w:rsidR="00000000" w:rsidRDefault="00667627" w:rsidP="00FE6A54">
      <w:r>
        <w:t>Overslaget for kap. 2490, underpost 24.1 Driftsinntekter er auka med 48,5 mill. kroner, til 128,5 mill. kroner. Auken skuldast høgare omsetning som følgje av auka oppdragsmengd.</w:t>
      </w:r>
    </w:p>
    <w:p w:rsidR="00000000" w:rsidRDefault="00667627" w:rsidP="00FE6A54">
      <w:r>
        <w:t>Overslaget for kap. 2490, underpost 24.2 Driftsutgifter er auka med 50,5 mill.</w:t>
      </w:r>
      <w:r>
        <w:t xml:space="preserve"> kroner, til 125,8 mill. kroner. Auken heng saman med utgiftsauke til varer, tenester og underleveransar som følgje av den auka oppdragsmengda.</w:t>
      </w:r>
    </w:p>
    <w:p w:rsidR="00000000" w:rsidRDefault="00667627" w:rsidP="00FE6A54">
      <w:r>
        <w:t>Overslaget for kap. 2490, underpost 24.3 Avskrivingar er redusert med 2 mill. kroner, til 2,5 mill. kroner. Redu</w:t>
      </w:r>
      <w:r>
        <w:t>ksjonen heng saman med lågare investeringar enn venta og at fleire eigedelar er ferdig avskrivne eller selde.</w:t>
      </w:r>
    </w:p>
    <w:p w:rsidR="00000000" w:rsidRDefault="00667627" w:rsidP="00FE6A54">
      <w:r>
        <w:lastRenderedPageBreak/>
        <w:t>Ovannemnde endringar medfører inga endring i NVE Anlegg sitt driftsresultat.</w:t>
      </w:r>
    </w:p>
    <w:p w:rsidR="00000000" w:rsidRDefault="00667627" w:rsidP="00FE6A54">
      <w:pPr>
        <w:pStyle w:val="b-post"/>
      </w:pPr>
      <w:r>
        <w:t>Post 45 Større utstyrsanskaffingar og vedlikehald, kan overførast</w:t>
      </w:r>
    </w:p>
    <w:p w:rsidR="00000000" w:rsidRDefault="00667627" w:rsidP="00FE6A54">
      <w:r>
        <w:t>NVE</w:t>
      </w:r>
      <w:r>
        <w:t xml:space="preserve"> har behov for ein hengar for å kunne transportere stort og tungt utstyr, som for eksempel gravemaskiner, over store avstandar i Nord-Noreg. Det er behov for slikt utstyr ved beredskapshendingar og lignande når det er fare for liv og eigedom. I region nord</w:t>
      </w:r>
      <w:r>
        <w:t xml:space="preserve"> er det vanskeleg å leige tilsvarande utstyr på kort varsel. Dagens hengar er utrangert og må skiftast ut. </w:t>
      </w:r>
    </w:p>
    <w:p w:rsidR="00000000" w:rsidRDefault="00667627" w:rsidP="00FE6A54">
      <w:r>
        <w:t>På denne bakgrunnen er det foreslått løyvd 2 mill. kroner. Ein viser til tilsvarande reduksjon under kap. 1820, post 01 Driftsutgifter.</w:t>
      </w:r>
    </w:p>
    <w:p w:rsidR="00000000" w:rsidRDefault="00667627" w:rsidP="00FE6A54">
      <w:pPr>
        <w:pStyle w:val="b-budkaptit"/>
      </w:pPr>
      <w:r>
        <w:t>Kap. 4810 Ol</w:t>
      </w:r>
      <w:r>
        <w:t>jedirektoratet</w:t>
      </w:r>
    </w:p>
    <w:p w:rsidR="00000000" w:rsidRDefault="00667627" w:rsidP="00FE6A54">
      <w:pPr>
        <w:pStyle w:val="b-post"/>
      </w:pPr>
      <w:r>
        <w:t>Post 01 Gebyrinntekter</w:t>
      </w:r>
    </w:p>
    <w:p w:rsidR="00000000" w:rsidRDefault="00667627" w:rsidP="00FE6A54">
      <w:r>
        <w:t xml:space="preserve">Det er foreslått å auke løyvinga med 5,5 mill. kroner, til 32 mill. kroner. Ein viser til omtale og tilsvarande utgiftsauke under kap. 1810, post 01 Driftsutgifter. </w:t>
      </w:r>
    </w:p>
    <w:p w:rsidR="00000000" w:rsidRDefault="00667627" w:rsidP="00FE6A54">
      <w:pPr>
        <w:pStyle w:val="b-post"/>
      </w:pPr>
      <w:r>
        <w:t>Post 02 Oppdrags- og samarbeidsinntekter</w:t>
      </w:r>
    </w:p>
    <w:p w:rsidR="00000000" w:rsidRDefault="00667627" w:rsidP="00FE6A54">
      <w:r>
        <w:t>Det er fore</w:t>
      </w:r>
      <w:r>
        <w:t xml:space="preserve">slått å redusere løyvinga med 18,5 mill. kroner, til 100,5 mill. kroner. Ein viser til omtale og tilsvarande utgiftsreduksjon under kap. 1810, post 23 Oppdrags- og samarbeidsverksemd. </w:t>
      </w:r>
    </w:p>
    <w:p w:rsidR="00000000" w:rsidRDefault="00667627" w:rsidP="00FE6A54">
      <w:pPr>
        <w:pStyle w:val="b-budkaptit"/>
      </w:pPr>
      <w:r>
        <w:t xml:space="preserve">Kap. 4820 Noregs vassdrags- og energidirektorat </w:t>
      </w:r>
    </w:p>
    <w:p w:rsidR="00000000" w:rsidRDefault="00667627" w:rsidP="00FE6A54">
      <w:pPr>
        <w:pStyle w:val="b-post"/>
      </w:pPr>
      <w:r>
        <w:t>Post 02 Oppdrags- og samarbeidsinntekter</w:t>
      </w:r>
    </w:p>
    <w:p w:rsidR="00000000" w:rsidRDefault="00667627" w:rsidP="00FE6A54">
      <w:r>
        <w:t xml:space="preserve">Det er foreslått å redusere løyvinga med 17 mill. kroner, til 72 mill. kroner. Ein viser til omtale og tilsvarande utgiftsreduksjon under kap. 1820, post 23 Oppdrags- og samarbeidsverksemd. </w:t>
      </w:r>
    </w:p>
    <w:p w:rsidR="00000000" w:rsidRDefault="00667627" w:rsidP="00FE6A54">
      <w:pPr>
        <w:pStyle w:val="b-budkaptit"/>
      </w:pPr>
      <w:r>
        <w:t>Kap. 5582 Sektoravgifter</w:t>
      </w:r>
      <w:r>
        <w:t xml:space="preserve"> under Olje- og energidepartementet </w:t>
      </w:r>
    </w:p>
    <w:p w:rsidR="00000000" w:rsidRDefault="00667627" w:rsidP="00FE6A54">
      <w:pPr>
        <w:pStyle w:val="b-post"/>
      </w:pPr>
      <w:r>
        <w:t>Post 70 Bidrag til kulturminnevern i regulerte vassdrag</w:t>
      </w:r>
    </w:p>
    <w:p w:rsidR="00000000" w:rsidRDefault="00667627" w:rsidP="00FE6A54">
      <w:r>
        <w:t>Sektoravgift for kulturminnevern i regulerte vassdrag dekkjer kostnader til arkeologiske undersøkingar i vassdrag. Det er konsesjonar gitt før 1960 der det ikkje v</w:t>
      </w:r>
      <w:r>
        <w:t>art gjort arkeologiske undersøkingar ved utbygging, som er omfatta av ordninga når konsesjon skal fornyast eller vilkåra reviderast. Konsesjonæren betaler eit beløp basert på størrelsen på produksjonen i reguleringsmagasinet.</w:t>
      </w:r>
    </w:p>
    <w:p w:rsidR="00000000" w:rsidRDefault="00667627" w:rsidP="00FE6A54">
      <w:r>
        <w:t>Det er foreslått ei løyving på</w:t>
      </w:r>
      <w:r>
        <w:t xml:space="preserve"> 1,5 mill. kroner i 2019. Innbetalinga er knytt til fornya reguleringskonsesjon for Mesnavassdraget, Hjertvatn og Håkvikvassdrag. </w:t>
      </w:r>
    </w:p>
    <w:p w:rsidR="00000000" w:rsidRDefault="00667627" w:rsidP="00FE6A54">
      <w:pPr>
        <w:pStyle w:val="b-budkaptit"/>
      </w:pPr>
      <w:r>
        <w:t>Kap. 5685 Aksjar i Equinor ASA</w:t>
      </w:r>
    </w:p>
    <w:p w:rsidR="00000000" w:rsidRDefault="00667627" w:rsidP="00FE6A54">
      <w:pPr>
        <w:pStyle w:val="b-post"/>
      </w:pPr>
      <w:r>
        <w:t>Post 85 Utbytte</w:t>
      </w:r>
    </w:p>
    <w:p w:rsidR="00000000" w:rsidRDefault="00667627" w:rsidP="00FE6A54">
      <w:r>
        <w:t xml:space="preserve">Equinor ASA har utbetalt til saman 14 744 mill. kroner i utbytte til Olje- og </w:t>
      </w:r>
      <w:r>
        <w:t xml:space="preserve">energidepartementet for tredje og fjerde kvartal 2018 og første kvartal 2019. For budsjettformål er det lagt til grunn eit kontantutbytte for andre kvartal 2019 tilsvarande utbetalinga for første kvartal 2019. </w:t>
      </w:r>
    </w:p>
    <w:p w:rsidR="00000000" w:rsidRDefault="00667627" w:rsidP="00FE6A54">
      <w:r>
        <w:t>Det er på den bakgrunnen foreslått å auke løy</w:t>
      </w:r>
      <w:r>
        <w:t xml:space="preserve">vinga med 530 mill. kroner, til 20 000 mill. kroner. </w:t>
      </w:r>
    </w:p>
    <w:p w:rsidR="00000000" w:rsidRDefault="00667627" w:rsidP="00FE6A54">
      <w:pPr>
        <w:pStyle w:val="Overskrift1"/>
      </w:pPr>
      <w:r>
        <w:t>Bruk av fullmakter under petroleumsverksemda</w:t>
      </w:r>
    </w:p>
    <w:p w:rsidR="00000000" w:rsidRDefault="00667627" w:rsidP="00FE6A54">
      <w:r>
        <w:t>Som ein del av den årlege behandlinga av statsbudsjettet gir Stortinget fullmakter til Kongen i statsråd og Olje- og energidepartementet knytt til petrol</w:t>
      </w:r>
      <w:r>
        <w:t xml:space="preserve">eumsverksemda. </w:t>
      </w:r>
    </w:p>
    <w:p w:rsidR="00000000" w:rsidRDefault="00667627" w:rsidP="00FE6A54">
      <w:r>
        <w:lastRenderedPageBreak/>
        <w:t>Nedanfor gjer Olje- og energidepartementet greie for bruk av desse fullmaktene sidan førre rapportering.</w:t>
      </w:r>
    </w:p>
    <w:p w:rsidR="00000000" w:rsidRDefault="00667627" w:rsidP="00FE6A54">
      <w:pPr>
        <w:pStyle w:val="Overskrift2"/>
      </w:pPr>
      <w:r>
        <w:t>Utbyggingsprosjekt på norsk kontinentalsokkel</w:t>
      </w:r>
    </w:p>
    <w:p w:rsidR="00000000" w:rsidRDefault="00667627" w:rsidP="00FE6A54">
      <w:r>
        <w:t>Stortinget har samtykt i at Olje- og energidepartementet kan godkjenne prosjekt</w:t>
      </w:r>
      <w:r>
        <w:t xml:space="preserve"> (planar for utbygging/anlegg og drift) på norsk kontinentalsokkel under følgjande føresetnader (jf. fullmakt XIV i Prop. 1 S (2018–2019)):</w:t>
      </w:r>
    </w:p>
    <w:p w:rsidR="00000000" w:rsidRDefault="00667627" w:rsidP="00FE6A54">
      <w:pPr>
        <w:pStyle w:val="Nummerertliste"/>
      </w:pPr>
      <w:r>
        <w:t>Prosjektet må ikkje ha prinsipielle eller samfunnsvise sider av betydning.</w:t>
      </w:r>
    </w:p>
    <w:p w:rsidR="00000000" w:rsidRDefault="00667627" w:rsidP="00FE6A54">
      <w:pPr>
        <w:pStyle w:val="Nummerertliste"/>
      </w:pPr>
      <w:r>
        <w:t>Ø</w:t>
      </w:r>
      <w:r>
        <w:t>vre grense for dei samla investeringane per prosjekt utgjer 20 mrd. kroner.</w:t>
      </w:r>
    </w:p>
    <w:p w:rsidR="00000000" w:rsidRDefault="00667627" w:rsidP="00FE6A54">
      <w:pPr>
        <w:pStyle w:val="Nummerertliste"/>
      </w:pPr>
      <w:r>
        <w:t>Kvart enkelt prosjekt må vise akseptabel samfunnsøkonomisk lønsemd og vere rimeleg robust mot endringar i prisutviklinga for olje og naturgass.</w:t>
      </w:r>
    </w:p>
    <w:p w:rsidR="00000000" w:rsidRDefault="00667627" w:rsidP="00FE6A54">
      <w:r>
        <w:t xml:space="preserve">Fullmakta har blitt nytta ved </w:t>
      </w:r>
      <w:r>
        <w:t>følgjande høve</w:t>
      </w:r>
      <w:r>
        <w:rPr>
          <w:vertAlign w:val="superscript"/>
        </w:rPr>
        <w:footnoteReference w:id="1"/>
      </w:r>
      <w:r>
        <w:t>:</w:t>
      </w:r>
    </w:p>
    <w:p w:rsidR="00000000" w:rsidRDefault="00667627" w:rsidP="00FE6A54">
      <w:pPr>
        <w:pStyle w:val="avsnitt-undertittel"/>
      </w:pPr>
      <w:r>
        <w:t>Troll fase 3</w:t>
      </w:r>
    </w:p>
    <w:p w:rsidR="00000000" w:rsidRDefault="00667627" w:rsidP="00FE6A54">
      <w:r>
        <w:t>Departementet tok 3. juli 2018 i mot søknad om godkjenning av endra plan for utbygging og drift (PUD) for Troll fase 3. Trollfeltet er bygd ut i fasar, og fase 3 gjeld utvinning av gassen i Troll Ves</w:t>
      </w:r>
      <w:r>
        <w:t>t. Den valde utbyggingsløysinga er ei undervassutbygging med to havbotnrammer og åtte gassbrønnar kopla opp til Troll A-plattforma. Brønnstraumen blir ført til Troll A gjennom ei ny røyrleidning for vidare kompresjon og eksport gjennom eksisterande infrast</w:t>
      </w:r>
      <w:r>
        <w:t xml:space="preserve">ruktur. Produksjonsstart er i PUD venta i 2021. Rettshavarar er Equinor Energy AS (operatør, 30,58 prosent), Petoro AS (56 prosent), A/S Norske Shell (8,1 prosent), Total E&amp;P Norge AS (3,69 prosent) og ConocoPhillips Skandinavia AS (1,62 prosent). </w:t>
      </w:r>
    </w:p>
    <w:p w:rsidR="00000000" w:rsidRDefault="00667627" w:rsidP="00FE6A54">
      <w:r>
        <w:t>Dei tot</w:t>
      </w:r>
      <w:r>
        <w:t xml:space="preserve">ale investeringane er i endra PUD anslått til 7,8 mrd. kroner. </w:t>
      </w:r>
    </w:p>
    <w:p w:rsidR="00000000" w:rsidRDefault="00667627" w:rsidP="00FE6A54">
      <w:r>
        <w:t xml:space="preserve">Endra PUD vart godkjent av Olje- og energidepartementet 7. desember 2018. </w:t>
      </w:r>
    </w:p>
    <w:p w:rsidR="00000000" w:rsidRDefault="00667627" w:rsidP="00FE6A54">
      <w:pPr>
        <w:pStyle w:val="avsnitt-undertittel"/>
      </w:pPr>
      <w:r>
        <w:t>Gullfaks Shetland/Lista fase 2</w:t>
      </w:r>
    </w:p>
    <w:p w:rsidR="00000000" w:rsidRDefault="00667627" w:rsidP="00FE6A54">
      <w:r>
        <w:t>Departementet tok 15. januar 2019 i mot søk</w:t>
      </w:r>
      <w:r>
        <w:t>nad om godkjenning av endra plan for utbygging og drift (PUD) for Gullfaksfeltet for vidareutviklingsprosjektet Shetland/Lista fase 2. Prosjektet skal auke utvinninga i Gullfaksområdet ved å bore sju nye brønnar for produksjon og injeksjon av vatn. Siste b</w:t>
      </w:r>
      <w:r>
        <w:t xml:space="preserve">rønn er planlagt bora i andre kvartal 2022. Rettshavarar er Equinor Energy AS (operatør, 51 prosent), Petoro AS (30 prosent) og OMV (Norge) AS (19 prosent). </w:t>
      </w:r>
    </w:p>
    <w:p w:rsidR="00000000" w:rsidRDefault="00667627" w:rsidP="00FE6A54">
      <w:r>
        <w:t xml:space="preserve">Dei totale investeringane er i endra PUD anslått til 2,2 mrd. kroner. </w:t>
      </w:r>
    </w:p>
    <w:p w:rsidR="00000000" w:rsidRDefault="00667627" w:rsidP="00FE6A54">
      <w:r>
        <w:t xml:space="preserve">Endra PUD vart godkjent av </w:t>
      </w:r>
      <w:r>
        <w:t xml:space="preserve">Olje- og energidepartementet 14. juni 2019. </w:t>
      </w:r>
    </w:p>
    <w:p w:rsidR="00000000" w:rsidRDefault="00667627" w:rsidP="00FE6A54">
      <w:pPr>
        <w:pStyle w:val="avsnitt-undertittel"/>
      </w:pPr>
      <w:r>
        <w:t>Solveig</w:t>
      </w:r>
    </w:p>
    <w:p w:rsidR="00000000" w:rsidRDefault="00667627" w:rsidP="00FE6A54">
      <w:r>
        <w:t>Departementet tok 27. mars 2019 i mot søknad om godkjenning av plan for utbygging og drift (PUD) for Solveig. Solveig er planlagt utbygd som ei undervassutbygging med fem brønnar knytt opp mot Edvard Gri</w:t>
      </w:r>
      <w:r>
        <w:t>eg-plattforma. Venta produksjonsstart er i første kvartal 2021. Rettshavarar er Lundin Norway AS (operatør, 65 prosent), OMV (Norge) AS (20 prosent) og Wintershall Norge AS (15 </w:t>
      </w:r>
      <w:r>
        <w:rPr>
          <w:spacing w:val="-2"/>
        </w:rPr>
        <w:t>prosent</w:t>
      </w:r>
      <w:r>
        <w:t>).</w:t>
      </w:r>
    </w:p>
    <w:p w:rsidR="00000000" w:rsidRDefault="00667627" w:rsidP="00FE6A54">
      <w:r>
        <w:t xml:space="preserve">Dei totale investeringane er i PUD anslått til 6,5 mrd. kroner. </w:t>
      </w:r>
    </w:p>
    <w:p w:rsidR="00000000" w:rsidRDefault="00667627" w:rsidP="00FE6A54">
      <w:r>
        <w:t xml:space="preserve">PUD </w:t>
      </w:r>
      <w:r>
        <w:t>for Solveig vart godkjent av Olje- og energidepartementet 26. juni 2019.</w:t>
      </w:r>
    </w:p>
    <w:p w:rsidR="00000000" w:rsidRDefault="00667627" w:rsidP="00FE6A54">
      <w:pPr>
        <w:pStyle w:val="avsnitt-undertittel"/>
      </w:pPr>
      <w:r>
        <w:t>Duva</w:t>
      </w:r>
    </w:p>
    <w:p w:rsidR="00000000" w:rsidRDefault="00667627" w:rsidP="00FE6A54">
      <w:r>
        <w:t>Departementet tok 22. februar 2019 i mot søknad om godkjenning av plan for utbygging og drift (PUD) for Duva. Duva er planlagt utbygd som ei undervassutbygging med ein havbotnram</w:t>
      </w:r>
      <w:r>
        <w:t xml:space="preserve">me og tre brønnar knytt opp mot Gjøa-plattforma. Venta produksjonsstart er fjerde kvartal 2020. Rettshavarar er Neptune </w:t>
      </w:r>
      <w:r>
        <w:lastRenderedPageBreak/>
        <w:t>Energy Norge AS (operatør, 30 prosent), Idemitsu Petroleum Norge AS (30 prosent), Pandion Energy AS (20 prosent) og PGNiG Upstream Norwa</w:t>
      </w:r>
      <w:r>
        <w:t xml:space="preserve">y AS (20 prosent). </w:t>
      </w:r>
    </w:p>
    <w:p w:rsidR="00000000" w:rsidRDefault="00667627" w:rsidP="00FE6A54">
      <w:r>
        <w:t xml:space="preserve">Dei totale investeringane er i PUD anslått til 5,5 mrd. kroner. </w:t>
      </w:r>
    </w:p>
    <w:p w:rsidR="00000000" w:rsidRDefault="00667627" w:rsidP="00FE6A54">
      <w:r>
        <w:t>PUD for Duva vart godkjent av Olje- og energidepartementet 27. juni 2019.</w:t>
      </w:r>
    </w:p>
    <w:p w:rsidR="00000000" w:rsidRDefault="00667627" w:rsidP="00FE6A54">
      <w:pPr>
        <w:pStyle w:val="avsnitt-undertittel"/>
      </w:pPr>
      <w:r>
        <w:t>Tor II</w:t>
      </w:r>
    </w:p>
    <w:p w:rsidR="00000000" w:rsidRDefault="00667627" w:rsidP="00FE6A54">
      <w:r>
        <w:t xml:space="preserve">Departementet tok 1. juli 2019 i mot søknad om godkjenning av plan for utbygging og drift </w:t>
      </w:r>
      <w:r>
        <w:t>(PUD) for Tor II. Tor-feltet er planlagt reutvikla med to havbotnrammer og åtte brønnar knytte opp til Ekofisk. Venta produksjonsstart er fjerde kvartal 2020. Rettshavarar er ConocoPhillips (operatør, 30,66 prosent), Total (48,20 prosent), Vår Energi (10,8</w:t>
      </w:r>
      <w:r>
        <w:t>2 prosent), Equinor (6,64 prosent) og Petoro (3,69 prosent).</w:t>
      </w:r>
    </w:p>
    <w:p w:rsidR="00000000" w:rsidRDefault="00667627" w:rsidP="00FE6A54">
      <w:r>
        <w:t xml:space="preserve">Dei totale investeringane er i PUD anslått til 6,1 mrd. kroner. </w:t>
      </w:r>
    </w:p>
    <w:p w:rsidR="00000000" w:rsidRDefault="00667627" w:rsidP="00FE6A54">
      <w:r>
        <w:t>PUD for Tor II vart godkjent av Olje- og energidepartementet 14. november 2019.</w:t>
      </w:r>
    </w:p>
    <w:p w:rsidR="00000000" w:rsidRDefault="00667627" w:rsidP="00FE6A54">
      <w:pPr>
        <w:pStyle w:val="Overskrift2"/>
      </w:pPr>
      <w:r>
        <w:t>Overdraging og samordning av delar i utvin</w:t>
      </w:r>
      <w:r>
        <w:t>ningsløyve</w:t>
      </w:r>
    </w:p>
    <w:p w:rsidR="00000000" w:rsidRDefault="00667627" w:rsidP="00FE6A54">
      <w:r>
        <w:t>Olje- og energidepartementet godkjente 6. mars 2019 at Petoro på vegne av staten ved SDØE deltok i ei forenkla samordning mellom utvinningsløyva 435 og 211, jf. fullmakt XII punkt 2 i Prop. 1 S (2018–2019). Samordning av Dvalinområdet gjennom ut</w:t>
      </w:r>
      <w:r>
        <w:t>jamning av deltakardelane i dei to utvinningsløyva er nødvendig før ressurspotensialet kan avklarast gjennom ein leitebrønn på Dvalin Nord. Petoro er rettshavar med ein deltakardel på 35 prosent i utvinningsløyva 435 og 211.</w:t>
      </w:r>
    </w:p>
    <w:p w:rsidR="00000000" w:rsidRDefault="00667627" w:rsidP="00FE6A54">
      <w:pPr>
        <w:pStyle w:val="a-tilraar-dep"/>
      </w:pPr>
      <w:r>
        <w:t>Olje- og energidepartementet</w:t>
      </w:r>
    </w:p>
    <w:p w:rsidR="00000000" w:rsidRDefault="00667627" w:rsidP="00FE6A54">
      <w:pPr>
        <w:pStyle w:val="a-tilraar-tit"/>
      </w:pPr>
      <w:r>
        <w:t>ti</w:t>
      </w:r>
      <w:r>
        <w:t>lrår:</w:t>
      </w:r>
    </w:p>
    <w:p w:rsidR="00000000" w:rsidRDefault="00667627" w:rsidP="00FE6A54">
      <w:r>
        <w:t>At Dykkar Majestet godkjenner og skriv under eit framlagt forslag til proposisjon til Stortinget om endringar i statsbudsjettet 2019 under Olje- og energidepartementet.</w:t>
      </w:r>
    </w:p>
    <w:p w:rsidR="00000000" w:rsidRDefault="00667627" w:rsidP="00FE6A54">
      <w:pPr>
        <w:pStyle w:val="a-konge-tekst"/>
        <w:rPr>
          <w:rStyle w:val="halvfet0"/>
          <w:sz w:val="21"/>
          <w:szCs w:val="21"/>
        </w:rPr>
      </w:pPr>
      <w:r>
        <w:rPr>
          <w:rStyle w:val="halvfet0"/>
          <w:sz w:val="21"/>
          <w:szCs w:val="21"/>
        </w:rPr>
        <w:t>Vi HARALD,</w:t>
      </w:r>
      <w:r>
        <w:t xml:space="preserve"> Noregs Konge,</w:t>
      </w:r>
    </w:p>
    <w:p w:rsidR="00000000" w:rsidRDefault="00667627" w:rsidP="00FE6A54">
      <w:pPr>
        <w:pStyle w:val="a-konge-tit"/>
      </w:pPr>
      <w:r>
        <w:t>stadfester:</w:t>
      </w:r>
    </w:p>
    <w:p w:rsidR="00000000" w:rsidRDefault="00667627" w:rsidP="00FE6A54">
      <w:r>
        <w:t>Stortinget blir bedt om å</w:t>
      </w:r>
      <w:r>
        <w:t xml:space="preserve"> gjere vedtak om endringar i statsbudsjettet 2019 under Olje- og energidepartementet i samsvar med eit vedlagt forslag.</w:t>
      </w:r>
    </w:p>
    <w:p w:rsidR="00000000" w:rsidRDefault="00667627" w:rsidP="00FE6A54">
      <w:pPr>
        <w:pStyle w:val="a-vedtak-tit"/>
      </w:pPr>
      <w:r>
        <w:lastRenderedPageBreak/>
        <w:t xml:space="preserve">Forslag </w:t>
      </w:r>
    </w:p>
    <w:p w:rsidR="00000000" w:rsidRDefault="00667627" w:rsidP="00FE6A54">
      <w:pPr>
        <w:pStyle w:val="a-vedtak-tit"/>
      </w:pPr>
      <w:r>
        <w:t xml:space="preserve">til vedtak om endringar i statsbudsjettet 2019 under </w:t>
      </w:r>
      <w:r>
        <w:br/>
        <w:t>Olje- og energidepartementet</w:t>
      </w:r>
    </w:p>
    <w:p w:rsidR="00000000" w:rsidRDefault="00667627" w:rsidP="00FE6A54">
      <w:pPr>
        <w:pStyle w:val="a-vedtak-del"/>
      </w:pPr>
      <w:r>
        <w:t>I</w:t>
      </w:r>
    </w:p>
    <w:p w:rsidR="00000000" w:rsidRDefault="00667627" w:rsidP="00FE6A54">
      <w:r>
        <w:t xml:space="preserve">I statsbudsjettet for 2019 blir det gjort </w:t>
      </w:r>
      <w:r>
        <w:t>følgjande endringar:</w:t>
      </w:r>
    </w:p>
    <w:p w:rsidR="00000000" w:rsidRDefault="00667627" w:rsidP="00FE6A54">
      <w:pPr>
        <w:pStyle w:val="a-vedtak-tekst"/>
      </w:pPr>
      <w:r>
        <w:t>Utgifter:</w:t>
      </w:r>
    </w:p>
    <w:p w:rsidR="00000000" w:rsidRDefault="00667627" w:rsidP="00FE6A54">
      <w:pPr>
        <w:pStyle w:val="Tabellnavn"/>
      </w:pPr>
      <w:r>
        <w:t>05N1xx2</w:t>
      </w:r>
    </w:p>
    <w:tbl>
      <w:tblPr>
        <w:tblStyle w:val="StandardTabell"/>
        <w:tblW w:w="0" w:type="auto"/>
        <w:tblInd w:w="108" w:type="dxa"/>
        <w:tblLayout w:type="fixed"/>
        <w:tblLook w:val="04A0" w:firstRow="1" w:lastRow="0" w:firstColumn="1" w:lastColumn="0" w:noHBand="0" w:noVBand="1"/>
      </w:tblPr>
      <w:tblGrid>
        <w:gridCol w:w="660"/>
        <w:gridCol w:w="660"/>
        <w:gridCol w:w="4917"/>
        <w:gridCol w:w="1723"/>
        <w:gridCol w:w="1580"/>
      </w:tblGrid>
      <w:tr w:rsidR="00000000" w:rsidTr="00FE6A54">
        <w:trPr>
          <w:trHeight w:val="360"/>
        </w:trPr>
        <w:tc>
          <w:tcPr>
            <w:tcW w:w="660" w:type="dxa"/>
            <w:shd w:val="clear" w:color="auto" w:fill="FFFFFF"/>
          </w:tcPr>
          <w:p w:rsidR="00000000" w:rsidRDefault="00667627" w:rsidP="00FE6A54">
            <w:r>
              <w:t>Kap.</w:t>
            </w:r>
          </w:p>
        </w:tc>
        <w:tc>
          <w:tcPr>
            <w:tcW w:w="660" w:type="dxa"/>
          </w:tcPr>
          <w:p w:rsidR="00000000" w:rsidRDefault="00667627" w:rsidP="00FE6A54">
            <w:r>
              <w:t>Post</w:t>
            </w:r>
          </w:p>
        </w:tc>
        <w:tc>
          <w:tcPr>
            <w:tcW w:w="6640" w:type="dxa"/>
            <w:gridSpan w:val="2"/>
          </w:tcPr>
          <w:p w:rsidR="00000000" w:rsidRDefault="00667627" w:rsidP="00FE6A54">
            <w:r>
              <w:t>Formål</w:t>
            </w:r>
          </w:p>
        </w:tc>
        <w:tc>
          <w:tcPr>
            <w:tcW w:w="1580" w:type="dxa"/>
          </w:tcPr>
          <w:p w:rsidR="00000000" w:rsidRDefault="00667627" w:rsidP="00FE6A54">
            <w:pPr>
              <w:jc w:val="right"/>
            </w:pPr>
            <w:r>
              <w:t>Kroner</w:t>
            </w:r>
          </w:p>
        </w:tc>
      </w:tr>
      <w:tr w:rsidR="00000000" w:rsidTr="00FE6A54">
        <w:trPr>
          <w:trHeight w:val="380"/>
        </w:trPr>
        <w:tc>
          <w:tcPr>
            <w:tcW w:w="660" w:type="dxa"/>
          </w:tcPr>
          <w:p w:rsidR="00000000" w:rsidRDefault="00667627" w:rsidP="00FE6A54">
            <w:r>
              <w:t>1800</w:t>
            </w:r>
          </w:p>
        </w:tc>
        <w:tc>
          <w:tcPr>
            <w:tcW w:w="660" w:type="dxa"/>
          </w:tcPr>
          <w:p w:rsidR="00000000" w:rsidRDefault="00667627" w:rsidP="00FE6A54"/>
        </w:tc>
        <w:tc>
          <w:tcPr>
            <w:tcW w:w="6640" w:type="dxa"/>
            <w:gridSpan w:val="2"/>
          </w:tcPr>
          <w:p w:rsidR="00000000" w:rsidRDefault="00667627" w:rsidP="00FE6A54">
            <w:r>
              <w:t>Olje- og energidepartementet</w:t>
            </w:r>
          </w:p>
        </w:tc>
        <w:tc>
          <w:tcPr>
            <w:tcW w:w="1580" w:type="dxa"/>
          </w:tcPr>
          <w:p w:rsidR="00000000" w:rsidRDefault="00667627" w:rsidP="00FE6A54">
            <w:pPr>
              <w:jc w:val="right"/>
            </w:pPr>
          </w:p>
        </w:tc>
      </w:tr>
      <w:tr w:rsidR="00000000" w:rsidTr="00FE6A54">
        <w:trPr>
          <w:trHeight w:val="620"/>
        </w:trPr>
        <w:tc>
          <w:tcPr>
            <w:tcW w:w="660" w:type="dxa"/>
          </w:tcPr>
          <w:p w:rsidR="00000000" w:rsidRDefault="00667627" w:rsidP="00FE6A54"/>
        </w:tc>
        <w:tc>
          <w:tcPr>
            <w:tcW w:w="660" w:type="dxa"/>
          </w:tcPr>
          <w:p w:rsidR="00000000" w:rsidRDefault="00667627" w:rsidP="00FE6A54">
            <w:r>
              <w:t>21</w:t>
            </w:r>
          </w:p>
        </w:tc>
        <w:tc>
          <w:tcPr>
            <w:tcW w:w="6640" w:type="dxa"/>
            <w:gridSpan w:val="2"/>
          </w:tcPr>
          <w:p w:rsidR="00000000" w:rsidRDefault="00667627" w:rsidP="00FE6A54">
            <w:r>
              <w:t>Spesielle driftsutgifter</w:t>
            </w:r>
            <w:r>
              <w:rPr>
                <w:rStyle w:val="kursiv"/>
                <w:sz w:val="21"/>
                <w:szCs w:val="21"/>
              </w:rPr>
              <w:t>, kan overførast, kan nyttast under post 72</w:t>
            </w:r>
            <w:r>
              <w:t xml:space="preserve">, </w:t>
            </w:r>
            <w:r>
              <w:br/>
              <w:t xml:space="preserve">blir sett ned med </w:t>
            </w:r>
            <w:r>
              <w:tab/>
            </w:r>
          </w:p>
        </w:tc>
        <w:tc>
          <w:tcPr>
            <w:tcW w:w="1580" w:type="dxa"/>
          </w:tcPr>
          <w:p w:rsidR="00000000" w:rsidRDefault="00667627" w:rsidP="00FE6A54">
            <w:pPr>
              <w:jc w:val="right"/>
            </w:pPr>
            <w:r>
              <w:t>10 000 000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26 500 000 til kr 16 500 000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70</w:t>
            </w:r>
          </w:p>
        </w:tc>
        <w:tc>
          <w:tcPr>
            <w:tcW w:w="6640" w:type="dxa"/>
            <w:gridSpan w:val="2"/>
          </w:tcPr>
          <w:p w:rsidR="00000000" w:rsidRDefault="00667627" w:rsidP="00FE6A54">
            <w:r>
              <w:t xml:space="preserve">Tilskot til internasjonale organisasjonar mv., blir sett ned med </w:t>
            </w:r>
            <w:r>
              <w:tab/>
            </w:r>
          </w:p>
        </w:tc>
        <w:tc>
          <w:tcPr>
            <w:tcW w:w="1580" w:type="dxa"/>
          </w:tcPr>
          <w:p w:rsidR="00000000" w:rsidRDefault="00667627" w:rsidP="00FE6A54">
            <w:pPr>
              <w:jc w:val="right"/>
            </w:pPr>
            <w:r>
              <w:t>3 300 000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7 000 000 til kr 3 700 000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t>1810</w:t>
            </w:r>
          </w:p>
        </w:tc>
        <w:tc>
          <w:tcPr>
            <w:tcW w:w="660" w:type="dxa"/>
          </w:tcPr>
          <w:p w:rsidR="00000000" w:rsidRDefault="00667627" w:rsidP="00FE6A54"/>
        </w:tc>
        <w:tc>
          <w:tcPr>
            <w:tcW w:w="6640" w:type="dxa"/>
            <w:gridSpan w:val="2"/>
          </w:tcPr>
          <w:p w:rsidR="00000000" w:rsidRDefault="00667627" w:rsidP="00FE6A54">
            <w:r>
              <w:t>Oljedirektoratet</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01</w:t>
            </w:r>
          </w:p>
        </w:tc>
        <w:tc>
          <w:tcPr>
            <w:tcW w:w="6640" w:type="dxa"/>
            <w:gridSpan w:val="2"/>
          </w:tcPr>
          <w:p w:rsidR="00000000" w:rsidRDefault="00667627" w:rsidP="00FE6A54">
            <w:r>
              <w:t xml:space="preserve">Driftsutgifter, blir sett opp med </w:t>
            </w:r>
            <w:r>
              <w:tab/>
            </w:r>
          </w:p>
        </w:tc>
        <w:tc>
          <w:tcPr>
            <w:tcW w:w="1580" w:type="dxa"/>
          </w:tcPr>
          <w:p w:rsidR="00000000" w:rsidRDefault="00667627" w:rsidP="00FE6A54">
            <w:pPr>
              <w:jc w:val="right"/>
            </w:pPr>
            <w:r>
              <w:t>5 500 000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307 447 000 til kr 312 947 000</w:t>
            </w:r>
          </w:p>
        </w:tc>
        <w:tc>
          <w:tcPr>
            <w:tcW w:w="1580" w:type="dxa"/>
          </w:tcPr>
          <w:p w:rsidR="00000000" w:rsidRDefault="00667627" w:rsidP="00FE6A54">
            <w:pPr>
              <w:jc w:val="right"/>
            </w:pPr>
          </w:p>
        </w:tc>
      </w:tr>
      <w:tr w:rsidR="00000000" w:rsidTr="00FE6A54">
        <w:trPr>
          <w:trHeight w:val="620"/>
        </w:trPr>
        <w:tc>
          <w:tcPr>
            <w:tcW w:w="660" w:type="dxa"/>
          </w:tcPr>
          <w:p w:rsidR="00000000" w:rsidRDefault="00667627" w:rsidP="00FE6A54"/>
        </w:tc>
        <w:tc>
          <w:tcPr>
            <w:tcW w:w="660" w:type="dxa"/>
          </w:tcPr>
          <w:p w:rsidR="00000000" w:rsidRDefault="00667627" w:rsidP="00FE6A54">
            <w:r>
              <w:t>23</w:t>
            </w:r>
          </w:p>
        </w:tc>
        <w:tc>
          <w:tcPr>
            <w:tcW w:w="6640" w:type="dxa"/>
            <w:gridSpan w:val="2"/>
          </w:tcPr>
          <w:p w:rsidR="00000000" w:rsidRDefault="00667627" w:rsidP="00FE6A54">
            <w:r>
              <w:t>Oppdrags- og samarbeidsverksemd</w:t>
            </w:r>
            <w:r>
              <w:rPr>
                <w:rStyle w:val="kursiv"/>
                <w:sz w:val="21"/>
                <w:szCs w:val="21"/>
              </w:rPr>
              <w:t>, kan overførast</w:t>
            </w:r>
            <w:r>
              <w:t xml:space="preserve">, </w:t>
            </w:r>
            <w:r>
              <w:br/>
              <w:t xml:space="preserve">blir sett ned med </w:t>
            </w:r>
            <w:r>
              <w:tab/>
            </w:r>
          </w:p>
        </w:tc>
        <w:tc>
          <w:tcPr>
            <w:tcW w:w="1580" w:type="dxa"/>
          </w:tcPr>
          <w:p w:rsidR="00000000" w:rsidRDefault="00667627" w:rsidP="00FE6A54">
            <w:pPr>
              <w:jc w:val="right"/>
            </w:pPr>
            <w:r>
              <w:t>18 500 000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119 000 000 til kr 100 500 000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t>1820</w:t>
            </w:r>
          </w:p>
        </w:tc>
        <w:tc>
          <w:tcPr>
            <w:tcW w:w="660" w:type="dxa"/>
          </w:tcPr>
          <w:p w:rsidR="00000000" w:rsidRDefault="00667627" w:rsidP="00FE6A54"/>
        </w:tc>
        <w:tc>
          <w:tcPr>
            <w:tcW w:w="6640" w:type="dxa"/>
            <w:gridSpan w:val="2"/>
          </w:tcPr>
          <w:p w:rsidR="00000000" w:rsidRDefault="00667627" w:rsidP="00FE6A54">
            <w:r>
              <w:t>Noregs vassdrags- og energidirektorat</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01</w:t>
            </w:r>
          </w:p>
        </w:tc>
        <w:tc>
          <w:tcPr>
            <w:tcW w:w="6640" w:type="dxa"/>
            <w:gridSpan w:val="2"/>
          </w:tcPr>
          <w:p w:rsidR="00000000" w:rsidRDefault="00667627" w:rsidP="00FE6A54">
            <w:r>
              <w:t xml:space="preserve">Driftsutgifter, blir sett ned med </w:t>
            </w:r>
            <w:r>
              <w:tab/>
            </w:r>
          </w:p>
        </w:tc>
        <w:tc>
          <w:tcPr>
            <w:tcW w:w="1580" w:type="dxa"/>
          </w:tcPr>
          <w:p w:rsidR="00000000" w:rsidRDefault="00667627" w:rsidP="00FE6A54">
            <w:pPr>
              <w:jc w:val="right"/>
            </w:pPr>
            <w:r>
              <w:t>2 000 000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573 443 000 til kr 571 443</w:t>
            </w:r>
            <w:r>
              <w:t> 000</w:t>
            </w:r>
          </w:p>
        </w:tc>
        <w:tc>
          <w:tcPr>
            <w:tcW w:w="1580" w:type="dxa"/>
          </w:tcPr>
          <w:p w:rsidR="00000000" w:rsidRDefault="00667627" w:rsidP="00FE6A54">
            <w:pPr>
              <w:jc w:val="right"/>
            </w:pPr>
          </w:p>
        </w:tc>
      </w:tr>
      <w:tr w:rsidR="00000000" w:rsidTr="00FE6A54">
        <w:trPr>
          <w:trHeight w:val="620"/>
        </w:trPr>
        <w:tc>
          <w:tcPr>
            <w:tcW w:w="660" w:type="dxa"/>
          </w:tcPr>
          <w:p w:rsidR="00000000" w:rsidRDefault="00667627" w:rsidP="00FE6A54"/>
        </w:tc>
        <w:tc>
          <w:tcPr>
            <w:tcW w:w="660" w:type="dxa"/>
          </w:tcPr>
          <w:p w:rsidR="00000000" w:rsidRDefault="00667627" w:rsidP="00FE6A54">
            <w:r>
              <w:t>23</w:t>
            </w:r>
          </w:p>
        </w:tc>
        <w:tc>
          <w:tcPr>
            <w:tcW w:w="6640" w:type="dxa"/>
            <w:gridSpan w:val="2"/>
          </w:tcPr>
          <w:p w:rsidR="00000000" w:rsidRDefault="00667627" w:rsidP="00FE6A54">
            <w:r>
              <w:t>Oppdrags- og samarbeidsverksemd</w:t>
            </w:r>
            <w:r>
              <w:rPr>
                <w:rStyle w:val="kursiv"/>
                <w:sz w:val="21"/>
                <w:szCs w:val="21"/>
              </w:rPr>
              <w:t>, kan overførast</w:t>
            </w:r>
            <w:r>
              <w:t xml:space="preserve">, </w:t>
            </w:r>
            <w:r>
              <w:br/>
              <w:t xml:space="preserve">blir sett ned med </w:t>
            </w:r>
            <w:r>
              <w:tab/>
            </w:r>
          </w:p>
        </w:tc>
        <w:tc>
          <w:tcPr>
            <w:tcW w:w="1580" w:type="dxa"/>
          </w:tcPr>
          <w:p w:rsidR="00000000" w:rsidRDefault="00667627" w:rsidP="00FE6A54">
            <w:pPr>
              <w:jc w:val="right"/>
            </w:pPr>
            <w:r>
              <w:t>17 000 000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89 000 000 til kr 72 000 000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t>1840</w:t>
            </w:r>
          </w:p>
        </w:tc>
        <w:tc>
          <w:tcPr>
            <w:tcW w:w="660" w:type="dxa"/>
          </w:tcPr>
          <w:p w:rsidR="00000000" w:rsidRDefault="00667627" w:rsidP="00FE6A54"/>
        </w:tc>
        <w:tc>
          <w:tcPr>
            <w:tcW w:w="6640" w:type="dxa"/>
            <w:gridSpan w:val="2"/>
          </w:tcPr>
          <w:p w:rsidR="00000000" w:rsidRDefault="00667627" w:rsidP="00FE6A54">
            <w:r>
              <w:t>CO</w:t>
            </w:r>
            <w:r>
              <w:rPr>
                <w:rStyle w:val="skrift-senket"/>
                <w:sz w:val="21"/>
                <w:szCs w:val="21"/>
              </w:rPr>
              <w:t>2</w:t>
            </w:r>
            <w:r>
              <w:t>-handtering</w:t>
            </w:r>
          </w:p>
        </w:tc>
        <w:tc>
          <w:tcPr>
            <w:tcW w:w="1580" w:type="dxa"/>
          </w:tcPr>
          <w:p w:rsidR="00000000" w:rsidRDefault="00667627" w:rsidP="00FE6A54">
            <w:pPr>
              <w:jc w:val="right"/>
            </w:pPr>
          </w:p>
        </w:tc>
      </w:tr>
      <w:tr w:rsidR="00000000" w:rsidTr="00FE6A54">
        <w:trPr>
          <w:trHeight w:val="620"/>
        </w:trPr>
        <w:tc>
          <w:tcPr>
            <w:tcW w:w="660" w:type="dxa"/>
          </w:tcPr>
          <w:p w:rsidR="00000000" w:rsidRDefault="00667627" w:rsidP="00FE6A54"/>
        </w:tc>
        <w:tc>
          <w:tcPr>
            <w:tcW w:w="660" w:type="dxa"/>
          </w:tcPr>
          <w:p w:rsidR="00000000" w:rsidRDefault="00667627" w:rsidP="00FE6A54">
            <w:r>
              <w:t>72</w:t>
            </w:r>
          </w:p>
        </w:tc>
        <w:tc>
          <w:tcPr>
            <w:tcW w:w="6640" w:type="dxa"/>
            <w:gridSpan w:val="2"/>
          </w:tcPr>
          <w:p w:rsidR="00000000" w:rsidRDefault="00667627" w:rsidP="00FE6A54">
            <w:r>
              <w:t>Fullskala CO</w:t>
            </w:r>
            <w:r>
              <w:rPr>
                <w:rStyle w:val="skrift-senket"/>
                <w:sz w:val="21"/>
                <w:szCs w:val="21"/>
              </w:rPr>
              <w:t>2</w:t>
            </w:r>
            <w:r>
              <w:t>-handtering</w:t>
            </w:r>
            <w:r>
              <w:rPr>
                <w:rStyle w:val="kursiv"/>
                <w:sz w:val="21"/>
                <w:szCs w:val="21"/>
              </w:rPr>
              <w:t>, kan overførast, kan nyttast under post 70</w:t>
            </w:r>
            <w:r>
              <w:t xml:space="preserve">, </w:t>
            </w:r>
            <w:r>
              <w:br/>
              <w:t xml:space="preserve">blir sett opp med </w:t>
            </w:r>
            <w:r>
              <w:tab/>
            </w:r>
          </w:p>
        </w:tc>
        <w:tc>
          <w:tcPr>
            <w:tcW w:w="1580" w:type="dxa"/>
          </w:tcPr>
          <w:p w:rsidR="00000000" w:rsidRDefault="00667627" w:rsidP="00FE6A54">
            <w:pPr>
              <w:jc w:val="right"/>
            </w:pPr>
            <w:r>
              <w:t>30 000</w:t>
            </w:r>
            <w:r>
              <w:t>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299 000 000 til kr 329 000 000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t>2440</w:t>
            </w:r>
          </w:p>
        </w:tc>
        <w:tc>
          <w:tcPr>
            <w:tcW w:w="660" w:type="dxa"/>
          </w:tcPr>
          <w:p w:rsidR="00000000" w:rsidRDefault="00667627" w:rsidP="00FE6A54"/>
        </w:tc>
        <w:tc>
          <w:tcPr>
            <w:tcW w:w="6640" w:type="dxa"/>
            <w:gridSpan w:val="2"/>
          </w:tcPr>
          <w:p w:rsidR="00000000" w:rsidRDefault="00667627" w:rsidP="00FE6A54">
            <w:r>
              <w:t>Statens direkte økonomiske engasjement i petroleumsverksemda</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30</w:t>
            </w:r>
          </w:p>
        </w:tc>
        <w:tc>
          <w:tcPr>
            <w:tcW w:w="6640" w:type="dxa"/>
            <w:gridSpan w:val="2"/>
          </w:tcPr>
          <w:p w:rsidR="00000000" w:rsidRDefault="00667627" w:rsidP="00FE6A54">
            <w:r>
              <w:t xml:space="preserve">Investeringar, blir sett ned med </w:t>
            </w:r>
            <w:r>
              <w:tab/>
            </w:r>
          </w:p>
        </w:tc>
        <w:tc>
          <w:tcPr>
            <w:tcW w:w="1580" w:type="dxa"/>
          </w:tcPr>
          <w:p w:rsidR="00000000" w:rsidRDefault="00667627" w:rsidP="00FE6A54">
            <w:pPr>
              <w:jc w:val="right"/>
            </w:pPr>
            <w:r>
              <w:t>2 000 000 000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29 000 000 000 til kr 27 000 000 000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t>2490</w:t>
            </w:r>
          </w:p>
        </w:tc>
        <w:tc>
          <w:tcPr>
            <w:tcW w:w="660" w:type="dxa"/>
          </w:tcPr>
          <w:p w:rsidR="00000000" w:rsidRDefault="00667627" w:rsidP="00FE6A54"/>
        </w:tc>
        <w:tc>
          <w:tcPr>
            <w:tcW w:w="6640" w:type="dxa"/>
            <w:gridSpan w:val="2"/>
          </w:tcPr>
          <w:p w:rsidR="00000000" w:rsidRDefault="00667627" w:rsidP="00FE6A54">
            <w:r>
              <w:t>NVE Anlegg</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24</w:t>
            </w:r>
          </w:p>
        </w:tc>
        <w:tc>
          <w:tcPr>
            <w:tcW w:w="6640" w:type="dxa"/>
            <w:gridSpan w:val="2"/>
          </w:tcPr>
          <w:p w:rsidR="00000000" w:rsidRDefault="00667627" w:rsidP="00FE6A54">
            <w:r>
              <w:t>Driftsresult</w:t>
            </w:r>
            <w:r>
              <w:t xml:space="preserve">at: </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1 Driftsinntekter </w:t>
            </w:r>
            <w:r>
              <w:tab/>
            </w:r>
          </w:p>
        </w:tc>
        <w:tc>
          <w:tcPr>
            <w:tcW w:w="1723" w:type="dxa"/>
          </w:tcPr>
          <w:p w:rsidR="00000000" w:rsidRDefault="00667627" w:rsidP="00FE6A54">
            <w:pPr>
              <w:jc w:val="right"/>
            </w:pPr>
            <w:r>
              <w:t>-128 500 000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2 Driftsutgifter </w:t>
            </w:r>
            <w:r>
              <w:tab/>
            </w:r>
          </w:p>
        </w:tc>
        <w:tc>
          <w:tcPr>
            <w:tcW w:w="1723" w:type="dxa"/>
          </w:tcPr>
          <w:p w:rsidR="00000000" w:rsidRDefault="00667627" w:rsidP="00FE6A54">
            <w:pPr>
              <w:jc w:val="right"/>
            </w:pPr>
            <w:r>
              <w:t>125 800 000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3 Avskrivingar </w:t>
            </w:r>
            <w:r>
              <w:tab/>
            </w:r>
          </w:p>
        </w:tc>
        <w:tc>
          <w:tcPr>
            <w:tcW w:w="1723" w:type="dxa"/>
          </w:tcPr>
          <w:p w:rsidR="00000000" w:rsidRDefault="00667627" w:rsidP="00FE6A54">
            <w:pPr>
              <w:jc w:val="right"/>
            </w:pPr>
            <w:r>
              <w:t>2 500 000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4 Renter av statens kapital </w:t>
            </w:r>
            <w:r>
              <w:tab/>
            </w:r>
          </w:p>
        </w:tc>
        <w:tc>
          <w:tcPr>
            <w:tcW w:w="1723" w:type="dxa"/>
          </w:tcPr>
          <w:p w:rsidR="00000000" w:rsidRDefault="00667627" w:rsidP="00FE6A54">
            <w:pPr>
              <w:jc w:val="right"/>
            </w:pPr>
            <w:r>
              <w:t>200 000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5 Investeringsformål </w:t>
            </w:r>
            <w:r>
              <w:tab/>
            </w:r>
          </w:p>
        </w:tc>
        <w:tc>
          <w:tcPr>
            <w:tcW w:w="1723" w:type="dxa"/>
          </w:tcPr>
          <w:p w:rsidR="00000000" w:rsidRDefault="00667627" w:rsidP="00FE6A54">
            <w:pPr>
              <w:jc w:val="right"/>
            </w:pPr>
            <w:r>
              <w:t>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6 Reguleringsfond </w:t>
            </w:r>
            <w:r>
              <w:tab/>
            </w:r>
          </w:p>
        </w:tc>
        <w:tc>
          <w:tcPr>
            <w:tcW w:w="1723" w:type="dxa"/>
          </w:tcPr>
          <w:p w:rsidR="00000000" w:rsidRDefault="00667627" w:rsidP="00FE6A54">
            <w:pPr>
              <w:jc w:val="right"/>
            </w:pPr>
            <w:r>
              <w:t>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tc>
        <w:tc>
          <w:tcPr>
            <w:tcW w:w="1723" w:type="dxa"/>
          </w:tcPr>
          <w:p w:rsidR="00000000" w:rsidRDefault="00667627" w:rsidP="00FE6A54">
            <w:pPr>
              <w:jc w:val="right"/>
            </w:pPr>
            <w:r>
              <w:t>0</w:t>
            </w:r>
          </w:p>
        </w:tc>
        <w:tc>
          <w:tcPr>
            <w:tcW w:w="1580" w:type="dxa"/>
          </w:tcPr>
          <w:p w:rsidR="00000000" w:rsidRDefault="00667627" w:rsidP="00FE6A54">
            <w:pPr>
              <w:jc w:val="right"/>
            </w:pPr>
          </w:p>
        </w:tc>
      </w:tr>
      <w:tr w:rsidR="00000000" w:rsidTr="00FE6A54">
        <w:trPr>
          <w:trHeight w:val="620"/>
        </w:trPr>
        <w:tc>
          <w:tcPr>
            <w:tcW w:w="660" w:type="dxa"/>
          </w:tcPr>
          <w:p w:rsidR="00000000" w:rsidRDefault="00667627" w:rsidP="00FE6A54">
            <w:r>
              <w:t>(NY)</w:t>
            </w:r>
          </w:p>
        </w:tc>
        <w:tc>
          <w:tcPr>
            <w:tcW w:w="660" w:type="dxa"/>
          </w:tcPr>
          <w:p w:rsidR="00000000" w:rsidRDefault="00667627" w:rsidP="00FE6A54">
            <w:r>
              <w:t>45</w:t>
            </w:r>
          </w:p>
        </w:tc>
        <w:tc>
          <w:tcPr>
            <w:tcW w:w="6640" w:type="dxa"/>
            <w:gridSpan w:val="2"/>
          </w:tcPr>
          <w:p w:rsidR="00000000" w:rsidRDefault="00667627" w:rsidP="00FE6A54">
            <w:r>
              <w:t>Stør</w:t>
            </w:r>
            <w:r>
              <w:t>re utstyrsanskaffingar og vedlikehald</w:t>
            </w:r>
            <w:r>
              <w:rPr>
                <w:rStyle w:val="kursiv"/>
                <w:sz w:val="21"/>
                <w:szCs w:val="21"/>
              </w:rPr>
              <w:t>, kan overførast</w:t>
            </w:r>
            <w:r>
              <w:t xml:space="preserve">, </w:t>
            </w:r>
            <w:r>
              <w:br/>
              <w:t xml:space="preserve">blir løyvd med </w:t>
            </w:r>
            <w:r>
              <w:tab/>
            </w:r>
          </w:p>
        </w:tc>
        <w:tc>
          <w:tcPr>
            <w:tcW w:w="1580" w:type="dxa"/>
          </w:tcPr>
          <w:p w:rsidR="00000000" w:rsidRDefault="00667627" w:rsidP="00FE6A54">
            <w:pPr>
              <w:jc w:val="right"/>
            </w:pPr>
            <w:r>
              <w:t>2 000 000</w:t>
            </w:r>
          </w:p>
        </w:tc>
      </w:tr>
    </w:tbl>
    <w:p w:rsidR="00000000" w:rsidRDefault="00667627" w:rsidP="00FE6A54">
      <w:pPr>
        <w:pStyle w:val="a-vedtak-tekst"/>
      </w:pPr>
      <w:r>
        <w:t>Inntekter:</w:t>
      </w:r>
    </w:p>
    <w:p w:rsidR="00000000" w:rsidRDefault="00667627" w:rsidP="00FE6A54">
      <w:pPr>
        <w:pStyle w:val="Tabellnavn"/>
      </w:pPr>
      <w:r>
        <w:t>05N1xx2</w:t>
      </w:r>
    </w:p>
    <w:tbl>
      <w:tblPr>
        <w:tblStyle w:val="StandardTabell"/>
        <w:tblW w:w="0" w:type="auto"/>
        <w:tblInd w:w="108" w:type="dxa"/>
        <w:tblLayout w:type="fixed"/>
        <w:tblLook w:val="04A0" w:firstRow="1" w:lastRow="0" w:firstColumn="1" w:lastColumn="0" w:noHBand="0" w:noVBand="1"/>
      </w:tblPr>
      <w:tblGrid>
        <w:gridCol w:w="660"/>
        <w:gridCol w:w="660"/>
        <w:gridCol w:w="4917"/>
        <w:gridCol w:w="1723"/>
        <w:gridCol w:w="1580"/>
      </w:tblGrid>
      <w:tr w:rsidR="00000000" w:rsidTr="00FE6A54">
        <w:trPr>
          <w:trHeight w:val="360"/>
        </w:trPr>
        <w:tc>
          <w:tcPr>
            <w:tcW w:w="660" w:type="dxa"/>
            <w:shd w:val="clear" w:color="auto" w:fill="FFFFFF"/>
          </w:tcPr>
          <w:p w:rsidR="00000000" w:rsidRDefault="00667627" w:rsidP="00FE6A54">
            <w:r>
              <w:t>Kap.</w:t>
            </w:r>
          </w:p>
        </w:tc>
        <w:tc>
          <w:tcPr>
            <w:tcW w:w="660" w:type="dxa"/>
          </w:tcPr>
          <w:p w:rsidR="00000000" w:rsidRDefault="00667627" w:rsidP="00FE6A54">
            <w:r>
              <w:t>Post</w:t>
            </w:r>
          </w:p>
        </w:tc>
        <w:tc>
          <w:tcPr>
            <w:tcW w:w="6640" w:type="dxa"/>
            <w:gridSpan w:val="2"/>
          </w:tcPr>
          <w:p w:rsidR="00000000" w:rsidRDefault="00667627" w:rsidP="00FE6A54">
            <w:r>
              <w:t>Formål</w:t>
            </w:r>
          </w:p>
        </w:tc>
        <w:tc>
          <w:tcPr>
            <w:tcW w:w="1580" w:type="dxa"/>
          </w:tcPr>
          <w:p w:rsidR="00000000" w:rsidRDefault="00667627" w:rsidP="00FE6A54">
            <w:pPr>
              <w:jc w:val="right"/>
            </w:pPr>
            <w:r>
              <w:t>Kroner</w:t>
            </w:r>
          </w:p>
        </w:tc>
      </w:tr>
      <w:tr w:rsidR="00000000" w:rsidTr="00FE6A54">
        <w:trPr>
          <w:trHeight w:val="380"/>
        </w:trPr>
        <w:tc>
          <w:tcPr>
            <w:tcW w:w="660" w:type="dxa"/>
          </w:tcPr>
          <w:p w:rsidR="00000000" w:rsidRDefault="00667627" w:rsidP="00FE6A54">
            <w:r>
              <w:t>4810</w:t>
            </w:r>
          </w:p>
        </w:tc>
        <w:tc>
          <w:tcPr>
            <w:tcW w:w="660" w:type="dxa"/>
          </w:tcPr>
          <w:p w:rsidR="00000000" w:rsidRDefault="00667627" w:rsidP="00FE6A54"/>
        </w:tc>
        <w:tc>
          <w:tcPr>
            <w:tcW w:w="6640" w:type="dxa"/>
            <w:gridSpan w:val="2"/>
          </w:tcPr>
          <w:p w:rsidR="00000000" w:rsidRDefault="00667627" w:rsidP="00FE6A54">
            <w:r>
              <w:t>Oljedirektoratet</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01</w:t>
            </w:r>
          </w:p>
        </w:tc>
        <w:tc>
          <w:tcPr>
            <w:tcW w:w="6640" w:type="dxa"/>
            <w:gridSpan w:val="2"/>
          </w:tcPr>
          <w:p w:rsidR="00000000" w:rsidRDefault="00667627" w:rsidP="00FE6A54">
            <w:r>
              <w:t xml:space="preserve">Gebyrinntekter, blir sett opp med </w:t>
            </w:r>
            <w:r>
              <w:tab/>
            </w:r>
          </w:p>
        </w:tc>
        <w:tc>
          <w:tcPr>
            <w:tcW w:w="1580" w:type="dxa"/>
          </w:tcPr>
          <w:p w:rsidR="00000000" w:rsidRDefault="00667627" w:rsidP="00FE6A54">
            <w:pPr>
              <w:jc w:val="right"/>
            </w:pPr>
            <w:r>
              <w:t>5 500 000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26 500 000 til kr 32 000 000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02</w:t>
            </w:r>
          </w:p>
        </w:tc>
        <w:tc>
          <w:tcPr>
            <w:tcW w:w="6640" w:type="dxa"/>
            <w:gridSpan w:val="2"/>
          </w:tcPr>
          <w:p w:rsidR="00000000" w:rsidRDefault="00667627" w:rsidP="00FE6A54">
            <w:r>
              <w:t xml:space="preserve">Oppdrags- og samarbeidsinntekter, blir sett ned med </w:t>
            </w:r>
            <w:r>
              <w:tab/>
            </w:r>
          </w:p>
        </w:tc>
        <w:tc>
          <w:tcPr>
            <w:tcW w:w="1580" w:type="dxa"/>
          </w:tcPr>
          <w:p w:rsidR="00000000" w:rsidRDefault="00667627" w:rsidP="00FE6A54">
            <w:pPr>
              <w:jc w:val="right"/>
            </w:pPr>
            <w:r>
              <w:t>18 500 000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119 000 000 til kr 100 500 000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t>4820</w:t>
            </w:r>
          </w:p>
        </w:tc>
        <w:tc>
          <w:tcPr>
            <w:tcW w:w="660" w:type="dxa"/>
          </w:tcPr>
          <w:p w:rsidR="00000000" w:rsidRDefault="00667627" w:rsidP="00FE6A54"/>
        </w:tc>
        <w:tc>
          <w:tcPr>
            <w:tcW w:w="6640" w:type="dxa"/>
            <w:gridSpan w:val="2"/>
          </w:tcPr>
          <w:p w:rsidR="00000000" w:rsidRDefault="00667627" w:rsidP="00FE6A54">
            <w:r>
              <w:t>Noregs vassdrags- og energidirektorat</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02</w:t>
            </w:r>
          </w:p>
        </w:tc>
        <w:tc>
          <w:tcPr>
            <w:tcW w:w="6640" w:type="dxa"/>
            <w:gridSpan w:val="2"/>
          </w:tcPr>
          <w:p w:rsidR="00000000" w:rsidRDefault="00667627" w:rsidP="00FE6A54">
            <w:r>
              <w:t xml:space="preserve">Oppdrags- og samarbeidsinntekter, blir sett ned med </w:t>
            </w:r>
            <w:r>
              <w:tab/>
            </w:r>
          </w:p>
        </w:tc>
        <w:tc>
          <w:tcPr>
            <w:tcW w:w="1580" w:type="dxa"/>
          </w:tcPr>
          <w:p w:rsidR="00000000" w:rsidRDefault="00667627" w:rsidP="00FE6A54">
            <w:pPr>
              <w:jc w:val="right"/>
            </w:pPr>
            <w:r>
              <w:t>17 000 000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89 000 000 til kr 72 </w:t>
            </w:r>
            <w:r>
              <w:t>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lastRenderedPageBreak/>
              <w:t>5440</w:t>
            </w:r>
          </w:p>
        </w:tc>
        <w:tc>
          <w:tcPr>
            <w:tcW w:w="660" w:type="dxa"/>
          </w:tcPr>
          <w:p w:rsidR="00000000" w:rsidRDefault="00667627" w:rsidP="00FE6A54"/>
        </w:tc>
        <w:tc>
          <w:tcPr>
            <w:tcW w:w="6640" w:type="dxa"/>
            <w:gridSpan w:val="2"/>
          </w:tcPr>
          <w:p w:rsidR="00000000" w:rsidRDefault="00667627" w:rsidP="00FE6A54">
            <w:r>
              <w:t>Statens direkte økonomiske engasjement i petroleumsverksemda</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24</w:t>
            </w:r>
          </w:p>
        </w:tc>
        <w:tc>
          <w:tcPr>
            <w:tcW w:w="6640" w:type="dxa"/>
            <w:gridSpan w:val="2"/>
          </w:tcPr>
          <w:p w:rsidR="00000000" w:rsidRDefault="00667627" w:rsidP="00FE6A54">
            <w:r>
              <w:t>Driftsresultat:</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1 Driftsinntekter </w:t>
            </w:r>
            <w:r>
              <w:tab/>
            </w:r>
          </w:p>
        </w:tc>
        <w:tc>
          <w:tcPr>
            <w:tcW w:w="1723" w:type="dxa"/>
          </w:tcPr>
          <w:p w:rsidR="00000000" w:rsidRDefault="00667627" w:rsidP="00FE6A54">
            <w:pPr>
              <w:jc w:val="right"/>
            </w:pPr>
            <w:r>
              <w:t>154 400 000 000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2 Driftsutgifter </w:t>
            </w:r>
            <w:r>
              <w:tab/>
            </w:r>
          </w:p>
        </w:tc>
        <w:tc>
          <w:tcPr>
            <w:tcW w:w="1723" w:type="dxa"/>
          </w:tcPr>
          <w:p w:rsidR="00000000" w:rsidRDefault="00667627" w:rsidP="00FE6A54">
            <w:pPr>
              <w:jc w:val="right"/>
            </w:pPr>
            <w:r>
              <w:t>-30 500 000 000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3 Leite- og feltutviklingsutgifter </w:t>
            </w:r>
            <w:r>
              <w:tab/>
            </w:r>
          </w:p>
        </w:tc>
        <w:tc>
          <w:tcPr>
            <w:tcW w:w="1723" w:type="dxa"/>
          </w:tcPr>
          <w:p w:rsidR="00000000" w:rsidRDefault="00667627" w:rsidP="00FE6A54">
            <w:pPr>
              <w:jc w:val="right"/>
            </w:pPr>
            <w:r>
              <w:t>-2 100 000 000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4 Avskrivingar </w:t>
            </w:r>
            <w:r>
              <w:tab/>
            </w:r>
          </w:p>
        </w:tc>
        <w:tc>
          <w:tcPr>
            <w:tcW w:w="1723" w:type="dxa"/>
          </w:tcPr>
          <w:p w:rsidR="00000000" w:rsidRDefault="00667627" w:rsidP="00FE6A54">
            <w:pPr>
              <w:jc w:val="right"/>
            </w:pPr>
            <w:r>
              <w:t>-23 200 000 000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r>
              <w:t xml:space="preserve">5 Renter av statens kapital </w:t>
            </w:r>
            <w:r>
              <w:tab/>
            </w:r>
          </w:p>
        </w:tc>
        <w:tc>
          <w:tcPr>
            <w:tcW w:w="1723" w:type="dxa"/>
          </w:tcPr>
          <w:p w:rsidR="00000000" w:rsidRDefault="00667627" w:rsidP="00FE6A54">
            <w:pPr>
              <w:jc w:val="right"/>
            </w:pPr>
            <w:r>
              <w:t>-2 800 000 000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4917" w:type="dxa"/>
          </w:tcPr>
          <w:p w:rsidR="00000000" w:rsidRDefault="00667627" w:rsidP="00FE6A54"/>
        </w:tc>
        <w:tc>
          <w:tcPr>
            <w:tcW w:w="1723" w:type="dxa"/>
          </w:tcPr>
          <w:p w:rsidR="00000000" w:rsidRDefault="00667627" w:rsidP="00FE6A54">
            <w:pPr>
              <w:jc w:val="right"/>
            </w:pPr>
            <w:r>
              <w:t>95 800 000 000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30</w:t>
            </w:r>
          </w:p>
        </w:tc>
        <w:tc>
          <w:tcPr>
            <w:tcW w:w="6640" w:type="dxa"/>
            <w:gridSpan w:val="2"/>
          </w:tcPr>
          <w:p w:rsidR="00000000" w:rsidRDefault="00667627" w:rsidP="00FE6A54">
            <w:r>
              <w:t xml:space="preserve">Avskrivingar, blir sett opp med </w:t>
            </w:r>
            <w:r>
              <w:tab/>
            </w:r>
          </w:p>
        </w:tc>
        <w:tc>
          <w:tcPr>
            <w:tcW w:w="1580" w:type="dxa"/>
          </w:tcPr>
          <w:p w:rsidR="00000000" w:rsidRDefault="00667627" w:rsidP="00FE6A54">
            <w:pPr>
              <w:jc w:val="right"/>
            </w:pPr>
            <w:r>
              <w:t>3 000 000 000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20 200 000 000 til kr 23 200 000 000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80</w:t>
            </w:r>
          </w:p>
        </w:tc>
        <w:tc>
          <w:tcPr>
            <w:tcW w:w="6640" w:type="dxa"/>
            <w:gridSpan w:val="2"/>
          </w:tcPr>
          <w:p w:rsidR="00000000" w:rsidRDefault="00667627" w:rsidP="00FE6A54">
            <w:r>
              <w:t xml:space="preserve">Renter av statens kapital, blir sett ned med </w:t>
            </w:r>
            <w:r>
              <w:tab/>
            </w:r>
          </w:p>
        </w:tc>
        <w:tc>
          <w:tcPr>
            <w:tcW w:w="1580" w:type="dxa"/>
          </w:tcPr>
          <w:p w:rsidR="00000000" w:rsidRDefault="00667627" w:rsidP="00FE6A54">
            <w:pPr>
              <w:jc w:val="right"/>
            </w:pPr>
            <w:r>
              <w:t>100 000 000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w:t>
            </w:r>
            <w:r>
              <w:t>å kr 2 900 000 000 til kr 2 800 000 000</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t>5582</w:t>
            </w:r>
          </w:p>
        </w:tc>
        <w:tc>
          <w:tcPr>
            <w:tcW w:w="660" w:type="dxa"/>
          </w:tcPr>
          <w:p w:rsidR="00000000" w:rsidRDefault="00667627" w:rsidP="00FE6A54"/>
        </w:tc>
        <w:tc>
          <w:tcPr>
            <w:tcW w:w="6640" w:type="dxa"/>
            <w:gridSpan w:val="2"/>
          </w:tcPr>
          <w:p w:rsidR="00000000" w:rsidRDefault="00667627" w:rsidP="00FE6A54">
            <w:r>
              <w:t>Sektoravgifter under Olje- og energidepartementet</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r>
              <w:t>(NY)</w:t>
            </w:r>
          </w:p>
        </w:tc>
        <w:tc>
          <w:tcPr>
            <w:tcW w:w="660" w:type="dxa"/>
          </w:tcPr>
          <w:p w:rsidR="00000000" w:rsidRDefault="00667627" w:rsidP="00FE6A54">
            <w:r>
              <w:t>70</w:t>
            </w:r>
          </w:p>
        </w:tc>
        <w:tc>
          <w:tcPr>
            <w:tcW w:w="6640" w:type="dxa"/>
            <w:gridSpan w:val="2"/>
          </w:tcPr>
          <w:p w:rsidR="00000000" w:rsidRDefault="00667627" w:rsidP="00FE6A54">
            <w:r>
              <w:t xml:space="preserve">Bidrag til kulturminnevern i regulerte vassdrag, blir løyvd med </w:t>
            </w:r>
            <w:r>
              <w:tab/>
            </w:r>
          </w:p>
        </w:tc>
        <w:tc>
          <w:tcPr>
            <w:tcW w:w="1580" w:type="dxa"/>
          </w:tcPr>
          <w:p w:rsidR="00000000" w:rsidRDefault="00667627" w:rsidP="00FE6A54">
            <w:pPr>
              <w:jc w:val="right"/>
            </w:pPr>
            <w:r>
              <w:t>1 500 000</w:t>
            </w:r>
          </w:p>
        </w:tc>
      </w:tr>
      <w:tr w:rsidR="00000000" w:rsidTr="00FE6A54">
        <w:trPr>
          <w:trHeight w:val="380"/>
        </w:trPr>
        <w:tc>
          <w:tcPr>
            <w:tcW w:w="660" w:type="dxa"/>
          </w:tcPr>
          <w:p w:rsidR="00000000" w:rsidRDefault="00667627" w:rsidP="00FE6A54">
            <w:r>
              <w:t>5685</w:t>
            </w:r>
          </w:p>
        </w:tc>
        <w:tc>
          <w:tcPr>
            <w:tcW w:w="660" w:type="dxa"/>
          </w:tcPr>
          <w:p w:rsidR="00000000" w:rsidRDefault="00667627" w:rsidP="00FE6A54"/>
        </w:tc>
        <w:tc>
          <w:tcPr>
            <w:tcW w:w="6640" w:type="dxa"/>
            <w:gridSpan w:val="2"/>
          </w:tcPr>
          <w:p w:rsidR="00000000" w:rsidRDefault="00667627" w:rsidP="00FE6A54">
            <w:r>
              <w:t>Aksjar i Equinor ASA</w:t>
            </w:r>
          </w:p>
        </w:tc>
        <w:tc>
          <w:tcPr>
            <w:tcW w:w="1580" w:type="dxa"/>
          </w:tcPr>
          <w:p w:rsidR="00000000" w:rsidRDefault="00667627" w:rsidP="00FE6A54">
            <w:pPr>
              <w:jc w:val="right"/>
            </w:pPr>
          </w:p>
        </w:tc>
      </w:tr>
      <w:tr w:rsidR="00000000" w:rsidTr="00FE6A54">
        <w:trPr>
          <w:trHeight w:val="380"/>
        </w:trPr>
        <w:tc>
          <w:tcPr>
            <w:tcW w:w="660" w:type="dxa"/>
          </w:tcPr>
          <w:p w:rsidR="00000000" w:rsidRDefault="00667627" w:rsidP="00FE6A54"/>
        </w:tc>
        <w:tc>
          <w:tcPr>
            <w:tcW w:w="660" w:type="dxa"/>
          </w:tcPr>
          <w:p w:rsidR="00000000" w:rsidRDefault="00667627" w:rsidP="00FE6A54">
            <w:r>
              <w:t>85</w:t>
            </w:r>
          </w:p>
        </w:tc>
        <w:tc>
          <w:tcPr>
            <w:tcW w:w="6640" w:type="dxa"/>
            <w:gridSpan w:val="2"/>
          </w:tcPr>
          <w:p w:rsidR="00000000" w:rsidRDefault="00667627" w:rsidP="00FE6A54">
            <w:r>
              <w:t xml:space="preserve">Utbytte, blir sett opp med </w:t>
            </w:r>
            <w:r>
              <w:tab/>
            </w:r>
          </w:p>
        </w:tc>
        <w:tc>
          <w:tcPr>
            <w:tcW w:w="1580" w:type="dxa"/>
          </w:tcPr>
          <w:p w:rsidR="00000000" w:rsidRDefault="00667627" w:rsidP="00FE6A54">
            <w:pPr>
              <w:jc w:val="right"/>
            </w:pPr>
            <w:r>
              <w:t>530 000 </w:t>
            </w:r>
            <w:r>
              <w:t>000</w:t>
            </w:r>
          </w:p>
        </w:tc>
      </w:tr>
      <w:tr w:rsidR="00000000" w:rsidTr="00FE6A54">
        <w:trPr>
          <w:trHeight w:val="380"/>
        </w:trPr>
        <w:tc>
          <w:tcPr>
            <w:tcW w:w="660" w:type="dxa"/>
          </w:tcPr>
          <w:p w:rsidR="00000000" w:rsidRDefault="00667627" w:rsidP="00FE6A54"/>
        </w:tc>
        <w:tc>
          <w:tcPr>
            <w:tcW w:w="660" w:type="dxa"/>
          </w:tcPr>
          <w:p w:rsidR="00000000" w:rsidRDefault="00667627" w:rsidP="00FE6A54"/>
        </w:tc>
        <w:tc>
          <w:tcPr>
            <w:tcW w:w="6640" w:type="dxa"/>
            <w:gridSpan w:val="2"/>
          </w:tcPr>
          <w:p w:rsidR="00000000" w:rsidRDefault="00667627" w:rsidP="00FE6A54">
            <w:r>
              <w:t>frå kr 19 470 000 000 til kr 20 000 000 000</w:t>
            </w:r>
          </w:p>
        </w:tc>
        <w:tc>
          <w:tcPr>
            <w:tcW w:w="1580" w:type="dxa"/>
          </w:tcPr>
          <w:p w:rsidR="00000000" w:rsidRDefault="00667627" w:rsidP="00FE6A54">
            <w:pPr>
              <w:jc w:val="right"/>
            </w:pPr>
          </w:p>
        </w:tc>
      </w:tr>
    </w:tbl>
    <w:p w:rsidR="00000000" w:rsidRDefault="00667627" w:rsidP="00FE6A54"/>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7627">
      <w:pPr>
        <w:spacing w:after="0" w:line="240" w:lineRule="auto"/>
      </w:pPr>
      <w:r>
        <w:separator/>
      </w:r>
    </w:p>
  </w:endnote>
  <w:endnote w:type="continuationSeparator" w:id="0">
    <w:p w:rsidR="00000000" w:rsidRDefault="0066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A54" w:rsidRDefault="00FE6A5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A54" w:rsidRDefault="00FE6A5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A54" w:rsidRDefault="00FE6A54" w:rsidP="00FE6A54">
    <w:pPr>
      <w:pStyle w:val="Bunntekst"/>
      <w:jc w:val="center"/>
    </w:pPr>
    <w:r>
      <w:t xml:space="preserve">Side </w:t>
    </w:r>
    <w:r>
      <w:fldChar w:fldCharType="begin"/>
    </w:r>
    <w:r>
      <w:instrText xml:space="preserve"> PAGE  </w:instrText>
    </w:r>
    <w:r>
      <w:fldChar w:fldCharType="separate"/>
    </w:r>
    <w:r w:rsidR="00667627">
      <w:rPr>
        <w:noProof/>
      </w:rPr>
      <w:t>1</w:t>
    </w:r>
    <w:r>
      <w:fldChar w:fldCharType="end"/>
    </w:r>
    <w:r>
      <w:t xml:space="preserve"> av </w:t>
    </w:r>
    <w:fldSimple w:instr=" NUMPAGES  ">
      <w:r w:rsidR="00667627">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7627">
      <w:pPr>
        <w:spacing w:after="0" w:line="240" w:lineRule="auto"/>
      </w:pPr>
      <w:r>
        <w:separator/>
      </w:r>
    </w:p>
  </w:footnote>
  <w:footnote w:type="continuationSeparator" w:id="0">
    <w:p w:rsidR="00000000" w:rsidRDefault="00667627">
      <w:pPr>
        <w:spacing w:after="0" w:line="240" w:lineRule="auto"/>
      </w:pPr>
      <w:r>
        <w:continuationSeparator/>
      </w:r>
    </w:p>
  </w:footnote>
  <w:footnote w:id="1">
    <w:p w:rsidR="00000000" w:rsidRDefault="00667627">
      <w:pPr>
        <w:pStyle w:val="Fotnotetekst"/>
      </w:pPr>
      <w:r>
        <w:rPr>
          <w:vertAlign w:val="superscript"/>
        </w:rPr>
        <w:footnoteRef/>
      </w:r>
      <w:r>
        <w:rPr>
          <w:sz w:val="17"/>
          <w:szCs w:val="17"/>
        </w:rPr>
        <w:t>Til og med oktober 2019.</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A54" w:rsidRDefault="00FE6A5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A54" w:rsidRDefault="00FE6A5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A54" w:rsidRDefault="00FE6A5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023F8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5A0EAE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ADA6CA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AAE5B8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07E7FF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FF2B9D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22"/>
  </w:num>
  <w:num w:numId="17">
    <w:abstractNumId w:val="6"/>
  </w:num>
  <w:num w:numId="18">
    <w:abstractNumId w:val="20"/>
  </w:num>
  <w:num w:numId="19">
    <w:abstractNumId w:val="13"/>
  </w:num>
  <w:num w:numId="20">
    <w:abstractNumId w:val="18"/>
  </w:num>
  <w:num w:numId="21">
    <w:abstractNumId w:val="23"/>
  </w:num>
  <w:num w:numId="22">
    <w:abstractNumId w:val="8"/>
  </w:num>
  <w:num w:numId="23">
    <w:abstractNumId w:val="7"/>
  </w:num>
  <w:num w:numId="24">
    <w:abstractNumId w:val="19"/>
  </w:num>
  <w:num w:numId="25">
    <w:abstractNumId w:val="9"/>
  </w:num>
  <w:num w:numId="26">
    <w:abstractNumId w:val="17"/>
  </w:num>
  <w:num w:numId="27">
    <w:abstractNumId w:val="14"/>
  </w:num>
  <w:num w:numId="28">
    <w:abstractNumId w:val="24"/>
  </w:num>
  <w:num w:numId="29">
    <w:abstractNumId w:val="11"/>
  </w:num>
  <w:num w:numId="30">
    <w:abstractNumId w:val="21"/>
  </w:num>
  <w:num w:numId="31">
    <w:abstractNumId w:val="25"/>
  </w:num>
  <w:num w:numId="32">
    <w:abstractNumId w:val="15"/>
  </w:num>
  <w:num w:numId="33">
    <w:abstractNumId w:val="16"/>
  </w:num>
  <w:num w:numId="34">
    <w:abstractNumId w:val="10"/>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E6A54"/>
    <w:rsid w:val="00540E79"/>
    <w:rsid w:val="00667627"/>
    <w:rsid w:val="00902A61"/>
    <w:rsid w:val="00FE6A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D0964E"/>
  <w14:defaultImageDpi w14:val="0"/>
  <w15:docId w15:val="{E595E795-8996-4583-BA90-499CC389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5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E6A54"/>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E6A54"/>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FE6A54"/>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FE6A54"/>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FE6A54"/>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FE6A54"/>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FE6A54"/>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FE6A54"/>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FE6A54"/>
    <w:pPr>
      <w:numPr>
        <w:ilvl w:val="8"/>
        <w:numId w:val="16"/>
      </w:numPr>
      <w:spacing w:before="240" w:after="60"/>
      <w:outlineLvl w:val="8"/>
    </w:pPr>
    <w:rPr>
      <w:rFonts w:ascii="Arial" w:hAnsi="Arial"/>
      <w:i/>
      <w:sz w:val="18"/>
    </w:rPr>
  </w:style>
  <w:style w:type="character" w:default="1" w:styleId="Standardskriftforavsnitt">
    <w:name w:val="Default Paragraph Font"/>
    <w:uiPriority w:val="1"/>
    <w:unhideWhenUsed/>
    <w:rsid w:val="00FE6A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E6A5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E6A54"/>
    <w:pPr>
      <w:keepNext/>
      <w:keepLines/>
      <w:spacing w:before="240" w:after="240"/>
    </w:pPr>
  </w:style>
  <w:style w:type="paragraph" w:customStyle="1" w:styleId="a-konge-tit">
    <w:name w:val="a-konge-tit"/>
    <w:basedOn w:val="Normal"/>
    <w:next w:val="Normal"/>
    <w:rsid w:val="00FE6A54"/>
    <w:pPr>
      <w:keepNext/>
      <w:keepLines/>
      <w:spacing w:before="240"/>
      <w:jc w:val="center"/>
    </w:pPr>
    <w:rPr>
      <w:spacing w:val="30"/>
    </w:rPr>
  </w:style>
  <w:style w:type="paragraph" w:customStyle="1" w:styleId="a-tilraar-dep">
    <w:name w:val="a-tilraar-dep"/>
    <w:basedOn w:val="Normal"/>
    <w:next w:val="Normal"/>
    <w:rsid w:val="00FE6A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E6A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E6A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E6A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E6A5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E6A5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E6A54"/>
    <w:pPr>
      <w:keepNext/>
      <w:keepLines/>
      <w:numPr>
        <w:ilvl w:val="6"/>
        <w:numId w:val="3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E6A54"/>
    <w:pPr>
      <w:numPr>
        <w:ilvl w:val="5"/>
        <w:numId w:val="3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E6A5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E6A5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E6A5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E6A5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E6A54"/>
  </w:style>
  <w:style w:type="paragraph" w:customStyle="1" w:styleId="Def">
    <w:name w:val="Def"/>
    <w:basedOn w:val="hengende-innrykk"/>
    <w:rsid w:val="00FE6A54"/>
    <w:pPr>
      <w:spacing w:line="240" w:lineRule="auto"/>
      <w:ind w:left="0" w:firstLine="0"/>
    </w:pPr>
    <w:rPr>
      <w:rFonts w:ascii="Times" w:eastAsia="Batang" w:hAnsi="Times"/>
      <w:spacing w:val="0"/>
      <w:szCs w:val="20"/>
    </w:rPr>
  </w:style>
  <w:style w:type="paragraph" w:customStyle="1" w:styleId="del-nr">
    <w:name w:val="del-nr"/>
    <w:basedOn w:val="Normal"/>
    <w:qFormat/>
    <w:rsid w:val="00FE6A5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E6A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E6A54"/>
  </w:style>
  <w:style w:type="paragraph" w:customStyle="1" w:styleId="figur-noter">
    <w:name w:val="figur-noter"/>
    <w:basedOn w:val="Normal"/>
    <w:next w:val="Normal"/>
    <w:rsid w:val="00FE6A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E6A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E6A54"/>
    <w:rPr>
      <w:sz w:val="20"/>
    </w:rPr>
  </w:style>
  <w:style w:type="character" w:customStyle="1" w:styleId="FotnotetekstTegn">
    <w:name w:val="Fotnotetekst Tegn"/>
    <w:link w:val="Fotnotetekst"/>
    <w:rsid w:val="00FE6A5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E6A54"/>
    <w:pPr>
      <w:ind w:left="1418" w:hanging="1418"/>
    </w:pPr>
  </w:style>
  <w:style w:type="paragraph" w:customStyle="1" w:styleId="i-budkap-over">
    <w:name w:val="i-budkap-over"/>
    <w:basedOn w:val="Normal"/>
    <w:next w:val="Normal"/>
    <w:rsid w:val="00FE6A54"/>
    <w:pPr>
      <w:jc w:val="right"/>
    </w:pPr>
    <w:rPr>
      <w:rFonts w:ascii="Times" w:hAnsi="Times"/>
      <w:b/>
      <w:noProof/>
    </w:rPr>
  </w:style>
  <w:style w:type="paragraph" w:customStyle="1" w:styleId="i-dep">
    <w:name w:val="i-dep"/>
    <w:basedOn w:val="Normal"/>
    <w:next w:val="Normal"/>
    <w:rsid w:val="00FE6A5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E6A5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E6A54"/>
    <w:pPr>
      <w:ind w:left="1985" w:hanging="1985"/>
    </w:pPr>
    <w:rPr>
      <w:spacing w:val="0"/>
    </w:rPr>
  </w:style>
  <w:style w:type="paragraph" w:customStyle="1" w:styleId="i-statsrdato">
    <w:name w:val="i-statsr.dato"/>
    <w:basedOn w:val="Normal"/>
    <w:next w:val="Normal"/>
    <w:rsid w:val="00FE6A54"/>
    <w:pPr>
      <w:spacing w:after="0"/>
      <w:jc w:val="center"/>
    </w:pPr>
    <w:rPr>
      <w:rFonts w:ascii="Times" w:hAnsi="Times"/>
      <w:i/>
      <w:noProof/>
    </w:rPr>
  </w:style>
  <w:style w:type="paragraph" w:customStyle="1" w:styleId="i-termin">
    <w:name w:val="i-termin"/>
    <w:basedOn w:val="Normal"/>
    <w:next w:val="Normal"/>
    <w:rsid w:val="00FE6A54"/>
    <w:pPr>
      <w:spacing w:before="360"/>
      <w:jc w:val="center"/>
    </w:pPr>
    <w:rPr>
      <w:b/>
      <w:noProof/>
      <w:sz w:val="28"/>
    </w:rPr>
  </w:style>
  <w:style w:type="paragraph" w:customStyle="1" w:styleId="i-tit">
    <w:name w:val="i-tit"/>
    <w:basedOn w:val="Normal"/>
    <w:next w:val="i-statsrdato"/>
    <w:rsid w:val="00FE6A5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E6A54"/>
  </w:style>
  <w:style w:type="paragraph" w:customStyle="1" w:styleId="Kilde">
    <w:name w:val="Kilde"/>
    <w:basedOn w:val="Normal"/>
    <w:next w:val="Normal"/>
    <w:rsid w:val="00FE6A5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E6A5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E6A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E6A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E6A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E6A54"/>
    <w:pPr>
      <w:spacing w:after="0"/>
    </w:pPr>
  </w:style>
  <w:style w:type="paragraph" w:customStyle="1" w:styleId="l-tit-endr-avsnitt">
    <w:name w:val="l-tit-endr-avsnitt"/>
    <w:basedOn w:val="l-tit-endr-lovkap"/>
    <w:qFormat/>
    <w:rsid w:val="00FE6A54"/>
  </w:style>
  <w:style w:type="paragraph" w:customStyle="1" w:styleId="l-tit-endr-ledd">
    <w:name w:val="l-tit-endr-ledd"/>
    <w:basedOn w:val="Normal"/>
    <w:qFormat/>
    <w:rsid w:val="00FE6A54"/>
    <w:pPr>
      <w:keepNext/>
      <w:spacing w:before="240" w:after="0" w:line="240" w:lineRule="auto"/>
    </w:pPr>
    <w:rPr>
      <w:rFonts w:ascii="Times" w:hAnsi="Times"/>
      <w:noProof/>
      <w:lang w:val="nn-NO"/>
    </w:rPr>
  </w:style>
  <w:style w:type="paragraph" w:customStyle="1" w:styleId="l-tit-endr-lov">
    <w:name w:val="l-tit-endr-lov"/>
    <w:basedOn w:val="Normal"/>
    <w:qFormat/>
    <w:rsid w:val="00FE6A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E6A54"/>
    <w:pPr>
      <w:keepNext/>
      <w:spacing w:before="240" w:after="0" w:line="240" w:lineRule="auto"/>
    </w:pPr>
    <w:rPr>
      <w:rFonts w:ascii="Times" w:hAnsi="Times"/>
      <w:noProof/>
      <w:lang w:val="nn-NO"/>
    </w:rPr>
  </w:style>
  <w:style w:type="paragraph" w:customStyle="1" w:styleId="l-tit-endr-lovkap">
    <w:name w:val="l-tit-endr-lovkap"/>
    <w:basedOn w:val="Normal"/>
    <w:qFormat/>
    <w:rsid w:val="00FE6A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E6A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E6A54"/>
    <w:pPr>
      <w:spacing w:before="60" w:after="0"/>
      <w:ind w:left="397"/>
    </w:pPr>
    <w:rPr>
      <w:spacing w:val="0"/>
    </w:rPr>
  </w:style>
  <w:style w:type="paragraph" w:customStyle="1" w:styleId="Listeavsnitt2">
    <w:name w:val="Listeavsnitt 2"/>
    <w:basedOn w:val="Normal"/>
    <w:qFormat/>
    <w:rsid w:val="00FE6A54"/>
    <w:pPr>
      <w:spacing w:before="60" w:after="0"/>
      <w:ind w:left="794"/>
    </w:pPr>
    <w:rPr>
      <w:spacing w:val="0"/>
    </w:rPr>
  </w:style>
  <w:style w:type="paragraph" w:customStyle="1" w:styleId="Listeavsnitt3">
    <w:name w:val="Listeavsnitt 3"/>
    <w:basedOn w:val="Normal"/>
    <w:qFormat/>
    <w:rsid w:val="00FE6A54"/>
    <w:pPr>
      <w:spacing w:before="60" w:after="0"/>
      <w:ind w:left="1191"/>
    </w:pPr>
    <w:rPr>
      <w:spacing w:val="0"/>
    </w:rPr>
  </w:style>
  <w:style w:type="paragraph" w:customStyle="1" w:styleId="Listeavsnitt4">
    <w:name w:val="Listeavsnitt 4"/>
    <w:basedOn w:val="Normal"/>
    <w:qFormat/>
    <w:rsid w:val="00FE6A54"/>
    <w:pPr>
      <w:spacing w:before="60" w:after="0"/>
      <w:ind w:left="1588"/>
    </w:pPr>
    <w:rPr>
      <w:spacing w:val="0"/>
    </w:rPr>
  </w:style>
  <w:style w:type="paragraph" w:customStyle="1" w:styleId="Listeavsnitt5">
    <w:name w:val="Listeavsnitt 5"/>
    <w:basedOn w:val="Normal"/>
    <w:qFormat/>
    <w:rsid w:val="00FE6A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E6A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E6A5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E6A5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E6A54"/>
    <w:pPr>
      <w:keepNext/>
      <w:keepLines/>
      <w:spacing w:before="360"/>
    </w:pPr>
    <w:rPr>
      <w:rFonts w:ascii="Arial" w:hAnsi="Arial"/>
      <w:b/>
      <w:sz w:val="28"/>
    </w:rPr>
  </w:style>
  <w:style w:type="character" w:customStyle="1" w:styleId="UndertittelTegn">
    <w:name w:val="Undertittel Tegn"/>
    <w:link w:val="Undertittel"/>
    <w:rsid w:val="00FE6A5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E6A5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E6A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E6A5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E6A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E6A5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E6A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E6A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E6A5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E6A5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E6A54"/>
    <w:pPr>
      <w:numPr>
        <w:numId w:val="0"/>
      </w:numPr>
    </w:pPr>
    <w:rPr>
      <w:b w:val="0"/>
      <w:i/>
    </w:rPr>
  </w:style>
  <w:style w:type="paragraph" w:customStyle="1" w:styleId="Undervedl-tittel">
    <w:name w:val="Undervedl-tittel"/>
    <w:basedOn w:val="Normal"/>
    <w:next w:val="Normal"/>
    <w:rsid w:val="00FE6A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E6A54"/>
    <w:pPr>
      <w:numPr>
        <w:numId w:val="0"/>
      </w:numPr>
      <w:outlineLvl w:val="9"/>
    </w:pPr>
  </w:style>
  <w:style w:type="paragraph" w:customStyle="1" w:styleId="v-Overskrift2">
    <w:name w:val="v-Overskrift 2"/>
    <w:basedOn w:val="Overskrift2"/>
    <w:next w:val="Normal"/>
    <w:rsid w:val="00FE6A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E6A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E6A54"/>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E6A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E6A5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E6A54"/>
    <w:pPr>
      <w:keepNext/>
      <w:keepLines/>
      <w:spacing w:before="720"/>
      <w:jc w:val="center"/>
    </w:pPr>
    <w:rPr>
      <w:rFonts w:ascii="Times" w:hAnsi="Times"/>
      <w:b/>
      <w:noProof/>
      <w:sz w:val="56"/>
    </w:rPr>
  </w:style>
  <w:style w:type="paragraph" w:customStyle="1" w:styleId="i-sesjon">
    <w:name w:val="i-sesjon"/>
    <w:basedOn w:val="Normal"/>
    <w:next w:val="Normal"/>
    <w:rsid w:val="00FE6A54"/>
    <w:pPr>
      <w:jc w:val="center"/>
    </w:pPr>
    <w:rPr>
      <w:rFonts w:ascii="Times" w:hAnsi="Times"/>
      <w:b/>
      <w:noProof/>
      <w:sz w:val="28"/>
    </w:rPr>
  </w:style>
  <w:style w:type="paragraph" w:customStyle="1" w:styleId="i-mtit">
    <w:name w:val="i-mtit"/>
    <w:basedOn w:val="Normal"/>
    <w:next w:val="Normal"/>
    <w:rsid w:val="00FE6A5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E6A54"/>
    <w:rPr>
      <w:rFonts w:ascii="Arial" w:eastAsia="Times New Roman" w:hAnsi="Arial"/>
      <w:b/>
      <w:spacing w:val="4"/>
      <w:sz w:val="28"/>
    </w:rPr>
  </w:style>
  <w:style w:type="character" w:customStyle="1" w:styleId="Overskrift3Tegn">
    <w:name w:val="Overskrift 3 Tegn"/>
    <w:link w:val="Overskrift3"/>
    <w:rsid w:val="00FE6A54"/>
    <w:rPr>
      <w:rFonts w:ascii="Arial" w:eastAsia="Times New Roman" w:hAnsi="Arial"/>
      <w:b/>
      <w:sz w:val="24"/>
    </w:rPr>
  </w:style>
  <w:style w:type="character" w:customStyle="1" w:styleId="Overskrift4Tegn">
    <w:name w:val="Overskrift 4 Tegn"/>
    <w:link w:val="Overskrift4"/>
    <w:rsid w:val="00FE6A54"/>
    <w:rPr>
      <w:rFonts w:ascii="Arial" w:eastAsia="Times New Roman" w:hAnsi="Arial"/>
      <w:i/>
      <w:spacing w:val="4"/>
      <w:sz w:val="24"/>
    </w:rPr>
  </w:style>
  <w:style w:type="character" w:customStyle="1" w:styleId="Overskrift5Tegn">
    <w:name w:val="Overskrift 5 Tegn"/>
    <w:link w:val="Overskrift5"/>
    <w:rsid w:val="00FE6A54"/>
    <w:rPr>
      <w:rFonts w:ascii="Arial" w:eastAsia="Times New Roman" w:hAnsi="Arial"/>
      <w:i/>
      <w:sz w:val="24"/>
    </w:rPr>
  </w:style>
  <w:style w:type="paragraph" w:styleId="Liste">
    <w:name w:val="List"/>
    <w:basedOn w:val="Normal"/>
    <w:rsid w:val="00FE6A54"/>
    <w:pPr>
      <w:numPr>
        <w:numId w:val="21"/>
      </w:numPr>
      <w:spacing w:line="240" w:lineRule="auto"/>
      <w:contextualSpacing/>
    </w:pPr>
  </w:style>
  <w:style w:type="paragraph" w:styleId="Liste2">
    <w:name w:val="List 2"/>
    <w:basedOn w:val="Normal"/>
    <w:rsid w:val="00FE6A54"/>
    <w:pPr>
      <w:numPr>
        <w:ilvl w:val="1"/>
        <w:numId w:val="21"/>
      </w:numPr>
      <w:spacing w:after="0"/>
    </w:pPr>
  </w:style>
  <w:style w:type="paragraph" w:styleId="Liste3">
    <w:name w:val="List 3"/>
    <w:basedOn w:val="Normal"/>
    <w:rsid w:val="00FE6A54"/>
    <w:pPr>
      <w:numPr>
        <w:ilvl w:val="2"/>
        <w:numId w:val="21"/>
      </w:numPr>
      <w:spacing w:after="0"/>
    </w:pPr>
    <w:rPr>
      <w:spacing w:val="0"/>
    </w:rPr>
  </w:style>
  <w:style w:type="paragraph" w:styleId="Liste4">
    <w:name w:val="List 4"/>
    <w:basedOn w:val="Normal"/>
    <w:rsid w:val="00FE6A54"/>
    <w:pPr>
      <w:numPr>
        <w:ilvl w:val="3"/>
        <w:numId w:val="21"/>
      </w:numPr>
      <w:spacing w:after="0"/>
    </w:pPr>
    <w:rPr>
      <w:spacing w:val="0"/>
    </w:rPr>
  </w:style>
  <w:style w:type="paragraph" w:styleId="Liste5">
    <w:name w:val="List 5"/>
    <w:basedOn w:val="Normal"/>
    <w:rsid w:val="00FE6A54"/>
    <w:pPr>
      <w:numPr>
        <w:ilvl w:val="4"/>
        <w:numId w:val="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E6A54"/>
    <w:pPr>
      <w:numPr>
        <w:numId w:val="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E6A54"/>
    <w:pPr>
      <w:numPr>
        <w:ilvl w:val="1"/>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E6A54"/>
    <w:pPr>
      <w:numPr>
        <w:ilvl w:val="2"/>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E6A54"/>
    <w:pPr>
      <w:numPr>
        <w:ilvl w:val="3"/>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E6A54"/>
    <w:pPr>
      <w:numPr>
        <w:ilvl w:val="4"/>
        <w:numId w:val="19"/>
      </w:numPr>
      <w:spacing w:after="0" w:line="240" w:lineRule="auto"/>
    </w:pPr>
    <w:rPr>
      <w:rFonts w:ascii="Times" w:eastAsia="Batang" w:hAnsi="Times"/>
      <w:spacing w:val="0"/>
      <w:szCs w:val="20"/>
    </w:rPr>
  </w:style>
  <w:style w:type="paragraph" w:customStyle="1" w:styleId="Listebombe">
    <w:name w:val="Liste bombe"/>
    <w:basedOn w:val="Liste"/>
    <w:qFormat/>
    <w:rsid w:val="00FE6A54"/>
    <w:pPr>
      <w:numPr>
        <w:numId w:val="29"/>
      </w:numPr>
      <w:tabs>
        <w:tab w:val="left" w:pos="397"/>
      </w:tabs>
      <w:ind w:left="397" w:hanging="397"/>
    </w:pPr>
  </w:style>
  <w:style w:type="paragraph" w:customStyle="1" w:styleId="Listebombe2">
    <w:name w:val="Liste bombe 2"/>
    <w:basedOn w:val="Liste2"/>
    <w:qFormat/>
    <w:rsid w:val="00FE6A54"/>
    <w:pPr>
      <w:numPr>
        <w:ilvl w:val="0"/>
        <w:numId w:val="30"/>
      </w:numPr>
      <w:ind w:left="794" w:hanging="397"/>
    </w:pPr>
  </w:style>
  <w:style w:type="paragraph" w:customStyle="1" w:styleId="Listebombe3">
    <w:name w:val="Liste bombe 3"/>
    <w:basedOn w:val="Liste3"/>
    <w:qFormat/>
    <w:rsid w:val="00FE6A54"/>
    <w:pPr>
      <w:numPr>
        <w:ilvl w:val="0"/>
        <w:numId w:val="31"/>
      </w:numPr>
      <w:ind w:left="1191" w:hanging="397"/>
    </w:pPr>
  </w:style>
  <w:style w:type="paragraph" w:customStyle="1" w:styleId="Listebombe4">
    <w:name w:val="Liste bombe 4"/>
    <w:basedOn w:val="Liste4"/>
    <w:qFormat/>
    <w:rsid w:val="00FE6A54"/>
    <w:pPr>
      <w:numPr>
        <w:ilvl w:val="0"/>
        <w:numId w:val="32"/>
      </w:numPr>
      <w:ind w:left="1588" w:hanging="397"/>
    </w:pPr>
  </w:style>
  <w:style w:type="paragraph" w:customStyle="1" w:styleId="Listebombe5">
    <w:name w:val="Liste bombe 5"/>
    <w:basedOn w:val="Liste5"/>
    <w:qFormat/>
    <w:rsid w:val="00FE6A54"/>
    <w:pPr>
      <w:numPr>
        <w:ilvl w:val="0"/>
        <w:numId w:val="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E6A54"/>
    <w:pPr>
      <w:numPr>
        <w:numId w:val="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E6A54"/>
    <w:pPr>
      <w:numPr>
        <w:numId w:val="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E6A54"/>
    <w:pPr>
      <w:numPr>
        <w:ilvl w:val="2"/>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E6A54"/>
    <w:pPr>
      <w:numPr>
        <w:ilvl w:val="3"/>
        <w:numId w:val="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E6A54"/>
    <w:pPr>
      <w:numPr>
        <w:ilvl w:val="4"/>
        <w:numId w:val="1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E6A54"/>
    <w:pPr>
      <w:numPr>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E6A54"/>
    <w:pPr>
      <w:numPr>
        <w:ilvl w:val="1"/>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E6A54"/>
    <w:pPr>
      <w:numPr>
        <w:ilvl w:val="2"/>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E6A54"/>
    <w:pPr>
      <w:numPr>
        <w:ilvl w:val="3"/>
        <w:numId w:val="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E6A54"/>
    <w:pPr>
      <w:numPr>
        <w:ilvl w:val="4"/>
        <w:numId w:val="28"/>
      </w:numPr>
      <w:spacing w:after="0"/>
    </w:pPr>
  </w:style>
  <w:style w:type="paragraph" w:customStyle="1" w:styleId="opplisting">
    <w:name w:val="opplisting"/>
    <w:basedOn w:val="Normal"/>
    <w:rsid w:val="00FE6A54"/>
    <w:pPr>
      <w:spacing w:after="0"/>
    </w:pPr>
    <w:rPr>
      <w:rFonts w:ascii="Times" w:hAnsi="Times" w:cs="Times New Roman"/>
      <w:spacing w:val="0"/>
    </w:rPr>
  </w:style>
  <w:style w:type="paragraph" w:customStyle="1" w:styleId="opplisting2">
    <w:name w:val="opplisting 2"/>
    <w:basedOn w:val="Normal"/>
    <w:qFormat/>
    <w:rsid w:val="00FE6A54"/>
    <w:pPr>
      <w:spacing w:after="0"/>
      <w:ind w:left="397"/>
    </w:pPr>
    <w:rPr>
      <w:spacing w:val="0"/>
      <w:lang w:val="en-US"/>
    </w:rPr>
  </w:style>
  <w:style w:type="paragraph" w:customStyle="1" w:styleId="opplisting3">
    <w:name w:val="opplisting 3"/>
    <w:basedOn w:val="Normal"/>
    <w:qFormat/>
    <w:rsid w:val="00FE6A54"/>
    <w:pPr>
      <w:spacing w:after="0"/>
      <w:ind w:left="794"/>
    </w:pPr>
    <w:rPr>
      <w:spacing w:val="0"/>
    </w:rPr>
  </w:style>
  <w:style w:type="paragraph" w:customStyle="1" w:styleId="opplisting4">
    <w:name w:val="opplisting 4"/>
    <w:basedOn w:val="Normal"/>
    <w:qFormat/>
    <w:rsid w:val="00FE6A54"/>
    <w:pPr>
      <w:spacing w:after="0"/>
      <w:ind w:left="1191"/>
    </w:pPr>
    <w:rPr>
      <w:spacing w:val="0"/>
    </w:rPr>
  </w:style>
  <w:style w:type="paragraph" w:customStyle="1" w:styleId="opplisting5">
    <w:name w:val="opplisting 5"/>
    <w:basedOn w:val="Normal"/>
    <w:qFormat/>
    <w:rsid w:val="00FE6A54"/>
    <w:pPr>
      <w:spacing w:after="0"/>
      <w:ind w:left="1588"/>
    </w:pPr>
    <w:rPr>
      <w:spacing w:val="0"/>
    </w:rPr>
  </w:style>
  <w:style w:type="paragraph" w:customStyle="1" w:styleId="friliste">
    <w:name w:val="friliste"/>
    <w:basedOn w:val="Normal"/>
    <w:qFormat/>
    <w:rsid w:val="00FE6A54"/>
    <w:pPr>
      <w:tabs>
        <w:tab w:val="left" w:pos="397"/>
      </w:tabs>
      <w:spacing w:after="0"/>
      <w:ind w:left="397" w:hanging="397"/>
    </w:pPr>
    <w:rPr>
      <w:spacing w:val="0"/>
    </w:rPr>
  </w:style>
  <w:style w:type="paragraph" w:customStyle="1" w:styleId="friliste2">
    <w:name w:val="friliste 2"/>
    <w:basedOn w:val="Normal"/>
    <w:qFormat/>
    <w:rsid w:val="00FE6A54"/>
    <w:pPr>
      <w:tabs>
        <w:tab w:val="left" w:pos="794"/>
      </w:tabs>
      <w:spacing w:after="0"/>
      <w:ind w:left="794" w:hanging="397"/>
    </w:pPr>
    <w:rPr>
      <w:spacing w:val="0"/>
    </w:rPr>
  </w:style>
  <w:style w:type="paragraph" w:customStyle="1" w:styleId="friliste3">
    <w:name w:val="friliste 3"/>
    <w:basedOn w:val="Normal"/>
    <w:qFormat/>
    <w:rsid w:val="00FE6A54"/>
    <w:pPr>
      <w:tabs>
        <w:tab w:val="left" w:pos="1191"/>
      </w:tabs>
      <w:spacing w:after="0"/>
      <w:ind w:left="1191" w:hanging="397"/>
    </w:pPr>
    <w:rPr>
      <w:spacing w:val="0"/>
    </w:rPr>
  </w:style>
  <w:style w:type="paragraph" w:customStyle="1" w:styleId="friliste4">
    <w:name w:val="friliste 4"/>
    <w:basedOn w:val="Normal"/>
    <w:qFormat/>
    <w:rsid w:val="00FE6A54"/>
    <w:pPr>
      <w:tabs>
        <w:tab w:val="left" w:pos="1588"/>
      </w:tabs>
      <w:spacing w:after="0"/>
      <w:ind w:left="1588" w:hanging="397"/>
    </w:pPr>
    <w:rPr>
      <w:spacing w:val="0"/>
    </w:rPr>
  </w:style>
  <w:style w:type="paragraph" w:customStyle="1" w:styleId="friliste5">
    <w:name w:val="friliste 5"/>
    <w:basedOn w:val="Normal"/>
    <w:qFormat/>
    <w:rsid w:val="00FE6A5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E6A54"/>
    <w:pPr>
      <w:numPr>
        <w:numId w:val="2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E6A54"/>
    <w:pPr>
      <w:numPr>
        <w:numId w:val="27"/>
      </w:numPr>
    </w:pPr>
  </w:style>
  <w:style w:type="paragraph" w:customStyle="1" w:styleId="avsnitt-undertittel">
    <w:name w:val="avsnitt-undertittel"/>
    <w:basedOn w:val="Normal"/>
    <w:next w:val="Normal"/>
    <w:rsid w:val="00FE6A5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E6A54"/>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E6A54"/>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E6A54"/>
    <w:pPr>
      <w:numPr>
        <w:numId w:val="27"/>
      </w:numPr>
    </w:pPr>
  </w:style>
  <w:style w:type="paragraph" w:customStyle="1" w:styleId="avsnitt-under-undertittel">
    <w:name w:val="avsnitt-under-undertittel"/>
    <w:basedOn w:val="Normal"/>
    <w:next w:val="Normal"/>
    <w:rsid w:val="00FE6A54"/>
    <w:pPr>
      <w:keepNext/>
      <w:keepLines/>
      <w:spacing w:before="360" w:line="240" w:lineRule="auto"/>
    </w:pPr>
    <w:rPr>
      <w:rFonts w:eastAsia="Batang"/>
      <w:i/>
      <w:spacing w:val="0"/>
      <w:szCs w:val="20"/>
    </w:rPr>
  </w:style>
  <w:style w:type="paragraph" w:customStyle="1" w:styleId="blokksit">
    <w:name w:val="blokksit"/>
    <w:basedOn w:val="Normal"/>
    <w:qFormat/>
    <w:rsid w:val="00FE6A5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E6A54"/>
    <w:pPr>
      <w:spacing w:before="180" w:after="0"/>
    </w:pPr>
    <w:rPr>
      <w:rFonts w:ascii="Times" w:hAnsi="Times"/>
      <w:i/>
    </w:rPr>
  </w:style>
  <w:style w:type="paragraph" w:customStyle="1" w:styleId="l-ledd">
    <w:name w:val="l-ledd"/>
    <w:basedOn w:val="Normal"/>
    <w:qFormat/>
    <w:rsid w:val="00FE6A54"/>
    <w:pPr>
      <w:spacing w:after="0"/>
      <w:ind w:firstLine="397"/>
    </w:pPr>
    <w:rPr>
      <w:rFonts w:ascii="Times" w:hAnsi="Times"/>
    </w:rPr>
  </w:style>
  <w:style w:type="paragraph" w:customStyle="1" w:styleId="l-tit-endr-paragraf">
    <w:name w:val="l-tit-endr-paragraf"/>
    <w:basedOn w:val="Normal"/>
    <w:qFormat/>
    <w:rsid w:val="00FE6A5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E6A54"/>
    <w:pPr>
      <w:keepNext/>
      <w:keepLines/>
      <w:numPr>
        <w:ilvl w:val="7"/>
        <w:numId w:val="3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E6A54"/>
    <w:rPr>
      <w:rFonts w:ascii="Times New Roman" w:eastAsia="Times New Roman" w:hAnsi="Times New Roman"/>
      <w:spacing w:val="4"/>
      <w:sz w:val="20"/>
    </w:rPr>
  </w:style>
  <w:style w:type="character" w:customStyle="1" w:styleId="DatoTegn">
    <w:name w:val="Dato Tegn"/>
    <w:link w:val="Dato0"/>
    <w:rsid w:val="00FE6A54"/>
    <w:rPr>
      <w:rFonts w:ascii="Times New Roman" w:eastAsia="Times New Roman" w:hAnsi="Times New Roman"/>
      <w:spacing w:val="4"/>
      <w:sz w:val="24"/>
    </w:rPr>
  </w:style>
  <w:style w:type="character" w:styleId="Fotnotereferanse">
    <w:name w:val="footnote reference"/>
    <w:rsid w:val="00FE6A54"/>
    <w:rPr>
      <w:vertAlign w:val="superscript"/>
    </w:rPr>
  </w:style>
  <w:style w:type="character" w:customStyle="1" w:styleId="gjennomstreket">
    <w:name w:val="gjennomstreket"/>
    <w:uiPriority w:val="1"/>
    <w:rsid w:val="00FE6A54"/>
    <w:rPr>
      <w:strike/>
      <w:dstrike w:val="0"/>
    </w:rPr>
  </w:style>
  <w:style w:type="character" w:customStyle="1" w:styleId="halvfet0">
    <w:name w:val="halvfet"/>
    <w:rsid w:val="00FE6A54"/>
    <w:rPr>
      <w:b/>
    </w:rPr>
  </w:style>
  <w:style w:type="character" w:styleId="Hyperkobling">
    <w:name w:val="Hyperlink"/>
    <w:uiPriority w:val="99"/>
    <w:unhideWhenUsed/>
    <w:rsid w:val="00FE6A54"/>
    <w:rPr>
      <w:color w:val="0000FF"/>
      <w:u w:val="single"/>
    </w:rPr>
  </w:style>
  <w:style w:type="character" w:customStyle="1" w:styleId="kursiv">
    <w:name w:val="kursiv"/>
    <w:rsid w:val="00FE6A54"/>
    <w:rPr>
      <w:i/>
    </w:rPr>
  </w:style>
  <w:style w:type="character" w:customStyle="1" w:styleId="l-endring">
    <w:name w:val="l-endring"/>
    <w:rsid w:val="00FE6A5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E6A54"/>
  </w:style>
  <w:style w:type="character" w:styleId="Plassholdertekst">
    <w:name w:val="Placeholder Text"/>
    <w:uiPriority w:val="99"/>
    <w:rsid w:val="00FE6A54"/>
    <w:rPr>
      <w:color w:val="808080"/>
    </w:rPr>
  </w:style>
  <w:style w:type="character" w:customStyle="1" w:styleId="regular">
    <w:name w:val="regular"/>
    <w:uiPriority w:val="1"/>
    <w:qFormat/>
    <w:rsid w:val="00FE6A5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E6A54"/>
    <w:rPr>
      <w:vertAlign w:val="superscript"/>
    </w:rPr>
  </w:style>
  <w:style w:type="character" w:customStyle="1" w:styleId="skrift-senket">
    <w:name w:val="skrift-senket"/>
    <w:rsid w:val="00FE6A54"/>
    <w:rPr>
      <w:vertAlign w:val="subscript"/>
    </w:rPr>
  </w:style>
  <w:style w:type="character" w:customStyle="1" w:styleId="SluttnotetekstTegn">
    <w:name w:val="Sluttnotetekst Tegn"/>
    <w:link w:val="Sluttnotetekst"/>
    <w:uiPriority w:val="99"/>
    <w:semiHidden/>
    <w:rsid w:val="00FE6A54"/>
    <w:rPr>
      <w:rFonts w:ascii="Times New Roman" w:eastAsia="Times New Roman" w:hAnsi="Times New Roman"/>
      <w:spacing w:val="4"/>
      <w:sz w:val="20"/>
      <w:szCs w:val="20"/>
    </w:rPr>
  </w:style>
  <w:style w:type="character" w:customStyle="1" w:styleId="sperret0">
    <w:name w:val="sperret"/>
    <w:rsid w:val="00FE6A54"/>
    <w:rPr>
      <w:spacing w:val="30"/>
    </w:rPr>
  </w:style>
  <w:style w:type="character" w:customStyle="1" w:styleId="SterktsitatTegn">
    <w:name w:val="Sterkt sitat Tegn"/>
    <w:link w:val="Sterktsitat"/>
    <w:uiPriority w:val="30"/>
    <w:rsid w:val="00FE6A54"/>
    <w:rPr>
      <w:rFonts w:ascii="Times New Roman" w:eastAsia="Times New Roman" w:hAnsi="Times New Roman"/>
      <w:b/>
      <w:bCs/>
      <w:i/>
      <w:iCs/>
      <w:color w:val="4F81BD"/>
      <w:spacing w:val="4"/>
      <w:sz w:val="24"/>
    </w:rPr>
  </w:style>
  <w:style w:type="character" w:customStyle="1" w:styleId="Stikkord">
    <w:name w:val="Stikkord"/>
    <w:rsid w:val="00FE6A54"/>
    <w:rPr>
      <w:color w:val="0000FF"/>
    </w:rPr>
  </w:style>
  <w:style w:type="character" w:customStyle="1" w:styleId="stikkord0">
    <w:name w:val="stikkord"/>
    <w:uiPriority w:val="99"/>
  </w:style>
  <w:style w:type="character" w:styleId="Sterk">
    <w:name w:val="Strong"/>
    <w:uiPriority w:val="22"/>
    <w:qFormat/>
    <w:rsid w:val="00FE6A54"/>
    <w:rPr>
      <w:b/>
      <w:bCs/>
    </w:rPr>
  </w:style>
  <w:style w:type="character" w:customStyle="1" w:styleId="TopptekstTegn">
    <w:name w:val="Topptekst Tegn"/>
    <w:link w:val="Topptekst"/>
    <w:rsid w:val="00FE6A54"/>
    <w:rPr>
      <w:rFonts w:ascii="Times New Roman" w:eastAsia="Times New Roman" w:hAnsi="Times New Roman"/>
      <w:sz w:val="20"/>
    </w:rPr>
  </w:style>
  <w:style w:type="character" w:customStyle="1" w:styleId="UnderskriftTegn">
    <w:name w:val="Underskrift Tegn"/>
    <w:link w:val="Underskrift"/>
    <w:uiPriority w:val="99"/>
    <w:rsid w:val="00FE6A54"/>
    <w:rPr>
      <w:rFonts w:ascii="Times New Roman" w:eastAsia="Times New Roman" w:hAnsi="Times New Roman"/>
      <w:spacing w:val="4"/>
      <w:sz w:val="24"/>
    </w:rPr>
  </w:style>
  <w:style w:type="paragraph" w:styleId="Topptekst">
    <w:name w:val="header"/>
    <w:basedOn w:val="Normal"/>
    <w:link w:val="TopptekstTegn"/>
    <w:rsid w:val="00FE6A54"/>
    <w:pPr>
      <w:tabs>
        <w:tab w:val="center" w:pos="4536"/>
        <w:tab w:val="right" w:pos="9072"/>
      </w:tabs>
    </w:pPr>
    <w:rPr>
      <w:spacing w:val="0"/>
      <w:sz w:val="20"/>
    </w:rPr>
  </w:style>
  <w:style w:type="character" w:customStyle="1" w:styleId="TopptekstTegn1">
    <w:name w:val="Topptekst Tegn1"/>
    <w:basedOn w:val="Standardskriftforavsnitt"/>
    <w:uiPriority w:val="99"/>
    <w:rsid w:val="00FE6A54"/>
    <w:rPr>
      <w:rFonts w:ascii="UniCentury Old Style" w:hAnsi="UniCentury Old Style" w:cs="UniCentury Old Style"/>
      <w:color w:val="000000"/>
      <w:w w:val="0"/>
      <w:sz w:val="20"/>
      <w:szCs w:val="20"/>
    </w:rPr>
  </w:style>
  <w:style w:type="paragraph" w:styleId="Bunntekst">
    <w:name w:val="footer"/>
    <w:basedOn w:val="Normal"/>
    <w:link w:val="BunntekstTegn"/>
    <w:rsid w:val="00FE6A54"/>
    <w:pPr>
      <w:tabs>
        <w:tab w:val="center" w:pos="4153"/>
        <w:tab w:val="right" w:pos="8306"/>
      </w:tabs>
    </w:pPr>
    <w:rPr>
      <w:sz w:val="20"/>
    </w:rPr>
  </w:style>
  <w:style w:type="character" w:customStyle="1" w:styleId="BunntekstTegn1">
    <w:name w:val="Bunntekst Tegn1"/>
    <w:basedOn w:val="Standardskriftforavsnitt"/>
    <w:uiPriority w:val="99"/>
    <w:semiHidden/>
    <w:rsid w:val="00FE6A54"/>
    <w:rPr>
      <w:rFonts w:ascii="UniCentury Old Style" w:hAnsi="UniCentury Old Style" w:cs="UniCentury Old Style"/>
      <w:color w:val="000000"/>
      <w:w w:val="0"/>
      <w:sz w:val="20"/>
      <w:szCs w:val="20"/>
    </w:rPr>
  </w:style>
  <w:style w:type="character" w:customStyle="1" w:styleId="Overskrift6Tegn">
    <w:name w:val="Overskrift 6 Tegn"/>
    <w:link w:val="Overskrift6"/>
    <w:rsid w:val="00FE6A54"/>
    <w:rPr>
      <w:rFonts w:ascii="Arial" w:eastAsia="Times New Roman" w:hAnsi="Arial"/>
      <w:i/>
      <w:spacing w:val="4"/>
    </w:rPr>
  </w:style>
  <w:style w:type="character" w:customStyle="1" w:styleId="Overskrift7Tegn">
    <w:name w:val="Overskrift 7 Tegn"/>
    <w:link w:val="Overskrift7"/>
    <w:rsid w:val="00FE6A54"/>
    <w:rPr>
      <w:rFonts w:ascii="Arial" w:eastAsia="Times New Roman" w:hAnsi="Arial"/>
      <w:spacing w:val="4"/>
      <w:sz w:val="24"/>
    </w:rPr>
  </w:style>
  <w:style w:type="character" w:customStyle="1" w:styleId="Overskrift8Tegn">
    <w:name w:val="Overskrift 8 Tegn"/>
    <w:link w:val="Overskrift8"/>
    <w:rsid w:val="00FE6A54"/>
    <w:rPr>
      <w:rFonts w:ascii="Arial" w:eastAsia="Times New Roman" w:hAnsi="Arial"/>
      <w:i/>
      <w:spacing w:val="4"/>
      <w:sz w:val="24"/>
    </w:rPr>
  </w:style>
  <w:style w:type="character" w:customStyle="1" w:styleId="Overskrift9Tegn">
    <w:name w:val="Overskrift 9 Tegn"/>
    <w:link w:val="Overskrift9"/>
    <w:rsid w:val="00FE6A54"/>
    <w:rPr>
      <w:rFonts w:ascii="Arial" w:eastAsia="Times New Roman" w:hAnsi="Arial"/>
      <w:i/>
      <w:spacing w:val="4"/>
      <w:sz w:val="18"/>
    </w:rPr>
  </w:style>
  <w:style w:type="table" w:customStyle="1" w:styleId="Tabell-VM">
    <w:name w:val="Tabell-VM"/>
    <w:basedOn w:val="Tabelltemaer"/>
    <w:uiPriority w:val="99"/>
    <w:qFormat/>
    <w:rsid w:val="00FE6A5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E6A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E6A5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E6A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6A5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E6A54"/>
    <w:pPr>
      <w:tabs>
        <w:tab w:val="right" w:leader="dot" w:pos="8306"/>
      </w:tabs>
    </w:pPr>
    <w:rPr>
      <w:spacing w:val="0"/>
    </w:rPr>
  </w:style>
  <w:style w:type="paragraph" w:styleId="INNH2">
    <w:name w:val="toc 2"/>
    <w:basedOn w:val="Normal"/>
    <w:next w:val="Normal"/>
    <w:rsid w:val="00FE6A54"/>
    <w:pPr>
      <w:tabs>
        <w:tab w:val="right" w:leader="dot" w:pos="8306"/>
      </w:tabs>
      <w:ind w:left="200"/>
    </w:pPr>
    <w:rPr>
      <w:spacing w:val="0"/>
    </w:rPr>
  </w:style>
  <w:style w:type="paragraph" w:styleId="INNH3">
    <w:name w:val="toc 3"/>
    <w:basedOn w:val="Normal"/>
    <w:next w:val="Normal"/>
    <w:rsid w:val="00FE6A54"/>
    <w:pPr>
      <w:tabs>
        <w:tab w:val="right" w:leader="dot" w:pos="8306"/>
      </w:tabs>
      <w:ind w:left="400"/>
    </w:pPr>
    <w:rPr>
      <w:spacing w:val="0"/>
    </w:rPr>
  </w:style>
  <w:style w:type="paragraph" w:styleId="INNH4">
    <w:name w:val="toc 4"/>
    <w:basedOn w:val="Normal"/>
    <w:next w:val="Normal"/>
    <w:rsid w:val="00FE6A54"/>
    <w:pPr>
      <w:tabs>
        <w:tab w:val="right" w:leader="dot" w:pos="8306"/>
      </w:tabs>
      <w:ind w:left="600"/>
    </w:pPr>
    <w:rPr>
      <w:spacing w:val="0"/>
    </w:rPr>
  </w:style>
  <w:style w:type="paragraph" w:styleId="INNH5">
    <w:name w:val="toc 5"/>
    <w:basedOn w:val="Normal"/>
    <w:next w:val="Normal"/>
    <w:rsid w:val="00FE6A54"/>
    <w:pPr>
      <w:tabs>
        <w:tab w:val="right" w:leader="dot" w:pos="8306"/>
      </w:tabs>
      <w:ind w:left="800"/>
    </w:pPr>
    <w:rPr>
      <w:spacing w:val="0"/>
    </w:rPr>
  </w:style>
  <w:style w:type="character" w:styleId="Merknadsreferanse">
    <w:name w:val="annotation reference"/>
    <w:rsid w:val="00FE6A54"/>
    <w:rPr>
      <w:sz w:val="16"/>
    </w:rPr>
  </w:style>
  <w:style w:type="paragraph" w:styleId="Merknadstekst">
    <w:name w:val="annotation text"/>
    <w:basedOn w:val="Normal"/>
    <w:link w:val="MerknadstekstTegn"/>
    <w:rsid w:val="00FE6A54"/>
    <w:rPr>
      <w:spacing w:val="0"/>
      <w:sz w:val="20"/>
    </w:rPr>
  </w:style>
  <w:style w:type="character" w:customStyle="1" w:styleId="MerknadstekstTegn">
    <w:name w:val="Merknadstekst Tegn"/>
    <w:link w:val="Merknadstekst"/>
    <w:rsid w:val="00FE6A54"/>
    <w:rPr>
      <w:rFonts w:ascii="Times New Roman" w:eastAsia="Times New Roman" w:hAnsi="Times New Roman"/>
      <w:sz w:val="20"/>
    </w:rPr>
  </w:style>
  <w:style w:type="paragraph" w:styleId="Punktliste">
    <w:name w:val="List Bullet"/>
    <w:basedOn w:val="Normal"/>
    <w:rsid w:val="00FE6A54"/>
    <w:pPr>
      <w:spacing w:after="0"/>
      <w:ind w:left="284" w:hanging="284"/>
    </w:pPr>
  </w:style>
  <w:style w:type="paragraph" w:styleId="Punktliste2">
    <w:name w:val="List Bullet 2"/>
    <w:basedOn w:val="Normal"/>
    <w:rsid w:val="00FE6A54"/>
    <w:pPr>
      <w:spacing w:after="0"/>
      <w:ind w:left="568" w:hanging="284"/>
    </w:pPr>
  </w:style>
  <w:style w:type="paragraph" w:styleId="Punktliste3">
    <w:name w:val="List Bullet 3"/>
    <w:basedOn w:val="Normal"/>
    <w:rsid w:val="00FE6A54"/>
    <w:pPr>
      <w:spacing w:after="0"/>
      <w:ind w:left="851" w:hanging="284"/>
    </w:pPr>
  </w:style>
  <w:style w:type="paragraph" w:styleId="Punktliste4">
    <w:name w:val="List Bullet 4"/>
    <w:basedOn w:val="Normal"/>
    <w:rsid w:val="00FE6A54"/>
    <w:pPr>
      <w:spacing w:after="0"/>
      <w:ind w:left="1135" w:hanging="284"/>
    </w:pPr>
    <w:rPr>
      <w:spacing w:val="0"/>
    </w:rPr>
  </w:style>
  <w:style w:type="paragraph" w:styleId="Punktliste5">
    <w:name w:val="List Bullet 5"/>
    <w:basedOn w:val="Normal"/>
    <w:rsid w:val="00FE6A54"/>
    <w:pPr>
      <w:spacing w:after="0"/>
      <w:ind w:left="1418" w:hanging="284"/>
    </w:pPr>
    <w:rPr>
      <w:spacing w:val="0"/>
    </w:rPr>
  </w:style>
  <w:style w:type="table" w:customStyle="1" w:styleId="StandardTabell">
    <w:name w:val="StandardTabell"/>
    <w:basedOn w:val="Vanligtabell"/>
    <w:uiPriority w:val="99"/>
    <w:qFormat/>
    <w:rsid w:val="00FE6A5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E6A5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E6A5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E6A54"/>
    <w:pPr>
      <w:spacing w:after="0" w:line="240" w:lineRule="auto"/>
      <w:ind w:left="240" w:hanging="240"/>
    </w:pPr>
  </w:style>
  <w:style w:type="paragraph" w:styleId="Indeks2">
    <w:name w:val="index 2"/>
    <w:basedOn w:val="Normal"/>
    <w:next w:val="Normal"/>
    <w:autoRedefine/>
    <w:uiPriority w:val="99"/>
    <w:semiHidden/>
    <w:unhideWhenUsed/>
    <w:rsid w:val="00FE6A54"/>
    <w:pPr>
      <w:spacing w:after="0" w:line="240" w:lineRule="auto"/>
      <w:ind w:left="480" w:hanging="240"/>
    </w:pPr>
  </w:style>
  <w:style w:type="paragraph" w:styleId="Indeks3">
    <w:name w:val="index 3"/>
    <w:basedOn w:val="Normal"/>
    <w:next w:val="Normal"/>
    <w:autoRedefine/>
    <w:uiPriority w:val="99"/>
    <w:semiHidden/>
    <w:unhideWhenUsed/>
    <w:rsid w:val="00FE6A54"/>
    <w:pPr>
      <w:spacing w:after="0" w:line="240" w:lineRule="auto"/>
      <w:ind w:left="720" w:hanging="240"/>
    </w:pPr>
  </w:style>
  <w:style w:type="paragraph" w:styleId="Indeks4">
    <w:name w:val="index 4"/>
    <w:basedOn w:val="Normal"/>
    <w:next w:val="Normal"/>
    <w:autoRedefine/>
    <w:uiPriority w:val="99"/>
    <w:semiHidden/>
    <w:unhideWhenUsed/>
    <w:rsid w:val="00FE6A54"/>
    <w:pPr>
      <w:spacing w:after="0" w:line="240" w:lineRule="auto"/>
      <w:ind w:left="960" w:hanging="240"/>
    </w:pPr>
  </w:style>
  <w:style w:type="paragraph" w:styleId="Indeks5">
    <w:name w:val="index 5"/>
    <w:basedOn w:val="Normal"/>
    <w:next w:val="Normal"/>
    <w:autoRedefine/>
    <w:uiPriority w:val="99"/>
    <w:semiHidden/>
    <w:unhideWhenUsed/>
    <w:rsid w:val="00FE6A54"/>
    <w:pPr>
      <w:spacing w:after="0" w:line="240" w:lineRule="auto"/>
      <w:ind w:left="1200" w:hanging="240"/>
    </w:pPr>
  </w:style>
  <w:style w:type="paragraph" w:styleId="Indeks6">
    <w:name w:val="index 6"/>
    <w:basedOn w:val="Normal"/>
    <w:next w:val="Normal"/>
    <w:autoRedefine/>
    <w:uiPriority w:val="99"/>
    <w:semiHidden/>
    <w:unhideWhenUsed/>
    <w:rsid w:val="00FE6A54"/>
    <w:pPr>
      <w:spacing w:after="0" w:line="240" w:lineRule="auto"/>
      <w:ind w:left="1440" w:hanging="240"/>
    </w:pPr>
  </w:style>
  <w:style w:type="paragraph" w:styleId="Indeks7">
    <w:name w:val="index 7"/>
    <w:basedOn w:val="Normal"/>
    <w:next w:val="Normal"/>
    <w:autoRedefine/>
    <w:uiPriority w:val="99"/>
    <w:semiHidden/>
    <w:unhideWhenUsed/>
    <w:rsid w:val="00FE6A54"/>
    <w:pPr>
      <w:spacing w:after="0" w:line="240" w:lineRule="auto"/>
      <w:ind w:left="1680" w:hanging="240"/>
    </w:pPr>
  </w:style>
  <w:style w:type="paragraph" w:styleId="Indeks8">
    <w:name w:val="index 8"/>
    <w:basedOn w:val="Normal"/>
    <w:next w:val="Normal"/>
    <w:autoRedefine/>
    <w:uiPriority w:val="99"/>
    <w:semiHidden/>
    <w:unhideWhenUsed/>
    <w:rsid w:val="00FE6A54"/>
    <w:pPr>
      <w:spacing w:after="0" w:line="240" w:lineRule="auto"/>
      <w:ind w:left="1920" w:hanging="240"/>
    </w:pPr>
  </w:style>
  <w:style w:type="paragraph" w:styleId="Indeks9">
    <w:name w:val="index 9"/>
    <w:basedOn w:val="Normal"/>
    <w:next w:val="Normal"/>
    <w:autoRedefine/>
    <w:uiPriority w:val="99"/>
    <w:semiHidden/>
    <w:unhideWhenUsed/>
    <w:rsid w:val="00FE6A54"/>
    <w:pPr>
      <w:spacing w:after="0" w:line="240" w:lineRule="auto"/>
      <w:ind w:left="2160" w:hanging="240"/>
    </w:pPr>
  </w:style>
  <w:style w:type="paragraph" w:styleId="INNH6">
    <w:name w:val="toc 6"/>
    <w:basedOn w:val="Normal"/>
    <w:next w:val="Normal"/>
    <w:autoRedefine/>
    <w:uiPriority w:val="39"/>
    <w:semiHidden/>
    <w:unhideWhenUsed/>
    <w:rsid w:val="00FE6A54"/>
    <w:pPr>
      <w:spacing w:after="100"/>
      <w:ind w:left="1200"/>
    </w:pPr>
  </w:style>
  <w:style w:type="paragraph" w:styleId="INNH7">
    <w:name w:val="toc 7"/>
    <w:basedOn w:val="Normal"/>
    <w:next w:val="Normal"/>
    <w:autoRedefine/>
    <w:uiPriority w:val="39"/>
    <w:semiHidden/>
    <w:unhideWhenUsed/>
    <w:rsid w:val="00FE6A54"/>
    <w:pPr>
      <w:spacing w:after="100"/>
      <w:ind w:left="1440"/>
    </w:pPr>
  </w:style>
  <w:style w:type="paragraph" w:styleId="INNH8">
    <w:name w:val="toc 8"/>
    <w:basedOn w:val="Normal"/>
    <w:next w:val="Normal"/>
    <w:autoRedefine/>
    <w:uiPriority w:val="39"/>
    <w:semiHidden/>
    <w:unhideWhenUsed/>
    <w:rsid w:val="00FE6A54"/>
    <w:pPr>
      <w:spacing w:after="100"/>
      <w:ind w:left="1680"/>
    </w:pPr>
  </w:style>
  <w:style w:type="paragraph" w:styleId="INNH9">
    <w:name w:val="toc 9"/>
    <w:basedOn w:val="Normal"/>
    <w:next w:val="Normal"/>
    <w:autoRedefine/>
    <w:uiPriority w:val="39"/>
    <w:semiHidden/>
    <w:unhideWhenUsed/>
    <w:rsid w:val="00FE6A54"/>
    <w:pPr>
      <w:spacing w:after="100"/>
      <w:ind w:left="1920"/>
    </w:pPr>
  </w:style>
  <w:style w:type="paragraph" w:styleId="Vanliginnrykk">
    <w:name w:val="Normal Indent"/>
    <w:basedOn w:val="Normal"/>
    <w:uiPriority w:val="99"/>
    <w:semiHidden/>
    <w:unhideWhenUsed/>
    <w:rsid w:val="00FE6A54"/>
    <w:pPr>
      <w:ind w:left="708"/>
    </w:pPr>
  </w:style>
  <w:style w:type="paragraph" w:styleId="Stikkordregisteroverskrift">
    <w:name w:val="index heading"/>
    <w:basedOn w:val="Normal"/>
    <w:next w:val="Indeks1"/>
    <w:uiPriority w:val="99"/>
    <w:semiHidden/>
    <w:unhideWhenUsed/>
    <w:rsid w:val="00FE6A54"/>
    <w:rPr>
      <w:rFonts w:ascii="Cambria" w:hAnsi="Cambria" w:cs="Times New Roman"/>
      <w:b/>
      <w:bCs/>
    </w:rPr>
  </w:style>
  <w:style w:type="paragraph" w:styleId="Bildetekst">
    <w:name w:val="caption"/>
    <w:basedOn w:val="Normal"/>
    <w:next w:val="Normal"/>
    <w:uiPriority w:val="35"/>
    <w:semiHidden/>
    <w:unhideWhenUsed/>
    <w:qFormat/>
    <w:rsid w:val="00FE6A5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E6A54"/>
    <w:pPr>
      <w:spacing w:after="0"/>
    </w:pPr>
  </w:style>
  <w:style w:type="paragraph" w:styleId="Konvoluttadresse">
    <w:name w:val="envelope address"/>
    <w:basedOn w:val="Normal"/>
    <w:uiPriority w:val="99"/>
    <w:semiHidden/>
    <w:unhideWhenUsed/>
    <w:rsid w:val="00FE6A5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E6A54"/>
  </w:style>
  <w:style w:type="character" w:styleId="Sluttnotereferanse">
    <w:name w:val="endnote reference"/>
    <w:uiPriority w:val="99"/>
    <w:semiHidden/>
    <w:unhideWhenUsed/>
    <w:rsid w:val="00FE6A54"/>
    <w:rPr>
      <w:vertAlign w:val="superscript"/>
    </w:rPr>
  </w:style>
  <w:style w:type="paragraph" w:styleId="Sluttnotetekst">
    <w:name w:val="endnote text"/>
    <w:basedOn w:val="Normal"/>
    <w:link w:val="SluttnotetekstTegn"/>
    <w:uiPriority w:val="99"/>
    <w:semiHidden/>
    <w:unhideWhenUsed/>
    <w:rsid w:val="00FE6A54"/>
    <w:pPr>
      <w:spacing w:after="0" w:line="240" w:lineRule="auto"/>
    </w:pPr>
    <w:rPr>
      <w:sz w:val="20"/>
      <w:szCs w:val="20"/>
    </w:rPr>
  </w:style>
  <w:style w:type="character" w:customStyle="1" w:styleId="SluttnotetekstTegn1">
    <w:name w:val="Sluttnotetekst Tegn1"/>
    <w:basedOn w:val="Standardskriftforavsnitt"/>
    <w:uiPriority w:val="99"/>
    <w:semiHidden/>
    <w:rsid w:val="00FE6A5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E6A54"/>
    <w:pPr>
      <w:spacing w:after="0"/>
      <w:ind w:left="240" w:hanging="240"/>
    </w:pPr>
  </w:style>
  <w:style w:type="paragraph" w:styleId="Makrotekst">
    <w:name w:val="macro"/>
    <w:link w:val="MakrotekstTegn"/>
    <w:uiPriority w:val="99"/>
    <w:semiHidden/>
    <w:unhideWhenUsed/>
    <w:rsid w:val="00FE6A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E6A54"/>
    <w:rPr>
      <w:rFonts w:ascii="Consolas" w:eastAsia="Times New Roman" w:hAnsi="Consolas"/>
      <w:spacing w:val="4"/>
    </w:rPr>
  </w:style>
  <w:style w:type="paragraph" w:styleId="Kildelisteoverskrift">
    <w:name w:val="toa heading"/>
    <w:basedOn w:val="Normal"/>
    <w:next w:val="Normal"/>
    <w:uiPriority w:val="99"/>
    <w:semiHidden/>
    <w:unhideWhenUsed/>
    <w:rsid w:val="00FE6A54"/>
    <w:pPr>
      <w:spacing w:before="120"/>
    </w:pPr>
    <w:rPr>
      <w:rFonts w:ascii="Cambria" w:hAnsi="Cambria" w:cs="Times New Roman"/>
      <w:b/>
      <w:bCs/>
      <w:szCs w:val="24"/>
    </w:rPr>
  </w:style>
  <w:style w:type="paragraph" w:styleId="Tittel">
    <w:name w:val="Title"/>
    <w:basedOn w:val="Normal"/>
    <w:next w:val="Normal"/>
    <w:link w:val="TittelTegn"/>
    <w:uiPriority w:val="10"/>
    <w:qFormat/>
    <w:rsid w:val="00FE6A5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E6A5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E6A54"/>
    <w:pPr>
      <w:spacing w:after="0" w:line="240" w:lineRule="auto"/>
      <w:ind w:left="4252"/>
    </w:pPr>
  </w:style>
  <w:style w:type="character" w:customStyle="1" w:styleId="HilsenTegn">
    <w:name w:val="Hilsen Tegn"/>
    <w:link w:val="Hilsen"/>
    <w:uiPriority w:val="99"/>
    <w:semiHidden/>
    <w:rsid w:val="00FE6A54"/>
    <w:rPr>
      <w:rFonts w:ascii="Times New Roman" w:eastAsia="Times New Roman" w:hAnsi="Times New Roman"/>
      <w:spacing w:val="4"/>
      <w:sz w:val="24"/>
    </w:rPr>
  </w:style>
  <w:style w:type="paragraph" w:styleId="Underskrift">
    <w:name w:val="Signature"/>
    <w:basedOn w:val="Normal"/>
    <w:link w:val="UnderskriftTegn"/>
    <w:uiPriority w:val="99"/>
    <w:unhideWhenUsed/>
    <w:rsid w:val="00FE6A54"/>
    <w:pPr>
      <w:spacing w:after="0" w:line="240" w:lineRule="auto"/>
      <w:ind w:left="4252"/>
    </w:pPr>
  </w:style>
  <w:style w:type="character" w:customStyle="1" w:styleId="UnderskriftTegn1">
    <w:name w:val="Underskrift Tegn1"/>
    <w:basedOn w:val="Standardskriftforavsnitt"/>
    <w:uiPriority w:val="99"/>
    <w:semiHidden/>
    <w:rsid w:val="00FE6A54"/>
    <w:rPr>
      <w:rFonts w:ascii="Times New Roman" w:eastAsia="Times New Roman" w:hAnsi="Times New Roman"/>
      <w:spacing w:val="4"/>
      <w:sz w:val="24"/>
    </w:rPr>
  </w:style>
  <w:style w:type="paragraph" w:styleId="Liste-forts">
    <w:name w:val="List Continue"/>
    <w:basedOn w:val="Normal"/>
    <w:uiPriority w:val="99"/>
    <w:semiHidden/>
    <w:unhideWhenUsed/>
    <w:rsid w:val="00FE6A54"/>
    <w:pPr>
      <w:ind w:left="283"/>
      <w:contextualSpacing/>
    </w:pPr>
  </w:style>
  <w:style w:type="paragraph" w:styleId="Liste-forts2">
    <w:name w:val="List Continue 2"/>
    <w:basedOn w:val="Normal"/>
    <w:uiPriority w:val="99"/>
    <w:semiHidden/>
    <w:unhideWhenUsed/>
    <w:rsid w:val="00FE6A54"/>
    <w:pPr>
      <w:ind w:left="566"/>
      <w:contextualSpacing/>
    </w:pPr>
  </w:style>
  <w:style w:type="paragraph" w:styleId="Liste-forts3">
    <w:name w:val="List Continue 3"/>
    <w:basedOn w:val="Normal"/>
    <w:uiPriority w:val="99"/>
    <w:semiHidden/>
    <w:unhideWhenUsed/>
    <w:rsid w:val="00FE6A54"/>
    <w:pPr>
      <w:ind w:left="849"/>
      <w:contextualSpacing/>
    </w:pPr>
  </w:style>
  <w:style w:type="paragraph" w:styleId="Liste-forts4">
    <w:name w:val="List Continue 4"/>
    <w:basedOn w:val="Normal"/>
    <w:uiPriority w:val="99"/>
    <w:semiHidden/>
    <w:unhideWhenUsed/>
    <w:rsid w:val="00FE6A54"/>
    <w:pPr>
      <w:ind w:left="1132"/>
      <w:contextualSpacing/>
    </w:pPr>
  </w:style>
  <w:style w:type="paragraph" w:styleId="Liste-forts5">
    <w:name w:val="List Continue 5"/>
    <w:basedOn w:val="Normal"/>
    <w:uiPriority w:val="99"/>
    <w:semiHidden/>
    <w:unhideWhenUsed/>
    <w:rsid w:val="00FE6A54"/>
    <w:pPr>
      <w:ind w:left="1415"/>
      <w:contextualSpacing/>
    </w:pPr>
  </w:style>
  <w:style w:type="paragraph" w:styleId="Meldingshode">
    <w:name w:val="Message Header"/>
    <w:basedOn w:val="Normal"/>
    <w:link w:val="MeldingshodeTegn"/>
    <w:uiPriority w:val="99"/>
    <w:semiHidden/>
    <w:unhideWhenUsed/>
    <w:rsid w:val="00FE6A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E6A5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E6A54"/>
  </w:style>
  <w:style w:type="character" w:customStyle="1" w:styleId="InnledendehilsenTegn">
    <w:name w:val="Innledende hilsen Tegn"/>
    <w:link w:val="Innledendehilsen"/>
    <w:uiPriority w:val="99"/>
    <w:semiHidden/>
    <w:rsid w:val="00FE6A54"/>
    <w:rPr>
      <w:rFonts w:ascii="Times New Roman" w:eastAsia="Times New Roman" w:hAnsi="Times New Roman"/>
      <w:spacing w:val="4"/>
      <w:sz w:val="24"/>
    </w:rPr>
  </w:style>
  <w:style w:type="paragraph" w:styleId="Dato0">
    <w:name w:val="Date"/>
    <w:basedOn w:val="Normal"/>
    <w:next w:val="Normal"/>
    <w:link w:val="DatoTegn"/>
    <w:rsid w:val="00FE6A54"/>
  </w:style>
  <w:style w:type="character" w:customStyle="1" w:styleId="DatoTegn1">
    <w:name w:val="Dato Tegn1"/>
    <w:basedOn w:val="Standardskriftforavsnitt"/>
    <w:uiPriority w:val="99"/>
    <w:semiHidden/>
    <w:rsid w:val="00FE6A5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E6A54"/>
    <w:pPr>
      <w:spacing w:after="0" w:line="240" w:lineRule="auto"/>
    </w:pPr>
  </w:style>
  <w:style w:type="character" w:customStyle="1" w:styleId="NotatoverskriftTegn">
    <w:name w:val="Notatoverskrift Tegn"/>
    <w:link w:val="Notatoverskrift"/>
    <w:uiPriority w:val="99"/>
    <w:semiHidden/>
    <w:rsid w:val="00FE6A54"/>
    <w:rPr>
      <w:rFonts w:ascii="Times New Roman" w:eastAsia="Times New Roman" w:hAnsi="Times New Roman"/>
      <w:spacing w:val="4"/>
      <w:sz w:val="24"/>
    </w:rPr>
  </w:style>
  <w:style w:type="paragraph" w:styleId="Blokktekst">
    <w:name w:val="Block Text"/>
    <w:basedOn w:val="Normal"/>
    <w:uiPriority w:val="99"/>
    <w:semiHidden/>
    <w:unhideWhenUsed/>
    <w:rsid w:val="00FE6A5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E6A54"/>
    <w:rPr>
      <w:color w:val="800080"/>
      <w:u w:val="single"/>
    </w:rPr>
  </w:style>
  <w:style w:type="character" w:styleId="Utheving">
    <w:name w:val="Emphasis"/>
    <w:uiPriority w:val="20"/>
    <w:qFormat/>
    <w:rsid w:val="00FE6A54"/>
    <w:rPr>
      <w:i/>
      <w:iCs/>
    </w:rPr>
  </w:style>
  <w:style w:type="paragraph" w:styleId="Dokumentkart">
    <w:name w:val="Document Map"/>
    <w:basedOn w:val="Normal"/>
    <w:link w:val="DokumentkartTegn"/>
    <w:uiPriority w:val="99"/>
    <w:semiHidden/>
    <w:rsid w:val="00FE6A54"/>
    <w:pPr>
      <w:shd w:val="clear" w:color="auto" w:fill="000080"/>
    </w:pPr>
    <w:rPr>
      <w:rFonts w:ascii="Tahoma" w:hAnsi="Tahoma" w:cs="Tahoma"/>
    </w:rPr>
  </w:style>
  <w:style w:type="character" w:customStyle="1" w:styleId="DokumentkartTegn">
    <w:name w:val="Dokumentkart Tegn"/>
    <w:link w:val="Dokumentkart"/>
    <w:uiPriority w:val="99"/>
    <w:semiHidden/>
    <w:rsid w:val="00FE6A5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E6A54"/>
    <w:rPr>
      <w:rFonts w:ascii="Courier New" w:hAnsi="Courier New" w:cs="Courier New"/>
      <w:sz w:val="20"/>
    </w:rPr>
  </w:style>
  <w:style w:type="character" w:customStyle="1" w:styleId="RentekstTegn">
    <w:name w:val="Ren tekst Tegn"/>
    <w:link w:val="Rentekst"/>
    <w:uiPriority w:val="99"/>
    <w:semiHidden/>
    <w:rsid w:val="00FE6A5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E6A54"/>
    <w:pPr>
      <w:spacing w:after="0" w:line="240" w:lineRule="auto"/>
    </w:pPr>
  </w:style>
  <w:style w:type="character" w:customStyle="1" w:styleId="E-postsignaturTegn">
    <w:name w:val="E-postsignatur Tegn"/>
    <w:link w:val="E-postsignatur"/>
    <w:uiPriority w:val="99"/>
    <w:semiHidden/>
    <w:rsid w:val="00FE6A54"/>
    <w:rPr>
      <w:rFonts w:ascii="Times New Roman" w:eastAsia="Times New Roman" w:hAnsi="Times New Roman"/>
      <w:spacing w:val="4"/>
      <w:sz w:val="24"/>
    </w:rPr>
  </w:style>
  <w:style w:type="paragraph" w:styleId="NormalWeb">
    <w:name w:val="Normal (Web)"/>
    <w:basedOn w:val="Normal"/>
    <w:uiPriority w:val="99"/>
    <w:semiHidden/>
    <w:unhideWhenUsed/>
    <w:rsid w:val="00FE6A54"/>
    <w:rPr>
      <w:szCs w:val="24"/>
    </w:rPr>
  </w:style>
  <w:style w:type="character" w:styleId="HTML-akronym">
    <w:name w:val="HTML Acronym"/>
    <w:uiPriority w:val="99"/>
    <w:semiHidden/>
    <w:unhideWhenUsed/>
    <w:rsid w:val="00FE6A54"/>
  </w:style>
  <w:style w:type="paragraph" w:styleId="HTML-adresse">
    <w:name w:val="HTML Address"/>
    <w:basedOn w:val="Normal"/>
    <w:link w:val="HTML-adresseTegn"/>
    <w:uiPriority w:val="99"/>
    <w:semiHidden/>
    <w:unhideWhenUsed/>
    <w:rsid w:val="00FE6A54"/>
    <w:pPr>
      <w:spacing w:after="0" w:line="240" w:lineRule="auto"/>
    </w:pPr>
    <w:rPr>
      <w:i/>
      <w:iCs/>
    </w:rPr>
  </w:style>
  <w:style w:type="character" w:customStyle="1" w:styleId="HTML-adresseTegn">
    <w:name w:val="HTML-adresse Tegn"/>
    <w:link w:val="HTML-adresse"/>
    <w:uiPriority w:val="99"/>
    <w:semiHidden/>
    <w:rsid w:val="00FE6A54"/>
    <w:rPr>
      <w:rFonts w:ascii="Times New Roman" w:eastAsia="Times New Roman" w:hAnsi="Times New Roman"/>
      <w:i/>
      <w:iCs/>
      <w:spacing w:val="4"/>
      <w:sz w:val="24"/>
    </w:rPr>
  </w:style>
  <w:style w:type="character" w:styleId="HTML-sitat">
    <w:name w:val="HTML Cite"/>
    <w:uiPriority w:val="99"/>
    <w:semiHidden/>
    <w:unhideWhenUsed/>
    <w:rsid w:val="00FE6A54"/>
    <w:rPr>
      <w:i/>
      <w:iCs/>
    </w:rPr>
  </w:style>
  <w:style w:type="character" w:styleId="HTML-kode">
    <w:name w:val="HTML Code"/>
    <w:uiPriority w:val="99"/>
    <w:semiHidden/>
    <w:unhideWhenUsed/>
    <w:rsid w:val="00FE6A54"/>
    <w:rPr>
      <w:rFonts w:ascii="Consolas" w:hAnsi="Consolas"/>
      <w:sz w:val="20"/>
      <w:szCs w:val="20"/>
    </w:rPr>
  </w:style>
  <w:style w:type="character" w:styleId="HTML-definisjon">
    <w:name w:val="HTML Definition"/>
    <w:uiPriority w:val="99"/>
    <w:semiHidden/>
    <w:unhideWhenUsed/>
    <w:rsid w:val="00FE6A54"/>
    <w:rPr>
      <w:i/>
      <w:iCs/>
    </w:rPr>
  </w:style>
  <w:style w:type="character" w:styleId="HTML-tastatur">
    <w:name w:val="HTML Keyboard"/>
    <w:uiPriority w:val="99"/>
    <w:semiHidden/>
    <w:unhideWhenUsed/>
    <w:rsid w:val="00FE6A54"/>
    <w:rPr>
      <w:rFonts w:ascii="Consolas" w:hAnsi="Consolas"/>
      <w:sz w:val="20"/>
      <w:szCs w:val="20"/>
    </w:rPr>
  </w:style>
  <w:style w:type="paragraph" w:styleId="HTML-forhndsformatert">
    <w:name w:val="HTML Preformatted"/>
    <w:basedOn w:val="Normal"/>
    <w:link w:val="HTML-forhndsformatertTegn"/>
    <w:uiPriority w:val="99"/>
    <w:semiHidden/>
    <w:unhideWhenUsed/>
    <w:rsid w:val="00FE6A5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E6A54"/>
    <w:rPr>
      <w:rFonts w:ascii="Consolas" w:eastAsia="Times New Roman" w:hAnsi="Consolas"/>
      <w:spacing w:val="4"/>
      <w:sz w:val="20"/>
      <w:szCs w:val="20"/>
    </w:rPr>
  </w:style>
  <w:style w:type="character" w:styleId="HTML-eksempel">
    <w:name w:val="HTML Sample"/>
    <w:uiPriority w:val="99"/>
    <w:semiHidden/>
    <w:unhideWhenUsed/>
    <w:rsid w:val="00FE6A54"/>
    <w:rPr>
      <w:rFonts w:ascii="Consolas" w:hAnsi="Consolas"/>
      <w:sz w:val="24"/>
      <w:szCs w:val="24"/>
    </w:rPr>
  </w:style>
  <w:style w:type="character" w:styleId="HTML-skrivemaskin">
    <w:name w:val="HTML Typewriter"/>
    <w:uiPriority w:val="99"/>
    <w:semiHidden/>
    <w:unhideWhenUsed/>
    <w:rsid w:val="00FE6A54"/>
    <w:rPr>
      <w:rFonts w:ascii="Consolas" w:hAnsi="Consolas"/>
      <w:sz w:val="20"/>
      <w:szCs w:val="20"/>
    </w:rPr>
  </w:style>
  <w:style w:type="character" w:styleId="HTML-variabel">
    <w:name w:val="HTML Variable"/>
    <w:uiPriority w:val="99"/>
    <w:semiHidden/>
    <w:unhideWhenUsed/>
    <w:rsid w:val="00FE6A54"/>
    <w:rPr>
      <w:i/>
      <w:iCs/>
    </w:rPr>
  </w:style>
  <w:style w:type="paragraph" w:styleId="Kommentaremne">
    <w:name w:val="annotation subject"/>
    <w:basedOn w:val="Merknadstekst"/>
    <w:next w:val="Merknadstekst"/>
    <w:link w:val="KommentaremneTegn"/>
    <w:uiPriority w:val="99"/>
    <w:semiHidden/>
    <w:unhideWhenUsed/>
    <w:rsid w:val="00FE6A54"/>
    <w:pPr>
      <w:spacing w:line="240" w:lineRule="auto"/>
    </w:pPr>
    <w:rPr>
      <w:b/>
      <w:bCs/>
      <w:spacing w:val="4"/>
      <w:szCs w:val="20"/>
    </w:rPr>
  </w:style>
  <w:style w:type="character" w:customStyle="1" w:styleId="KommentaremneTegn">
    <w:name w:val="Kommentaremne Tegn"/>
    <w:link w:val="Kommentaremne"/>
    <w:uiPriority w:val="99"/>
    <w:semiHidden/>
    <w:rsid w:val="00FE6A5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E6A5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E6A54"/>
    <w:rPr>
      <w:rFonts w:ascii="Tahoma" w:eastAsia="Times New Roman" w:hAnsi="Tahoma" w:cs="Tahoma"/>
      <w:spacing w:val="4"/>
      <w:sz w:val="16"/>
      <w:szCs w:val="16"/>
    </w:rPr>
  </w:style>
  <w:style w:type="table" w:styleId="Tabellrutenett">
    <w:name w:val="Table Grid"/>
    <w:basedOn w:val="Vanligtabell"/>
    <w:uiPriority w:val="59"/>
    <w:rsid w:val="00FE6A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E6A5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E6A5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E6A54"/>
    <w:rPr>
      <w:rFonts w:ascii="Times New Roman" w:eastAsia="Times New Roman" w:hAnsi="Times New Roman"/>
      <w:i/>
      <w:iCs/>
      <w:color w:val="5B9BD5" w:themeColor="accent1"/>
      <w:spacing w:val="4"/>
      <w:sz w:val="24"/>
    </w:rPr>
  </w:style>
  <w:style w:type="character" w:styleId="Svakutheving">
    <w:name w:val="Subtle Emphasis"/>
    <w:uiPriority w:val="19"/>
    <w:qFormat/>
    <w:rsid w:val="00FE6A54"/>
    <w:rPr>
      <w:i/>
      <w:iCs/>
      <w:color w:val="808080"/>
    </w:rPr>
  </w:style>
  <w:style w:type="character" w:styleId="Sterkutheving">
    <w:name w:val="Intense Emphasis"/>
    <w:uiPriority w:val="21"/>
    <w:qFormat/>
    <w:rsid w:val="00FE6A54"/>
    <w:rPr>
      <w:b/>
      <w:bCs/>
      <w:i/>
      <w:iCs/>
      <w:color w:val="4F81BD"/>
    </w:rPr>
  </w:style>
  <w:style w:type="character" w:styleId="Svakreferanse">
    <w:name w:val="Subtle Reference"/>
    <w:uiPriority w:val="31"/>
    <w:qFormat/>
    <w:rsid w:val="00FE6A54"/>
    <w:rPr>
      <w:smallCaps/>
      <w:color w:val="C0504D"/>
      <w:u w:val="single"/>
    </w:rPr>
  </w:style>
  <w:style w:type="character" w:styleId="Sterkreferanse">
    <w:name w:val="Intense Reference"/>
    <w:uiPriority w:val="32"/>
    <w:qFormat/>
    <w:rsid w:val="00FE6A54"/>
    <w:rPr>
      <w:b/>
      <w:bCs/>
      <w:smallCaps/>
      <w:color w:val="C0504D"/>
      <w:spacing w:val="5"/>
      <w:u w:val="single"/>
    </w:rPr>
  </w:style>
  <w:style w:type="character" w:styleId="Boktittel">
    <w:name w:val="Book Title"/>
    <w:uiPriority w:val="33"/>
    <w:qFormat/>
    <w:rsid w:val="00FE6A54"/>
    <w:rPr>
      <w:b/>
      <w:bCs/>
      <w:smallCaps/>
      <w:spacing w:val="5"/>
    </w:rPr>
  </w:style>
  <w:style w:type="paragraph" w:styleId="Bibliografi">
    <w:name w:val="Bibliography"/>
    <w:basedOn w:val="Normal"/>
    <w:next w:val="Normal"/>
    <w:uiPriority w:val="37"/>
    <w:semiHidden/>
    <w:unhideWhenUsed/>
    <w:rsid w:val="00FE6A54"/>
  </w:style>
  <w:style w:type="paragraph" w:styleId="Overskriftforinnholdsfortegnelse">
    <w:name w:val="TOC Heading"/>
    <w:basedOn w:val="Overskrift1"/>
    <w:next w:val="Normal"/>
    <w:uiPriority w:val="39"/>
    <w:semiHidden/>
    <w:unhideWhenUsed/>
    <w:qFormat/>
    <w:rsid w:val="00FE6A5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E6A54"/>
    <w:pPr>
      <w:numPr>
        <w:numId w:val="18"/>
      </w:numPr>
    </w:pPr>
  </w:style>
  <w:style w:type="numbering" w:customStyle="1" w:styleId="NrListeStil">
    <w:name w:val="NrListeStil"/>
    <w:uiPriority w:val="99"/>
    <w:rsid w:val="00FE6A54"/>
    <w:pPr>
      <w:numPr>
        <w:numId w:val="19"/>
      </w:numPr>
    </w:pPr>
  </w:style>
  <w:style w:type="numbering" w:customStyle="1" w:styleId="RomListeStil">
    <w:name w:val="RomListeStil"/>
    <w:uiPriority w:val="99"/>
    <w:rsid w:val="00FE6A54"/>
    <w:pPr>
      <w:numPr>
        <w:numId w:val="20"/>
      </w:numPr>
    </w:pPr>
  </w:style>
  <w:style w:type="numbering" w:customStyle="1" w:styleId="StrekListeStil">
    <w:name w:val="StrekListeStil"/>
    <w:uiPriority w:val="99"/>
    <w:rsid w:val="00FE6A54"/>
    <w:pPr>
      <w:numPr>
        <w:numId w:val="21"/>
      </w:numPr>
    </w:pPr>
  </w:style>
  <w:style w:type="numbering" w:customStyle="1" w:styleId="OpplistingListeStil">
    <w:name w:val="OpplistingListeStil"/>
    <w:uiPriority w:val="99"/>
    <w:rsid w:val="00FE6A54"/>
    <w:pPr>
      <w:numPr>
        <w:numId w:val="22"/>
      </w:numPr>
    </w:pPr>
  </w:style>
  <w:style w:type="numbering" w:customStyle="1" w:styleId="l-NummerertListeStil">
    <w:name w:val="l-NummerertListeStil"/>
    <w:uiPriority w:val="99"/>
    <w:rsid w:val="00FE6A54"/>
    <w:pPr>
      <w:numPr>
        <w:numId w:val="23"/>
      </w:numPr>
    </w:pPr>
  </w:style>
  <w:style w:type="numbering" w:customStyle="1" w:styleId="l-AlfaListeStil">
    <w:name w:val="l-AlfaListeStil"/>
    <w:uiPriority w:val="99"/>
    <w:rsid w:val="00FE6A54"/>
    <w:pPr>
      <w:numPr>
        <w:numId w:val="24"/>
      </w:numPr>
    </w:pPr>
  </w:style>
  <w:style w:type="numbering" w:customStyle="1" w:styleId="OverskrifterListeStil">
    <w:name w:val="OverskrifterListeStil"/>
    <w:uiPriority w:val="99"/>
    <w:rsid w:val="00FE6A54"/>
    <w:pPr>
      <w:numPr>
        <w:numId w:val="25"/>
      </w:numPr>
    </w:pPr>
  </w:style>
  <w:style w:type="numbering" w:customStyle="1" w:styleId="l-ListeStilMal">
    <w:name w:val="l-ListeStilMal"/>
    <w:uiPriority w:val="99"/>
    <w:rsid w:val="00FE6A54"/>
    <w:pPr>
      <w:numPr>
        <w:numId w:val="26"/>
      </w:numPr>
    </w:pPr>
  </w:style>
  <w:style w:type="paragraph" w:styleId="Avsenderadresse">
    <w:name w:val="envelope return"/>
    <w:basedOn w:val="Normal"/>
    <w:uiPriority w:val="99"/>
    <w:semiHidden/>
    <w:unhideWhenUsed/>
    <w:rsid w:val="00FE6A5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E6A54"/>
  </w:style>
  <w:style w:type="character" w:customStyle="1" w:styleId="BrdtekstTegn">
    <w:name w:val="Brødtekst Tegn"/>
    <w:link w:val="Brdtekst"/>
    <w:semiHidden/>
    <w:rsid w:val="00FE6A5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E6A54"/>
    <w:pPr>
      <w:ind w:firstLine="360"/>
    </w:pPr>
  </w:style>
  <w:style w:type="character" w:customStyle="1" w:styleId="Brdtekst-frsteinnrykkTegn">
    <w:name w:val="Brødtekst - første innrykk Tegn"/>
    <w:link w:val="Brdtekst-frsteinnrykk"/>
    <w:uiPriority w:val="99"/>
    <w:semiHidden/>
    <w:rsid w:val="00FE6A5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E6A54"/>
    <w:pPr>
      <w:ind w:left="283"/>
    </w:pPr>
  </w:style>
  <w:style w:type="character" w:customStyle="1" w:styleId="BrdtekstinnrykkTegn">
    <w:name w:val="Brødtekstinnrykk Tegn"/>
    <w:link w:val="Brdtekstinnrykk"/>
    <w:uiPriority w:val="99"/>
    <w:semiHidden/>
    <w:rsid w:val="00FE6A5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E6A54"/>
    <w:pPr>
      <w:ind w:left="360" w:firstLine="360"/>
    </w:pPr>
  </w:style>
  <w:style w:type="character" w:customStyle="1" w:styleId="Brdtekst-frsteinnrykk2Tegn">
    <w:name w:val="Brødtekst - første innrykk 2 Tegn"/>
    <w:link w:val="Brdtekst-frsteinnrykk2"/>
    <w:uiPriority w:val="99"/>
    <w:semiHidden/>
    <w:rsid w:val="00FE6A5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E6A54"/>
    <w:pPr>
      <w:spacing w:line="480" w:lineRule="auto"/>
    </w:pPr>
  </w:style>
  <w:style w:type="character" w:customStyle="1" w:styleId="Brdtekst2Tegn">
    <w:name w:val="Brødtekst 2 Tegn"/>
    <w:link w:val="Brdtekst2"/>
    <w:uiPriority w:val="99"/>
    <w:semiHidden/>
    <w:rsid w:val="00FE6A5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E6A54"/>
    <w:rPr>
      <w:sz w:val="16"/>
      <w:szCs w:val="16"/>
    </w:rPr>
  </w:style>
  <w:style w:type="character" w:customStyle="1" w:styleId="Brdtekst3Tegn">
    <w:name w:val="Brødtekst 3 Tegn"/>
    <w:link w:val="Brdtekst3"/>
    <w:uiPriority w:val="99"/>
    <w:semiHidden/>
    <w:rsid w:val="00FE6A5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E6A54"/>
    <w:pPr>
      <w:spacing w:line="480" w:lineRule="auto"/>
      <w:ind w:left="283"/>
    </w:pPr>
  </w:style>
  <w:style w:type="character" w:customStyle="1" w:styleId="Brdtekstinnrykk2Tegn">
    <w:name w:val="Brødtekstinnrykk 2 Tegn"/>
    <w:link w:val="Brdtekstinnrykk2"/>
    <w:uiPriority w:val="99"/>
    <w:semiHidden/>
    <w:rsid w:val="00FE6A5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E6A54"/>
    <w:pPr>
      <w:ind w:left="283"/>
    </w:pPr>
    <w:rPr>
      <w:sz w:val="16"/>
      <w:szCs w:val="16"/>
    </w:rPr>
  </w:style>
  <w:style w:type="character" w:customStyle="1" w:styleId="Brdtekstinnrykk3Tegn">
    <w:name w:val="Brødtekstinnrykk 3 Tegn"/>
    <w:link w:val="Brdtekstinnrykk3"/>
    <w:uiPriority w:val="99"/>
    <w:semiHidden/>
    <w:rsid w:val="00FE6A54"/>
    <w:rPr>
      <w:rFonts w:ascii="Times New Roman" w:eastAsia="Times New Roman" w:hAnsi="Times New Roman"/>
      <w:spacing w:val="4"/>
      <w:sz w:val="16"/>
      <w:szCs w:val="16"/>
    </w:rPr>
  </w:style>
  <w:style w:type="paragraph" w:customStyle="1" w:styleId="Sammendrag">
    <w:name w:val="Sammendrag"/>
    <w:basedOn w:val="Overskrift1"/>
    <w:qFormat/>
    <w:rsid w:val="00FE6A54"/>
    <w:pPr>
      <w:numPr>
        <w:numId w:val="0"/>
      </w:numPr>
    </w:pPr>
  </w:style>
  <w:style w:type="paragraph" w:customStyle="1" w:styleId="TrykkeriMerknad">
    <w:name w:val="TrykkeriMerknad"/>
    <w:basedOn w:val="Normal"/>
    <w:qFormat/>
    <w:rsid w:val="00FE6A54"/>
    <w:pPr>
      <w:spacing w:before="60"/>
    </w:pPr>
    <w:rPr>
      <w:rFonts w:ascii="Arial" w:hAnsi="Arial"/>
      <w:color w:val="943634"/>
      <w:sz w:val="26"/>
    </w:rPr>
  </w:style>
  <w:style w:type="paragraph" w:customStyle="1" w:styleId="ForfatterMerknad">
    <w:name w:val="ForfatterMerknad"/>
    <w:basedOn w:val="TrykkeriMerknad"/>
    <w:qFormat/>
    <w:rsid w:val="00FE6A54"/>
    <w:pPr>
      <w:shd w:val="clear" w:color="auto" w:fill="FFFF99"/>
      <w:spacing w:line="240" w:lineRule="auto"/>
    </w:pPr>
    <w:rPr>
      <w:color w:val="632423"/>
    </w:rPr>
  </w:style>
  <w:style w:type="paragraph" w:customStyle="1" w:styleId="tblRad">
    <w:name w:val="tblRad"/>
    <w:rsid w:val="00FE6A5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E6A54"/>
  </w:style>
  <w:style w:type="paragraph" w:customStyle="1" w:styleId="tbl2LinjeSumBold">
    <w:name w:val="tbl2LinjeSumBold"/>
    <w:basedOn w:val="tblRad"/>
    <w:rsid w:val="00FE6A54"/>
    <w:rPr>
      <w:b/>
    </w:rPr>
  </w:style>
  <w:style w:type="paragraph" w:customStyle="1" w:styleId="tblDelsum1">
    <w:name w:val="tblDelsum1"/>
    <w:basedOn w:val="tblRad"/>
    <w:rsid w:val="00FE6A54"/>
    <w:rPr>
      <w:i/>
    </w:rPr>
  </w:style>
  <w:style w:type="paragraph" w:customStyle="1" w:styleId="tblDelsum1-Kapittel">
    <w:name w:val="tblDelsum1 - Kapittel"/>
    <w:basedOn w:val="tblDelsum1"/>
    <w:rsid w:val="00FE6A54"/>
    <w:pPr>
      <w:keepNext w:val="0"/>
    </w:pPr>
  </w:style>
  <w:style w:type="paragraph" w:customStyle="1" w:styleId="tblDelsum2">
    <w:name w:val="tblDelsum2"/>
    <w:basedOn w:val="tblRad"/>
    <w:rsid w:val="00FE6A54"/>
    <w:rPr>
      <w:b/>
      <w:i/>
    </w:rPr>
  </w:style>
  <w:style w:type="paragraph" w:customStyle="1" w:styleId="tblDelsum2-Kapittel">
    <w:name w:val="tblDelsum2 - Kapittel"/>
    <w:basedOn w:val="tblDelsum2"/>
    <w:rsid w:val="00FE6A54"/>
    <w:pPr>
      <w:keepNext w:val="0"/>
    </w:pPr>
  </w:style>
  <w:style w:type="paragraph" w:customStyle="1" w:styleId="tblTabelloverskrift">
    <w:name w:val="tblTabelloverskrift"/>
    <w:rsid w:val="00FE6A5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E6A54"/>
    <w:pPr>
      <w:spacing w:after="0"/>
      <w:jc w:val="right"/>
    </w:pPr>
    <w:rPr>
      <w:b w:val="0"/>
      <w:caps w:val="0"/>
      <w:sz w:val="16"/>
    </w:rPr>
  </w:style>
  <w:style w:type="paragraph" w:customStyle="1" w:styleId="tblKategoriOverskrift">
    <w:name w:val="tblKategoriOverskrift"/>
    <w:basedOn w:val="tblRad"/>
    <w:rsid w:val="00FE6A54"/>
    <w:pPr>
      <w:spacing w:before="120"/>
    </w:pPr>
    <w:rPr>
      <w:b/>
    </w:rPr>
  </w:style>
  <w:style w:type="paragraph" w:customStyle="1" w:styleId="tblKolonneoverskrift">
    <w:name w:val="tblKolonneoverskrift"/>
    <w:basedOn w:val="Normal"/>
    <w:rsid w:val="00FE6A5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E6A54"/>
    <w:pPr>
      <w:spacing w:after="360"/>
      <w:jc w:val="center"/>
    </w:pPr>
    <w:rPr>
      <w:b w:val="0"/>
      <w:caps w:val="0"/>
    </w:rPr>
  </w:style>
  <w:style w:type="paragraph" w:customStyle="1" w:styleId="tblKolonneoverskrift-Vedtak">
    <w:name w:val="tblKolonneoverskrift - Vedtak"/>
    <w:basedOn w:val="tblTabelloverskrift-Vedtak"/>
    <w:rsid w:val="00FE6A54"/>
    <w:pPr>
      <w:spacing w:after="0"/>
    </w:pPr>
  </w:style>
  <w:style w:type="paragraph" w:customStyle="1" w:styleId="tblOverskrift-Vedtak">
    <w:name w:val="tblOverskrift - Vedtak"/>
    <w:basedOn w:val="tblRad"/>
    <w:rsid w:val="00FE6A54"/>
    <w:pPr>
      <w:spacing w:before="360"/>
      <w:jc w:val="center"/>
    </w:pPr>
  </w:style>
  <w:style w:type="paragraph" w:customStyle="1" w:styleId="tblRadBold">
    <w:name w:val="tblRadBold"/>
    <w:basedOn w:val="tblRad"/>
    <w:rsid w:val="00FE6A54"/>
    <w:rPr>
      <w:b/>
    </w:rPr>
  </w:style>
  <w:style w:type="paragraph" w:customStyle="1" w:styleId="tblRadItalic">
    <w:name w:val="tblRadItalic"/>
    <w:basedOn w:val="tblRad"/>
    <w:rsid w:val="00FE6A54"/>
    <w:rPr>
      <w:i/>
    </w:rPr>
  </w:style>
  <w:style w:type="paragraph" w:customStyle="1" w:styleId="tblRadItalicSiste">
    <w:name w:val="tblRadItalicSiste"/>
    <w:basedOn w:val="tblRadItalic"/>
    <w:rsid w:val="00FE6A54"/>
  </w:style>
  <w:style w:type="paragraph" w:customStyle="1" w:styleId="tblRadMedLuft">
    <w:name w:val="tblRadMedLuft"/>
    <w:basedOn w:val="tblRad"/>
    <w:rsid w:val="00FE6A54"/>
    <w:pPr>
      <w:spacing w:before="120"/>
    </w:pPr>
  </w:style>
  <w:style w:type="paragraph" w:customStyle="1" w:styleId="tblRadMedLuftSiste">
    <w:name w:val="tblRadMedLuftSiste"/>
    <w:basedOn w:val="tblRadMedLuft"/>
    <w:rsid w:val="00FE6A54"/>
    <w:pPr>
      <w:spacing w:after="120"/>
    </w:pPr>
  </w:style>
  <w:style w:type="paragraph" w:customStyle="1" w:styleId="tblRadMedLuftSiste-Vedtak">
    <w:name w:val="tblRadMedLuftSiste - Vedtak"/>
    <w:basedOn w:val="tblRadMedLuftSiste"/>
    <w:rsid w:val="00FE6A54"/>
    <w:pPr>
      <w:keepNext w:val="0"/>
    </w:pPr>
  </w:style>
  <w:style w:type="paragraph" w:customStyle="1" w:styleId="tblRadSiste">
    <w:name w:val="tblRadSiste"/>
    <w:basedOn w:val="tblRad"/>
    <w:rsid w:val="00FE6A54"/>
  </w:style>
  <w:style w:type="paragraph" w:customStyle="1" w:styleId="tblSluttsum">
    <w:name w:val="tblSluttsum"/>
    <w:basedOn w:val="tblRad"/>
    <w:rsid w:val="00FE6A54"/>
    <w:pPr>
      <w:spacing w:before="120"/>
    </w:pPr>
    <w:rPr>
      <w:b/>
      <w:i/>
    </w:rPr>
  </w:style>
  <w:style w:type="paragraph" w:styleId="Sitat0">
    <w:name w:val="Quote"/>
    <w:basedOn w:val="Normal"/>
    <w:next w:val="Normal"/>
    <w:link w:val="SitatTegn1"/>
    <w:uiPriority w:val="29"/>
    <w:qFormat/>
    <w:rsid w:val="00FE6A5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E6A54"/>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411C-4774-41D4-8F11-B8500D3E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12</Pages>
  <Words>3130</Words>
  <Characters>16589</Characters>
  <Application>Microsoft Office Word</Application>
  <DocSecurity>0</DocSecurity>
  <Lines>138</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2019-11-20T16:50:00Z</dcterms:created>
  <dcterms:modified xsi:type="dcterms:W3CDTF">2019-11-20T16:50:00Z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2019-11-20T16:50:13.9962989Z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7d1e3641-3476-4dd5-b592-0c1ab3636c9c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