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EDC7" w14:textId="77777777" w:rsidR="00BC371A" w:rsidRPr="001D3665" w:rsidRDefault="00BC371A" w:rsidP="003E199E">
      <w:r w:rsidRPr="001D3665">
        <w:t xml:space="preserve">(Korrigert </w:t>
      </w:r>
      <w:proofErr w:type="spellStart"/>
      <w:r w:rsidRPr="001D3665">
        <w:t>utgåve</w:t>
      </w:r>
      <w:proofErr w:type="spellEnd"/>
      <w:r w:rsidRPr="001D3665">
        <w:t xml:space="preserve"> per 11.6.2026)</w:t>
      </w:r>
    </w:p>
    <w:p w14:paraId="52A2C55B" w14:textId="24F5262E" w:rsidR="00BC371A" w:rsidRPr="001D3665" w:rsidRDefault="001B58A2" w:rsidP="001D3665">
      <w:pPr>
        <w:pStyle w:val="is-dep"/>
      </w:pPr>
      <w:r w:rsidRPr="001D3665">
        <w:t>Finansdepartementet</w:t>
      </w:r>
    </w:p>
    <w:p w14:paraId="497A1AA3" w14:textId="77777777" w:rsidR="00BC371A" w:rsidRPr="001D3665" w:rsidRDefault="00BC371A" w:rsidP="001D3665">
      <w:pPr>
        <w:pStyle w:val="i-hode"/>
      </w:pPr>
      <w:r w:rsidRPr="001D3665">
        <w:t>Prop. 95 LS</w:t>
      </w:r>
    </w:p>
    <w:p w14:paraId="6C5CAC3D" w14:textId="77777777" w:rsidR="00BC371A" w:rsidRPr="001D3665" w:rsidRDefault="00BC371A" w:rsidP="001D3665">
      <w:pPr>
        <w:pStyle w:val="i-sesjon"/>
      </w:pPr>
      <w:r w:rsidRPr="001D3665">
        <w:t>(2025–2026)</w:t>
      </w:r>
    </w:p>
    <w:p w14:paraId="3A4895E0" w14:textId="77777777" w:rsidR="00BC371A" w:rsidRPr="001D3665" w:rsidRDefault="00BC371A" w:rsidP="001D3665">
      <w:pPr>
        <w:pStyle w:val="i-hode-tit"/>
      </w:pPr>
      <w:r w:rsidRPr="001D3665">
        <w:t>Proposisjon til Stortinget (forslag til lovvedtak og stortingsvedtak)</w:t>
      </w:r>
    </w:p>
    <w:p w14:paraId="0DAA73A4" w14:textId="77777777" w:rsidR="00BC371A" w:rsidRPr="001D3665" w:rsidRDefault="00BC371A" w:rsidP="001D3665">
      <w:pPr>
        <w:pStyle w:val="i-tit"/>
      </w:pPr>
      <w:r w:rsidRPr="001D3665">
        <w:t>Endringar i skatte- og avgiftslovgivinga</w:t>
      </w:r>
    </w:p>
    <w:p w14:paraId="5F231612" w14:textId="577756AE" w:rsidR="00BC371A" w:rsidRPr="001D3665" w:rsidRDefault="001B58A2" w:rsidP="001D3665">
      <w:pPr>
        <w:pStyle w:val="i-dep"/>
      </w:pPr>
      <w:r w:rsidRPr="001D3665">
        <w:t>Finansdepartementet</w:t>
      </w:r>
    </w:p>
    <w:p w14:paraId="601292EB" w14:textId="77777777" w:rsidR="00BC371A" w:rsidRPr="001D3665" w:rsidRDefault="00BC371A" w:rsidP="001D3665">
      <w:pPr>
        <w:pStyle w:val="i-hode"/>
      </w:pPr>
      <w:r w:rsidRPr="001D3665">
        <w:t>Prop. 95 LS</w:t>
      </w:r>
    </w:p>
    <w:p w14:paraId="439B2E2B" w14:textId="77777777" w:rsidR="00BC371A" w:rsidRPr="001D3665" w:rsidRDefault="00BC371A" w:rsidP="001D3665">
      <w:pPr>
        <w:pStyle w:val="i-sesjon"/>
      </w:pPr>
      <w:r w:rsidRPr="001D3665">
        <w:t>(2025–2026)</w:t>
      </w:r>
    </w:p>
    <w:p w14:paraId="3346F792" w14:textId="77777777" w:rsidR="00BC371A" w:rsidRPr="001D3665" w:rsidRDefault="00BC371A" w:rsidP="001D3665">
      <w:pPr>
        <w:pStyle w:val="i-hode-tit"/>
      </w:pPr>
      <w:r w:rsidRPr="001D3665">
        <w:t>Proposisjon til Stortinget (forslag til lovvedtak og stortingsvedtak)</w:t>
      </w:r>
    </w:p>
    <w:p w14:paraId="44946E9C" w14:textId="77777777" w:rsidR="00BC371A" w:rsidRPr="001D3665" w:rsidRDefault="00BC371A" w:rsidP="001D3665">
      <w:pPr>
        <w:pStyle w:val="i-tit"/>
      </w:pPr>
      <w:r w:rsidRPr="001D3665">
        <w:t>Endringar i skatte- og avgiftslovgivinga</w:t>
      </w:r>
    </w:p>
    <w:p w14:paraId="0D6436F5" w14:textId="77777777" w:rsidR="00BC371A" w:rsidRPr="001D3665" w:rsidRDefault="00BC371A" w:rsidP="001D3665">
      <w:pPr>
        <w:pStyle w:val="i-statsrdato"/>
      </w:pPr>
      <w:r w:rsidRPr="001D3665">
        <w:t xml:space="preserve">Tilråding frå Finansdepartementet 12. mai 2026, </w:t>
      </w:r>
      <w:r w:rsidRPr="001D3665">
        <w:br/>
        <w:t xml:space="preserve">godkjend i statsråd same dagen. </w:t>
      </w:r>
      <w:r w:rsidRPr="001D3665">
        <w:br/>
        <w:t>(Regjeringa Støre)</w:t>
      </w:r>
    </w:p>
    <w:p w14:paraId="589D1823" w14:textId="77777777" w:rsidR="00BC371A" w:rsidRPr="001D3665" w:rsidRDefault="00BC371A" w:rsidP="001D3665">
      <w:pPr>
        <w:pStyle w:val="Overskrift1"/>
      </w:pPr>
      <w:r w:rsidRPr="001D3665">
        <w:t>Innleiing</w:t>
      </w:r>
    </w:p>
    <w:p w14:paraId="1DB3ED54" w14:textId="77777777" w:rsidR="00BC371A" w:rsidRPr="001D3665" w:rsidRDefault="00BC371A" w:rsidP="001D3665">
      <w:r w:rsidRPr="001D3665">
        <w:t xml:space="preserve">I Revidert nasjonalbudsjett 2026 </w:t>
      </w:r>
      <w:proofErr w:type="spellStart"/>
      <w:r w:rsidRPr="001D3665">
        <w:t>gjer</w:t>
      </w:r>
      <w:proofErr w:type="spellEnd"/>
      <w:r w:rsidRPr="001D3665">
        <w:t xml:space="preserve"> regjeringa framlegg om </w:t>
      </w:r>
      <w:proofErr w:type="spellStart"/>
      <w:r w:rsidRPr="001D3665">
        <w:t>einskilde</w:t>
      </w:r>
      <w:proofErr w:type="spellEnd"/>
      <w:r w:rsidRPr="001D3665">
        <w:t xml:space="preserve"> </w:t>
      </w:r>
      <w:proofErr w:type="spellStart"/>
      <w:r w:rsidRPr="001D3665">
        <w:t>endringar</w:t>
      </w:r>
      <w:proofErr w:type="spellEnd"/>
      <w:r w:rsidRPr="001D3665">
        <w:t xml:space="preserve"> i skatte- og </w:t>
      </w:r>
      <w:proofErr w:type="spellStart"/>
      <w:r w:rsidRPr="001D3665">
        <w:t>avgiftsreglane</w:t>
      </w:r>
      <w:proofErr w:type="spellEnd"/>
      <w:r w:rsidRPr="001D3665">
        <w:t xml:space="preserve">. </w:t>
      </w:r>
      <w:proofErr w:type="spellStart"/>
      <w:r w:rsidRPr="001D3665">
        <w:t>Følgjande</w:t>
      </w:r>
      <w:proofErr w:type="spellEnd"/>
      <w:r w:rsidRPr="001D3665">
        <w:t xml:space="preserve"> framlegg har provenyverknad:</w:t>
      </w:r>
    </w:p>
    <w:p w14:paraId="1AA47799" w14:textId="77777777" w:rsidR="00BC371A" w:rsidRPr="001D3665" w:rsidRDefault="00BC371A" w:rsidP="001D3665">
      <w:pPr>
        <w:pStyle w:val="Liste"/>
      </w:pPr>
      <w:r w:rsidRPr="001D3665">
        <w:t xml:space="preserve">Å </w:t>
      </w:r>
      <w:proofErr w:type="spellStart"/>
      <w:r w:rsidRPr="001D3665">
        <w:t>auke</w:t>
      </w:r>
      <w:proofErr w:type="spellEnd"/>
      <w:r w:rsidRPr="001D3665">
        <w:t xml:space="preserve"> </w:t>
      </w:r>
      <w:proofErr w:type="spellStart"/>
      <w:r w:rsidRPr="001D3665">
        <w:t>skattefrådraget</w:t>
      </w:r>
      <w:proofErr w:type="spellEnd"/>
      <w:r w:rsidRPr="001D3665">
        <w:t xml:space="preserve"> i pensjonsinntekt. Framlegget vert </w:t>
      </w:r>
      <w:proofErr w:type="spellStart"/>
      <w:r w:rsidRPr="001D3665">
        <w:t>rekna</w:t>
      </w:r>
      <w:proofErr w:type="spellEnd"/>
      <w:r w:rsidRPr="001D3665">
        <w:t xml:space="preserve"> å redusere provenyet med om lag 265 mill. kroner påløpt i 2026. Provenytapet vert bokført i 2027.</w:t>
      </w:r>
    </w:p>
    <w:p w14:paraId="328CF862" w14:textId="77777777" w:rsidR="00BC371A" w:rsidRPr="001D3665" w:rsidRDefault="00BC371A" w:rsidP="001D3665">
      <w:pPr>
        <w:pStyle w:val="Liste"/>
      </w:pPr>
      <w:r w:rsidRPr="001D3665">
        <w:t xml:space="preserve">Å </w:t>
      </w:r>
      <w:proofErr w:type="spellStart"/>
      <w:r w:rsidRPr="001D3665">
        <w:t>auke</w:t>
      </w:r>
      <w:proofErr w:type="spellEnd"/>
      <w:r w:rsidRPr="001D3665">
        <w:t xml:space="preserve"> grensa for den </w:t>
      </w:r>
      <w:proofErr w:type="spellStart"/>
      <w:r w:rsidRPr="001D3665">
        <w:t>lågaste</w:t>
      </w:r>
      <w:proofErr w:type="spellEnd"/>
      <w:r w:rsidRPr="001D3665">
        <w:t xml:space="preserve"> </w:t>
      </w:r>
      <w:proofErr w:type="spellStart"/>
      <w:r w:rsidRPr="001D3665">
        <w:t>verdsetjinga</w:t>
      </w:r>
      <w:proofErr w:type="spellEnd"/>
      <w:r w:rsidRPr="001D3665">
        <w:t xml:space="preserve"> av bustad i formuesskatten. Framlegget vert isolert sett </w:t>
      </w:r>
      <w:proofErr w:type="spellStart"/>
      <w:r w:rsidRPr="001D3665">
        <w:t>rekna</w:t>
      </w:r>
      <w:proofErr w:type="spellEnd"/>
      <w:r w:rsidRPr="001D3665">
        <w:t xml:space="preserve"> å redusere provenyet med om lag 830 mill. kroner påløpt og 550 mill. kroner bokført i 2026. </w:t>
      </w:r>
      <w:proofErr w:type="spellStart"/>
      <w:r w:rsidRPr="001D3665">
        <w:t>Medrekna</w:t>
      </w:r>
      <w:proofErr w:type="spellEnd"/>
      <w:r w:rsidRPr="001D3665">
        <w:t xml:space="preserve"> oppdaterte overslag av ny bustadmodell og </w:t>
      </w:r>
      <w:proofErr w:type="spellStart"/>
      <w:r w:rsidRPr="001D3665">
        <w:t>allereie</w:t>
      </w:r>
      <w:proofErr w:type="spellEnd"/>
      <w:r w:rsidRPr="001D3665">
        <w:t xml:space="preserve"> </w:t>
      </w:r>
      <w:proofErr w:type="spellStart"/>
      <w:r w:rsidRPr="001D3665">
        <w:t>vedtekne</w:t>
      </w:r>
      <w:proofErr w:type="spellEnd"/>
      <w:r w:rsidRPr="001D3665">
        <w:t xml:space="preserve"> </w:t>
      </w:r>
      <w:proofErr w:type="spellStart"/>
      <w:r w:rsidRPr="001D3665">
        <w:t>endringar</w:t>
      </w:r>
      <w:proofErr w:type="spellEnd"/>
      <w:r w:rsidRPr="001D3665">
        <w:t xml:space="preserve"> i formuesskatten for 2026 er endringa </w:t>
      </w:r>
      <w:proofErr w:type="spellStart"/>
      <w:r w:rsidRPr="001D3665">
        <w:t>ikkje</w:t>
      </w:r>
      <w:proofErr w:type="spellEnd"/>
      <w:r w:rsidRPr="001D3665">
        <w:t xml:space="preserve"> </w:t>
      </w:r>
      <w:proofErr w:type="spellStart"/>
      <w:r w:rsidRPr="001D3665">
        <w:t>rekna</w:t>
      </w:r>
      <w:proofErr w:type="spellEnd"/>
      <w:r w:rsidRPr="001D3665">
        <w:t xml:space="preserve"> å </w:t>
      </w:r>
      <w:proofErr w:type="spellStart"/>
      <w:r w:rsidRPr="001D3665">
        <w:t>gje</w:t>
      </w:r>
      <w:proofErr w:type="spellEnd"/>
      <w:r w:rsidRPr="001D3665">
        <w:t xml:space="preserve"> bokført provenyverknad i 2026.</w:t>
      </w:r>
    </w:p>
    <w:p w14:paraId="65218C3C" w14:textId="77777777" w:rsidR="00BC371A" w:rsidRPr="001D3665" w:rsidRDefault="00BC371A" w:rsidP="001D3665">
      <w:r w:rsidRPr="001D3665">
        <w:t xml:space="preserve">Samla vert nye framlegg til </w:t>
      </w:r>
      <w:proofErr w:type="spellStart"/>
      <w:r w:rsidRPr="001D3665">
        <w:t>endringar</w:t>
      </w:r>
      <w:proofErr w:type="spellEnd"/>
      <w:r w:rsidRPr="001D3665">
        <w:t xml:space="preserve"> i </w:t>
      </w:r>
      <w:proofErr w:type="spellStart"/>
      <w:r w:rsidRPr="001D3665">
        <w:t>skattar</w:t>
      </w:r>
      <w:proofErr w:type="spellEnd"/>
      <w:r w:rsidRPr="001D3665">
        <w:t xml:space="preserve"> og avgifter </w:t>
      </w:r>
      <w:proofErr w:type="spellStart"/>
      <w:r w:rsidRPr="001D3665">
        <w:t>rekna</w:t>
      </w:r>
      <w:proofErr w:type="spellEnd"/>
      <w:r w:rsidRPr="001D3665">
        <w:t xml:space="preserve"> å redusere provenyet med om lag 1,1 mrd. kroner i heilårsverknad, </w:t>
      </w:r>
      <w:proofErr w:type="spellStart"/>
      <w:r w:rsidRPr="001D3665">
        <w:t>samanlikna</w:t>
      </w:r>
      <w:proofErr w:type="spellEnd"/>
      <w:r w:rsidRPr="001D3665">
        <w:t xml:space="preserve"> med saldert budsjett for 2026. Framlegga vert </w:t>
      </w:r>
      <w:proofErr w:type="spellStart"/>
      <w:r w:rsidRPr="001D3665">
        <w:lastRenderedPageBreak/>
        <w:t>rekna</w:t>
      </w:r>
      <w:proofErr w:type="spellEnd"/>
      <w:r w:rsidRPr="001D3665">
        <w:t xml:space="preserve"> å </w:t>
      </w:r>
      <w:proofErr w:type="spellStart"/>
      <w:r w:rsidRPr="001D3665">
        <w:t>gje</w:t>
      </w:r>
      <w:proofErr w:type="spellEnd"/>
      <w:r w:rsidRPr="001D3665">
        <w:t xml:space="preserve"> </w:t>
      </w:r>
      <w:proofErr w:type="spellStart"/>
      <w:r w:rsidRPr="001D3665">
        <w:t>eit</w:t>
      </w:r>
      <w:proofErr w:type="spellEnd"/>
      <w:r w:rsidRPr="001D3665">
        <w:t xml:space="preserve"> provenytap på om lag 1,1 mrd. kroner påløpt og om lag 550 mill. kroner bokført i 2026 </w:t>
      </w:r>
      <w:proofErr w:type="spellStart"/>
      <w:r w:rsidRPr="001D3665">
        <w:t>samanlikna</w:t>
      </w:r>
      <w:proofErr w:type="spellEnd"/>
      <w:r w:rsidRPr="001D3665">
        <w:t xml:space="preserve"> med saldert budsjett for 2026.</w:t>
      </w:r>
    </w:p>
    <w:p w14:paraId="530DC252" w14:textId="77777777" w:rsidR="00BC371A" w:rsidRPr="001D3665" w:rsidRDefault="00BC371A" w:rsidP="001D3665">
      <w:r w:rsidRPr="001D3665">
        <w:t xml:space="preserve">I tillegg kjem verknaden av skatte- og </w:t>
      </w:r>
      <w:proofErr w:type="spellStart"/>
      <w:r w:rsidRPr="001D3665">
        <w:t>avgiftsendringar</w:t>
      </w:r>
      <w:proofErr w:type="spellEnd"/>
      <w:r w:rsidRPr="001D3665">
        <w:t xml:space="preserve"> som er </w:t>
      </w:r>
      <w:proofErr w:type="spellStart"/>
      <w:r w:rsidRPr="001D3665">
        <w:t>vedtekne</w:t>
      </w:r>
      <w:proofErr w:type="spellEnd"/>
      <w:r w:rsidRPr="001D3665">
        <w:t xml:space="preserve"> av Stortinget etter saldert budsjett for 2026. 26. mars 2026 vart det </w:t>
      </w:r>
      <w:proofErr w:type="spellStart"/>
      <w:r w:rsidRPr="001D3665">
        <w:t>vedteke</w:t>
      </w:r>
      <w:proofErr w:type="spellEnd"/>
      <w:r w:rsidRPr="001D3665">
        <w:t xml:space="preserve"> å mellombels redusere </w:t>
      </w:r>
      <w:proofErr w:type="spellStart"/>
      <w:r w:rsidRPr="001D3665">
        <w:t>vegbruksavgifta</w:t>
      </w:r>
      <w:proofErr w:type="spellEnd"/>
      <w:r w:rsidRPr="001D3665">
        <w:t xml:space="preserve"> og </w:t>
      </w:r>
      <w:proofErr w:type="spellStart"/>
      <w:r w:rsidRPr="001D3665">
        <w:t>nokre</w:t>
      </w:r>
      <w:proofErr w:type="spellEnd"/>
      <w:r w:rsidRPr="001D3665">
        <w:t xml:space="preserve"> </w:t>
      </w:r>
      <w:proofErr w:type="spellStart"/>
      <w:r w:rsidRPr="001D3665">
        <w:t>satsar</w:t>
      </w:r>
      <w:proofErr w:type="spellEnd"/>
      <w:r w:rsidRPr="001D3665">
        <w:t xml:space="preserve"> i CO</w:t>
      </w:r>
      <w:r w:rsidRPr="001D3665">
        <w:rPr>
          <w:rStyle w:val="skrift-senket"/>
        </w:rPr>
        <w:t>2</w:t>
      </w:r>
      <w:r w:rsidRPr="001D3665">
        <w:t xml:space="preserve">-avgifta. Vedtaka vert </w:t>
      </w:r>
      <w:proofErr w:type="spellStart"/>
      <w:r w:rsidRPr="001D3665">
        <w:t>rekna</w:t>
      </w:r>
      <w:proofErr w:type="spellEnd"/>
      <w:r w:rsidRPr="001D3665">
        <w:t xml:space="preserve"> å </w:t>
      </w:r>
      <w:proofErr w:type="spellStart"/>
      <w:r w:rsidRPr="001D3665">
        <w:t>gje</w:t>
      </w:r>
      <w:proofErr w:type="spellEnd"/>
      <w:r w:rsidRPr="001D3665">
        <w:t xml:space="preserve"> </w:t>
      </w:r>
      <w:proofErr w:type="spellStart"/>
      <w:r w:rsidRPr="001D3665">
        <w:t>eit</w:t>
      </w:r>
      <w:proofErr w:type="spellEnd"/>
      <w:r w:rsidRPr="001D3665">
        <w:t xml:space="preserve"> bokført og påløpt provenytap på 5,5 mrd. kroner i 2026. Det vert synt til framlegg til endring i løyvingsvedtak i </w:t>
      </w:r>
      <w:proofErr w:type="spellStart"/>
      <w:r w:rsidRPr="001D3665">
        <w:t>Prop</w:t>
      </w:r>
      <w:proofErr w:type="spellEnd"/>
      <w:r w:rsidRPr="001D3665">
        <w:t xml:space="preserve">. 96 S (2025–2026) </w:t>
      </w:r>
      <w:r w:rsidRPr="001D3665">
        <w:rPr>
          <w:rStyle w:val="kursiv"/>
        </w:rPr>
        <w:t>Tilleggsbevilgninger og omprioriteringer i statsbudsjettet 2026.</w:t>
      </w:r>
    </w:p>
    <w:p w14:paraId="51E4AC8A" w14:textId="77777777" w:rsidR="00BC371A" w:rsidRPr="001D3665" w:rsidRDefault="00BC371A" w:rsidP="001D3665">
      <w:r w:rsidRPr="001D3665">
        <w:t xml:space="preserve">Når </w:t>
      </w:r>
      <w:proofErr w:type="spellStart"/>
      <w:r w:rsidRPr="001D3665">
        <w:t>ein</w:t>
      </w:r>
      <w:proofErr w:type="spellEnd"/>
      <w:r w:rsidRPr="001D3665">
        <w:t xml:space="preserve"> inkluderer verknaden av Stortinget sine vedtak om reduserte drivstoffavgifter, er skatte- og avgiftsinntektene </w:t>
      </w:r>
      <w:proofErr w:type="spellStart"/>
      <w:r w:rsidRPr="001D3665">
        <w:t>rekna</w:t>
      </w:r>
      <w:proofErr w:type="spellEnd"/>
      <w:r w:rsidRPr="001D3665">
        <w:t xml:space="preserve"> å </w:t>
      </w:r>
      <w:proofErr w:type="spellStart"/>
      <w:r w:rsidRPr="001D3665">
        <w:t>verte</w:t>
      </w:r>
      <w:proofErr w:type="spellEnd"/>
      <w:r w:rsidRPr="001D3665">
        <w:t xml:space="preserve"> reduserte med om lag 6,6 mrd. kroner påløpt og 6,1 mrd. kroner bokført i 2026 </w:t>
      </w:r>
      <w:proofErr w:type="spellStart"/>
      <w:r w:rsidRPr="001D3665">
        <w:t>samanlikna</w:t>
      </w:r>
      <w:proofErr w:type="spellEnd"/>
      <w:r w:rsidRPr="001D3665">
        <w:t xml:space="preserve"> med saldert budsjett for 2026.</w:t>
      </w:r>
    </w:p>
    <w:p w14:paraId="4CBC016C" w14:textId="77777777" w:rsidR="00BC371A" w:rsidRPr="001D3665" w:rsidRDefault="00BC371A" w:rsidP="001D3665">
      <w:r w:rsidRPr="001D3665">
        <w:t xml:space="preserve">Regjeringa </w:t>
      </w:r>
      <w:proofErr w:type="spellStart"/>
      <w:r w:rsidRPr="001D3665">
        <w:t>gjer</w:t>
      </w:r>
      <w:proofErr w:type="spellEnd"/>
      <w:r w:rsidRPr="001D3665">
        <w:t xml:space="preserve"> òg framlegg om </w:t>
      </w:r>
      <w:proofErr w:type="spellStart"/>
      <w:r w:rsidRPr="001D3665">
        <w:t>einskilde</w:t>
      </w:r>
      <w:proofErr w:type="spellEnd"/>
      <w:r w:rsidRPr="001D3665">
        <w:t xml:space="preserve"> andre </w:t>
      </w:r>
      <w:proofErr w:type="spellStart"/>
      <w:r w:rsidRPr="001D3665">
        <w:t>endringar</w:t>
      </w:r>
      <w:proofErr w:type="spellEnd"/>
      <w:r w:rsidRPr="001D3665">
        <w:t xml:space="preserve"> på skatte- og avgiftsområdet:</w:t>
      </w:r>
    </w:p>
    <w:p w14:paraId="638F7D86" w14:textId="77777777" w:rsidR="00BC371A" w:rsidRPr="001D3665" w:rsidRDefault="00BC371A" w:rsidP="001D3665">
      <w:pPr>
        <w:pStyle w:val="Liste"/>
      </w:pPr>
      <w:r w:rsidRPr="001D3665">
        <w:t xml:space="preserve">I </w:t>
      </w:r>
      <w:proofErr w:type="spellStart"/>
      <w:r w:rsidRPr="001D3665">
        <w:t>dei</w:t>
      </w:r>
      <w:proofErr w:type="spellEnd"/>
      <w:r w:rsidRPr="001D3665">
        <w:t xml:space="preserve"> nye </w:t>
      </w:r>
      <w:proofErr w:type="spellStart"/>
      <w:r w:rsidRPr="001D3665">
        <w:t>meirverdiavgiftsreglane</w:t>
      </w:r>
      <w:proofErr w:type="spellEnd"/>
      <w:r w:rsidRPr="001D3665">
        <w:t xml:space="preserve"> for internasjonal handel, som </w:t>
      </w:r>
      <w:proofErr w:type="spellStart"/>
      <w:r w:rsidRPr="001D3665">
        <w:t>tek</w:t>
      </w:r>
      <w:proofErr w:type="spellEnd"/>
      <w:r w:rsidRPr="001D3665">
        <w:t xml:space="preserve"> til å gjelde 1. juli 2026, vert det gjort ei mindre justering i tryggingsventilen for å unngå dobbel skattlegging.</w:t>
      </w:r>
    </w:p>
    <w:p w14:paraId="12CF7019" w14:textId="77777777" w:rsidR="00BC371A" w:rsidRPr="001D3665" w:rsidRDefault="00BC371A" w:rsidP="001D3665">
      <w:pPr>
        <w:pStyle w:val="Liste"/>
      </w:pPr>
      <w:r w:rsidRPr="001D3665">
        <w:t xml:space="preserve">Regjeringa vil innføre ei forsøksordning med </w:t>
      </w:r>
      <w:proofErr w:type="spellStart"/>
      <w:r w:rsidRPr="001D3665">
        <w:t>aktivitetspengar</w:t>
      </w:r>
      <w:proofErr w:type="spellEnd"/>
      <w:r w:rsidRPr="001D3665">
        <w:t xml:space="preserve"> for unge. Ytinga vert </w:t>
      </w:r>
      <w:proofErr w:type="spellStart"/>
      <w:r w:rsidRPr="001D3665">
        <w:t>skattlagd</w:t>
      </w:r>
      <w:proofErr w:type="spellEnd"/>
      <w:r w:rsidRPr="001D3665">
        <w:t xml:space="preserve"> som </w:t>
      </w:r>
      <w:proofErr w:type="spellStart"/>
      <w:r w:rsidRPr="001D3665">
        <w:t>løn</w:t>
      </w:r>
      <w:proofErr w:type="spellEnd"/>
      <w:r w:rsidRPr="001D3665">
        <w:t xml:space="preserve"> og vert </w:t>
      </w:r>
      <w:proofErr w:type="spellStart"/>
      <w:r w:rsidRPr="001D3665">
        <w:t>rekna</w:t>
      </w:r>
      <w:proofErr w:type="spellEnd"/>
      <w:r w:rsidRPr="001D3665">
        <w:t xml:space="preserve"> som </w:t>
      </w:r>
      <w:proofErr w:type="spellStart"/>
      <w:r w:rsidRPr="001D3665">
        <w:t>pensjonsgjevande</w:t>
      </w:r>
      <w:proofErr w:type="spellEnd"/>
      <w:r w:rsidRPr="001D3665">
        <w:t xml:space="preserve"> inntekt.</w:t>
      </w:r>
    </w:p>
    <w:p w14:paraId="3B0C3092" w14:textId="77777777" w:rsidR="00BC371A" w:rsidRPr="001D3665" w:rsidRDefault="00BC371A" w:rsidP="001D3665">
      <w:proofErr w:type="spellStart"/>
      <w:r w:rsidRPr="001D3665">
        <w:t>Vidare</w:t>
      </w:r>
      <w:proofErr w:type="spellEnd"/>
      <w:r w:rsidRPr="001D3665">
        <w:t xml:space="preserve"> </w:t>
      </w:r>
      <w:proofErr w:type="spellStart"/>
      <w:r w:rsidRPr="001D3665">
        <w:t>gjer</w:t>
      </w:r>
      <w:proofErr w:type="spellEnd"/>
      <w:r w:rsidRPr="001D3665">
        <w:t xml:space="preserve"> regjeringa framlegg om </w:t>
      </w:r>
      <w:proofErr w:type="spellStart"/>
      <w:r w:rsidRPr="001D3665">
        <w:t>einskilde</w:t>
      </w:r>
      <w:proofErr w:type="spellEnd"/>
      <w:r w:rsidRPr="001D3665">
        <w:t xml:space="preserve"> </w:t>
      </w:r>
      <w:proofErr w:type="spellStart"/>
      <w:r w:rsidRPr="001D3665">
        <w:t>endringar</w:t>
      </w:r>
      <w:proofErr w:type="spellEnd"/>
      <w:r w:rsidRPr="001D3665">
        <w:t xml:space="preserve"> som </w:t>
      </w:r>
      <w:proofErr w:type="spellStart"/>
      <w:r w:rsidRPr="001D3665">
        <w:t>ikkje</w:t>
      </w:r>
      <w:proofErr w:type="spellEnd"/>
      <w:r w:rsidRPr="001D3665">
        <w:t xml:space="preserve"> gjeld skatt og avgift:</w:t>
      </w:r>
    </w:p>
    <w:p w14:paraId="5DB02170" w14:textId="77777777" w:rsidR="00BC371A" w:rsidRPr="001D3665" w:rsidRDefault="00BC371A" w:rsidP="001D3665">
      <w:pPr>
        <w:pStyle w:val="Liste"/>
      </w:pPr>
      <w:proofErr w:type="spellStart"/>
      <w:r w:rsidRPr="001D3665">
        <w:t>Føraren</w:t>
      </w:r>
      <w:proofErr w:type="spellEnd"/>
      <w:r w:rsidRPr="001D3665">
        <w:t xml:space="preserve"> si melde- og </w:t>
      </w:r>
      <w:proofErr w:type="spellStart"/>
      <w:r w:rsidRPr="001D3665">
        <w:t>opplysingsplikt</w:t>
      </w:r>
      <w:proofErr w:type="spellEnd"/>
      <w:r w:rsidRPr="001D3665">
        <w:t xml:space="preserve"> etter vareførselsloven når varene kjem fram til tollområdet, vert utvida, slik at </w:t>
      </w:r>
      <w:proofErr w:type="spellStart"/>
      <w:r w:rsidRPr="001D3665">
        <w:t>ein</w:t>
      </w:r>
      <w:proofErr w:type="spellEnd"/>
      <w:r w:rsidRPr="001D3665">
        <w:t xml:space="preserve"> må </w:t>
      </w:r>
      <w:proofErr w:type="spellStart"/>
      <w:r w:rsidRPr="001D3665">
        <w:t>gje</w:t>
      </w:r>
      <w:proofErr w:type="spellEnd"/>
      <w:r w:rsidRPr="001D3665">
        <w:t xml:space="preserve"> </w:t>
      </w:r>
      <w:proofErr w:type="spellStart"/>
      <w:r w:rsidRPr="001D3665">
        <w:t>ein</w:t>
      </w:r>
      <w:proofErr w:type="spellEnd"/>
      <w:r w:rsidRPr="001D3665">
        <w:t xml:space="preserve"> referanse til tolldeklarasjonen for varene som vert bringa med på transportmiddelet.</w:t>
      </w:r>
    </w:p>
    <w:p w14:paraId="48FF9BB4" w14:textId="77777777" w:rsidR="00BC371A" w:rsidRPr="001D3665" w:rsidRDefault="00BC371A" w:rsidP="001D3665">
      <w:pPr>
        <w:pStyle w:val="Liste"/>
      </w:pPr>
      <w:r w:rsidRPr="001D3665">
        <w:t xml:space="preserve">Det vert innført ei registreringsordning under Tolletaten for </w:t>
      </w:r>
      <w:proofErr w:type="spellStart"/>
      <w:r w:rsidRPr="001D3665">
        <w:t>aktørar</w:t>
      </w:r>
      <w:proofErr w:type="spellEnd"/>
      <w:r w:rsidRPr="001D3665">
        <w:t xml:space="preserve"> i </w:t>
      </w:r>
      <w:proofErr w:type="spellStart"/>
      <w:r w:rsidRPr="001D3665">
        <w:t>Noreg</w:t>
      </w:r>
      <w:proofErr w:type="spellEnd"/>
      <w:r w:rsidRPr="001D3665">
        <w:t xml:space="preserve"> som må ha </w:t>
      </w:r>
      <w:proofErr w:type="spellStart"/>
      <w:r w:rsidRPr="001D3665">
        <w:t>eit</w:t>
      </w:r>
      <w:proofErr w:type="spellEnd"/>
      <w:r w:rsidRPr="001D3665">
        <w:t xml:space="preserve"> identifikasjonsnummer som </w:t>
      </w:r>
      <w:proofErr w:type="spellStart"/>
      <w:r w:rsidRPr="001D3665">
        <w:t>følgje</w:t>
      </w:r>
      <w:proofErr w:type="spellEnd"/>
      <w:r w:rsidRPr="001D3665">
        <w:t xml:space="preserve"> av EU-rettsakter som vert </w:t>
      </w:r>
      <w:proofErr w:type="spellStart"/>
      <w:r w:rsidRPr="001D3665">
        <w:t>inntekne</w:t>
      </w:r>
      <w:proofErr w:type="spellEnd"/>
      <w:r w:rsidRPr="001D3665">
        <w:t xml:space="preserve"> i norsk rett.</w:t>
      </w:r>
    </w:p>
    <w:p w14:paraId="11053650" w14:textId="77777777" w:rsidR="00BC371A" w:rsidRPr="001D3665" w:rsidRDefault="00BC371A" w:rsidP="001D3665">
      <w:pPr>
        <w:pStyle w:val="Liste"/>
      </w:pPr>
      <w:r w:rsidRPr="001D3665">
        <w:t xml:space="preserve">Det vert gjort ei endring i sjukdomslista i lov om kompensasjonsordning for kjemikalieskadde </w:t>
      </w:r>
      <w:proofErr w:type="spellStart"/>
      <w:r w:rsidRPr="001D3665">
        <w:t>oljepionerar</w:t>
      </w:r>
      <w:proofErr w:type="spellEnd"/>
      <w:r w:rsidRPr="001D3665">
        <w:t>.</w:t>
      </w:r>
    </w:p>
    <w:p w14:paraId="10016073" w14:textId="77777777" w:rsidR="00BC371A" w:rsidRPr="001D3665" w:rsidRDefault="00BC371A" w:rsidP="001D3665">
      <w:r w:rsidRPr="001D3665">
        <w:t xml:space="preserve">I tillegg er </w:t>
      </w:r>
      <w:proofErr w:type="spellStart"/>
      <w:r w:rsidRPr="001D3665">
        <w:t>følgjande</w:t>
      </w:r>
      <w:proofErr w:type="spellEnd"/>
      <w:r w:rsidRPr="001D3665">
        <w:t xml:space="preserve"> saker omtalte:</w:t>
      </w:r>
    </w:p>
    <w:p w14:paraId="1FDDD6E6" w14:textId="77777777" w:rsidR="00BC371A" w:rsidRPr="001D3665" w:rsidRDefault="00BC371A" w:rsidP="001D3665">
      <w:pPr>
        <w:pStyle w:val="Liste"/>
      </w:pPr>
      <w:proofErr w:type="spellStart"/>
      <w:r w:rsidRPr="001D3665">
        <w:t>Prisar</w:t>
      </w:r>
      <w:proofErr w:type="spellEnd"/>
      <w:r w:rsidRPr="001D3665">
        <w:t xml:space="preserve"> på bensin og diesel i vegtransport</w:t>
      </w:r>
    </w:p>
    <w:p w14:paraId="1C89F519" w14:textId="77777777" w:rsidR="00BC371A" w:rsidRPr="001D3665" w:rsidRDefault="00BC371A" w:rsidP="001D3665">
      <w:pPr>
        <w:pStyle w:val="Liste"/>
      </w:pPr>
      <w:r w:rsidRPr="001D3665">
        <w:t xml:space="preserve">Tiltak mot høge </w:t>
      </w:r>
      <w:proofErr w:type="spellStart"/>
      <w:r w:rsidRPr="001D3665">
        <w:t>levekostnadar</w:t>
      </w:r>
      <w:proofErr w:type="spellEnd"/>
      <w:r w:rsidRPr="001D3665">
        <w:t xml:space="preserve"> – oppmoding nr. 600 (2025–2026)</w:t>
      </w:r>
    </w:p>
    <w:p w14:paraId="738C74C1" w14:textId="77777777" w:rsidR="00BC371A" w:rsidRPr="001D3665" w:rsidRDefault="00BC371A" w:rsidP="001D3665">
      <w:pPr>
        <w:pStyle w:val="Liste"/>
      </w:pPr>
      <w:r w:rsidRPr="001D3665">
        <w:t>CO</w:t>
      </w:r>
      <w:r w:rsidRPr="001D3665">
        <w:rPr>
          <w:rStyle w:val="skrift-senket"/>
        </w:rPr>
        <w:t>2</w:t>
      </w:r>
      <w:r w:rsidRPr="001D3665">
        <w:t>-avgifta på mineralske produkt</w:t>
      </w:r>
    </w:p>
    <w:p w14:paraId="6E68048D" w14:textId="77777777" w:rsidR="00BC371A" w:rsidRPr="001D3665" w:rsidRDefault="00BC371A" w:rsidP="001D3665">
      <w:pPr>
        <w:pStyle w:val="Liste"/>
      </w:pPr>
      <w:r w:rsidRPr="001D3665">
        <w:t>Grunnrenteskatt og naturressursskatt for vasskraft – nedre grense – oppmoding nr. 523 (2025–2026)</w:t>
      </w:r>
    </w:p>
    <w:p w14:paraId="2783798E" w14:textId="77777777" w:rsidR="00BC371A" w:rsidRPr="001D3665" w:rsidRDefault="00BC371A" w:rsidP="001D3665">
      <w:pPr>
        <w:pStyle w:val="Liste"/>
      </w:pPr>
      <w:r w:rsidRPr="001D3665">
        <w:t>Avgift på mineralgjødsel – oppmoding nr. 59 (2025–2026)</w:t>
      </w:r>
    </w:p>
    <w:p w14:paraId="79DAF873" w14:textId="77777777" w:rsidR="00BC371A" w:rsidRPr="001D3665" w:rsidRDefault="00BC371A" w:rsidP="001D3665">
      <w:r w:rsidRPr="001D3665">
        <w:t xml:space="preserve">I denne proposisjonen </w:t>
      </w:r>
      <w:proofErr w:type="spellStart"/>
      <w:r w:rsidRPr="001D3665">
        <w:t>gjer</w:t>
      </w:r>
      <w:proofErr w:type="spellEnd"/>
      <w:r w:rsidRPr="001D3665">
        <w:t xml:space="preserve"> departementet framlegg om:</w:t>
      </w:r>
    </w:p>
    <w:p w14:paraId="607A5900"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folketrygdloven</w:t>
      </w:r>
    </w:p>
    <w:p w14:paraId="50B52D57"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skatteloven</w:t>
      </w:r>
    </w:p>
    <w:p w14:paraId="5199425D"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vareførselsloven</w:t>
      </w:r>
    </w:p>
    <w:p w14:paraId="7F93C8DE"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innkrevingsloven</w:t>
      </w:r>
    </w:p>
    <w:p w14:paraId="638DD9BE"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lov om kompensasjonsordning for kjemikalieskadde </w:t>
      </w:r>
      <w:proofErr w:type="spellStart"/>
      <w:r w:rsidRPr="001D3665">
        <w:t>oljepionerar</w:t>
      </w:r>
      <w:proofErr w:type="spellEnd"/>
    </w:p>
    <w:p w14:paraId="53E739D8"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lov om endringer i merverdiavgiftsloven</w:t>
      </w:r>
    </w:p>
    <w:p w14:paraId="68A2FBEB" w14:textId="77777777" w:rsidR="00BC371A" w:rsidRPr="001D3665" w:rsidRDefault="00BC371A" w:rsidP="001D3665">
      <w:pPr>
        <w:pStyle w:val="Liste"/>
      </w:pPr>
      <w:proofErr w:type="spellStart"/>
      <w:r w:rsidRPr="001D3665">
        <w:t>endringar</w:t>
      </w:r>
      <w:proofErr w:type="spellEnd"/>
      <w:r w:rsidRPr="001D3665">
        <w:t xml:space="preserve"> i stortingsvedtak om skatt av inntekt og formue mv. for inntektsåret 2026 (Stortingets skattevedtak)</w:t>
      </w:r>
    </w:p>
    <w:p w14:paraId="4FA74827" w14:textId="77777777" w:rsidR="00BC371A" w:rsidRPr="001D3665" w:rsidRDefault="00BC371A" w:rsidP="001D3665">
      <w:pPr>
        <w:pStyle w:val="Liste"/>
      </w:pPr>
      <w:proofErr w:type="spellStart"/>
      <w:r w:rsidRPr="001D3665">
        <w:t>endringar</w:t>
      </w:r>
      <w:proofErr w:type="spellEnd"/>
      <w:r w:rsidRPr="001D3665">
        <w:t xml:space="preserve"> i stortingsvedtak om fastsetting av avgifter mv. til folketrygden for 2026</w:t>
      </w:r>
    </w:p>
    <w:p w14:paraId="5F87DB94" w14:textId="77777777" w:rsidR="00BC371A" w:rsidRPr="001D3665" w:rsidRDefault="00BC371A" w:rsidP="001D3665">
      <w:pPr>
        <w:pStyle w:val="Liste"/>
      </w:pPr>
      <w:proofErr w:type="spellStart"/>
      <w:r w:rsidRPr="001D3665">
        <w:lastRenderedPageBreak/>
        <w:t>endringar</w:t>
      </w:r>
      <w:proofErr w:type="spellEnd"/>
      <w:r w:rsidRPr="001D3665">
        <w:t xml:space="preserve"> i stortingsvedtak om fastsetting av finansskatt på lønn for 2026</w:t>
      </w:r>
    </w:p>
    <w:p w14:paraId="79FFADAE" w14:textId="77777777" w:rsidR="00BC371A" w:rsidRPr="001D3665" w:rsidRDefault="00BC371A" w:rsidP="001D3665">
      <w:pPr>
        <w:pStyle w:val="Overskrift1"/>
      </w:pPr>
      <w:proofErr w:type="spellStart"/>
      <w:r w:rsidRPr="001D3665">
        <w:t>Auka</w:t>
      </w:r>
      <w:proofErr w:type="spellEnd"/>
      <w:r w:rsidRPr="001D3665">
        <w:t xml:space="preserve"> </w:t>
      </w:r>
      <w:proofErr w:type="spellStart"/>
      <w:r w:rsidRPr="001D3665">
        <w:t>skattefrådrag</w:t>
      </w:r>
      <w:proofErr w:type="spellEnd"/>
      <w:r w:rsidRPr="001D3665">
        <w:t xml:space="preserve"> i pensjonsinntekt</w:t>
      </w:r>
    </w:p>
    <w:p w14:paraId="60B6E225" w14:textId="77777777" w:rsidR="00BC371A" w:rsidRPr="001D3665" w:rsidRDefault="00BC371A" w:rsidP="001D3665">
      <w:r w:rsidRPr="001D3665">
        <w:t xml:space="preserve">Overslaga for pris- og </w:t>
      </w:r>
      <w:proofErr w:type="spellStart"/>
      <w:r w:rsidRPr="001D3665">
        <w:t>lønsvekst</w:t>
      </w:r>
      <w:proofErr w:type="spellEnd"/>
      <w:r w:rsidRPr="001D3665">
        <w:t xml:space="preserve"> for 2025 og 2026 har </w:t>
      </w:r>
      <w:proofErr w:type="spellStart"/>
      <w:r w:rsidRPr="001D3665">
        <w:t>auka</w:t>
      </w:r>
      <w:proofErr w:type="spellEnd"/>
      <w:r w:rsidRPr="001D3665">
        <w:t xml:space="preserve"> </w:t>
      </w:r>
      <w:proofErr w:type="spellStart"/>
      <w:r w:rsidRPr="001D3665">
        <w:t>samanlikna</w:t>
      </w:r>
      <w:proofErr w:type="spellEnd"/>
      <w:r w:rsidRPr="001D3665">
        <w:t xml:space="preserve"> med overslaga til Nasjonalbudsjettet 2026. Det </w:t>
      </w:r>
      <w:proofErr w:type="spellStart"/>
      <w:r w:rsidRPr="001D3665">
        <w:t>inneber</w:t>
      </w:r>
      <w:proofErr w:type="spellEnd"/>
      <w:r w:rsidRPr="001D3665">
        <w:t xml:space="preserve"> at minste pensjonsnivå òg </w:t>
      </w:r>
      <w:proofErr w:type="spellStart"/>
      <w:r w:rsidRPr="001D3665">
        <w:t>aukar</w:t>
      </w:r>
      <w:proofErr w:type="spellEnd"/>
      <w:r w:rsidRPr="001D3665">
        <w:t xml:space="preserve"> </w:t>
      </w:r>
      <w:proofErr w:type="spellStart"/>
      <w:r w:rsidRPr="001D3665">
        <w:t>meir</w:t>
      </w:r>
      <w:proofErr w:type="spellEnd"/>
      <w:r w:rsidRPr="001D3665">
        <w:t xml:space="preserve"> enn det som </w:t>
      </w:r>
      <w:proofErr w:type="spellStart"/>
      <w:r w:rsidRPr="001D3665">
        <w:t>tidlegare</w:t>
      </w:r>
      <w:proofErr w:type="spellEnd"/>
      <w:r w:rsidRPr="001D3665">
        <w:t xml:space="preserve"> er lagt til grunn. Auken i minste pensjonsnivå </w:t>
      </w:r>
      <w:proofErr w:type="spellStart"/>
      <w:r w:rsidRPr="001D3665">
        <w:t>gjer</w:t>
      </w:r>
      <w:proofErr w:type="spellEnd"/>
      <w:r w:rsidRPr="001D3665">
        <w:t xml:space="preserve"> at </w:t>
      </w:r>
      <w:proofErr w:type="spellStart"/>
      <w:r w:rsidRPr="001D3665">
        <w:t>einslege</w:t>
      </w:r>
      <w:proofErr w:type="spellEnd"/>
      <w:r w:rsidRPr="001D3665">
        <w:t xml:space="preserve"> med minste pensjonsnivå vil måtte betale skatt på pensjon med </w:t>
      </w:r>
      <w:proofErr w:type="spellStart"/>
      <w:r w:rsidRPr="001D3665">
        <w:t>vedtekne</w:t>
      </w:r>
      <w:proofErr w:type="spellEnd"/>
      <w:r w:rsidRPr="001D3665">
        <w:t xml:space="preserve"> </w:t>
      </w:r>
      <w:proofErr w:type="spellStart"/>
      <w:r w:rsidRPr="001D3665">
        <w:t>skattereglar</w:t>
      </w:r>
      <w:proofErr w:type="spellEnd"/>
      <w:r w:rsidRPr="001D3665">
        <w:t xml:space="preserve"> for 2026.</w:t>
      </w:r>
    </w:p>
    <w:p w14:paraId="630EA20C" w14:textId="77777777" w:rsidR="00BC371A" w:rsidRPr="001D3665" w:rsidRDefault="00BC371A" w:rsidP="001D3665">
      <w:proofErr w:type="spellStart"/>
      <w:r w:rsidRPr="001D3665">
        <w:t>Pensjonsskattefrådraget</w:t>
      </w:r>
      <w:proofErr w:type="spellEnd"/>
      <w:r w:rsidRPr="001D3665">
        <w:t xml:space="preserve"> er </w:t>
      </w:r>
      <w:proofErr w:type="spellStart"/>
      <w:r w:rsidRPr="001D3665">
        <w:t>eit</w:t>
      </w:r>
      <w:proofErr w:type="spellEnd"/>
      <w:r w:rsidRPr="001D3665">
        <w:t xml:space="preserve"> </w:t>
      </w:r>
      <w:proofErr w:type="spellStart"/>
      <w:r w:rsidRPr="001D3665">
        <w:t>skattefrådrag</w:t>
      </w:r>
      <w:proofErr w:type="spellEnd"/>
      <w:r w:rsidRPr="001D3665">
        <w:t xml:space="preserve"> som reduserer skatten på pensjon. </w:t>
      </w:r>
      <w:proofErr w:type="spellStart"/>
      <w:r w:rsidRPr="001D3665">
        <w:t>Frådraget</w:t>
      </w:r>
      <w:proofErr w:type="spellEnd"/>
      <w:r w:rsidRPr="001D3665">
        <w:t xml:space="preserve"> har vorte tilpassa slik at minste pensjonsnivå for </w:t>
      </w:r>
      <w:proofErr w:type="spellStart"/>
      <w:r w:rsidRPr="001D3665">
        <w:t>einslege</w:t>
      </w:r>
      <w:proofErr w:type="spellEnd"/>
      <w:r w:rsidRPr="001D3665">
        <w:t xml:space="preserve"> skal </w:t>
      </w:r>
      <w:proofErr w:type="spellStart"/>
      <w:r w:rsidRPr="001D3665">
        <w:t>vere</w:t>
      </w:r>
      <w:proofErr w:type="spellEnd"/>
      <w:r w:rsidRPr="001D3665">
        <w:t xml:space="preserve"> skattefritt.</w:t>
      </w:r>
    </w:p>
    <w:p w14:paraId="436B82D2" w14:textId="77777777" w:rsidR="00BC371A" w:rsidRPr="001D3665" w:rsidRDefault="00BC371A" w:rsidP="001D3665">
      <w:r w:rsidRPr="001D3665">
        <w:t xml:space="preserve">I det </w:t>
      </w:r>
      <w:proofErr w:type="spellStart"/>
      <w:r w:rsidRPr="001D3665">
        <w:t>vedtekne</w:t>
      </w:r>
      <w:proofErr w:type="spellEnd"/>
      <w:r w:rsidRPr="001D3665">
        <w:t xml:space="preserve"> budsjettet for 2026 er </w:t>
      </w:r>
      <w:proofErr w:type="spellStart"/>
      <w:r w:rsidRPr="001D3665">
        <w:t>pensjonsskattefrådraget</w:t>
      </w:r>
      <w:proofErr w:type="spellEnd"/>
      <w:r w:rsidRPr="001D3665">
        <w:t xml:space="preserve"> 37 100 kroner. </w:t>
      </w:r>
      <w:proofErr w:type="spellStart"/>
      <w:r w:rsidRPr="001D3665">
        <w:t>Skattefrådraget</w:t>
      </w:r>
      <w:proofErr w:type="spellEnd"/>
      <w:r w:rsidRPr="001D3665">
        <w:t xml:space="preserve"> vert trappa ned med </w:t>
      </w:r>
      <w:proofErr w:type="spellStart"/>
      <w:r w:rsidRPr="001D3665">
        <w:t>aukande</w:t>
      </w:r>
      <w:proofErr w:type="spellEnd"/>
      <w:r w:rsidRPr="001D3665">
        <w:t xml:space="preserve"> pensjonsinntekt. Innslagspunktet for nedtrappinga i trinn 1 er 284 950 kroner, og </w:t>
      </w:r>
      <w:proofErr w:type="spellStart"/>
      <w:r w:rsidRPr="001D3665">
        <w:t>frådraget</w:t>
      </w:r>
      <w:proofErr w:type="spellEnd"/>
      <w:r w:rsidRPr="001D3665">
        <w:t xml:space="preserve"> vert trappa ned i dette trinnet med 16,7 pst. Det betyr at for kvar krone med pensjon utover innslagspunktet vert </w:t>
      </w:r>
      <w:proofErr w:type="spellStart"/>
      <w:r w:rsidRPr="001D3665">
        <w:t>skattefrådraget</w:t>
      </w:r>
      <w:proofErr w:type="spellEnd"/>
      <w:r w:rsidRPr="001D3665">
        <w:t xml:space="preserve"> trappa ned med 16,7 øre. Innslagspunktet for nedtrappinga i trinn 2 er 436 050 kroner, og satsen for nedtrappinga er seks pst. </w:t>
      </w:r>
      <w:proofErr w:type="spellStart"/>
      <w:r w:rsidRPr="001D3665">
        <w:t>Frådraget</w:t>
      </w:r>
      <w:proofErr w:type="spellEnd"/>
      <w:r w:rsidRPr="001D3665">
        <w:t xml:space="preserve"> vert </w:t>
      </w:r>
      <w:proofErr w:type="spellStart"/>
      <w:r w:rsidRPr="001D3665">
        <w:t>dimed</w:t>
      </w:r>
      <w:proofErr w:type="spellEnd"/>
      <w:r w:rsidRPr="001D3665">
        <w:t xml:space="preserve"> fasa ut ved ei pensjonsinntekt på 634 000 kroner med </w:t>
      </w:r>
      <w:proofErr w:type="spellStart"/>
      <w:r w:rsidRPr="001D3665">
        <w:t>reglane</w:t>
      </w:r>
      <w:proofErr w:type="spellEnd"/>
      <w:r w:rsidRPr="001D3665">
        <w:t xml:space="preserve"> i dag.</w:t>
      </w:r>
    </w:p>
    <w:p w14:paraId="0E8691AD" w14:textId="77777777" w:rsidR="00BC371A" w:rsidRPr="001D3665" w:rsidRDefault="00BC371A" w:rsidP="001D3665">
      <w:proofErr w:type="spellStart"/>
      <w:r w:rsidRPr="001D3665">
        <w:t>Skattefrådraget</w:t>
      </w:r>
      <w:proofErr w:type="spellEnd"/>
      <w:r w:rsidRPr="001D3665">
        <w:t xml:space="preserve"> medfører at det </w:t>
      </w:r>
      <w:proofErr w:type="spellStart"/>
      <w:r w:rsidRPr="001D3665">
        <w:t>ikkje</w:t>
      </w:r>
      <w:proofErr w:type="spellEnd"/>
      <w:r w:rsidRPr="001D3665">
        <w:t xml:space="preserve"> vert berekna skatt av ei pensjonsinntekt på inntil 286 411 kroner i 2026. Dette er under det oppdaterte overslaget på minste pensjonsnivå for </w:t>
      </w:r>
      <w:proofErr w:type="spellStart"/>
      <w:r w:rsidRPr="001D3665">
        <w:t>einslege</w:t>
      </w:r>
      <w:proofErr w:type="spellEnd"/>
      <w:r w:rsidRPr="001D3665">
        <w:t xml:space="preserve"> på 288 686 kroner i 2026.</w:t>
      </w:r>
    </w:p>
    <w:p w14:paraId="5B8F5617" w14:textId="77777777" w:rsidR="00BC371A" w:rsidRPr="001D3665" w:rsidRDefault="00BC371A" w:rsidP="001D3665">
      <w:r w:rsidRPr="001D3665">
        <w:t xml:space="preserve">I tråd med </w:t>
      </w:r>
      <w:proofErr w:type="spellStart"/>
      <w:r w:rsidRPr="001D3665">
        <w:t>tidlegare</w:t>
      </w:r>
      <w:proofErr w:type="spellEnd"/>
      <w:r w:rsidRPr="001D3665">
        <w:t xml:space="preserve"> praksis legg departementet til grunn at minste pensjonsnivå for </w:t>
      </w:r>
      <w:proofErr w:type="spellStart"/>
      <w:r w:rsidRPr="001D3665">
        <w:t>einslege</w:t>
      </w:r>
      <w:proofErr w:type="spellEnd"/>
      <w:r w:rsidRPr="001D3665">
        <w:t xml:space="preserve"> skal </w:t>
      </w:r>
      <w:proofErr w:type="spellStart"/>
      <w:r w:rsidRPr="001D3665">
        <w:t>vere</w:t>
      </w:r>
      <w:proofErr w:type="spellEnd"/>
      <w:r w:rsidRPr="001D3665">
        <w:t xml:space="preserve"> skattefritt. For å unngå at </w:t>
      </w:r>
      <w:proofErr w:type="spellStart"/>
      <w:r w:rsidRPr="001D3665">
        <w:t>minstepensjonistane</w:t>
      </w:r>
      <w:proofErr w:type="spellEnd"/>
      <w:r w:rsidRPr="001D3665">
        <w:t xml:space="preserve"> skal betale skatt i 2026 foreslår departementet </w:t>
      </w:r>
      <w:proofErr w:type="spellStart"/>
      <w:r w:rsidRPr="001D3665">
        <w:t>difor</w:t>
      </w:r>
      <w:proofErr w:type="spellEnd"/>
      <w:r w:rsidRPr="001D3665">
        <w:t xml:space="preserve"> å </w:t>
      </w:r>
      <w:proofErr w:type="spellStart"/>
      <w:r w:rsidRPr="001D3665">
        <w:t>auke</w:t>
      </w:r>
      <w:proofErr w:type="spellEnd"/>
      <w:r w:rsidRPr="001D3665">
        <w:t xml:space="preserve"> </w:t>
      </w:r>
      <w:proofErr w:type="spellStart"/>
      <w:r w:rsidRPr="001D3665">
        <w:t>pensjonsskattefrådraget</w:t>
      </w:r>
      <w:proofErr w:type="spellEnd"/>
      <w:r w:rsidRPr="001D3665">
        <w:t xml:space="preserve">. For å </w:t>
      </w:r>
      <w:proofErr w:type="spellStart"/>
      <w:r w:rsidRPr="001D3665">
        <w:t>gje</w:t>
      </w:r>
      <w:proofErr w:type="spellEnd"/>
      <w:r w:rsidRPr="001D3665">
        <w:t xml:space="preserve"> </w:t>
      </w:r>
      <w:proofErr w:type="spellStart"/>
      <w:r w:rsidRPr="001D3665">
        <w:t>ein</w:t>
      </w:r>
      <w:proofErr w:type="spellEnd"/>
      <w:r w:rsidRPr="001D3665">
        <w:t xml:space="preserve"> god sosial profil på skatteletten foreslår departementet å </w:t>
      </w:r>
      <w:proofErr w:type="spellStart"/>
      <w:r w:rsidRPr="001D3665">
        <w:t>målrette</w:t>
      </w:r>
      <w:proofErr w:type="spellEnd"/>
      <w:r w:rsidRPr="001D3665">
        <w:t xml:space="preserve"> han mot låge pensjonsinntekter ved å:</w:t>
      </w:r>
    </w:p>
    <w:p w14:paraId="24E68BB2" w14:textId="77777777" w:rsidR="00BC371A" w:rsidRPr="001D3665" w:rsidRDefault="00BC371A" w:rsidP="001D3665">
      <w:pPr>
        <w:pStyle w:val="Liste"/>
      </w:pPr>
      <w:proofErr w:type="spellStart"/>
      <w:r w:rsidRPr="001D3665">
        <w:t>auke</w:t>
      </w:r>
      <w:proofErr w:type="spellEnd"/>
      <w:r w:rsidRPr="001D3665">
        <w:t xml:space="preserve"> </w:t>
      </w:r>
      <w:proofErr w:type="spellStart"/>
      <w:r w:rsidRPr="001D3665">
        <w:t>pensjonsskattefrådraget</w:t>
      </w:r>
      <w:proofErr w:type="spellEnd"/>
      <w:r w:rsidRPr="001D3665">
        <w:t xml:space="preserve"> til 37 600 kroner</w:t>
      </w:r>
    </w:p>
    <w:p w14:paraId="3B89EF40" w14:textId="77777777" w:rsidR="00BC371A" w:rsidRPr="001D3665" w:rsidRDefault="00BC371A" w:rsidP="001D3665">
      <w:pPr>
        <w:pStyle w:val="Liste"/>
      </w:pPr>
      <w:proofErr w:type="spellStart"/>
      <w:r w:rsidRPr="001D3665">
        <w:t>auke</w:t>
      </w:r>
      <w:proofErr w:type="spellEnd"/>
      <w:r w:rsidRPr="001D3665">
        <w:t xml:space="preserve"> innslagspunktet for nedtrappinga i trinn 1 til 288 700 kroner</w:t>
      </w:r>
    </w:p>
    <w:p w14:paraId="35AC3DF2" w14:textId="77777777" w:rsidR="00BC371A" w:rsidRPr="001D3665" w:rsidRDefault="00BC371A" w:rsidP="001D3665">
      <w:pPr>
        <w:pStyle w:val="Liste"/>
      </w:pPr>
      <w:proofErr w:type="spellStart"/>
      <w:r w:rsidRPr="001D3665">
        <w:t>auke</w:t>
      </w:r>
      <w:proofErr w:type="spellEnd"/>
      <w:r w:rsidRPr="001D3665">
        <w:t xml:space="preserve"> innslagspunktet for nedtrappinga i trinn 2 til 436 850 kroner</w:t>
      </w:r>
    </w:p>
    <w:p w14:paraId="2BD142A2" w14:textId="77777777" w:rsidR="00BC371A" w:rsidRPr="001D3665" w:rsidRDefault="00BC371A" w:rsidP="001D3665">
      <w:pPr>
        <w:pStyle w:val="Liste"/>
      </w:pPr>
      <w:proofErr w:type="spellStart"/>
      <w:r w:rsidRPr="001D3665">
        <w:t>auke</w:t>
      </w:r>
      <w:proofErr w:type="spellEnd"/>
      <w:r w:rsidRPr="001D3665">
        <w:t xml:space="preserve"> satsen for nedtrappinga i trinn 1 til 17,4 pst.</w:t>
      </w:r>
    </w:p>
    <w:p w14:paraId="15F612E7" w14:textId="77777777" w:rsidR="00BC371A" w:rsidRPr="001D3665" w:rsidRDefault="00BC371A" w:rsidP="001D3665">
      <w:r w:rsidRPr="001D3665">
        <w:t xml:space="preserve">Framlegget vil </w:t>
      </w:r>
      <w:proofErr w:type="spellStart"/>
      <w:r w:rsidRPr="001D3665">
        <w:t>gje</w:t>
      </w:r>
      <w:proofErr w:type="spellEnd"/>
      <w:r w:rsidRPr="001D3665">
        <w:t xml:space="preserve"> skattelette opp til ei pensjonsinntekt på 436 850 kroner. </w:t>
      </w:r>
      <w:proofErr w:type="spellStart"/>
      <w:r w:rsidRPr="001D3665">
        <w:t>Ein</w:t>
      </w:r>
      <w:proofErr w:type="spellEnd"/>
      <w:r w:rsidRPr="001D3665">
        <w:t xml:space="preserve"> går ut </w:t>
      </w:r>
      <w:proofErr w:type="spellStart"/>
      <w:r w:rsidRPr="001D3665">
        <w:t>frå</w:t>
      </w:r>
      <w:proofErr w:type="spellEnd"/>
      <w:r w:rsidRPr="001D3665">
        <w:t xml:space="preserve"> at framlegget vil redusere provenyet med </w:t>
      </w:r>
      <w:proofErr w:type="spellStart"/>
      <w:r w:rsidRPr="001D3665">
        <w:t>ein</w:t>
      </w:r>
      <w:proofErr w:type="spellEnd"/>
      <w:r w:rsidRPr="001D3665">
        <w:t xml:space="preserve"> heilårsverknad på 265 mill. kroner i 2026. På usikkert grunnlag legg departementet til grunn at heile beløpet vert bokført i 2027.</w:t>
      </w:r>
    </w:p>
    <w:p w14:paraId="1C3FD76D" w14:textId="77777777" w:rsidR="00BC371A" w:rsidRPr="001D3665" w:rsidRDefault="00BC371A" w:rsidP="001D3665">
      <w:r w:rsidRPr="001D3665">
        <w:t xml:space="preserve">Departementet viser til framlegg om </w:t>
      </w:r>
      <w:proofErr w:type="spellStart"/>
      <w:r w:rsidRPr="001D3665">
        <w:t>endringar</w:t>
      </w:r>
      <w:proofErr w:type="spellEnd"/>
      <w:r w:rsidRPr="001D3665">
        <w:t xml:space="preserve"> i skatteloven § 16-1 tredje ledd tredje punktum og framlegg om </w:t>
      </w:r>
      <w:proofErr w:type="spellStart"/>
      <w:r w:rsidRPr="001D3665">
        <w:t>endringar</w:t>
      </w:r>
      <w:proofErr w:type="spellEnd"/>
      <w:r w:rsidRPr="001D3665">
        <w:t xml:space="preserve"> i Stortinget sitt skattevedtak for inntektsåret 2026 § 6-5. Departementet foreslår at </w:t>
      </w:r>
      <w:proofErr w:type="spellStart"/>
      <w:r w:rsidRPr="001D3665">
        <w:t>endringane</w:t>
      </w:r>
      <w:proofErr w:type="spellEnd"/>
      <w:r w:rsidRPr="001D3665">
        <w:t xml:space="preserve"> </w:t>
      </w:r>
      <w:proofErr w:type="spellStart"/>
      <w:r w:rsidRPr="001D3665">
        <w:t>tek</w:t>
      </w:r>
      <w:proofErr w:type="spellEnd"/>
      <w:r w:rsidRPr="001D3665">
        <w:t xml:space="preserve"> til å gjelde </w:t>
      </w:r>
      <w:proofErr w:type="spellStart"/>
      <w:r w:rsidRPr="001D3665">
        <w:t>frå</w:t>
      </w:r>
      <w:proofErr w:type="spellEnd"/>
      <w:r w:rsidRPr="001D3665">
        <w:t xml:space="preserve"> og med inntektsåret 2026.</w:t>
      </w:r>
    </w:p>
    <w:p w14:paraId="58382A37" w14:textId="77777777" w:rsidR="00BC371A" w:rsidRPr="001D3665" w:rsidRDefault="00BC371A" w:rsidP="001D3665">
      <w:pPr>
        <w:pStyle w:val="Overskrift1"/>
      </w:pPr>
      <w:proofErr w:type="spellStart"/>
      <w:r w:rsidRPr="001D3665">
        <w:t>Auka</w:t>
      </w:r>
      <w:proofErr w:type="spellEnd"/>
      <w:r w:rsidRPr="001D3665">
        <w:t xml:space="preserve"> grense for den </w:t>
      </w:r>
      <w:proofErr w:type="spellStart"/>
      <w:r w:rsidRPr="001D3665">
        <w:t>lågaste</w:t>
      </w:r>
      <w:proofErr w:type="spellEnd"/>
      <w:r w:rsidRPr="001D3665">
        <w:t xml:space="preserve"> </w:t>
      </w:r>
      <w:proofErr w:type="spellStart"/>
      <w:r w:rsidRPr="001D3665">
        <w:t>verdsetjinga</w:t>
      </w:r>
      <w:proofErr w:type="spellEnd"/>
      <w:r w:rsidRPr="001D3665">
        <w:t xml:space="preserve"> av bustad i formuesskatten</w:t>
      </w:r>
    </w:p>
    <w:p w14:paraId="7DB873F7" w14:textId="77777777" w:rsidR="00BC371A" w:rsidRPr="001D3665" w:rsidRDefault="00BC371A" w:rsidP="001D3665">
      <w:r w:rsidRPr="001D3665">
        <w:t xml:space="preserve">Regjeringa foreslår å </w:t>
      </w:r>
      <w:proofErr w:type="spellStart"/>
      <w:r w:rsidRPr="001D3665">
        <w:t>auke</w:t>
      </w:r>
      <w:proofErr w:type="spellEnd"/>
      <w:r w:rsidRPr="001D3665">
        <w:t xml:space="preserve"> grensa for den </w:t>
      </w:r>
      <w:proofErr w:type="spellStart"/>
      <w:r w:rsidRPr="001D3665">
        <w:t>lågaste</w:t>
      </w:r>
      <w:proofErr w:type="spellEnd"/>
      <w:r w:rsidRPr="001D3665">
        <w:t xml:space="preserve"> </w:t>
      </w:r>
      <w:proofErr w:type="spellStart"/>
      <w:r w:rsidRPr="001D3665">
        <w:t>verdsetjinga</w:t>
      </w:r>
      <w:proofErr w:type="spellEnd"/>
      <w:r w:rsidRPr="001D3665">
        <w:t xml:space="preserve"> av bustad i formuesskatten </w:t>
      </w:r>
      <w:proofErr w:type="spellStart"/>
      <w:r w:rsidRPr="001D3665">
        <w:t>frå</w:t>
      </w:r>
      <w:proofErr w:type="spellEnd"/>
      <w:r w:rsidRPr="001D3665">
        <w:t xml:space="preserve"> ti til 14 mill. kroner.</w:t>
      </w:r>
    </w:p>
    <w:p w14:paraId="2845D1D4" w14:textId="77777777" w:rsidR="00BC371A" w:rsidRPr="001D3665" w:rsidRDefault="00BC371A" w:rsidP="001D3665">
      <w:r w:rsidRPr="001D3665">
        <w:t xml:space="preserve">Med </w:t>
      </w:r>
      <w:proofErr w:type="spellStart"/>
      <w:r w:rsidRPr="001D3665">
        <w:t>gjeldande</w:t>
      </w:r>
      <w:proofErr w:type="spellEnd"/>
      <w:r w:rsidRPr="001D3665">
        <w:t xml:space="preserve"> </w:t>
      </w:r>
      <w:proofErr w:type="spellStart"/>
      <w:r w:rsidRPr="001D3665">
        <w:t>reglar</w:t>
      </w:r>
      <w:proofErr w:type="spellEnd"/>
      <w:r w:rsidRPr="001D3665">
        <w:t xml:space="preserve"> for 2026 vert </w:t>
      </w:r>
      <w:proofErr w:type="spellStart"/>
      <w:r w:rsidRPr="001D3665">
        <w:t>primærbustader</w:t>
      </w:r>
      <w:proofErr w:type="spellEnd"/>
      <w:r w:rsidRPr="001D3665">
        <w:t xml:space="preserve"> verdsette til 25 pst. av berekna </w:t>
      </w:r>
      <w:proofErr w:type="spellStart"/>
      <w:r w:rsidRPr="001D3665">
        <w:t>omsetnadsverdi</w:t>
      </w:r>
      <w:proofErr w:type="spellEnd"/>
      <w:r w:rsidRPr="001D3665">
        <w:t xml:space="preserve"> for </w:t>
      </w:r>
      <w:proofErr w:type="spellStart"/>
      <w:r w:rsidRPr="001D3665">
        <w:t>verdiar</w:t>
      </w:r>
      <w:proofErr w:type="spellEnd"/>
      <w:r w:rsidRPr="001D3665">
        <w:t xml:space="preserve"> under ti mill. kroner, og til 70 pst. for den delen av verdien som overstig ti </w:t>
      </w:r>
      <w:r w:rsidRPr="001D3665">
        <w:lastRenderedPageBreak/>
        <w:t xml:space="preserve">mill. kroner. Regjeringa foreslår å </w:t>
      </w:r>
      <w:proofErr w:type="spellStart"/>
      <w:r w:rsidRPr="001D3665">
        <w:t>auke</w:t>
      </w:r>
      <w:proofErr w:type="spellEnd"/>
      <w:r w:rsidRPr="001D3665">
        <w:t xml:space="preserve"> grensa for den </w:t>
      </w:r>
      <w:proofErr w:type="spellStart"/>
      <w:r w:rsidRPr="001D3665">
        <w:t>lågaste</w:t>
      </w:r>
      <w:proofErr w:type="spellEnd"/>
      <w:r w:rsidRPr="001D3665">
        <w:t xml:space="preserve"> </w:t>
      </w:r>
      <w:proofErr w:type="spellStart"/>
      <w:r w:rsidRPr="001D3665">
        <w:t>verdsetjinga</w:t>
      </w:r>
      <w:proofErr w:type="spellEnd"/>
      <w:r w:rsidRPr="001D3665">
        <w:t xml:space="preserve"> til 14 mill. kroner med verknad </w:t>
      </w:r>
      <w:proofErr w:type="spellStart"/>
      <w:r w:rsidRPr="001D3665">
        <w:t>frå</w:t>
      </w:r>
      <w:proofErr w:type="spellEnd"/>
      <w:r w:rsidRPr="001D3665">
        <w:t xml:space="preserve"> inntektsåret 2026.</w:t>
      </w:r>
    </w:p>
    <w:p w14:paraId="198F78AD" w14:textId="77777777" w:rsidR="00BC371A" w:rsidRPr="001D3665" w:rsidRDefault="00BC371A" w:rsidP="001D3665">
      <w:r w:rsidRPr="001D3665">
        <w:t xml:space="preserve">Bakgrunnen for endringa er den oppdaterte modellen for å </w:t>
      </w:r>
      <w:proofErr w:type="spellStart"/>
      <w:r w:rsidRPr="001D3665">
        <w:t>berekne</w:t>
      </w:r>
      <w:proofErr w:type="spellEnd"/>
      <w:r w:rsidRPr="001D3665">
        <w:t xml:space="preserve"> </w:t>
      </w:r>
      <w:proofErr w:type="spellStart"/>
      <w:r w:rsidRPr="001D3665">
        <w:t>omsetnadsverdiane</w:t>
      </w:r>
      <w:proofErr w:type="spellEnd"/>
      <w:r w:rsidRPr="001D3665">
        <w:t xml:space="preserve"> for primær- og </w:t>
      </w:r>
      <w:proofErr w:type="spellStart"/>
      <w:r w:rsidRPr="001D3665">
        <w:t>sekundærbustader</w:t>
      </w:r>
      <w:proofErr w:type="spellEnd"/>
      <w:r w:rsidRPr="001D3665">
        <w:t xml:space="preserve"> til </w:t>
      </w:r>
      <w:proofErr w:type="spellStart"/>
      <w:r w:rsidRPr="001D3665">
        <w:t>formuesskatteføremål</w:t>
      </w:r>
      <w:proofErr w:type="spellEnd"/>
      <w:r w:rsidRPr="001D3665">
        <w:t xml:space="preserve"> som regjeringa gjorde framlegg om å ta i bruk </w:t>
      </w:r>
      <w:proofErr w:type="spellStart"/>
      <w:r w:rsidRPr="001D3665">
        <w:t>frå</w:t>
      </w:r>
      <w:proofErr w:type="spellEnd"/>
      <w:r w:rsidRPr="001D3665">
        <w:t xml:space="preserve"> 2026, sjå </w:t>
      </w:r>
      <w:proofErr w:type="spellStart"/>
      <w:r w:rsidRPr="001D3665">
        <w:t>Prop</w:t>
      </w:r>
      <w:proofErr w:type="spellEnd"/>
      <w:r w:rsidRPr="001D3665">
        <w:t xml:space="preserve">. 1 LS (2025–2026) </w:t>
      </w:r>
      <w:r w:rsidRPr="001D3665">
        <w:rPr>
          <w:rStyle w:val="kursiv"/>
        </w:rPr>
        <w:t>Skatter og avgifter 2026</w:t>
      </w:r>
      <w:r w:rsidRPr="001D3665">
        <w:t xml:space="preserve"> punkt 5.3. Stortinget </w:t>
      </w:r>
      <w:proofErr w:type="spellStart"/>
      <w:r w:rsidRPr="001D3665">
        <w:t>slutta</w:t>
      </w:r>
      <w:proofErr w:type="spellEnd"/>
      <w:r w:rsidRPr="001D3665">
        <w:t xml:space="preserve"> seg til framlegget, jf. </w:t>
      </w:r>
      <w:proofErr w:type="spellStart"/>
      <w:r w:rsidRPr="001D3665">
        <w:t>Innst</w:t>
      </w:r>
      <w:proofErr w:type="spellEnd"/>
      <w:r w:rsidRPr="001D3665">
        <w:t xml:space="preserve">. 3 S (2025–2026). </w:t>
      </w:r>
      <w:proofErr w:type="spellStart"/>
      <w:r w:rsidRPr="001D3665">
        <w:t>Føremålet</w:t>
      </w:r>
      <w:proofErr w:type="spellEnd"/>
      <w:r w:rsidRPr="001D3665">
        <w:t xml:space="preserve"> med den oppdaterte modellen var å </w:t>
      </w:r>
      <w:proofErr w:type="spellStart"/>
      <w:r w:rsidRPr="001D3665">
        <w:t>gjere</w:t>
      </w:r>
      <w:proofErr w:type="spellEnd"/>
      <w:r w:rsidRPr="001D3665">
        <w:t xml:space="preserve"> formuesskattegrunnlaget betre og </w:t>
      </w:r>
      <w:proofErr w:type="spellStart"/>
      <w:r w:rsidRPr="001D3665">
        <w:t>meir</w:t>
      </w:r>
      <w:proofErr w:type="spellEnd"/>
      <w:r w:rsidRPr="001D3665">
        <w:t xml:space="preserve"> rettferdig, </w:t>
      </w:r>
      <w:proofErr w:type="spellStart"/>
      <w:r w:rsidRPr="001D3665">
        <w:t>ikkje</w:t>
      </w:r>
      <w:proofErr w:type="spellEnd"/>
      <w:r w:rsidRPr="001D3665">
        <w:t xml:space="preserve"> å </w:t>
      </w:r>
      <w:proofErr w:type="spellStart"/>
      <w:r w:rsidRPr="001D3665">
        <w:t>auke</w:t>
      </w:r>
      <w:proofErr w:type="spellEnd"/>
      <w:r w:rsidRPr="001D3665">
        <w:t xml:space="preserve"> </w:t>
      </w:r>
      <w:proofErr w:type="spellStart"/>
      <w:r w:rsidRPr="001D3665">
        <w:t>dei</w:t>
      </w:r>
      <w:proofErr w:type="spellEnd"/>
      <w:r w:rsidRPr="001D3665">
        <w:t xml:space="preserve"> samla inntektene </w:t>
      </w:r>
      <w:proofErr w:type="spellStart"/>
      <w:r w:rsidRPr="001D3665">
        <w:t>frå</w:t>
      </w:r>
      <w:proofErr w:type="spellEnd"/>
      <w:r w:rsidRPr="001D3665">
        <w:t xml:space="preserve"> formuesskatten. I januar 2026 mottok Finansdepartementet oppdaterte overslag som syner at formuesskatteinntektene vart </w:t>
      </w:r>
      <w:proofErr w:type="spellStart"/>
      <w:r w:rsidRPr="001D3665">
        <w:t>rekna</w:t>
      </w:r>
      <w:proofErr w:type="spellEnd"/>
      <w:r w:rsidRPr="001D3665">
        <w:t xml:space="preserve"> å </w:t>
      </w:r>
      <w:proofErr w:type="spellStart"/>
      <w:r w:rsidRPr="001D3665">
        <w:t>vere</w:t>
      </w:r>
      <w:proofErr w:type="spellEnd"/>
      <w:r w:rsidRPr="001D3665">
        <w:t xml:space="preserve"> om lag 550 mill. kroner </w:t>
      </w:r>
      <w:proofErr w:type="spellStart"/>
      <w:r w:rsidRPr="001D3665">
        <w:t>høgare</w:t>
      </w:r>
      <w:proofErr w:type="spellEnd"/>
      <w:r w:rsidRPr="001D3665">
        <w:t xml:space="preserve"> enn det som </w:t>
      </w:r>
      <w:proofErr w:type="spellStart"/>
      <w:r w:rsidRPr="001D3665">
        <w:t>vart</w:t>
      </w:r>
      <w:proofErr w:type="spellEnd"/>
      <w:r w:rsidRPr="001D3665">
        <w:t xml:space="preserve"> lagt til grunn for Stortingets vedtak.</w:t>
      </w:r>
    </w:p>
    <w:p w14:paraId="30154357" w14:textId="77777777" w:rsidR="00BC371A" w:rsidRPr="001D3665" w:rsidRDefault="00BC371A" w:rsidP="001D3665">
      <w:r w:rsidRPr="001D3665">
        <w:t xml:space="preserve">Å </w:t>
      </w:r>
      <w:proofErr w:type="spellStart"/>
      <w:r w:rsidRPr="001D3665">
        <w:t>auke</w:t>
      </w:r>
      <w:proofErr w:type="spellEnd"/>
      <w:r w:rsidRPr="001D3665">
        <w:t xml:space="preserve"> innslagspunktet </w:t>
      </w:r>
      <w:proofErr w:type="spellStart"/>
      <w:r w:rsidRPr="001D3665">
        <w:t>frå</w:t>
      </w:r>
      <w:proofErr w:type="spellEnd"/>
      <w:r w:rsidRPr="001D3665">
        <w:t xml:space="preserve"> ti til 14 mill. kroner vert isolert sett </w:t>
      </w:r>
      <w:proofErr w:type="spellStart"/>
      <w:r w:rsidRPr="001D3665">
        <w:t>rekna</w:t>
      </w:r>
      <w:proofErr w:type="spellEnd"/>
      <w:r w:rsidRPr="001D3665">
        <w:t xml:space="preserve"> å redusere provenyet med om lag 830 mill. kroner påløpt i 2026 </w:t>
      </w:r>
      <w:proofErr w:type="spellStart"/>
      <w:r w:rsidRPr="001D3665">
        <w:t>samanlikna</w:t>
      </w:r>
      <w:proofErr w:type="spellEnd"/>
      <w:r w:rsidRPr="001D3665">
        <w:t xml:space="preserve"> med </w:t>
      </w:r>
      <w:proofErr w:type="spellStart"/>
      <w:r w:rsidRPr="001D3665">
        <w:t>vedteke</w:t>
      </w:r>
      <w:proofErr w:type="spellEnd"/>
      <w:r w:rsidRPr="001D3665">
        <w:t xml:space="preserve"> budsjett. I samband med statsbudsjettet for 2026 vart det, i tillegg til oppdatert bustadmodell, </w:t>
      </w:r>
      <w:proofErr w:type="spellStart"/>
      <w:r w:rsidRPr="001D3665">
        <w:t>vedteke</w:t>
      </w:r>
      <w:proofErr w:type="spellEnd"/>
      <w:r w:rsidRPr="001D3665">
        <w:t xml:space="preserve"> å </w:t>
      </w:r>
      <w:proofErr w:type="spellStart"/>
      <w:r w:rsidRPr="001D3665">
        <w:t>auke</w:t>
      </w:r>
      <w:proofErr w:type="spellEnd"/>
      <w:r w:rsidRPr="001D3665">
        <w:t xml:space="preserve"> </w:t>
      </w:r>
      <w:proofErr w:type="spellStart"/>
      <w:r w:rsidRPr="001D3665">
        <w:t>botnfrådraget</w:t>
      </w:r>
      <w:proofErr w:type="spellEnd"/>
      <w:r w:rsidRPr="001D3665">
        <w:t xml:space="preserve"> i formuesskatten. Samla var </w:t>
      </w:r>
      <w:proofErr w:type="spellStart"/>
      <w:r w:rsidRPr="001D3665">
        <w:t>formuesskatteendringane</w:t>
      </w:r>
      <w:proofErr w:type="spellEnd"/>
      <w:r w:rsidRPr="001D3665">
        <w:t xml:space="preserve"> i budsjettet for 2026 </w:t>
      </w:r>
      <w:proofErr w:type="spellStart"/>
      <w:r w:rsidRPr="001D3665">
        <w:t>rekna</w:t>
      </w:r>
      <w:proofErr w:type="spellEnd"/>
      <w:r w:rsidRPr="001D3665">
        <w:t xml:space="preserve"> å </w:t>
      </w:r>
      <w:proofErr w:type="spellStart"/>
      <w:r w:rsidRPr="001D3665">
        <w:t>vere</w:t>
      </w:r>
      <w:proofErr w:type="spellEnd"/>
      <w:r w:rsidRPr="001D3665">
        <w:t xml:space="preserve"> provenynøytrale, sjå </w:t>
      </w:r>
      <w:proofErr w:type="spellStart"/>
      <w:r w:rsidRPr="001D3665">
        <w:t>Prop</w:t>
      </w:r>
      <w:proofErr w:type="spellEnd"/>
      <w:r w:rsidRPr="001D3665">
        <w:t xml:space="preserve">. 1 LS (2025–2026) </w:t>
      </w:r>
      <w:r w:rsidRPr="001D3665">
        <w:rPr>
          <w:rStyle w:val="kursiv"/>
        </w:rPr>
        <w:t>Skatter og avgifter 2026 kapittel 5</w:t>
      </w:r>
      <w:r w:rsidRPr="001D3665">
        <w:t xml:space="preserve">. </w:t>
      </w:r>
      <w:proofErr w:type="spellStart"/>
      <w:r w:rsidRPr="001D3665">
        <w:t>Berekninga</w:t>
      </w:r>
      <w:proofErr w:type="spellEnd"/>
      <w:r w:rsidRPr="001D3665">
        <w:t xml:space="preserve"> var usikker. Saman med </w:t>
      </w:r>
      <w:proofErr w:type="spellStart"/>
      <w:r w:rsidRPr="001D3665">
        <w:t>dei</w:t>
      </w:r>
      <w:proofErr w:type="spellEnd"/>
      <w:r w:rsidRPr="001D3665">
        <w:t xml:space="preserve"> oppdaterte overslaga </w:t>
      </w:r>
      <w:proofErr w:type="spellStart"/>
      <w:r w:rsidRPr="001D3665">
        <w:t>frå</w:t>
      </w:r>
      <w:proofErr w:type="spellEnd"/>
      <w:r w:rsidRPr="001D3665">
        <w:t xml:space="preserve"> bustadmodellen og </w:t>
      </w:r>
      <w:proofErr w:type="spellStart"/>
      <w:r w:rsidRPr="001D3665">
        <w:t>allereie</w:t>
      </w:r>
      <w:proofErr w:type="spellEnd"/>
      <w:r w:rsidRPr="001D3665">
        <w:t xml:space="preserve"> </w:t>
      </w:r>
      <w:proofErr w:type="spellStart"/>
      <w:r w:rsidRPr="001D3665">
        <w:t>vedtekne</w:t>
      </w:r>
      <w:proofErr w:type="spellEnd"/>
      <w:r w:rsidRPr="001D3665">
        <w:t xml:space="preserve"> </w:t>
      </w:r>
      <w:proofErr w:type="spellStart"/>
      <w:r w:rsidRPr="001D3665">
        <w:t>endringar</w:t>
      </w:r>
      <w:proofErr w:type="spellEnd"/>
      <w:r w:rsidRPr="001D3665">
        <w:t xml:space="preserve"> i formuesskatten for 2026, vert provenytapet samla </w:t>
      </w:r>
      <w:proofErr w:type="spellStart"/>
      <w:r w:rsidRPr="001D3665">
        <w:t>rekna</w:t>
      </w:r>
      <w:proofErr w:type="spellEnd"/>
      <w:r w:rsidRPr="001D3665">
        <w:t xml:space="preserve"> til 280 mill. kroner påløpt i 2026. Den bokførte provenyverknaden i 2026 avheng av kor mange som ber om nytt skattekort, og </w:t>
      </w:r>
      <w:proofErr w:type="spellStart"/>
      <w:r w:rsidRPr="001D3665">
        <w:t>dimed</w:t>
      </w:r>
      <w:proofErr w:type="spellEnd"/>
      <w:r w:rsidRPr="001D3665">
        <w:t xml:space="preserve"> får korrigert </w:t>
      </w:r>
      <w:proofErr w:type="spellStart"/>
      <w:r w:rsidRPr="001D3665">
        <w:t>forskotstrekket</w:t>
      </w:r>
      <w:proofErr w:type="spellEnd"/>
      <w:r w:rsidRPr="001D3665">
        <w:t xml:space="preserve"> eller </w:t>
      </w:r>
      <w:proofErr w:type="spellStart"/>
      <w:r w:rsidRPr="001D3665">
        <w:t>forskotsskatten</w:t>
      </w:r>
      <w:proofErr w:type="spellEnd"/>
      <w:r w:rsidRPr="001D3665">
        <w:t xml:space="preserve"> i 2026. Det vert lagt til grunn at </w:t>
      </w:r>
      <w:proofErr w:type="spellStart"/>
      <w:r w:rsidRPr="001D3665">
        <w:t>ein</w:t>
      </w:r>
      <w:proofErr w:type="spellEnd"/>
      <w:r w:rsidRPr="001D3665">
        <w:t xml:space="preserve"> </w:t>
      </w:r>
      <w:proofErr w:type="spellStart"/>
      <w:r w:rsidRPr="001D3665">
        <w:t>betydeleg</w:t>
      </w:r>
      <w:proofErr w:type="spellEnd"/>
      <w:r w:rsidRPr="001D3665">
        <w:t xml:space="preserve"> del vil endre skattekortet, og det bokførte provenyet vert </w:t>
      </w:r>
      <w:proofErr w:type="spellStart"/>
      <w:r w:rsidRPr="001D3665">
        <w:t>dimed</w:t>
      </w:r>
      <w:proofErr w:type="spellEnd"/>
      <w:r w:rsidRPr="001D3665">
        <w:t xml:space="preserve"> </w:t>
      </w:r>
      <w:proofErr w:type="spellStart"/>
      <w:r w:rsidRPr="001D3665">
        <w:t>rekna</w:t>
      </w:r>
      <w:proofErr w:type="spellEnd"/>
      <w:r w:rsidRPr="001D3665">
        <w:t xml:space="preserve"> til å </w:t>
      </w:r>
      <w:proofErr w:type="spellStart"/>
      <w:r w:rsidRPr="001D3665">
        <w:t>vere</w:t>
      </w:r>
      <w:proofErr w:type="spellEnd"/>
      <w:r w:rsidRPr="001D3665">
        <w:t xml:space="preserve"> null.</w:t>
      </w:r>
    </w:p>
    <w:p w14:paraId="3AC526D0" w14:textId="77777777" w:rsidR="00BC371A" w:rsidRPr="001D3665" w:rsidRDefault="00BC371A" w:rsidP="001D3665">
      <w:r w:rsidRPr="001D3665">
        <w:t xml:space="preserve">Isolert sett har </w:t>
      </w:r>
      <w:proofErr w:type="spellStart"/>
      <w:r w:rsidRPr="001D3665">
        <w:t>dei</w:t>
      </w:r>
      <w:proofErr w:type="spellEnd"/>
      <w:r w:rsidRPr="001D3665">
        <w:t xml:space="preserve"> oppdaterte overslaga </w:t>
      </w:r>
      <w:proofErr w:type="spellStart"/>
      <w:r w:rsidRPr="001D3665">
        <w:t>frå</w:t>
      </w:r>
      <w:proofErr w:type="spellEnd"/>
      <w:r w:rsidRPr="001D3665">
        <w:t xml:space="preserve"> den nye </w:t>
      </w:r>
      <w:proofErr w:type="spellStart"/>
      <w:r w:rsidRPr="001D3665">
        <w:t>verdsetjingsmodellen</w:t>
      </w:r>
      <w:proofErr w:type="spellEnd"/>
      <w:r w:rsidRPr="001D3665">
        <w:t xml:space="preserve"> òg gjort at skatteinntektene for kommunesektoren vert større i 2026. Med framlegget om å </w:t>
      </w:r>
      <w:proofErr w:type="spellStart"/>
      <w:r w:rsidRPr="001D3665">
        <w:t>auke</w:t>
      </w:r>
      <w:proofErr w:type="spellEnd"/>
      <w:r w:rsidRPr="001D3665">
        <w:t xml:space="preserve"> grensa vert skatteinntektene til </w:t>
      </w:r>
      <w:proofErr w:type="spellStart"/>
      <w:r w:rsidRPr="001D3665">
        <w:t>kommunane</w:t>
      </w:r>
      <w:proofErr w:type="spellEnd"/>
      <w:r w:rsidRPr="001D3665">
        <w:t xml:space="preserve"> reduserte like </w:t>
      </w:r>
      <w:proofErr w:type="spellStart"/>
      <w:r w:rsidRPr="001D3665">
        <w:t>mykje</w:t>
      </w:r>
      <w:proofErr w:type="spellEnd"/>
      <w:r w:rsidRPr="001D3665">
        <w:t xml:space="preserve">, slik at </w:t>
      </w:r>
      <w:proofErr w:type="spellStart"/>
      <w:r w:rsidRPr="001D3665">
        <w:t>kommunane</w:t>
      </w:r>
      <w:proofErr w:type="spellEnd"/>
      <w:r w:rsidRPr="001D3665">
        <w:t xml:space="preserve"> kjem uendra ut </w:t>
      </w:r>
      <w:proofErr w:type="spellStart"/>
      <w:r w:rsidRPr="001D3665">
        <w:t>samanlikna</w:t>
      </w:r>
      <w:proofErr w:type="spellEnd"/>
      <w:r w:rsidRPr="001D3665">
        <w:t xml:space="preserve"> med det som var </w:t>
      </w:r>
      <w:proofErr w:type="spellStart"/>
      <w:r w:rsidRPr="001D3665">
        <w:t>føresett</w:t>
      </w:r>
      <w:proofErr w:type="spellEnd"/>
      <w:r w:rsidRPr="001D3665">
        <w:t xml:space="preserve"> i saldert budsjett. </w:t>
      </w:r>
      <w:proofErr w:type="spellStart"/>
      <w:r w:rsidRPr="001D3665">
        <w:t>Sjølv</w:t>
      </w:r>
      <w:proofErr w:type="spellEnd"/>
      <w:r w:rsidRPr="001D3665">
        <w:t xml:space="preserve"> om </w:t>
      </w:r>
      <w:proofErr w:type="spellStart"/>
      <w:r w:rsidRPr="001D3665">
        <w:t>kommunane</w:t>
      </w:r>
      <w:proofErr w:type="spellEnd"/>
      <w:r w:rsidRPr="001D3665">
        <w:t xml:space="preserve"> samla sett kjem uendra ut, kan endringa likevel </w:t>
      </w:r>
      <w:proofErr w:type="spellStart"/>
      <w:r w:rsidRPr="001D3665">
        <w:t>påverke</w:t>
      </w:r>
      <w:proofErr w:type="spellEnd"/>
      <w:r w:rsidRPr="001D3665">
        <w:t xml:space="preserve"> </w:t>
      </w:r>
      <w:proofErr w:type="spellStart"/>
      <w:r w:rsidRPr="001D3665">
        <w:t>einskilde</w:t>
      </w:r>
      <w:proofErr w:type="spellEnd"/>
      <w:r w:rsidRPr="001D3665">
        <w:t xml:space="preserve"> </w:t>
      </w:r>
      <w:proofErr w:type="spellStart"/>
      <w:r w:rsidRPr="001D3665">
        <w:t>kommunar</w:t>
      </w:r>
      <w:proofErr w:type="spellEnd"/>
      <w:r w:rsidRPr="001D3665">
        <w:t>.</w:t>
      </w:r>
    </w:p>
    <w:p w14:paraId="386EDAF8" w14:textId="77777777" w:rsidR="00BC371A" w:rsidRPr="001D3665" w:rsidRDefault="00BC371A" w:rsidP="001D3665">
      <w:r w:rsidRPr="001D3665">
        <w:t xml:space="preserve">Dersom modellen overvurderer verdien på bustaden, kan </w:t>
      </w:r>
      <w:proofErr w:type="spellStart"/>
      <w:r w:rsidRPr="001D3665">
        <w:t>eigarar</w:t>
      </w:r>
      <w:proofErr w:type="spellEnd"/>
      <w:r w:rsidRPr="001D3665">
        <w:t xml:space="preserve"> skrive ned verdien i </w:t>
      </w:r>
      <w:proofErr w:type="spellStart"/>
      <w:r w:rsidRPr="001D3665">
        <w:t>skattemeldinga</w:t>
      </w:r>
      <w:proofErr w:type="spellEnd"/>
      <w:r w:rsidRPr="001D3665">
        <w:t xml:space="preserve"> (tryggingsventilen). </w:t>
      </w:r>
      <w:proofErr w:type="spellStart"/>
      <w:r w:rsidRPr="001D3665">
        <w:t>Nedsetjinga</w:t>
      </w:r>
      <w:proofErr w:type="spellEnd"/>
      <w:r w:rsidRPr="001D3665">
        <w:t xml:space="preserve"> må </w:t>
      </w:r>
      <w:proofErr w:type="spellStart"/>
      <w:r w:rsidRPr="001D3665">
        <w:t>krevjast</w:t>
      </w:r>
      <w:proofErr w:type="spellEnd"/>
      <w:r w:rsidRPr="001D3665">
        <w:t xml:space="preserve"> og </w:t>
      </w:r>
      <w:proofErr w:type="spellStart"/>
      <w:r w:rsidRPr="001D3665">
        <w:t>dokumenterast</w:t>
      </w:r>
      <w:proofErr w:type="spellEnd"/>
      <w:r w:rsidRPr="001D3665">
        <w:t xml:space="preserve">. For å forenkle dokumentasjonskravet vil takst/verdivurdering mv. innhenta gjennom heile inntektsåret </w:t>
      </w:r>
      <w:proofErr w:type="spellStart"/>
      <w:r w:rsidRPr="001D3665">
        <w:t>verte</w:t>
      </w:r>
      <w:proofErr w:type="spellEnd"/>
      <w:r w:rsidRPr="001D3665">
        <w:t xml:space="preserve"> akseptert. Dokumentasjonen treng </w:t>
      </w:r>
      <w:proofErr w:type="spellStart"/>
      <w:r w:rsidRPr="001D3665">
        <w:t>ikkje</w:t>
      </w:r>
      <w:proofErr w:type="spellEnd"/>
      <w:r w:rsidRPr="001D3665">
        <w:t xml:space="preserve"> lenger </w:t>
      </w:r>
      <w:proofErr w:type="spellStart"/>
      <w:r w:rsidRPr="001D3665">
        <w:t>vere</w:t>
      </w:r>
      <w:proofErr w:type="spellEnd"/>
      <w:r w:rsidRPr="001D3665">
        <w:t xml:space="preserve"> innhenta etter 1. juli i inntektsåret. </w:t>
      </w:r>
      <w:proofErr w:type="spellStart"/>
      <w:r w:rsidRPr="001D3665">
        <w:t>Bustadeigarar</w:t>
      </w:r>
      <w:proofErr w:type="spellEnd"/>
      <w:r w:rsidRPr="001D3665">
        <w:t xml:space="preserve"> kan òg føre </w:t>
      </w:r>
      <w:proofErr w:type="spellStart"/>
      <w:r w:rsidRPr="001D3665">
        <w:t>ein</w:t>
      </w:r>
      <w:proofErr w:type="spellEnd"/>
      <w:r w:rsidRPr="001D3665">
        <w:t xml:space="preserve"> </w:t>
      </w:r>
      <w:proofErr w:type="spellStart"/>
      <w:r w:rsidRPr="001D3665">
        <w:t>lågare</w:t>
      </w:r>
      <w:proofErr w:type="spellEnd"/>
      <w:r w:rsidRPr="001D3665">
        <w:t xml:space="preserve"> verdi inn i skattekortet </w:t>
      </w:r>
      <w:proofErr w:type="spellStart"/>
      <w:r w:rsidRPr="001D3665">
        <w:t>utan</w:t>
      </w:r>
      <w:proofErr w:type="spellEnd"/>
      <w:r w:rsidRPr="001D3665">
        <w:t xml:space="preserve"> dokumentasjon. På den måten kan </w:t>
      </w:r>
      <w:proofErr w:type="spellStart"/>
      <w:r w:rsidRPr="001D3665">
        <w:t>laupande</w:t>
      </w:r>
      <w:proofErr w:type="spellEnd"/>
      <w:r w:rsidRPr="001D3665">
        <w:t xml:space="preserve"> skattetrekk i 2026 </w:t>
      </w:r>
      <w:proofErr w:type="spellStart"/>
      <w:r w:rsidRPr="001D3665">
        <w:t>verte</w:t>
      </w:r>
      <w:proofErr w:type="spellEnd"/>
      <w:r w:rsidRPr="001D3665">
        <w:t xml:space="preserve"> justert. I skattekortet skal </w:t>
      </w:r>
      <w:proofErr w:type="spellStart"/>
      <w:r w:rsidRPr="001D3665">
        <w:t>marknadsverdien</w:t>
      </w:r>
      <w:proofErr w:type="spellEnd"/>
      <w:r w:rsidRPr="001D3665">
        <w:t xml:space="preserve"> som </w:t>
      </w:r>
      <w:proofErr w:type="spellStart"/>
      <w:r w:rsidRPr="001D3665">
        <w:t>bustadeigaren</w:t>
      </w:r>
      <w:proofErr w:type="spellEnd"/>
      <w:r w:rsidRPr="001D3665">
        <w:t xml:space="preserve"> meiner vil </w:t>
      </w:r>
      <w:proofErr w:type="spellStart"/>
      <w:r w:rsidRPr="001D3665">
        <w:t>vere</w:t>
      </w:r>
      <w:proofErr w:type="spellEnd"/>
      <w:r w:rsidRPr="001D3665">
        <w:t xml:space="preserve"> rett ved utgangen av inntektsåret, </w:t>
      </w:r>
      <w:proofErr w:type="spellStart"/>
      <w:r w:rsidRPr="001D3665">
        <w:t>førast</w:t>
      </w:r>
      <w:proofErr w:type="spellEnd"/>
      <w:r w:rsidRPr="001D3665">
        <w:t xml:space="preserve"> opp.</w:t>
      </w:r>
    </w:p>
    <w:p w14:paraId="0FD33B08" w14:textId="77777777" w:rsidR="00BC371A" w:rsidRPr="001D3665" w:rsidRDefault="00BC371A" w:rsidP="001D3665">
      <w:r w:rsidRPr="001D3665">
        <w:t xml:space="preserve">Departementet viser til framlegg til endring i skatteloven § 4-10 andre ledd tredje punktum. Departementet foreslår at endringa tek til å gjelde straks med verknad </w:t>
      </w:r>
      <w:proofErr w:type="spellStart"/>
      <w:r w:rsidRPr="001D3665">
        <w:t>frå</w:t>
      </w:r>
      <w:proofErr w:type="spellEnd"/>
      <w:r w:rsidRPr="001D3665">
        <w:t xml:space="preserve"> og med inntektsåret 2026.</w:t>
      </w:r>
    </w:p>
    <w:p w14:paraId="358C5AB4" w14:textId="77777777" w:rsidR="00BC371A" w:rsidRPr="001D3665" w:rsidRDefault="00BC371A" w:rsidP="001D3665">
      <w:r w:rsidRPr="001D3665">
        <w:t xml:space="preserve">Dei nye </w:t>
      </w:r>
      <w:proofErr w:type="spellStart"/>
      <w:r w:rsidRPr="001D3665">
        <w:t>bustadverdiane</w:t>
      </w:r>
      <w:proofErr w:type="spellEnd"/>
      <w:r w:rsidRPr="001D3665">
        <w:t xml:space="preserve"> kan òg ha </w:t>
      </w:r>
      <w:proofErr w:type="spellStart"/>
      <w:r w:rsidRPr="001D3665">
        <w:t>konsekvensar</w:t>
      </w:r>
      <w:proofErr w:type="spellEnd"/>
      <w:r w:rsidRPr="001D3665">
        <w:t xml:space="preserve"> for </w:t>
      </w:r>
      <w:proofErr w:type="spellStart"/>
      <w:r w:rsidRPr="001D3665">
        <w:t>eigedomsskatten</w:t>
      </w:r>
      <w:proofErr w:type="spellEnd"/>
      <w:r w:rsidRPr="001D3665">
        <w:t xml:space="preserve"> i </w:t>
      </w:r>
      <w:proofErr w:type="spellStart"/>
      <w:r w:rsidRPr="001D3665">
        <w:t>dei</w:t>
      </w:r>
      <w:proofErr w:type="spellEnd"/>
      <w:r w:rsidRPr="001D3665">
        <w:t xml:space="preserve"> </w:t>
      </w:r>
      <w:proofErr w:type="spellStart"/>
      <w:r w:rsidRPr="001D3665">
        <w:t>kommunane</w:t>
      </w:r>
      <w:proofErr w:type="spellEnd"/>
      <w:r w:rsidRPr="001D3665">
        <w:t xml:space="preserve"> som </w:t>
      </w:r>
      <w:proofErr w:type="spellStart"/>
      <w:r w:rsidRPr="001D3665">
        <w:t>nyttar</w:t>
      </w:r>
      <w:proofErr w:type="spellEnd"/>
      <w:r w:rsidRPr="001D3665">
        <w:t xml:space="preserve"> </w:t>
      </w:r>
      <w:proofErr w:type="spellStart"/>
      <w:r w:rsidRPr="001D3665">
        <w:t>formuesgrunnlag</w:t>
      </w:r>
      <w:proofErr w:type="spellEnd"/>
      <w:r w:rsidRPr="001D3665">
        <w:t xml:space="preserve"> når </w:t>
      </w:r>
      <w:proofErr w:type="spellStart"/>
      <w:r w:rsidRPr="001D3665">
        <w:t>dei</w:t>
      </w:r>
      <w:proofErr w:type="spellEnd"/>
      <w:r w:rsidRPr="001D3665">
        <w:t xml:space="preserve"> skriv ut </w:t>
      </w:r>
      <w:proofErr w:type="spellStart"/>
      <w:r w:rsidRPr="001D3665">
        <w:t>eigedomsskatt</w:t>
      </w:r>
      <w:proofErr w:type="spellEnd"/>
      <w:r w:rsidRPr="001D3665">
        <w:t xml:space="preserve">. </w:t>
      </w:r>
      <w:proofErr w:type="spellStart"/>
      <w:r w:rsidRPr="001D3665">
        <w:t>Endringar</w:t>
      </w:r>
      <w:proofErr w:type="spellEnd"/>
      <w:r w:rsidRPr="001D3665">
        <w:t xml:space="preserve"> i </w:t>
      </w:r>
      <w:proofErr w:type="spellStart"/>
      <w:r w:rsidRPr="001D3665">
        <w:t>dei</w:t>
      </w:r>
      <w:proofErr w:type="spellEnd"/>
      <w:r w:rsidRPr="001D3665">
        <w:t xml:space="preserve"> berekna </w:t>
      </w:r>
      <w:proofErr w:type="spellStart"/>
      <w:r w:rsidRPr="001D3665">
        <w:t>marknadsverdiane</w:t>
      </w:r>
      <w:proofErr w:type="spellEnd"/>
      <w:r w:rsidRPr="001D3665">
        <w:t xml:space="preserve"> for </w:t>
      </w:r>
      <w:proofErr w:type="spellStart"/>
      <w:r w:rsidRPr="001D3665">
        <w:t>bustader</w:t>
      </w:r>
      <w:proofErr w:type="spellEnd"/>
      <w:r w:rsidRPr="001D3665">
        <w:t xml:space="preserve"> for inntektsåret 2026 vil fyrst </w:t>
      </w:r>
      <w:proofErr w:type="spellStart"/>
      <w:r w:rsidRPr="001D3665">
        <w:t>verte</w:t>
      </w:r>
      <w:proofErr w:type="spellEnd"/>
      <w:r w:rsidRPr="001D3665">
        <w:t xml:space="preserve"> </w:t>
      </w:r>
      <w:proofErr w:type="spellStart"/>
      <w:r w:rsidRPr="001D3665">
        <w:t>tilgjengelege</w:t>
      </w:r>
      <w:proofErr w:type="spellEnd"/>
      <w:r w:rsidRPr="001D3665">
        <w:t xml:space="preserve"> for </w:t>
      </w:r>
      <w:proofErr w:type="spellStart"/>
      <w:r w:rsidRPr="001D3665">
        <w:t>kommunane</w:t>
      </w:r>
      <w:proofErr w:type="spellEnd"/>
      <w:r w:rsidRPr="001D3665">
        <w:t xml:space="preserve"> i november 2027 og få verknad for inntektene </w:t>
      </w:r>
      <w:proofErr w:type="spellStart"/>
      <w:r w:rsidRPr="001D3665">
        <w:t>frå</w:t>
      </w:r>
      <w:proofErr w:type="spellEnd"/>
      <w:r w:rsidRPr="001D3665">
        <w:t xml:space="preserve"> </w:t>
      </w:r>
      <w:proofErr w:type="spellStart"/>
      <w:r w:rsidRPr="001D3665">
        <w:t>eigedomsskatt</w:t>
      </w:r>
      <w:proofErr w:type="spellEnd"/>
      <w:r w:rsidRPr="001D3665">
        <w:t xml:space="preserve"> i 2028. I </w:t>
      </w:r>
      <w:proofErr w:type="spellStart"/>
      <w:r w:rsidRPr="001D3665">
        <w:t>Prop</w:t>
      </w:r>
      <w:proofErr w:type="spellEnd"/>
      <w:r w:rsidRPr="001D3665">
        <w:t xml:space="preserve">. 1 LS (2025–2026) </w:t>
      </w:r>
      <w:r w:rsidRPr="001D3665">
        <w:rPr>
          <w:rStyle w:val="kursiv"/>
        </w:rPr>
        <w:t>Skatter og avgifter 2026</w:t>
      </w:r>
      <w:r w:rsidRPr="001D3665">
        <w:t xml:space="preserve"> vart det på usikkert grunnlag </w:t>
      </w:r>
      <w:proofErr w:type="spellStart"/>
      <w:r w:rsidRPr="001D3665">
        <w:t>rekna</w:t>
      </w:r>
      <w:proofErr w:type="spellEnd"/>
      <w:r w:rsidRPr="001D3665">
        <w:t xml:space="preserve"> ut at </w:t>
      </w:r>
      <w:proofErr w:type="spellStart"/>
      <w:r w:rsidRPr="001D3665">
        <w:t>kommunane</w:t>
      </w:r>
      <w:proofErr w:type="spellEnd"/>
      <w:r w:rsidRPr="001D3665">
        <w:t xml:space="preserve"> sine inntekter </w:t>
      </w:r>
      <w:proofErr w:type="spellStart"/>
      <w:r w:rsidRPr="001D3665">
        <w:t>frå</w:t>
      </w:r>
      <w:proofErr w:type="spellEnd"/>
      <w:r w:rsidRPr="001D3665">
        <w:t xml:space="preserve"> </w:t>
      </w:r>
      <w:proofErr w:type="spellStart"/>
      <w:r w:rsidRPr="001D3665">
        <w:t>eigedomsskatten</w:t>
      </w:r>
      <w:proofErr w:type="spellEnd"/>
      <w:r w:rsidRPr="001D3665">
        <w:t xml:space="preserve"> vil kunne </w:t>
      </w:r>
      <w:proofErr w:type="spellStart"/>
      <w:r w:rsidRPr="001D3665">
        <w:t>auke</w:t>
      </w:r>
      <w:proofErr w:type="spellEnd"/>
      <w:r w:rsidRPr="001D3665">
        <w:t xml:space="preserve"> med i underkant av 300 mill. kroner samla i </w:t>
      </w:r>
      <w:proofErr w:type="spellStart"/>
      <w:r w:rsidRPr="001D3665">
        <w:t>dei</w:t>
      </w:r>
      <w:proofErr w:type="spellEnd"/>
      <w:r w:rsidRPr="001D3665">
        <w:t xml:space="preserve"> </w:t>
      </w:r>
      <w:proofErr w:type="spellStart"/>
      <w:r w:rsidRPr="001D3665">
        <w:t>kommunane</w:t>
      </w:r>
      <w:proofErr w:type="spellEnd"/>
      <w:r w:rsidRPr="001D3665">
        <w:t xml:space="preserve"> som </w:t>
      </w:r>
      <w:proofErr w:type="spellStart"/>
      <w:r w:rsidRPr="001D3665">
        <w:t>nyttar</w:t>
      </w:r>
      <w:proofErr w:type="spellEnd"/>
      <w:r w:rsidRPr="001D3665">
        <w:t xml:space="preserve"> </w:t>
      </w:r>
      <w:proofErr w:type="spellStart"/>
      <w:r w:rsidRPr="001D3665">
        <w:t>formuesgrunnlag</w:t>
      </w:r>
      <w:proofErr w:type="spellEnd"/>
      <w:r w:rsidRPr="001D3665">
        <w:t xml:space="preserve"> for å skrive ut </w:t>
      </w:r>
      <w:proofErr w:type="spellStart"/>
      <w:r w:rsidRPr="001D3665">
        <w:t>eigedomsskatt</w:t>
      </w:r>
      <w:proofErr w:type="spellEnd"/>
      <w:r w:rsidRPr="001D3665">
        <w:t>.</w:t>
      </w:r>
    </w:p>
    <w:p w14:paraId="64807917" w14:textId="77777777" w:rsidR="00BC371A" w:rsidRPr="001D3665" w:rsidRDefault="00BC371A" w:rsidP="001D3665">
      <w:r w:rsidRPr="001D3665">
        <w:lastRenderedPageBreak/>
        <w:t xml:space="preserve">Departementet har oppdatert og kvalitetssikra overslaget for </w:t>
      </w:r>
      <w:proofErr w:type="spellStart"/>
      <w:r w:rsidRPr="001D3665">
        <w:t>eigedomsskatteinntektene</w:t>
      </w:r>
      <w:proofErr w:type="spellEnd"/>
      <w:r w:rsidRPr="001D3665">
        <w:t xml:space="preserve"> til </w:t>
      </w:r>
      <w:proofErr w:type="spellStart"/>
      <w:r w:rsidRPr="001D3665">
        <w:t>kommunane</w:t>
      </w:r>
      <w:proofErr w:type="spellEnd"/>
      <w:r w:rsidRPr="001D3665">
        <w:t xml:space="preserve"> i 2028 i lys av </w:t>
      </w:r>
      <w:proofErr w:type="spellStart"/>
      <w:r w:rsidRPr="001D3665">
        <w:t>oppdateringane</w:t>
      </w:r>
      <w:proofErr w:type="spellEnd"/>
      <w:r w:rsidRPr="001D3665">
        <w:t xml:space="preserve"> i </w:t>
      </w:r>
      <w:proofErr w:type="spellStart"/>
      <w:r w:rsidRPr="001D3665">
        <w:t>verdsetjingsmodellen</w:t>
      </w:r>
      <w:proofErr w:type="spellEnd"/>
      <w:r w:rsidRPr="001D3665">
        <w:t xml:space="preserve">, og med oppdatert informasjon om bruken av </w:t>
      </w:r>
      <w:proofErr w:type="spellStart"/>
      <w:r w:rsidRPr="001D3665">
        <w:t>eigedomsskattereglane</w:t>
      </w:r>
      <w:proofErr w:type="spellEnd"/>
      <w:r w:rsidRPr="001D3665">
        <w:t xml:space="preserve"> i 2026.</w:t>
      </w:r>
    </w:p>
    <w:p w14:paraId="2FB24F0F" w14:textId="77777777" w:rsidR="00BC371A" w:rsidRPr="001D3665" w:rsidRDefault="00BC371A" w:rsidP="001D3665">
      <w:r w:rsidRPr="001D3665">
        <w:t xml:space="preserve">Overslaga for </w:t>
      </w:r>
      <w:proofErr w:type="spellStart"/>
      <w:r w:rsidRPr="001D3665">
        <w:t>eigedomsskatten</w:t>
      </w:r>
      <w:proofErr w:type="spellEnd"/>
      <w:r w:rsidRPr="001D3665">
        <w:t xml:space="preserve"> i 2028 vil </w:t>
      </w:r>
      <w:proofErr w:type="spellStart"/>
      <w:r w:rsidRPr="001D3665">
        <w:t>framleis</w:t>
      </w:r>
      <w:proofErr w:type="spellEnd"/>
      <w:r w:rsidRPr="001D3665">
        <w:t xml:space="preserve"> </w:t>
      </w:r>
      <w:proofErr w:type="spellStart"/>
      <w:r w:rsidRPr="001D3665">
        <w:t>vere</w:t>
      </w:r>
      <w:proofErr w:type="spellEnd"/>
      <w:r w:rsidRPr="001D3665">
        <w:t xml:space="preserve"> særs usikre. Dette kjem av </w:t>
      </w:r>
      <w:proofErr w:type="spellStart"/>
      <w:r w:rsidRPr="001D3665">
        <w:t>fleire</w:t>
      </w:r>
      <w:proofErr w:type="spellEnd"/>
      <w:r w:rsidRPr="001D3665">
        <w:t xml:space="preserve"> </w:t>
      </w:r>
      <w:proofErr w:type="spellStart"/>
      <w:r w:rsidRPr="001D3665">
        <w:t>grunnar</w:t>
      </w:r>
      <w:proofErr w:type="spellEnd"/>
      <w:r w:rsidRPr="001D3665">
        <w:t xml:space="preserve">. Fram mot </w:t>
      </w:r>
      <w:proofErr w:type="spellStart"/>
      <w:r w:rsidRPr="001D3665">
        <w:t>fastsetjinga</w:t>
      </w:r>
      <w:proofErr w:type="spellEnd"/>
      <w:r w:rsidRPr="001D3665">
        <w:t xml:space="preserve"> for 2026 vert </w:t>
      </w:r>
      <w:proofErr w:type="spellStart"/>
      <w:r w:rsidRPr="001D3665">
        <w:t>verdsetjingsmodellen</w:t>
      </w:r>
      <w:proofErr w:type="spellEnd"/>
      <w:r w:rsidRPr="001D3665">
        <w:t xml:space="preserve"> oppdatert med nye </w:t>
      </w:r>
      <w:proofErr w:type="spellStart"/>
      <w:r w:rsidRPr="001D3665">
        <w:t>omsetnadstal</w:t>
      </w:r>
      <w:proofErr w:type="spellEnd"/>
      <w:r w:rsidRPr="001D3665">
        <w:t xml:space="preserve"> for </w:t>
      </w:r>
      <w:proofErr w:type="spellStart"/>
      <w:r w:rsidRPr="001D3665">
        <w:t>bustader</w:t>
      </w:r>
      <w:proofErr w:type="spellEnd"/>
      <w:r w:rsidRPr="001D3665">
        <w:t xml:space="preserve">. </w:t>
      </w:r>
      <w:proofErr w:type="spellStart"/>
      <w:r w:rsidRPr="001D3665">
        <w:t>Desse</w:t>
      </w:r>
      <w:proofErr w:type="spellEnd"/>
      <w:r w:rsidRPr="001D3665">
        <w:t xml:space="preserve"> </w:t>
      </w:r>
      <w:proofErr w:type="spellStart"/>
      <w:r w:rsidRPr="001D3665">
        <w:t>tala</w:t>
      </w:r>
      <w:proofErr w:type="spellEnd"/>
      <w:r w:rsidRPr="001D3665">
        <w:t xml:space="preserve"> vert brukte til å </w:t>
      </w:r>
      <w:proofErr w:type="spellStart"/>
      <w:r w:rsidRPr="001D3665">
        <w:t>rekne</w:t>
      </w:r>
      <w:proofErr w:type="spellEnd"/>
      <w:r w:rsidRPr="001D3665">
        <w:t xml:space="preserve"> ut nye </w:t>
      </w:r>
      <w:proofErr w:type="spellStart"/>
      <w:r w:rsidRPr="001D3665">
        <w:t>bustadverdiar</w:t>
      </w:r>
      <w:proofErr w:type="spellEnd"/>
      <w:r w:rsidRPr="001D3665">
        <w:t xml:space="preserve"> som Skatteetaten legg inn i den </w:t>
      </w:r>
      <w:proofErr w:type="spellStart"/>
      <w:r w:rsidRPr="001D3665">
        <w:t>førehandsutfylte</w:t>
      </w:r>
      <w:proofErr w:type="spellEnd"/>
      <w:r w:rsidRPr="001D3665">
        <w:t xml:space="preserve"> </w:t>
      </w:r>
      <w:proofErr w:type="spellStart"/>
      <w:r w:rsidRPr="001D3665">
        <w:t>skattemeldinga</w:t>
      </w:r>
      <w:proofErr w:type="spellEnd"/>
      <w:r w:rsidRPr="001D3665">
        <w:t xml:space="preserve"> for 2026. </w:t>
      </w:r>
      <w:proofErr w:type="spellStart"/>
      <w:r w:rsidRPr="001D3665">
        <w:t>Dessutan</w:t>
      </w:r>
      <w:proofErr w:type="spellEnd"/>
      <w:r w:rsidRPr="001D3665">
        <w:t xml:space="preserve"> kan </w:t>
      </w:r>
      <w:proofErr w:type="spellStart"/>
      <w:r w:rsidRPr="001D3665">
        <w:t>skattytar</w:t>
      </w:r>
      <w:proofErr w:type="spellEnd"/>
      <w:r w:rsidRPr="001D3665">
        <w:t xml:space="preserve"> endre </w:t>
      </w:r>
      <w:proofErr w:type="spellStart"/>
      <w:r w:rsidRPr="001D3665">
        <w:t>dei</w:t>
      </w:r>
      <w:proofErr w:type="spellEnd"/>
      <w:r w:rsidRPr="001D3665">
        <w:t xml:space="preserve"> fastsette </w:t>
      </w:r>
      <w:proofErr w:type="spellStart"/>
      <w:r w:rsidRPr="001D3665">
        <w:t>verdiane</w:t>
      </w:r>
      <w:proofErr w:type="spellEnd"/>
      <w:r w:rsidRPr="001D3665">
        <w:t xml:space="preserve"> i </w:t>
      </w:r>
      <w:proofErr w:type="spellStart"/>
      <w:r w:rsidRPr="001D3665">
        <w:t>fastsetjinga</w:t>
      </w:r>
      <w:proofErr w:type="spellEnd"/>
      <w:r w:rsidRPr="001D3665">
        <w:t xml:space="preserve"> for 2026. </w:t>
      </w:r>
      <w:proofErr w:type="spellStart"/>
      <w:r w:rsidRPr="001D3665">
        <w:t>Endelege</w:t>
      </w:r>
      <w:proofErr w:type="spellEnd"/>
      <w:r w:rsidRPr="001D3665">
        <w:t xml:space="preserve"> </w:t>
      </w:r>
      <w:proofErr w:type="spellStart"/>
      <w:r w:rsidRPr="001D3665">
        <w:t>verdiar</w:t>
      </w:r>
      <w:proofErr w:type="spellEnd"/>
      <w:r w:rsidRPr="001D3665">
        <w:t xml:space="preserve"> vert sende </w:t>
      </w:r>
      <w:proofErr w:type="spellStart"/>
      <w:r w:rsidRPr="001D3665">
        <w:t>kommunane</w:t>
      </w:r>
      <w:proofErr w:type="spellEnd"/>
      <w:r w:rsidRPr="001D3665">
        <w:t xml:space="preserve"> mot slutten av 2027. </w:t>
      </w:r>
      <w:proofErr w:type="spellStart"/>
      <w:r w:rsidRPr="001D3665">
        <w:t>Vidare</w:t>
      </w:r>
      <w:proofErr w:type="spellEnd"/>
      <w:r w:rsidRPr="001D3665">
        <w:t xml:space="preserve"> står </w:t>
      </w:r>
      <w:proofErr w:type="spellStart"/>
      <w:r w:rsidRPr="001D3665">
        <w:t>kommunane</w:t>
      </w:r>
      <w:proofErr w:type="spellEnd"/>
      <w:r w:rsidRPr="001D3665">
        <w:t xml:space="preserve"> fritt til å endre skattesats og eventuelt </w:t>
      </w:r>
      <w:proofErr w:type="spellStart"/>
      <w:r w:rsidRPr="001D3665">
        <w:t>botnfrådrag</w:t>
      </w:r>
      <w:proofErr w:type="spellEnd"/>
      <w:r w:rsidRPr="001D3665">
        <w:t xml:space="preserve"> </w:t>
      </w:r>
      <w:proofErr w:type="spellStart"/>
      <w:r w:rsidRPr="001D3665">
        <w:t>samanlikna</w:t>
      </w:r>
      <w:proofErr w:type="spellEnd"/>
      <w:r w:rsidRPr="001D3665">
        <w:t xml:space="preserve"> med 2026-reglane, når </w:t>
      </w:r>
      <w:proofErr w:type="spellStart"/>
      <w:r w:rsidRPr="001D3665">
        <w:t>dei</w:t>
      </w:r>
      <w:proofErr w:type="spellEnd"/>
      <w:r w:rsidRPr="001D3665">
        <w:t xml:space="preserve"> skriv ut </w:t>
      </w:r>
      <w:proofErr w:type="spellStart"/>
      <w:r w:rsidRPr="001D3665">
        <w:t>eigedomsskatt</w:t>
      </w:r>
      <w:proofErr w:type="spellEnd"/>
      <w:r w:rsidRPr="001D3665">
        <w:t xml:space="preserve"> for 2028. </w:t>
      </w:r>
      <w:proofErr w:type="spellStart"/>
      <w:r w:rsidRPr="001D3665">
        <w:t>Difor</w:t>
      </w:r>
      <w:proofErr w:type="spellEnd"/>
      <w:r w:rsidRPr="001D3665">
        <w:t xml:space="preserve"> kan </w:t>
      </w:r>
      <w:proofErr w:type="spellStart"/>
      <w:r w:rsidRPr="001D3665">
        <w:t>fleire</w:t>
      </w:r>
      <w:proofErr w:type="spellEnd"/>
      <w:r w:rsidRPr="001D3665">
        <w:t xml:space="preserve"> (eventuelt færre) </w:t>
      </w:r>
      <w:proofErr w:type="spellStart"/>
      <w:r w:rsidRPr="001D3665">
        <w:t>kommunar</w:t>
      </w:r>
      <w:proofErr w:type="spellEnd"/>
      <w:r w:rsidRPr="001D3665">
        <w:t xml:space="preserve"> </w:t>
      </w:r>
      <w:proofErr w:type="spellStart"/>
      <w:r w:rsidRPr="001D3665">
        <w:t>velje</w:t>
      </w:r>
      <w:proofErr w:type="spellEnd"/>
      <w:r w:rsidRPr="001D3665">
        <w:t xml:space="preserve"> å nytte </w:t>
      </w:r>
      <w:proofErr w:type="spellStart"/>
      <w:r w:rsidRPr="001D3665">
        <w:t>formuesgrunnlag</w:t>
      </w:r>
      <w:proofErr w:type="spellEnd"/>
      <w:r w:rsidRPr="001D3665">
        <w:t xml:space="preserve"> ved utskrivinga av </w:t>
      </w:r>
      <w:proofErr w:type="spellStart"/>
      <w:r w:rsidRPr="001D3665">
        <w:t>eigedomsskatt</w:t>
      </w:r>
      <w:proofErr w:type="spellEnd"/>
      <w:r w:rsidRPr="001D3665">
        <w:t xml:space="preserve"> i 2028, og </w:t>
      </w:r>
      <w:proofErr w:type="spellStart"/>
      <w:r w:rsidRPr="001D3665">
        <w:t>fleire</w:t>
      </w:r>
      <w:proofErr w:type="spellEnd"/>
      <w:r w:rsidRPr="001D3665">
        <w:t xml:space="preserve"> (færre) </w:t>
      </w:r>
      <w:proofErr w:type="spellStart"/>
      <w:r w:rsidRPr="001D3665">
        <w:t>kommunar</w:t>
      </w:r>
      <w:proofErr w:type="spellEnd"/>
      <w:r w:rsidRPr="001D3665">
        <w:t xml:space="preserve"> kan skrive ut </w:t>
      </w:r>
      <w:proofErr w:type="spellStart"/>
      <w:r w:rsidRPr="001D3665">
        <w:t>eigedomsskatt</w:t>
      </w:r>
      <w:proofErr w:type="spellEnd"/>
      <w:r w:rsidRPr="001D3665">
        <w:t xml:space="preserve"> på </w:t>
      </w:r>
      <w:proofErr w:type="spellStart"/>
      <w:r w:rsidRPr="001D3665">
        <w:t>bustader</w:t>
      </w:r>
      <w:proofErr w:type="spellEnd"/>
      <w:r w:rsidRPr="001D3665">
        <w:t xml:space="preserve"> i 2028 enn i 2026.</w:t>
      </w:r>
    </w:p>
    <w:p w14:paraId="668FB4E9" w14:textId="77777777" w:rsidR="00BC371A" w:rsidRPr="001D3665" w:rsidRDefault="00BC371A" w:rsidP="001D3665">
      <w:r w:rsidRPr="001D3665">
        <w:t xml:space="preserve">I 2026 er det 123 </w:t>
      </w:r>
      <w:proofErr w:type="spellStart"/>
      <w:r w:rsidRPr="001D3665">
        <w:t>kommunar</w:t>
      </w:r>
      <w:proofErr w:type="spellEnd"/>
      <w:r w:rsidRPr="001D3665">
        <w:t xml:space="preserve"> som </w:t>
      </w:r>
      <w:proofErr w:type="spellStart"/>
      <w:r w:rsidRPr="001D3665">
        <w:t>nyttar</w:t>
      </w:r>
      <w:proofErr w:type="spellEnd"/>
      <w:r w:rsidRPr="001D3665">
        <w:t xml:space="preserve"> </w:t>
      </w:r>
      <w:proofErr w:type="spellStart"/>
      <w:r w:rsidRPr="001D3665">
        <w:t>formuesgrunnlag</w:t>
      </w:r>
      <w:proofErr w:type="spellEnd"/>
      <w:r w:rsidRPr="001D3665">
        <w:t xml:space="preserve"> for bustad når </w:t>
      </w:r>
      <w:proofErr w:type="spellStart"/>
      <w:r w:rsidRPr="001D3665">
        <w:t>dei</w:t>
      </w:r>
      <w:proofErr w:type="spellEnd"/>
      <w:r w:rsidRPr="001D3665">
        <w:t xml:space="preserve"> skriv ut </w:t>
      </w:r>
      <w:proofErr w:type="spellStart"/>
      <w:r w:rsidRPr="001D3665">
        <w:t>eigedomsskatt</w:t>
      </w:r>
      <w:proofErr w:type="spellEnd"/>
      <w:r w:rsidRPr="001D3665">
        <w:t xml:space="preserve">. </w:t>
      </w:r>
      <w:proofErr w:type="spellStart"/>
      <w:r w:rsidRPr="001D3665">
        <w:t>Bustadverdiane</w:t>
      </w:r>
      <w:proofErr w:type="spellEnd"/>
      <w:r w:rsidRPr="001D3665">
        <w:t xml:space="preserve"> og </w:t>
      </w:r>
      <w:proofErr w:type="spellStart"/>
      <w:r w:rsidRPr="001D3665">
        <w:t>dimed</w:t>
      </w:r>
      <w:proofErr w:type="spellEnd"/>
      <w:r w:rsidRPr="001D3665">
        <w:t xml:space="preserve"> </w:t>
      </w:r>
      <w:proofErr w:type="spellStart"/>
      <w:r w:rsidRPr="001D3665">
        <w:t>eigedomsskattegrunnlaget</w:t>
      </w:r>
      <w:proofErr w:type="spellEnd"/>
      <w:r w:rsidRPr="001D3665">
        <w:t xml:space="preserve"> </w:t>
      </w:r>
      <w:proofErr w:type="spellStart"/>
      <w:r w:rsidRPr="001D3665">
        <w:t>aukar</w:t>
      </w:r>
      <w:proofErr w:type="spellEnd"/>
      <w:r w:rsidRPr="001D3665">
        <w:t xml:space="preserve"> i </w:t>
      </w:r>
      <w:proofErr w:type="spellStart"/>
      <w:r w:rsidRPr="001D3665">
        <w:t>nokre</w:t>
      </w:r>
      <w:proofErr w:type="spellEnd"/>
      <w:r w:rsidRPr="001D3665">
        <w:t xml:space="preserve"> </w:t>
      </w:r>
      <w:proofErr w:type="spellStart"/>
      <w:r w:rsidRPr="001D3665">
        <w:t>kommunar</w:t>
      </w:r>
      <w:proofErr w:type="spellEnd"/>
      <w:r w:rsidRPr="001D3665">
        <w:t xml:space="preserve"> med den oppdaterte modellen, og går ned i andre.</w:t>
      </w:r>
    </w:p>
    <w:p w14:paraId="321C2CE8" w14:textId="77777777" w:rsidR="00BC371A" w:rsidRPr="001D3665" w:rsidRDefault="00BC371A" w:rsidP="001D3665">
      <w:r w:rsidRPr="001D3665">
        <w:t xml:space="preserve">Om ingen </w:t>
      </w:r>
      <w:proofErr w:type="spellStart"/>
      <w:r w:rsidRPr="001D3665">
        <w:t>kommunar</w:t>
      </w:r>
      <w:proofErr w:type="spellEnd"/>
      <w:r w:rsidRPr="001D3665">
        <w:t xml:space="preserve"> </w:t>
      </w:r>
      <w:proofErr w:type="spellStart"/>
      <w:r w:rsidRPr="001D3665">
        <w:t>endrar</w:t>
      </w:r>
      <w:proofErr w:type="spellEnd"/>
      <w:r w:rsidRPr="001D3665">
        <w:t xml:space="preserve"> </w:t>
      </w:r>
      <w:proofErr w:type="spellStart"/>
      <w:r w:rsidRPr="001D3665">
        <w:t>reglane</w:t>
      </w:r>
      <w:proofErr w:type="spellEnd"/>
      <w:r w:rsidRPr="001D3665">
        <w:t xml:space="preserve"> i 2028, vert det, med all </w:t>
      </w:r>
      <w:proofErr w:type="spellStart"/>
      <w:r w:rsidRPr="001D3665">
        <w:t>uvissa</w:t>
      </w:r>
      <w:proofErr w:type="spellEnd"/>
      <w:r w:rsidRPr="001D3665">
        <w:t xml:space="preserve"> som er skildra </w:t>
      </w:r>
      <w:proofErr w:type="spellStart"/>
      <w:r w:rsidRPr="001D3665">
        <w:t>ovanfor</w:t>
      </w:r>
      <w:proofErr w:type="spellEnd"/>
      <w:r w:rsidRPr="001D3665">
        <w:t xml:space="preserve"> i mente, gått ut </w:t>
      </w:r>
      <w:proofErr w:type="spellStart"/>
      <w:r w:rsidRPr="001D3665">
        <w:t>frå</w:t>
      </w:r>
      <w:proofErr w:type="spellEnd"/>
      <w:r w:rsidRPr="001D3665">
        <w:t xml:space="preserve"> at samla </w:t>
      </w:r>
      <w:proofErr w:type="spellStart"/>
      <w:r w:rsidRPr="001D3665">
        <w:t>eigedomsskatt</w:t>
      </w:r>
      <w:proofErr w:type="spellEnd"/>
      <w:r w:rsidRPr="001D3665">
        <w:t xml:space="preserve"> vil </w:t>
      </w:r>
      <w:proofErr w:type="spellStart"/>
      <w:r w:rsidRPr="001D3665">
        <w:t>auke</w:t>
      </w:r>
      <w:proofErr w:type="spellEnd"/>
      <w:r w:rsidRPr="001D3665">
        <w:t xml:space="preserve"> med om lag 120 mill. kroner som </w:t>
      </w:r>
      <w:proofErr w:type="spellStart"/>
      <w:r w:rsidRPr="001D3665">
        <w:t>følgje</w:t>
      </w:r>
      <w:proofErr w:type="spellEnd"/>
      <w:r w:rsidRPr="001D3665">
        <w:t xml:space="preserve"> av den reviderte modellen for </w:t>
      </w:r>
      <w:proofErr w:type="spellStart"/>
      <w:r w:rsidRPr="001D3665">
        <w:t>verdsetjing</w:t>
      </w:r>
      <w:proofErr w:type="spellEnd"/>
      <w:r w:rsidRPr="001D3665">
        <w:t xml:space="preserve"> av </w:t>
      </w:r>
      <w:proofErr w:type="spellStart"/>
      <w:r w:rsidRPr="001D3665">
        <w:t>bustader</w:t>
      </w:r>
      <w:proofErr w:type="spellEnd"/>
      <w:r w:rsidRPr="001D3665">
        <w:t xml:space="preserve">. Overslaget i </w:t>
      </w:r>
      <w:proofErr w:type="spellStart"/>
      <w:r w:rsidRPr="001D3665">
        <w:t>Prop</w:t>
      </w:r>
      <w:proofErr w:type="spellEnd"/>
      <w:r w:rsidRPr="001D3665">
        <w:t xml:space="preserve">. 1 LS for 2026 var 300 mill. kroner. Oslo kommune, som har sett ned skattesatsen </w:t>
      </w:r>
      <w:proofErr w:type="spellStart"/>
      <w:r w:rsidRPr="001D3665">
        <w:t>frå</w:t>
      </w:r>
      <w:proofErr w:type="spellEnd"/>
      <w:r w:rsidRPr="001D3665">
        <w:t xml:space="preserve"> 2,35 til 1,7 promille (knapt 30 pst. reduksjon) </w:t>
      </w:r>
      <w:proofErr w:type="spellStart"/>
      <w:r w:rsidRPr="001D3665">
        <w:t>frå</w:t>
      </w:r>
      <w:proofErr w:type="spellEnd"/>
      <w:r w:rsidRPr="001D3665">
        <w:t xml:space="preserve"> 2025 til 2026, veg relativt tungt i denne </w:t>
      </w:r>
      <w:proofErr w:type="spellStart"/>
      <w:r w:rsidRPr="001D3665">
        <w:t>samanhengen</w:t>
      </w:r>
      <w:proofErr w:type="spellEnd"/>
      <w:r w:rsidRPr="001D3665">
        <w:t>. Overslaget er usikkert.</w:t>
      </w:r>
    </w:p>
    <w:p w14:paraId="7DF38716" w14:textId="77777777" w:rsidR="00BC371A" w:rsidRPr="001D3665" w:rsidRDefault="00BC371A" w:rsidP="001D3665">
      <w:pPr>
        <w:pStyle w:val="Overskrift1"/>
      </w:pPr>
      <w:proofErr w:type="spellStart"/>
      <w:r w:rsidRPr="001D3665">
        <w:t>Meirverdiavgift</w:t>
      </w:r>
      <w:proofErr w:type="spellEnd"/>
      <w:r w:rsidRPr="001D3665">
        <w:t xml:space="preserve"> ved internasjonal handel</w:t>
      </w:r>
    </w:p>
    <w:p w14:paraId="029249C9" w14:textId="77777777" w:rsidR="00BC371A" w:rsidRPr="001D3665" w:rsidRDefault="00BC371A" w:rsidP="001D3665">
      <w:r w:rsidRPr="001D3665">
        <w:t xml:space="preserve">I statsbudsjettet for 2026 vart det </w:t>
      </w:r>
      <w:proofErr w:type="spellStart"/>
      <w:r w:rsidRPr="001D3665">
        <w:t>vedteke</w:t>
      </w:r>
      <w:proofErr w:type="spellEnd"/>
      <w:r w:rsidRPr="001D3665">
        <w:t xml:space="preserve"> </w:t>
      </w:r>
      <w:proofErr w:type="spellStart"/>
      <w:r w:rsidRPr="001D3665">
        <w:t>endringar</w:t>
      </w:r>
      <w:proofErr w:type="spellEnd"/>
      <w:r w:rsidRPr="001D3665">
        <w:t xml:space="preserve"> i </w:t>
      </w:r>
      <w:proofErr w:type="spellStart"/>
      <w:r w:rsidRPr="001D3665">
        <w:t>meirverdiavgiftsreglane</w:t>
      </w:r>
      <w:proofErr w:type="spellEnd"/>
      <w:r w:rsidRPr="001D3665">
        <w:t xml:space="preserve"> for internasjonal handel med </w:t>
      </w:r>
      <w:proofErr w:type="spellStart"/>
      <w:r w:rsidRPr="001D3665">
        <w:t>tenester</w:t>
      </w:r>
      <w:proofErr w:type="spellEnd"/>
      <w:r w:rsidRPr="001D3665">
        <w:t xml:space="preserve">, jf. </w:t>
      </w:r>
      <w:proofErr w:type="spellStart"/>
      <w:r w:rsidRPr="001D3665">
        <w:t>Prop</w:t>
      </w:r>
      <w:proofErr w:type="spellEnd"/>
      <w:r w:rsidRPr="001D3665">
        <w:t xml:space="preserve">. 1 LS (2025–2026) kapittel 12 og </w:t>
      </w:r>
      <w:proofErr w:type="spellStart"/>
      <w:r w:rsidRPr="001D3665">
        <w:t>Innst</w:t>
      </w:r>
      <w:proofErr w:type="spellEnd"/>
      <w:r w:rsidRPr="001D3665">
        <w:t xml:space="preserve">. L (2025–2026) punkt 10.3. </w:t>
      </w:r>
      <w:proofErr w:type="spellStart"/>
      <w:r w:rsidRPr="001D3665">
        <w:t>Reglane</w:t>
      </w:r>
      <w:proofErr w:type="spellEnd"/>
      <w:r w:rsidRPr="001D3665">
        <w:t xml:space="preserve"> </w:t>
      </w:r>
      <w:proofErr w:type="spellStart"/>
      <w:r w:rsidRPr="001D3665">
        <w:t>tek</w:t>
      </w:r>
      <w:proofErr w:type="spellEnd"/>
      <w:r w:rsidRPr="001D3665">
        <w:t xml:space="preserve"> til å gjelde 1. juli 2026.</w:t>
      </w:r>
    </w:p>
    <w:p w14:paraId="412561FC" w14:textId="77777777" w:rsidR="00BC371A" w:rsidRPr="001D3665" w:rsidRDefault="00BC371A" w:rsidP="001D3665">
      <w:r w:rsidRPr="001D3665">
        <w:t xml:space="preserve">Dei nye </w:t>
      </w:r>
      <w:proofErr w:type="spellStart"/>
      <w:r w:rsidRPr="001D3665">
        <w:t>reglane</w:t>
      </w:r>
      <w:proofErr w:type="spellEnd"/>
      <w:r w:rsidRPr="001D3665">
        <w:t xml:space="preserve"> går i </w:t>
      </w:r>
      <w:proofErr w:type="spellStart"/>
      <w:r w:rsidRPr="001D3665">
        <w:t>hovudsak</w:t>
      </w:r>
      <w:proofErr w:type="spellEnd"/>
      <w:r w:rsidRPr="001D3665">
        <w:t xml:space="preserve"> ut på at avgiftsplikta vert utvida for fjernleverbare </w:t>
      </w:r>
      <w:proofErr w:type="spellStart"/>
      <w:r w:rsidRPr="001D3665">
        <w:t>tenester</w:t>
      </w:r>
      <w:proofErr w:type="spellEnd"/>
      <w:r w:rsidRPr="001D3665">
        <w:t xml:space="preserve"> som internasjonale </w:t>
      </w:r>
      <w:proofErr w:type="spellStart"/>
      <w:r w:rsidRPr="001D3665">
        <w:t>verksemder</w:t>
      </w:r>
      <w:proofErr w:type="spellEnd"/>
      <w:r w:rsidRPr="001D3665">
        <w:t xml:space="preserve"> kjøper </w:t>
      </w:r>
      <w:proofErr w:type="spellStart"/>
      <w:r w:rsidRPr="001D3665">
        <w:t>utanfor</w:t>
      </w:r>
      <w:proofErr w:type="spellEnd"/>
      <w:r w:rsidRPr="001D3665">
        <w:t xml:space="preserve"> </w:t>
      </w:r>
      <w:proofErr w:type="spellStart"/>
      <w:r w:rsidRPr="001D3665">
        <w:t>meirverdiavgiftsområdet</w:t>
      </w:r>
      <w:proofErr w:type="spellEnd"/>
      <w:r w:rsidRPr="001D3665">
        <w:t xml:space="preserve">, og som er til bruk i </w:t>
      </w:r>
      <w:proofErr w:type="spellStart"/>
      <w:r w:rsidRPr="001D3665">
        <w:t>meirverdiavgiftsområdet</w:t>
      </w:r>
      <w:proofErr w:type="spellEnd"/>
      <w:r w:rsidRPr="001D3665">
        <w:t xml:space="preserve">. </w:t>
      </w:r>
      <w:proofErr w:type="spellStart"/>
      <w:r w:rsidRPr="001D3665">
        <w:t>Meirverdiavgiftsområdet</w:t>
      </w:r>
      <w:proofErr w:type="spellEnd"/>
      <w:r w:rsidRPr="001D3665">
        <w:t xml:space="preserve"> er «det norske fastlandet og alt område innenfor territorialgrensen, men ikke Svalbard, Jan Mayen eller de norske bilandene», jf. merverdiavgiftsloven § 1-2 andre ledd.</w:t>
      </w:r>
    </w:p>
    <w:p w14:paraId="522CE2B4" w14:textId="77777777" w:rsidR="00BC371A" w:rsidRPr="001D3665" w:rsidRDefault="00BC371A" w:rsidP="001D3665">
      <w:r w:rsidRPr="001D3665">
        <w:t xml:space="preserve">Internasjonale </w:t>
      </w:r>
      <w:proofErr w:type="spellStart"/>
      <w:r w:rsidRPr="001D3665">
        <w:t>verksemder</w:t>
      </w:r>
      <w:proofErr w:type="spellEnd"/>
      <w:r w:rsidRPr="001D3665">
        <w:t xml:space="preserve"> er i denne </w:t>
      </w:r>
      <w:proofErr w:type="spellStart"/>
      <w:r w:rsidRPr="001D3665">
        <w:t>samanhengen</w:t>
      </w:r>
      <w:proofErr w:type="spellEnd"/>
      <w:r w:rsidRPr="001D3665">
        <w:t xml:space="preserve"> subjekt som for </w:t>
      </w:r>
      <w:proofErr w:type="spellStart"/>
      <w:r w:rsidRPr="001D3665">
        <w:t>meirverdiavgiftsføremål</w:t>
      </w:r>
      <w:proofErr w:type="spellEnd"/>
      <w:r w:rsidRPr="001D3665">
        <w:t xml:space="preserve"> er etablerte («</w:t>
      </w:r>
      <w:proofErr w:type="spellStart"/>
      <w:r w:rsidRPr="001D3665">
        <w:t>heimehøyrande</w:t>
      </w:r>
      <w:proofErr w:type="spellEnd"/>
      <w:r w:rsidRPr="001D3665">
        <w:t xml:space="preserve">») i </w:t>
      </w:r>
      <w:proofErr w:type="spellStart"/>
      <w:r w:rsidRPr="001D3665">
        <w:t>fleire</w:t>
      </w:r>
      <w:proofErr w:type="spellEnd"/>
      <w:r w:rsidRPr="001D3665">
        <w:t xml:space="preserve"> land, til dømes </w:t>
      </w:r>
      <w:proofErr w:type="spellStart"/>
      <w:r w:rsidRPr="001D3665">
        <w:t>eit</w:t>
      </w:r>
      <w:proofErr w:type="spellEnd"/>
      <w:r w:rsidRPr="001D3665">
        <w:t xml:space="preserve"> </w:t>
      </w:r>
      <w:proofErr w:type="spellStart"/>
      <w:r w:rsidRPr="001D3665">
        <w:t>føretak</w:t>
      </w:r>
      <w:proofErr w:type="spellEnd"/>
      <w:r w:rsidRPr="001D3665">
        <w:t xml:space="preserve"> med </w:t>
      </w:r>
      <w:proofErr w:type="spellStart"/>
      <w:r w:rsidRPr="001D3665">
        <w:t>hovudkontor</w:t>
      </w:r>
      <w:proofErr w:type="spellEnd"/>
      <w:r w:rsidRPr="001D3665">
        <w:t xml:space="preserve"> i Sverige og </w:t>
      </w:r>
      <w:proofErr w:type="spellStart"/>
      <w:r w:rsidRPr="001D3665">
        <w:t>ein</w:t>
      </w:r>
      <w:proofErr w:type="spellEnd"/>
      <w:r w:rsidRPr="001D3665">
        <w:t xml:space="preserve"> filial i </w:t>
      </w:r>
      <w:proofErr w:type="spellStart"/>
      <w:r w:rsidRPr="001D3665">
        <w:t>Noreg</w:t>
      </w:r>
      <w:proofErr w:type="spellEnd"/>
      <w:r w:rsidRPr="001D3665">
        <w:t xml:space="preserve">. Fjernleverbare </w:t>
      </w:r>
      <w:proofErr w:type="spellStart"/>
      <w:r w:rsidRPr="001D3665">
        <w:t>tenester</w:t>
      </w:r>
      <w:proofErr w:type="spellEnd"/>
      <w:r w:rsidRPr="001D3665">
        <w:t xml:space="preserve"> er definerte som «tjenester der utførelsen eller leveringen etter tjenestens art ikke eller vanskelig kan knyttes til et bestemt fysisk sted», jf. merverdiavgiftsloven § 1-3 fyrste ledd bokstav c. Døme på fjernleverbare </w:t>
      </w:r>
      <w:proofErr w:type="spellStart"/>
      <w:r w:rsidRPr="001D3665">
        <w:t>tenester</w:t>
      </w:r>
      <w:proofErr w:type="spellEnd"/>
      <w:r w:rsidRPr="001D3665">
        <w:t xml:space="preserve"> er </w:t>
      </w:r>
      <w:proofErr w:type="spellStart"/>
      <w:r w:rsidRPr="001D3665">
        <w:t>rådgjevingstenester</w:t>
      </w:r>
      <w:proofErr w:type="spellEnd"/>
      <w:r w:rsidRPr="001D3665">
        <w:t xml:space="preserve">, </w:t>
      </w:r>
      <w:proofErr w:type="spellStart"/>
      <w:r w:rsidRPr="001D3665">
        <w:t>marknadsføringstenester</w:t>
      </w:r>
      <w:proofErr w:type="spellEnd"/>
      <w:r w:rsidRPr="001D3665">
        <w:t xml:space="preserve"> og IT-</w:t>
      </w:r>
      <w:proofErr w:type="spellStart"/>
      <w:r w:rsidRPr="001D3665">
        <w:t>tenester</w:t>
      </w:r>
      <w:proofErr w:type="spellEnd"/>
      <w:r w:rsidRPr="001D3665">
        <w:t>.</w:t>
      </w:r>
    </w:p>
    <w:p w14:paraId="1F020249" w14:textId="77777777" w:rsidR="00BC371A" w:rsidRPr="001D3665" w:rsidRDefault="00BC371A" w:rsidP="001D3665">
      <w:r w:rsidRPr="001D3665">
        <w:t xml:space="preserve">Ved </w:t>
      </w:r>
      <w:proofErr w:type="spellStart"/>
      <w:r w:rsidRPr="001D3665">
        <w:t>grensekryssande</w:t>
      </w:r>
      <w:proofErr w:type="spellEnd"/>
      <w:r w:rsidRPr="001D3665">
        <w:t xml:space="preserve"> handel ligg det </w:t>
      </w:r>
      <w:proofErr w:type="spellStart"/>
      <w:r w:rsidRPr="001D3665">
        <w:t>ein</w:t>
      </w:r>
      <w:proofErr w:type="spellEnd"/>
      <w:r w:rsidRPr="001D3665">
        <w:t xml:space="preserve"> innebygd risiko for dobbel skattlegging. Dobbel skattlegging kan oppstå dersom det vert berekna </w:t>
      </w:r>
      <w:proofErr w:type="spellStart"/>
      <w:r w:rsidRPr="001D3665">
        <w:t>meirverdiavgift</w:t>
      </w:r>
      <w:proofErr w:type="spellEnd"/>
      <w:r w:rsidRPr="001D3665">
        <w:t xml:space="preserve"> i utlandet på </w:t>
      </w:r>
      <w:proofErr w:type="spellStart"/>
      <w:r w:rsidRPr="001D3665">
        <w:t>dei</w:t>
      </w:r>
      <w:proofErr w:type="spellEnd"/>
      <w:r w:rsidRPr="001D3665">
        <w:t xml:space="preserve"> same </w:t>
      </w:r>
      <w:proofErr w:type="spellStart"/>
      <w:r w:rsidRPr="001D3665">
        <w:t>tenestene</w:t>
      </w:r>
      <w:proofErr w:type="spellEnd"/>
      <w:r w:rsidRPr="001D3665">
        <w:t xml:space="preserve"> som er avgiftspliktige i </w:t>
      </w:r>
      <w:proofErr w:type="spellStart"/>
      <w:r w:rsidRPr="001D3665">
        <w:t>Noreg</w:t>
      </w:r>
      <w:proofErr w:type="spellEnd"/>
      <w:r w:rsidRPr="001D3665">
        <w:t xml:space="preserve"> etter </w:t>
      </w:r>
      <w:proofErr w:type="spellStart"/>
      <w:r w:rsidRPr="001D3665">
        <w:t>dei</w:t>
      </w:r>
      <w:proofErr w:type="spellEnd"/>
      <w:r w:rsidRPr="001D3665">
        <w:t xml:space="preserve"> nye </w:t>
      </w:r>
      <w:proofErr w:type="spellStart"/>
      <w:r w:rsidRPr="001D3665">
        <w:t>reglane</w:t>
      </w:r>
      <w:proofErr w:type="spellEnd"/>
      <w:r w:rsidRPr="001D3665">
        <w:t xml:space="preserve">. Omsynet til å </w:t>
      </w:r>
      <w:proofErr w:type="spellStart"/>
      <w:r w:rsidRPr="001D3665">
        <w:t>motverke</w:t>
      </w:r>
      <w:proofErr w:type="spellEnd"/>
      <w:r w:rsidRPr="001D3665">
        <w:t xml:space="preserve"> dobbel </w:t>
      </w:r>
      <w:r w:rsidRPr="001D3665">
        <w:lastRenderedPageBreak/>
        <w:t xml:space="preserve">skattlegging veg tungt. </w:t>
      </w:r>
      <w:proofErr w:type="spellStart"/>
      <w:r w:rsidRPr="001D3665">
        <w:t>Difor</w:t>
      </w:r>
      <w:proofErr w:type="spellEnd"/>
      <w:r w:rsidRPr="001D3665">
        <w:t xml:space="preserve"> </w:t>
      </w:r>
      <w:proofErr w:type="spellStart"/>
      <w:r w:rsidRPr="001D3665">
        <w:t>inneheld</w:t>
      </w:r>
      <w:proofErr w:type="spellEnd"/>
      <w:r w:rsidRPr="001D3665">
        <w:t xml:space="preserve"> </w:t>
      </w:r>
      <w:proofErr w:type="spellStart"/>
      <w:r w:rsidRPr="001D3665">
        <w:t>dei</w:t>
      </w:r>
      <w:proofErr w:type="spellEnd"/>
      <w:r w:rsidRPr="001D3665">
        <w:t xml:space="preserve"> nye </w:t>
      </w:r>
      <w:proofErr w:type="spellStart"/>
      <w:r w:rsidRPr="001D3665">
        <w:t>reglane</w:t>
      </w:r>
      <w:proofErr w:type="spellEnd"/>
      <w:r w:rsidRPr="001D3665">
        <w:t xml:space="preserve"> </w:t>
      </w:r>
      <w:proofErr w:type="spellStart"/>
      <w:r w:rsidRPr="001D3665">
        <w:t>ein</w:t>
      </w:r>
      <w:proofErr w:type="spellEnd"/>
      <w:r w:rsidRPr="001D3665">
        <w:t xml:space="preserve"> tryggingsventil som under visse vilkår </w:t>
      </w:r>
      <w:proofErr w:type="spellStart"/>
      <w:r w:rsidRPr="001D3665">
        <w:t>set</w:t>
      </w:r>
      <w:proofErr w:type="spellEnd"/>
      <w:r w:rsidRPr="001D3665">
        <w:t xml:space="preserve"> til side avgiftsplikta.</w:t>
      </w:r>
    </w:p>
    <w:p w14:paraId="2B1E7DC4" w14:textId="77777777" w:rsidR="00BC371A" w:rsidRPr="001D3665" w:rsidRDefault="00BC371A" w:rsidP="001D3665">
      <w:r w:rsidRPr="001D3665">
        <w:t xml:space="preserve">I </w:t>
      </w:r>
      <w:proofErr w:type="spellStart"/>
      <w:r w:rsidRPr="001D3665">
        <w:t>Prop</w:t>
      </w:r>
      <w:proofErr w:type="spellEnd"/>
      <w:r w:rsidRPr="001D3665">
        <w:t xml:space="preserve">. 1 LS (2025–2026) punkt 12.4.2 skreiv departementet at </w:t>
      </w:r>
      <w:proofErr w:type="spellStart"/>
      <w:r w:rsidRPr="001D3665">
        <w:t>Noreg</w:t>
      </w:r>
      <w:proofErr w:type="spellEnd"/>
      <w:r w:rsidRPr="001D3665">
        <w:t xml:space="preserve"> </w:t>
      </w:r>
      <w:proofErr w:type="spellStart"/>
      <w:r w:rsidRPr="001D3665">
        <w:t>ikkje</w:t>
      </w:r>
      <w:proofErr w:type="spellEnd"/>
      <w:r w:rsidRPr="001D3665">
        <w:t xml:space="preserve"> bør </w:t>
      </w:r>
      <w:proofErr w:type="spellStart"/>
      <w:r w:rsidRPr="001D3665">
        <w:t>gje</w:t>
      </w:r>
      <w:proofErr w:type="spellEnd"/>
      <w:r w:rsidRPr="001D3665">
        <w:t xml:space="preserve"> opp retten til å </w:t>
      </w:r>
      <w:proofErr w:type="spellStart"/>
      <w:r w:rsidRPr="001D3665">
        <w:t>skattleggje</w:t>
      </w:r>
      <w:proofErr w:type="spellEnd"/>
      <w:r w:rsidRPr="001D3665">
        <w:t xml:space="preserve"> i større grad enn det som er </w:t>
      </w:r>
      <w:proofErr w:type="spellStart"/>
      <w:r w:rsidRPr="001D3665">
        <w:t>rimeleg</w:t>
      </w:r>
      <w:proofErr w:type="spellEnd"/>
      <w:r w:rsidRPr="001D3665">
        <w:t xml:space="preserve"> og </w:t>
      </w:r>
      <w:proofErr w:type="spellStart"/>
      <w:r w:rsidRPr="001D3665">
        <w:t>naudsynt</w:t>
      </w:r>
      <w:proofErr w:type="spellEnd"/>
      <w:r w:rsidRPr="001D3665">
        <w:t xml:space="preserve"> for å hindre </w:t>
      </w:r>
      <w:proofErr w:type="spellStart"/>
      <w:r w:rsidRPr="001D3665">
        <w:t>uynskt</w:t>
      </w:r>
      <w:proofErr w:type="spellEnd"/>
      <w:r w:rsidRPr="001D3665">
        <w:t xml:space="preserve"> dobbel skattlegging. Dette </w:t>
      </w:r>
      <w:proofErr w:type="spellStart"/>
      <w:r w:rsidRPr="001D3665">
        <w:t>tilseier</w:t>
      </w:r>
      <w:proofErr w:type="spellEnd"/>
      <w:r w:rsidRPr="001D3665">
        <w:t xml:space="preserve"> at avgiftsplikta fell bort </w:t>
      </w:r>
      <w:proofErr w:type="spellStart"/>
      <w:r w:rsidRPr="001D3665">
        <w:t>berre</w:t>
      </w:r>
      <w:proofErr w:type="spellEnd"/>
      <w:r w:rsidRPr="001D3665">
        <w:t xml:space="preserve"> i tilfelle der </w:t>
      </w:r>
      <w:proofErr w:type="spellStart"/>
      <w:r w:rsidRPr="001D3665">
        <w:t>verksemda</w:t>
      </w:r>
      <w:proofErr w:type="spellEnd"/>
      <w:r w:rsidRPr="001D3665">
        <w:t xml:space="preserve"> </w:t>
      </w:r>
      <w:proofErr w:type="spellStart"/>
      <w:r w:rsidRPr="001D3665">
        <w:t>endar</w:t>
      </w:r>
      <w:proofErr w:type="spellEnd"/>
      <w:r w:rsidRPr="001D3665">
        <w:t xml:space="preserve"> opp med ei </w:t>
      </w:r>
      <w:proofErr w:type="spellStart"/>
      <w:r w:rsidRPr="001D3665">
        <w:t>endeleg</w:t>
      </w:r>
      <w:proofErr w:type="spellEnd"/>
      <w:r w:rsidRPr="001D3665">
        <w:t xml:space="preserve"> </w:t>
      </w:r>
      <w:proofErr w:type="spellStart"/>
      <w:r w:rsidRPr="001D3665">
        <w:t>avgiftsbelasting</w:t>
      </w:r>
      <w:proofErr w:type="spellEnd"/>
      <w:r w:rsidRPr="001D3665">
        <w:t xml:space="preserve"> i utlandet. Dette var bakgrunnen for at det i </w:t>
      </w:r>
      <w:proofErr w:type="spellStart"/>
      <w:r w:rsidRPr="001D3665">
        <w:t>høyringsnotatet</w:t>
      </w:r>
      <w:proofErr w:type="spellEnd"/>
      <w:r w:rsidRPr="001D3665">
        <w:t xml:space="preserve"> om framlegget til nye </w:t>
      </w:r>
      <w:proofErr w:type="spellStart"/>
      <w:r w:rsidRPr="001D3665">
        <w:t>reglar</w:t>
      </w:r>
      <w:proofErr w:type="spellEnd"/>
      <w:r w:rsidRPr="001D3665">
        <w:t xml:space="preserve">, der </w:t>
      </w:r>
      <w:proofErr w:type="spellStart"/>
      <w:r w:rsidRPr="001D3665">
        <w:t>ein</w:t>
      </w:r>
      <w:proofErr w:type="spellEnd"/>
      <w:r w:rsidRPr="001D3665">
        <w:t xml:space="preserve"> </w:t>
      </w:r>
      <w:proofErr w:type="spellStart"/>
      <w:r w:rsidRPr="001D3665">
        <w:t>mogleg</w:t>
      </w:r>
      <w:proofErr w:type="spellEnd"/>
      <w:r w:rsidRPr="001D3665">
        <w:t xml:space="preserve"> tryggingsventil </w:t>
      </w:r>
      <w:proofErr w:type="spellStart"/>
      <w:r w:rsidRPr="001D3665">
        <w:t>vart</w:t>
      </w:r>
      <w:proofErr w:type="spellEnd"/>
      <w:r w:rsidRPr="001D3665">
        <w:t xml:space="preserve"> diskutert, </w:t>
      </w:r>
      <w:proofErr w:type="spellStart"/>
      <w:r w:rsidRPr="001D3665">
        <w:t>vart</w:t>
      </w:r>
      <w:proofErr w:type="spellEnd"/>
      <w:r w:rsidRPr="001D3665">
        <w:t xml:space="preserve"> skissert at avgiftsplikta i </w:t>
      </w:r>
      <w:proofErr w:type="spellStart"/>
      <w:r w:rsidRPr="001D3665">
        <w:t>Noreg</w:t>
      </w:r>
      <w:proofErr w:type="spellEnd"/>
      <w:r w:rsidRPr="001D3665">
        <w:t xml:space="preserve"> </w:t>
      </w:r>
      <w:proofErr w:type="spellStart"/>
      <w:r w:rsidRPr="001D3665">
        <w:t>berre</w:t>
      </w:r>
      <w:proofErr w:type="spellEnd"/>
      <w:r w:rsidRPr="001D3665">
        <w:t xml:space="preserve"> fell bort dersom </w:t>
      </w:r>
      <w:proofErr w:type="spellStart"/>
      <w:r w:rsidRPr="001D3665">
        <w:t>verksemda</w:t>
      </w:r>
      <w:proofErr w:type="spellEnd"/>
      <w:r w:rsidRPr="001D3665">
        <w:t xml:space="preserve"> kan dokumentere at:</w:t>
      </w:r>
    </w:p>
    <w:p w14:paraId="4BCB9A79" w14:textId="77777777" w:rsidR="00BC371A" w:rsidRPr="001D3665" w:rsidRDefault="00BC371A" w:rsidP="001D3665">
      <w:pPr>
        <w:pStyle w:val="romertallliste"/>
      </w:pPr>
      <w:r w:rsidRPr="001D3665">
        <w:t xml:space="preserve">det er berekna </w:t>
      </w:r>
      <w:proofErr w:type="spellStart"/>
      <w:r w:rsidRPr="001D3665">
        <w:t>meirverdiavgift</w:t>
      </w:r>
      <w:proofErr w:type="spellEnd"/>
      <w:r w:rsidRPr="001D3665">
        <w:t xml:space="preserve"> i utlandet,</w:t>
      </w:r>
    </w:p>
    <w:p w14:paraId="5CF1FEBA" w14:textId="77777777" w:rsidR="00BC371A" w:rsidRPr="001D3665" w:rsidRDefault="00BC371A" w:rsidP="001D3665">
      <w:pPr>
        <w:pStyle w:val="romertallliste"/>
      </w:pPr>
      <w:proofErr w:type="spellStart"/>
      <w:r w:rsidRPr="001D3665">
        <w:t>meirverdiavgifta</w:t>
      </w:r>
      <w:proofErr w:type="spellEnd"/>
      <w:r w:rsidRPr="001D3665">
        <w:t xml:space="preserve"> faktisk </w:t>
      </w:r>
      <w:proofErr w:type="spellStart"/>
      <w:r w:rsidRPr="001D3665">
        <w:t>ikkje</w:t>
      </w:r>
      <w:proofErr w:type="spellEnd"/>
      <w:r w:rsidRPr="001D3665">
        <w:t xml:space="preserve"> har vorte ført til </w:t>
      </w:r>
      <w:proofErr w:type="spellStart"/>
      <w:r w:rsidRPr="001D3665">
        <w:t>frådrag</w:t>
      </w:r>
      <w:proofErr w:type="spellEnd"/>
      <w:r w:rsidRPr="001D3665">
        <w:t>, og</w:t>
      </w:r>
    </w:p>
    <w:p w14:paraId="4AC61F8E" w14:textId="77777777" w:rsidR="00BC371A" w:rsidRPr="001D3665" w:rsidRDefault="00BC371A" w:rsidP="001D3665">
      <w:pPr>
        <w:pStyle w:val="romertallliste"/>
      </w:pPr>
      <w:proofErr w:type="spellStart"/>
      <w:r w:rsidRPr="001D3665">
        <w:t>reglane</w:t>
      </w:r>
      <w:proofErr w:type="spellEnd"/>
      <w:r w:rsidRPr="001D3665">
        <w:t xml:space="preserve"> heller </w:t>
      </w:r>
      <w:proofErr w:type="spellStart"/>
      <w:r w:rsidRPr="001D3665">
        <w:t>ikkje</w:t>
      </w:r>
      <w:proofErr w:type="spellEnd"/>
      <w:r w:rsidRPr="001D3665">
        <w:t xml:space="preserve"> </w:t>
      </w:r>
      <w:proofErr w:type="spellStart"/>
      <w:r w:rsidRPr="001D3665">
        <w:t>opnar</w:t>
      </w:r>
      <w:proofErr w:type="spellEnd"/>
      <w:r w:rsidRPr="001D3665">
        <w:t xml:space="preserve"> for å føre </w:t>
      </w:r>
      <w:proofErr w:type="spellStart"/>
      <w:r w:rsidRPr="001D3665">
        <w:t>meirverdiavgifta</w:t>
      </w:r>
      <w:proofErr w:type="spellEnd"/>
      <w:r w:rsidRPr="001D3665">
        <w:t xml:space="preserve"> til </w:t>
      </w:r>
      <w:proofErr w:type="spellStart"/>
      <w:r w:rsidRPr="001D3665">
        <w:t>frådrag</w:t>
      </w:r>
      <w:proofErr w:type="spellEnd"/>
      <w:r w:rsidRPr="001D3665">
        <w:t>.</w:t>
      </w:r>
    </w:p>
    <w:p w14:paraId="2DB55956" w14:textId="77777777" w:rsidR="00BC371A" w:rsidRPr="001D3665" w:rsidRDefault="00BC371A" w:rsidP="001D3665">
      <w:r w:rsidRPr="001D3665">
        <w:t xml:space="preserve">I </w:t>
      </w:r>
      <w:proofErr w:type="spellStart"/>
      <w:r w:rsidRPr="001D3665">
        <w:t>Prop</w:t>
      </w:r>
      <w:proofErr w:type="spellEnd"/>
      <w:r w:rsidRPr="001D3665">
        <w:t xml:space="preserve">. 1 LS (2025–2026) punkt 12.4.2 skreiv departementet </w:t>
      </w:r>
      <w:proofErr w:type="spellStart"/>
      <w:r w:rsidRPr="001D3665">
        <w:t>vidare</w:t>
      </w:r>
      <w:proofErr w:type="spellEnd"/>
      <w:r w:rsidRPr="001D3665">
        <w:t xml:space="preserve"> om behovet for vilkåret om at </w:t>
      </w:r>
      <w:proofErr w:type="spellStart"/>
      <w:r w:rsidRPr="001D3665">
        <w:t>reglane</w:t>
      </w:r>
      <w:proofErr w:type="spellEnd"/>
      <w:r w:rsidRPr="001D3665">
        <w:t xml:space="preserve"> </w:t>
      </w:r>
      <w:proofErr w:type="spellStart"/>
      <w:r w:rsidRPr="001D3665">
        <w:t>ikkje</w:t>
      </w:r>
      <w:proofErr w:type="spellEnd"/>
      <w:r w:rsidRPr="001D3665">
        <w:t xml:space="preserve"> </w:t>
      </w:r>
      <w:proofErr w:type="spellStart"/>
      <w:r w:rsidRPr="001D3665">
        <w:t>opnar</w:t>
      </w:r>
      <w:proofErr w:type="spellEnd"/>
      <w:r w:rsidRPr="001D3665">
        <w:t xml:space="preserve"> for å føre </w:t>
      </w:r>
      <w:proofErr w:type="spellStart"/>
      <w:r w:rsidRPr="001D3665">
        <w:t>meirverdiavgifta</w:t>
      </w:r>
      <w:proofErr w:type="spellEnd"/>
      <w:r w:rsidRPr="001D3665">
        <w:t xml:space="preserve"> til </w:t>
      </w:r>
      <w:proofErr w:type="spellStart"/>
      <w:r w:rsidRPr="001D3665">
        <w:t>frådrag</w:t>
      </w:r>
      <w:proofErr w:type="spellEnd"/>
      <w:r w:rsidRPr="001D3665">
        <w:t xml:space="preserve">. </w:t>
      </w:r>
      <w:proofErr w:type="spellStart"/>
      <w:r w:rsidRPr="001D3665">
        <w:t>Utan</w:t>
      </w:r>
      <w:proofErr w:type="spellEnd"/>
      <w:r w:rsidRPr="001D3665">
        <w:t xml:space="preserve"> vilkåret vil </w:t>
      </w:r>
      <w:proofErr w:type="spellStart"/>
      <w:r w:rsidRPr="001D3665">
        <w:t>verksemdene</w:t>
      </w:r>
      <w:proofErr w:type="spellEnd"/>
      <w:r w:rsidRPr="001D3665">
        <w:t xml:space="preserve"> kunne </w:t>
      </w:r>
      <w:proofErr w:type="spellStart"/>
      <w:r w:rsidRPr="001D3665">
        <w:t>velje</w:t>
      </w:r>
      <w:proofErr w:type="spellEnd"/>
      <w:r w:rsidRPr="001D3665">
        <w:t xml:space="preserve"> å betale avgifta i utlandet heller enn i </w:t>
      </w:r>
      <w:proofErr w:type="spellStart"/>
      <w:r w:rsidRPr="001D3665">
        <w:t>Noreg</w:t>
      </w:r>
      <w:proofErr w:type="spellEnd"/>
      <w:r w:rsidRPr="001D3665">
        <w:t xml:space="preserve">. Dette vil bryte med destinasjonsprinsippet. Det går ut på at retten til å </w:t>
      </w:r>
      <w:proofErr w:type="spellStart"/>
      <w:r w:rsidRPr="001D3665">
        <w:t>skattleggje</w:t>
      </w:r>
      <w:proofErr w:type="spellEnd"/>
      <w:r w:rsidRPr="001D3665">
        <w:t xml:space="preserve"> ligg hos den jurisdiksjonen der ei vare eller ei </w:t>
      </w:r>
      <w:proofErr w:type="spellStart"/>
      <w:r w:rsidRPr="001D3665">
        <w:t>teneste</w:t>
      </w:r>
      <w:proofErr w:type="spellEnd"/>
      <w:r w:rsidRPr="001D3665">
        <w:t xml:space="preserve"> er til bruk.</w:t>
      </w:r>
    </w:p>
    <w:p w14:paraId="21310E69" w14:textId="77777777" w:rsidR="00BC371A" w:rsidRPr="001D3665" w:rsidRDefault="00BC371A" w:rsidP="001D3665">
      <w:r w:rsidRPr="001D3665">
        <w:t xml:space="preserve">Samstundes </w:t>
      </w:r>
      <w:proofErr w:type="spellStart"/>
      <w:r w:rsidRPr="001D3665">
        <w:t>innsåg</w:t>
      </w:r>
      <w:proofErr w:type="spellEnd"/>
      <w:r w:rsidRPr="001D3665">
        <w:t xml:space="preserve"> departementet at det i </w:t>
      </w:r>
      <w:proofErr w:type="spellStart"/>
      <w:r w:rsidRPr="001D3665">
        <w:t>nokre</w:t>
      </w:r>
      <w:proofErr w:type="spellEnd"/>
      <w:r w:rsidRPr="001D3665">
        <w:t xml:space="preserve"> tilfelle kan </w:t>
      </w:r>
      <w:proofErr w:type="spellStart"/>
      <w:r w:rsidRPr="001D3665">
        <w:t>vere</w:t>
      </w:r>
      <w:proofErr w:type="spellEnd"/>
      <w:r w:rsidRPr="001D3665">
        <w:t xml:space="preserve"> </w:t>
      </w:r>
      <w:proofErr w:type="spellStart"/>
      <w:r w:rsidRPr="001D3665">
        <w:t>utfordrande</w:t>
      </w:r>
      <w:proofErr w:type="spellEnd"/>
      <w:r w:rsidRPr="001D3665">
        <w:t xml:space="preserve"> for </w:t>
      </w:r>
      <w:proofErr w:type="spellStart"/>
      <w:r w:rsidRPr="001D3665">
        <w:t>verksemdene</w:t>
      </w:r>
      <w:proofErr w:type="spellEnd"/>
      <w:r w:rsidRPr="001D3665">
        <w:t xml:space="preserve"> å dokumentere at </w:t>
      </w:r>
      <w:proofErr w:type="spellStart"/>
      <w:r w:rsidRPr="001D3665">
        <w:t>reglane</w:t>
      </w:r>
      <w:proofErr w:type="spellEnd"/>
      <w:r w:rsidRPr="001D3665">
        <w:t xml:space="preserve"> i utlandet </w:t>
      </w:r>
      <w:proofErr w:type="spellStart"/>
      <w:r w:rsidRPr="001D3665">
        <w:t>ikkje</w:t>
      </w:r>
      <w:proofErr w:type="spellEnd"/>
      <w:r w:rsidRPr="001D3665">
        <w:t xml:space="preserve"> </w:t>
      </w:r>
      <w:proofErr w:type="spellStart"/>
      <w:r w:rsidRPr="001D3665">
        <w:t>opnar</w:t>
      </w:r>
      <w:proofErr w:type="spellEnd"/>
      <w:r w:rsidRPr="001D3665">
        <w:t xml:space="preserve"> for å føre </w:t>
      </w:r>
      <w:proofErr w:type="spellStart"/>
      <w:r w:rsidRPr="001D3665">
        <w:t>meirverdiavgifta</w:t>
      </w:r>
      <w:proofErr w:type="spellEnd"/>
      <w:r w:rsidRPr="001D3665">
        <w:t xml:space="preserve"> til </w:t>
      </w:r>
      <w:proofErr w:type="spellStart"/>
      <w:r w:rsidRPr="001D3665">
        <w:t>frådrag</w:t>
      </w:r>
      <w:proofErr w:type="spellEnd"/>
      <w:r w:rsidRPr="001D3665">
        <w:t xml:space="preserve">. Det vart </w:t>
      </w:r>
      <w:proofErr w:type="spellStart"/>
      <w:r w:rsidRPr="001D3665">
        <w:t>difor</w:t>
      </w:r>
      <w:proofErr w:type="spellEnd"/>
      <w:r w:rsidRPr="001D3665">
        <w:t xml:space="preserve"> gjort framlegg om – og </w:t>
      </w:r>
      <w:proofErr w:type="spellStart"/>
      <w:r w:rsidRPr="001D3665">
        <w:t>vedteke</w:t>
      </w:r>
      <w:proofErr w:type="spellEnd"/>
      <w:r w:rsidRPr="001D3665">
        <w:t xml:space="preserve"> – </w:t>
      </w:r>
      <w:proofErr w:type="spellStart"/>
      <w:r w:rsidRPr="001D3665">
        <w:t>eit</w:t>
      </w:r>
      <w:proofErr w:type="spellEnd"/>
      <w:r w:rsidRPr="001D3665">
        <w:t xml:space="preserve"> vilkår om at </w:t>
      </w:r>
      <w:proofErr w:type="spellStart"/>
      <w:r w:rsidRPr="001D3665">
        <w:t>verksemdene</w:t>
      </w:r>
      <w:proofErr w:type="spellEnd"/>
      <w:r w:rsidRPr="001D3665">
        <w:t xml:space="preserve"> må kunne </w:t>
      </w:r>
      <w:proofErr w:type="spellStart"/>
      <w:r w:rsidRPr="001D3665">
        <w:rPr>
          <w:rStyle w:val="kursiv"/>
        </w:rPr>
        <w:t>gjere</w:t>
      </w:r>
      <w:proofErr w:type="spellEnd"/>
      <w:r w:rsidRPr="001D3665">
        <w:rPr>
          <w:rStyle w:val="kursiv"/>
        </w:rPr>
        <w:t xml:space="preserve"> </w:t>
      </w:r>
      <w:proofErr w:type="spellStart"/>
      <w:r w:rsidRPr="001D3665">
        <w:rPr>
          <w:rStyle w:val="kursiv"/>
        </w:rPr>
        <w:t>sannsynleg</w:t>
      </w:r>
      <w:proofErr w:type="spellEnd"/>
      <w:r w:rsidRPr="001D3665">
        <w:rPr>
          <w:rStyle w:val="kursiv"/>
        </w:rPr>
        <w:t xml:space="preserve"> </w:t>
      </w:r>
      <w:r w:rsidRPr="001D3665">
        <w:t xml:space="preserve">at </w:t>
      </w:r>
      <w:proofErr w:type="spellStart"/>
      <w:r w:rsidRPr="001D3665">
        <w:t>meirverdiavgifta</w:t>
      </w:r>
      <w:proofErr w:type="spellEnd"/>
      <w:r w:rsidRPr="001D3665">
        <w:t xml:space="preserve"> </w:t>
      </w:r>
      <w:proofErr w:type="spellStart"/>
      <w:r w:rsidRPr="001D3665">
        <w:t>ikkje</w:t>
      </w:r>
      <w:proofErr w:type="spellEnd"/>
      <w:r w:rsidRPr="001D3665">
        <w:t xml:space="preserve"> kan </w:t>
      </w:r>
      <w:proofErr w:type="spellStart"/>
      <w:r w:rsidRPr="001D3665">
        <w:t>frådragsførast</w:t>
      </w:r>
      <w:proofErr w:type="spellEnd"/>
      <w:r w:rsidRPr="001D3665">
        <w:t xml:space="preserve"> i utlandet. Vilkåret er fastsett i merverdiavgiftsloven § 3-30 tredje ledd andre punktum i </w:t>
      </w:r>
      <w:proofErr w:type="spellStart"/>
      <w:r w:rsidRPr="001D3665">
        <w:t>reglane</w:t>
      </w:r>
      <w:proofErr w:type="spellEnd"/>
      <w:r w:rsidRPr="001D3665">
        <w:t xml:space="preserve"> som </w:t>
      </w:r>
      <w:proofErr w:type="spellStart"/>
      <w:r w:rsidRPr="001D3665">
        <w:t>tek</w:t>
      </w:r>
      <w:proofErr w:type="spellEnd"/>
      <w:r w:rsidRPr="001D3665">
        <w:t xml:space="preserve"> til å gjelde 1. juli 2026. For </w:t>
      </w:r>
      <w:proofErr w:type="spellStart"/>
      <w:r w:rsidRPr="001D3665">
        <w:t>nærare</w:t>
      </w:r>
      <w:proofErr w:type="spellEnd"/>
      <w:r w:rsidRPr="001D3665">
        <w:t xml:space="preserve"> bakgrunn om tryggingsventilen mot dobbel skattlegging og kravet om å </w:t>
      </w:r>
      <w:proofErr w:type="spellStart"/>
      <w:r w:rsidRPr="001D3665">
        <w:t>gjere</w:t>
      </w:r>
      <w:proofErr w:type="spellEnd"/>
      <w:r w:rsidRPr="001D3665">
        <w:t xml:space="preserve"> </w:t>
      </w:r>
      <w:proofErr w:type="spellStart"/>
      <w:r w:rsidRPr="001D3665">
        <w:t>sannsynleg</w:t>
      </w:r>
      <w:proofErr w:type="spellEnd"/>
      <w:r w:rsidRPr="001D3665">
        <w:t xml:space="preserve"> at </w:t>
      </w:r>
      <w:proofErr w:type="spellStart"/>
      <w:r w:rsidRPr="001D3665">
        <w:t>meirverdiavgifta</w:t>
      </w:r>
      <w:proofErr w:type="spellEnd"/>
      <w:r w:rsidRPr="001D3665">
        <w:t xml:space="preserve"> </w:t>
      </w:r>
      <w:proofErr w:type="spellStart"/>
      <w:r w:rsidRPr="001D3665">
        <w:t>ikkje</w:t>
      </w:r>
      <w:proofErr w:type="spellEnd"/>
      <w:r w:rsidRPr="001D3665">
        <w:t xml:space="preserve"> kan </w:t>
      </w:r>
      <w:proofErr w:type="spellStart"/>
      <w:r w:rsidRPr="001D3665">
        <w:t>frådragsførast</w:t>
      </w:r>
      <w:proofErr w:type="spellEnd"/>
      <w:r w:rsidRPr="001D3665">
        <w:t xml:space="preserve"> i utlandet, sjå punkt 12.4.2 i </w:t>
      </w:r>
      <w:proofErr w:type="spellStart"/>
      <w:r w:rsidRPr="001D3665">
        <w:t>Prop</w:t>
      </w:r>
      <w:proofErr w:type="spellEnd"/>
      <w:r w:rsidRPr="001D3665">
        <w:t>. 1 LS (2025–2026).</w:t>
      </w:r>
    </w:p>
    <w:p w14:paraId="7202A7A3" w14:textId="77777777" w:rsidR="00BC371A" w:rsidRPr="001D3665" w:rsidRDefault="00BC371A" w:rsidP="001D3665">
      <w:proofErr w:type="spellStart"/>
      <w:r w:rsidRPr="001D3665">
        <w:t>Nokre</w:t>
      </w:r>
      <w:proofErr w:type="spellEnd"/>
      <w:r w:rsidRPr="001D3665">
        <w:t xml:space="preserve"> </w:t>
      </w:r>
      <w:proofErr w:type="spellStart"/>
      <w:r w:rsidRPr="001D3665">
        <w:t>verksemder</w:t>
      </w:r>
      <w:proofErr w:type="spellEnd"/>
      <w:r w:rsidRPr="001D3665">
        <w:t xml:space="preserve"> vil kunne ha rett til refusjon for </w:t>
      </w:r>
      <w:proofErr w:type="spellStart"/>
      <w:r w:rsidRPr="001D3665">
        <w:t>meirverdiavgifta</w:t>
      </w:r>
      <w:proofErr w:type="spellEnd"/>
      <w:r w:rsidRPr="001D3665">
        <w:t xml:space="preserve"> som er berekna i utlandet. På same måte som </w:t>
      </w:r>
      <w:proofErr w:type="spellStart"/>
      <w:r w:rsidRPr="001D3665">
        <w:t>frådragsrett</w:t>
      </w:r>
      <w:proofErr w:type="spellEnd"/>
      <w:r w:rsidRPr="001D3665">
        <w:t xml:space="preserve">, gjev rett til refusjon høve til å unngå </w:t>
      </w:r>
      <w:proofErr w:type="spellStart"/>
      <w:r w:rsidRPr="001D3665">
        <w:t>endeleg</w:t>
      </w:r>
      <w:proofErr w:type="spellEnd"/>
      <w:r w:rsidRPr="001D3665">
        <w:t xml:space="preserve"> avgift i utlandet. Rett til refusjon er likevel </w:t>
      </w:r>
      <w:proofErr w:type="spellStart"/>
      <w:r w:rsidRPr="001D3665">
        <w:t>ikkje</w:t>
      </w:r>
      <w:proofErr w:type="spellEnd"/>
      <w:r w:rsidRPr="001D3665">
        <w:t xml:space="preserve"> </w:t>
      </w:r>
      <w:proofErr w:type="spellStart"/>
      <w:r w:rsidRPr="001D3665">
        <w:t>uttrykkjeleg</w:t>
      </w:r>
      <w:proofErr w:type="spellEnd"/>
      <w:r w:rsidRPr="001D3665">
        <w:t xml:space="preserve"> nemnd i tryggingsventilen. Bakgrunnen er at det fyrst og fremst er rett til </w:t>
      </w:r>
      <w:proofErr w:type="spellStart"/>
      <w:r w:rsidRPr="001D3665">
        <w:t>frådrag</w:t>
      </w:r>
      <w:proofErr w:type="spellEnd"/>
      <w:r w:rsidRPr="001D3665">
        <w:t xml:space="preserve"> som vil </w:t>
      </w:r>
      <w:proofErr w:type="spellStart"/>
      <w:r w:rsidRPr="001D3665">
        <w:t>vere</w:t>
      </w:r>
      <w:proofErr w:type="spellEnd"/>
      <w:r w:rsidRPr="001D3665">
        <w:t xml:space="preserve"> aktuelt i praksis. Det kan likevel </w:t>
      </w:r>
      <w:proofErr w:type="spellStart"/>
      <w:r w:rsidRPr="001D3665">
        <w:t>ikkje</w:t>
      </w:r>
      <w:proofErr w:type="spellEnd"/>
      <w:r w:rsidRPr="001D3665">
        <w:t xml:space="preserve"> </w:t>
      </w:r>
      <w:proofErr w:type="spellStart"/>
      <w:r w:rsidRPr="001D3665">
        <w:t>utelukkast</w:t>
      </w:r>
      <w:proofErr w:type="spellEnd"/>
      <w:r w:rsidRPr="001D3665">
        <w:t xml:space="preserve"> tilfelle der spørsmål om rett til refusjon kjem på spissen. Departementet </w:t>
      </w:r>
      <w:proofErr w:type="spellStart"/>
      <w:r w:rsidRPr="001D3665">
        <w:t>gjer</w:t>
      </w:r>
      <w:proofErr w:type="spellEnd"/>
      <w:r w:rsidRPr="001D3665">
        <w:t xml:space="preserve"> </w:t>
      </w:r>
      <w:proofErr w:type="spellStart"/>
      <w:r w:rsidRPr="001D3665">
        <w:t>difor</w:t>
      </w:r>
      <w:proofErr w:type="spellEnd"/>
      <w:r w:rsidRPr="001D3665">
        <w:t xml:space="preserve"> framlegg om å </w:t>
      </w:r>
      <w:proofErr w:type="spellStart"/>
      <w:r w:rsidRPr="001D3665">
        <w:t>klårgjere</w:t>
      </w:r>
      <w:proofErr w:type="spellEnd"/>
      <w:r w:rsidRPr="001D3665">
        <w:t xml:space="preserve"> i føresegna at </w:t>
      </w:r>
      <w:proofErr w:type="spellStart"/>
      <w:r w:rsidRPr="001D3665">
        <w:t>verksemda</w:t>
      </w:r>
      <w:proofErr w:type="spellEnd"/>
      <w:r w:rsidRPr="001D3665">
        <w:t xml:space="preserve"> må </w:t>
      </w:r>
      <w:proofErr w:type="spellStart"/>
      <w:r w:rsidRPr="001D3665">
        <w:t>gjere</w:t>
      </w:r>
      <w:proofErr w:type="spellEnd"/>
      <w:r w:rsidRPr="001D3665">
        <w:t xml:space="preserve"> </w:t>
      </w:r>
      <w:proofErr w:type="spellStart"/>
      <w:r w:rsidRPr="001D3665">
        <w:t>sannsynleg</w:t>
      </w:r>
      <w:proofErr w:type="spellEnd"/>
      <w:r w:rsidRPr="001D3665">
        <w:t xml:space="preserve"> at ho </w:t>
      </w:r>
      <w:proofErr w:type="spellStart"/>
      <w:r w:rsidRPr="001D3665">
        <w:t>korkje</w:t>
      </w:r>
      <w:proofErr w:type="spellEnd"/>
      <w:r w:rsidRPr="001D3665">
        <w:t xml:space="preserve"> har rett til </w:t>
      </w:r>
      <w:proofErr w:type="spellStart"/>
      <w:r w:rsidRPr="001D3665">
        <w:t>frådrag</w:t>
      </w:r>
      <w:proofErr w:type="spellEnd"/>
      <w:r w:rsidRPr="001D3665">
        <w:t xml:space="preserve"> eller refusjon for </w:t>
      </w:r>
      <w:proofErr w:type="spellStart"/>
      <w:r w:rsidRPr="001D3665">
        <w:t>meirverdiavgifta</w:t>
      </w:r>
      <w:proofErr w:type="spellEnd"/>
      <w:r w:rsidRPr="001D3665">
        <w:t xml:space="preserve"> som er berekna </w:t>
      </w:r>
      <w:proofErr w:type="spellStart"/>
      <w:r w:rsidRPr="001D3665">
        <w:t>utanfor</w:t>
      </w:r>
      <w:proofErr w:type="spellEnd"/>
      <w:r w:rsidRPr="001D3665">
        <w:t xml:space="preserve"> </w:t>
      </w:r>
      <w:proofErr w:type="spellStart"/>
      <w:r w:rsidRPr="001D3665">
        <w:t>Noreg</w:t>
      </w:r>
      <w:proofErr w:type="spellEnd"/>
      <w:r w:rsidRPr="001D3665">
        <w:t>.</w:t>
      </w:r>
    </w:p>
    <w:p w14:paraId="6AE5FBB8" w14:textId="77777777" w:rsidR="00BC371A" w:rsidRPr="001D3665" w:rsidRDefault="00BC371A" w:rsidP="001D3665">
      <w:r w:rsidRPr="001D3665">
        <w:t xml:space="preserve">Endringa vert vurdert å </w:t>
      </w:r>
      <w:proofErr w:type="spellStart"/>
      <w:r w:rsidRPr="001D3665">
        <w:t>liggje</w:t>
      </w:r>
      <w:proofErr w:type="spellEnd"/>
      <w:r w:rsidRPr="001D3665">
        <w:t xml:space="preserve"> </w:t>
      </w:r>
      <w:proofErr w:type="spellStart"/>
      <w:r w:rsidRPr="001D3665">
        <w:t>innanfor</w:t>
      </w:r>
      <w:proofErr w:type="spellEnd"/>
      <w:r w:rsidRPr="001D3665">
        <w:t xml:space="preserve"> den opphavlege </w:t>
      </w:r>
      <w:proofErr w:type="spellStart"/>
      <w:r w:rsidRPr="001D3665">
        <w:t>høyringa</w:t>
      </w:r>
      <w:proofErr w:type="spellEnd"/>
      <w:r w:rsidRPr="001D3665">
        <w:t xml:space="preserve">. Det vart der gjeve uttrykk for at </w:t>
      </w:r>
      <w:proofErr w:type="spellStart"/>
      <w:r w:rsidRPr="001D3665">
        <w:t>føremålet</w:t>
      </w:r>
      <w:proofErr w:type="spellEnd"/>
      <w:r w:rsidRPr="001D3665">
        <w:t xml:space="preserve"> med </w:t>
      </w:r>
      <w:proofErr w:type="spellStart"/>
      <w:r w:rsidRPr="001D3665">
        <w:t>ein</w:t>
      </w:r>
      <w:proofErr w:type="spellEnd"/>
      <w:r w:rsidRPr="001D3665">
        <w:t xml:space="preserve"> eventuell tryggingsventil er å frita for avgiftsplikt </w:t>
      </w:r>
      <w:proofErr w:type="spellStart"/>
      <w:r w:rsidRPr="001D3665">
        <w:t>berre</w:t>
      </w:r>
      <w:proofErr w:type="spellEnd"/>
      <w:r w:rsidRPr="001D3665">
        <w:t xml:space="preserve"> der </w:t>
      </w:r>
      <w:proofErr w:type="spellStart"/>
      <w:r w:rsidRPr="001D3665">
        <w:t>verksemda</w:t>
      </w:r>
      <w:proofErr w:type="spellEnd"/>
      <w:r w:rsidRPr="001D3665">
        <w:t xml:space="preserve"> </w:t>
      </w:r>
      <w:proofErr w:type="spellStart"/>
      <w:r w:rsidRPr="001D3665">
        <w:t>endar</w:t>
      </w:r>
      <w:proofErr w:type="spellEnd"/>
      <w:r w:rsidRPr="001D3665">
        <w:t xml:space="preserve"> opp med ei </w:t>
      </w:r>
      <w:proofErr w:type="spellStart"/>
      <w:r w:rsidRPr="001D3665">
        <w:t>endeleg</w:t>
      </w:r>
      <w:proofErr w:type="spellEnd"/>
      <w:r w:rsidRPr="001D3665">
        <w:t xml:space="preserve"> </w:t>
      </w:r>
      <w:proofErr w:type="spellStart"/>
      <w:r w:rsidRPr="001D3665">
        <w:t>avgiftsbelasting</w:t>
      </w:r>
      <w:proofErr w:type="spellEnd"/>
      <w:r w:rsidRPr="001D3665">
        <w:t xml:space="preserve"> </w:t>
      </w:r>
      <w:proofErr w:type="spellStart"/>
      <w:r w:rsidRPr="001D3665">
        <w:t>utanfor</w:t>
      </w:r>
      <w:proofErr w:type="spellEnd"/>
      <w:r w:rsidRPr="001D3665">
        <w:t xml:space="preserve"> </w:t>
      </w:r>
      <w:proofErr w:type="spellStart"/>
      <w:r w:rsidRPr="001D3665">
        <w:t>Noreg</w:t>
      </w:r>
      <w:proofErr w:type="spellEnd"/>
      <w:r w:rsidRPr="001D3665">
        <w:t>.</w:t>
      </w:r>
    </w:p>
    <w:p w14:paraId="13F6A414" w14:textId="77777777" w:rsidR="00BC371A" w:rsidRPr="001D3665" w:rsidRDefault="00BC371A" w:rsidP="001D3665">
      <w:r w:rsidRPr="001D3665">
        <w:t xml:space="preserve">Departementet </w:t>
      </w:r>
      <w:proofErr w:type="spellStart"/>
      <w:r w:rsidRPr="001D3665">
        <w:t>legg</w:t>
      </w:r>
      <w:proofErr w:type="spellEnd"/>
      <w:r w:rsidRPr="001D3665">
        <w:t xml:space="preserve"> til grunn at endringa har svært små administrative og økonomiske </w:t>
      </w:r>
      <w:proofErr w:type="spellStart"/>
      <w:r w:rsidRPr="001D3665">
        <w:t>konsekvensar</w:t>
      </w:r>
      <w:proofErr w:type="spellEnd"/>
      <w:r w:rsidRPr="001D3665">
        <w:t>.</w:t>
      </w:r>
    </w:p>
    <w:p w14:paraId="78014BD5" w14:textId="3B6CD882" w:rsidR="00BC371A" w:rsidRPr="001D3665" w:rsidRDefault="00BC371A" w:rsidP="001D3665">
      <w:r w:rsidRPr="001D3665">
        <w:t xml:space="preserve">Departementet </w:t>
      </w:r>
      <w:proofErr w:type="spellStart"/>
      <w:r w:rsidRPr="001D3665">
        <w:t>gjer</w:t>
      </w:r>
      <w:proofErr w:type="spellEnd"/>
      <w:r w:rsidRPr="001D3665">
        <w:t xml:space="preserve"> framlegg om </w:t>
      </w:r>
      <w:proofErr w:type="spellStart"/>
      <w:r w:rsidRPr="001D3665">
        <w:t>endringar</w:t>
      </w:r>
      <w:proofErr w:type="spellEnd"/>
      <w:r w:rsidRPr="001D3665">
        <w:t xml:space="preserve"> i lov om endringer i merverdiavgiftsloven del II § 3</w:t>
      </w:r>
      <w:r w:rsidR="001D3665">
        <w:t>-</w:t>
      </w:r>
      <w:r w:rsidRPr="001D3665">
        <w:t xml:space="preserve">30 tredje ledd andre punktum, og at </w:t>
      </w:r>
      <w:proofErr w:type="spellStart"/>
      <w:r w:rsidRPr="001D3665">
        <w:t>endringane</w:t>
      </w:r>
      <w:proofErr w:type="spellEnd"/>
      <w:r w:rsidRPr="001D3665">
        <w:t xml:space="preserve"> </w:t>
      </w:r>
      <w:proofErr w:type="spellStart"/>
      <w:r w:rsidRPr="001D3665">
        <w:t>tek</w:t>
      </w:r>
      <w:proofErr w:type="spellEnd"/>
      <w:r w:rsidRPr="001D3665">
        <w:t xml:space="preserve"> til å gjelde 1. juli 2026.</w:t>
      </w:r>
    </w:p>
    <w:p w14:paraId="64C72FE6" w14:textId="77777777" w:rsidR="00BC371A" w:rsidRPr="001D3665" w:rsidRDefault="00BC371A" w:rsidP="001D3665">
      <w:pPr>
        <w:pStyle w:val="Overskrift1"/>
      </w:pPr>
      <w:r w:rsidRPr="001D3665">
        <w:lastRenderedPageBreak/>
        <w:t xml:space="preserve">Utvida </w:t>
      </w:r>
      <w:proofErr w:type="spellStart"/>
      <w:r w:rsidRPr="001D3665">
        <w:t>opplysingsplikt</w:t>
      </w:r>
      <w:proofErr w:type="spellEnd"/>
      <w:r w:rsidRPr="001D3665">
        <w:t xml:space="preserve"> for </w:t>
      </w:r>
      <w:proofErr w:type="spellStart"/>
      <w:r w:rsidRPr="001D3665">
        <w:t>førar</w:t>
      </w:r>
      <w:proofErr w:type="spellEnd"/>
      <w:r w:rsidRPr="001D3665">
        <w:t xml:space="preserve"> når varer kjem fram til tollområdet</w:t>
      </w:r>
    </w:p>
    <w:p w14:paraId="48857EC5" w14:textId="77777777" w:rsidR="00BC371A" w:rsidRPr="001D3665" w:rsidRDefault="00BC371A" w:rsidP="001D3665">
      <w:pPr>
        <w:pStyle w:val="Overskrift2"/>
      </w:pPr>
      <w:r w:rsidRPr="001D3665">
        <w:t xml:space="preserve">Innleiing og </w:t>
      </w:r>
      <w:proofErr w:type="spellStart"/>
      <w:r w:rsidRPr="001D3665">
        <w:t>samandrag</w:t>
      </w:r>
      <w:proofErr w:type="spellEnd"/>
    </w:p>
    <w:p w14:paraId="445D1AD7" w14:textId="77777777" w:rsidR="00BC371A" w:rsidRPr="001D3665" w:rsidRDefault="00BC371A" w:rsidP="001D3665">
      <w:r w:rsidRPr="001D3665">
        <w:t xml:space="preserve">Tolletaten arbeider med å digitalisere innhentinga av informasjon i samband med den </w:t>
      </w:r>
      <w:proofErr w:type="spellStart"/>
      <w:r w:rsidRPr="001D3665">
        <w:t>grensekryssande</w:t>
      </w:r>
      <w:proofErr w:type="spellEnd"/>
      <w:r w:rsidRPr="001D3665">
        <w:t xml:space="preserve"> vareførselen. Som </w:t>
      </w:r>
      <w:proofErr w:type="spellStart"/>
      <w:r w:rsidRPr="001D3665">
        <w:t>ein</w:t>
      </w:r>
      <w:proofErr w:type="spellEnd"/>
      <w:r w:rsidRPr="001D3665">
        <w:t xml:space="preserve"> del av dette arbeidet er det </w:t>
      </w:r>
      <w:proofErr w:type="spellStart"/>
      <w:r w:rsidRPr="001D3665">
        <w:t>vedteke</w:t>
      </w:r>
      <w:proofErr w:type="spellEnd"/>
      <w:r w:rsidRPr="001D3665">
        <w:t xml:space="preserve"> at </w:t>
      </w:r>
      <w:proofErr w:type="spellStart"/>
      <w:r w:rsidRPr="001D3665">
        <w:t>føraren</w:t>
      </w:r>
      <w:proofErr w:type="spellEnd"/>
      <w:r w:rsidRPr="001D3665">
        <w:t xml:space="preserve"> </w:t>
      </w:r>
      <w:proofErr w:type="spellStart"/>
      <w:r w:rsidRPr="001D3665">
        <w:t>frå</w:t>
      </w:r>
      <w:proofErr w:type="spellEnd"/>
      <w:r w:rsidRPr="001D3665">
        <w:t xml:space="preserve"> </w:t>
      </w:r>
      <w:proofErr w:type="spellStart"/>
      <w:r w:rsidRPr="001D3665">
        <w:t>hausten</w:t>
      </w:r>
      <w:proofErr w:type="spellEnd"/>
      <w:r w:rsidRPr="001D3665">
        <w:t xml:space="preserve"> 2026 skal oppfylle melde- og </w:t>
      </w:r>
      <w:proofErr w:type="spellStart"/>
      <w:r w:rsidRPr="001D3665">
        <w:t>opplysingsplikta</w:t>
      </w:r>
      <w:proofErr w:type="spellEnd"/>
      <w:r w:rsidRPr="001D3665">
        <w:t xml:space="preserve"> si digitalt når hen kjem fram til tollområdet. </w:t>
      </w:r>
      <w:proofErr w:type="spellStart"/>
      <w:r w:rsidRPr="001D3665">
        <w:t>Frå</w:t>
      </w:r>
      <w:proofErr w:type="spellEnd"/>
      <w:r w:rsidRPr="001D3665">
        <w:t xml:space="preserve"> våren 2027 skal i tillegg alle varer </w:t>
      </w:r>
      <w:proofErr w:type="spellStart"/>
      <w:r w:rsidRPr="001D3665">
        <w:t>verte</w:t>
      </w:r>
      <w:proofErr w:type="spellEnd"/>
      <w:r w:rsidRPr="001D3665">
        <w:t xml:space="preserve"> deklarerte for </w:t>
      </w:r>
      <w:proofErr w:type="spellStart"/>
      <w:r w:rsidRPr="001D3665">
        <w:t>ein</w:t>
      </w:r>
      <w:proofErr w:type="spellEnd"/>
      <w:r w:rsidRPr="001D3665">
        <w:t xml:space="preserve"> tollprosedyre </w:t>
      </w:r>
      <w:proofErr w:type="spellStart"/>
      <w:r w:rsidRPr="001D3665">
        <w:t>seinast</w:t>
      </w:r>
      <w:proofErr w:type="spellEnd"/>
      <w:r w:rsidRPr="001D3665">
        <w:t xml:space="preserve"> ved passeringa av grensa. Dette </w:t>
      </w:r>
      <w:proofErr w:type="spellStart"/>
      <w:r w:rsidRPr="001D3665">
        <w:t>inneber</w:t>
      </w:r>
      <w:proofErr w:type="spellEnd"/>
      <w:r w:rsidRPr="001D3665">
        <w:t xml:space="preserve"> at det </w:t>
      </w:r>
      <w:proofErr w:type="spellStart"/>
      <w:r w:rsidRPr="001D3665">
        <w:t>ikkje</w:t>
      </w:r>
      <w:proofErr w:type="spellEnd"/>
      <w:r w:rsidRPr="001D3665">
        <w:t xml:space="preserve"> lenger vil </w:t>
      </w:r>
      <w:proofErr w:type="spellStart"/>
      <w:r w:rsidRPr="001D3665">
        <w:t>vere</w:t>
      </w:r>
      <w:proofErr w:type="spellEnd"/>
      <w:r w:rsidRPr="001D3665">
        <w:t xml:space="preserve"> unntak for å deklarere varer som vert innførte under prosedyren tollager. I tillegg vert ordninga med direktekøyring avvikla. Denne ordninga går ut på at </w:t>
      </w:r>
      <w:proofErr w:type="spellStart"/>
      <w:r w:rsidRPr="001D3665">
        <w:t>haldarar</w:t>
      </w:r>
      <w:proofErr w:type="spellEnd"/>
      <w:r w:rsidRPr="001D3665">
        <w:t xml:space="preserve"> av tollager kan </w:t>
      </w:r>
      <w:proofErr w:type="spellStart"/>
      <w:r w:rsidRPr="001D3665">
        <w:t>køyre</w:t>
      </w:r>
      <w:proofErr w:type="spellEnd"/>
      <w:r w:rsidRPr="001D3665">
        <w:t xml:space="preserve"> varer direkte </w:t>
      </w:r>
      <w:proofErr w:type="spellStart"/>
      <w:r w:rsidRPr="001D3665">
        <w:t>frå</w:t>
      </w:r>
      <w:proofErr w:type="spellEnd"/>
      <w:r w:rsidRPr="001D3665">
        <w:t xml:space="preserve"> grensa til </w:t>
      </w:r>
      <w:proofErr w:type="spellStart"/>
      <w:r w:rsidRPr="001D3665">
        <w:t>mottakaren</w:t>
      </w:r>
      <w:proofErr w:type="spellEnd"/>
      <w:r w:rsidRPr="001D3665">
        <w:t xml:space="preserve"> av varen. </w:t>
      </w:r>
      <w:proofErr w:type="spellStart"/>
      <w:r w:rsidRPr="001D3665">
        <w:t>Føresetnaden</w:t>
      </w:r>
      <w:proofErr w:type="spellEnd"/>
      <w:r w:rsidRPr="001D3665">
        <w:t xml:space="preserve"> er at varene er deklarerte for fri disponering </w:t>
      </w:r>
      <w:proofErr w:type="spellStart"/>
      <w:r w:rsidRPr="001D3665">
        <w:t>innan</w:t>
      </w:r>
      <w:proofErr w:type="spellEnd"/>
      <w:r w:rsidRPr="001D3665">
        <w:t xml:space="preserve"> ti </w:t>
      </w:r>
      <w:proofErr w:type="spellStart"/>
      <w:r w:rsidRPr="001D3665">
        <w:t>dagar</w:t>
      </w:r>
      <w:proofErr w:type="spellEnd"/>
      <w:r w:rsidRPr="001D3665">
        <w:t xml:space="preserve"> etter at varene er registrerte i </w:t>
      </w:r>
      <w:proofErr w:type="spellStart"/>
      <w:r w:rsidRPr="001D3665">
        <w:t>rekneskapen</w:t>
      </w:r>
      <w:proofErr w:type="spellEnd"/>
      <w:r w:rsidRPr="001D3665">
        <w:t xml:space="preserve"> for tollageret.</w:t>
      </w:r>
    </w:p>
    <w:p w14:paraId="42DB8AB0" w14:textId="77777777" w:rsidR="00BC371A" w:rsidRPr="001D3665" w:rsidRDefault="00BC371A" w:rsidP="001D3665">
      <w:r w:rsidRPr="001D3665">
        <w:t xml:space="preserve">Som </w:t>
      </w:r>
      <w:proofErr w:type="spellStart"/>
      <w:r w:rsidRPr="001D3665">
        <w:t>ein</w:t>
      </w:r>
      <w:proofErr w:type="spellEnd"/>
      <w:r w:rsidRPr="001D3665">
        <w:t xml:space="preserve"> del av digitaliseringa av melde- og </w:t>
      </w:r>
      <w:proofErr w:type="spellStart"/>
      <w:r w:rsidRPr="001D3665">
        <w:t>opplysingsplikta</w:t>
      </w:r>
      <w:proofErr w:type="spellEnd"/>
      <w:r w:rsidRPr="001D3665">
        <w:t xml:space="preserve">, foreslår departementet å utvide plikta slik at </w:t>
      </w:r>
      <w:proofErr w:type="spellStart"/>
      <w:r w:rsidRPr="001D3665">
        <w:t>førar</w:t>
      </w:r>
      <w:proofErr w:type="spellEnd"/>
      <w:r w:rsidRPr="001D3665">
        <w:t xml:space="preserve"> må </w:t>
      </w:r>
      <w:proofErr w:type="spellStart"/>
      <w:r w:rsidRPr="001D3665">
        <w:t>oppgje</w:t>
      </w:r>
      <w:proofErr w:type="spellEnd"/>
      <w:r w:rsidRPr="001D3665">
        <w:t xml:space="preserve"> </w:t>
      </w:r>
      <w:proofErr w:type="spellStart"/>
      <w:r w:rsidRPr="001D3665">
        <w:t>ein</w:t>
      </w:r>
      <w:proofErr w:type="spellEnd"/>
      <w:r w:rsidRPr="001D3665">
        <w:t xml:space="preserve"> referanse til tolldeklarasjonen for varene som vert frakta med transportmiddelet. Framlegget vil </w:t>
      </w:r>
      <w:proofErr w:type="spellStart"/>
      <w:r w:rsidRPr="001D3665">
        <w:t>gjere</w:t>
      </w:r>
      <w:proofErr w:type="spellEnd"/>
      <w:r w:rsidRPr="001D3665">
        <w:t xml:space="preserve"> Tolletaten i stand til å kople sendinga av varene til deklarasjonen for varene digitalt. Dette er </w:t>
      </w:r>
      <w:proofErr w:type="spellStart"/>
      <w:r w:rsidRPr="001D3665">
        <w:t>naudsynt</w:t>
      </w:r>
      <w:proofErr w:type="spellEnd"/>
      <w:r w:rsidRPr="001D3665">
        <w:t xml:space="preserve"> for at Tolletaten skal kunne vurdere risiko og behovet for kontroll når transportmiddelet kjem til tollområdet.</w:t>
      </w:r>
    </w:p>
    <w:p w14:paraId="7B6460F1" w14:textId="77777777" w:rsidR="00BC371A" w:rsidRPr="001D3665" w:rsidRDefault="00BC371A" w:rsidP="001D3665">
      <w:r w:rsidRPr="001D3665">
        <w:t xml:space="preserve">Tolletaten sende framlegget om å utvide </w:t>
      </w:r>
      <w:proofErr w:type="spellStart"/>
      <w:r w:rsidRPr="001D3665">
        <w:t>opplysingsplikta</w:t>
      </w:r>
      <w:proofErr w:type="spellEnd"/>
      <w:r w:rsidRPr="001D3665">
        <w:t xml:space="preserve"> for </w:t>
      </w:r>
      <w:proofErr w:type="spellStart"/>
      <w:r w:rsidRPr="001D3665">
        <w:t>førar</w:t>
      </w:r>
      <w:proofErr w:type="spellEnd"/>
      <w:r w:rsidRPr="001D3665">
        <w:t xml:space="preserve"> på </w:t>
      </w:r>
      <w:proofErr w:type="spellStart"/>
      <w:r w:rsidRPr="001D3665">
        <w:t>høyring</w:t>
      </w:r>
      <w:proofErr w:type="spellEnd"/>
      <w:r w:rsidRPr="001D3665">
        <w:t xml:space="preserve"> 5. mai 2025. </w:t>
      </w:r>
      <w:proofErr w:type="spellStart"/>
      <w:r w:rsidRPr="001D3665">
        <w:t>Høyringsfristen</w:t>
      </w:r>
      <w:proofErr w:type="spellEnd"/>
      <w:r w:rsidRPr="001D3665">
        <w:t xml:space="preserve"> gjekk ut 19. juni 2025. </w:t>
      </w:r>
      <w:proofErr w:type="spellStart"/>
      <w:r w:rsidRPr="001D3665">
        <w:t>Fleire</w:t>
      </w:r>
      <w:proofErr w:type="spellEnd"/>
      <w:r w:rsidRPr="001D3665">
        <w:t xml:space="preserve"> </w:t>
      </w:r>
      <w:proofErr w:type="spellStart"/>
      <w:r w:rsidRPr="001D3665">
        <w:t>høyringssvar</w:t>
      </w:r>
      <w:proofErr w:type="spellEnd"/>
      <w:r w:rsidRPr="001D3665">
        <w:t xml:space="preserve"> </w:t>
      </w:r>
      <w:proofErr w:type="spellStart"/>
      <w:r w:rsidRPr="001D3665">
        <w:t>peiker</w:t>
      </w:r>
      <w:proofErr w:type="spellEnd"/>
      <w:r w:rsidRPr="001D3665">
        <w:t xml:space="preserve"> på </w:t>
      </w:r>
      <w:proofErr w:type="spellStart"/>
      <w:r w:rsidRPr="001D3665">
        <w:t>utfordringar</w:t>
      </w:r>
      <w:proofErr w:type="spellEnd"/>
      <w:r w:rsidRPr="001D3665">
        <w:t xml:space="preserve"> i samband med korleis informasjon skal </w:t>
      </w:r>
      <w:proofErr w:type="spellStart"/>
      <w:r w:rsidRPr="001D3665">
        <w:t>delast</w:t>
      </w:r>
      <w:proofErr w:type="spellEnd"/>
      <w:r w:rsidRPr="001D3665">
        <w:t xml:space="preserve"> mellom ulike </w:t>
      </w:r>
      <w:proofErr w:type="spellStart"/>
      <w:r w:rsidRPr="001D3665">
        <w:t>aktørar</w:t>
      </w:r>
      <w:proofErr w:type="spellEnd"/>
      <w:r w:rsidRPr="001D3665">
        <w:t xml:space="preserve"> før grensa vert passert. </w:t>
      </w:r>
      <w:proofErr w:type="spellStart"/>
      <w:r w:rsidRPr="001D3665">
        <w:t>Ein</w:t>
      </w:r>
      <w:proofErr w:type="spellEnd"/>
      <w:r w:rsidRPr="001D3665">
        <w:t xml:space="preserve"> </w:t>
      </w:r>
      <w:proofErr w:type="spellStart"/>
      <w:r w:rsidRPr="001D3665">
        <w:t>føresetnad</w:t>
      </w:r>
      <w:proofErr w:type="spellEnd"/>
      <w:r w:rsidRPr="001D3665">
        <w:t xml:space="preserve"> for framlegget er </w:t>
      </w:r>
      <w:proofErr w:type="spellStart"/>
      <w:r w:rsidRPr="001D3665">
        <w:t>difor</w:t>
      </w:r>
      <w:proofErr w:type="spellEnd"/>
      <w:r w:rsidRPr="001D3665">
        <w:t xml:space="preserve"> at det vert lagt til rette for at </w:t>
      </w:r>
      <w:proofErr w:type="spellStart"/>
      <w:r w:rsidRPr="001D3665">
        <w:t>føraren</w:t>
      </w:r>
      <w:proofErr w:type="spellEnd"/>
      <w:r w:rsidRPr="001D3665">
        <w:t xml:space="preserve"> kan kople sendinga mot tolldeklarasjonen på </w:t>
      </w:r>
      <w:proofErr w:type="spellStart"/>
      <w:r w:rsidRPr="001D3665">
        <w:t>ein</w:t>
      </w:r>
      <w:proofErr w:type="spellEnd"/>
      <w:r w:rsidRPr="001D3665">
        <w:t xml:space="preserve"> effektiv måte. Tolletaten tilbyr ei løysing for samhandling (</w:t>
      </w:r>
      <w:proofErr w:type="spellStart"/>
      <w:r w:rsidRPr="001D3665">
        <w:t>Digitoll</w:t>
      </w:r>
      <w:proofErr w:type="spellEnd"/>
      <w:r w:rsidRPr="001D3665">
        <w:t xml:space="preserve"> Portal) som </w:t>
      </w:r>
      <w:proofErr w:type="spellStart"/>
      <w:r w:rsidRPr="001D3665">
        <w:t>legg</w:t>
      </w:r>
      <w:proofErr w:type="spellEnd"/>
      <w:r w:rsidRPr="001D3665">
        <w:t xml:space="preserve"> til rette for å dele og kople informasjon som i dag vert </w:t>
      </w:r>
      <w:proofErr w:type="spellStart"/>
      <w:r w:rsidRPr="001D3665">
        <w:t>kravd</w:t>
      </w:r>
      <w:proofErr w:type="spellEnd"/>
      <w:r w:rsidRPr="001D3665">
        <w:t xml:space="preserve"> etter melde- og </w:t>
      </w:r>
      <w:proofErr w:type="spellStart"/>
      <w:r w:rsidRPr="001D3665">
        <w:t>opplysingsplikta</w:t>
      </w:r>
      <w:proofErr w:type="spellEnd"/>
      <w:r w:rsidRPr="001D3665">
        <w:t xml:space="preserve">. Denne løysinga vil </w:t>
      </w:r>
      <w:proofErr w:type="spellStart"/>
      <w:r w:rsidRPr="001D3665">
        <w:t>verte</w:t>
      </w:r>
      <w:proofErr w:type="spellEnd"/>
      <w:r w:rsidRPr="001D3665">
        <w:t xml:space="preserve"> utvida til òg å kunne støtte koplinga av sendinga mot deklarasjonen.</w:t>
      </w:r>
    </w:p>
    <w:p w14:paraId="54E80A0A" w14:textId="77777777" w:rsidR="00BC371A" w:rsidRPr="001D3665" w:rsidRDefault="00BC371A" w:rsidP="001D3665">
      <w:r w:rsidRPr="001D3665">
        <w:t xml:space="preserve">På denne bakgrunnen vert det gjort framlegg om at </w:t>
      </w:r>
      <w:proofErr w:type="spellStart"/>
      <w:r w:rsidRPr="001D3665">
        <w:t>føraren</w:t>
      </w:r>
      <w:proofErr w:type="spellEnd"/>
      <w:r w:rsidRPr="001D3665">
        <w:t xml:space="preserve"> av transportmiddelet får plikt til å </w:t>
      </w:r>
      <w:proofErr w:type="spellStart"/>
      <w:r w:rsidRPr="001D3665">
        <w:t>oppgje</w:t>
      </w:r>
      <w:proofErr w:type="spellEnd"/>
      <w:r w:rsidRPr="001D3665">
        <w:t xml:space="preserve"> referanse til deklarasjonen for varene som vert frakta som last på transportmiddelet.</w:t>
      </w:r>
    </w:p>
    <w:p w14:paraId="64D611A6" w14:textId="77777777" w:rsidR="00BC371A" w:rsidRPr="001D3665" w:rsidRDefault="00BC371A" w:rsidP="001D3665">
      <w:r w:rsidRPr="001D3665">
        <w:t xml:space="preserve">Det vil </w:t>
      </w:r>
      <w:proofErr w:type="spellStart"/>
      <w:r w:rsidRPr="001D3665">
        <w:t>vere</w:t>
      </w:r>
      <w:proofErr w:type="spellEnd"/>
      <w:r w:rsidRPr="001D3665">
        <w:t xml:space="preserve"> behov for ei overgangsordning fram til deklarasjonsfritaket for varer som vert innførte under prosedyren tollager og ordninga med direktekøyring, </w:t>
      </w:r>
      <w:proofErr w:type="spellStart"/>
      <w:r w:rsidRPr="001D3665">
        <w:t>opphøyrer</w:t>
      </w:r>
      <w:proofErr w:type="spellEnd"/>
      <w:r w:rsidRPr="001D3665">
        <w:t xml:space="preserve">. </w:t>
      </w:r>
      <w:proofErr w:type="spellStart"/>
      <w:r w:rsidRPr="001D3665">
        <w:t>Førar</w:t>
      </w:r>
      <w:proofErr w:type="spellEnd"/>
      <w:r w:rsidRPr="001D3665">
        <w:t xml:space="preserve"> vil då </w:t>
      </w:r>
      <w:proofErr w:type="spellStart"/>
      <w:r w:rsidRPr="001D3665">
        <w:t>oppgje</w:t>
      </w:r>
      <w:proofErr w:type="spellEnd"/>
      <w:r w:rsidRPr="001D3665">
        <w:t xml:space="preserve"> godsregistreringsnummeret til </w:t>
      </w:r>
      <w:proofErr w:type="spellStart"/>
      <w:r w:rsidRPr="001D3665">
        <w:t>haldaren</w:t>
      </w:r>
      <w:proofErr w:type="spellEnd"/>
      <w:r w:rsidRPr="001D3665">
        <w:t xml:space="preserve"> av tollager i staden for referansen til deklarasjonen for varene. Departementet </w:t>
      </w:r>
      <w:proofErr w:type="spellStart"/>
      <w:r w:rsidRPr="001D3665">
        <w:t>legg</w:t>
      </w:r>
      <w:proofErr w:type="spellEnd"/>
      <w:r w:rsidRPr="001D3665">
        <w:t xml:space="preserve"> til grunn at </w:t>
      </w:r>
      <w:proofErr w:type="spellStart"/>
      <w:r w:rsidRPr="001D3665">
        <w:t>ein</w:t>
      </w:r>
      <w:proofErr w:type="spellEnd"/>
      <w:r w:rsidRPr="001D3665">
        <w:t xml:space="preserve"> i forskrift kan </w:t>
      </w:r>
      <w:proofErr w:type="spellStart"/>
      <w:r w:rsidRPr="001D3665">
        <w:t>fastsetje</w:t>
      </w:r>
      <w:proofErr w:type="spellEnd"/>
      <w:r w:rsidRPr="001D3665">
        <w:t xml:space="preserve"> unntak </w:t>
      </w:r>
      <w:proofErr w:type="spellStart"/>
      <w:r w:rsidRPr="001D3665">
        <w:t>frå</w:t>
      </w:r>
      <w:proofErr w:type="spellEnd"/>
      <w:r w:rsidRPr="001D3665">
        <w:t xml:space="preserve"> plikta til å </w:t>
      </w:r>
      <w:proofErr w:type="spellStart"/>
      <w:r w:rsidRPr="001D3665">
        <w:t>oppgje</w:t>
      </w:r>
      <w:proofErr w:type="spellEnd"/>
      <w:r w:rsidRPr="001D3665">
        <w:t xml:space="preserve"> referanse til deklarasjonen for varene.</w:t>
      </w:r>
    </w:p>
    <w:p w14:paraId="036FFC5A" w14:textId="77777777" w:rsidR="00BC371A" w:rsidRPr="001D3665" w:rsidRDefault="00BC371A" w:rsidP="001D3665">
      <w:r w:rsidRPr="001D3665">
        <w:t xml:space="preserve">Utvida </w:t>
      </w:r>
      <w:proofErr w:type="spellStart"/>
      <w:r w:rsidRPr="001D3665">
        <w:t>opplysingsplikt</w:t>
      </w:r>
      <w:proofErr w:type="spellEnd"/>
      <w:r w:rsidRPr="001D3665">
        <w:t xml:space="preserve"> for </w:t>
      </w:r>
      <w:proofErr w:type="spellStart"/>
      <w:r w:rsidRPr="001D3665">
        <w:t>førar</w:t>
      </w:r>
      <w:proofErr w:type="spellEnd"/>
      <w:r w:rsidRPr="001D3665">
        <w:t xml:space="preserve"> vil, </w:t>
      </w:r>
      <w:proofErr w:type="spellStart"/>
      <w:r w:rsidRPr="001D3665">
        <w:t>saman</w:t>
      </w:r>
      <w:proofErr w:type="spellEnd"/>
      <w:r w:rsidRPr="001D3665">
        <w:t xml:space="preserve"> med plikta til å levere </w:t>
      </w:r>
      <w:proofErr w:type="spellStart"/>
      <w:r w:rsidRPr="001D3665">
        <w:t>opplysingane</w:t>
      </w:r>
      <w:proofErr w:type="spellEnd"/>
      <w:r w:rsidRPr="001D3665">
        <w:t xml:space="preserve"> digitalt, </w:t>
      </w:r>
      <w:proofErr w:type="spellStart"/>
      <w:r w:rsidRPr="001D3665">
        <w:t>krevje</w:t>
      </w:r>
      <w:proofErr w:type="spellEnd"/>
      <w:r w:rsidRPr="001D3665">
        <w:t xml:space="preserve"> </w:t>
      </w:r>
      <w:proofErr w:type="spellStart"/>
      <w:r w:rsidRPr="001D3665">
        <w:t>tilpassingar</w:t>
      </w:r>
      <w:proofErr w:type="spellEnd"/>
      <w:r w:rsidRPr="001D3665">
        <w:t xml:space="preserve"> og medføre </w:t>
      </w:r>
      <w:proofErr w:type="spellStart"/>
      <w:r w:rsidRPr="001D3665">
        <w:t>kostnadar</w:t>
      </w:r>
      <w:proofErr w:type="spellEnd"/>
      <w:r w:rsidRPr="001D3665">
        <w:t xml:space="preserve"> til </w:t>
      </w:r>
      <w:proofErr w:type="spellStart"/>
      <w:r w:rsidRPr="001D3665">
        <w:t>omstillingar</w:t>
      </w:r>
      <w:proofErr w:type="spellEnd"/>
      <w:r w:rsidRPr="001D3665">
        <w:t xml:space="preserve"> for næringslivet. For Tolletaten vil ei utvida </w:t>
      </w:r>
      <w:proofErr w:type="spellStart"/>
      <w:r w:rsidRPr="001D3665">
        <w:t>opplysingsplikt</w:t>
      </w:r>
      <w:proofErr w:type="spellEnd"/>
      <w:r w:rsidRPr="001D3665">
        <w:t xml:space="preserve"> </w:t>
      </w:r>
      <w:proofErr w:type="spellStart"/>
      <w:r w:rsidRPr="001D3665">
        <w:t>berre</w:t>
      </w:r>
      <w:proofErr w:type="spellEnd"/>
      <w:r w:rsidRPr="001D3665">
        <w:t xml:space="preserve"> ha mindre administrative og økonomiske </w:t>
      </w:r>
      <w:proofErr w:type="spellStart"/>
      <w:r w:rsidRPr="001D3665">
        <w:t>konsekvensar</w:t>
      </w:r>
      <w:proofErr w:type="spellEnd"/>
      <w:r w:rsidRPr="001D3665">
        <w:t>.</w:t>
      </w:r>
    </w:p>
    <w:p w14:paraId="7A30C383" w14:textId="77777777" w:rsidR="00BC371A" w:rsidRPr="001D3665" w:rsidRDefault="00BC371A" w:rsidP="001D3665">
      <w:r w:rsidRPr="001D3665">
        <w:t xml:space="preserve">Departementet viser til framlegg om </w:t>
      </w:r>
      <w:proofErr w:type="spellStart"/>
      <w:r w:rsidRPr="001D3665">
        <w:t>endringar</w:t>
      </w:r>
      <w:proofErr w:type="spellEnd"/>
      <w:r w:rsidRPr="001D3665">
        <w:t xml:space="preserve"> i vareførselsloven § 2-3 fyrste ledd andre punktum.</w:t>
      </w:r>
    </w:p>
    <w:p w14:paraId="3BC968FC" w14:textId="77777777" w:rsidR="00BC371A" w:rsidRPr="001D3665" w:rsidRDefault="00BC371A" w:rsidP="001D3665">
      <w:r w:rsidRPr="001D3665">
        <w:t xml:space="preserve">Departementet foreslår at </w:t>
      </w:r>
      <w:proofErr w:type="spellStart"/>
      <w:r w:rsidRPr="001D3665">
        <w:t>endringane</w:t>
      </w:r>
      <w:proofErr w:type="spellEnd"/>
      <w:r w:rsidRPr="001D3665">
        <w:t xml:space="preserve"> </w:t>
      </w:r>
      <w:proofErr w:type="spellStart"/>
      <w:r w:rsidRPr="001D3665">
        <w:t>tek</w:t>
      </w:r>
      <w:proofErr w:type="spellEnd"/>
      <w:r w:rsidRPr="001D3665">
        <w:t xml:space="preserve"> til å gjelde </w:t>
      </w:r>
      <w:proofErr w:type="spellStart"/>
      <w:r w:rsidRPr="001D3665">
        <w:t>frå</w:t>
      </w:r>
      <w:proofErr w:type="spellEnd"/>
      <w:r w:rsidRPr="001D3665">
        <w:t xml:space="preserve"> den tid Kongen </w:t>
      </w:r>
      <w:proofErr w:type="spellStart"/>
      <w:r w:rsidRPr="001D3665">
        <w:t>fastset</w:t>
      </w:r>
      <w:proofErr w:type="spellEnd"/>
      <w:r w:rsidRPr="001D3665">
        <w:t xml:space="preserve">, då funksjonaliteten for å kople sendinga til tolldeklarasjonen </w:t>
      </w:r>
      <w:proofErr w:type="spellStart"/>
      <w:r w:rsidRPr="001D3665">
        <w:t>framleis</w:t>
      </w:r>
      <w:proofErr w:type="spellEnd"/>
      <w:r w:rsidRPr="001D3665">
        <w:t xml:space="preserve"> er under utvikling.</w:t>
      </w:r>
    </w:p>
    <w:p w14:paraId="38CD50B5" w14:textId="77777777" w:rsidR="00BC371A" w:rsidRPr="001D3665" w:rsidRDefault="00BC371A" w:rsidP="001D3665">
      <w:pPr>
        <w:pStyle w:val="Overskrift2"/>
      </w:pPr>
      <w:proofErr w:type="spellStart"/>
      <w:r w:rsidRPr="001D3665">
        <w:lastRenderedPageBreak/>
        <w:t>Gjeldande</w:t>
      </w:r>
      <w:proofErr w:type="spellEnd"/>
      <w:r w:rsidRPr="001D3665">
        <w:t xml:space="preserve"> rett</w:t>
      </w:r>
    </w:p>
    <w:p w14:paraId="379DFC55" w14:textId="77777777" w:rsidR="00BC371A" w:rsidRPr="001D3665" w:rsidRDefault="00BC371A" w:rsidP="001D3665">
      <w:pPr>
        <w:pStyle w:val="Overskrift3"/>
      </w:pPr>
      <w:r w:rsidRPr="001D3665">
        <w:t>Innleiing</w:t>
      </w:r>
    </w:p>
    <w:p w14:paraId="42E614C8" w14:textId="77777777" w:rsidR="00BC371A" w:rsidRPr="001D3665" w:rsidRDefault="00BC371A" w:rsidP="001D3665">
      <w:r w:rsidRPr="001D3665">
        <w:t xml:space="preserve">Innførsel av varer til tollområdet utløyser </w:t>
      </w:r>
      <w:proofErr w:type="spellStart"/>
      <w:r w:rsidRPr="001D3665">
        <w:t>fleire</w:t>
      </w:r>
      <w:proofErr w:type="spellEnd"/>
      <w:r w:rsidRPr="001D3665">
        <w:t xml:space="preserve"> plikter etter vareførselsloven. Dei </w:t>
      </w:r>
      <w:proofErr w:type="spellStart"/>
      <w:r w:rsidRPr="001D3665">
        <w:t>grunnleggjande</w:t>
      </w:r>
      <w:proofErr w:type="spellEnd"/>
      <w:r w:rsidRPr="001D3665">
        <w:t xml:space="preserve"> pliktene er plikta til å varsle </w:t>
      </w:r>
      <w:proofErr w:type="spellStart"/>
      <w:r w:rsidRPr="001D3665">
        <w:t>føreåt</w:t>
      </w:r>
      <w:proofErr w:type="spellEnd"/>
      <w:r w:rsidRPr="001D3665">
        <w:t xml:space="preserve"> etter § 2-1, melde- og </w:t>
      </w:r>
      <w:proofErr w:type="spellStart"/>
      <w:r w:rsidRPr="001D3665">
        <w:t>opplysingsplikta</w:t>
      </w:r>
      <w:proofErr w:type="spellEnd"/>
      <w:r w:rsidRPr="001D3665">
        <w:t xml:space="preserve"> etter § 2-3 og plikta til framlegging etter § 2-4. I tillegg skal alle varer </w:t>
      </w:r>
      <w:proofErr w:type="spellStart"/>
      <w:r w:rsidRPr="001D3665">
        <w:t>verte</w:t>
      </w:r>
      <w:proofErr w:type="spellEnd"/>
      <w:r w:rsidRPr="001D3665">
        <w:t xml:space="preserve"> deklarerte for </w:t>
      </w:r>
      <w:proofErr w:type="spellStart"/>
      <w:r w:rsidRPr="001D3665">
        <w:t>ein</w:t>
      </w:r>
      <w:proofErr w:type="spellEnd"/>
      <w:r w:rsidRPr="001D3665">
        <w:t xml:space="preserve"> tollprosedyre, sjå vareførselsloven § 3-1 fyrste ledd, § 3-2 og kapittel 4.</w:t>
      </w:r>
    </w:p>
    <w:p w14:paraId="0FB81693" w14:textId="77777777" w:rsidR="00BC371A" w:rsidRPr="001D3665" w:rsidRDefault="00BC371A" w:rsidP="001D3665">
      <w:pPr>
        <w:pStyle w:val="Overskrift3"/>
      </w:pPr>
      <w:r w:rsidRPr="001D3665">
        <w:t xml:space="preserve">Melde- og </w:t>
      </w:r>
      <w:proofErr w:type="spellStart"/>
      <w:r w:rsidRPr="001D3665">
        <w:t>opplysingsplikta</w:t>
      </w:r>
      <w:proofErr w:type="spellEnd"/>
    </w:p>
    <w:p w14:paraId="2446B7AE" w14:textId="77777777" w:rsidR="00BC371A" w:rsidRPr="001D3665" w:rsidRDefault="00BC371A" w:rsidP="001D3665">
      <w:r w:rsidRPr="001D3665">
        <w:t xml:space="preserve">Melde- og </w:t>
      </w:r>
      <w:proofErr w:type="spellStart"/>
      <w:r w:rsidRPr="001D3665">
        <w:t>opplysingsplikta</w:t>
      </w:r>
      <w:proofErr w:type="spellEnd"/>
      <w:r w:rsidRPr="001D3665">
        <w:t xml:space="preserve"> er heimla i vareførselsloven § 2-3. Etter fyrste ledd i denne føresegna skal </w:t>
      </w:r>
      <w:proofErr w:type="spellStart"/>
      <w:r w:rsidRPr="001D3665">
        <w:t>førar</w:t>
      </w:r>
      <w:proofErr w:type="spellEnd"/>
      <w:r w:rsidRPr="001D3665">
        <w:t xml:space="preserve"> av fartøy og luftfartøy melde </w:t>
      </w:r>
      <w:proofErr w:type="spellStart"/>
      <w:r w:rsidRPr="001D3665">
        <w:t>frå</w:t>
      </w:r>
      <w:proofErr w:type="spellEnd"/>
      <w:r w:rsidRPr="001D3665">
        <w:t xml:space="preserve"> til tollstyresmaktene «om ankomst til bestemmelsessted i tollområdet». Meldinga skal </w:t>
      </w:r>
      <w:proofErr w:type="spellStart"/>
      <w:r w:rsidRPr="001D3665">
        <w:t>innehalde</w:t>
      </w:r>
      <w:proofErr w:type="spellEnd"/>
      <w:r w:rsidRPr="001D3665">
        <w:t xml:space="preserve"> «opplysninger om transportmiddelet, besetningen og varer som bringes med som last».</w:t>
      </w:r>
    </w:p>
    <w:p w14:paraId="4801637B" w14:textId="77777777" w:rsidR="00BC371A" w:rsidRPr="001D3665" w:rsidRDefault="00BC371A" w:rsidP="001D3665">
      <w:r w:rsidRPr="001D3665">
        <w:t xml:space="preserve">Med heimel i vareførselsloven § 2-3 andre ledd er det fastsett </w:t>
      </w:r>
      <w:proofErr w:type="spellStart"/>
      <w:r w:rsidRPr="001D3665">
        <w:t>tilsvarande</w:t>
      </w:r>
      <w:proofErr w:type="spellEnd"/>
      <w:r w:rsidRPr="001D3665">
        <w:t xml:space="preserve"> meldeplikt for </w:t>
      </w:r>
      <w:proofErr w:type="spellStart"/>
      <w:r w:rsidRPr="001D3665">
        <w:t>førar</w:t>
      </w:r>
      <w:proofErr w:type="spellEnd"/>
      <w:r w:rsidRPr="001D3665">
        <w:t xml:space="preserve"> av motorvogn og tog, sjå vareførselsforskrifta § 2-3-3. Meldeplikta gjeld </w:t>
      </w:r>
      <w:proofErr w:type="spellStart"/>
      <w:r w:rsidRPr="001D3665">
        <w:t>berre</w:t>
      </w:r>
      <w:proofErr w:type="spellEnd"/>
      <w:r w:rsidRPr="001D3665">
        <w:t xml:space="preserve"> dersom transportmiddelet har med seg varer som skal </w:t>
      </w:r>
      <w:proofErr w:type="spellStart"/>
      <w:r w:rsidRPr="001D3665">
        <w:t>leggjast</w:t>
      </w:r>
      <w:proofErr w:type="spellEnd"/>
      <w:r w:rsidRPr="001D3665">
        <w:t xml:space="preserve"> fram etter vareførselsloven § 2-4. </w:t>
      </w:r>
      <w:proofErr w:type="spellStart"/>
      <w:r w:rsidRPr="001D3665">
        <w:t>Opplysingsplikta</w:t>
      </w:r>
      <w:proofErr w:type="spellEnd"/>
      <w:r w:rsidRPr="001D3665">
        <w:t xml:space="preserve"> for </w:t>
      </w:r>
      <w:proofErr w:type="spellStart"/>
      <w:r w:rsidRPr="001D3665">
        <w:t>førar</w:t>
      </w:r>
      <w:proofErr w:type="spellEnd"/>
      <w:r w:rsidRPr="001D3665">
        <w:t xml:space="preserve"> av motorvogn og tog er fastsett i vareførselsforskrifta § 2-3-4 fyrste ledd. Etter denne føresegna skal </w:t>
      </w:r>
      <w:proofErr w:type="spellStart"/>
      <w:r w:rsidRPr="001D3665">
        <w:t>føraren</w:t>
      </w:r>
      <w:proofErr w:type="spellEnd"/>
      <w:r w:rsidRPr="001D3665">
        <w:t xml:space="preserve"> «gi opplysninger om transportmiddelet, fører og varer som bringes med som last, […]».</w:t>
      </w:r>
    </w:p>
    <w:p w14:paraId="78523448" w14:textId="77777777" w:rsidR="00BC371A" w:rsidRPr="001D3665" w:rsidRDefault="00BC371A" w:rsidP="001D3665">
      <w:r w:rsidRPr="001D3665">
        <w:t xml:space="preserve">Det er </w:t>
      </w:r>
      <w:proofErr w:type="spellStart"/>
      <w:r w:rsidRPr="001D3665">
        <w:t>førar</w:t>
      </w:r>
      <w:proofErr w:type="spellEnd"/>
      <w:r w:rsidRPr="001D3665">
        <w:t xml:space="preserve"> av transportmiddelet som er pliktsubjektet for melde- og </w:t>
      </w:r>
      <w:proofErr w:type="spellStart"/>
      <w:r w:rsidRPr="001D3665">
        <w:t>opplysingsplikta</w:t>
      </w:r>
      <w:proofErr w:type="spellEnd"/>
      <w:r w:rsidRPr="001D3665">
        <w:t xml:space="preserve">. </w:t>
      </w:r>
      <w:proofErr w:type="spellStart"/>
      <w:r w:rsidRPr="001D3665">
        <w:t>Føraren</w:t>
      </w:r>
      <w:proofErr w:type="spellEnd"/>
      <w:r w:rsidRPr="001D3665">
        <w:t xml:space="preserve"> er «den som har kommandoen på et transportmiddel», jf. definisjonen i vareførselsloven § 1-3 bokstav d. </w:t>
      </w:r>
      <w:proofErr w:type="spellStart"/>
      <w:r w:rsidRPr="001D3665">
        <w:t>Føraren</w:t>
      </w:r>
      <w:proofErr w:type="spellEnd"/>
      <w:r w:rsidRPr="001D3665">
        <w:t xml:space="preserve"> har rett til å la seg representere av </w:t>
      </w:r>
      <w:proofErr w:type="spellStart"/>
      <w:r w:rsidRPr="001D3665">
        <w:t>ein</w:t>
      </w:r>
      <w:proofErr w:type="spellEnd"/>
      <w:r w:rsidRPr="001D3665">
        <w:t xml:space="preserve"> tollrepresentant ved oppfyllinga av </w:t>
      </w:r>
      <w:proofErr w:type="spellStart"/>
      <w:r w:rsidRPr="001D3665">
        <w:t>opplysingsplikta</w:t>
      </w:r>
      <w:proofErr w:type="spellEnd"/>
      <w:r w:rsidRPr="001D3665">
        <w:t xml:space="preserve">, jf. vareførselsloven § 7-21. Ved slik representasjon </w:t>
      </w:r>
      <w:proofErr w:type="spellStart"/>
      <w:r w:rsidRPr="001D3665">
        <w:t>handlar</w:t>
      </w:r>
      <w:proofErr w:type="spellEnd"/>
      <w:r w:rsidRPr="001D3665">
        <w:t xml:space="preserve"> tollrepresentanten på vegne av </w:t>
      </w:r>
      <w:proofErr w:type="spellStart"/>
      <w:r w:rsidRPr="001D3665">
        <w:t>føraren</w:t>
      </w:r>
      <w:proofErr w:type="spellEnd"/>
      <w:r w:rsidRPr="001D3665">
        <w:t xml:space="preserve"> og oppfyller plikta i </w:t>
      </w:r>
      <w:proofErr w:type="spellStart"/>
      <w:r w:rsidRPr="001D3665">
        <w:t>føraren</w:t>
      </w:r>
      <w:proofErr w:type="spellEnd"/>
      <w:r w:rsidRPr="001D3665">
        <w:t xml:space="preserve"> sitt </w:t>
      </w:r>
      <w:proofErr w:type="spellStart"/>
      <w:r w:rsidRPr="001D3665">
        <w:t>namn</w:t>
      </w:r>
      <w:proofErr w:type="spellEnd"/>
      <w:r w:rsidRPr="001D3665">
        <w:t xml:space="preserve">. Ved digital oppfylling av melde- og </w:t>
      </w:r>
      <w:proofErr w:type="spellStart"/>
      <w:r w:rsidRPr="001D3665">
        <w:t>opplysingsplikta</w:t>
      </w:r>
      <w:proofErr w:type="spellEnd"/>
      <w:r w:rsidRPr="001D3665">
        <w:t xml:space="preserve"> vil det i praksis alltid </w:t>
      </w:r>
      <w:proofErr w:type="spellStart"/>
      <w:r w:rsidRPr="001D3665">
        <w:t>vere</w:t>
      </w:r>
      <w:proofErr w:type="spellEnd"/>
      <w:r w:rsidRPr="001D3665">
        <w:t xml:space="preserve"> </w:t>
      </w:r>
      <w:proofErr w:type="spellStart"/>
      <w:r w:rsidRPr="001D3665">
        <w:t>ein</w:t>
      </w:r>
      <w:proofErr w:type="spellEnd"/>
      <w:r w:rsidRPr="001D3665">
        <w:t xml:space="preserve"> tollrepresentant som leverer </w:t>
      </w:r>
      <w:proofErr w:type="spellStart"/>
      <w:r w:rsidRPr="001D3665">
        <w:t>opplysingane</w:t>
      </w:r>
      <w:proofErr w:type="spellEnd"/>
      <w:r w:rsidRPr="001D3665">
        <w:t>.</w:t>
      </w:r>
    </w:p>
    <w:p w14:paraId="04AC9CC1" w14:textId="77777777" w:rsidR="00BC371A" w:rsidRPr="001D3665" w:rsidRDefault="00BC371A" w:rsidP="001D3665">
      <w:r w:rsidRPr="001D3665">
        <w:t xml:space="preserve">Etter vareførselsloven § 2-3 andre ledd kan det </w:t>
      </w:r>
      <w:proofErr w:type="spellStart"/>
      <w:r w:rsidRPr="001D3665">
        <w:t>verte</w:t>
      </w:r>
      <w:proofErr w:type="spellEnd"/>
      <w:r w:rsidRPr="001D3665">
        <w:t xml:space="preserve"> fastsett forskrift «om hvilke opplysninger som skal gis, når opplysningene skal gis, leveringsmåten og om unntak fra pliktene». Det er fastsett </w:t>
      </w:r>
      <w:proofErr w:type="spellStart"/>
      <w:r w:rsidRPr="001D3665">
        <w:t>utfyllande</w:t>
      </w:r>
      <w:proofErr w:type="spellEnd"/>
      <w:r w:rsidRPr="001D3665">
        <w:t xml:space="preserve"> føresegner om melde- og </w:t>
      </w:r>
      <w:proofErr w:type="spellStart"/>
      <w:r w:rsidRPr="001D3665">
        <w:t>opplysingsplikta</w:t>
      </w:r>
      <w:proofErr w:type="spellEnd"/>
      <w:r w:rsidRPr="001D3665">
        <w:t xml:space="preserve"> for alle </w:t>
      </w:r>
      <w:proofErr w:type="spellStart"/>
      <w:r w:rsidRPr="001D3665">
        <w:t>transportmåtar</w:t>
      </w:r>
      <w:proofErr w:type="spellEnd"/>
      <w:r w:rsidRPr="001D3665">
        <w:t xml:space="preserve"> i vareførselsforskrifta §§ 2-3-1 til 2-3-5.</w:t>
      </w:r>
    </w:p>
    <w:p w14:paraId="6D064F7C" w14:textId="77777777" w:rsidR="00BC371A" w:rsidRPr="001D3665" w:rsidRDefault="00BC371A" w:rsidP="001D3665">
      <w:r w:rsidRPr="001D3665">
        <w:t xml:space="preserve">Melde- og </w:t>
      </w:r>
      <w:proofErr w:type="spellStart"/>
      <w:r w:rsidRPr="001D3665">
        <w:t>opplysingsplikta</w:t>
      </w:r>
      <w:proofErr w:type="spellEnd"/>
      <w:r w:rsidRPr="001D3665">
        <w:t xml:space="preserve"> vert i dag oppfylt på ulike </w:t>
      </w:r>
      <w:proofErr w:type="spellStart"/>
      <w:r w:rsidRPr="001D3665">
        <w:t>måtar</w:t>
      </w:r>
      <w:proofErr w:type="spellEnd"/>
      <w:r w:rsidRPr="001D3665">
        <w:t xml:space="preserve">, avhengig av kva for transportmåte som vert nytta, og kva slags dokumentasjon som vert lagt fram. Ved transport med motorvogn via landeveg eller på ferje, møter </w:t>
      </w:r>
      <w:proofErr w:type="spellStart"/>
      <w:r w:rsidRPr="001D3665">
        <w:t>føraren</w:t>
      </w:r>
      <w:proofErr w:type="spellEnd"/>
      <w:r w:rsidRPr="001D3665">
        <w:t xml:space="preserve"> fysisk opp ved Tolletaten sin </w:t>
      </w:r>
      <w:proofErr w:type="spellStart"/>
      <w:r w:rsidRPr="001D3665">
        <w:t>ekspedisjonsstad</w:t>
      </w:r>
      <w:proofErr w:type="spellEnd"/>
      <w:r w:rsidRPr="001D3665">
        <w:t xml:space="preserve"> for å </w:t>
      </w:r>
      <w:proofErr w:type="spellStart"/>
      <w:r w:rsidRPr="001D3665">
        <w:t>leggje</w:t>
      </w:r>
      <w:proofErr w:type="spellEnd"/>
      <w:r w:rsidRPr="001D3665">
        <w:t xml:space="preserve"> fram dokumentasjonen om lasta på transportmiddelet. </w:t>
      </w:r>
      <w:proofErr w:type="spellStart"/>
      <w:r w:rsidRPr="001D3665">
        <w:t>Føraren</w:t>
      </w:r>
      <w:proofErr w:type="spellEnd"/>
      <w:r w:rsidRPr="001D3665">
        <w:t xml:space="preserve"> har fått dokumentasjonen om lasta ved å kontakte den deklarasjonspliktige eller denne sin tollrepresentant. På denne måten vert melde- og </w:t>
      </w:r>
      <w:proofErr w:type="spellStart"/>
      <w:r w:rsidRPr="001D3665">
        <w:t>opplysingsplikta</w:t>
      </w:r>
      <w:proofErr w:type="spellEnd"/>
      <w:r w:rsidRPr="001D3665">
        <w:t xml:space="preserve"> (ved fysisk oppmøte) kopla </w:t>
      </w:r>
      <w:proofErr w:type="spellStart"/>
      <w:r w:rsidRPr="001D3665">
        <w:t>saman</w:t>
      </w:r>
      <w:proofErr w:type="spellEnd"/>
      <w:r w:rsidRPr="001D3665">
        <w:t xml:space="preserve"> med den relevante deklarasjonen.</w:t>
      </w:r>
    </w:p>
    <w:p w14:paraId="26242ACE" w14:textId="77777777" w:rsidR="00BC371A" w:rsidRPr="001D3665" w:rsidRDefault="00BC371A" w:rsidP="001D3665">
      <w:r w:rsidRPr="001D3665">
        <w:t xml:space="preserve">Når varer kjem med fartøy, luftfartøy eller tog, er det i </w:t>
      </w:r>
      <w:proofErr w:type="spellStart"/>
      <w:r w:rsidRPr="001D3665">
        <w:t>dei</w:t>
      </w:r>
      <w:proofErr w:type="spellEnd"/>
      <w:r w:rsidRPr="001D3665">
        <w:t xml:space="preserve"> fleste tilfelle </w:t>
      </w:r>
      <w:proofErr w:type="spellStart"/>
      <w:r w:rsidRPr="001D3665">
        <w:t>føraren</w:t>
      </w:r>
      <w:proofErr w:type="spellEnd"/>
      <w:r w:rsidRPr="001D3665">
        <w:t xml:space="preserve"> sin tollrepresentant som </w:t>
      </w:r>
      <w:proofErr w:type="spellStart"/>
      <w:r w:rsidRPr="001D3665">
        <w:t>sørgjer</w:t>
      </w:r>
      <w:proofErr w:type="spellEnd"/>
      <w:r w:rsidRPr="001D3665">
        <w:t xml:space="preserve"> for at </w:t>
      </w:r>
      <w:proofErr w:type="spellStart"/>
      <w:r w:rsidRPr="001D3665">
        <w:t>naudsynt</w:t>
      </w:r>
      <w:proofErr w:type="spellEnd"/>
      <w:r w:rsidRPr="001D3665">
        <w:t xml:space="preserve"> dokumentasjon om lasten vert levert til Tolletaten. For fartøy vert dokumentasjonen sendt inn via systemet </w:t>
      </w:r>
      <w:proofErr w:type="spellStart"/>
      <w:r w:rsidRPr="001D3665">
        <w:t>SafeSeaNet</w:t>
      </w:r>
      <w:proofErr w:type="spellEnd"/>
      <w:r w:rsidRPr="001D3665">
        <w:t xml:space="preserve"> Norway. Som regel vil tollrepresentanten </w:t>
      </w:r>
      <w:proofErr w:type="spellStart"/>
      <w:r w:rsidRPr="001D3665">
        <w:t>vere</w:t>
      </w:r>
      <w:proofErr w:type="spellEnd"/>
      <w:r w:rsidRPr="001D3665">
        <w:t xml:space="preserve"> </w:t>
      </w:r>
      <w:proofErr w:type="spellStart"/>
      <w:r w:rsidRPr="001D3665">
        <w:t>ansvarleg</w:t>
      </w:r>
      <w:proofErr w:type="spellEnd"/>
      <w:r w:rsidRPr="001D3665">
        <w:t xml:space="preserve"> for transporten etter avtale om fraktoppdraget. Ved framkomst vil </w:t>
      </w:r>
      <w:proofErr w:type="spellStart"/>
      <w:r w:rsidRPr="001D3665">
        <w:t>ein</w:t>
      </w:r>
      <w:proofErr w:type="spellEnd"/>
      <w:r w:rsidRPr="001D3665">
        <w:t xml:space="preserve"> </w:t>
      </w:r>
      <w:r w:rsidRPr="001D3665">
        <w:lastRenderedPageBreak/>
        <w:t xml:space="preserve">tolldeklarasjon i </w:t>
      </w:r>
      <w:proofErr w:type="spellStart"/>
      <w:r w:rsidRPr="001D3665">
        <w:t>nokre</w:t>
      </w:r>
      <w:proofErr w:type="spellEnd"/>
      <w:r w:rsidRPr="001D3665">
        <w:t xml:space="preserve"> tilfelle </w:t>
      </w:r>
      <w:proofErr w:type="spellStart"/>
      <w:r w:rsidRPr="001D3665">
        <w:t>verte</w:t>
      </w:r>
      <w:proofErr w:type="spellEnd"/>
      <w:r w:rsidRPr="001D3665">
        <w:t xml:space="preserve"> levert eller sendt til Tolletaten via e-post. I andre </w:t>
      </w:r>
      <w:proofErr w:type="spellStart"/>
      <w:r w:rsidRPr="001D3665">
        <w:t>tilfelle</w:t>
      </w:r>
      <w:proofErr w:type="spellEnd"/>
      <w:r w:rsidRPr="001D3665">
        <w:t xml:space="preserve"> vil hen </w:t>
      </w:r>
      <w:proofErr w:type="spellStart"/>
      <w:r w:rsidRPr="001D3665">
        <w:t>ikkje</w:t>
      </w:r>
      <w:proofErr w:type="spellEnd"/>
      <w:r w:rsidRPr="001D3665">
        <w:t xml:space="preserve"> </w:t>
      </w:r>
      <w:proofErr w:type="spellStart"/>
      <w:r w:rsidRPr="001D3665">
        <w:t>vere</w:t>
      </w:r>
      <w:proofErr w:type="spellEnd"/>
      <w:r w:rsidRPr="001D3665">
        <w:t xml:space="preserve"> </w:t>
      </w:r>
      <w:proofErr w:type="spellStart"/>
      <w:r w:rsidRPr="001D3665">
        <w:t>tilgjengeleg</w:t>
      </w:r>
      <w:proofErr w:type="spellEnd"/>
      <w:r w:rsidRPr="001D3665">
        <w:t xml:space="preserve"> før ei stund etter framkomsten.</w:t>
      </w:r>
    </w:p>
    <w:p w14:paraId="548AE3E5" w14:textId="77777777" w:rsidR="00BC371A" w:rsidRPr="001D3665" w:rsidRDefault="00BC371A" w:rsidP="001D3665">
      <w:r w:rsidRPr="001D3665">
        <w:t xml:space="preserve">I praksis </w:t>
      </w:r>
      <w:proofErr w:type="spellStart"/>
      <w:r w:rsidRPr="001D3665">
        <w:t>nyttar</w:t>
      </w:r>
      <w:proofErr w:type="spellEnd"/>
      <w:r w:rsidRPr="001D3665">
        <w:t xml:space="preserve"> </w:t>
      </w:r>
      <w:proofErr w:type="spellStart"/>
      <w:r w:rsidRPr="001D3665">
        <w:t>dei</w:t>
      </w:r>
      <w:proofErr w:type="spellEnd"/>
      <w:r w:rsidRPr="001D3665">
        <w:t xml:space="preserve"> involverte </w:t>
      </w:r>
      <w:proofErr w:type="spellStart"/>
      <w:r w:rsidRPr="001D3665">
        <w:t>aktørane</w:t>
      </w:r>
      <w:proofErr w:type="spellEnd"/>
      <w:r w:rsidRPr="001D3665">
        <w:t xml:space="preserve"> ulike </w:t>
      </w:r>
      <w:proofErr w:type="spellStart"/>
      <w:r w:rsidRPr="001D3665">
        <w:t>måtar</w:t>
      </w:r>
      <w:proofErr w:type="spellEnd"/>
      <w:r w:rsidRPr="001D3665">
        <w:t xml:space="preserve"> for å dele relevant informasjon om melde- og </w:t>
      </w:r>
      <w:proofErr w:type="spellStart"/>
      <w:r w:rsidRPr="001D3665">
        <w:t>opplysingsplikta</w:t>
      </w:r>
      <w:proofErr w:type="spellEnd"/>
      <w:r w:rsidRPr="001D3665">
        <w:t xml:space="preserve">. </w:t>
      </w:r>
      <w:proofErr w:type="spellStart"/>
      <w:r w:rsidRPr="001D3665">
        <w:t>Aktørane</w:t>
      </w:r>
      <w:proofErr w:type="spellEnd"/>
      <w:r w:rsidRPr="001D3665">
        <w:t xml:space="preserve"> bruker telefon, e-post eller andre IT-</w:t>
      </w:r>
      <w:proofErr w:type="spellStart"/>
      <w:r w:rsidRPr="001D3665">
        <w:t>løysingar</w:t>
      </w:r>
      <w:proofErr w:type="spellEnd"/>
      <w:r w:rsidRPr="001D3665">
        <w:t>.</w:t>
      </w:r>
    </w:p>
    <w:p w14:paraId="6F55B7D5" w14:textId="77777777" w:rsidR="00BC371A" w:rsidRPr="001D3665" w:rsidRDefault="00BC371A" w:rsidP="001D3665">
      <w:proofErr w:type="spellStart"/>
      <w:r w:rsidRPr="001D3665">
        <w:t>Frå</w:t>
      </w:r>
      <w:proofErr w:type="spellEnd"/>
      <w:r w:rsidRPr="001D3665">
        <w:t xml:space="preserve"> november 2022 innførte Tolletaten ved </w:t>
      </w:r>
      <w:proofErr w:type="spellStart"/>
      <w:r w:rsidRPr="001D3665">
        <w:t>nokre</w:t>
      </w:r>
      <w:proofErr w:type="spellEnd"/>
      <w:r w:rsidRPr="001D3665">
        <w:t xml:space="preserve"> </w:t>
      </w:r>
      <w:proofErr w:type="spellStart"/>
      <w:r w:rsidRPr="001D3665">
        <w:t>tollstader</w:t>
      </w:r>
      <w:proofErr w:type="spellEnd"/>
      <w:r w:rsidRPr="001D3665">
        <w:t xml:space="preserve"> ei frivillig ordning som gjorde det </w:t>
      </w:r>
      <w:proofErr w:type="spellStart"/>
      <w:r w:rsidRPr="001D3665">
        <w:t>mogleg</w:t>
      </w:r>
      <w:proofErr w:type="spellEnd"/>
      <w:r w:rsidRPr="001D3665">
        <w:t xml:space="preserve"> å oppfylle melde- og </w:t>
      </w:r>
      <w:proofErr w:type="spellStart"/>
      <w:r w:rsidRPr="001D3665">
        <w:t>opplysingsplikta</w:t>
      </w:r>
      <w:proofErr w:type="spellEnd"/>
      <w:r w:rsidRPr="001D3665">
        <w:t xml:space="preserve"> digitalt. I </w:t>
      </w:r>
      <w:proofErr w:type="spellStart"/>
      <w:r w:rsidRPr="001D3665">
        <w:t>laupet</w:t>
      </w:r>
      <w:proofErr w:type="spellEnd"/>
      <w:r w:rsidRPr="001D3665">
        <w:t xml:space="preserve"> av 2023 og 2024 vart ordninga gjort </w:t>
      </w:r>
      <w:proofErr w:type="spellStart"/>
      <w:r w:rsidRPr="001D3665">
        <w:t>tilgjengeleg</w:t>
      </w:r>
      <w:proofErr w:type="spellEnd"/>
      <w:r w:rsidRPr="001D3665">
        <w:t xml:space="preserve"> for alle </w:t>
      </w:r>
      <w:proofErr w:type="spellStart"/>
      <w:r w:rsidRPr="001D3665">
        <w:t>tollstader</w:t>
      </w:r>
      <w:proofErr w:type="spellEnd"/>
      <w:r w:rsidRPr="001D3665">
        <w:t xml:space="preserve"> og for alle transportformer. Det skal òg </w:t>
      </w:r>
      <w:proofErr w:type="spellStart"/>
      <w:r w:rsidRPr="001D3665">
        <w:t>innførast</w:t>
      </w:r>
      <w:proofErr w:type="spellEnd"/>
      <w:r w:rsidRPr="001D3665">
        <w:t xml:space="preserve"> ei plikt til å oppfylle melde- og </w:t>
      </w:r>
      <w:proofErr w:type="spellStart"/>
      <w:r w:rsidRPr="001D3665">
        <w:t>opplysingsplikta</w:t>
      </w:r>
      <w:proofErr w:type="spellEnd"/>
      <w:r w:rsidRPr="001D3665">
        <w:t xml:space="preserve"> digitalt ved alle </w:t>
      </w:r>
      <w:proofErr w:type="spellStart"/>
      <w:r w:rsidRPr="001D3665">
        <w:t>tollstader</w:t>
      </w:r>
      <w:proofErr w:type="spellEnd"/>
      <w:r w:rsidRPr="001D3665">
        <w:t xml:space="preserve"> for alle varer.</w:t>
      </w:r>
    </w:p>
    <w:p w14:paraId="467A58F2" w14:textId="77777777" w:rsidR="00BC371A" w:rsidRPr="001D3665" w:rsidRDefault="00BC371A" w:rsidP="001D3665">
      <w:pPr>
        <w:pStyle w:val="Overskrift3"/>
      </w:pPr>
      <w:r w:rsidRPr="001D3665">
        <w:t>Deklarasjonsplikta</w:t>
      </w:r>
    </w:p>
    <w:p w14:paraId="5EB30B69" w14:textId="77777777" w:rsidR="00BC371A" w:rsidRPr="001D3665" w:rsidRDefault="00BC371A" w:rsidP="001D3665">
      <w:r w:rsidRPr="001D3665">
        <w:t xml:space="preserve">Deklarasjonsplikta </w:t>
      </w:r>
      <w:proofErr w:type="spellStart"/>
      <w:r w:rsidRPr="001D3665">
        <w:t>inneber</w:t>
      </w:r>
      <w:proofErr w:type="spellEnd"/>
      <w:r w:rsidRPr="001D3665">
        <w:t xml:space="preserve"> at alle varer som vert innførte til tollområdet, skal </w:t>
      </w:r>
      <w:proofErr w:type="spellStart"/>
      <w:r w:rsidRPr="001D3665">
        <w:t>vere</w:t>
      </w:r>
      <w:proofErr w:type="spellEnd"/>
      <w:r w:rsidRPr="001D3665">
        <w:t xml:space="preserve"> </w:t>
      </w:r>
      <w:proofErr w:type="spellStart"/>
      <w:r w:rsidRPr="001D3665">
        <w:t>undergjevne</w:t>
      </w:r>
      <w:proofErr w:type="spellEnd"/>
      <w:r w:rsidRPr="001D3665">
        <w:t xml:space="preserve"> </w:t>
      </w:r>
      <w:proofErr w:type="spellStart"/>
      <w:r w:rsidRPr="001D3665">
        <w:t>ein</w:t>
      </w:r>
      <w:proofErr w:type="spellEnd"/>
      <w:r w:rsidRPr="001D3665">
        <w:t xml:space="preserve"> tollprosedyre, med mindre varene vert utførte att eller avståtte, jf. vareførselsloven § 3-1 fyrste ledd. Dette vert gjort ved å levere ei elektronisk melding til Tolletaten i deklarasjonssystemet TVINN, jf. vareførselsloven § 1-3 bokstav b og § 3-2 fyrste ledd. Når </w:t>
      </w:r>
      <w:proofErr w:type="spellStart"/>
      <w:r w:rsidRPr="001D3665">
        <w:t>ein</w:t>
      </w:r>
      <w:proofErr w:type="spellEnd"/>
      <w:r w:rsidRPr="001D3665">
        <w:t xml:space="preserve"> deklarasjon vert levert, vert det oppretta </w:t>
      </w:r>
      <w:proofErr w:type="spellStart"/>
      <w:r w:rsidRPr="001D3665">
        <w:t>ein</w:t>
      </w:r>
      <w:proofErr w:type="spellEnd"/>
      <w:r w:rsidRPr="001D3665">
        <w:t xml:space="preserve"> deklarasjons-ID. Tolletaten har likevel </w:t>
      </w:r>
      <w:proofErr w:type="spellStart"/>
      <w:r w:rsidRPr="001D3665">
        <w:t>ikkje</w:t>
      </w:r>
      <w:proofErr w:type="spellEnd"/>
      <w:r w:rsidRPr="001D3665">
        <w:t xml:space="preserve"> informasjon som </w:t>
      </w:r>
      <w:proofErr w:type="spellStart"/>
      <w:r w:rsidRPr="001D3665">
        <w:t>gjer</w:t>
      </w:r>
      <w:proofErr w:type="spellEnd"/>
      <w:r w:rsidRPr="001D3665">
        <w:t xml:space="preserve"> det </w:t>
      </w:r>
      <w:proofErr w:type="spellStart"/>
      <w:r w:rsidRPr="001D3665">
        <w:t>mogleg</w:t>
      </w:r>
      <w:proofErr w:type="spellEnd"/>
      <w:r w:rsidRPr="001D3665">
        <w:t xml:space="preserve"> å identifisere kva transportmiddel som </w:t>
      </w:r>
      <w:proofErr w:type="spellStart"/>
      <w:r w:rsidRPr="001D3665">
        <w:t>bringar</w:t>
      </w:r>
      <w:proofErr w:type="spellEnd"/>
      <w:r w:rsidRPr="001D3665">
        <w:t xml:space="preserve"> </w:t>
      </w:r>
      <w:proofErr w:type="spellStart"/>
      <w:r w:rsidRPr="001D3665">
        <w:t>dei</w:t>
      </w:r>
      <w:proofErr w:type="spellEnd"/>
      <w:r w:rsidRPr="001D3665">
        <w:t xml:space="preserve"> deklarerte varene over grensa.</w:t>
      </w:r>
    </w:p>
    <w:p w14:paraId="15C9B0A3" w14:textId="77777777" w:rsidR="00BC371A" w:rsidRPr="001D3665" w:rsidRDefault="00BC371A" w:rsidP="001D3665">
      <w:r w:rsidRPr="001D3665">
        <w:t xml:space="preserve">Deklarasjonen skal </w:t>
      </w:r>
      <w:proofErr w:type="spellStart"/>
      <w:r w:rsidRPr="001D3665">
        <w:t>innehalde</w:t>
      </w:r>
      <w:proofErr w:type="spellEnd"/>
      <w:r w:rsidRPr="001D3665">
        <w:t xml:space="preserve"> alle </w:t>
      </w:r>
      <w:proofErr w:type="spellStart"/>
      <w:r w:rsidRPr="001D3665">
        <w:t>opplysingar</w:t>
      </w:r>
      <w:proofErr w:type="spellEnd"/>
      <w:r w:rsidRPr="001D3665">
        <w:t xml:space="preserve"> som er </w:t>
      </w:r>
      <w:proofErr w:type="spellStart"/>
      <w:r w:rsidRPr="001D3665">
        <w:t>naudsynte</w:t>
      </w:r>
      <w:proofErr w:type="spellEnd"/>
      <w:r w:rsidRPr="001D3665">
        <w:t xml:space="preserve"> for den </w:t>
      </w:r>
      <w:proofErr w:type="spellStart"/>
      <w:r w:rsidRPr="001D3665">
        <w:t>valde</w:t>
      </w:r>
      <w:proofErr w:type="spellEnd"/>
      <w:r w:rsidRPr="001D3665">
        <w:t xml:space="preserve"> tollprosedyren, jf. vareførselsloven § 3-2 andre ledd. Det </w:t>
      </w:r>
      <w:proofErr w:type="spellStart"/>
      <w:r w:rsidRPr="001D3665">
        <w:t>finst</w:t>
      </w:r>
      <w:proofErr w:type="spellEnd"/>
      <w:r w:rsidRPr="001D3665">
        <w:t xml:space="preserve"> ulike </w:t>
      </w:r>
      <w:proofErr w:type="spellStart"/>
      <w:r w:rsidRPr="001D3665">
        <w:t>tollprosedyrar</w:t>
      </w:r>
      <w:proofErr w:type="spellEnd"/>
      <w:r w:rsidRPr="001D3665">
        <w:t xml:space="preserve"> for innførsel, jf. vareførselsloven kapittel 4. Dei </w:t>
      </w:r>
      <w:proofErr w:type="spellStart"/>
      <w:r w:rsidRPr="001D3665">
        <w:t>vanlegaste</w:t>
      </w:r>
      <w:proofErr w:type="spellEnd"/>
      <w:r w:rsidRPr="001D3665">
        <w:t xml:space="preserve"> </w:t>
      </w:r>
      <w:proofErr w:type="spellStart"/>
      <w:r w:rsidRPr="001D3665">
        <w:t>prosedyrane</w:t>
      </w:r>
      <w:proofErr w:type="spellEnd"/>
      <w:r w:rsidRPr="001D3665">
        <w:t xml:space="preserve"> er «overgang til fri disponering» og «tollager», sjå vareførselsloven §§ 4-1 og 4-4, jf. vareførselsforskrifta §§ 4-1 og 4-4.</w:t>
      </w:r>
    </w:p>
    <w:p w14:paraId="758A097F" w14:textId="4DB19527" w:rsidR="00BC371A" w:rsidRPr="001D3665" w:rsidRDefault="00BC371A" w:rsidP="001D3665">
      <w:r w:rsidRPr="001D3665">
        <w:t xml:space="preserve">For prosedyren tollager er det i dag unntak </w:t>
      </w:r>
      <w:proofErr w:type="spellStart"/>
      <w:r w:rsidRPr="001D3665">
        <w:t>frå</w:t>
      </w:r>
      <w:proofErr w:type="spellEnd"/>
      <w:r w:rsidRPr="001D3665">
        <w:t xml:space="preserve"> deklarasjonsplikta, jf. vareførselsforskrifta § 4</w:t>
      </w:r>
      <w:r w:rsidR="001D3665">
        <w:t>-</w:t>
      </w:r>
      <w:r w:rsidRPr="001D3665">
        <w:t>4</w:t>
      </w:r>
      <w:r w:rsidR="001D3665">
        <w:t>-</w:t>
      </w:r>
      <w:r w:rsidRPr="001D3665">
        <w:t xml:space="preserve">13. Bakgrunnen for unntaket er at det har </w:t>
      </w:r>
      <w:proofErr w:type="spellStart"/>
      <w:r w:rsidRPr="001D3665">
        <w:t>vore</w:t>
      </w:r>
      <w:proofErr w:type="spellEnd"/>
      <w:r w:rsidRPr="001D3665">
        <w:t xml:space="preserve"> </w:t>
      </w:r>
      <w:proofErr w:type="spellStart"/>
      <w:r w:rsidRPr="001D3665">
        <w:t>vanskeleg</w:t>
      </w:r>
      <w:proofErr w:type="spellEnd"/>
      <w:r w:rsidRPr="001D3665">
        <w:t xml:space="preserve"> for </w:t>
      </w:r>
      <w:proofErr w:type="spellStart"/>
      <w:r w:rsidRPr="001D3665">
        <w:t>aktørane</w:t>
      </w:r>
      <w:proofErr w:type="spellEnd"/>
      <w:r w:rsidRPr="001D3665">
        <w:t xml:space="preserve"> å levere </w:t>
      </w:r>
      <w:proofErr w:type="spellStart"/>
      <w:r w:rsidRPr="001D3665">
        <w:t>dei</w:t>
      </w:r>
      <w:proofErr w:type="spellEnd"/>
      <w:r w:rsidRPr="001D3665">
        <w:t xml:space="preserve"> </w:t>
      </w:r>
      <w:proofErr w:type="spellStart"/>
      <w:r w:rsidRPr="001D3665">
        <w:t>naudsynte</w:t>
      </w:r>
      <w:proofErr w:type="spellEnd"/>
      <w:r w:rsidRPr="001D3665">
        <w:t xml:space="preserve"> </w:t>
      </w:r>
      <w:proofErr w:type="spellStart"/>
      <w:r w:rsidRPr="001D3665">
        <w:t>opplysingane</w:t>
      </w:r>
      <w:proofErr w:type="spellEnd"/>
      <w:r w:rsidRPr="001D3665">
        <w:t xml:space="preserve"> om varene for å oppfylle deklarasjonsplikta på tidspunktet for innførsel. Det er </w:t>
      </w:r>
      <w:proofErr w:type="spellStart"/>
      <w:r w:rsidRPr="001D3665">
        <w:t>difor</w:t>
      </w:r>
      <w:proofErr w:type="spellEnd"/>
      <w:r w:rsidRPr="001D3665">
        <w:t xml:space="preserve"> etablert ei ordning der </w:t>
      </w:r>
      <w:proofErr w:type="spellStart"/>
      <w:r w:rsidRPr="001D3665">
        <w:t>haldar</w:t>
      </w:r>
      <w:proofErr w:type="spellEnd"/>
      <w:r w:rsidRPr="001D3665">
        <w:t xml:space="preserve"> av tollager </w:t>
      </w:r>
      <w:proofErr w:type="spellStart"/>
      <w:r w:rsidRPr="001D3665">
        <w:t>berre</w:t>
      </w:r>
      <w:proofErr w:type="spellEnd"/>
      <w:r w:rsidRPr="001D3665">
        <w:t xml:space="preserve"> har plikt til å registrere varene i </w:t>
      </w:r>
      <w:proofErr w:type="spellStart"/>
      <w:r w:rsidRPr="001D3665">
        <w:t>rekneskapen</w:t>
      </w:r>
      <w:proofErr w:type="spellEnd"/>
      <w:r w:rsidRPr="001D3665">
        <w:t xml:space="preserve"> for tollageret når varene vert plasserte på tollageret (godsregistrering). I tillegg kan </w:t>
      </w:r>
      <w:proofErr w:type="spellStart"/>
      <w:r w:rsidRPr="001D3665">
        <w:t>haldar</w:t>
      </w:r>
      <w:proofErr w:type="spellEnd"/>
      <w:r w:rsidRPr="001D3665">
        <w:t xml:space="preserve"> av tollager få løyve til å transportere varer direkte </w:t>
      </w:r>
      <w:proofErr w:type="spellStart"/>
      <w:r w:rsidRPr="001D3665">
        <w:t>frå</w:t>
      </w:r>
      <w:proofErr w:type="spellEnd"/>
      <w:r w:rsidRPr="001D3665">
        <w:t xml:space="preserve"> grensa til varemottakaren for lagring der, </w:t>
      </w:r>
      <w:proofErr w:type="spellStart"/>
      <w:r w:rsidRPr="001D3665">
        <w:t>føresett</w:t>
      </w:r>
      <w:proofErr w:type="spellEnd"/>
      <w:r w:rsidRPr="001D3665">
        <w:t xml:space="preserve"> at varene er registrerte i </w:t>
      </w:r>
      <w:proofErr w:type="spellStart"/>
      <w:r w:rsidRPr="001D3665">
        <w:t>rekneskapen</w:t>
      </w:r>
      <w:proofErr w:type="spellEnd"/>
      <w:r w:rsidRPr="001D3665">
        <w:t xml:space="preserve"> for tollageret, jf. vareførselsforskrifta § 4-4-14. </w:t>
      </w:r>
      <w:proofErr w:type="spellStart"/>
      <w:r w:rsidRPr="001D3665">
        <w:t>Eit</w:t>
      </w:r>
      <w:proofErr w:type="spellEnd"/>
      <w:r w:rsidRPr="001D3665">
        <w:t xml:space="preserve"> vilkår er at varene vert deklarerte for prosedyren overgang til fri disponering </w:t>
      </w:r>
      <w:proofErr w:type="spellStart"/>
      <w:r w:rsidRPr="001D3665">
        <w:t>innan</w:t>
      </w:r>
      <w:proofErr w:type="spellEnd"/>
      <w:r w:rsidRPr="001D3665">
        <w:t xml:space="preserve"> ti </w:t>
      </w:r>
      <w:proofErr w:type="spellStart"/>
      <w:r w:rsidRPr="001D3665">
        <w:t>dagar</w:t>
      </w:r>
      <w:proofErr w:type="spellEnd"/>
      <w:r w:rsidRPr="001D3665">
        <w:t xml:space="preserve"> etter at varene er registrerte i </w:t>
      </w:r>
      <w:proofErr w:type="spellStart"/>
      <w:r w:rsidRPr="001D3665">
        <w:t>rekneskapen</w:t>
      </w:r>
      <w:proofErr w:type="spellEnd"/>
      <w:r w:rsidRPr="001D3665">
        <w:t xml:space="preserve"> for tollageret og </w:t>
      </w:r>
      <w:proofErr w:type="spellStart"/>
      <w:r w:rsidRPr="001D3665">
        <w:t>ikkje</w:t>
      </w:r>
      <w:proofErr w:type="spellEnd"/>
      <w:r w:rsidRPr="001D3665">
        <w:t xml:space="preserve"> vert disponerte av varemottakaren før deklareringa. Denne ordninga vert kalla direktekøyring og vert nytta for om lag 70 pst. av alle varer som vert innførte til tollområdet. At varene i </w:t>
      </w:r>
      <w:proofErr w:type="spellStart"/>
      <w:r w:rsidRPr="001D3665">
        <w:t>desse</w:t>
      </w:r>
      <w:proofErr w:type="spellEnd"/>
      <w:r w:rsidRPr="001D3665">
        <w:t xml:space="preserve"> tilfella </w:t>
      </w:r>
      <w:proofErr w:type="spellStart"/>
      <w:r w:rsidRPr="001D3665">
        <w:t>berre</w:t>
      </w:r>
      <w:proofErr w:type="spellEnd"/>
      <w:r w:rsidRPr="001D3665">
        <w:t xml:space="preserve"> vert registrerte i </w:t>
      </w:r>
      <w:proofErr w:type="spellStart"/>
      <w:r w:rsidRPr="001D3665">
        <w:t>haldaren</w:t>
      </w:r>
      <w:proofErr w:type="spellEnd"/>
      <w:r w:rsidRPr="001D3665">
        <w:t xml:space="preserve"> av tollager sitt </w:t>
      </w:r>
      <w:proofErr w:type="spellStart"/>
      <w:r w:rsidRPr="001D3665">
        <w:t>rekneskap</w:t>
      </w:r>
      <w:proofErr w:type="spellEnd"/>
      <w:r w:rsidRPr="001D3665">
        <w:t xml:space="preserve"> over tollageret, </w:t>
      </w:r>
      <w:proofErr w:type="spellStart"/>
      <w:r w:rsidRPr="001D3665">
        <w:t>gjer</w:t>
      </w:r>
      <w:proofErr w:type="spellEnd"/>
      <w:r w:rsidRPr="001D3665">
        <w:t xml:space="preserve"> at Tolletaten har lite eller ingen informasjon om </w:t>
      </w:r>
      <w:proofErr w:type="spellStart"/>
      <w:r w:rsidRPr="001D3665">
        <w:t>desse</w:t>
      </w:r>
      <w:proofErr w:type="spellEnd"/>
      <w:r w:rsidRPr="001D3665">
        <w:t xml:space="preserve"> varene. Tolletaten får </w:t>
      </w:r>
      <w:proofErr w:type="spellStart"/>
      <w:r w:rsidRPr="001D3665">
        <w:t>dei</w:t>
      </w:r>
      <w:proofErr w:type="spellEnd"/>
      <w:r w:rsidRPr="001D3665">
        <w:t xml:space="preserve"> </w:t>
      </w:r>
      <w:proofErr w:type="spellStart"/>
      <w:r w:rsidRPr="001D3665">
        <w:t>naudsynte</w:t>
      </w:r>
      <w:proofErr w:type="spellEnd"/>
      <w:r w:rsidRPr="001D3665">
        <w:t xml:space="preserve"> </w:t>
      </w:r>
      <w:proofErr w:type="spellStart"/>
      <w:r w:rsidRPr="001D3665">
        <w:t>opplysingane</w:t>
      </w:r>
      <w:proofErr w:type="spellEnd"/>
      <w:r w:rsidRPr="001D3665">
        <w:t xml:space="preserve"> fyrst når varene vert deklarerte for prosedyren overgang til fri disponering.</w:t>
      </w:r>
    </w:p>
    <w:p w14:paraId="4B9B3463" w14:textId="77777777" w:rsidR="00BC371A" w:rsidRPr="001D3665" w:rsidRDefault="00BC371A" w:rsidP="001D3665">
      <w:pPr>
        <w:pStyle w:val="Overskrift2"/>
      </w:pPr>
      <w:proofErr w:type="spellStart"/>
      <w:r w:rsidRPr="001D3665">
        <w:t>Digitoll</w:t>
      </w:r>
      <w:proofErr w:type="spellEnd"/>
    </w:p>
    <w:p w14:paraId="1C359F7F" w14:textId="77777777" w:rsidR="00BC371A" w:rsidRPr="001D3665" w:rsidRDefault="00BC371A" w:rsidP="001D3665">
      <w:r w:rsidRPr="001D3665">
        <w:t xml:space="preserve">Digitaliseringa av </w:t>
      </w:r>
      <w:proofErr w:type="spellStart"/>
      <w:r w:rsidRPr="001D3665">
        <w:t>prosessane</w:t>
      </w:r>
      <w:proofErr w:type="spellEnd"/>
      <w:r w:rsidRPr="001D3665">
        <w:t xml:space="preserve"> knytt til levering av informasjon etter melde- og </w:t>
      </w:r>
      <w:proofErr w:type="spellStart"/>
      <w:r w:rsidRPr="001D3665">
        <w:t>opplysingsplikta</w:t>
      </w:r>
      <w:proofErr w:type="spellEnd"/>
      <w:r w:rsidRPr="001D3665">
        <w:t xml:space="preserve"> og avviklinga av ordninga med direktekøyring inngår i Tolletaten si nye løysing for digital tollbehandling (</w:t>
      </w:r>
      <w:proofErr w:type="spellStart"/>
      <w:r w:rsidRPr="001D3665">
        <w:t>Digitoll</w:t>
      </w:r>
      <w:proofErr w:type="spellEnd"/>
      <w:r w:rsidRPr="001D3665">
        <w:t xml:space="preserve">). </w:t>
      </w:r>
      <w:proofErr w:type="spellStart"/>
      <w:r w:rsidRPr="001D3665">
        <w:t>Digitoll</w:t>
      </w:r>
      <w:proofErr w:type="spellEnd"/>
      <w:r w:rsidRPr="001D3665">
        <w:t xml:space="preserve"> skal </w:t>
      </w:r>
      <w:proofErr w:type="spellStart"/>
      <w:r w:rsidRPr="001D3665">
        <w:t>gjere</w:t>
      </w:r>
      <w:proofErr w:type="spellEnd"/>
      <w:r w:rsidRPr="001D3665">
        <w:t xml:space="preserve"> passeringa av grensa </w:t>
      </w:r>
      <w:proofErr w:type="spellStart"/>
      <w:r w:rsidRPr="001D3665">
        <w:t>raskare</w:t>
      </w:r>
      <w:proofErr w:type="spellEnd"/>
      <w:r w:rsidRPr="001D3665">
        <w:t xml:space="preserve"> og </w:t>
      </w:r>
      <w:proofErr w:type="spellStart"/>
      <w:r w:rsidRPr="001D3665">
        <w:t>meir</w:t>
      </w:r>
      <w:proofErr w:type="spellEnd"/>
      <w:r w:rsidRPr="001D3665">
        <w:t xml:space="preserve"> effektiv ved at all </w:t>
      </w:r>
      <w:proofErr w:type="spellStart"/>
      <w:r w:rsidRPr="001D3665">
        <w:t>naudsynt</w:t>
      </w:r>
      <w:proofErr w:type="spellEnd"/>
      <w:r w:rsidRPr="001D3665">
        <w:t xml:space="preserve"> informasjon om varer og transport vert send inn digitalt til Tolletaten før varene </w:t>
      </w:r>
      <w:r w:rsidRPr="001D3665">
        <w:lastRenderedPageBreak/>
        <w:t xml:space="preserve">kjem til grensa. </w:t>
      </w:r>
      <w:proofErr w:type="spellStart"/>
      <w:r w:rsidRPr="001D3665">
        <w:t>Digitoll</w:t>
      </w:r>
      <w:proofErr w:type="spellEnd"/>
      <w:r w:rsidRPr="001D3665">
        <w:t xml:space="preserve">-konseptet har tre </w:t>
      </w:r>
      <w:proofErr w:type="spellStart"/>
      <w:r w:rsidRPr="001D3665">
        <w:t>målsetjingar</w:t>
      </w:r>
      <w:proofErr w:type="spellEnd"/>
      <w:r w:rsidRPr="001D3665">
        <w:t xml:space="preserve">. For det fyrste skal informasjonen om transportmiddel og varer </w:t>
      </w:r>
      <w:proofErr w:type="spellStart"/>
      <w:r w:rsidRPr="001D3665">
        <w:t>verte</w:t>
      </w:r>
      <w:proofErr w:type="spellEnd"/>
      <w:r w:rsidRPr="001D3665">
        <w:t xml:space="preserve"> leverte digitalt før eller </w:t>
      </w:r>
      <w:proofErr w:type="spellStart"/>
      <w:r w:rsidRPr="001D3665">
        <w:t>seinast</w:t>
      </w:r>
      <w:proofErr w:type="spellEnd"/>
      <w:r w:rsidRPr="001D3665">
        <w:t xml:space="preserve"> ved passeringa av grensa. Dette </w:t>
      </w:r>
      <w:proofErr w:type="spellStart"/>
      <w:r w:rsidRPr="001D3665">
        <w:t>omfattar</w:t>
      </w:r>
      <w:proofErr w:type="spellEnd"/>
      <w:r w:rsidRPr="001D3665">
        <w:t xml:space="preserve"> både å oppfylle melde- og </w:t>
      </w:r>
      <w:proofErr w:type="spellStart"/>
      <w:r w:rsidRPr="001D3665">
        <w:t>opplysingsplikta</w:t>
      </w:r>
      <w:proofErr w:type="spellEnd"/>
      <w:r w:rsidRPr="001D3665">
        <w:t xml:space="preserve"> og å levere deklarasjonen. For det andre skal Tolletaten behandle og vurdere informasjonen opp mot </w:t>
      </w:r>
      <w:proofErr w:type="spellStart"/>
      <w:r w:rsidRPr="001D3665">
        <w:t>gjeldande</w:t>
      </w:r>
      <w:proofErr w:type="spellEnd"/>
      <w:r w:rsidRPr="001D3665">
        <w:t xml:space="preserve"> regelverk før eller </w:t>
      </w:r>
      <w:proofErr w:type="spellStart"/>
      <w:r w:rsidRPr="001D3665">
        <w:t>seinast</w:t>
      </w:r>
      <w:proofErr w:type="spellEnd"/>
      <w:r w:rsidRPr="001D3665">
        <w:t xml:space="preserve"> når varene kjem til grensa. For det tredje skal passeringa av grensa i størst </w:t>
      </w:r>
      <w:proofErr w:type="spellStart"/>
      <w:r w:rsidRPr="001D3665">
        <w:t>mogleg</w:t>
      </w:r>
      <w:proofErr w:type="spellEnd"/>
      <w:r w:rsidRPr="001D3665">
        <w:t xml:space="preserve"> grad </w:t>
      </w:r>
      <w:proofErr w:type="spellStart"/>
      <w:r w:rsidRPr="001D3665">
        <w:t>verte</w:t>
      </w:r>
      <w:proofErr w:type="spellEnd"/>
      <w:r w:rsidRPr="001D3665">
        <w:t xml:space="preserve"> automatisert. Dette </w:t>
      </w:r>
      <w:proofErr w:type="spellStart"/>
      <w:r w:rsidRPr="001D3665">
        <w:t>inneber</w:t>
      </w:r>
      <w:proofErr w:type="spellEnd"/>
      <w:r w:rsidRPr="001D3665">
        <w:t xml:space="preserve"> at transportmiddelet vert automatisk registrert ved framkomsten, og at varene som vert innførte, automatisk vert </w:t>
      </w:r>
      <w:proofErr w:type="spellStart"/>
      <w:r w:rsidRPr="001D3665">
        <w:t>frigjevne</w:t>
      </w:r>
      <w:proofErr w:type="spellEnd"/>
      <w:r w:rsidRPr="001D3665">
        <w:t xml:space="preserve"> til vald tollprosedyre, dersom det </w:t>
      </w:r>
      <w:proofErr w:type="spellStart"/>
      <w:r w:rsidRPr="001D3665">
        <w:t>ikkje</w:t>
      </w:r>
      <w:proofErr w:type="spellEnd"/>
      <w:r w:rsidRPr="001D3665">
        <w:t xml:space="preserve"> er behov for </w:t>
      </w:r>
      <w:proofErr w:type="spellStart"/>
      <w:r w:rsidRPr="001D3665">
        <w:t>nærare</w:t>
      </w:r>
      <w:proofErr w:type="spellEnd"/>
      <w:r w:rsidRPr="001D3665">
        <w:t xml:space="preserve"> kontroll.</w:t>
      </w:r>
    </w:p>
    <w:p w14:paraId="50348355" w14:textId="77777777" w:rsidR="00BC371A" w:rsidRPr="001D3665" w:rsidRDefault="00BC371A" w:rsidP="001D3665">
      <w:proofErr w:type="spellStart"/>
      <w:r w:rsidRPr="001D3665">
        <w:t>Digitoll</w:t>
      </w:r>
      <w:proofErr w:type="spellEnd"/>
      <w:r w:rsidRPr="001D3665">
        <w:t xml:space="preserve"> vert gradvis fasa inn og er i dag ei frivillig ordning. </w:t>
      </w:r>
      <w:proofErr w:type="spellStart"/>
      <w:r w:rsidRPr="001D3665">
        <w:t>Digitoll</w:t>
      </w:r>
      <w:proofErr w:type="spellEnd"/>
      <w:r w:rsidRPr="001D3665">
        <w:t xml:space="preserve"> vart fyrst </w:t>
      </w:r>
      <w:proofErr w:type="spellStart"/>
      <w:r w:rsidRPr="001D3665">
        <w:t>tilgjengeleg</w:t>
      </w:r>
      <w:proofErr w:type="spellEnd"/>
      <w:r w:rsidRPr="001D3665">
        <w:t xml:space="preserve"> for motorvogn i november 2022 og for luftfartøy og tog </w:t>
      </w:r>
      <w:proofErr w:type="spellStart"/>
      <w:r w:rsidRPr="001D3665">
        <w:t>tidleg</w:t>
      </w:r>
      <w:proofErr w:type="spellEnd"/>
      <w:r w:rsidRPr="001D3665">
        <w:t xml:space="preserve"> i 2024. For fartøy vart det </w:t>
      </w:r>
      <w:proofErr w:type="spellStart"/>
      <w:r w:rsidRPr="001D3665">
        <w:t>frå</w:t>
      </w:r>
      <w:proofErr w:type="spellEnd"/>
      <w:r w:rsidRPr="001D3665">
        <w:t xml:space="preserve"> 2023 </w:t>
      </w:r>
      <w:proofErr w:type="spellStart"/>
      <w:r w:rsidRPr="001D3665">
        <w:t>mogleg</w:t>
      </w:r>
      <w:proofErr w:type="spellEnd"/>
      <w:r w:rsidRPr="001D3665">
        <w:t xml:space="preserve"> å bruke </w:t>
      </w:r>
      <w:proofErr w:type="spellStart"/>
      <w:r w:rsidRPr="001D3665">
        <w:t>ein</w:t>
      </w:r>
      <w:proofErr w:type="spellEnd"/>
      <w:r w:rsidRPr="001D3665">
        <w:t xml:space="preserve"> forenkla versjon av </w:t>
      </w:r>
      <w:proofErr w:type="spellStart"/>
      <w:r w:rsidRPr="001D3665">
        <w:t>Digitoll</w:t>
      </w:r>
      <w:proofErr w:type="spellEnd"/>
      <w:r w:rsidRPr="001D3665">
        <w:t xml:space="preserve"> fram til Kystverket og EU lanserer nye digitale </w:t>
      </w:r>
      <w:proofErr w:type="spellStart"/>
      <w:r w:rsidRPr="001D3665">
        <w:t>tenester</w:t>
      </w:r>
      <w:proofErr w:type="spellEnd"/>
      <w:r w:rsidRPr="001D3665">
        <w:t xml:space="preserve">, etter planen i </w:t>
      </w:r>
      <w:proofErr w:type="spellStart"/>
      <w:r w:rsidRPr="001D3665">
        <w:t>laupet</w:t>
      </w:r>
      <w:proofErr w:type="spellEnd"/>
      <w:r w:rsidRPr="001D3665">
        <w:t xml:space="preserve"> av våren 2026. Då vil Tolletaten òg kunne innføre fullverdig </w:t>
      </w:r>
      <w:proofErr w:type="spellStart"/>
      <w:r w:rsidRPr="001D3665">
        <w:t>Digitoll</w:t>
      </w:r>
      <w:proofErr w:type="spellEnd"/>
      <w:r w:rsidRPr="001D3665">
        <w:t xml:space="preserve"> for fartøy.</w:t>
      </w:r>
    </w:p>
    <w:p w14:paraId="099F3690" w14:textId="77777777" w:rsidR="00BC371A" w:rsidRPr="001D3665" w:rsidRDefault="00BC371A" w:rsidP="001D3665">
      <w:proofErr w:type="spellStart"/>
      <w:r w:rsidRPr="001D3665">
        <w:t>Sidan</w:t>
      </w:r>
      <w:proofErr w:type="spellEnd"/>
      <w:r w:rsidRPr="001D3665">
        <w:t xml:space="preserve"> </w:t>
      </w:r>
      <w:proofErr w:type="spellStart"/>
      <w:r w:rsidRPr="001D3665">
        <w:t>igangsetjinga</w:t>
      </w:r>
      <w:proofErr w:type="spellEnd"/>
      <w:r w:rsidRPr="001D3665">
        <w:t xml:space="preserve"> av </w:t>
      </w:r>
      <w:proofErr w:type="spellStart"/>
      <w:r w:rsidRPr="001D3665">
        <w:t>Digitoll</w:t>
      </w:r>
      <w:proofErr w:type="spellEnd"/>
      <w:r w:rsidRPr="001D3665">
        <w:t xml:space="preserve"> har ei </w:t>
      </w:r>
      <w:proofErr w:type="spellStart"/>
      <w:r w:rsidRPr="001D3665">
        <w:t>aukande</w:t>
      </w:r>
      <w:proofErr w:type="spellEnd"/>
      <w:r w:rsidRPr="001D3665">
        <w:t xml:space="preserve"> </w:t>
      </w:r>
      <w:proofErr w:type="spellStart"/>
      <w:r w:rsidRPr="001D3665">
        <w:t>mengd</w:t>
      </w:r>
      <w:proofErr w:type="spellEnd"/>
      <w:r w:rsidRPr="001D3665">
        <w:t xml:space="preserve"> </w:t>
      </w:r>
      <w:proofErr w:type="spellStart"/>
      <w:r w:rsidRPr="001D3665">
        <w:t>aktørar</w:t>
      </w:r>
      <w:proofErr w:type="spellEnd"/>
      <w:r w:rsidRPr="001D3665">
        <w:t xml:space="preserve"> </w:t>
      </w:r>
      <w:proofErr w:type="spellStart"/>
      <w:r w:rsidRPr="001D3665">
        <w:t>teke</w:t>
      </w:r>
      <w:proofErr w:type="spellEnd"/>
      <w:r w:rsidRPr="001D3665">
        <w:t xml:space="preserve"> i bruk løysinga. </w:t>
      </w:r>
      <w:proofErr w:type="spellStart"/>
      <w:r w:rsidRPr="001D3665">
        <w:t>Hovuddelen</w:t>
      </w:r>
      <w:proofErr w:type="spellEnd"/>
      <w:r w:rsidRPr="001D3665">
        <w:t xml:space="preserve"> av </w:t>
      </w:r>
      <w:proofErr w:type="spellStart"/>
      <w:r w:rsidRPr="001D3665">
        <w:t>desse</w:t>
      </w:r>
      <w:proofErr w:type="spellEnd"/>
      <w:r w:rsidRPr="001D3665">
        <w:t xml:space="preserve"> transportmidla er motorvogner. Det er ei </w:t>
      </w:r>
      <w:proofErr w:type="spellStart"/>
      <w:r w:rsidRPr="001D3665">
        <w:t>målsetjing</w:t>
      </w:r>
      <w:proofErr w:type="spellEnd"/>
      <w:r w:rsidRPr="001D3665">
        <w:t xml:space="preserve"> at flest </w:t>
      </w:r>
      <w:proofErr w:type="spellStart"/>
      <w:r w:rsidRPr="001D3665">
        <w:t>mogleg</w:t>
      </w:r>
      <w:proofErr w:type="spellEnd"/>
      <w:r w:rsidRPr="001D3665">
        <w:t xml:space="preserve"> </w:t>
      </w:r>
      <w:proofErr w:type="spellStart"/>
      <w:r w:rsidRPr="001D3665">
        <w:t>tek</w:t>
      </w:r>
      <w:proofErr w:type="spellEnd"/>
      <w:r w:rsidRPr="001D3665">
        <w:t xml:space="preserve"> i bruk </w:t>
      </w:r>
      <w:proofErr w:type="spellStart"/>
      <w:r w:rsidRPr="001D3665">
        <w:t>Digitoll</w:t>
      </w:r>
      <w:proofErr w:type="spellEnd"/>
      <w:r w:rsidRPr="001D3665">
        <w:t xml:space="preserve"> i god tid før løysinga vert obligatorisk.</w:t>
      </w:r>
    </w:p>
    <w:p w14:paraId="3BFCEE41" w14:textId="77777777" w:rsidR="00BC371A" w:rsidRPr="001D3665" w:rsidRDefault="00BC371A" w:rsidP="001D3665">
      <w:pPr>
        <w:pStyle w:val="Overskrift2"/>
      </w:pPr>
      <w:proofErr w:type="spellStart"/>
      <w:r w:rsidRPr="001D3665">
        <w:t>Høyringa</w:t>
      </w:r>
      <w:proofErr w:type="spellEnd"/>
    </w:p>
    <w:p w14:paraId="714D1970" w14:textId="77777777" w:rsidR="00BC371A" w:rsidRPr="001D3665" w:rsidRDefault="00BC371A" w:rsidP="001D3665">
      <w:r w:rsidRPr="001D3665">
        <w:t xml:space="preserve">Framlegget om </w:t>
      </w:r>
      <w:proofErr w:type="spellStart"/>
      <w:r w:rsidRPr="001D3665">
        <w:t>førar</w:t>
      </w:r>
      <w:proofErr w:type="spellEnd"/>
      <w:r w:rsidRPr="001D3665">
        <w:t xml:space="preserve"> si plikt til å </w:t>
      </w:r>
      <w:proofErr w:type="spellStart"/>
      <w:r w:rsidRPr="001D3665">
        <w:t>gje</w:t>
      </w:r>
      <w:proofErr w:type="spellEnd"/>
      <w:r w:rsidRPr="001D3665">
        <w:t xml:space="preserve"> referanse til deklarasjonen for varene </w:t>
      </w:r>
      <w:proofErr w:type="spellStart"/>
      <w:r w:rsidRPr="001D3665">
        <w:t>vart</w:t>
      </w:r>
      <w:proofErr w:type="spellEnd"/>
      <w:r w:rsidRPr="001D3665">
        <w:t xml:space="preserve"> sendt på </w:t>
      </w:r>
      <w:proofErr w:type="spellStart"/>
      <w:r w:rsidRPr="001D3665">
        <w:t>høyring</w:t>
      </w:r>
      <w:proofErr w:type="spellEnd"/>
      <w:r w:rsidRPr="001D3665">
        <w:t xml:space="preserve"> 5. mai 2025. </w:t>
      </w:r>
      <w:proofErr w:type="spellStart"/>
      <w:r w:rsidRPr="001D3665">
        <w:t>Høyringa</w:t>
      </w:r>
      <w:proofErr w:type="spellEnd"/>
      <w:r w:rsidRPr="001D3665">
        <w:t xml:space="preserve"> </w:t>
      </w:r>
      <w:proofErr w:type="spellStart"/>
      <w:r w:rsidRPr="001D3665">
        <w:t>vart</w:t>
      </w:r>
      <w:proofErr w:type="spellEnd"/>
      <w:r w:rsidRPr="001D3665">
        <w:t xml:space="preserve"> sendt til 119 </w:t>
      </w:r>
      <w:proofErr w:type="spellStart"/>
      <w:r w:rsidRPr="001D3665">
        <w:t>instansar</w:t>
      </w:r>
      <w:proofErr w:type="spellEnd"/>
      <w:r w:rsidRPr="001D3665">
        <w:t xml:space="preserve">. </w:t>
      </w:r>
      <w:proofErr w:type="spellStart"/>
      <w:r w:rsidRPr="001D3665">
        <w:t>Høyringsfristen</w:t>
      </w:r>
      <w:proofErr w:type="spellEnd"/>
      <w:r w:rsidRPr="001D3665">
        <w:t xml:space="preserve"> gjekk ut 19. juni 2025.</w:t>
      </w:r>
    </w:p>
    <w:p w14:paraId="35D5D81F" w14:textId="77777777" w:rsidR="00BC371A" w:rsidRPr="001D3665" w:rsidRDefault="00BC371A" w:rsidP="001D3665">
      <w:r w:rsidRPr="001D3665">
        <w:t xml:space="preserve">I </w:t>
      </w:r>
      <w:proofErr w:type="spellStart"/>
      <w:r w:rsidRPr="001D3665">
        <w:t>høyringsnotatet</w:t>
      </w:r>
      <w:proofErr w:type="spellEnd"/>
      <w:r w:rsidRPr="001D3665">
        <w:t xml:space="preserve"> identifiserte Tolletaten fem alternativ for korleis </w:t>
      </w:r>
      <w:proofErr w:type="spellStart"/>
      <w:r w:rsidRPr="001D3665">
        <w:t>ein</w:t>
      </w:r>
      <w:proofErr w:type="spellEnd"/>
      <w:r w:rsidRPr="001D3665">
        <w:t xml:space="preserve"> kan kople </w:t>
      </w:r>
      <w:proofErr w:type="spellStart"/>
      <w:r w:rsidRPr="001D3665">
        <w:t>saman</w:t>
      </w:r>
      <w:proofErr w:type="spellEnd"/>
      <w:r w:rsidRPr="001D3665">
        <w:t xml:space="preserve"> informasjonen </w:t>
      </w:r>
      <w:proofErr w:type="spellStart"/>
      <w:r w:rsidRPr="001D3665">
        <w:t>frå</w:t>
      </w:r>
      <w:proofErr w:type="spellEnd"/>
      <w:r w:rsidRPr="001D3665">
        <w:t xml:space="preserve"> </w:t>
      </w:r>
      <w:proofErr w:type="spellStart"/>
      <w:r w:rsidRPr="001D3665">
        <w:t>førar</w:t>
      </w:r>
      <w:proofErr w:type="spellEnd"/>
      <w:r w:rsidRPr="001D3665">
        <w:t xml:space="preserve"> og deklarasjonspliktige:</w:t>
      </w:r>
    </w:p>
    <w:p w14:paraId="67D0EF9B" w14:textId="77777777" w:rsidR="00BC371A" w:rsidRPr="001D3665" w:rsidRDefault="00BC371A" w:rsidP="001D3665">
      <w:pPr>
        <w:pStyle w:val="Liste"/>
      </w:pPr>
      <w:r w:rsidRPr="001D3665">
        <w:t xml:space="preserve">Tolletaten tilbyr digitale </w:t>
      </w:r>
      <w:proofErr w:type="spellStart"/>
      <w:r w:rsidRPr="001D3665">
        <w:t>tenester</w:t>
      </w:r>
      <w:proofErr w:type="spellEnd"/>
      <w:r w:rsidRPr="001D3665">
        <w:t xml:space="preserve"> som automatisk </w:t>
      </w:r>
      <w:proofErr w:type="spellStart"/>
      <w:r w:rsidRPr="001D3665">
        <w:t>koplar</w:t>
      </w:r>
      <w:proofErr w:type="spellEnd"/>
      <w:r w:rsidRPr="001D3665">
        <w:t xml:space="preserve"> </w:t>
      </w:r>
      <w:proofErr w:type="spellStart"/>
      <w:r w:rsidRPr="001D3665">
        <w:t>saman</w:t>
      </w:r>
      <w:proofErr w:type="spellEnd"/>
      <w:r w:rsidRPr="001D3665">
        <w:t xml:space="preserve"> levert informasjon.</w:t>
      </w:r>
    </w:p>
    <w:p w14:paraId="5584FF0C" w14:textId="77777777" w:rsidR="00BC371A" w:rsidRPr="001D3665" w:rsidRDefault="00BC371A" w:rsidP="001D3665">
      <w:pPr>
        <w:pStyle w:val="Liste"/>
      </w:pPr>
      <w:r w:rsidRPr="001D3665">
        <w:t xml:space="preserve">Den deklarasjonspliktige vert pålagd å </w:t>
      </w:r>
      <w:proofErr w:type="spellStart"/>
      <w:r w:rsidRPr="001D3665">
        <w:t>oppgje</w:t>
      </w:r>
      <w:proofErr w:type="spellEnd"/>
      <w:r w:rsidRPr="001D3665">
        <w:t xml:space="preserve"> referanse til informasjon levert av </w:t>
      </w:r>
      <w:proofErr w:type="spellStart"/>
      <w:r w:rsidRPr="001D3665">
        <w:t>føraren</w:t>
      </w:r>
      <w:proofErr w:type="spellEnd"/>
      <w:r w:rsidRPr="001D3665">
        <w:t>.</w:t>
      </w:r>
    </w:p>
    <w:p w14:paraId="6A396538" w14:textId="77777777" w:rsidR="00BC371A" w:rsidRPr="001D3665" w:rsidRDefault="00BC371A" w:rsidP="001D3665">
      <w:pPr>
        <w:pStyle w:val="Liste"/>
      </w:pPr>
      <w:proofErr w:type="spellStart"/>
      <w:r w:rsidRPr="001D3665">
        <w:t>Føraren</w:t>
      </w:r>
      <w:proofErr w:type="spellEnd"/>
      <w:r w:rsidRPr="001D3665">
        <w:t xml:space="preserve"> vert pålagd å </w:t>
      </w:r>
      <w:proofErr w:type="spellStart"/>
      <w:r w:rsidRPr="001D3665">
        <w:t>oppgje</w:t>
      </w:r>
      <w:proofErr w:type="spellEnd"/>
      <w:r w:rsidRPr="001D3665">
        <w:t xml:space="preserve"> referanse til informasjon levert av den deklarasjonspliktige.</w:t>
      </w:r>
    </w:p>
    <w:p w14:paraId="36ED0AD5" w14:textId="77777777" w:rsidR="00BC371A" w:rsidRPr="001D3665" w:rsidRDefault="00BC371A" w:rsidP="001D3665">
      <w:pPr>
        <w:pStyle w:val="Liste"/>
      </w:pPr>
      <w:r w:rsidRPr="001D3665">
        <w:t xml:space="preserve">Dei pliktige får høve til </w:t>
      </w:r>
      <w:proofErr w:type="spellStart"/>
      <w:r w:rsidRPr="001D3665">
        <w:t>sjølv</w:t>
      </w:r>
      <w:proofErr w:type="spellEnd"/>
      <w:r w:rsidRPr="001D3665">
        <w:t xml:space="preserve"> å definere </w:t>
      </w:r>
      <w:proofErr w:type="spellStart"/>
      <w:r w:rsidRPr="001D3665">
        <w:t>ein</w:t>
      </w:r>
      <w:proofErr w:type="spellEnd"/>
      <w:r w:rsidRPr="001D3665">
        <w:t xml:space="preserve"> referanse som kan </w:t>
      </w:r>
      <w:proofErr w:type="spellStart"/>
      <w:r w:rsidRPr="001D3665">
        <w:t>verte</w:t>
      </w:r>
      <w:proofErr w:type="spellEnd"/>
      <w:r w:rsidRPr="001D3665">
        <w:t xml:space="preserve"> opplyst ved leveringa av informasjonen til Tolletaten.</w:t>
      </w:r>
    </w:p>
    <w:p w14:paraId="3EC56006" w14:textId="77777777" w:rsidR="00BC371A" w:rsidRPr="001D3665" w:rsidRDefault="00BC371A" w:rsidP="001D3665">
      <w:pPr>
        <w:pStyle w:val="Liste"/>
      </w:pPr>
      <w:r w:rsidRPr="001D3665">
        <w:t xml:space="preserve">Tolletaten tilbyr ei </w:t>
      </w:r>
      <w:proofErr w:type="spellStart"/>
      <w:r w:rsidRPr="001D3665">
        <w:t>teneste</w:t>
      </w:r>
      <w:proofErr w:type="spellEnd"/>
      <w:r w:rsidRPr="001D3665">
        <w:t xml:space="preserve"> for å utveksle </w:t>
      </w:r>
      <w:proofErr w:type="spellStart"/>
      <w:r w:rsidRPr="001D3665">
        <w:t>referansar</w:t>
      </w:r>
      <w:proofErr w:type="spellEnd"/>
      <w:r w:rsidRPr="001D3665">
        <w:t xml:space="preserve"> mellom pliktsubjekta.</w:t>
      </w:r>
    </w:p>
    <w:p w14:paraId="3501AD6F" w14:textId="77777777" w:rsidR="00BC371A" w:rsidRPr="001D3665" w:rsidRDefault="00BC371A" w:rsidP="001D3665">
      <w:r w:rsidRPr="001D3665">
        <w:t xml:space="preserve">Tolletaten har </w:t>
      </w:r>
      <w:proofErr w:type="spellStart"/>
      <w:r w:rsidRPr="001D3665">
        <w:t>kome</w:t>
      </w:r>
      <w:proofErr w:type="spellEnd"/>
      <w:r w:rsidRPr="001D3665">
        <w:t xml:space="preserve"> til at det beste alternativet vil </w:t>
      </w:r>
      <w:proofErr w:type="spellStart"/>
      <w:r w:rsidRPr="001D3665">
        <w:t>vere</w:t>
      </w:r>
      <w:proofErr w:type="spellEnd"/>
      <w:r w:rsidRPr="001D3665">
        <w:t xml:space="preserve"> å </w:t>
      </w:r>
      <w:proofErr w:type="spellStart"/>
      <w:r w:rsidRPr="001D3665">
        <w:t>påleggje</w:t>
      </w:r>
      <w:proofErr w:type="spellEnd"/>
      <w:r w:rsidRPr="001D3665">
        <w:t xml:space="preserve"> </w:t>
      </w:r>
      <w:proofErr w:type="spellStart"/>
      <w:r w:rsidRPr="001D3665">
        <w:t>føraren</w:t>
      </w:r>
      <w:proofErr w:type="spellEnd"/>
      <w:r w:rsidRPr="001D3665">
        <w:t xml:space="preserve"> å </w:t>
      </w:r>
      <w:proofErr w:type="spellStart"/>
      <w:r w:rsidRPr="001D3665">
        <w:t>oppgje</w:t>
      </w:r>
      <w:proofErr w:type="spellEnd"/>
      <w:r w:rsidRPr="001D3665">
        <w:t xml:space="preserve"> referansen til deklarasjonen for varer som vert transporterte som last.</w:t>
      </w:r>
    </w:p>
    <w:p w14:paraId="1C673A57" w14:textId="77777777" w:rsidR="00BC371A" w:rsidRPr="001D3665" w:rsidRDefault="00BC371A" w:rsidP="001D3665">
      <w:r w:rsidRPr="001D3665">
        <w:t xml:space="preserve">Det kom til </w:t>
      </w:r>
      <w:proofErr w:type="spellStart"/>
      <w:r w:rsidRPr="001D3665">
        <w:t>saman</w:t>
      </w:r>
      <w:proofErr w:type="spellEnd"/>
      <w:r w:rsidRPr="001D3665">
        <w:t xml:space="preserve"> inn 16 </w:t>
      </w:r>
      <w:proofErr w:type="spellStart"/>
      <w:r w:rsidRPr="001D3665">
        <w:t>høyringssvar</w:t>
      </w:r>
      <w:proofErr w:type="spellEnd"/>
      <w:r w:rsidRPr="001D3665">
        <w:t xml:space="preserve">, der sju var </w:t>
      </w:r>
      <w:proofErr w:type="spellStart"/>
      <w:r w:rsidRPr="001D3665">
        <w:t>utan</w:t>
      </w:r>
      <w:proofErr w:type="spellEnd"/>
      <w:r w:rsidRPr="001D3665">
        <w:t xml:space="preserve"> merknader.</w:t>
      </w:r>
    </w:p>
    <w:p w14:paraId="3F35EC3B" w14:textId="77777777" w:rsidR="00BC371A" w:rsidRPr="001D3665" w:rsidRDefault="00BC371A" w:rsidP="001D3665">
      <w:proofErr w:type="spellStart"/>
      <w:r w:rsidRPr="001D3665">
        <w:t>Følgjande</w:t>
      </w:r>
      <w:proofErr w:type="spellEnd"/>
      <w:r w:rsidRPr="001D3665">
        <w:t xml:space="preserve"> ni </w:t>
      </w:r>
      <w:proofErr w:type="spellStart"/>
      <w:r w:rsidRPr="001D3665">
        <w:t>høyringsinstansar</w:t>
      </w:r>
      <w:proofErr w:type="spellEnd"/>
      <w:r w:rsidRPr="001D3665">
        <w:t xml:space="preserve"> har levert </w:t>
      </w:r>
      <w:proofErr w:type="spellStart"/>
      <w:r w:rsidRPr="001D3665">
        <w:t>høyringssvar</w:t>
      </w:r>
      <w:proofErr w:type="spellEnd"/>
      <w:r w:rsidRPr="001D3665">
        <w:t xml:space="preserve"> med merknader til framlegget:</w:t>
      </w:r>
    </w:p>
    <w:p w14:paraId="12B457FF" w14:textId="77777777" w:rsidR="00BC371A" w:rsidRPr="001D3665" w:rsidRDefault="00BC371A" w:rsidP="001D3665">
      <w:pPr>
        <w:pStyle w:val="Liste"/>
      </w:pPr>
      <w:r w:rsidRPr="001D3665">
        <w:t>Coop Norge SA</w:t>
      </w:r>
    </w:p>
    <w:p w14:paraId="2BA08CD5" w14:textId="77777777" w:rsidR="00BC371A" w:rsidRPr="001D3665" w:rsidRDefault="00BC371A" w:rsidP="001D3665">
      <w:pPr>
        <w:pStyle w:val="Liste"/>
      </w:pPr>
      <w:r w:rsidRPr="001D3665">
        <w:t>DSV Norge AS</w:t>
      </w:r>
    </w:p>
    <w:p w14:paraId="49478DE3" w14:textId="77777777" w:rsidR="00BC371A" w:rsidRPr="001D3665" w:rsidRDefault="00BC371A" w:rsidP="001D3665">
      <w:pPr>
        <w:pStyle w:val="Liste"/>
      </w:pPr>
      <w:proofErr w:type="spellStart"/>
      <w:r w:rsidRPr="001D3665">
        <w:t>Kuehne+Nagel</w:t>
      </w:r>
      <w:proofErr w:type="spellEnd"/>
      <w:r w:rsidRPr="001D3665">
        <w:t xml:space="preserve"> AS</w:t>
      </w:r>
    </w:p>
    <w:p w14:paraId="591B1461" w14:textId="77777777" w:rsidR="00BC371A" w:rsidRPr="001D3665" w:rsidRDefault="00BC371A" w:rsidP="001D3665">
      <w:pPr>
        <w:pStyle w:val="Liste"/>
      </w:pPr>
      <w:r w:rsidRPr="001D3665">
        <w:t xml:space="preserve">Maersk </w:t>
      </w:r>
      <w:proofErr w:type="spellStart"/>
      <w:r w:rsidRPr="001D3665">
        <w:t>Logistics</w:t>
      </w:r>
      <w:proofErr w:type="spellEnd"/>
      <w:r w:rsidRPr="001D3665">
        <w:t xml:space="preserve"> &amp; Services Norway AS</w:t>
      </w:r>
    </w:p>
    <w:p w14:paraId="7EE9C20C" w14:textId="77777777" w:rsidR="00BC371A" w:rsidRPr="001D3665" w:rsidRDefault="00BC371A" w:rsidP="001D3665">
      <w:pPr>
        <w:pStyle w:val="Liste"/>
      </w:pPr>
      <w:r w:rsidRPr="001D3665">
        <w:t>Næringslivets Hovedorganisasjon</w:t>
      </w:r>
    </w:p>
    <w:p w14:paraId="68C64D61" w14:textId="77777777" w:rsidR="00BC371A" w:rsidRPr="001D3665" w:rsidRDefault="00BC371A" w:rsidP="001D3665">
      <w:pPr>
        <w:pStyle w:val="Liste"/>
      </w:pPr>
      <w:r w:rsidRPr="001D3665">
        <w:t>NHO Logistikk og Transport</w:t>
      </w:r>
    </w:p>
    <w:p w14:paraId="1A93685E" w14:textId="77777777" w:rsidR="00BC371A" w:rsidRPr="00AE78E9" w:rsidRDefault="00BC371A" w:rsidP="001D3665">
      <w:pPr>
        <w:pStyle w:val="Liste"/>
        <w:rPr>
          <w:lang w:val="en-GB"/>
        </w:rPr>
      </w:pPr>
      <w:r w:rsidRPr="00AE78E9">
        <w:rPr>
          <w:lang w:val="en-GB"/>
        </w:rPr>
        <w:t>Norsk Trailer Express AS (</w:t>
      </w:r>
      <w:proofErr w:type="spellStart"/>
      <w:r w:rsidRPr="00AE78E9">
        <w:rPr>
          <w:lang w:val="en-GB"/>
        </w:rPr>
        <w:t>Nortrail</w:t>
      </w:r>
      <w:proofErr w:type="spellEnd"/>
      <w:r w:rsidRPr="00AE78E9">
        <w:rPr>
          <w:lang w:val="en-GB"/>
        </w:rPr>
        <w:t>)</w:t>
      </w:r>
    </w:p>
    <w:p w14:paraId="2417A7BB" w14:textId="77777777" w:rsidR="00BC371A" w:rsidRPr="001D3665" w:rsidRDefault="00BC371A" w:rsidP="001D3665">
      <w:pPr>
        <w:pStyle w:val="Liste"/>
      </w:pPr>
      <w:r w:rsidRPr="001D3665">
        <w:t>Posten Bring AS</w:t>
      </w:r>
    </w:p>
    <w:p w14:paraId="3A8A72A5" w14:textId="77777777" w:rsidR="00BC371A" w:rsidRPr="001D3665" w:rsidRDefault="00BC371A" w:rsidP="001D3665">
      <w:pPr>
        <w:pStyle w:val="Liste"/>
      </w:pPr>
      <w:r w:rsidRPr="001D3665">
        <w:lastRenderedPageBreak/>
        <w:t>Statistisk sentralbyrå</w:t>
      </w:r>
    </w:p>
    <w:p w14:paraId="6C5D093E" w14:textId="77777777" w:rsidR="00BC371A" w:rsidRPr="001D3665" w:rsidRDefault="00BC371A" w:rsidP="001D3665">
      <w:proofErr w:type="spellStart"/>
      <w:r w:rsidRPr="001D3665">
        <w:t>Fleire</w:t>
      </w:r>
      <w:proofErr w:type="spellEnd"/>
      <w:r w:rsidRPr="001D3665">
        <w:t xml:space="preserve"> </w:t>
      </w:r>
      <w:proofErr w:type="spellStart"/>
      <w:r w:rsidRPr="001D3665">
        <w:t>høyringsinstansar</w:t>
      </w:r>
      <w:proofErr w:type="spellEnd"/>
      <w:r w:rsidRPr="001D3665">
        <w:t xml:space="preserve"> </w:t>
      </w:r>
      <w:proofErr w:type="spellStart"/>
      <w:r w:rsidRPr="001D3665">
        <w:t>peiker</w:t>
      </w:r>
      <w:proofErr w:type="spellEnd"/>
      <w:r w:rsidRPr="001D3665">
        <w:t xml:space="preserve"> på </w:t>
      </w:r>
      <w:proofErr w:type="spellStart"/>
      <w:r w:rsidRPr="001D3665">
        <w:t>utfordringar</w:t>
      </w:r>
      <w:proofErr w:type="spellEnd"/>
      <w:r w:rsidRPr="001D3665">
        <w:t xml:space="preserve"> som gjeld korleis informasjonen skal </w:t>
      </w:r>
      <w:proofErr w:type="spellStart"/>
      <w:r w:rsidRPr="001D3665">
        <w:t>verte</w:t>
      </w:r>
      <w:proofErr w:type="spellEnd"/>
      <w:r w:rsidRPr="001D3665">
        <w:t xml:space="preserve"> delt mellom </w:t>
      </w:r>
      <w:proofErr w:type="spellStart"/>
      <w:r w:rsidRPr="001D3665">
        <w:t>føraren</w:t>
      </w:r>
      <w:proofErr w:type="spellEnd"/>
      <w:r w:rsidRPr="001D3665">
        <w:t xml:space="preserve"> og den deklarasjonspliktige (eller tollrepresentant) før passeringa av grensa.</w:t>
      </w:r>
    </w:p>
    <w:p w14:paraId="48387F8B" w14:textId="77777777" w:rsidR="00BC371A" w:rsidRPr="001D3665" w:rsidRDefault="00BC371A" w:rsidP="001D3665">
      <w:pPr>
        <w:rPr>
          <w:rStyle w:val="kursiv"/>
        </w:rPr>
      </w:pPr>
      <w:r w:rsidRPr="001D3665">
        <w:rPr>
          <w:rStyle w:val="kursiv"/>
        </w:rPr>
        <w:t>NHO Logistikk og Transport</w:t>
      </w:r>
      <w:r w:rsidRPr="001D3665">
        <w:t xml:space="preserve"> skriv i sitt </w:t>
      </w:r>
      <w:proofErr w:type="spellStart"/>
      <w:r w:rsidRPr="001D3665">
        <w:t>høyringssvar</w:t>
      </w:r>
      <w:proofErr w:type="spellEnd"/>
      <w:r w:rsidRPr="001D3665">
        <w:t xml:space="preserve"> mellom anna at:</w:t>
      </w:r>
    </w:p>
    <w:p w14:paraId="3A81C041" w14:textId="77777777" w:rsidR="00BC371A" w:rsidRPr="001D3665" w:rsidRDefault="00BC371A" w:rsidP="001D3665">
      <w:pPr>
        <w:pStyle w:val="blokksit"/>
      </w:pPr>
      <w:r w:rsidRPr="001D3665">
        <w:t>«Aktørene i transport- og logistikkbransjen har lagt ned betydelige ressurser i å tilpasse virksomheten til å kunne oppfylle melde- og opplysningsplikten digitalt og til å sende inn deklarasjon før transportmiddelet ankommer grensen. Disse elementene hver for seg har vi inntrykk av at mange av aktørene er i ferd med å få på plass. Den store utfordringen er imidlertid sammenknytningen av transportopplysninger. Slik sammenknytning er gjennomførbar når lasten på et transportmiddel består av sendinger som tilhører én transportaktør, og denne aktøren leverer både melde- og opplysningsinformasjon og deklarasjonen. I slike transporter sitter den som skal gi opplysninger med bukta og begge endene, og koordinering av opplysninger opplyses å fungere godt.</w:t>
      </w:r>
    </w:p>
    <w:p w14:paraId="1EB93F67" w14:textId="77777777" w:rsidR="00BC371A" w:rsidRPr="001D3665" w:rsidRDefault="00BC371A" w:rsidP="001D3665">
      <w:pPr>
        <w:pStyle w:val="blokksit"/>
      </w:pPr>
      <w:r w:rsidRPr="001D3665">
        <w:t>Situasjonen blir mer krevende når en aktør skal levere melde- og opplysningsinformasjon (typisk et transportselskap), mens en annen aktør skal levere deklarasjonen (typisk en speditør). Tilbakemeldingen fra våre medlemsbedrifter er at timingen og sammenknytningen av disse opplysningene medfører store utfordringer.</w:t>
      </w:r>
    </w:p>
    <w:p w14:paraId="43C21853" w14:textId="77777777" w:rsidR="00BC371A" w:rsidRPr="001D3665" w:rsidRDefault="00BC371A" w:rsidP="001D3665">
      <w:pPr>
        <w:pStyle w:val="blokksit"/>
      </w:pPr>
      <w:r w:rsidRPr="001D3665">
        <w:t xml:space="preserve">Situasjonen er enda mer krevende, og i mange tilfeller ikke håndterbar, når flere aktører frakter gods på det samme transportmiddelet. For å utnytte kapasiteten best mulig er det vanlig at et transportmiddel lastes med varer fra flere ulike transportører, såkalt samlasting. Innmelding av samlastede transportmidler i </w:t>
      </w:r>
      <w:proofErr w:type="spellStart"/>
      <w:r w:rsidRPr="001D3665">
        <w:t>Digitoll</w:t>
      </w:r>
      <w:proofErr w:type="spellEnd"/>
      <w:r w:rsidRPr="001D3665">
        <w:t xml:space="preserve">-ordningen innebærer en betydelig koordinering av opplysninger mellom ulike aktører og det foreligger i dag ingen teknisk løsning for sammenstilling og fullstendig oversikt over manifester og deklarasjoner som tilhører et transportmiddel. NHO LT har siden den første høringsrunden for </w:t>
      </w:r>
      <w:proofErr w:type="spellStart"/>
      <w:r w:rsidRPr="001D3665">
        <w:t>Digitoll</w:t>
      </w:r>
      <w:proofErr w:type="spellEnd"/>
      <w:r w:rsidRPr="001D3665">
        <w:t xml:space="preserve"> i 2022 påpekt at myndighetene må ta ansvar for en slik felles teknisk løsning, men vi konstaterer at Tolletaten ikke har villet følge opp dette.»</w:t>
      </w:r>
    </w:p>
    <w:p w14:paraId="082C140E" w14:textId="77777777" w:rsidR="00BC371A" w:rsidRPr="001D3665" w:rsidRDefault="00BC371A" w:rsidP="001D3665">
      <w:pPr>
        <w:rPr>
          <w:rStyle w:val="kursiv"/>
        </w:rPr>
      </w:pPr>
      <w:r w:rsidRPr="001D3665">
        <w:rPr>
          <w:rStyle w:val="kursiv"/>
        </w:rPr>
        <w:t>DSV Norge AS</w:t>
      </w:r>
      <w:r w:rsidRPr="001D3665">
        <w:t xml:space="preserve"> skriv mellom anna at:</w:t>
      </w:r>
    </w:p>
    <w:p w14:paraId="1E09FFC8" w14:textId="77777777" w:rsidR="00BC371A" w:rsidRPr="001D3665" w:rsidRDefault="00BC371A" w:rsidP="001D3665">
      <w:pPr>
        <w:pStyle w:val="blokksit"/>
      </w:pPr>
      <w:r w:rsidRPr="001D3665">
        <w:t xml:space="preserve">«Den store utfordringen oppstår ved samlast, hvor flere aktører har gods på samme transportmiddel. Det eksisterer i dag ingen løsning for dette i </w:t>
      </w:r>
      <w:proofErr w:type="spellStart"/>
      <w:r w:rsidRPr="001D3665">
        <w:t>Digitoll</w:t>
      </w:r>
      <w:proofErr w:type="spellEnd"/>
      <w:r w:rsidRPr="001D3665">
        <w:t>. Det er heller ingen aktører som er villige til å påta seg ansvar for å melde inn andre aktørers gods, da dette medfører betydelig risiko, både juridisk og operasjonelt.</w:t>
      </w:r>
    </w:p>
    <w:p w14:paraId="00A652F5" w14:textId="77777777" w:rsidR="00BC371A" w:rsidRPr="001D3665" w:rsidRDefault="00BC371A" w:rsidP="001D3665">
      <w:pPr>
        <w:pStyle w:val="blokksit"/>
      </w:pPr>
      <w:r w:rsidRPr="001D3665">
        <w:t xml:space="preserve">Tolletaten har foreslått at fører skal oppgi en nøkkelreferanse til informasjon levert av deklarasjonspliktig (alternativ 3). Etter vår vurdering innebærer dette ingen vesentlig endring fra tidligere forslag og løser ikke samlastproblematikken. En brukervennlig løsning for samlast må på plass før full innføring av </w:t>
      </w:r>
      <w:proofErr w:type="spellStart"/>
      <w:r w:rsidRPr="001D3665">
        <w:t>Digitoll</w:t>
      </w:r>
      <w:proofErr w:type="spellEnd"/>
      <w:r w:rsidRPr="001D3665">
        <w:t xml:space="preserve"> kan gjennomføres. Hvis ikke så er det umulig å lande </w:t>
      </w:r>
      <w:proofErr w:type="spellStart"/>
      <w:r w:rsidRPr="001D3665">
        <w:t>Digitoll</w:t>
      </w:r>
      <w:proofErr w:type="spellEnd"/>
      <w:r w:rsidRPr="001D3665">
        <w:t xml:space="preserve"> prosjektet 100%.»</w:t>
      </w:r>
    </w:p>
    <w:p w14:paraId="07C9366E" w14:textId="77777777" w:rsidR="00BC371A" w:rsidRPr="001D3665" w:rsidRDefault="00BC371A" w:rsidP="001D3665">
      <w:pPr>
        <w:rPr>
          <w:rStyle w:val="kursiv"/>
        </w:rPr>
      </w:pPr>
      <w:proofErr w:type="spellStart"/>
      <w:r w:rsidRPr="001D3665">
        <w:rPr>
          <w:rStyle w:val="kursiv"/>
        </w:rPr>
        <w:t>Kuehne+Nagel</w:t>
      </w:r>
      <w:proofErr w:type="spellEnd"/>
      <w:r w:rsidRPr="001D3665">
        <w:t xml:space="preserve"> </w:t>
      </w:r>
      <w:r w:rsidRPr="001D3665">
        <w:rPr>
          <w:rStyle w:val="kursiv"/>
        </w:rPr>
        <w:t>AS</w:t>
      </w:r>
      <w:r w:rsidRPr="001D3665">
        <w:t xml:space="preserve"> skriv mellom anna at:</w:t>
      </w:r>
    </w:p>
    <w:p w14:paraId="4D39E0FE" w14:textId="77777777" w:rsidR="00BC371A" w:rsidRPr="001D3665" w:rsidRDefault="00BC371A" w:rsidP="001D3665">
      <w:pPr>
        <w:pStyle w:val="blokksit"/>
      </w:pPr>
      <w:r w:rsidRPr="001D3665">
        <w:t xml:space="preserve">«Samlasting er en logistikkløsning der flere aktører har sendinger på samme transportmiddel. Store deler av vareførselen til Norge er samlast. Samlast benyttes for å utnytte kapasitet, redusere kostnader og minimalisere miljøavtrykket av transporten. Ved samlasting er det vesentlig for aktørene at opplysninger om sendingene ikke deles med de øvrige, da dette ofte er forretningshemmeligheter. De forskjellige aktørene kjenner derfor ikke til hvem andre som har gods på samme transport. </w:t>
      </w:r>
      <w:proofErr w:type="spellStart"/>
      <w:r w:rsidRPr="001D3665">
        <w:t>Digitoll</w:t>
      </w:r>
      <w:proofErr w:type="spellEnd"/>
      <w:r w:rsidRPr="001D3665">
        <w:t>-løsningen slik den er i dag og skissert i høringsnotatet hensyntar ikke dette.</w:t>
      </w:r>
    </w:p>
    <w:p w14:paraId="40795D1B" w14:textId="77777777" w:rsidR="00BC371A" w:rsidRPr="001D3665" w:rsidRDefault="00BC371A" w:rsidP="001D3665">
      <w:pPr>
        <w:pStyle w:val="blokksit"/>
      </w:pPr>
      <w:r w:rsidRPr="001D3665">
        <w:t xml:space="preserve">Utover samlastingsproblematikken er Tolletatens foretrukne løsning svært lite fleksibel og brukervennlig for næringslivet </w:t>
      </w:r>
      <w:proofErr w:type="spellStart"/>
      <w:r w:rsidRPr="001D3665">
        <w:t>ift</w:t>
      </w:r>
      <w:proofErr w:type="spellEnd"/>
      <w:r w:rsidRPr="001D3665">
        <w:t xml:space="preserve"> endringer som skjer underveis. I mange tilfeller utløser den minste variasjon, feil eller endring i ett </w:t>
      </w:r>
      <w:proofErr w:type="spellStart"/>
      <w:r w:rsidRPr="001D3665">
        <w:t>informasjonssett</w:t>
      </w:r>
      <w:proofErr w:type="spellEnd"/>
      <w:r w:rsidRPr="001D3665">
        <w:t xml:space="preserve"> at oppgaver må gjøres helt på nytt for alle pliktsubjekter, ikke bare der avviket er. Dette skaper dobbeltarbeid hos aktører som i utgangspunktet </w:t>
      </w:r>
      <w:r w:rsidRPr="001D3665">
        <w:lastRenderedPageBreak/>
        <w:t>er helt upåvirket av endringen. Det stiller også meget store krav til koordinasjon og tilgjengelighet for alle parter, uavhengig av om deres del av det samlede informasjonsbildet er korrekt og forblir uendret.</w:t>
      </w:r>
    </w:p>
    <w:p w14:paraId="0AF5BB77" w14:textId="77777777" w:rsidR="00BC371A" w:rsidRPr="001D3665" w:rsidRDefault="00BC371A" w:rsidP="001D3665">
      <w:pPr>
        <w:pStyle w:val="blokksit"/>
      </w:pPr>
      <w:r w:rsidRPr="001D3665">
        <w:t>Hvis Tolletaten står ved at man må ha en løsning for sammenkobling av opplysninger er det KNs klare oppfatning at det er helt nødvendig at det velges en løsning der Tolletaten enten tilbyr digitale løsninger for knytningen av informasjonen som ivaretar næringslivets behov, eller påtar seg å sammenkoble opplysningene selv. Vi ser spesielt to vesentlige argumenter for dette:</w:t>
      </w:r>
    </w:p>
    <w:p w14:paraId="102571DD" w14:textId="77777777" w:rsidR="00BC371A" w:rsidRPr="001D3665" w:rsidRDefault="00BC371A" w:rsidP="001D3665">
      <w:pPr>
        <w:pStyle w:val="blokksit"/>
      </w:pPr>
      <w:r w:rsidRPr="001D3665">
        <w:t>- Tolletaten er den eneste instans/aktør som er involvert i enhver vareførsel til Norge, dermed vil alle aktører ved innførsel vite hvor man skal sende sin del av den samlede informasjonen.</w:t>
      </w:r>
    </w:p>
    <w:p w14:paraId="078DF684" w14:textId="77777777" w:rsidR="00BC371A" w:rsidRPr="001D3665" w:rsidRDefault="00BC371A" w:rsidP="001D3665">
      <w:pPr>
        <w:pStyle w:val="blokksit"/>
      </w:pPr>
      <w:r w:rsidRPr="001D3665">
        <w:t>- Tolletaten er en nøytral aktør som ivaretar næringslivets behov for å ikke dele forretningssensitiv informasjon.»</w:t>
      </w:r>
    </w:p>
    <w:p w14:paraId="6C36E783" w14:textId="77777777" w:rsidR="00BC371A" w:rsidRPr="001D3665" w:rsidRDefault="00BC371A" w:rsidP="001D3665">
      <w:pPr>
        <w:rPr>
          <w:rStyle w:val="kursiv"/>
        </w:rPr>
      </w:pPr>
      <w:r w:rsidRPr="001D3665">
        <w:rPr>
          <w:rStyle w:val="kursiv"/>
        </w:rPr>
        <w:t xml:space="preserve">Maersk </w:t>
      </w:r>
      <w:proofErr w:type="spellStart"/>
      <w:r w:rsidRPr="001D3665">
        <w:rPr>
          <w:rStyle w:val="kursiv"/>
        </w:rPr>
        <w:t>Logistics</w:t>
      </w:r>
      <w:proofErr w:type="spellEnd"/>
      <w:r w:rsidRPr="001D3665">
        <w:rPr>
          <w:rStyle w:val="kursiv"/>
        </w:rPr>
        <w:t xml:space="preserve"> &amp; Services Norway AS </w:t>
      </w:r>
      <w:r w:rsidRPr="001D3665">
        <w:t>skriv mellom anna at:</w:t>
      </w:r>
    </w:p>
    <w:p w14:paraId="115C8A53" w14:textId="77777777" w:rsidR="00BC371A" w:rsidRPr="001D3665" w:rsidRDefault="00BC371A" w:rsidP="001D3665">
      <w:pPr>
        <w:pStyle w:val="blokksit"/>
      </w:pPr>
      <w:r w:rsidRPr="001D3665">
        <w:t>«Vi er positive til at forslaget kan bidra til å sikre en tydeligere kobling mellom transporten og tolldeklarasjonen, noe som på sikt kan redusere feil og effektivisere grensekontrollene. En sentral referanse som deklarasjons-ID forenkler sporbarhet og kontroll for Tolletaten.</w:t>
      </w:r>
    </w:p>
    <w:p w14:paraId="26333DD6" w14:textId="77777777" w:rsidR="00BC371A" w:rsidRPr="001D3665" w:rsidRDefault="00BC371A" w:rsidP="001D3665">
      <w:pPr>
        <w:pStyle w:val="blokksit"/>
      </w:pPr>
      <w:r w:rsidRPr="001D3665">
        <w:t xml:space="preserve">Samtidig er det praktiske utfordringer. Det er ofte flere koblinger mellom Tolletaten, </w:t>
      </w:r>
      <w:proofErr w:type="spellStart"/>
      <w:r w:rsidRPr="001D3665">
        <w:t>deklarant</w:t>
      </w:r>
      <w:proofErr w:type="spellEnd"/>
      <w:r w:rsidRPr="001D3665">
        <w:t>, transportør og sjåfør – også med involverte underleverandører. Det betyr at det ikke alltid er åpenbart hvordan og når sjåføren skal motta denne informasjonen. Heller ikke hvordan ansvaret for informasjonsoverføringen skal fordeles. Det er uklart om sjåføren skal oppgi alle deklarasjons-ID-er for kjøretøy med flere deklarasjoner.»</w:t>
      </w:r>
    </w:p>
    <w:p w14:paraId="16D8109D" w14:textId="77777777" w:rsidR="00BC371A" w:rsidRPr="001D3665" w:rsidRDefault="00BC371A" w:rsidP="001D3665">
      <w:pPr>
        <w:rPr>
          <w:rStyle w:val="kursiv"/>
        </w:rPr>
      </w:pPr>
      <w:r w:rsidRPr="001D3665">
        <w:rPr>
          <w:rStyle w:val="kursiv"/>
        </w:rPr>
        <w:t>Norsk Trailer Express AS (</w:t>
      </w:r>
      <w:proofErr w:type="spellStart"/>
      <w:r w:rsidRPr="001D3665">
        <w:rPr>
          <w:rStyle w:val="kursiv"/>
        </w:rPr>
        <w:t>Nortrail</w:t>
      </w:r>
      <w:proofErr w:type="spellEnd"/>
      <w:r w:rsidRPr="001D3665">
        <w:rPr>
          <w:rStyle w:val="kursiv"/>
        </w:rPr>
        <w:t>)</w:t>
      </w:r>
      <w:r w:rsidRPr="001D3665">
        <w:t xml:space="preserve"> skriv mellom anna at:</w:t>
      </w:r>
    </w:p>
    <w:p w14:paraId="7A0210A7" w14:textId="77777777" w:rsidR="00BC371A" w:rsidRPr="001D3665" w:rsidRDefault="00BC371A" w:rsidP="001D3665">
      <w:pPr>
        <w:pStyle w:val="blokksit"/>
      </w:pPr>
      <w:r w:rsidRPr="001D3665">
        <w:t>«Vi setter stor pris på at Tolletaten nå fremmer fem forskjellige alternativer, men ser kun et presenteres som et faktisk alternativ. Som vi ser det så er flere av disse alternativene gode, men vi er ikke sikre på at alternativet som presenteres er det beste.»</w:t>
      </w:r>
    </w:p>
    <w:p w14:paraId="3C45CAA8" w14:textId="77777777" w:rsidR="00BC371A" w:rsidRPr="001D3665" w:rsidRDefault="00BC371A" w:rsidP="001D3665">
      <w:r w:rsidRPr="001D3665">
        <w:rPr>
          <w:rStyle w:val="kursiv"/>
        </w:rPr>
        <w:t>Norsk Trailer Express AS (</w:t>
      </w:r>
      <w:proofErr w:type="spellStart"/>
      <w:r w:rsidRPr="001D3665">
        <w:rPr>
          <w:rStyle w:val="kursiv"/>
        </w:rPr>
        <w:t>Nortrail</w:t>
      </w:r>
      <w:proofErr w:type="spellEnd"/>
      <w:r w:rsidRPr="001D3665">
        <w:rPr>
          <w:rStyle w:val="kursiv"/>
        </w:rPr>
        <w:t xml:space="preserve">), DSV Norge AS, Posten Bring AS, </w:t>
      </w:r>
      <w:proofErr w:type="spellStart"/>
      <w:r w:rsidRPr="001D3665">
        <w:rPr>
          <w:rStyle w:val="kursiv"/>
        </w:rPr>
        <w:t>Kuehne+Nagel</w:t>
      </w:r>
      <w:proofErr w:type="spellEnd"/>
      <w:r w:rsidRPr="001D3665">
        <w:rPr>
          <w:rStyle w:val="kursiv"/>
        </w:rPr>
        <w:t xml:space="preserve"> AS</w:t>
      </w:r>
      <w:r w:rsidRPr="001D3665">
        <w:t xml:space="preserve"> og </w:t>
      </w:r>
      <w:r w:rsidRPr="001D3665">
        <w:rPr>
          <w:rStyle w:val="kursiv"/>
        </w:rPr>
        <w:t>Næringslivets Hovedorganisasjon</w:t>
      </w:r>
      <w:r w:rsidRPr="001D3665">
        <w:t xml:space="preserve"> syner òg til </w:t>
      </w:r>
      <w:proofErr w:type="spellStart"/>
      <w:r w:rsidRPr="001D3665">
        <w:t>høyringssvaret</w:t>
      </w:r>
      <w:proofErr w:type="spellEnd"/>
      <w:r w:rsidRPr="001D3665">
        <w:t xml:space="preserve"> </w:t>
      </w:r>
      <w:proofErr w:type="spellStart"/>
      <w:r w:rsidRPr="001D3665">
        <w:t>frå</w:t>
      </w:r>
      <w:proofErr w:type="spellEnd"/>
      <w:r w:rsidRPr="001D3665">
        <w:t xml:space="preserve"> NHO Logistikk og Transport, og stiller seg bak dette.</w:t>
      </w:r>
    </w:p>
    <w:p w14:paraId="5C7C6FC3" w14:textId="77777777" w:rsidR="00BC371A" w:rsidRPr="001D3665" w:rsidRDefault="00BC371A" w:rsidP="001D3665">
      <w:pPr>
        <w:pStyle w:val="Overskrift2"/>
      </w:pPr>
      <w:proofErr w:type="spellStart"/>
      <w:r w:rsidRPr="001D3665">
        <w:t>Vurderingar</w:t>
      </w:r>
      <w:proofErr w:type="spellEnd"/>
      <w:r w:rsidRPr="001D3665">
        <w:t xml:space="preserve"> og framlegg</w:t>
      </w:r>
    </w:p>
    <w:p w14:paraId="2CD878C9" w14:textId="77777777" w:rsidR="00BC371A" w:rsidRPr="001D3665" w:rsidRDefault="00BC371A" w:rsidP="001D3665">
      <w:r w:rsidRPr="001D3665">
        <w:t xml:space="preserve">Framlegget </w:t>
      </w:r>
      <w:proofErr w:type="spellStart"/>
      <w:r w:rsidRPr="001D3665">
        <w:t>inneber</w:t>
      </w:r>
      <w:proofErr w:type="spellEnd"/>
      <w:r w:rsidRPr="001D3665">
        <w:t xml:space="preserve"> at </w:t>
      </w:r>
      <w:proofErr w:type="spellStart"/>
      <w:r w:rsidRPr="001D3665">
        <w:t>føraren</w:t>
      </w:r>
      <w:proofErr w:type="spellEnd"/>
      <w:r w:rsidRPr="001D3665">
        <w:t xml:space="preserve"> av transportmiddelet som </w:t>
      </w:r>
      <w:proofErr w:type="spellStart"/>
      <w:r w:rsidRPr="001D3665">
        <w:t>fraktar</w:t>
      </w:r>
      <w:proofErr w:type="spellEnd"/>
      <w:r w:rsidRPr="001D3665">
        <w:t xml:space="preserve"> varene, skal </w:t>
      </w:r>
      <w:proofErr w:type="spellStart"/>
      <w:r w:rsidRPr="001D3665">
        <w:t>oppgje</w:t>
      </w:r>
      <w:proofErr w:type="spellEnd"/>
      <w:r w:rsidRPr="001D3665">
        <w:t xml:space="preserve"> referansen til tolldeklarasjonen for varene som </w:t>
      </w:r>
      <w:proofErr w:type="spellStart"/>
      <w:r w:rsidRPr="001D3665">
        <w:t>ein</w:t>
      </w:r>
      <w:proofErr w:type="spellEnd"/>
      <w:r w:rsidRPr="001D3665">
        <w:t xml:space="preserve"> del av melde- og </w:t>
      </w:r>
      <w:proofErr w:type="spellStart"/>
      <w:r w:rsidRPr="001D3665">
        <w:t>opplysingsplikta</w:t>
      </w:r>
      <w:proofErr w:type="spellEnd"/>
      <w:r w:rsidRPr="001D3665">
        <w:t xml:space="preserve">. Tolldeklarasjonen vert levert av den deklarasjonspliktige, som </w:t>
      </w:r>
      <w:proofErr w:type="spellStart"/>
      <w:r w:rsidRPr="001D3665">
        <w:t>vanlegvis</w:t>
      </w:r>
      <w:proofErr w:type="spellEnd"/>
      <w:r w:rsidRPr="001D3665">
        <w:t xml:space="preserve"> er </w:t>
      </w:r>
      <w:proofErr w:type="spellStart"/>
      <w:r w:rsidRPr="001D3665">
        <w:t>mottakaren</w:t>
      </w:r>
      <w:proofErr w:type="spellEnd"/>
      <w:r w:rsidRPr="001D3665">
        <w:t xml:space="preserve"> av varene.</w:t>
      </w:r>
    </w:p>
    <w:p w14:paraId="079E94E9" w14:textId="77777777" w:rsidR="00BC371A" w:rsidRPr="001D3665" w:rsidRDefault="00BC371A" w:rsidP="001D3665">
      <w:r w:rsidRPr="001D3665">
        <w:t xml:space="preserve">I praksis er det </w:t>
      </w:r>
      <w:proofErr w:type="spellStart"/>
      <w:r w:rsidRPr="001D3665">
        <w:t>vanleg</w:t>
      </w:r>
      <w:proofErr w:type="spellEnd"/>
      <w:r w:rsidRPr="001D3665">
        <w:t xml:space="preserve"> å nytte </w:t>
      </w:r>
      <w:proofErr w:type="spellStart"/>
      <w:r w:rsidRPr="001D3665">
        <w:t>ein</w:t>
      </w:r>
      <w:proofErr w:type="spellEnd"/>
      <w:r w:rsidRPr="001D3665">
        <w:t xml:space="preserve"> tollrepresentant til å sende inn </w:t>
      </w:r>
      <w:proofErr w:type="spellStart"/>
      <w:r w:rsidRPr="001D3665">
        <w:t>naudsynte</w:t>
      </w:r>
      <w:proofErr w:type="spellEnd"/>
      <w:r w:rsidRPr="001D3665">
        <w:t xml:space="preserve"> </w:t>
      </w:r>
      <w:proofErr w:type="spellStart"/>
      <w:r w:rsidRPr="001D3665">
        <w:t>meldingar</w:t>
      </w:r>
      <w:proofErr w:type="spellEnd"/>
      <w:r w:rsidRPr="001D3665">
        <w:t xml:space="preserve"> for å oppfylle melde- og </w:t>
      </w:r>
      <w:proofErr w:type="spellStart"/>
      <w:r w:rsidRPr="001D3665">
        <w:t>opplysingsplikta</w:t>
      </w:r>
      <w:proofErr w:type="spellEnd"/>
      <w:r w:rsidRPr="001D3665">
        <w:t xml:space="preserve"> og deklarasjonsplikta. Dersom den same tollrepresentanten representerer både </w:t>
      </w:r>
      <w:proofErr w:type="spellStart"/>
      <w:r w:rsidRPr="001D3665">
        <w:t>føraren</w:t>
      </w:r>
      <w:proofErr w:type="spellEnd"/>
      <w:r w:rsidRPr="001D3665">
        <w:t xml:space="preserve"> og den deklarasjonspliktige, vil det </w:t>
      </w:r>
      <w:proofErr w:type="spellStart"/>
      <w:r w:rsidRPr="001D3665">
        <w:t>ikkje</w:t>
      </w:r>
      <w:proofErr w:type="spellEnd"/>
      <w:r w:rsidRPr="001D3665">
        <w:t xml:space="preserve"> </w:t>
      </w:r>
      <w:proofErr w:type="spellStart"/>
      <w:r w:rsidRPr="001D3665">
        <w:t>vere</w:t>
      </w:r>
      <w:proofErr w:type="spellEnd"/>
      <w:r w:rsidRPr="001D3665">
        <w:t xml:space="preserve"> behov for informasjonsutveksling for å </w:t>
      </w:r>
      <w:proofErr w:type="spellStart"/>
      <w:r w:rsidRPr="001D3665">
        <w:t>gje</w:t>
      </w:r>
      <w:proofErr w:type="spellEnd"/>
      <w:r w:rsidRPr="001D3665">
        <w:t xml:space="preserve"> </w:t>
      </w:r>
      <w:proofErr w:type="spellStart"/>
      <w:r w:rsidRPr="001D3665">
        <w:t>opplysingar</w:t>
      </w:r>
      <w:proofErr w:type="spellEnd"/>
      <w:r w:rsidRPr="001D3665">
        <w:t xml:space="preserve"> om tolldeklarasjonen som </w:t>
      </w:r>
      <w:proofErr w:type="spellStart"/>
      <w:r w:rsidRPr="001D3665">
        <w:t>ein</w:t>
      </w:r>
      <w:proofErr w:type="spellEnd"/>
      <w:r w:rsidRPr="001D3665">
        <w:t xml:space="preserve"> del av melde- og </w:t>
      </w:r>
      <w:proofErr w:type="spellStart"/>
      <w:r w:rsidRPr="001D3665">
        <w:t>opplysingsplikta</w:t>
      </w:r>
      <w:proofErr w:type="spellEnd"/>
      <w:r w:rsidRPr="001D3665">
        <w:t>.</w:t>
      </w:r>
    </w:p>
    <w:p w14:paraId="69C3529C" w14:textId="77777777" w:rsidR="00BC371A" w:rsidRPr="001D3665" w:rsidRDefault="00BC371A" w:rsidP="001D3665">
      <w:proofErr w:type="spellStart"/>
      <w:r w:rsidRPr="001D3665">
        <w:t>Fleire</w:t>
      </w:r>
      <w:proofErr w:type="spellEnd"/>
      <w:r w:rsidRPr="001D3665">
        <w:t xml:space="preserve"> </w:t>
      </w:r>
      <w:proofErr w:type="spellStart"/>
      <w:r w:rsidRPr="001D3665">
        <w:t>høyringssvar</w:t>
      </w:r>
      <w:proofErr w:type="spellEnd"/>
      <w:r w:rsidRPr="001D3665">
        <w:t xml:space="preserve"> </w:t>
      </w:r>
      <w:proofErr w:type="spellStart"/>
      <w:r w:rsidRPr="001D3665">
        <w:t>peiker</w:t>
      </w:r>
      <w:proofErr w:type="spellEnd"/>
      <w:r w:rsidRPr="001D3665">
        <w:t xml:space="preserve"> på at det er </w:t>
      </w:r>
      <w:proofErr w:type="spellStart"/>
      <w:r w:rsidRPr="001D3665">
        <w:t>utfordrande</w:t>
      </w:r>
      <w:proofErr w:type="spellEnd"/>
      <w:r w:rsidRPr="001D3665">
        <w:t xml:space="preserve"> å kople </w:t>
      </w:r>
      <w:proofErr w:type="spellStart"/>
      <w:r w:rsidRPr="001D3665">
        <w:t>saman</w:t>
      </w:r>
      <w:proofErr w:type="spellEnd"/>
      <w:r w:rsidRPr="001D3665">
        <w:t xml:space="preserve"> </w:t>
      </w:r>
      <w:proofErr w:type="spellStart"/>
      <w:r w:rsidRPr="001D3665">
        <w:t>opplysingar</w:t>
      </w:r>
      <w:proofErr w:type="spellEnd"/>
      <w:r w:rsidRPr="001D3665">
        <w:t xml:space="preserve"> når tolldeklarasjonen og melde- og </w:t>
      </w:r>
      <w:proofErr w:type="spellStart"/>
      <w:r w:rsidRPr="001D3665">
        <w:t>opplysingsinformasjonen</w:t>
      </w:r>
      <w:proofErr w:type="spellEnd"/>
      <w:r w:rsidRPr="001D3665">
        <w:t xml:space="preserve"> skal leverast av ulike </w:t>
      </w:r>
      <w:proofErr w:type="spellStart"/>
      <w:r w:rsidRPr="001D3665">
        <w:t>aktørar</w:t>
      </w:r>
      <w:proofErr w:type="spellEnd"/>
      <w:r w:rsidRPr="001D3665">
        <w:t xml:space="preserve">. Dette er </w:t>
      </w:r>
      <w:proofErr w:type="spellStart"/>
      <w:r w:rsidRPr="001D3665">
        <w:t>særleg</w:t>
      </w:r>
      <w:proofErr w:type="spellEnd"/>
      <w:r w:rsidRPr="001D3665">
        <w:t xml:space="preserve"> </w:t>
      </w:r>
      <w:proofErr w:type="spellStart"/>
      <w:r w:rsidRPr="001D3665">
        <w:t>utfordrande</w:t>
      </w:r>
      <w:proofErr w:type="spellEnd"/>
      <w:r w:rsidRPr="001D3665">
        <w:t xml:space="preserve"> ved samlasting, det vil </w:t>
      </w:r>
      <w:proofErr w:type="spellStart"/>
      <w:r w:rsidRPr="001D3665">
        <w:t>seie</w:t>
      </w:r>
      <w:proofErr w:type="spellEnd"/>
      <w:r w:rsidRPr="001D3665">
        <w:t xml:space="preserve"> når </w:t>
      </w:r>
      <w:proofErr w:type="spellStart"/>
      <w:r w:rsidRPr="001D3665">
        <w:t>fleire</w:t>
      </w:r>
      <w:proofErr w:type="spellEnd"/>
      <w:r w:rsidRPr="001D3665">
        <w:t xml:space="preserve"> </w:t>
      </w:r>
      <w:proofErr w:type="spellStart"/>
      <w:r w:rsidRPr="001D3665">
        <w:t>aktørar</w:t>
      </w:r>
      <w:proofErr w:type="spellEnd"/>
      <w:r w:rsidRPr="001D3665">
        <w:t xml:space="preserve"> </w:t>
      </w:r>
      <w:proofErr w:type="spellStart"/>
      <w:r w:rsidRPr="001D3665">
        <w:t>fraktar</w:t>
      </w:r>
      <w:proofErr w:type="spellEnd"/>
      <w:r w:rsidRPr="001D3665">
        <w:t xml:space="preserve"> varer på det same transportmiddelet. I slike </w:t>
      </w:r>
      <w:proofErr w:type="spellStart"/>
      <w:r w:rsidRPr="001D3665">
        <w:t>situasjonar</w:t>
      </w:r>
      <w:proofErr w:type="spellEnd"/>
      <w:r w:rsidRPr="001D3665">
        <w:t xml:space="preserve"> er det </w:t>
      </w:r>
      <w:proofErr w:type="spellStart"/>
      <w:r w:rsidRPr="001D3665">
        <w:t>særleg</w:t>
      </w:r>
      <w:proofErr w:type="spellEnd"/>
      <w:r w:rsidRPr="001D3665">
        <w:t xml:space="preserve"> behov for å samarbeide, koordinere og formidle </w:t>
      </w:r>
      <w:proofErr w:type="spellStart"/>
      <w:r w:rsidRPr="001D3665">
        <w:t>opplysingar</w:t>
      </w:r>
      <w:proofErr w:type="spellEnd"/>
      <w:r w:rsidRPr="001D3665">
        <w:t xml:space="preserve"> mellom ulike </w:t>
      </w:r>
      <w:proofErr w:type="spellStart"/>
      <w:r w:rsidRPr="001D3665">
        <w:t>aktørar</w:t>
      </w:r>
      <w:proofErr w:type="spellEnd"/>
      <w:r w:rsidRPr="001D3665">
        <w:t>.</w:t>
      </w:r>
    </w:p>
    <w:p w14:paraId="05450BB5" w14:textId="77777777" w:rsidR="00BC371A" w:rsidRPr="001D3665" w:rsidRDefault="00BC371A" w:rsidP="001D3665">
      <w:proofErr w:type="spellStart"/>
      <w:r w:rsidRPr="001D3665">
        <w:lastRenderedPageBreak/>
        <w:t>Ein</w:t>
      </w:r>
      <w:proofErr w:type="spellEnd"/>
      <w:r w:rsidRPr="001D3665">
        <w:t xml:space="preserve"> </w:t>
      </w:r>
      <w:proofErr w:type="spellStart"/>
      <w:r w:rsidRPr="001D3665">
        <w:t>føresetnad</w:t>
      </w:r>
      <w:proofErr w:type="spellEnd"/>
      <w:r w:rsidRPr="001D3665">
        <w:t xml:space="preserve"> for framlegget er </w:t>
      </w:r>
      <w:proofErr w:type="spellStart"/>
      <w:r w:rsidRPr="001D3665">
        <w:t>difor</w:t>
      </w:r>
      <w:proofErr w:type="spellEnd"/>
      <w:r w:rsidRPr="001D3665">
        <w:t xml:space="preserve"> at det vert lagt til rette for at </w:t>
      </w:r>
      <w:proofErr w:type="spellStart"/>
      <w:r w:rsidRPr="001D3665">
        <w:t>føraren</w:t>
      </w:r>
      <w:proofErr w:type="spellEnd"/>
      <w:r w:rsidRPr="001D3665">
        <w:t xml:space="preserve"> kan kople sendinga mot tolldeklarasjonen på </w:t>
      </w:r>
      <w:proofErr w:type="spellStart"/>
      <w:r w:rsidRPr="001D3665">
        <w:t>ein</w:t>
      </w:r>
      <w:proofErr w:type="spellEnd"/>
      <w:r w:rsidRPr="001D3665">
        <w:t xml:space="preserve"> effektiv måte. Tolletaten tilbyr ei løysing for samhandling (</w:t>
      </w:r>
      <w:proofErr w:type="spellStart"/>
      <w:r w:rsidRPr="001D3665">
        <w:t>Digitoll</w:t>
      </w:r>
      <w:proofErr w:type="spellEnd"/>
      <w:r w:rsidRPr="001D3665">
        <w:t xml:space="preserve"> Portal) som </w:t>
      </w:r>
      <w:proofErr w:type="spellStart"/>
      <w:r w:rsidRPr="001D3665">
        <w:t>legg</w:t>
      </w:r>
      <w:proofErr w:type="spellEnd"/>
      <w:r w:rsidRPr="001D3665">
        <w:t xml:space="preserve"> til rette for å dele og kople informasjon som i dag vert </w:t>
      </w:r>
      <w:proofErr w:type="spellStart"/>
      <w:r w:rsidRPr="001D3665">
        <w:t>kravd</w:t>
      </w:r>
      <w:proofErr w:type="spellEnd"/>
      <w:r w:rsidRPr="001D3665">
        <w:t xml:space="preserve"> etter melde- og </w:t>
      </w:r>
      <w:proofErr w:type="spellStart"/>
      <w:r w:rsidRPr="001D3665">
        <w:t>opplysingsplikta</w:t>
      </w:r>
      <w:proofErr w:type="spellEnd"/>
      <w:r w:rsidRPr="001D3665">
        <w:t xml:space="preserve">. Denne løysinga vil </w:t>
      </w:r>
      <w:proofErr w:type="spellStart"/>
      <w:r w:rsidRPr="001D3665">
        <w:t>verte</w:t>
      </w:r>
      <w:proofErr w:type="spellEnd"/>
      <w:r w:rsidRPr="001D3665">
        <w:t xml:space="preserve"> utvida til òg å kunne støtte koplinga av sendinga mot deklarasjonen. Det vil </w:t>
      </w:r>
      <w:proofErr w:type="spellStart"/>
      <w:r w:rsidRPr="001D3665">
        <w:t>dimed</w:t>
      </w:r>
      <w:proofErr w:type="spellEnd"/>
      <w:r w:rsidRPr="001D3665">
        <w:t xml:space="preserve"> </w:t>
      </w:r>
      <w:proofErr w:type="spellStart"/>
      <w:r w:rsidRPr="001D3665">
        <w:t>vere</w:t>
      </w:r>
      <w:proofErr w:type="spellEnd"/>
      <w:r w:rsidRPr="001D3665">
        <w:t xml:space="preserve"> </w:t>
      </w:r>
      <w:proofErr w:type="spellStart"/>
      <w:r w:rsidRPr="001D3665">
        <w:t>mogleg</w:t>
      </w:r>
      <w:proofErr w:type="spellEnd"/>
      <w:r w:rsidRPr="001D3665">
        <w:t xml:space="preserve"> for </w:t>
      </w:r>
      <w:proofErr w:type="spellStart"/>
      <w:r w:rsidRPr="001D3665">
        <w:t>føraren</w:t>
      </w:r>
      <w:proofErr w:type="spellEnd"/>
      <w:r w:rsidRPr="001D3665">
        <w:t xml:space="preserve"> å sjå referansenummeret til den eller </w:t>
      </w:r>
      <w:proofErr w:type="spellStart"/>
      <w:r w:rsidRPr="001D3665">
        <w:t>dei</w:t>
      </w:r>
      <w:proofErr w:type="spellEnd"/>
      <w:r w:rsidRPr="001D3665">
        <w:t xml:space="preserve"> </w:t>
      </w:r>
      <w:proofErr w:type="spellStart"/>
      <w:r w:rsidRPr="001D3665">
        <w:t>tolldeklarasjonane</w:t>
      </w:r>
      <w:proofErr w:type="spellEnd"/>
      <w:r w:rsidRPr="001D3665">
        <w:t xml:space="preserve"> som gjeld varene som vert frakta som last på transportmiddelet, og opprette ei kopling mellom sendinga og deklarasjonen. Denne koplingsinformasjonen kan </w:t>
      </w:r>
      <w:proofErr w:type="spellStart"/>
      <w:r w:rsidRPr="001D3665">
        <w:t>føraren</w:t>
      </w:r>
      <w:proofErr w:type="spellEnd"/>
      <w:r w:rsidRPr="001D3665">
        <w:t xml:space="preserve"> sende til Tolletaten direkte </w:t>
      </w:r>
      <w:proofErr w:type="spellStart"/>
      <w:r w:rsidRPr="001D3665">
        <w:t>frå</w:t>
      </w:r>
      <w:proofErr w:type="spellEnd"/>
      <w:r w:rsidRPr="001D3665">
        <w:t xml:space="preserve"> portalen.</w:t>
      </w:r>
    </w:p>
    <w:p w14:paraId="44DEDAD9" w14:textId="77777777" w:rsidR="00BC371A" w:rsidRPr="001D3665" w:rsidRDefault="00BC371A" w:rsidP="001D3665">
      <w:r w:rsidRPr="001D3665">
        <w:t xml:space="preserve">Tolletaten si løysing for samhandling legg </w:t>
      </w:r>
      <w:proofErr w:type="spellStart"/>
      <w:r w:rsidRPr="001D3665">
        <w:t>ikkje</w:t>
      </w:r>
      <w:proofErr w:type="spellEnd"/>
      <w:r w:rsidRPr="001D3665">
        <w:t xml:space="preserve"> </w:t>
      </w:r>
      <w:proofErr w:type="spellStart"/>
      <w:r w:rsidRPr="001D3665">
        <w:t>føringar</w:t>
      </w:r>
      <w:proofErr w:type="spellEnd"/>
      <w:r w:rsidRPr="001D3665">
        <w:t xml:space="preserve"> for korleis </w:t>
      </w:r>
      <w:proofErr w:type="spellStart"/>
      <w:r w:rsidRPr="001D3665">
        <w:t>dei</w:t>
      </w:r>
      <w:proofErr w:type="spellEnd"/>
      <w:r w:rsidRPr="001D3665">
        <w:t xml:space="preserve"> pliktige </w:t>
      </w:r>
      <w:proofErr w:type="spellStart"/>
      <w:r w:rsidRPr="001D3665">
        <w:t>aktørane</w:t>
      </w:r>
      <w:proofErr w:type="spellEnd"/>
      <w:r w:rsidRPr="001D3665">
        <w:t xml:space="preserve"> </w:t>
      </w:r>
      <w:proofErr w:type="spellStart"/>
      <w:r w:rsidRPr="001D3665">
        <w:t>utvekslar</w:t>
      </w:r>
      <w:proofErr w:type="spellEnd"/>
      <w:r w:rsidRPr="001D3665">
        <w:t xml:space="preserve"> informasjon seg imellom for å kunne kople </w:t>
      </w:r>
      <w:proofErr w:type="spellStart"/>
      <w:r w:rsidRPr="001D3665">
        <w:t>saman</w:t>
      </w:r>
      <w:proofErr w:type="spellEnd"/>
      <w:r w:rsidRPr="001D3665">
        <w:t xml:space="preserve"> ulike </w:t>
      </w:r>
      <w:proofErr w:type="spellStart"/>
      <w:r w:rsidRPr="001D3665">
        <w:t>meldingar</w:t>
      </w:r>
      <w:proofErr w:type="spellEnd"/>
      <w:r w:rsidRPr="001D3665">
        <w:t xml:space="preserve">. </w:t>
      </w:r>
      <w:proofErr w:type="spellStart"/>
      <w:r w:rsidRPr="001D3665">
        <w:t>Aktørane</w:t>
      </w:r>
      <w:proofErr w:type="spellEnd"/>
      <w:r w:rsidRPr="001D3665">
        <w:t xml:space="preserve"> kan </w:t>
      </w:r>
      <w:proofErr w:type="spellStart"/>
      <w:r w:rsidRPr="001D3665">
        <w:t>sjølv</w:t>
      </w:r>
      <w:proofErr w:type="spellEnd"/>
      <w:r w:rsidRPr="001D3665">
        <w:t xml:space="preserve"> </w:t>
      </w:r>
      <w:proofErr w:type="spellStart"/>
      <w:r w:rsidRPr="001D3665">
        <w:t>avgjere</w:t>
      </w:r>
      <w:proofErr w:type="spellEnd"/>
      <w:r w:rsidRPr="001D3665">
        <w:t xml:space="preserve"> behovet for digital støtte i utvekslinga av informasjon. Når det er behov for digital støtte, vil løysinga for samhandling som Tolletaten </w:t>
      </w:r>
      <w:proofErr w:type="spellStart"/>
      <w:r w:rsidRPr="001D3665">
        <w:t>utviklar</w:t>
      </w:r>
      <w:proofErr w:type="spellEnd"/>
      <w:r w:rsidRPr="001D3665">
        <w:t xml:space="preserve"> </w:t>
      </w:r>
      <w:proofErr w:type="spellStart"/>
      <w:r w:rsidRPr="001D3665">
        <w:t>gjere</w:t>
      </w:r>
      <w:proofErr w:type="spellEnd"/>
      <w:r w:rsidRPr="001D3665">
        <w:t xml:space="preserve"> det </w:t>
      </w:r>
      <w:proofErr w:type="spellStart"/>
      <w:r w:rsidRPr="001D3665">
        <w:t>mogleg</w:t>
      </w:r>
      <w:proofErr w:type="spellEnd"/>
      <w:r w:rsidRPr="001D3665">
        <w:t xml:space="preserve"> for </w:t>
      </w:r>
      <w:proofErr w:type="spellStart"/>
      <w:r w:rsidRPr="001D3665">
        <w:t>føraren</w:t>
      </w:r>
      <w:proofErr w:type="spellEnd"/>
      <w:r w:rsidRPr="001D3665">
        <w:t xml:space="preserve"> å kople sendinga til tolldeklarasjonen på </w:t>
      </w:r>
      <w:proofErr w:type="spellStart"/>
      <w:r w:rsidRPr="001D3665">
        <w:t>ein</w:t>
      </w:r>
      <w:proofErr w:type="spellEnd"/>
      <w:r w:rsidRPr="001D3665">
        <w:t xml:space="preserve"> effektiv måte.</w:t>
      </w:r>
    </w:p>
    <w:p w14:paraId="347E843C" w14:textId="77777777" w:rsidR="00BC371A" w:rsidRPr="001D3665" w:rsidRDefault="00BC371A" w:rsidP="001D3665">
      <w:r w:rsidRPr="001D3665">
        <w:t xml:space="preserve">Løysinga for samhandling krev innlogging via </w:t>
      </w:r>
      <w:proofErr w:type="spellStart"/>
      <w:r w:rsidRPr="001D3665">
        <w:t>Digdir</w:t>
      </w:r>
      <w:proofErr w:type="spellEnd"/>
      <w:r w:rsidRPr="001D3665">
        <w:t xml:space="preserve"> og bruk av </w:t>
      </w:r>
      <w:proofErr w:type="spellStart"/>
      <w:r w:rsidRPr="001D3665">
        <w:t>MinID</w:t>
      </w:r>
      <w:proofErr w:type="spellEnd"/>
      <w:r w:rsidRPr="001D3665">
        <w:t xml:space="preserve">. Løysinga kan </w:t>
      </w:r>
      <w:proofErr w:type="spellStart"/>
      <w:r w:rsidRPr="001D3665">
        <w:t>dimed</w:t>
      </w:r>
      <w:proofErr w:type="spellEnd"/>
      <w:r w:rsidRPr="001D3665">
        <w:t xml:space="preserve"> </w:t>
      </w:r>
      <w:proofErr w:type="spellStart"/>
      <w:r w:rsidRPr="001D3665">
        <w:t>verte</w:t>
      </w:r>
      <w:proofErr w:type="spellEnd"/>
      <w:r w:rsidRPr="001D3665">
        <w:t xml:space="preserve"> brukt av </w:t>
      </w:r>
      <w:proofErr w:type="spellStart"/>
      <w:r w:rsidRPr="001D3665">
        <w:t>eit</w:t>
      </w:r>
      <w:proofErr w:type="spellEnd"/>
      <w:r w:rsidRPr="001D3665">
        <w:t xml:space="preserve"> norskregistrert </w:t>
      </w:r>
      <w:proofErr w:type="spellStart"/>
      <w:r w:rsidRPr="001D3665">
        <w:t>utanlandsk</w:t>
      </w:r>
      <w:proofErr w:type="spellEnd"/>
      <w:r w:rsidRPr="001D3665">
        <w:t xml:space="preserve"> </w:t>
      </w:r>
      <w:proofErr w:type="spellStart"/>
      <w:r w:rsidRPr="001D3665">
        <w:t>føretak</w:t>
      </w:r>
      <w:proofErr w:type="spellEnd"/>
      <w:r w:rsidRPr="001D3665">
        <w:t xml:space="preserve"> (NUF), representert av </w:t>
      </w:r>
      <w:proofErr w:type="spellStart"/>
      <w:r w:rsidRPr="001D3665">
        <w:t>ein</w:t>
      </w:r>
      <w:proofErr w:type="spellEnd"/>
      <w:r w:rsidRPr="001D3665">
        <w:t xml:space="preserve"> person som har etablert </w:t>
      </w:r>
      <w:proofErr w:type="spellStart"/>
      <w:r w:rsidRPr="001D3665">
        <w:t>MinID</w:t>
      </w:r>
      <w:proofErr w:type="spellEnd"/>
      <w:r w:rsidRPr="001D3665">
        <w:t xml:space="preserve">. </w:t>
      </w:r>
      <w:proofErr w:type="spellStart"/>
      <w:r w:rsidRPr="001D3665">
        <w:t>Utanlandske</w:t>
      </w:r>
      <w:proofErr w:type="spellEnd"/>
      <w:r w:rsidRPr="001D3665">
        <w:t xml:space="preserve"> </w:t>
      </w:r>
      <w:proofErr w:type="spellStart"/>
      <w:r w:rsidRPr="001D3665">
        <w:t>aktørar</w:t>
      </w:r>
      <w:proofErr w:type="spellEnd"/>
      <w:r w:rsidRPr="001D3665">
        <w:t xml:space="preserve"> som </w:t>
      </w:r>
      <w:proofErr w:type="spellStart"/>
      <w:r w:rsidRPr="001D3665">
        <w:t>ikkje</w:t>
      </w:r>
      <w:proofErr w:type="spellEnd"/>
      <w:r w:rsidRPr="001D3665">
        <w:t xml:space="preserve"> </w:t>
      </w:r>
      <w:proofErr w:type="spellStart"/>
      <w:r w:rsidRPr="001D3665">
        <w:t>personleg</w:t>
      </w:r>
      <w:proofErr w:type="spellEnd"/>
      <w:r w:rsidRPr="001D3665">
        <w:t xml:space="preserve"> kan logge inn med </w:t>
      </w:r>
      <w:proofErr w:type="spellStart"/>
      <w:r w:rsidRPr="001D3665">
        <w:t>MinID</w:t>
      </w:r>
      <w:proofErr w:type="spellEnd"/>
      <w:r w:rsidRPr="001D3665">
        <w:t xml:space="preserve">, kan </w:t>
      </w:r>
      <w:proofErr w:type="spellStart"/>
      <w:r w:rsidRPr="001D3665">
        <w:t>ikkje</w:t>
      </w:r>
      <w:proofErr w:type="spellEnd"/>
      <w:r w:rsidRPr="001D3665">
        <w:t xml:space="preserve"> bruke løysinga for samhandling. I </w:t>
      </w:r>
      <w:proofErr w:type="spellStart"/>
      <w:r w:rsidRPr="001D3665">
        <w:t>hovudsak</w:t>
      </w:r>
      <w:proofErr w:type="spellEnd"/>
      <w:r w:rsidRPr="001D3665">
        <w:t xml:space="preserve"> vert det likevel nytta norske </w:t>
      </w:r>
      <w:proofErr w:type="spellStart"/>
      <w:r w:rsidRPr="001D3665">
        <w:t>tollrepresentantar</w:t>
      </w:r>
      <w:proofErr w:type="spellEnd"/>
      <w:r w:rsidRPr="001D3665">
        <w:t xml:space="preserve"> for </w:t>
      </w:r>
      <w:proofErr w:type="spellStart"/>
      <w:r w:rsidRPr="001D3665">
        <w:t>førarar</w:t>
      </w:r>
      <w:proofErr w:type="spellEnd"/>
      <w:r w:rsidRPr="001D3665">
        <w:t xml:space="preserve">, og </w:t>
      </w:r>
      <w:proofErr w:type="spellStart"/>
      <w:r w:rsidRPr="001D3665">
        <w:t>dei</w:t>
      </w:r>
      <w:proofErr w:type="spellEnd"/>
      <w:r w:rsidRPr="001D3665">
        <w:t xml:space="preserve"> same </w:t>
      </w:r>
      <w:proofErr w:type="spellStart"/>
      <w:r w:rsidRPr="001D3665">
        <w:t>tollrepresentantane</w:t>
      </w:r>
      <w:proofErr w:type="spellEnd"/>
      <w:r w:rsidRPr="001D3665">
        <w:t xml:space="preserve"> vil ofte </w:t>
      </w:r>
      <w:proofErr w:type="spellStart"/>
      <w:r w:rsidRPr="001D3665">
        <w:t>vere</w:t>
      </w:r>
      <w:proofErr w:type="spellEnd"/>
      <w:r w:rsidRPr="001D3665">
        <w:t xml:space="preserve"> </w:t>
      </w:r>
      <w:proofErr w:type="spellStart"/>
      <w:r w:rsidRPr="001D3665">
        <w:t>tollrepresentantar</w:t>
      </w:r>
      <w:proofErr w:type="spellEnd"/>
      <w:r w:rsidRPr="001D3665">
        <w:t xml:space="preserve"> for den deklarasjonspliktige.</w:t>
      </w:r>
    </w:p>
    <w:p w14:paraId="74A3BD9F" w14:textId="77777777" w:rsidR="00BC371A" w:rsidRPr="001D3665" w:rsidRDefault="00BC371A" w:rsidP="001D3665">
      <w:r w:rsidRPr="001D3665">
        <w:t xml:space="preserve">Etter </w:t>
      </w:r>
      <w:r w:rsidRPr="001D3665">
        <w:rPr>
          <w:rStyle w:val="sperret0"/>
        </w:rPr>
        <w:t>departementet</w:t>
      </w:r>
      <w:r w:rsidRPr="001D3665">
        <w:t xml:space="preserve"> </w:t>
      </w:r>
      <w:proofErr w:type="spellStart"/>
      <w:r w:rsidRPr="001D3665">
        <w:t>si</w:t>
      </w:r>
      <w:proofErr w:type="spellEnd"/>
      <w:r w:rsidRPr="001D3665">
        <w:t xml:space="preserve"> vurdering legg Tolletaten si løysing for samhandling til rette for at </w:t>
      </w:r>
      <w:proofErr w:type="spellStart"/>
      <w:r w:rsidRPr="001D3665">
        <w:t>føraren</w:t>
      </w:r>
      <w:proofErr w:type="spellEnd"/>
      <w:r w:rsidRPr="001D3665">
        <w:t xml:space="preserve"> får plikt til å </w:t>
      </w:r>
      <w:proofErr w:type="spellStart"/>
      <w:r w:rsidRPr="001D3665">
        <w:t>oppgje</w:t>
      </w:r>
      <w:proofErr w:type="spellEnd"/>
      <w:r w:rsidRPr="001D3665">
        <w:t xml:space="preserve"> referansen til deklarasjonen for varene som vert frakta som last på transportmiddelet. Departementet foreslår at plikta for </w:t>
      </w:r>
      <w:proofErr w:type="spellStart"/>
      <w:r w:rsidRPr="001D3665">
        <w:t>føraren</w:t>
      </w:r>
      <w:proofErr w:type="spellEnd"/>
      <w:r w:rsidRPr="001D3665">
        <w:t xml:space="preserve"> vert innført i vareførselsloven § 2-3 fyrste ledd. I </w:t>
      </w:r>
      <w:proofErr w:type="spellStart"/>
      <w:r w:rsidRPr="001D3665">
        <w:t>høyringsnotatet</w:t>
      </w:r>
      <w:proofErr w:type="spellEnd"/>
      <w:r w:rsidRPr="001D3665">
        <w:t xml:space="preserve"> </w:t>
      </w:r>
      <w:proofErr w:type="spellStart"/>
      <w:r w:rsidRPr="001D3665">
        <w:t>vart</w:t>
      </w:r>
      <w:proofErr w:type="spellEnd"/>
      <w:r w:rsidRPr="001D3665">
        <w:t xml:space="preserve"> det foreslått at </w:t>
      </w:r>
      <w:proofErr w:type="spellStart"/>
      <w:r w:rsidRPr="001D3665">
        <w:t>føraren</w:t>
      </w:r>
      <w:proofErr w:type="spellEnd"/>
      <w:r w:rsidRPr="001D3665">
        <w:t xml:space="preserve"> </w:t>
      </w:r>
      <w:proofErr w:type="spellStart"/>
      <w:r w:rsidRPr="001D3665">
        <w:t>oppgjev</w:t>
      </w:r>
      <w:proofErr w:type="spellEnd"/>
      <w:r w:rsidRPr="001D3665">
        <w:t xml:space="preserve"> «referanse til deklarasjon». Som ei </w:t>
      </w:r>
      <w:proofErr w:type="spellStart"/>
      <w:r w:rsidRPr="001D3665">
        <w:t>språkleg</w:t>
      </w:r>
      <w:proofErr w:type="spellEnd"/>
      <w:r w:rsidRPr="001D3665">
        <w:t xml:space="preserve"> presisering vert dette foreslått endra til «referanse til deklarasjonen for varene».</w:t>
      </w:r>
    </w:p>
    <w:p w14:paraId="48AE7612" w14:textId="77777777" w:rsidR="00BC371A" w:rsidRPr="001D3665" w:rsidRDefault="00BC371A" w:rsidP="001D3665">
      <w:r w:rsidRPr="001D3665">
        <w:t xml:space="preserve">Det vil </w:t>
      </w:r>
      <w:proofErr w:type="spellStart"/>
      <w:r w:rsidRPr="001D3665">
        <w:t>vere</w:t>
      </w:r>
      <w:proofErr w:type="spellEnd"/>
      <w:r w:rsidRPr="001D3665">
        <w:t xml:space="preserve"> behov for ei overgangsordning fram til fritaket </w:t>
      </w:r>
      <w:proofErr w:type="spellStart"/>
      <w:r w:rsidRPr="001D3665">
        <w:t>frå</w:t>
      </w:r>
      <w:proofErr w:type="spellEnd"/>
      <w:r w:rsidRPr="001D3665">
        <w:t xml:space="preserve"> deklarasjonsplikta for varer som vert innførte under prosedyren tollager og ordninga med direktekøyring, vert oppheva. Grunnen er at ordninga med direktekøyring </w:t>
      </w:r>
      <w:proofErr w:type="spellStart"/>
      <w:r w:rsidRPr="001D3665">
        <w:t>utset</w:t>
      </w:r>
      <w:proofErr w:type="spellEnd"/>
      <w:r w:rsidRPr="001D3665">
        <w:t xml:space="preserve"> deklarasjonsplikta til etter passeringa av grensa. Som </w:t>
      </w:r>
      <w:proofErr w:type="spellStart"/>
      <w:r w:rsidRPr="001D3665">
        <w:t>eit</w:t>
      </w:r>
      <w:proofErr w:type="spellEnd"/>
      <w:r w:rsidRPr="001D3665">
        <w:t xml:space="preserve"> alternativ til å </w:t>
      </w:r>
      <w:proofErr w:type="spellStart"/>
      <w:r w:rsidRPr="001D3665">
        <w:t>oppgje</w:t>
      </w:r>
      <w:proofErr w:type="spellEnd"/>
      <w:r w:rsidRPr="001D3665">
        <w:t xml:space="preserve"> referansen til tolldeklarasjonen ved passeringa av grensa, kan </w:t>
      </w:r>
      <w:proofErr w:type="spellStart"/>
      <w:r w:rsidRPr="001D3665">
        <w:t>føraren</w:t>
      </w:r>
      <w:proofErr w:type="spellEnd"/>
      <w:r w:rsidRPr="001D3665">
        <w:t xml:space="preserve"> </w:t>
      </w:r>
      <w:proofErr w:type="spellStart"/>
      <w:r w:rsidRPr="001D3665">
        <w:t>oppgje</w:t>
      </w:r>
      <w:proofErr w:type="spellEnd"/>
      <w:r w:rsidRPr="001D3665">
        <w:t xml:space="preserve"> referansen til godsregistreringsnummeret for varene. Departementet </w:t>
      </w:r>
      <w:proofErr w:type="spellStart"/>
      <w:r w:rsidRPr="001D3665">
        <w:t>legg</w:t>
      </w:r>
      <w:proofErr w:type="spellEnd"/>
      <w:r w:rsidRPr="001D3665">
        <w:t xml:space="preserve"> til grunn at </w:t>
      </w:r>
      <w:proofErr w:type="spellStart"/>
      <w:r w:rsidRPr="001D3665">
        <w:t>ein</w:t>
      </w:r>
      <w:proofErr w:type="spellEnd"/>
      <w:r w:rsidRPr="001D3665">
        <w:t xml:space="preserve"> i forskrift kan </w:t>
      </w:r>
      <w:proofErr w:type="spellStart"/>
      <w:r w:rsidRPr="001D3665">
        <w:t>fastsetje</w:t>
      </w:r>
      <w:proofErr w:type="spellEnd"/>
      <w:r w:rsidRPr="001D3665">
        <w:t xml:space="preserve"> unntak </w:t>
      </w:r>
      <w:proofErr w:type="spellStart"/>
      <w:r w:rsidRPr="001D3665">
        <w:t>frå</w:t>
      </w:r>
      <w:proofErr w:type="spellEnd"/>
      <w:r w:rsidRPr="001D3665">
        <w:t xml:space="preserve"> plikta til å </w:t>
      </w:r>
      <w:proofErr w:type="spellStart"/>
      <w:r w:rsidRPr="001D3665">
        <w:t>oppgje</w:t>
      </w:r>
      <w:proofErr w:type="spellEnd"/>
      <w:r w:rsidRPr="001D3665">
        <w:t xml:space="preserve"> referanse til deklarasjonen for varene, jf. § 2-3 andre ledd.</w:t>
      </w:r>
    </w:p>
    <w:p w14:paraId="67F46D60" w14:textId="77777777" w:rsidR="00BC371A" w:rsidRPr="001D3665" w:rsidRDefault="00BC371A" w:rsidP="001D3665">
      <w:pPr>
        <w:pStyle w:val="Overskrift2"/>
      </w:pPr>
      <w:r w:rsidRPr="001D3665">
        <w:t xml:space="preserve">Økonomiske og administrative </w:t>
      </w:r>
      <w:proofErr w:type="spellStart"/>
      <w:r w:rsidRPr="001D3665">
        <w:t>konsekvensar</w:t>
      </w:r>
      <w:proofErr w:type="spellEnd"/>
    </w:p>
    <w:p w14:paraId="2714D7BD" w14:textId="77777777" w:rsidR="00BC371A" w:rsidRPr="001D3665" w:rsidRDefault="00BC371A" w:rsidP="001D3665">
      <w:r w:rsidRPr="001D3665">
        <w:t xml:space="preserve">Ei utvida </w:t>
      </w:r>
      <w:proofErr w:type="spellStart"/>
      <w:r w:rsidRPr="001D3665">
        <w:t>opplysingsplikt</w:t>
      </w:r>
      <w:proofErr w:type="spellEnd"/>
      <w:r w:rsidRPr="001D3665">
        <w:t xml:space="preserve"> for </w:t>
      </w:r>
      <w:proofErr w:type="spellStart"/>
      <w:r w:rsidRPr="001D3665">
        <w:t>førar</w:t>
      </w:r>
      <w:proofErr w:type="spellEnd"/>
      <w:r w:rsidRPr="001D3665">
        <w:t xml:space="preserve"> og digital oppfylling vil </w:t>
      </w:r>
      <w:proofErr w:type="spellStart"/>
      <w:r w:rsidRPr="001D3665">
        <w:t>krevje</w:t>
      </w:r>
      <w:proofErr w:type="spellEnd"/>
      <w:r w:rsidRPr="001D3665">
        <w:t xml:space="preserve"> </w:t>
      </w:r>
      <w:proofErr w:type="spellStart"/>
      <w:r w:rsidRPr="001D3665">
        <w:t>tilpassingar</w:t>
      </w:r>
      <w:proofErr w:type="spellEnd"/>
      <w:r w:rsidRPr="001D3665">
        <w:t xml:space="preserve"> og </w:t>
      </w:r>
      <w:proofErr w:type="spellStart"/>
      <w:r w:rsidRPr="001D3665">
        <w:t>innebere</w:t>
      </w:r>
      <w:proofErr w:type="spellEnd"/>
      <w:r w:rsidRPr="001D3665">
        <w:t xml:space="preserve"> </w:t>
      </w:r>
      <w:proofErr w:type="spellStart"/>
      <w:r w:rsidRPr="001D3665">
        <w:t>kostnadar</w:t>
      </w:r>
      <w:proofErr w:type="spellEnd"/>
      <w:r w:rsidRPr="001D3665">
        <w:t xml:space="preserve"> til omstilling for næringslivet. For at </w:t>
      </w:r>
      <w:proofErr w:type="spellStart"/>
      <w:r w:rsidRPr="001D3665">
        <w:t>føraren</w:t>
      </w:r>
      <w:proofErr w:type="spellEnd"/>
      <w:r w:rsidRPr="001D3665">
        <w:t xml:space="preserve"> skal kunne </w:t>
      </w:r>
      <w:proofErr w:type="spellStart"/>
      <w:r w:rsidRPr="001D3665">
        <w:t>oppgje</w:t>
      </w:r>
      <w:proofErr w:type="spellEnd"/>
      <w:r w:rsidRPr="001D3665">
        <w:t xml:space="preserve"> referansen til tolldeklarasjonen ved oppfyllinga av melde- og </w:t>
      </w:r>
      <w:proofErr w:type="spellStart"/>
      <w:r w:rsidRPr="001D3665">
        <w:t>opplysingsplikta</w:t>
      </w:r>
      <w:proofErr w:type="spellEnd"/>
      <w:r w:rsidRPr="001D3665">
        <w:t xml:space="preserve">, må det </w:t>
      </w:r>
      <w:proofErr w:type="spellStart"/>
      <w:r w:rsidRPr="001D3665">
        <w:t>vere</w:t>
      </w:r>
      <w:proofErr w:type="spellEnd"/>
      <w:r w:rsidRPr="001D3665">
        <w:t xml:space="preserve"> på plass </w:t>
      </w:r>
      <w:proofErr w:type="spellStart"/>
      <w:r w:rsidRPr="001D3665">
        <w:t>ein</w:t>
      </w:r>
      <w:proofErr w:type="spellEnd"/>
      <w:r w:rsidRPr="001D3665">
        <w:t xml:space="preserve"> </w:t>
      </w:r>
      <w:proofErr w:type="spellStart"/>
      <w:r w:rsidRPr="001D3665">
        <w:t>omfattande</w:t>
      </w:r>
      <w:proofErr w:type="spellEnd"/>
      <w:r w:rsidRPr="001D3665">
        <w:t xml:space="preserve"> grad av samhandling mellom involverte </w:t>
      </w:r>
      <w:proofErr w:type="spellStart"/>
      <w:r w:rsidRPr="001D3665">
        <w:t>aktørar</w:t>
      </w:r>
      <w:proofErr w:type="spellEnd"/>
      <w:r w:rsidRPr="001D3665">
        <w:t xml:space="preserve"> i vareflyten. </w:t>
      </w:r>
      <w:proofErr w:type="spellStart"/>
      <w:r w:rsidRPr="001D3665">
        <w:t>Særleg</w:t>
      </w:r>
      <w:proofErr w:type="spellEnd"/>
      <w:r w:rsidRPr="001D3665">
        <w:t xml:space="preserve"> gjeld dette tilhøvet mellom </w:t>
      </w:r>
      <w:proofErr w:type="spellStart"/>
      <w:r w:rsidRPr="001D3665">
        <w:t>føraren</w:t>
      </w:r>
      <w:proofErr w:type="spellEnd"/>
      <w:r w:rsidRPr="001D3665">
        <w:t xml:space="preserve"> (eller tollrepresentanten) og den deklarasjonspliktige. I lys av </w:t>
      </w:r>
      <w:proofErr w:type="spellStart"/>
      <w:r w:rsidRPr="001D3665">
        <w:t>høyringa</w:t>
      </w:r>
      <w:proofErr w:type="spellEnd"/>
      <w:r w:rsidRPr="001D3665">
        <w:t xml:space="preserve"> har Tolletaten utvikla </w:t>
      </w:r>
      <w:proofErr w:type="spellStart"/>
      <w:r w:rsidRPr="001D3665">
        <w:t>ein</w:t>
      </w:r>
      <w:proofErr w:type="spellEnd"/>
      <w:r w:rsidRPr="001D3665">
        <w:t xml:space="preserve"> ekstern portal for </w:t>
      </w:r>
      <w:proofErr w:type="spellStart"/>
      <w:r w:rsidRPr="001D3665">
        <w:t>tilgjengeleggjering</w:t>
      </w:r>
      <w:proofErr w:type="spellEnd"/>
      <w:r w:rsidRPr="001D3665">
        <w:t xml:space="preserve"> og etablering av kopling mellom </w:t>
      </w:r>
      <w:proofErr w:type="spellStart"/>
      <w:r w:rsidRPr="001D3665">
        <w:t>meldingar</w:t>
      </w:r>
      <w:proofErr w:type="spellEnd"/>
      <w:r w:rsidRPr="001D3665">
        <w:t xml:space="preserve">. Dette skjedde etter at det vart framsett </w:t>
      </w:r>
      <w:proofErr w:type="spellStart"/>
      <w:r w:rsidRPr="001D3665">
        <w:t>ynske</w:t>
      </w:r>
      <w:proofErr w:type="spellEnd"/>
      <w:r w:rsidRPr="001D3665">
        <w:t xml:space="preserve"> </w:t>
      </w:r>
      <w:proofErr w:type="spellStart"/>
      <w:r w:rsidRPr="001D3665">
        <w:t>frå</w:t>
      </w:r>
      <w:proofErr w:type="spellEnd"/>
      <w:r w:rsidRPr="001D3665">
        <w:t xml:space="preserve"> </w:t>
      </w:r>
      <w:proofErr w:type="spellStart"/>
      <w:r w:rsidRPr="001D3665">
        <w:t>næringslivsaktørar</w:t>
      </w:r>
      <w:proofErr w:type="spellEnd"/>
      <w:r w:rsidRPr="001D3665">
        <w:t xml:space="preserve"> om at Tolletaten </w:t>
      </w:r>
      <w:proofErr w:type="spellStart"/>
      <w:r w:rsidRPr="001D3665">
        <w:t>utviklar</w:t>
      </w:r>
      <w:proofErr w:type="spellEnd"/>
      <w:r w:rsidRPr="001D3665">
        <w:t xml:space="preserve"> støtte for samhandlinga mellom </w:t>
      </w:r>
      <w:proofErr w:type="spellStart"/>
      <w:r w:rsidRPr="001D3665">
        <w:t>aktørar</w:t>
      </w:r>
      <w:proofErr w:type="spellEnd"/>
      <w:r w:rsidRPr="001D3665">
        <w:t xml:space="preserve"> i vareflyten, </w:t>
      </w:r>
      <w:proofErr w:type="spellStart"/>
      <w:r w:rsidRPr="001D3665">
        <w:t>særleg</w:t>
      </w:r>
      <w:proofErr w:type="spellEnd"/>
      <w:r w:rsidRPr="001D3665">
        <w:t xml:space="preserve"> flyten av informasjon mellom </w:t>
      </w:r>
      <w:proofErr w:type="spellStart"/>
      <w:r w:rsidRPr="001D3665">
        <w:lastRenderedPageBreak/>
        <w:t>transportørar</w:t>
      </w:r>
      <w:proofErr w:type="spellEnd"/>
      <w:r w:rsidRPr="001D3665">
        <w:t xml:space="preserve"> og deklarasjonspliktige. </w:t>
      </w:r>
      <w:r w:rsidRPr="001D3665">
        <w:rPr>
          <w:rStyle w:val="sperret0"/>
        </w:rPr>
        <w:t>Departementet</w:t>
      </w:r>
      <w:r w:rsidRPr="001D3665">
        <w:t xml:space="preserve"> vurderer at tiltaket </w:t>
      </w:r>
      <w:proofErr w:type="spellStart"/>
      <w:r w:rsidRPr="001D3665">
        <w:t>legg</w:t>
      </w:r>
      <w:proofErr w:type="spellEnd"/>
      <w:r w:rsidRPr="001D3665">
        <w:t xml:space="preserve"> til rette for at næringslivet </w:t>
      </w:r>
      <w:proofErr w:type="spellStart"/>
      <w:r w:rsidRPr="001D3665">
        <w:t>meir</w:t>
      </w:r>
      <w:proofErr w:type="spellEnd"/>
      <w:r w:rsidRPr="001D3665">
        <w:t xml:space="preserve"> effektivt kan oppfylle melde- og </w:t>
      </w:r>
      <w:proofErr w:type="spellStart"/>
      <w:r w:rsidRPr="001D3665">
        <w:t>opplysingsplikta</w:t>
      </w:r>
      <w:proofErr w:type="spellEnd"/>
      <w:r w:rsidRPr="001D3665">
        <w:t>.</w:t>
      </w:r>
    </w:p>
    <w:p w14:paraId="65A53BA9" w14:textId="77777777" w:rsidR="00BC371A" w:rsidRPr="001D3665" w:rsidRDefault="00BC371A" w:rsidP="001D3665">
      <w:r w:rsidRPr="001D3665">
        <w:t xml:space="preserve">For Tolletaten vil framlegget ha avgrensa </w:t>
      </w:r>
      <w:proofErr w:type="spellStart"/>
      <w:r w:rsidRPr="001D3665">
        <w:t>konsekvensar</w:t>
      </w:r>
      <w:proofErr w:type="spellEnd"/>
      <w:r w:rsidRPr="001D3665">
        <w:t xml:space="preserve">, men vil </w:t>
      </w:r>
      <w:proofErr w:type="spellStart"/>
      <w:r w:rsidRPr="001D3665">
        <w:t>krevje</w:t>
      </w:r>
      <w:proofErr w:type="spellEnd"/>
      <w:r w:rsidRPr="001D3665">
        <w:t xml:space="preserve"> </w:t>
      </w:r>
      <w:proofErr w:type="spellStart"/>
      <w:r w:rsidRPr="001D3665">
        <w:t>noko</w:t>
      </w:r>
      <w:proofErr w:type="spellEnd"/>
      <w:r w:rsidRPr="001D3665">
        <w:t xml:space="preserve"> investering i utviklinga og drifta av løysinga.</w:t>
      </w:r>
    </w:p>
    <w:p w14:paraId="0EEE9F9C" w14:textId="77777777" w:rsidR="00BC371A" w:rsidRPr="001D3665" w:rsidRDefault="00BC371A" w:rsidP="001D3665">
      <w:pPr>
        <w:pStyle w:val="Overskrift2"/>
      </w:pPr>
      <w:proofErr w:type="spellStart"/>
      <w:r w:rsidRPr="001D3665">
        <w:t>Ikraftsetjing</w:t>
      </w:r>
      <w:proofErr w:type="spellEnd"/>
    </w:p>
    <w:p w14:paraId="736DD5A5" w14:textId="77777777" w:rsidR="00BC371A" w:rsidRPr="001D3665" w:rsidRDefault="00BC371A" w:rsidP="001D3665">
      <w:r w:rsidRPr="001D3665">
        <w:t xml:space="preserve">Funksjonaliteten som </w:t>
      </w:r>
      <w:proofErr w:type="spellStart"/>
      <w:r w:rsidRPr="001D3665">
        <w:t>gjer</w:t>
      </w:r>
      <w:proofErr w:type="spellEnd"/>
      <w:r w:rsidRPr="001D3665">
        <w:t xml:space="preserve"> at </w:t>
      </w:r>
      <w:proofErr w:type="spellStart"/>
      <w:r w:rsidRPr="001D3665">
        <w:t>føraren</w:t>
      </w:r>
      <w:proofErr w:type="spellEnd"/>
      <w:r w:rsidRPr="001D3665">
        <w:t xml:space="preserve"> kan kople sendinga til tolldeklarasjonen, er </w:t>
      </w:r>
      <w:proofErr w:type="spellStart"/>
      <w:r w:rsidRPr="001D3665">
        <w:t>framleis</w:t>
      </w:r>
      <w:proofErr w:type="spellEnd"/>
      <w:r w:rsidRPr="001D3665">
        <w:t xml:space="preserve"> under utvikling. </w:t>
      </w:r>
      <w:proofErr w:type="spellStart"/>
      <w:r w:rsidRPr="001D3665">
        <w:t>Difor</w:t>
      </w:r>
      <w:proofErr w:type="spellEnd"/>
      <w:r w:rsidRPr="001D3665">
        <w:t xml:space="preserve"> vert det foreslått at </w:t>
      </w:r>
      <w:proofErr w:type="spellStart"/>
      <w:r w:rsidRPr="001D3665">
        <w:t>endringane</w:t>
      </w:r>
      <w:proofErr w:type="spellEnd"/>
      <w:r w:rsidRPr="001D3665">
        <w:t xml:space="preserve"> </w:t>
      </w:r>
      <w:proofErr w:type="spellStart"/>
      <w:r w:rsidRPr="001D3665">
        <w:t>tek</w:t>
      </w:r>
      <w:proofErr w:type="spellEnd"/>
      <w:r w:rsidRPr="001D3665">
        <w:t xml:space="preserve"> til å gjelde </w:t>
      </w:r>
      <w:proofErr w:type="spellStart"/>
      <w:r w:rsidRPr="001D3665">
        <w:t>frå</w:t>
      </w:r>
      <w:proofErr w:type="spellEnd"/>
      <w:r w:rsidRPr="001D3665">
        <w:t xml:space="preserve"> den tid Kongen </w:t>
      </w:r>
      <w:proofErr w:type="spellStart"/>
      <w:r w:rsidRPr="001D3665">
        <w:t>fastset</w:t>
      </w:r>
      <w:proofErr w:type="spellEnd"/>
      <w:r w:rsidRPr="001D3665">
        <w:t>.</w:t>
      </w:r>
    </w:p>
    <w:p w14:paraId="57AA2110" w14:textId="77777777" w:rsidR="00BC371A" w:rsidRPr="001D3665" w:rsidRDefault="00BC371A" w:rsidP="001D3665">
      <w:pPr>
        <w:pStyle w:val="Overskrift1"/>
      </w:pPr>
      <w:r w:rsidRPr="001D3665">
        <w:t>Registreringsordning under Tolletaten</w:t>
      </w:r>
    </w:p>
    <w:p w14:paraId="34C3420C" w14:textId="77777777" w:rsidR="00BC371A" w:rsidRPr="001D3665" w:rsidRDefault="00BC371A" w:rsidP="001D3665">
      <w:pPr>
        <w:pStyle w:val="Overskrift2"/>
      </w:pPr>
      <w:r w:rsidRPr="001D3665">
        <w:t xml:space="preserve">Innleiing og </w:t>
      </w:r>
      <w:proofErr w:type="spellStart"/>
      <w:r w:rsidRPr="001D3665">
        <w:t>samandrag</w:t>
      </w:r>
      <w:proofErr w:type="spellEnd"/>
    </w:p>
    <w:p w14:paraId="41C99B07" w14:textId="77777777" w:rsidR="00BC371A" w:rsidRPr="001D3665" w:rsidRDefault="00BC371A" w:rsidP="001D3665">
      <w:r w:rsidRPr="001D3665">
        <w:t xml:space="preserve">Departementet foreslår ei ny føresegn i vareførselsloven som gjeld </w:t>
      </w:r>
      <w:proofErr w:type="spellStart"/>
      <w:r w:rsidRPr="001D3665">
        <w:t>aktørar</w:t>
      </w:r>
      <w:proofErr w:type="spellEnd"/>
      <w:r w:rsidRPr="001D3665">
        <w:t xml:space="preserve"> i </w:t>
      </w:r>
      <w:proofErr w:type="spellStart"/>
      <w:r w:rsidRPr="001D3665">
        <w:t>Noreg</w:t>
      </w:r>
      <w:proofErr w:type="spellEnd"/>
      <w:r w:rsidRPr="001D3665">
        <w:t xml:space="preserve"> som må ha </w:t>
      </w:r>
      <w:proofErr w:type="spellStart"/>
      <w:r w:rsidRPr="001D3665">
        <w:t>eit</w:t>
      </w:r>
      <w:proofErr w:type="spellEnd"/>
      <w:r w:rsidRPr="001D3665">
        <w:t xml:space="preserve"> identifikasjonsnummer. Behovet for </w:t>
      </w:r>
      <w:proofErr w:type="spellStart"/>
      <w:r w:rsidRPr="001D3665">
        <w:t>eit</w:t>
      </w:r>
      <w:proofErr w:type="spellEnd"/>
      <w:r w:rsidRPr="001D3665">
        <w:t xml:space="preserve"> identifikasjonsnummer følgjer av EU-rettsakter som vert innlemma i EØS-avtalen og gjennomførte i norsk rett. I fyrste omgang </w:t>
      </w:r>
      <w:proofErr w:type="spellStart"/>
      <w:r w:rsidRPr="001D3665">
        <w:t>gjeld</w:t>
      </w:r>
      <w:proofErr w:type="spellEnd"/>
      <w:r w:rsidRPr="001D3665">
        <w:t xml:space="preserve"> dette CBAM-forordninga (EU) 2023/956. Det er </w:t>
      </w:r>
      <w:proofErr w:type="spellStart"/>
      <w:r w:rsidRPr="001D3665">
        <w:t>eit</w:t>
      </w:r>
      <w:proofErr w:type="spellEnd"/>
      <w:r w:rsidRPr="001D3665">
        <w:t xml:space="preserve"> mål at denne forordninga skal gjelde i </w:t>
      </w:r>
      <w:proofErr w:type="spellStart"/>
      <w:r w:rsidRPr="001D3665">
        <w:t>Noreg</w:t>
      </w:r>
      <w:proofErr w:type="spellEnd"/>
      <w:r w:rsidRPr="001D3665">
        <w:t xml:space="preserve"> </w:t>
      </w:r>
      <w:proofErr w:type="spellStart"/>
      <w:r w:rsidRPr="001D3665">
        <w:t>frå</w:t>
      </w:r>
      <w:proofErr w:type="spellEnd"/>
      <w:r w:rsidRPr="001D3665">
        <w:t xml:space="preserve"> 1. januar 2027. Framlegget </w:t>
      </w:r>
      <w:proofErr w:type="spellStart"/>
      <w:r w:rsidRPr="001D3665">
        <w:t>inneber</w:t>
      </w:r>
      <w:proofErr w:type="spellEnd"/>
      <w:r w:rsidRPr="001D3665">
        <w:t xml:space="preserve"> at </w:t>
      </w:r>
      <w:proofErr w:type="spellStart"/>
      <w:r w:rsidRPr="001D3665">
        <w:t>aktørar</w:t>
      </w:r>
      <w:proofErr w:type="spellEnd"/>
      <w:r w:rsidRPr="001D3665">
        <w:t xml:space="preserve"> med behov for </w:t>
      </w:r>
      <w:proofErr w:type="spellStart"/>
      <w:r w:rsidRPr="001D3665">
        <w:t>eit</w:t>
      </w:r>
      <w:proofErr w:type="spellEnd"/>
      <w:r w:rsidRPr="001D3665">
        <w:t xml:space="preserve"> identifikasjonsnummer, må registrere seg hos tollstyresmaktene. Tollstyresmaktene kan dele den registrerte informasjonen med EU.</w:t>
      </w:r>
    </w:p>
    <w:p w14:paraId="6E4D3F1F" w14:textId="77777777" w:rsidR="00BC371A" w:rsidRPr="001D3665" w:rsidRDefault="00BC371A" w:rsidP="001D3665">
      <w:r w:rsidRPr="001D3665">
        <w:t xml:space="preserve">EØS-relevant EU-sektorregelverk som stiller krav eller utløyser plikter ved inn- eller utførsel av varer, har som fellestrekk at </w:t>
      </w:r>
      <w:proofErr w:type="spellStart"/>
      <w:r w:rsidRPr="001D3665">
        <w:t>aktørane</w:t>
      </w:r>
      <w:proofErr w:type="spellEnd"/>
      <w:r w:rsidRPr="001D3665">
        <w:t xml:space="preserve"> som er omfatta av regelverket, vert identifiserte med </w:t>
      </w:r>
      <w:proofErr w:type="spellStart"/>
      <w:r w:rsidRPr="001D3665">
        <w:t>eit</w:t>
      </w:r>
      <w:proofErr w:type="spellEnd"/>
      <w:r w:rsidRPr="001D3665">
        <w:t xml:space="preserve"> EORI-nummer (</w:t>
      </w:r>
      <w:proofErr w:type="spellStart"/>
      <w:r w:rsidRPr="001D3665">
        <w:t>Economic</w:t>
      </w:r>
      <w:proofErr w:type="spellEnd"/>
      <w:r w:rsidRPr="001D3665">
        <w:t xml:space="preserve"> operators </w:t>
      </w:r>
      <w:proofErr w:type="spellStart"/>
      <w:r w:rsidRPr="001D3665">
        <w:t>registration</w:t>
      </w:r>
      <w:proofErr w:type="spellEnd"/>
      <w:r w:rsidRPr="001D3665">
        <w:t xml:space="preserve"> and </w:t>
      </w:r>
      <w:proofErr w:type="spellStart"/>
      <w:r w:rsidRPr="001D3665">
        <w:t>identification</w:t>
      </w:r>
      <w:proofErr w:type="spellEnd"/>
      <w:r w:rsidRPr="001D3665">
        <w:t xml:space="preserve"> </w:t>
      </w:r>
      <w:proofErr w:type="spellStart"/>
      <w:r w:rsidRPr="001D3665">
        <w:t>number</w:t>
      </w:r>
      <w:proofErr w:type="spellEnd"/>
      <w:r w:rsidRPr="001D3665">
        <w:t xml:space="preserve">). I EU er EORI </w:t>
      </w:r>
      <w:proofErr w:type="spellStart"/>
      <w:r w:rsidRPr="001D3665">
        <w:t>verksemdene</w:t>
      </w:r>
      <w:proofErr w:type="spellEnd"/>
      <w:r w:rsidRPr="001D3665">
        <w:t xml:space="preserve"> sin identifikator for </w:t>
      </w:r>
      <w:proofErr w:type="spellStart"/>
      <w:r w:rsidRPr="001D3665">
        <w:t>tollføremål</w:t>
      </w:r>
      <w:proofErr w:type="spellEnd"/>
      <w:r w:rsidRPr="001D3665">
        <w:t xml:space="preserve">. EORI er regulert i EUs tollregelverk (The Union </w:t>
      </w:r>
      <w:proofErr w:type="spellStart"/>
      <w:r w:rsidRPr="001D3665">
        <w:t>Customs</w:t>
      </w:r>
      <w:proofErr w:type="spellEnd"/>
      <w:r w:rsidRPr="001D3665">
        <w:t xml:space="preserve"> Code – UCC). I EU kan </w:t>
      </w:r>
      <w:proofErr w:type="spellStart"/>
      <w:r w:rsidRPr="001D3665">
        <w:t>ein</w:t>
      </w:r>
      <w:proofErr w:type="spellEnd"/>
      <w:r w:rsidRPr="001D3665">
        <w:t xml:space="preserve"> nytte EORI-nummeret når </w:t>
      </w:r>
      <w:proofErr w:type="spellStart"/>
      <w:r w:rsidRPr="001D3665">
        <w:t>aktørane</w:t>
      </w:r>
      <w:proofErr w:type="spellEnd"/>
      <w:r w:rsidRPr="001D3665">
        <w:t xml:space="preserve"> skal ha tilgang til ulike IT-system. Dette kan skje gjennom EU sitt system UUM&amp;DS (Uniform </w:t>
      </w:r>
      <w:proofErr w:type="spellStart"/>
      <w:r w:rsidRPr="001D3665">
        <w:t>user</w:t>
      </w:r>
      <w:proofErr w:type="spellEnd"/>
      <w:r w:rsidRPr="001D3665">
        <w:t xml:space="preserve"> management &amp; digital </w:t>
      </w:r>
      <w:proofErr w:type="spellStart"/>
      <w:r w:rsidRPr="001D3665">
        <w:t>signatures</w:t>
      </w:r>
      <w:proofErr w:type="spellEnd"/>
      <w:r w:rsidRPr="001D3665">
        <w:t>).</w:t>
      </w:r>
    </w:p>
    <w:p w14:paraId="247B7177" w14:textId="77777777" w:rsidR="00BC371A" w:rsidRPr="001D3665" w:rsidRDefault="00BC371A" w:rsidP="001D3665">
      <w:proofErr w:type="spellStart"/>
      <w:r w:rsidRPr="001D3665">
        <w:t>Noreg</w:t>
      </w:r>
      <w:proofErr w:type="spellEnd"/>
      <w:r w:rsidRPr="001D3665">
        <w:t xml:space="preserve"> er </w:t>
      </w:r>
      <w:proofErr w:type="spellStart"/>
      <w:r w:rsidRPr="001D3665">
        <w:t>ikkje</w:t>
      </w:r>
      <w:proofErr w:type="spellEnd"/>
      <w:r w:rsidRPr="001D3665">
        <w:t xml:space="preserve"> </w:t>
      </w:r>
      <w:proofErr w:type="spellStart"/>
      <w:r w:rsidRPr="001D3665">
        <w:t>ein</w:t>
      </w:r>
      <w:proofErr w:type="spellEnd"/>
      <w:r w:rsidRPr="001D3665">
        <w:t xml:space="preserve"> del av EUs tollområde og er </w:t>
      </w:r>
      <w:proofErr w:type="spellStart"/>
      <w:r w:rsidRPr="001D3665">
        <w:t>ikkje</w:t>
      </w:r>
      <w:proofErr w:type="spellEnd"/>
      <w:r w:rsidRPr="001D3665">
        <w:t xml:space="preserve"> omfatta av EUs tollovgjeving – og </w:t>
      </w:r>
      <w:proofErr w:type="spellStart"/>
      <w:r w:rsidRPr="001D3665">
        <w:t>dimed</w:t>
      </w:r>
      <w:proofErr w:type="spellEnd"/>
      <w:r w:rsidRPr="001D3665">
        <w:t xml:space="preserve"> heller </w:t>
      </w:r>
      <w:proofErr w:type="spellStart"/>
      <w:r w:rsidRPr="001D3665">
        <w:t>ikkje</w:t>
      </w:r>
      <w:proofErr w:type="spellEnd"/>
      <w:r w:rsidRPr="001D3665">
        <w:t xml:space="preserve"> av EORI-ordninga. Når EU-rettsakter som stiller krav eller utløyser plikter ved inn- eller utførsel av varer vert innlemma i norsk rett, er det behov for </w:t>
      </w:r>
      <w:proofErr w:type="spellStart"/>
      <w:r w:rsidRPr="001D3665">
        <w:t>ein</w:t>
      </w:r>
      <w:proofErr w:type="spellEnd"/>
      <w:r w:rsidRPr="001D3665">
        <w:t xml:space="preserve"> eigen identifikator som kan gjelde i staden for EORI. </w:t>
      </w:r>
      <w:proofErr w:type="spellStart"/>
      <w:r w:rsidRPr="001D3665">
        <w:t>Aktørar</w:t>
      </w:r>
      <w:proofErr w:type="spellEnd"/>
      <w:r w:rsidRPr="001D3665">
        <w:t xml:space="preserve"> omfatta av rettsaktene skal nytte denne identifikatoren når omfatta varer vert innførte til </w:t>
      </w:r>
      <w:proofErr w:type="spellStart"/>
      <w:r w:rsidRPr="001D3665">
        <w:t>Noreg</w:t>
      </w:r>
      <w:proofErr w:type="spellEnd"/>
      <w:r w:rsidRPr="001D3665">
        <w:t xml:space="preserve"> </w:t>
      </w:r>
      <w:proofErr w:type="spellStart"/>
      <w:r w:rsidRPr="001D3665">
        <w:t>frå</w:t>
      </w:r>
      <w:proofErr w:type="spellEnd"/>
      <w:r w:rsidRPr="001D3665">
        <w:t xml:space="preserve"> tredjeland. Det vert </w:t>
      </w:r>
      <w:proofErr w:type="spellStart"/>
      <w:r w:rsidRPr="001D3665">
        <w:t>difor</w:t>
      </w:r>
      <w:proofErr w:type="spellEnd"/>
      <w:r w:rsidRPr="001D3665">
        <w:t xml:space="preserve"> foreslått å etablere ei registreringsordning der </w:t>
      </w:r>
      <w:proofErr w:type="spellStart"/>
      <w:r w:rsidRPr="001D3665">
        <w:t>aktørar</w:t>
      </w:r>
      <w:proofErr w:type="spellEnd"/>
      <w:r w:rsidRPr="001D3665">
        <w:t xml:space="preserve"> i </w:t>
      </w:r>
      <w:proofErr w:type="spellStart"/>
      <w:r w:rsidRPr="001D3665">
        <w:t>Noreg</w:t>
      </w:r>
      <w:proofErr w:type="spellEnd"/>
      <w:r w:rsidRPr="001D3665">
        <w:t xml:space="preserve"> får tildelt </w:t>
      </w:r>
      <w:proofErr w:type="spellStart"/>
      <w:r w:rsidRPr="001D3665">
        <w:t>eit</w:t>
      </w:r>
      <w:proofErr w:type="spellEnd"/>
      <w:r w:rsidRPr="001D3665">
        <w:t xml:space="preserve"> identifikasjonsnummer </w:t>
      </w:r>
      <w:proofErr w:type="spellStart"/>
      <w:r w:rsidRPr="001D3665">
        <w:t>frå</w:t>
      </w:r>
      <w:proofErr w:type="spellEnd"/>
      <w:r w:rsidRPr="001D3665">
        <w:t xml:space="preserve"> Tolletaten. Ved registrering får </w:t>
      </w:r>
      <w:proofErr w:type="spellStart"/>
      <w:r w:rsidRPr="001D3665">
        <w:t>aktørane</w:t>
      </w:r>
      <w:proofErr w:type="spellEnd"/>
      <w:r w:rsidRPr="001D3665">
        <w:t xml:space="preserve"> </w:t>
      </w:r>
      <w:proofErr w:type="spellStart"/>
      <w:r w:rsidRPr="001D3665">
        <w:t>eit</w:t>
      </w:r>
      <w:proofErr w:type="spellEnd"/>
      <w:r w:rsidRPr="001D3665">
        <w:t xml:space="preserve"> identifikasjonsnummer som er basert på aktøren sitt organisasjonsnummer i Einingsregisteret, med prefikset NO.</w:t>
      </w:r>
    </w:p>
    <w:p w14:paraId="2EBC969B" w14:textId="77777777" w:rsidR="00BC371A" w:rsidRPr="001D3665" w:rsidRDefault="00BC371A" w:rsidP="001D3665">
      <w:r w:rsidRPr="001D3665">
        <w:t xml:space="preserve">Kravet om norsk identifikator vil gjelde </w:t>
      </w:r>
      <w:proofErr w:type="spellStart"/>
      <w:r w:rsidRPr="001D3665">
        <w:t>sjølv</w:t>
      </w:r>
      <w:proofErr w:type="spellEnd"/>
      <w:r w:rsidRPr="001D3665">
        <w:t xml:space="preserve"> om aktøren </w:t>
      </w:r>
      <w:proofErr w:type="spellStart"/>
      <w:r w:rsidRPr="001D3665">
        <w:t>allereie</w:t>
      </w:r>
      <w:proofErr w:type="spellEnd"/>
      <w:r w:rsidRPr="001D3665">
        <w:t xml:space="preserve"> er registrert med EORI-nummer for vareførsel til og </w:t>
      </w:r>
      <w:proofErr w:type="spellStart"/>
      <w:r w:rsidRPr="001D3665">
        <w:t>frå</w:t>
      </w:r>
      <w:proofErr w:type="spellEnd"/>
      <w:r w:rsidRPr="001D3665">
        <w:t xml:space="preserve"> EUs tollområde. Det vil </w:t>
      </w:r>
      <w:proofErr w:type="spellStart"/>
      <w:r w:rsidRPr="001D3665">
        <w:t>framleis</w:t>
      </w:r>
      <w:proofErr w:type="spellEnd"/>
      <w:r w:rsidRPr="001D3665">
        <w:t xml:space="preserve"> òg </w:t>
      </w:r>
      <w:proofErr w:type="spellStart"/>
      <w:r w:rsidRPr="001D3665">
        <w:t>vere</w:t>
      </w:r>
      <w:proofErr w:type="spellEnd"/>
      <w:r w:rsidRPr="001D3665">
        <w:t xml:space="preserve"> krav om EORI-nummer for </w:t>
      </w:r>
      <w:proofErr w:type="spellStart"/>
      <w:r w:rsidRPr="001D3665">
        <w:t>aktørar</w:t>
      </w:r>
      <w:proofErr w:type="spellEnd"/>
      <w:r w:rsidRPr="001D3665">
        <w:t xml:space="preserve"> som må varsle </w:t>
      </w:r>
      <w:proofErr w:type="spellStart"/>
      <w:r w:rsidRPr="001D3665">
        <w:t>føreåt</w:t>
      </w:r>
      <w:proofErr w:type="spellEnd"/>
      <w:r w:rsidRPr="001D3665">
        <w:t xml:space="preserve"> i ICS2 (EUs system for elektronisk førehandsvarsling).</w:t>
      </w:r>
    </w:p>
    <w:p w14:paraId="13EA90E0" w14:textId="77777777" w:rsidR="00BC371A" w:rsidRPr="001D3665" w:rsidRDefault="00BC371A" w:rsidP="001D3665">
      <w:r w:rsidRPr="001D3665">
        <w:t xml:space="preserve">Framlegget </w:t>
      </w:r>
      <w:proofErr w:type="spellStart"/>
      <w:r w:rsidRPr="001D3665">
        <w:t>vart</w:t>
      </w:r>
      <w:proofErr w:type="spellEnd"/>
      <w:r w:rsidRPr="001D3665">
        <w:t xml:space="preserve"> sendt på </w:t>
      </w:r>
      <w:proofErr w:type="spellStart"/>
      <w:r w:rsidRPr="001D3665">
        <w:t>høyring</w:t>
      </w:r>
      <w:proofErr w:type="spellEnd"/>
      <w:r w:rsidRPr="001D3665">
        <w:t xml:space="preserve"> 10. mars 2026, med </w:t>
      </w:r>
      <w:proofErr w:type="spellStart"/>
      <w:r w:rsidRPr="001D3665">
        <w:t>høyringsfrist</w:t>
      </w:r>
      <w:proofErr w:type="spellEnd"/>
      <w:r w:rsidRPr="001D3665">
        <w:t xml:space="preserve"> 13. april 2026. Det har </w:t>
      </w:r>
      <w:proofErr w:type="spellStart"/>
      <w:r w:rsidRPr="001D3665">
        <w:t>kome</w:t>
      </w:r>
      <w:proofErr w:type="spellEnd"/>
      <w:r w:rsidRPr="001D3665">
        <w:t xml:space="preserve"> inn 19 </w:t>
      </w:r>
      <w:proofErr w:type="spellStart"/>
      <w:r w:rsidRPr="001D3665">
        <w:t>høyringssvar</w:t>
      </w:r>
      <w:proofErr w:type="spellEnd"/>
      <w:r w:rsidRPr="001D3665">
        <w:t xml:space="preserve">. Framlegget i proposisjonen </w:t>
      </w:r>
      <w:proofErr w:type="spellStart"/>
      <w:r w:rsidRPr="001D3665">
        <w:t>vidarefører</w:t>
      </w:r>
      <w:proofErr w:type="spellEnd"/>
      <w:r w:rsidRPr="001D3665">
        <w:t xml:space="preserve"> i </w:t>
      </w:r>
      <w:proofErr w:type="spellStart"/>
      <w:r w:rsidRPr="001D3665">
        <w:t>hovudsak</w:t>
      </w:r>
      <w:proofErr w:type="spellEnd"/>
      <w:r w:rsidRPr="001D3665">
        <w:t xml:space="preserve"> framlegget i </w:t>
      </w:r>
      <w:proofErr w:type="spellStart"/>
      <w:r w:rsidRPr="001D3665">
        <w:t>høyringsnotatet</w:t>
      </w:r>
      <w:proofErr w:type="spellEnd"/>
      <w:r w:rsidRPr="001D3665">
        <w:t>.</w:t>
      </w:r>
    </w:p>
    <w:p w14:paraId="28C4AFAD" w14:textId="77777777" w:rsidR="00BC371A" w:rsidRPr="001D3665" w:rsidRDefault="00BC371A" w:rsidP="001D3665">
      <w:r w:rsidRPr="001D3665">
        <w:lastRenderedPageBreak/>
        <w:t xml:space="preserve">Dei økonomiske </w:t>
      </w:r>
      <w:proofErr w:type="spellStart"/>
      <w:r w:rsidRPr="001D3665">
        <w:t>konsekvensane</w:t>
      </w:r>
      <w:proofErr w:type="spellEnd"/>
      <w:r w:rsidRPr="001D3665">
        <w:t xml:space="preserve"> av framlegget vert vurderte som låge for næringslivet. </w:t>
      </w:r>
      <w:proofErr w:type="spellStart"/>
      <w:r w:rsidRPr="001D3665">
        <w:t>Kostnadane</w:t>
      </w:r>
      <w:proofErr w:type="spellEnd"/>
      <w:r w:rsidRPr="001D3665">
        <w:t xml:space="preserve"> ved å utvikle og etablere registeret er av Tolletaten talfesta til om lag 19 mill. kroner (eks. </w:t>
      </w:r>
      <w:proofErr w:type="spellStart"/>
      <w:r w:rsidRPr="001D3665">
        <w:t>mva</w:t>
      </w:r>
      <w:proofErr w:type="spellEnd"/>
      <w:r w:rsidRPr="001D3665">
        <w:t xml:space="preserve">). Varige drifts- og </w:t>
      </w:r>
      <w:proofErr w:type="spellStart"/>
      <w:r w:rsidRPr="001D3665">
        <w:t>forvaltingskostnadar</w:t>
      </w:r>
      <w:proofErr w:type="spellEnd"/>
      <w:r w:rsidRPr="001D3665">
        <w:t xml:space="preserve"> er talfesta til om lag 13 mill. kroner (eks. </w:t>
      </w:r>
      <w:proofErr w:type="spellStart"/>
      <w:r w:rsidRPr="001D3665">
        <w:t>mva</w:t>
      </w:r>
      <w:proofErr w:type="spellEnd"/>
      <w:r w:rsidRPr="001D3665">
        <w:t>).</w:t>
      </w:r>
    </w:p>
    <w:p w14:paraId="1C945292" w14:textId="77777777" w:rsidR="00BC371A" w:rsidRPr="001D3665" w:rsidRDefault="00BC371A" w:rsidP="001D3665">
      <w:r w:rsidRPr="001D3665">
        <w:t xml:space="preserve">Departementet viser til framlegg til vareførselsloven ny § 7-22. Departementet foreslår at </w:t>
      </w:r>
      <w:proofErr w:type="spellStart"/>
      <w:r w:rsidRPr="001D3665">
        <w:t>lovendringane</w:t>
      </w:r>
      <w:proofErr w:type="spellEnd"/>
      <w:r w:rsidRPr="001D3665">
        <w:t xml:space="preserve"> tek til å gjelde 1. juli 2026.</w:t>
      </w:r>
    </w:p>
    <w:p w14:paraId="013072E6" w14:textId="77777777" w:rsidR="00BC371A" w:rsidRPr="001D3665" w:rsidRDefault="00BC371A" w:rsidP="001D3665">
      <w:pPr>
        <w:pStyle w:val="Overskrift2"/>
      </w:pPr>
      <w:proofErr w:type="spellStart"/>
      <w:r w:rsidRPr="001D3665">
        <w:t>Høyringa</w:t>
      </w:r>
      <w:proofErr w:type="spellEnd"/>
    </w:p>
    <w:p w14:paraId="3AB49C73" w14:textId="77777777" w:rsidR="00BC371A" w:rsidRPr="001D3665" w:rsidRDefault="00BC371A" w:rsidP="001D3665">
      <w:r w:rsidRPr="001D3665">
        <w:t xml:space="preserve">Departementet sende 10. mars 2026 på </w:t>
      </w:r>
      <w:proofErr w:type="spellStart"/>
      <w:r w:rsidRPr="001D3665">
        <w:t>høyring</w:t>
      </w:r>
      <w:proofErr w:type="spellEnd"/>
      <w:r w:rsidRPr="001D3665">
        <w:t xml:space="preserve"> </w:t>
      </w:r>
      <w:proofErr w:type="spellStart"/>
      <w:r w:rsidRPr="001D3665">
        <w:t>eit</w:t>
      </w:r>
      <w:proofErr w:type="spellEnd"/>
      <w:r w:rsidRPr="001D3665">
        <w:t xml:space="preserve"> framlegg om ei ny føresegn i vareførselsloven. Føresegna slår fast at </w:t>
      </w:r>
      <w:proofErr w:type="spellStart"/>
      <w:r w:rsidRPr="001D3665">
        <w:t>aktørar</w:t>
      </w:r>
      <w:proofErr w:type="spellEnd"/>
      <w:r w:rsidRPr="001D3665">
        <w:t xml:space="preserve"> i </w:t>
      </w:r>
      <w:proofErr w:type="spellStart"/>
      <w:r w:rsidRPr="001D3665">
        <w:t>Noreg</w:t>
      </w:r>
      <w:proofErr w:type="spellEnd"/>
      <w:r w:rsidRPr="001D3665">
        <w:t xml:space="preserve">, som må ha </w:t>
      </w:r>
      <w:proofErr w:type="spellStart"/>
      <w:r w:rsidRPr="001D3665">
        <w:t>eit</w:t>
      </w:r>
      <w:proofErr w:type="spellEnd"/>
      <w:r w:rsidRPr="001D3665">
        <w:t xml:space="preserve"> identifikasjonsnummer etter EU-rettsakter gjennomførte i norsk rett, må registrere seg hos Tolletaten.</w:t>
      </w:r>
    </w:p>
    <w:p w14:paraId="3DE2B8C7" w14:textId="77777777" w:rsidR="00BC371A" w:rsidRPr="001D3665" w:rsidRDefault="00BC371A" w:rsidP="001D3665">
      <w:proofErr w:type="spellStart"/>
      <w:r w:rsidRPr="001D3665">
        <w:t>Høyringsfristen</w:t>
      </w:r>
      <w:proofErr w:type="spellEnd"/>
      <w:r w:rsidRPr="001D3665">
        <w:t xml:space="preserve"> var 13. april 2026. Departementet mottok 19 </w:t>
      </w:r>
      <w:proofErr w:type="spellStart"/>
      <w:r w:rsidRPr="001D3665">
        <w:t>høyringssvar</w:t>
      </w:r>
      <w:proofErr w:type="spellEnd"/>
      <w:r w:rsidRPr="001D3665">
        <w:t xml:space="preserve">, der sju var </w:t>
      </w:r>
      <w:proofErr w:type="spellStart"/>
      <w:r w:rsidRPr="001D3665">
        <w:t>utan</w:t>
      </w:r>
      <w:proofErr w:type="spellEnd"/>
      <w:r w:rsidRPr="001D3665">
        <w:t xml:space="preserve"> merknader, og </w:t>
      </w:r>
      <w:proofErr w:type="spellStart"/>
      <w:r w:rsidRPr="001D3665">
        <w:t>eit</w:t>
      </w:r>
      <w:proofErr w:type="spellEnd"/>
      <w:r w:rsidRPr="001D3665">
        <w:t xml:space="preserve"> hadde merknader som </w:t>
      </w:r>
      <w:proofErr w:type="spellStart"/>
      <w:r w:rsidRPr="001D3665">
        <w:t>ikkje</w:t>
      </w:r>
      <w:proofErr w:type="spellEnd"/>
      <w:r w:rsidRPr="001D3665">
        <w:t xml:space="preserve"> var kopla til framlegget.</w:t>
      </w:r>
    </w:p>
    <w:p w14:paraId="3DD776CC" w14:textId="77777777" w:rsidR="00BC371A" w:rsidRPr="001D3665" w:rsidRDefault="00BC371A" w:rsidP="001D3665">
      <w:proofErr w:type="spellStart"/>
      <w:r w:rsidRPr="001D3665">
        <w:t>Følgjande</w:t>
      </w:r>
      <w:proofErr w:type="spellEnd"/>
      <w:r w:rsidRPr="001D3665">
        <w:t xml:space="preserve"> 11 </w:t>
      </w:r>
      <w:proofErr w:type="spellStart"/>
      <w:r w:rsidRPr="001D3665">
        <w:t>høyringsinstansar</w:t>
      </w:r>
      <w:proofErr w:type="spellEnd"/>
      <w:r w:rsidRPr="001D3665">
        <w:t xml:space="preserve"> har levert </w:t>
      </w:r>
      <w:proofErr w:type="spellStart"/>
      <w:r w:rsidRPr="001D3665">
        <w:t>høyringssvar</w:t>
      </w:r>
      <w:proofErr w:type="spellEnd"/>
      <w:r w:rsidRPr="001D3665">
        <w:t xml:space="preserve"> med realitetsmerknader:</w:t>
      </w:r>
    </w:p>
    <w:p w14:paraId="0DF5350C" w14:textId="77777777" w:rsidR="00BC371A" w:rsidRPr="001D3665" w:rsidRDefault="00BC371A" w:rsidP="001D3665">
      <w:pPr>
        <w:pStyle w:val="Liste"/>
      </w:pPr>
      <w:proofErr w:type="spellStart"/>
      <w:r w:rsidRPr="001D3665">
        <w:t>Brønnøysundregistera</w:t>
      </w:r>
      <w:proofErr w:type="spellEnd"/>
    </w:p>
    <w:p w14:paraId="1300C509" w14:textId="77777777" w:rsidR="00BC371A" w:rsidRPr="001D3665" w:rsidRDefault="00BC371A" w:rsidP="001D3665">
      <w:pPr>
        <w:pStyle w:val="Liste"/>
      </w:pPr>
      <w:r w:rsidRPr="001D3665">
        <w:t>Miljødirektoratet</w:t>
      </w:r>
    </w:p>
    <w:p w14:paraId="1F939C2D" w14:textId="77777777" w:rsidR="00BC371A" w:rsidRPr="001D3665" w:rsidRDefault="00BC371A" w:rsidP="001D3665">
      <w:pPr>
        <w:pStyle w:val="Liste"/>
      </w:pPr>
      <w:r w:rsidRPr="001D3665">
        <w:t>Sjøfartsdirektoratet</w:t>
      </w:r>
    </w:p>
    <w:p w14:paraId="7CDB1CC5" w14:textId="77777777" w:rsidR="00BC371A" w:rsidRPr="001D3665" w:rsidRDefault="00BC371A" w:rsidP="001D3665">
      <w:pPr>
        <w:pStyle w:val="Liste"/>
      </w:pPr>
      <w:r w:rsidRPr="001D3665">
        <w:t>Longyearbyen lokalstyre</w:t>
      </w:r>
    </w:p>
    <w:p w14:paraId="7CEBBB22" w14:textId="77777777" w:rsidR="00BC371A" w:rsidRPr="001D3665" w:rsidRDefault="00BC371A" w:rsidP="001D3665">
      <w:pPr>
        <w:pStyle w:val="Liste"/>
      </w:pPr>
      <w:r w:rsidRPr="001D3665">
        <w:t>Posten Bring AS</w:t>
      </w:r>
    </w:p>
    <w:p w14:paraId="7A76F412" w14:textId="77777777" w:rsidR="00BC371A" w:rsidRPr="001D3665" w:rsidRDefault="00BC371A" w:rsidP="001D3665">
      <w:pPr>
        <w:pStyle w:val="Liste"/>
      </w:pPr>
      <w:proofErr w:type="spellStart"/>
      <w:r w:rsidRPr="001D3665">
        <w:t>Hovudorganisasjonen</w:t>
      </w:r>
      <w:proofErr w:type="spellEnd"/>
      <w:r w:rsidRPr="001D3665">
        <w:t xml:space="preserve"> Virke</w:t>
      </w:r>
    </w:p>
    <w:p w14:paraId="407E45F5" w14:textId="77777777" w:rsidR="00BC371A" w:rsidRPr="001D3665" w:rsidRDefault="00BC371A" w:rsidP="001D3665">
      <w:pPr>
        <w:pStyle w:val="Liste"/>
      </w:pPr>
      <w:r w:rsidRPr="001D3665">
        <w:t>NHO Logistikk og Transport</w:t>
      </w:r>
    </w:p>
    <w:p w14:paraId="474EA5BD" w14:textId="77777777" w:rsidR="00BC371A" w:rsidRPr="001D3665" w:rsidRDefault="00BC371A" w:rsidP="001D3665">
      <w:pPr>
        <w:pStyle w:val="Liste"/>
      </w:pPr>
      <w:r w:rsidRPr="001D3665">
        <w:t>NHO Luftfart</w:t>
      </w:r>
    </w:p>
    <w:p w14:paraId="2F39266B" w14:textId="77777777" w:rsidR="00BC371A" w:rsidRPr="001D3665" w:rsidRDefault="00BC371A" w:rsidP="001D3665">
      <w:pPr>
        <w:pStyle w:val="Liste"/>
      </w:pPr>
      <w:r w:rsidRPr="001D3665">
        <w:t>Norsk Industri</w:t>
      </w:r>
    </w:p>
    <w:p w14:paraId="3E8399C8" w14:textId="77777777" w:rsidR="00BC371A" w:rsidRPr="001D3665" w:rsidRDefault="00BC371A" w:rsidP="001D3665">
      <w:pPr>
        <w:pStyle w:val="Liste"/>
      </w:pPr>
      <w:r w:rsidRPr="001D3665">
        <w:t>Norsk Tollerforbund</w:t>
      </w:r>
    </w:p>
    <w:p w14:paraId="59AF6F5D" w14:textId="77777777" w:rsidR="00BC371A" w:rsidRPr="001D3665" w:rsidRDefault="00BC371A" w:rsidP="001D3665">
      <w:pPr>
        <w:pStyle w:val="Liste"/>
      </w:pPr>
      <w:r w:rsidRPr="001D3665">
        <w:t>Treindustrien</w:t>
      </w:r>
    </w:p>
    <w:p w14:paraId="3A50173B" w14:textId="77777777" w:rsidR="00BC371A" w:rsidRPr="001D3665" w:rsidRDefault="00BC371A" w:rsidP="001D3665">
      <w:proofErr w:type="spellStart"/>
      <w:r w:rsidRPr="001D3665">
        <w:t>Høyringsinstansane</w:t>
      </w:r>
      <w:proofErr w:type="spellEnd"/>
      <w:r w:rsidRPr="001D3665">
        <w:t xml:space="preserve"> er i </w:t>
      </w:r>
      <w:proofErr w:type="spellStart"/>
      <w:r w:rsidRPr="001D3665">
        <w:t>hovudsak</w:t>
      </w:r>
      <w:proofErr w:type="spellEnd"/>
      <w:r w:rsidRPr="001D3665">
        <w:t xml:space="preserve"> positive til framlegget, men har </w:t>
      </w:r>
      <w:proofErr w:type="spellStart"/>
      <w:r w:rsidRPr="001D3665">
        <w:t>nokre</w:t>
      </w:r>
      <w:proofErr w:type="spellEnd"/>
      <w:r w:rsidRPr="001D3665">
        <w:t xml:space="preserve"> merknader. Departementet </w:t>
      </w:r>
      <w:proofErr w:type="spellStart"/>
      <w:r w:rsidRPr="001D3665">
        <w:t>gjer</w:t>
      </w:r>
      <w:proofErr w:type="spellEnd"/>
      <w:r w:rsidRPr="001D3665">
        <w:t xml:space="preserve"> greie for </w:t>
      </w:r>
      <w:proofErr w:type="spellStart"/>
      <w:r w:rsidRPr="001D3665">
        <w:t>hovudsynspunkta</w:t>
      </w:r>
      <w:proofErr w:type="spellEnd"/>
      <w:r w:rsidRPr="001D3665">
        <w:t xml:space="preserve"> </w:t>
      </w:r>
      <w:proofErr w:type="spellStart"/>
      <w:r w:rsidRPr="001D3665">
        <w:t>frå</w:t>
      </w:r>
      <w:proofErr w:type="spellEnd"/>
      <w:r w:rsidRPr="001D3665">
        <w:t xml:space="preserve"> </w:t>
      </w:r>
      <w:proofErr w:type="spellStart"/>
      <w:r w:rsidRPr="001D3665">
        <w:t>høyringssvara</w:t>
      </w:r>
      <w:proofErr w:type="spellEnd"/>
      <w:r w:rsidRPr="001D3665">
        <w:t xml:space="preserve"> </w:t>
      </w:r>
      <w:proofErr w:type="spellStart"/>
      <w:r w:rsidRPr="001D3665">
        <w:t>nedanfor</w:t>
      </w:r>
      <w:proofErr w:type="spellEnd"/>
      <w:r w:rsidRPr="001D3665">
        <w:t xml:space="preserve">. Departementet vurderer merknadene </w:t>
      </w:r>
      <w:proofErr w:type="spellStart"/>
      <w:r w:rsidRPr="001D3665">
        <w:t>nærare</w:t>
      </w:r>
      <w:proofErr w:type="spellEnd"/>
      <w:r w:rsidRPr="001D3665">
        <w:t xml:space="preserve"> under punkt 6.4.</w:t>
      </w:r>
    </w:p>
    <w:p w14:paraId="2D98011C" w14:textId="77777777" w:rsidR="00BC371A" w:rsidRPr="001D3665" w:rsidRDefault="00BC371A" w:rsidP="001D3665">
      <w:proofErr w:type="spellStart"/>
      <w:r w:rsidRPr="001D3665">
        <w:rPr>
          <w:rStyle w:val="kursiv"/>
        </w:rPr>
        <w:t>Brønnøysundregistera</w:t>
      </w:r>
      <w:proofErr w:type="spellEnd"/>
      <w:r w:rsidRPr="001D3665">
        <w:t xml:space="preserve"> stiller spørsmål ved om det er </w:t>
      </w:r>
      <w:proofErr w:type="spellStart"/>
      <w:r w:rsidRPr="001D3665">
        <w:t>naudsynt</w:t>
      </w:r>
      <w:proofErr w:type="spellEnd"/>
      <w:r w:rsidRPr="001D3665">
        <w:t xml:space="preserve"> å opprette </w:t>
      </w:r>
      <w:proofErr w:type="spellStart"/>
      <w:r w:rsidRPr="001D3665">
        <w:t>eit</w:t>
      </w:r>
      <w:proofErr w:type="spellEnd"/>
      <w:r w:rsidRPr="001D3665">
        <w:t xml:space="preserve"> nytt, eige register hos Tolletaten for å ivareta </w:t>
      </w:r>
      <w:proofErr w:type="spellStart"/>
      <w:r w:rsidRPr="001D3665">
        <w:t>føremålet</w:t>
      </w:r>
      <w:proofErr w:type="spellEnd"/>
      <w:r w:rsidRPr="001D3665">
        <w:t xml:space="preserve"> med registreringa. Dei spør om det </w:t>
      </w:r>
      <w:proofErr w:type="spellStart"/>
      <w:r w:rsidRPr="001D3665">
        <w:t>ikkje</w:t>
      </w:r>
      <w:proofErr w:type="spellEnd"/>
      <w:r w:rsidRPr="001D3665">
        <w:t xml:space="preserve"> er </w:t>
      </w:r>
      <w:proofErr w:type="spellStart"/>
      <w:r w:rsidRPr="001D3665">
        <w:t>tilstrekkeleg</w:t>
      </w:r>
      <w:proofErr w:type="spellEnd"/>
      <w:r w:rsidRPr="001D3665">
        <w:t xml:space="preserve"> at den aktuelle </w:t>
      </w:r>
      <w:proofErr w:type="spellStart"/>
      <w:r w:rsidRPr="001D3665">
        <w:t>verksemda</w:t>
      </w:r>
      <w:proofErr w:type="spellEnd"/>
      <w:r w:rsidRPr="001D3665">
        <w:t xml:space="preserve"> er registrert i Einingsregisteret med </w:t>
      </w:r>
      <w:proofErr w:type="spellStart"/>
      <w:r w:rsidRPr="001D3665">
        <w:t>dei</w:t>
      </w:r>
      <w:proofErr w:type="spellEnd"/>
      <w:r w:rsidRPr="001D3665">
        <w:t xml:space="preserve"> </w:t>
      </w:r>
      <w:proofErr w:type="spellStart"/>
      <w:r w:rsidRPr="001D3665">
        <w:t>opplysingane</w:t>
      </w:r>
      <w:proofErr w:type="spellEnd"/>
      <w:r w:rsidRPr="001D3665">
        <w:t xml:space="preserve"> Tolletaten som minimum treng for å tildele den unike identifikatoren (organisasjonsnummer med prefikset NO). </w:t>
      </w:r>
      <w:proofErr w:type="spellStart"/>
      <w:r w:rsidRPr="001D3665">
        <w:t>Brønnøysundregistera</w:t>
      </w:r>
      <w:proofErr w:type="spellEnd"/>
      <w:r w:rsidRPr="001D3665">
        <w:t xml:space="preserve"> </w:t>
      </w:r>
      <w:proofErr w:type="spellStart"/>
      <w:r w:rsidRPr="001D3665">
        <w:t>peiker</w:t>
      </w:r>
      <w:proofErr w:type="spellEnd"/>
      <w:r w:rsidRPr="001D3665">
        <w:t xml:space="preserve"> på ei alternativ løysing der organisasjonsnummeret vert </w:t>
      </w:r>
      <w:proofErr w:type="spellStart"/>
      <w:r w:rsidRPr="001D3665">
        <w:t>oppgjeve</w:t>
      </w:r>
      <w:proofErr w:type="spellEnd"/>
      <w:r w:rsidRPr="001D3665">
        <w:t xml:space="preserve"> til Tolletaten i samband med søknad om godkjenning, og at Tolletaten deretter slår opp i Einingsregisteret for å verifisere </w:t>
      </w:r>
      <w:proofErr w:type="spellStart"/>
      <w:r w:rsidRPr="001D3665">
        <w:t>opplysingar</w:t>
      </w:r>
      <w:proofErr w:type="spellEnd"/>
      <w:r w:rsidRPr="001D3665">
        <w:t xml:space="preserve"> og kontrollere at det </w:t>
      </w:r>
      <w:proofErr w:type="spellStart"/>
      <w:r w:rsidRPr="001D3665">
        <w:t>ikkje</w:t>
      </w:r>
      <w:proofErr w:type="spellEnd"/>
      <w:r w:rsidRPr="001D3665">
        <w:t xml:space="preserve"> </w:t>
      </w:r>
      <w:proofErr w:type="spellStart"/>
      <w:r w:rsidRPr="001D3665">
        <w:t>finst</w:t>
      </w:r>
      <w:proofErr w:type="spellEnd"/>
      <w:r w:rsidRPr="001D3665">
        <w:t xml:space="preserve"> tilhøve som </w:t>
      </w:r>
      <w:proofErr w:type="spellStart"/>
      <w:r w:rsidRPr="001D3665">
        <w:t>hindrar</w:t>
      </w:r>
      <w:proofErr w:type="spellEnd"/>
      <w:r w:rsidRPr="001D3665">
        <w:t xml:space="preserve"> registreringa. </w:t>
      </w:r>
      <w:proofErr w:type="spellStart"/>
      <w:r w:rsidRPr="001D3665">
        <w:t>Fordelar</w:t>
      </w:r>
      <w:proofErr w:type="spellEnd"/>
      <w:r w:rsidRPr="001D3665">
        <w:t xml:space="preserve"> ved denne løysinga er </w:t>
      </w:r>
      <w:proofErr w:type="spellStart"/>
      <w:r w:rsidRPr="001D3665">
        <w:t>lågare</w:t>
      </w:r>
      <w:proofErr w:type="spellEnd"/>
      <w:r w:rsidRPr="001D3665">
        <w:t xml:space="preserve"> administrative og økonomiske </w:t>
      </w:r>
      <w:proofErr w:type="spellStart"/>
      <w:r w:rsidRPr="001D3665">
        <w:t>kostnadar</w:t>
      </w:r>
      <w:proofErr w:type="spellEnd"/>
      <w:r w:rsidRPr="001D3665">
        <w:t xml:space="preserve">, tilgang til oppdatert informasjon </w:t>
      </w:r>
      <w:proofErr w:type="spellStart"/>
      <w:r w:rsidRPr="001D3665">
        <w:t>frå</w:t>
      </w:r>
      <w:proofErr w:type="spellEnd"/>
      <w:r w:rsidRPr="001D3665">
        <w:t xml:space="preserve"> Einingsregisteret i sanntid, mindre risiko for avvik mellom </w:t>
      </w:r>
      <w:proofErr w:type="spellStart"/>
      <w:r w:rsidRPr="001D3665">
        <w:t>registera</w:t>
      </w:r>
      <w:proofErr w:type="spellEnd"/>
      <w:r w:rsidRPr="001D3665">
        <w:t xml:space="preserve"> og enkel integrasjon mot </w:t>
      </w:r>
      <w:proofErr w:type="spellStart"/>
      <w:r w:rsidRPr="001D3665">
        <w:t>Brønnøysundregistera</w:t>
      </w:r>
      <w:proofErr w:type="spellEnd"/>
      <w:r w:rsidRPr="001D3665">
        <w:t xml:space="preserve"> sine API-</w:t>
      </w:r>
      <w:proofErr w:type="spellStart"/>
      <w:r w:rsidRPr="001D3665">
        <w:t>tenester</w:t>
      </w:r>
      <w:proofErr w:type="spellEnd"/>
      <w:r w:rsidRPr="001D3665">
        <w:t xml:space="preserve">. Uavhengig av løysinga meiner </w:t>
      </w:r>
      <w:proofErr w:type="spellStart"/>
      <w:r w:rsidRPr="001D3665">
        <w:t>Brønnøysundregistera</w:t>
      </w:r>
      <w:proofErr w:type="spellEnd"/>
      <w:r w:rsidRPr="001D3665">
        <w:t xml:space="preserve"> at det bør </w:t>
      </w:r>
      <w:proofErr w:type="spellStart"/>
      <w:r w:rsidRPr="001D3665">
        <w:t>vere</w:t>
      </w:r>
      <w:proofErr w:type="spellEnd"/>
      <w:r w:rsidRPr="001D3665">
        <w:t xml:space="preserve"> samsvar mellom bruken av omgrep i enhetsregisterloven og vareførselsloven, med </w:t>
      </w:r>
      <w:proofErr w:type="spellStart"/>
      <w:r w:rsidRPr="001D3665">
        <w:t>klåre</w:t>
      </w:r>
      <w:proofErr w:type="spellEnd"/>
      <w:r w:rsidRPr="001D3665">
        <w:t xml:space="preserve"> </w:t>
      </w:r>
      <w:proofErr w:type="spellStart"/>
      <w:r w:rsidRPr="001D3665">
        <w:t>tilvisingar</w:t>
      </w:r>
      <w:proofErr w:type="spellEnd"/>
      <w:r w:rsidRPr="001D3665">
        <w:t xml:space="preserve"> til relevante lov- og forskriftsføresegner. Dei foreslår òg at identifikatoren vert utvida til å </w:t>
      </w:r>
      <w:proofErr w:type="spellStart"/>
      <w:r w:rsidRPr="001D3665">
        <w:t>innehalde</w:t>
      </w:r>
      <w:proofErr w:type="spellEnd"/>
      <w:r w:rsidRPr="001D3665">
        <w:t xml:space="preserve"> landskode, </w:t>
      </w:r>
      <w:r w:rsidRPr="001D3665">
        <w:lastRenderedPageBreak/>
        <w:t>registeridentifikator (kode knytt til Einingsregisteret) og nasjonalt registreringsnummer (organisasjonsnummer) i tråd med ISO 6523.</w:t>
      </w:r>
    </w:p>
    <w:p w14:paraId="3B6F5E5F" w14:textId="77777777" w:rsidR="00BC371A" w:rsidRPr="001D3665" w:rsidRDefault="00BC371A" w:rsidP="001D3665">
      <w:r w:rsidRPr="001D3665">
        <w:rPr>
          <w:rStyle w:val="kursiv"/>
        </w:rPr>
        <w:t>Miljødirektoratet</w:t>
      </w:r>
      <w:r w:rsidRPr="001D3665">
        <w:t xml:space="preserve"> </w:t>
      </w:r>
      <w:proofErr w:type="spellStart"/>
      <w:r w:rsidRPr="001D3665">
        <w:t>peiker</w:t>
      </w:r>
      <w:proofErr w:type="spellEnd"/>
      <w:r w:rsidRPr="001D3665">
        <w:t xml:space="preserve"> på kor viktig den foreslåtte ordninga er, </w:t>
      </w:r>
      <w:proofErr w:type="spellStart"/>
      <w:r w:rsidRPr="001D3665">
        <w:t>særleg</w:t>
      </w:r>
      <w:proofErr w:type="spellEnd"/>
      <w:r w:rsidRPr="001D3665">
        <w:t xml:space="preserve"> med omsyn til gjennomføringa av EØS-relevante EU-rettsakter som stiller krav om identifikasjon av </w:t>
      </w:r>
      <w:proofErr w:type="spellStart"/>
      <w:r w:rsidRPr="001D3665">
        <w:t>aktørar</w:t>
      </w:r>
      <w:proofErr w:type="spellEnd"/>
      <w:r w:rsidRPr="001D3665">
        <w:t xml:space="preserve">. Dei </w:t>
      </w:r>
      <w:proofErr w:type="spellStart"/>
      <w:r w:rsidRPr="001D3665">
        <w:t>framhevar</w:t>
      </w:r>
      <w:proofErr w:type="spellEnd"/>
      <w:r w:rsidRPr="001D3665">
        <w:t xml:space="preserve"> at </w:t>
      </w:r>
      <w:proofErr w:type="spellStart"/>
      <w:r w:rsidRPr="001D3665">
        <w:t>høyringsnotatet</w:t>
      </w:r>
      <w:proofErr w:type="spellEnd"/>
      <w:r w:rsidRPr="001D3665">
        <w:t xml:space="preserve"> presiserer at plikta til å registrere seg i fyrste omgang </w:t>
      </w:r>
      <w:proofErr w:type="spellStart"/>
      <w:r w:rsidRPr="001D3665">
        <w:t>omfattar</w:t>
      </w:r>
      <w:proofErr w:type="spellEnd"/>
      <w:r w:rsidRPr="001D3665">
        <w:t xml:space="preserve"> </w:t>
      </w:r>
      <w:proofErr w:type="spellStart"/>
      <w:r w:rsidRPr="001D3665">
        <w:t>aktørar</w:t>
      </w:r>
      <w:proofErr w:type="spellEnd"/>
      <w:r w:rsidRPr="001D3665">
        <w:t xml:space="preserve"> som er omfatta av CBAM, men </w:t>
      </w:r>
      <w:proofErr w:type="spellStart"/>
      <w:r w:rsidRPr="001D3665">
        <w:t>påpeiker</w:t>
      </w:r>
      <w:proofErr w:type="spellEnd"/>
      <w:r w:rsidRPr="001D3665">
        <w:t xml:space="preserve"> at ordninga òg er </w:t>
      </w:r>
      <w:proofErr w:type="spellStart"/>
      <w:r w:rsidRPr="001D3665">
        <w:t>naudsynt</w:t>
      </w:r>
      <w:proofErr w:type="spellEnd"/>
      <w:r w:rsidRPr="001D3665">
        <w:t xml:space="preserve"> for andre EØS-relevante EU-</w:t>
      </w:r>
      <w:proofErr w:type="spellStart"/>
      <w:r w:rsidRPr="001D3665">
        <w:t>forordningar</w:t>
      </w:r>
      <w:proofErr w:type="spellEnd"/>
      <w:r w:rsidRPr="001D3665">
        <w:t xml:space="preserve"> som krev EORI-identifikasjonsnummer. Miljødirektoratet syner </w:t>
      </w:r>
      <w:proofErr w:type="spellStart"/>
      <w:r w:rsidRPr="001D3665">
        <w:t>særleg</w:t>
      </w:r>
      <w:proofErr w:type="spellEnd"/>
      <w:r w:rsidRPr="001D3665">
        <w:t xml:space="preserve"> til avskogingsforordninga (EU) 2023/1115 (EUDR) og økodesignforordninga (EU) 2024/1781.</w:t>
      </w:r>
    </w:p>
    <w:p w14:paraId="3A843C20" w14:textId="77777777" w:rsidR="00BC371A" w:rsidRPr="001D3665" w:rsidRDefault="00BC371A" w:rsidP="001D3665">
      <w:r w:rsidRPr="001D3665">
        <w:rPr>
          <w:rStyle w:val="kursiv"/>
        </w:rPr>
        <w:t>Sjøfartsdirektoratet</w:t>
      </w:r>
      <w:r w:rsidRPr="001D3665">
        <w:t xml:space="preserve"> stiller spørsmål ved om </w:t>
      </w:r>
      <w:proofErr w:type="spellStart"/>
      <w:r w:rsidRPr="001D3665">
        <w:t>ein</w:t>
      </w:r>
      <w:proofErr w:type="spellEnd"/>
      <w:r w:rsidRPr="001D3665">
        <w:t xml:space="preserve"> kan forstå ordlyden «identifikasjonsnummer» i framlegget til § 7-22 som til dømes produsentkode som vert brukt for </w:t>
      </w:r>
      <w:proofErr w:type="spellStart"/>
      <w:r w:rsidRPr="001D3665">
        <w:t>produsentar</w:t>
      </w:r>
      <w:proofErr w:type="spellEnd"/>
      <w:r w:rsidRPr="001D3665">
        <w:t xml:space="preserve"> av fritidsfartøy. </w:t>
      </w:r>
      <w:proofErr w:type="spellStart"/>
      <w:r w:rsidRPr="001D3665">
        <w:t>Desse</w:t>
      </w:r>
      <w:proofErr w:type="spellEnd"/>
      <w:r w:rsidRPr="001D3665">
        <w:t xml:space="preserve"> fungerer òg som </w:t>
      </w:r>
      <w:proofErr w:type="spellStart"/>
      <w:r w:rsidRPr="001D3665">
        <w:t>eit</w:t>
      </w:r>
      <w:proofErr w:type="spellEnd"/>
      <w:r w:rsidRPr="001D3665">
        <w:t xml:space="preserve"> identifikasjonsnummer i </w:t>
      </w:r>
      <w:proofErr w:type="spellStart"/>
      <w:r w:rsidRPr="001D3665">
        <w:t>samanheng</w:t>
      </w:r>
      <w:proofErr w:type="spellEnd"/>
      <w:r w:rsidRPr="001D3665">
        <w:t xml:space="preserve"> med fritidsbåtdirektivet. </w:t>
      </w:r>
      <w:proofErr w:type="spellStart"/>
      <w:r w:rsidRPr="001D3665">
        <w:t>Vidare</w:t>
      </w:r>
      <w:proofErr w:type="spellEnd"/>
      <w:r w:rsidRPr="001D3665">
        <w:t xml:space="preserve"> meiner Sjøfartsdirektoratet at det er </w:t>
      </w:r>
      <w:proofErr w:type="spellStart"/>
      <w:r w:rsidRPr="001D3665">
        <w:t>føremålstenleg</w:t>
      </w:r>
      <w:proofErr w:type="spellEnd"/>
      <w:r w:rsidRPr="001D3665">
        <w:t xml:space="preserve"> at relevante tilsynsstyresmakter får tilgang til det nye registeret, og at </w:t>
      </w:r>
      <w:proofErr w:type="spellStart"/>
      <w:r w:rsidRPr="001D3665">
        <w:t>ein</w:t>
      </w:r>
      <w:proofErr w:type="spellEnd"/>
      <w:r w:rsidRPr="001D3665">
        <w:t xml:space="preserve"> må </w:t>
      </w:r>
      <w:proofErr w:type="spellStart"/>
      <w:r w:rsidRPr="001D3665">
        <w:t>gjere</w:t>
      </w:r>
      <w:proofErr w:type="spellEnd"/>
      <w:r w:rsidRPr="001D3665">
        <w:t xml:space="preserve"> </w:t>
      </w:r>
      <w:proofErr w:type="spellStart"/>
      <w:r w:rsidRPr="001D3665">
        <w:t>klårt</w:t>
      </w:r>
      <w:proofErr w:type="spellEnd"/>
      <w:r w:rsidRPr="001D3665">
        <w:t xml:space="preserve"> kva som ligg i omgrepet «aktør».</w:t>
      </w:r>
    </w:p>
    <w:p w14:paraId="7E037AC0" w14:textId="77777777" w:rsidR="00BC371A" w:rsidRPr="001D3665" w:rsidRDefault="00BC371A" w:rsidP="001D3665">
      <w:r w:rsidRPr="001D3665">
        <w:rPr>
          <w:rStyle w:val="kursiv"/>
        </w:rPr>
        <w:t>Longyearbyen lokalstyre</w:t>
      </w:r>
      <w:r w:rsidRPr="001D3665">
        <w:t xml:space="preserve"> viser til at det på Svalbard er både private og </w:t>
      </w:r>
      <w:proofErr w:type="spellStart"/>
      <w:r w:rsidRPr="001D3665">
        <w:t>offentlege</w:t>
      </w:r>
      <w:proofErr w:type="spellEnd"/>
      <w:r w:rsidRPr="001D3665">
        <w:t xml:space="preserve"> </w:t>
      </w:r>
      <w:proofErr w:type="spellStart"/>
      <w:r w:rsidRPr="001D3665">
        <w:t>aktørar</w:t>
      </w:r>
      <w:proofErr w:type="spellEnd"/>
      <w:r w:rsidRPr="001D3665">
        <w:t xml:space="preserve"> som har vareflyt med </w:t>
      </w:r>
      <w:proofErr w:type="spellStart"/>
      <w:r w:rsidRPr="001D3665">
        <w:t>Noreg</w:t>
      </w:r>
      <w:proofErr w:type="spellEnd"/>
      <w:r w:rsidRPr="001D3665">
        <w:t xml:space="preserve">, EU og tredjeland, og spør korleis det foreslåtte registeret vil </w:t>
      </w:r>
      <w:proofErr w:type="spellStart"/>
      <w:r w:rsidRPr="001D3665">
        <w:t>påverke</w:t>
      </w:r>
      <w:proofErr w:type="spellEnd"/>
      <w:r w:rsidRPr="001D3665">
        <w:t xml:space="preserve"> vareflyten til og </w:t>
      </w:r>
      <w:proofErr w:type="spellStart"/>
      <w:r w:rsidRPr="001D3665">
        <w:t>frå</w:t>
      </w:r>
      <w:proofErr w:type="spellEnd"/>
      <w:r w:rsidRPr="001D3665">
        <w:t xml:space="preserve"> Svalbard.</w:t>
      </w:r>
    </w:p>
    <w:p w14:paraId="668923DD" w14:textId="77777777" w:rsidR="00BC371A" w:rsidRPr="001D3665" w:rsidRDefault="00BC371A" w:rsidP="001D3665">
      <w:r w:rsidRPr="001D3665">
        <w:rPr>
          <w:rStyle w:val="kursiv"/>
        </w:rPr>
        <w:t>NHO Logistikk og Transport (NHO LT)</w:t>
      </w:r>
      <w:r w:rsidRPr="001D3665">
        <w:t xml:space="preserve"> </w:t>
      </w:r>
      <w:proofErr w:type="spellStart"/>
      <w:r w:rsidRPr="001D3665">
        <w:t>peiker</w:t>
      </w:r>
      <w:proofErr w:type="spellEnd"/>
      <w:r w:rsidRPr="001D3665">
        <w:t xml:space="preserve"> på at norske transport- og logistikkselskap </w:t>
      </w:r>
      <w:proofErr w:type="spellStart"/>
      <w:r w:rsidRPr="001D3665">
        <w:t>allereie</w:t>
      </w:r>
      <w:proofErr w:type="spellEnd"/>
      <w:r w:rsidRPr="001D3665">
        <w:t xml:space="preserve"> treng </w:t>
      </w:r>
      <w:proofErr w:type="spellStart"/>
      <w:r w:rsidRPr="001D3665">
        <w:t>eit</w:t>
      </w:r>
      <w:proofErr w:type="spellEnd"/>
      <w:r w:rsidRPr="001D3665">
        <w:t xml:space="preserve"> identifikasjonsnummer for å nytte EU sine datasystem, som til dømes systemet ICS2. </w:t>
      </w:r>
      <w:proofErr w:type="spellStart"/>
      <w:r w:rsidRPr="001D3665">
        <w:t>Sidan</w:t>
      </w:r>
      <w:proofErr w:type="spellEnd"/>
      <w:r w:rsidRPr="001D3665">
        <w:t xml:space="preserve"> norske styresmakter </w:t>
      </w:r>
      <w:proofErr w:type="spellStart"/>
      <w:r w:rsidRPr="001D3665">
        <w:t>ikkje</w:t>
      </w:r>
      <w:proofErr w:type="spellEnd"/>
      <w:r w:rsidRPr="001D3665">
        <w:t xml:space="preserve"> </w:t>
      </w:r>
      <w:proofErr w:type="spellStart"/>
      <w:r w:rsidRPr="001D3665">
        <w:t>tidlegare</w:t>
      </w:r>
      <w:proofErr w:type="spellEnd"/>
      <w:r w:rsidRPr="001D3665">
        <w:t xml:space="preserve"> har </w:t>
      </w:r>
      <w:proofErr w:type="spellStart"/>
      <w:r w:rsidRPr="001D3665">
        <w:t>kunna</w:t>
      </w:r>
      <w:proofErr w:type="spellEnd"/>
      <w:r w:rsidRPr="001D3665">
        <w:t xml:space="preserve"> utferda slike nummer, har norske </w:t>
      </w:r>
      <w:proofErr w:type="spellStart"/>
      <w:r w:rsidRPr="001D3665">
        <w:t>verksemder</w:t>
      </w:r>
      <w:proofErr w:type="spellEnd"/>
      <w:r w:rsidRPr="001D3665">
        <w:t xml:space="preserve"> </w:t>
      </w:r>
      <w:proofErr w:type="spellStart"/>
      <w:r w:rsidRPr="001D3665">
        <w:t>måtta</w:t>
      </w:r>
      <w:proofErr w:type="spellEnd"/>
      <w:r w:rsidRPr="001D3665">
        <w:t xml:space="preserve"> vende seg til svenske eller danske tollstyresmakter for å få EORI-nummer. NHO LT meiner ei ordning der norske styresmakter tildeler identifikasjonsnummer basert på </w:t>
      </w:r>
      <w:proofErr w:type="spellStart"/>
      <w:r w:rsidRPr="001D3665">
        <w:t>opplysingar</w:t>
      </w:r>
      <w:proofErr w:type="spellEnd"/>
      <w:r w:rsidRPr="001D3665">
        <w:t xml:space="preserve"> i Einingsregisteret, vil effektivisere norsk næringsliv. Dei viser til nye krav til rapportering, mellom anna knytt til CBAM og EUDR, som fører til at </w:t>
      </w:r>
      <w:proofErr w:type="spellStart"/>
      <w:r w:rsidRPr="001D3665">
        <w:t>fleire</w:t>
      </w:r>
      <w:proofErr w:type="spellEnd"/>
      <w:r w:rsidRPr="001D3665">
        <w:t xml:space="preserve"> norske </w:t>
      </w:r>
      <w:proofErr w:type="spellStart"/>
      <w:r w:rsidRPr="001D3665">
        <w:t>verksemder</w:t>
      </w:r>
      <w:proofErr w:type="spellEnd"/>
      <w:r w:rsidRPr="001D3665">
        <w:t xml:space="preserve"> vil ha behov for å knyte seg til EU-system. Behovet </w:t>
      </w:r>
      <w:proofErr w:type="spellStart"/>
      <w:r w:rsidRPr="001D3665">
        <w:t>gjeld</w:t>
      </w:r>
      <w:proofErr w:type="spellEnd"/>
      <w:r w:rsidRPr="001D3665">
        <w:t xml:space="preserve"> både transport- og </w:t>
      </w:r>
      <w:proofErr w:type="spellStart"/>
      <w:r w:rsidRPr="001D3665">
        <w:t>logistikkføretak</w:t>
      </w:r>
      <w:proofErr w:type="spellEnd"/>
      <w:r w:rsidRPr="001D3665">
        <w:t xml:space="preserve"> (</w:t>
      </w:r>
      <w:proofErr w:type="spellStart"/>
      <w:r w:rsidRPr="001D3665">
        <w:t>tollrepresentantar</w:t>
      </w:r>
      <w:proofErr w:type="spellEnd"/>
      <w:r w:rsidRPr="001D3665">
        <w:t xml:space="preserve">) og </w:t>
      </w:r>
      <w:proofErr w:type="spellStart"/>
      <w:r w:rsidRPr="001D3665">
        <w:t>vareeigarar</w:t>
      </w:r>
      <w:proofErr w:type="spellEnd"/>
      <w:r w:rsidRPr="001D3665">
        <w:t xml:space="preserve">. På grunn av det </w:t>
      </w:r>
      <w:proofErr w:type="spellStart"/>
      <w:r w:rsidRPr="001D3665">
        <w:t>aukande</w:t>
      </w:r>
      <w:proofErr w:type="spellEnd"/>
      <w:r w:rsidRPr="001D3665">
        <w:t xml:space="preserve"> behovet for identifikasjonsnummer, framstår det som </w:t>
      </w:r>
      <w:proofErr w:type="spellStart"/>
      <w:r w:rsidRPr="001D3665">
        <w:t>tenleg</w:t>
      </w:r>
      <w:proofErr w:type="spellEnd"/>
      <w:r w:rsidRPr="001D3665">
        <w:t xml:space="preserve"> å opprette ei norsk ordning for dette.</w:t>
      </w:r>
    </w:p>
    <w:p w14:paraId="3631C8E7" w14:textId="77777777" w:rsidR="00BC371A" w:rsidRPr="001D3665" w:rsidRDefault="00BC371A" w:rsidP="001D3665">
      <w:r w:rsidRPr="001D3665">
        <w:rPr>
          <w:rStyle w:val="kursiv"/>
        </w:rPr>
        <w:t>Norsk Industri og Treindustrien</w:t>
      </w:r>
      <w:r w:rsidRPr="001D3665">
        <w:t xml:space="preserve"> </w:t>
      </w:r>
      <w:proofErr w:type="spellStart"/>
      <w:r w:rsidRPr="001D3665">
        <w:t>oppmodar</w:t>
      </w:r>
      <w:proofErr w:type="spellEnd"/>
      <w:r w:rsidRPr="001D3665">
        <w:t xml:space="preserve"> om at Tolletaten sitt register bør </w:t>
      </w:r>
      <w:proofErr w:type="spellStart"/>
      <w:r w:rsidRPr="001D3665">
        <w:t>vere</w:t>
      </w:r>
      <w:proofErr w:type="spellEnd"/>
      <w:r w:rsidRPr="001D3665">
        <w:t xml:space="preserve"> enkelt i bruk og knytt til </w:t>
      </w:r>
      <w:proofErr w:type="spellStart"/>
      <w:r w:rsidRPr="001D3665">
        <w:t>eksisterande</w:t>
      </w:r>
      <w:proofErr w:type="spellEnd"/>
      <w:r w:rsidRPr="001D3665">
        <w:t xml:space="preserve"> informasjon via organisasjonsnummer i </w:t>
      </w:r>
      <w:proofErr w:type="spellStart"/>
      <w:r w:rsidRPr="001D3665">
        <w:t>Altinn</w:t>
      </w:r>
      <w:proofErr w:type="spellEnd"/>
      <w:r w:rsidRPr="001D3665">
        <w:t xml:space="preserve">, slik at den administrative og økonomiske kostnaden vert </w:t>
      </w:r>
      <w:proofErr w:type="spellStart"/>
      <w:r w:rsidRPr="001D3665">
        <w:t>lågast</w:t>
      </w:r>
      <w:proofErr w:type="spellEnd"/>
      <w:r w:rsidRPr="001D3665">
        <w:t xml:space="preserve"> </w:t>
      </w:r>
      <w:proofErr w:type="spellStart"/>
      <w:r w:rsidRPr="001D3665">
        <w:t>mogleg</w:t>
      </w:r>
      <w:proofErr w:type="spellEnd"/>
      <w:r w:rsidRPr="001D3665">
        <w:t>.</w:t>
      </w:r>
    </w:p>
    <w:p w14:paraId="2EF503CF" w14:textId="77777777" w:rsidR="00BC371A" w:rsidRPr="001D3665" w:rsidRDefault="00BC371A" w:rsidP="001D3665">
      <w:pPr>
        <w:pStyle w:val="Overskrift2"/>
      </w:pPr>
      <w:proofErr w:type="spellStart"/>
      <w:r w:rsidRPr="001D3665">
        <w:t>Gjeldande</w:t>
      </w:r>
      <w:proofErr w:type="spellEnd"/>
      <w:r w:rsidRPr="001D3665">
        <w:t xml:space="preserve"> rett</w:t>
      </w:r>
    </w:p>
    <w:p w14:paraId="089FF764" w14:textId="77777777" w:rsidR="00BC371A" w:rsidRPr="001D3665" w:rsidRDefault="00BC371A" w:rsidP="001D3665">
      <w:r w:rsidRPr="001D3665">
        <w:t xml:space="preserve">Det </w:t>
      </w:r>
      <w:proofErr w:type="spellStart"/>
      <w:r w:rsidRPr="001D3665">
        <w:t>finst</w:t>
      </w:r>
      <w:proofErr w:type="spellEnd"/>
      <w:r w:rsidRPr="001D3665">
        <w:t xml:space="preserve"> </w:t>
      </w:r>
      <w:proofErr w:type="spellStart"/>
      <w:r w:rsidRPr="001D3665">
        <w:t>ikkje</w:t>
      </w:r>
      <w:proofErr w:type="spellEnd"/>
      <w:r w:rsidRPr="001D3665">
        <w:t xml:space="preserve"> ei registreringsordning i Tolletaten der </w:t>
      </w:r>
      <w:proofErr w:type="spellStart"/>
      <w:r w:rsidRPr="001D3665">
        <w:t>aktørar</w:t>
      </w:r>
      <w:proofErr w:type="spellEnd"/>
      <w:r w:rsidRPr="001D3665">
        <w:t xml:space="preserve"> i </w:t>
      </w:r>
      <w:proofErr w:type="spellStart"/>
      <w:r w:rsidRPr="001D3665">
        <w:t>Noreg</w:t>
      </w:r>
      <w:proofErr w:type="spellEnd"/>
      <w:r w:rsidRPr="001D3665">
        <w:t xml:space="preserve"> kan få tildelt </w:t>
      </w:r>
      <w:proofErr w:type="spellStart"/>
      <w:r w:rsidRPr="001D3665">
        <w:t>eit</w:t>
      </w:r>
      <w:proofErr w:type="spellEnd"/>
      <w:r w:rsidRPr="001D3665">
        <w:t xml:space="preserve"> identifikasjonsnummer som </w:t>
      </w:r>
      <w:proofErr w:type="spellStart"/>
      <w:r w:rsidRPr="001D3665">
        <w:t>ein</w:t>
      </w:r>
      <w:proofErr w:type="spellEnd"/>
      <w:r w:rsidRPr="001D3665">
        <w:t xml:space="preserve"> kan nytte i staden for EUs EORI-nummer.</w:t>
      </w:r>
    </w:p>
    <w:p w14:paraId="7BE26CF9" w14:textId="77777777" w:rsidR="00BC371A" w:rsidRPr="001D3665" w:rsidRDefault="00BC371A" w:rsidP="001D3665">
      <w:proofErr w:type="spellStart"/>
      <w:r w:rsidRPr="001D3665">
        <w:t>Grunnleggjande</w:t>
      </w:r>
      <w:proofErr w:type="spellEnd"/>
      <w:r w:rsidRPr="001D3665">
        <w:t xml:space="preserve"> </w:t>
      </w:r>
      <w:proofErr w:type="spellStart"/>
      <w:r w:rsidRPr="001D3665">
        <w:t>opplysingar</w:t>
      </w:r>
      <w:proofErr w:type="spellEnd"/>
      <w:r w:rsidRPr="001D3665">
        <w:t xml:space="preserve"> om </w:t>
      </w:r>
      <w:proofErr w:type="spellStart"/>
      <w:r w:rsidRPr="001D3665">
        <w:t>verksemder</w:t>
      </w:r>
      <w:proofErr w:type="spellEnd"/>
      <w:r w:rsidRPr="001D3665">
        <w:t xml:space="preserve"> og </w:t>
      </w:r>
      <w:proofErr w:type="spellStart"/>
      <w:r w:rsidRPr="001D3665">
        <w:t>organisasjonar</w:t>
      </w:r>
      <w:proofErr w:type="spellEnd"/>
      <w:r w:rsidRPr="001D3665">
        <w:t xml:space="preserve"> i </w:t>
      </w:r>
      <w:proofErr w:type="spellStart"/>
      <w:r w:rsidRPr="001D3665">
        <w:t>Noreg</w:t>
      </w:r>
      <w:proofErr w:type="spellEnd"/>
      <w:r w:rsidRPr="001D3665">
        <w:t xml:space="preserve"> </w:t>
      </w:r>
      <w:proofErr w:type="spellStart"/>
      <w:r w:rsidRPr="001D3665">
        <w:t>finst</w:t>
      </w:r>
      <w:proofErr w:type="spellEnd"/>
      <w:r w:rsidRPr="001D3665">
        <w:t xml:space="preserve"> i Einingsregisteret, som vert forvalta av </w:t>
      </w:r>
      <w:proofErr w:type="spellStart"/>
      <w:r w:rsidRPr="001D3665">
        <w:t>Brønnøysundregistera</w:t>
      </w:r>
      <w:proofErr w:type="spellEnd"/>
      <w:r w:rsidRPr="001D3665">
        <w:t xml:space="preserve">. Einingsregisteret er regulert gjennom lov 20. juni 2025 nr. 105 om Enhetsregisteret (enhetsregisterloven). </w:t>
      </w:r>
      <w:proofErr w:type="spellStart"/>
      <w:r w:rsidRPr="001D3665">
        <w:t>Føremålet</w:t>
      </w:r>
      <w:proofErr w:type="spellEnd"/>
      <w:r w:rsidRPr="001D3665">
        <w:t xml:space="preserve"> med lova er å </w:t>
      </w:r>
      <w:proofErr w:type="spellStart"/>
      <w:r w:rsidRPr="001D3665">
        <w:t>leggje</w:t>
      </w:r>
      <w:proofErr w:type="spellEnd"/>
      <w:r w:rsidRPr="001D3665">
        <w:t xml:space="preserve"> til rette for effektiv bruk og samordning av grunnlagsdata om juridiske </w:t>
      </w:r>
      <w:proofErr w:type="spellStart"/>
      <w:r w:rsidRPr="001D3665">
        <w:t>personar</w:t>
      </w:r>
      <w:proofErr w:type="spellEnd"/>
      <w:r w:rsidRPr="001D3665">
        <w:t xml:space="preserve">, </w:t>
      </w:r>
      <w:proofErr w:type="spellStart"/>
      <w:r w:rsidRPr="001D3665">
        <w:t>enkeltpersonføretak</w:t>
      </w:r>
      <w:proofErr w:type="spellEnd"/>
      <w:r w:rsidRPr="001D3665">
        <w:t xml:space="preserve"> og andre </w:t>
      </w:r>
      <w:proofErr w:type="spellStart"/>
      <w:r w:rsidRPr="001D3665">
        <w:t>einingar</w:t>
      </w:r>
      <w:proofErr w:type="spellEnd"/>
      <w:r w:rsidRPr="001D3665">
        <w:t xml:space="preserve"> som er registrerte, gjennom </w:t>
      </w:r>
      <w:proofErr w:type="spellStart"/>
      <w:r w:rsidRPr="001D3665">
        <w:t>eit</w:t>
      </w:r>
      <w:proofErr w:type="spellEnd"/>
      <w:r w:rsidRPr="001D3665">
        <w:t xml:space="preserve"> </w:t>
      </w:r>
      <w:proofErr w:type="spellStart"/>
      <w:r w:rsidRPr="001D3665">
        <w:t>landsdekkjande</w:t>
      </w:r>
      <w:proofErr w:type="spellEnd"/>
      <w:r w:rsidRPr="001D3665">
        <w:t xml:space="preserve"> einingsregister. Lova skal </w:t>
      </w:r>
      <w:proofErr w:type="spellStart"/>
      <w:r w:rsidRPr="001D3665">
        <w:t>tryggje</w:t>
      </w:r>
      <w:proofErr w:type="spellEnd"/>
      <w:r w:rsidRPr="001D3665">
        <w:t xml:space="preserve"> at både </w:t>
      </w:r>
      <w:proofErr w:type="spellStart"/>
      <w:r w:rsidRPr="001D3665">
        <w:t>allmenta</w:t>
      </w:r>
      <w:proofErr w:type="spellEnd"/>
      <w:r w:rsidRPr="001D3665">
        <w:t xml:space="preserve"> og </w:t>
      </w:r>
      <w:proofErr w:type="spellStart"/>
      <w:r w:rsidRPr="001D3665">
        <w:t>offentlege</w:t>
      </w:r>
      <w:proofErr w:type="spellEnd"/>
      <w:r w:rsidRPr="001D3665">
        <w:t xml:space="preserve"> styresmakter får tilgang til grunnlagsdata som er </w:t>
      </w:r>
      <w:proofErr w:type="spellStart"/>
      <w:r w:rsidRPr="001D3665">
        <w:t>nærare</w:t>
      </w:r>
      <w:proofErr w:type="spellEnd"/>
      <w:r w:rsidRPr="001D3665">
        <w:t xml:space="preserve"> registrerte i Einingsregisteret.</w:t>
      </w:r>
    </w:p>
    <w:p w14:paraId="387B8EC2" w14:textId="77777777" w:rsidR="00BC371A" w:rsidRPr="001D3665" w:rsidRDefault="00BC371A" w:rsidP="001D3665">
      <w:r w:rsidRPr="001D3665">
        <w:lastRenderedPageBreak/>
        <w:t xml:space="preserve">Ved nyregistrering i Einingsregisteret tildeler og registrerer Einingsregisteret </w:t>
      </w:r>
      <w:proofErr w:type="spellStart"/>
      <w:r w:rsidRPr="001D3665">
        <w:t>eit</w:t>
      </w:r>
      <w:proofErr w:type="spellEnd"/>
      <w:r w:rsidRPr="001D3665">
        <w:t xml:space="preserve"> organisasjonsnummer til eininga, jf. enhetsregisterloven § 6-2. I Einingsregisteret vert det registrert </w:t>
      </w:r>
      <w:proofErr w:type="spellStart"/>
      <w:r w:rsidRPr="001D3665">
        <w:t>opplysingar</w:t>
      </w:r>
      <w:proofErr w:type="spellEnd"/>
      <w:r w:rsidRPr="001D3665">
        <w:t xml:space="preserve"> som </w:t>
      </w:r>
      <w:proofErr w:type="spellStart"/>
      <w:r w:rsidRPr="001D3665">
        <w:t>føretaksnamn</w:t>
      </w:r>
      <w:proofErr w:type="spellEnd"/>
      <w:r w:rsidRPr="001D3665">
        <w:t xml:space="preserve"> eller </w:t>
      </w:r>
      <w:proofErr w:type="spellStart"/>
      <w:r w:rsidRPr="001D3665">
        <w:t>namn</w:t>
      </w:r>
      <w:proofErr w:type="spellEnd"/>
      <w:r w:rsidRPr="001D3665">
        <w:t xml:space="preserve"> på eininga, organisasjonsform, adresse, aktivitet i </w:t>
      </w:r>
      <w:proofErr w:type="spellStart"/>
      <w:r w:rsidRPr="001D3665">
        <w:t>verksemda</w:t>
      </w:r>
      <w:proofErr w:type="spellEnd"/>
      <w:r w:rsidRPr="001D3665">
        <w:t xml:space="preserve">, elektronisk varslingsadresse, </w:t>
      </w:r>
      <w:proofErr w:type="spellStart"/>
      <w:r w:rsidRPr="001D3665">
        <w:t>talet</w:t>
      </w:r>
      <w:proofErr w:type="spellEnd"/>
      <w:r w:rsidRPr="001D3665">
        <w:t xml:space="preserve"> på </w:t>
      </w:r>
      <w:proofErr w:type="gramStart"/>
      <w:r w:rsidRPr="001D3665">
        <w:t>tilsette</w:t>
      </w:r>
      <w:proofErr w:type="gramEnd"/>
      <w:r w:rsidRPr="001D3665">
        <w:t xml:space="preserve">, næringskode og institusjonell sektorkode. </w:t>
      </w:r>
      <w:proofErr w:type="spellStart"/>
      <w:r w:rsidRPr="001D3665">
        <w:t>Offentlege</w:t>
      </w:r>
      <w:proofErr w:type="spellEnd"/>
      <w:r w:rsidRPr="001D3665">
        <w:t xml:space="preserve"> organ skal bruke informasjonen som er registrert i Einingsregisteret i </w:t>
      </w:r>
      <w:proofErr w:type="spellStart"/>
      <w:r w:rsidRPr="001D3665">
        <w:t>si</w:t>
      </w:r>
      <w:proofErr w:type="spellEnd"/>
      <w:r w:rsidRPr="001D3665">
        <w:t xml:space="preserve"> </w:t>
      </w:r>
      <w:proofErr w:type="spellStart"/>
      <w:r w:rsidRPr="001D3665">
        <w:t>verksemd</w:t>
      </w:r>
      <w:proofErr w:type="spellEnd"/>
      <w:r w:rsidRPr="001D3665">
        <w:t>, jf. lova § 2-1.</w:t>
      </w:r>
    </w:p>
    <w:p w14:paraId="77207D84" w14:textId="77777777" w:rsidR="00BC371A" w:rsidRPr="001D3665" w:rsidRDefault="00BC371A" w:rsidP="001D3665">
      <w:r w:rsidRPr="001D3665">
        <w:t xml:space="preserve">Lova gjev alle rett til innsyn i registrerte </w:t>
      </w:r>
      <w:proofErr w:type="spellStart"/>
      <w:r w:rsidRPr="001D3665">
        <w:t>opplysingar</w:t>
      </w:r>
      <w:proofErr w:type="spellEnd"/>
      <w:r w:rsidRPr="001D3665">
        <w:t xml:space="preserve">, med visse unntak, og </w:t>
      </w:r>
      <w:proofErr w:type="spellStart"/>
      <w:r w:rsidRPr="001D3665">
        <w:t>opnar</w:t>
      </w:r>
      <w:proofErr w:type="spellEnd"/>
      <w:r w:rsidRPr="001D3665">
        <w:t xml:space="preserve"> for å utveksle </w:t>
      </w:r>
      <w:proofErr w:type="spellStart"/>
      <w:r w:rsidRPr="001D3665">
        <w:t>opplysingar</w:t>
      </w:r>
      <w:proofErr w:type="spellEnd"/>
      <w:r w:rsidRPr="001D3665">
        <w:t xml:space="preserve"> med andre register og </w:t>
      </w:r>
      <w:proofErr w:type="spellStart"/>
      <w:r w:rsidRPr="001D3665">
        <w:t>offentlege</w:t>
      </w:r>
      <w:proofErr w:type="spellEnd"/>
      <w:r w:rsidRPr="001D3665">
        <w:t xml:space="preserve"> styresmakter.</w:t>
      </w:r>
    </w:p>
    <w:p w14:paraId="347C3760" w14:textId="77777777" w:rsidR="00BC371A" w:rsidRPr="001D3665" w:rsidRDefault="00BC371A" w:rsidP="001D3665">
      <w:pPr>
        <w:pStyle w:val="Overskrift2"/>
      </w:pPr>
      <w:proofErr w:type="spellStart"/>
      <w:r w:rsidRPr="001D3665">
        <w:t>Vurderingar</w:t>
      </w:r>
      <w:proofErr w:type="spellEnd"/>
      <w:r w:rsidRPr="001D3665">
        <w:t xml:space="preserve"> og framlegg</w:t>
      </w:r>
    </w:p>
    <w:p w14:paraId="1C65329F" w14:textId="77777777" w:rsidR="00BC371A" w:rsidRPr="001D3665" w:rsidRDefault="00BC371A" w:rsidP="001D3665">
      <w:r w:rsidRPr="001D3665">
        <w:t xml:space="preserve">EU-rettsakter som utløyser plikter ved inn- eller utførsel av varer til eller </w:t>
      </w:r>
      <w:proofErr w:type="spellStart"/>
      <w:r w:rsidRPr="001D3665">
        <w:t>frå</w:t>
      </w:r>
      <w:proofErr w:type="spellEnd"/>
      <w:r w:rsidRPr="001D3665">
        <w:t xml:space="preserve"> EØS-området, kan </w:t>
      </w:r>
      <w:proofErr w:type="spellStart"/>
      <w:r w:rsidRPr="001D3665">
        <w:t>krevje</w:t>
      </w:r>
      <w:proofErr w:type="spellEnd"/>
      <w:r w:rsidRPr="001D3665">
        <w:t xml:space="preserve"> at </w:t>
      </w:r>
      <w:proofErr w:type="spellStart"/>
      <w:r w:rsidRPr="001D3665">
        <w:t>aktørane</w:t>
      </w:r>
      <w:proofErr w:type="spellEnd"/>
      <w:r w:rsidRPr="001D3665">
        <w:t xml:space="preserve"> identifiserer seg med </w:t>
      </w:r>
      <w:proofErr w:type="spellStart"/>
      <w:r w:rsidRPr="001D3665">
        <w:t>eit</w:t>
      </w:r>
      <w:proofErr w:type="spellEnd"/>
      <w:r w:rsidRPr="001D3665">
        <w:t xml:space="preserve"> EORI-nummer. Då må </w:t>
      </w:r>
      <w:proofErr w:type="spellStart"/>
      <w:r w:rsidRPr="001D3665">
        <w:t>aktørar</w:t>
      </w:r>
      <w:proofErr w:type="spellEnd"/>
      <w:r w:rsidRPr="001D3665">
        <w:t xml:space="preserve"> som innfører varer til </w:t>
      </w:r>
      <w:proofErr w:type="spellStart"/>
      <w:r w:rsidRPr="001D3665">
        <w:t>Noreg</w:t>
      </w:r>
      <w:proofErr w:type="spellEnd"/>
      <w:r w:rsidRPr="001D3665">
        <w:t xml:space="preserve"> </w:t>
      </w:r>
      <w:proofErr w:type="spellStart"/>
      <w:r w:rsidRPr="001D3665">
        <w:t>frå</w:t>
      </w:r>
      <w:proofErr w:type="spellEnd"/>
      <w:r w:rsidRPr="001D3665">
        <w:t xml:space="preserve"> tredjeland, identifisere seg med </w:t>
      </w:r>
      <w:proofErr w:type="spellStart"/>
      <w:r w:rsidRPr="001D3665">
        <w:t>ein</w:t>
      </w:r>
      <w:proofErr w:type="spellEnd"/>
      <w:r w:rsidRPr="001D3665">
        <w:t xml:space="preserve"> norsk identifikator. Det er òg </w:t>
      </w:r>
      <w:proofErr w:type="spellStart"/>
      <w:r w:rsidRPr="001D3665">
        <w:t>naudsynt</w:t>
      </w:r>
      <w:proofErr w:type="spellEnd"/>
      <w:r w:rsidRPr="001D3665">
        <w:t xml:space="preserve"> med </w:t>
      </w:r>
      <w:proofErr w:type="spellStart"/>
      <w:r w:rsidRPr="001D3665">
        <w:t>ein</w:t>
      </w:r>
      <w:proofErr w:type="spellEnd"/>
      <w:r w:rsidRPr="001D3665">
        <w:t xml:space="preserve"> norsk identifikator dersom </w:t>
      </w:r>
      <w:proofErr w:type="spellStart"/>
      <w:r w:rsidRPr="001D3665">
        <w:t>desse</w:t>
      </w:r>
      <w:proofErr w:type="spellEnd"/>
      <w:r w:rsidRPr="001D3665">
        <w:t xml:space="preserve"> </w:t>
      </w:r>
      <w:proofErr w:type="spellStart"/>
      <w:r w:rsidRPr="001D3665">
        <w:t>aktørane</w:t>
      </w:r>
      <w:proofErr w:type="spellEnd"/>
      <w:r w:rsidRPr="001D3665">
        <w:t xml:space="preserve"> må ha tilgang til IT-system i EU. Behovet for slik tilgang avheng av den </w:t>
      </w:r>
      <w:proofErr w:type="spellStart"/>
      <w:r w:rsidRPr="001D3665">
        <w:t>einskilde</w:t>
      </w:r>
      <w:proofErr w:type="spellEnd"/>
      <w:r w:rsidRPr="001D3665">
        <w:t xml:space="preserve"> rettsakta.</w:t>
      </w:r>
    </w:p>
    <w:p w14:paraId="7153C1F2" w14:textId="77777777" w:rsidR="00BC371A" w:rsidRPr="001D3665" w:rsidRDefault="00BC371A" w:rsidP="001D3665">
      <w:proofErr w:type="spellStart"/>
      <w:r w:rsidRPr="001D3665">
        <w:t>Grunnleggjande</w:t>
      </w:r>
      <w:proofErr w:type="spellEnd"/>
      <w:r w:rsidRPr="001D3665">
        <w:t xml:space="preserve"> </w:t>
      </w:r>
      <w:proofErr w:type="spellStart"/>
      <w:r w:rsidRPr="001D3665">
        <w:t>opplysingar</w:t>
      </w:r>
      <w:proofErr w:type="spellEnd"/>
      <w:r w:rsidRPr="001D3665">
        <w:t xml:space="preserve"> om </w:t>
      </w:r>
      <w:proofErr w:type="spellStart"/>
      <w:r w:rsidRPr="001D3665">
        <w:t>verksemder</w:t>
      </w:r>
      <w:proofErr w:type="spellEnd"/>
      <w:r w:rsidRPr="001D3665">
        <w:t xml:space="preserve"> og </w:t>
      </w:r>
      <w:proofErr w:type="spellStart"/>
      <w:r w:rsidRPr="001D3665">
        <w:t>organisasjonar</w:t>
      </w:r>
      <w:proofErr w:type="spellEnd"/>
      <w:r w:rsidRPr="001D3665">
        <w:t xml:space="preserve"> i </w:t>
      </w:r>
      <w:proofErr w:type="spellStart"/>
      <w:r w:rsidRPr="001D3665">
        <w:t>Noreg</w:t>
      </w:r>
      <w:proofErr w:type="spellEnd"/>
      <w:r w:rsidRPr="001D3665">
        <w:t xml:space="preserve"> </w:t>
      </w:r>
      <w:proofErr w:type="spellStart"/>
      <w:r w:rsidRPr="001D3665">
        <w:t>finst</w:t>
      </w:r>
      <w:proofErr w:type="spellEnd"/>
      <w:r w:rsidRPr="001D3665">
        <w:t xml:space="preserve"> i Einingsregisteret. Departementet vurderer det som </w:t>
      </w:r>
      <w:proofErr w:type="spellStart"/>
      <w:r w:rsidRPr="001D3665">
        <w:t>føremålstenleg</w:t>
      </w:r>
      <w:proofErr w:type="spellEnd"/>
      <w:r w:rsidRPr="001D3665">
        <w:t xml:space="preserve"> at organisasjonsnummeret til </w:t>
      </w:r>
      <w:proofErr w:type="spellStart"/>
      <w:r w:rsidRPr="001D3665">
        <w:t>aktørane</w:t>
      </w:r>
      <w:proofErr w:type="spellEnd"/>
      <w:r w:rsidRPr="001D3665">
        <w:t xml:space="preserve"> skal </w:t>
      </w:r>
      <w:proofErr w:type="spellStart"/>
      <w:r w:rsidRPr="001D3665">
        <w:t>verte</w:t>
      </w:r>
      <w:proofErr w:type="spellEnd"/>
      <w:r w:rsidRPr="001D3665">
        <w:t xml:space="preserve"> brukt som den norske identifikatoren, i staden for EORI-nummer. Med prefikset NO og </w:t>
      </w:r>
      <w:proofErr w:type="spellStart"/>
      <w:r w:rsidRPr="001D3665">
        <w:t>utan</w:t>
      </w:r>
      <w:proofErr w:type="spellEnd"/>
      <w:r w:rsidRPr="001D3665">
        <w:t xml:space="preserve"> </w:t>
      </w:r>
      <w:proofErr w:type="spellStart"/>
      <w:r w:rsidRPr="001D3665">
        <w:t>spesialteikn</w:t>
      </w:r>
      <w:proofErr w:type="spellEnd"/>
      <w:r w:rsidRPr="001D3665">
        <w:t xml:space="preserve"> er dette </w:t>
      </w:r>
      <w:proofErr w:type="spellStart"/>
      <w:r w:rsidRPr="001D3665">
        <w:t>eit</w:t>
      </w:r>
      <w:proofErr w:type="spellEnd"/>
      <w:r w:rsidRPr="001D3665">
        <w:t xml:space="preserve"> format som EU aksepterer. </w:t>
      </w:r>
      <w:proofErr w:type="spellStart"/>
      <w:r w:rsidRPr="001D3665">
        <w:t>Ein</w:t>
      </w:r>
      <w:proofErr w:type="spellEnd"/>
      <w:r w:rsidRPr="001D3665">
        <w:t xml:space="preserve"> norsk identifikator må oppfylle EU sine formatkrav til EORI-nummer. Dei </w:t>
      </w:r>
      <w:proofErr w:type="spellStart"/>
      <w:r w:rsidRPr="001D3665">
        <w:t>byrjar</w:t>
      </w:r>
      <w:proofErr w:type="spellEnd"/>
      <w:r w:rsidRPr="001D3665">
        <w:t xml:space="preserve"> med </w:t>
      </w:r>
      <w:proofErr w:type="spellStart"/>
      <w:r w:rsidRPr="001D3665">
        <w:t>ein</w:t>
      </w:r>
      <w:proofErr w:type="spellEnd"/>
      <w:r w:rsidRPr="001D3665">
        <w:t xml:space="preserve"> landkode på to </w:t>
      </w:r>
      <w:proofErr w:type="spellStart"/>
      <w:r w:rsidRPr="001D3665">
        <w:t>bokstavar</w:t>
      </w:r>
      <w:proofErr w:type="spellEnd"/>
      <w:r w:rsidRPr="001D3665">
        <w:t xml:space="preserve"> og er elles alfanumeriske med </w:t>
      </w:r>
      <w:proofErr w:type="spellStart"/>
      <w:r w:rsidRPr="001D3665">
        <w:t>opp til</w:t>
      </w:r>
      <w:proofErr w:type="spellEnd"/>
      <w:r w:rsidRPr="001D3665">
        <w:t xml:space="preserve"> 17 </w:t>
      </w:r>
      <w:proofErr w:type="spellStart"/>
      <w:r w:rsidRPr="001D3665">
        <w:t>teikn</w:t>
      </w:r>
      <w:proofErr w:type="spellEnd"/>
      <w:r w:rsidRPr="001D3665">
        <w:t xml:space="preserve"> til </w:t>
      </w:r>
      <w:proofErr w:type="spellStart"/>
      <w:r w:rsidRPr="001D3665">
        <w:t>saman</w:t>
      </w:r>
      <w:proofErr w:type="spellEnd"/>
      <w:r w:rsidRPr="001D3665">
        <w:t xml:space="preserve">. Det vil </w:t>
      </w:r>
      <w:proofErr w:type="spellStart"/>
      <w:r w:rsidRPr="001D3665">
        <w:t>seie</w:t>
      </w:r>
      <w:proofErr w:type="spellEnd"/>
      <w:r w:rsidRPr="001D3665">
        <w:t xml:space="preserve"> at </w:t>
      </w:r>
      <w:proofErr w:type="spellStart"/>
      <w:r w:rsidRPr="001D3665">
        <w:t>eit</w:t>
      </w:r>
      <w:proofErr w:type="spellEnd"/>
      <w:r w:rsidRPr="001D3665">
        <w:t xml:space="preserve"> norsk identifikasjonsnummer </w:t>
      </w:r>
      <w:proofErr w:type="spellStart"/>
      <w:r w:rsidRPr="001D3665">
        <w:t>berre</w:t>
      </w:r>
      <w:proofErr w:type="spellEnd"/>
      <w:r w:rsidRPr="001D3665">
        <w:t xml:space="preserve"> kan bestå av </w:t>
      </w:r>
      <w:proofErr w:type="spellStart"/>
      <w:r w:rsidRPr="001D3665">
        <w:t>bokstavar</w:t>
      </w:r>
      <w:proofErr w:type="spellEnd"/>
      <w:r w:rsidRPr="001D3665">
        <w:t xml:space="preserve"> og tal.</w:t>
      </w:r>
    </w:p>
    <w:p w14:paraId="354445FE" w14:textId="77777777" w:rsidR="00BC371A" w:rsidRPr="001D3665" w:rsidRDefault="00BC371A" w:rsidP="001D3665">
      <w:r w:rsidRPr="001D3665">
        <w:t xml:space="preserve">Det er </w:t>
      </w:r>
      <w:proofErr w:type="spellStart"/>
      <w:r w:rsidRPr="001D3665">
        <w:t>berre</w:t>
      </w:r>
      <w:proofErr w:type="spellEnd"/>
      <w:r w:rsidRPr="001D3665">
        <w:t xml:space="preserve"> </w:t>
      </w:r>
      <w:proofErr w:type="spellStart"/>
      <w:r w:rsidRPr="001D3665">
        <w:t>aktørar</w:t>
      </w:r>
      <w:proofErr w:type="spellEnd"/>
      <w:r w:rsidRPr="001D3665">
        <w:t xml:space="preserve"> som er registrerte i Einingsregisteret, som kan registrere seg hos Tolletaten. Dette </w:t>
      </w:r>
      <w:proofErr w:type="spellStart"/>
      <w:r w:rsidRPr="001D3665">
        <w:t>omfattar</w:t>
      </w:r>
      <w:proofErr w:type="spellEnd"/>
      <w:r w:rsidRPr="001D3665">
        <w:t xml:space="preserve"> </w:t>
      </w:r>
      <w:proofErr w:type="spellStart"/>
      <w:r w:rsidRPr="001D3665">
        <w:t>aktørar</w:t>
      </w:r>
      <w:proofErr w:type="spellEnd"/>
      <w:r w:rsidRPr="001D3665">
        <w:t xml:space="preserve"> som er juridiske </w:t>
      </w:r>
      <w:proofErr w:type="spellStart"/>
      <w:r w:rsidRPr="001D3665">
        <w:t>personar</w:t>
      </w:r>
      <w:proofErr w:type="spellEnd"/>
      <w:r w:rsidRPr="001D3665">
        <w:t xml:space="preserve">, som selskap og </w:t>
      </w:r>
      <w:proofErr w:type="spellStart"/>
      <w:r w:rsidRPr="001D3665">
        <w:t>samvirkeføretak</w:t>
      </w:r>
      <w:proofErr w:type="spellEnd"/>
      <w:r w:rsidRPr="001D3665">
        <w:t xml:space="preserve">, og </w:t>
      </w:r>
      <w:proofErr w:type="spellStart"/>
      <w:r w:rsidRPr="001D3665">
        <w:t>dessutan</w:t>
      </w:r>
      <w:proofErr w:type="spellEnd"/>
      <w:r w:rsidRPr="001D3665">
        <w:t xml:space="preserve"> </w:t>
      </w:r>
      <w:proofErr w:type="spellStart"/>
      <w:r w:rsidRPr="001D3665">
        <w:t>enkeltpersonføretak</w:t>
      </w:r>
      <w:proofErr w:type="spellEnd"/>
      <w:r w:rsidRPr="001D3665">
        <w:t xml:space="preserve">. Eventuell tilgang for fysiske </w:t>
      </w:r>
      <w:proofErr w:type="spellStart"/>
      <w:r w:rsidRPr="001D3665">
        <w:t>personar</w:t>
      </w:r>
      <w:proofErr w:type="spellEnd"/>
      <w:r w:rsidRPr="001D3665">
        <w:t xml:space="preserve"> til å registrere seg i registeret under Tolletaten, er </w:t>
      </w:r>
      <w:proofErr w:type="spellStart"/>
      <w:r w:rsidRPr="001D3665">
        <w:t>ikkje</w:t>
      </w:r>
      <w:proofErr w:type="spellEnd"/>
      <w:r w:rsidRPr="001D3665">
        <w:t xml:space="preserve"> foreslått no. Departementet må vurdere dette </w:t>
      </w:r>
      <w:proofErr w:type="spellStart"/>
      <w:r w:rsidRPr="001D3665">
        <w:t>nærare</w:t>
      </w:r>
      <w:proofErr w:type="spellEnd"/>
      <w:r w:rsidRPr="001D3665">
        <w:t>.</w:t>
      </w:r>
    </w:p>
    <w:p w14:paraId="173DFC77" w14:textId="77777777" w:rsidR="00BC371A" w:rsidRPr="001D3665" w:rsidRDefault="00BC371A" w:rsidP="001D3665">
      <w:r w:rsidRPr="001D3665">
        <w:t xml:space="preserve">I </w:t>
      </w:r>
      <w:proofErr w:type="spellStart"/>
      <w:r w:rsidRPr="001D3665">
        <w:t>høyringa</w:t>
      </w:r>
      <w:proofErr w:type="spellEnd"/>
      <w:r w:rsidRPr="001D3665">
        <w:t xml:space="preserve"> </w:t>
      </w:r>
      <w:proofErr w:type="spellStart"/>
      <w:r w:rsidRPr="001D3665">
        <w:t>vart</w:t>
      </w:r>
      <w:proofErr w:type="spellEnd"/>
      <w:r w:rsidRPr="001D3665">
        <w:t xml:space="preserve"> det stilt spørsmål om det er </w:t>
      </w:r>
      <w:proofErr w:type="spellStart"/>
      <w:r w:rsidRPr="001D3665">
        <w:t>naudsynt</w:t>
      </w:r>
      <w:proofErr w:type="spellEnd"/>
      <w:r w:rsidRPr="001D3665">
        <w:t xml:space="preserve"> å opprette </w:t>
      </w:r>
      <w:proofErr w:type="spellStart"/>
      <w:r w:rsidRPr="001D3665">
        <w:t>eit</w:t>
      </w:r>
      <w:proofErr w:type="spellEnd"/>
      <w:r w:rsidRPr="001D3665">
        <w:t xml:space="preserve"> nytt, eige register i Tolletaten, eller om det er </w:t>
      </w:r>
      <w:proofErr w:type="spellStart"/>
      <w:r w:rsidRPr="001D3665">
        <w:t>tilstrekkeleg</w:t>
      </w:r>
      <w:proofErr w:type="spellEnd"/>
      <w:r w:rsidRPr="001D3665">
        <w:t xml:space="preserve"> at den aktuelle </w:t>
      </w:r>
      <w:proofErr w:type="spellStart"/>
      <w:r w:rsidRPr="001D3665">
        <w:t>verksemda</w:t>
      </w:r>
      <w:proofErr w:type="spellEnd"/>
      <w:r w:rsidRPr="001D3665">
        <w:t xml:space="preserve"> er registrert i Einingsregisteret med </w:t>
      </w:r>
      <w:proofErr w:type="spellStart"/>
      <w:r w:rsidRPr="001D3665">
        <w:t>dei</w:t>
      </w:r>
      <w:proofErr w:type="spellEnd"/>
      <w:r w:rsidRPr="001D3665">
        <w:t xml:space="preserve"> </w:t>
      </w:r>
      <w:proofErr w:type="spellStart"/>
      <w:r w:rsidRPr="001D3665">
        <w:t>opplysingane</w:t>
      </w:r>
      <w:proofErr w:type="spellEnd"/>
      <w:r w:rsidRPr="001D3665">
        <w:t xml:space="preserve"> Tolletaten som minimum treng for å tildele den unike identifikatoren (organisasjonsnummer pluss prefikset NO). Departementet viser til at </w:t>
      </w:r>
      <w:proofErr w:type="spellStart"/>
      <w:r w:rsidRPr="001D3665">
        <w:t>eit</w:t>
      </w:r>
      <w:proofErr w:type="spellEnd"/>
      <w:r w:rsidRPr="001D3665">
        <w:t xml:space="preserve"> register i Tolletaten vil likne EORI-ordninga i EU. Der er det tollstyresmaktene som etter søknad tildeler EORI-nummer og har oversikt over </w:t>
      </w:r>
      <w:proofErr w:type="spellStart"/>
      <w:r w:rsidRPr="001D3665">
        <w:t>aktørane</w:t>
      </w:r>
      <w:proofErr w:type="spellEnd"/>
      <w:r w:rsidRPr="001D3665">
        <w:t xml:space="preserve">. Tolletaten har behov for </w:t>
      </w:r>
      <w:proofErr w:type="spellStart"/>
      <w:r w:rsidRPr="001D3665">
        <w:t>eit</w:t>
      </w:r>
      <w:proofErr w:type="spellEnd"/>
      <w:r w:rsidRPr="001D3665">
        <w:t xml:space="preserve"> register over </w:t>
      </w:r>
      <w:proofErr w:type="spellStart"/>
      <w:r w:rsidRPr="001D3665">
        <w:t>aktørar</w:t>
      </w:r>
      <w:proofErr w:type="spellEnd"/>
      <w:r w:rsidRPr="001D3665">
        <w:t xml:space="preserve"> som har fått dette identifikasjonsnummeret.</w:t>
      </w:r>
    </w:p>
    <w:p w14:paraId="400B16E1" w14:textId="77777777" w:rsidR="00BC371A" w:rsidRPr="001D3665" w:rsidRDefault="00BC371A" w:rsidP="001D3665">
      <w:proofErr w:type="spellStart"/>
      <w:r w:rsidRPr="001D3665">
        <w:t>Ein</w:t>
      </w:r>
      <w:proofErr w:type="spellEnd"/>
      <w:r w:rsidRPr="001D3665">
        <w:t xml:space="preserve"> kan òg nytte </w:t>
      </w:r>
      <w:proofErr w:type="spellStart"/>
      <w:r w:rsidRPr="001D3665">
        <w:t>ein</w:t>
      </w:r>
      <w:proofErr w:type="spellEnd"/>
      <w:r w:rsidRPr="001D3665">
        <w:t xml:space="preserve"> norsk identifikator dersom </w:t>
      </w:r>
      <w:proofErr w:type="spellStart"/>
      <w:r w:rsidRPr="001D3665">
        <w:t>aktørane</w:t>
      </w:r>
      <w:proofErr w:type="spellEnd"/>
      <w:r w:rsidRPr="001D3665">
        <w:t xml:space="preserve"> skal ha tilgang til IT-system i EU. Behovet for tilgang vil avhenge av den </w:t>
      </w:r>
      <w:proofErr w:type="spellStart"/>
      <w:r w:rsidRPr="001D3665">
        <w:t>einskilde</w:t>
      </w:r>
      <w:proofErr w:type="spellEnd"/>
      <w:r w:rsidRPr="001D3665">
        <w:t xml:space="preserve"> rettsakta. CBAM-</w:t>
      </w:r>
      <w:proofErr w:type="spellStart"/>
      <w:r w:rsidRPr="001D3665">
        <w:t>deklarantar</w:t>
      </w:r>
      <w:proofErr w:type="spellEnd"/>
      <w:r w:rsidRPr="001D3665">
        <w:t xml:space="preserve"> må ha tilgang til CBAM-registeret. For å </w:t>
      </w:r>
      <w:proofErr w:type="spellStart"/>
      <w:r w:rsidRPr="001D3665">
        <w:t>gje</w:t>
      </w:r>
      <w:proofErr w:type="spellEnd"/>
      <w:r w:rsidRPr="001D3665">
        <w:t xml:space="preserve"> </w:t>
      </w:r>
      <w:proofErr w:type="spellStart"/>
      <w:r w:rsidRPr="001D3665">
        <w:t>dei</w:t>
      </w:r>
      <w:proofErr w:type="spellEnd"/>
      <w:r w:rsidRPr="001D3665">
        <w:t xml:space="preserve"> slik tilgang, har EU lagt opp til å nytte UUM&amp;DS (Uniform </w:t>
      </w:r>
      <w:proofErr w:type="spellStart"/>
      <w:r w:rsidRPr="001D3665">
        <w:t>user</w:t>
      </w:r>
      <w:proofErr w:type="spellEnd"/>
      <w:r w:rsidRPr="001D3665">
        <w:t xml:space="preserve"> management &amp; digital </w:t>
      </w:r>
      <w:proofErr w:type="spellStart"/>
      <w:r w:rsidRPr="001D3665">
        <w:t>signatures</w:t>
      </w:r>
      <w:proofErr w:type="spellEnd"/>
      <w:r w:rsidRPr="001D3665">
        <w:t xml:space="preserve">). Det er </w:t>
      </w:r>
      <w:proofErr w:type="spellStart"/>
      <w:r w:rsidRPr="001D3665">
        <w:t>eit</w:t>
      </w:r>
      <w:proofErr w:type="spellEnd"/>
      <w:r w:rsidRPr="001D3665">
        <w:t xml:space="preserve"> EU-system brukt for mellom anna innlogging, autentisering og tilgangsstyring på tollområdet. EU vil opprette </w:t>
      </w:r>
      <w:proofErr w:type="spellStart"/>
      <w:r w:rsidRPr="001D3665">
        <w:t>ein</w:t>
      </w:r>
      <w:proofErr w:type="spellEnd"/>
      <w:r w:rsidRPr="001D3665">
        <w:t xml:space="preserve"> norsk del i UUM&amp;DS. Det er lagt opp til at Tolletaten skal autentisere norske </w:t>
      </w:r>
      <w:proofErr w:type="spellStart"/>
      <w:r w:rsidRPr="001D3665">
        <w:t>aktørar</w:t>
      </w:r>
      <w:proofErr w:type="spellEnd"/>
      <w:r w:rsidRPr="001D3665">
        <w:t xml:space="preserve"> som skal ha tilgang til CBAM-registeret.</w:t>
      </w:r>
    </w:p>
    <w:p w14:paraId="047991AE" w14:textId="77777777" w:rsidR="00BC371A" w:rsidRPr="001D3665" w:rsidRDefault="00BC371A" w:rsidP="001D3665">
      <w:r w:rsidRPr="001D3665">
        <w:lastRenderedPageBreak/>
        <w:t xml:space="preserve">Tolletaten må dele </w:t>
      </w:r>
      <w:proofErr w:type="spellStart"/>
      <w:r w:rsidRPr="001D3665">
        <w:t>naudsynt</w:t>
      </w:r>
      <w:proofErr w:type="spellEnd"/>
      <w:r w:rsidRPr="001D3665">
        <w:t xml:space="preserve"> informasjon med EU slik at </w:t>
      </w:r>
      <w:proofErr w:type="spellStart"/>
      <w:r w:rsidRPr="001D3665">
        <w:t>dei</w:t>
      </w:r>
      <w:proofErr w:type="spellEnd"/>
      <w:r w:rsidRPr="001D3665">
        <w:t xml:space="preserve"> kan autentisere kva </w:t>
      </w:r>
      <w:proofErr w:type="spellStart"/>
      <w:r w:rsidRPr="001D3665">
        <w:t>aktørar</w:t>
      </w:r>
      <w:proofErr w:type="spellEnd"/>
      <w:r w:rsidRPr="001D3665">
        <w:t xml:space="preserve"> som skal ha tilgang til CBAM-registeret. Det er avklara at det er behov for </w:t>
      </w:r>
      <w:proofErr w:type="spellStart"/>
      <w:r w:rsidRPr="001D3665">
        <w:t>følgjande</w:t>
      </w:r>
      <w:proofErr w:type="spellEnd"/>
      <w:r w:rsidRPr="001D3665">
        <w:t xml:space="preserve"> </w:t>
      </w:r>
      <w:proofErr w:type="spellStart"/>
      <w:r w:rsidRPr="001D3665">
        <w:t>opplysingar</w:t>
      </w:r>
      <w:proofErr w:type="spellEnd"/>
      <w:r w:rsidRPr="001D3665">
        <w:t xml:space="preserve">: organisasjonsnummer med prefikset NO, aktøren sitt </w:t>
      </w:r>
      <w:proofErr w:type="spellStart"/>
      <w:r w:rsidRPr="001D3665">
        <w:t>namn</w:t>
      </w:r>
      <w:proofErr w:type="spellEnd"/>
      <w:r w:rsidRPr="001D3665">
        <w:t xml:space="preserve">, adresse, organisasjonsform og næringskode. Dette er </w:t>
      </w:r>
      <w:proofErr w:type="spellStart"/>
      <w:r w:rsidRPr="001D3665">
        <w:t>opplysingar</w:t>
      </w:r>
      <w:proofErr w:type="spellEnd"/>
      <w:r w:rsidRPr="001D3665">
        <w:t xml:space="preserve"> som er i Einingsregisteret. Telefonnummeret til eininga og andre elektroniske adresser skal </w:t>
      </w:r>
      <w:proofErr w:type="spellStart"/>
      <w:r w:rsidRPr="001D3665">
        <w:t>vere</w:t>
      </w:r>
      <w:proofErr w:type="spellEnd"/>
      <w:r w:rsidRPr="001D3665">
        <w:t xml:space="preserve"> med dersom </w:t>
      </w:r>
      <w:proofErr w:type="spellStart"/>
      <w:r w:rsidRPr="001D3665">
        <w:t>desse</w:t>
      </w:r>
      <w:proofErr w:type="spellEnd"/>
      <w:r w:rsidRPr="001D3665">
        <w:t xml:space="preserve"> er registrerte i Einingsregisteret.</w:t>
      </w:r>
    </w:p>
    <w:p w14:paraId="46D66ED1" w14:textId="77777777" w:rsidR="00BC371A" w:rsidRPr="001D3665" w:rsidRDefault="00BC371A" w:rsidP="001D3665">
      <w:r w:rsidRPr="001D3665">
        <w:t xml:space="preserve">So langt er behovet for tilgang til EU sine IT-system </w:t>
      </w:r>
      <w:proofErr w:type="spellStart"/>
      <w:r w:rsidRPr="001D3665">
        <w:t>berre</w:t>
      </w:r>
      <w:proofErr w:type="spellEnd"/>
      <w:r w:rsidRPr="001D3665">
        <w:t xml:space="preserve"> </w:t>
      </w:r>
      <w:proofErr w:type="spellStart"/>
      <w:r w:rsidRPr="001D3665">
        <w:t>utgreidd</w:t>
      </w:r>
      <w:proofErr w:type="spellEnd"/>
      <w:r w:rsidRPr="001D3665">
        <w:t xml:space="preserve"> for CBAM-</w:t>
      </w:r>
      <w:proofErr w:type="spellStart"/>
      <w:r w:rsidRPr="001D3665">
        <w:t>føremål</w:t>
      </w:r>
      <w:proofErr w:type="spellEnd"/>
      <w:r w:rsidRPr="001D3665">
        <w:t xml:space="preserve">. Miljødirektoratet har </w:t>
      </w:r>
      <w:proofErr w:type="spellStart"/>
      <w:r w:rsidRPr="001D3665">
        <w:t>peikt</w:t>
      </w:r>
      <w:proofErr w:type="spellEnd"/>
      <w:r w:rsidRPr="001D3665">
        <w:t xml:space="preserve"> på at </w:t>
      </w:r>
      <w:proofErr w:type="spellStart"/>
      <w:r w:rsidRPr="001D3665">
        <w:t>aktørar</w:t>
      </w:r>
      <w:proofErr w:type="spellEnd"/>
      <w:r w:rsidRPr="001D3665">
        <w:t xml:space="preserve"> som er omfatta av EU si avskogingsforordning (EU) 2023/1115 (EUDR) og EU si økodesignforordning (EU) 2024/1781, òg vil ha behov for tilgang til relevante IT-system i EU. Departementet </w:t>
      </w:r>
      <w:proofErr w:type="spellStart"/>
      <w:r w:rsidRPr="001D3665">
        <w:t>understrekar</w:t>
      </w:r>
      <w:proofErr w:type="spellEnd"/>
      <w:r w:rsidRPr="001D3665">
        <w:t xml:space="preserve"> at </w:t>
      </w:r>
      <w:proofErr w:type="spellStart"/>
      <w:r w:rsidRPr="001D3665">
        <w:t>ein</w:t>
      </w:r>
      <w:proofErr w:type="spellEnd"/>
      <w:r w:rsidRPr="001D3665">
        <w:t xml:space="preserve"> må </w:t>
      </w:r>
      <w:proofErr w:type="spellStart"/>
      <w:r w:rsidRPr="001D3665">
        <w:t>avklåre</w:t>
      </w:r>
      <w:proofErr w:type="spellEnd"/>
      <w:r w:rsidRPr="001D3665">
        <w:t xml:space="preserve"> konkret kva som skal til for å få tilgang til IT-system under andre rettsakter. Dette inngår i arbeidet med å innlemme den aktuelle rettsakta i EØS-avtalen og å gjennomføre ho i norsk rett. </w:t>
      </w:r>
      <w:proofErr w:type="spellStart"/>
      <w:r w:rsidRPr="001D3665">
        <w:t>Ein</w:t>
      </w:r>
      <w:proofErr w:type="spellEnd"/>
      <w:r w:rsidRPr="001D3665">
        <w:t xml:space="preserve"> kan </w:t>
      </w:r>
      <w:proofErr w:type="spellStart"/>
      <w:r w:rsidRPr="001D3665">
        <w:t>difor</w:t>
      </w:r>
      <w:proofErr w:type="spellEnd"/>
      <w:r w:rsidRPr="001D3665">
        <w:t xml:space="preserve"> </w:t>
      </w:r>
      <w:proofErr w:type="spellStart"/>
      <w:r w:rsidRPr="001D3665">
        <w:t>ikkje</w:t>
      </w:r>
      <w:proofErr w:type="spellEnd"/>
      <w:r w:rsidRPr="001D3665">
        <w:t xml:space="preserve"> </w:t>
      </w:r>
      <w:proofErr w:type="spellStart"/>
      <w:r w:rsidRPr="001D3665">
        <w:t>leggje</w:t>
      </w:r>
      <w:proofErr w:type="spellEnd"/>
      <w:r w:rsidRPr="001D3665">
        <w:t xml:space="preserve"> til grunn at lovframlegget vil </w:t>
      </w:r>
      <w:proofErr w:type="spellStart"/>
      <w:r w:rsidRPr="001D3665">
        <w:t>leggje</w:t>
      </w:r>
      <w:proofErr w:type="spellEnd"/>
      <w:r w:rsidRPr="001D3665">
        <w:t xml:space="preserve"> til rette for tilgang til IT-system under andre EØS-relevante rettsakter.</w:t>
      </w:r>
    </w:p>
    <w:p w14:paraId="2B662104" w14:textId="77777777" w:rsidR="00BC371A" w:rsidRPr="001D3665" w:rsidRDefault="00BC371A" w:rsidP="001D3665">
      <w:r w:rsidRPr="001D3665">
        <w:t xml:space="preserve">Tolletaten vil i utgangspunktet bruke den </w:t>
      </w:r>
      <w:proofErr w:type="spellStart"/>
      <w:r w:rsidRPr="001D3665">
        <w:t>eksisterande</w:t>
      </w:r>
      <w:proofErr w:type="spellEnd"/>
      <w:r w:rsidRPr="001D3665">
        <w:t xml:space="preserve"> tilgangen til å hente ut </w:t>
      </w:r>
      <w:proofErr w:type="spellStart"/>
      <w:r w:rsidRPr="001D3665">
        <w:t>opplysingane</w:t>
      </w:r>
      <w:proofErr w:type="spellEnd"/>
      <w:r w:rsidRPr="001D3665">
        <w:t xml:space="preserve"> </w:t>
      </w:r>
      <w:proofErr w:type="spellStart"/>
      <w:r w:rsidRPr="001D3665">
        <w:t>frå</w:t>
      </w:r>
      <w:proofErr w:type="spellEnd"/>
      <w:r w:rsidRPr="001D3665">
        <w:t xml:space="preserve"> Einingsregisteret og vil etablere </w:t>
      </w:r>
      <w:proofErr w:type="spellStart"/>
      <w:r w:rsidRPr="001D3665">
        <w:t>eit</w:t>
      </w:r>
      <w:proofErr w:type="spellEnd"/>
      <w:r w:rsidRPr="001D3665">
        <w:t xml:space="preserve"> samarbeid med </w:t>
      </w:r>
      <w:proofErr w:type="spellStart"/>
      <w:r w:rsidRPr="001D3665">
        <w:t>Brønnøysundregistera</w:t>
      </w:r>
      <w:proofErr w:type="spellEnd"/>
      <w:r w:rsidRPr="001D3665">
        <w:t xml:space="preserve"> for å utveksle </w:t>
      </w:r>
      <w:proofErr w:type="spellStart"/>
      <w:r w:rsidRPr="001D3665">
        <w:t>opplysingar</w:t>
      </w:r>
      <w:proofErr w:type="spellEnd"/>
      <w:r w:rsidRPr="001D3665">
        <w:t xml:space="preserve"> </w:t>
      </w:r>
      <w:proofErr w:type="spellStart"/>
      <w:r w:rsidRPr="001D3665">
        <w:t>meir</w:t>
      </w:r>
      <w:proofErr w:type="spellEnd"/>
      <w:r w:rsidRPr="001D3665">
        <w:t xml:space="preserve"> effektivt. Departementet </w:t>
      </w:r>
      <w:proofErr w:type="spellStart"/>
      <w:r w:rsidRPr="001D3665">
        <w:t>legg</w:t>
      </w:r>
      <w:proofErr w:type="spellEnd"/>
      <w:r w:rsidRPr="001D3665">
        <w:t xml:space="preserve"> til grunn at Tolletaten </w:t>
      </w:r>
      <w:proofErr w:type="spellStart"/>
      <w:r w:rsidRPr="001D3665">
        <w:t>laupande</w:t>
      </w:r>
      <w:proofErr w:type="spellEnd"/>
      <w:r w:rsidRPr="001D3665">
        <w:t xml:space="preserve"> oppdaterer </w:t>
      </w:r>
      <w:proofErr w:type="spellStart"/>
      <w:r w:rsidRPr="001D3665">
        <w:t>dei</w:t>
      </w:r>
      <w:proofErr w:type="spellEnd"/>
      <w:r w:rsidRPr="001D3665">
        <w:t xml:space="preserve"> registrerte </w:t>
      </w:r>
      <w:proofErr w:type="spellStart"/>
      <w:r w:rsidRPr="001D3665">
        <w:t>opplysingane</w:t>
      </w:r>
      <w:proofErr w:type="spellEnd"/>
      <w:r w:rsidRPr="001D3665">
        <w:t xml:space="preserve"> med Einingsregisteret.</w:t>
      </w:r>
    </w:p>
    <w:p w14:paraId="080D6F2C" w14:textId="77777777" w:rsidR="00BC371A" w:rsidRPr="001D3665" w:rsidRDefault="00BC371A" w:rsidP="001D3665">
      <w:r w:rsidRPr="001D3665">
        <w:t xml:space="preserve">Tolletaten har </w:t>
      </w:r>
      <w:proofErr w:type="spellStart"/>
      <w:r w:rsidRPr="001D3665">
        <w:t>enno</w:t>
      </w:r>
      <w:proofErr w:type="spellEnd"/>
      <w:r w:rsidRPr="001D3665">
        <w:t xml:space="preserve"> </w:t>
      </w:r>
      <w:proofErr w:type="spellStart"/>
      <w:r w:rsidRPr="001D3665">
        <w:t>ikkje</w:t>
      </w:r>
      <w:proofErr w:type="spellEnd"/>
      <w:r w:rsidRPr="001D3665">
        <w:t xml:space="preserve"> avgjort kvar </w:t>
      </w:r>
      <w:proofErr w:type="spellStart"/>
      <w:r w:rsidRPr="001D3665">
        <w:t>registreringstenesta</w:t>
      </w:r>
      <w:proofErr w:type="spellEnd"/>
      <w:r w:rsidRPr="001D3665">
        <w:t xml:space="preserve"> skal </w:t>
      </w:r>
      <w:proofErr w:type="spellStart"/>
      <w:r w:rsidRPr="001D3665">
        <w:t>verte</w:t>
      </w:r>
      <w:proofErr w:type="spellEnd"/>
      <w:r w:rsidRPr="001D3665">
        <w:t xml:space="preserve"> etablert. Pålegget i digitaliseringsrundskrivet om å tilby </w:t>
      </w:r>
      <w:proofErr w:type="spellStart"/>
      <w:r w:rsidRPr="001D3665">
        <w:t>tenester</w:t>
      </w:r>
      <w:proofErr w:type="spellEnd"/>
      <w:r w:rsidRPr="001D3665">
        <w:t xml:space="preserve"> via innlogging i </w:t>
      </w:r>
      <w:proofErr w:type="spellStart"/>
      <w:r w:rsidRPr="001D3665">
        <w:t>Altinn</w:t>
      </w:r>
      <w:proofErr w:type="spellEnd"/>
      <w:r w:rsidRPr="001D3665">
        <w:t xml:space="preserve"> vil </w:t>
      </w:r>
      <w:proofErr w:type="spellStart"/>
      <w:r w:rsidRPr="001D3665">
        <w:t>vere</w:t>
      </w:r>
      <w:proofErr w:type="spellEnd"/>
      <w:r w:rsidRPr="001D3665">
        <w:t xml:space="preserve"> </w:t>
      </w:r>
      <w:proofErr w:type="spellStart"/>
      <w:r w:rsidRPr="001D3665">
        <w:t>retningsgjevande</w:t>
      </w:r>
      <w:proofErr w:type="spellEnd"/>
      <w:r w:rsidRPr="001D3665">
        <w:t xml:space="preserve"> for arbeidet med å etablere registreringsordninga.</w:t>
      </w:r>
    </w:p>
    <w:p w14:paraId="066EA0DD" w14:textId="77777777" w:rsidR="00BC371A" w:rsidRPr="001D3665" w:rsidRDefault="00BC371A" w:rsidP="001D3665">
      <w:r w:rsidRPr="001D3665">
        <w:t xml:space="preserve">I </w:t>
      </w:r>
      <w:proofErr w:type="spellStart"/>
      <w:r w:rsidRPr="001D3665">
        <w:t>høyringa</w:t>
      </w:r>
      <w:proofErr w:type="spellEnd"/>
      <w:r w:rsidRPr="001D3665">
        <w:t xml:space="preserve"> vart det </w:t>
      </w:r>
      <w:proofErr w:type="spellStart"/>
      <w:r w:rsidRPr="001D3665">
        <w:t>teke</w:t>
      </w:r>
      <w:proofErr w:type="spellEnd"/>
      <w:r w:rsidRPr="001D3665">
        <w:t xml:space="preserve"> opp at </w:t>
      </w:r>
      <w:proofErr w:type="spellStart"/>
      <w:r w:rsidRPr="001D3665">
        <w:t>ein</w:t>
      </w:r>
      <w:proofErr w:type="spellEnd"/>
      <w:r w:rsidRPr="001D3665">
        <w:t xml:space="preserve"> må </w:t>
      </w:r>
      <w:proofErr w:type="spellStart"/>
      <w:r w:rsidRPr="001D3665">
        <w:t>klårgjere</w:t>
      </w:r>
      <w:proofErr w:type="spellEnd"/>
      <w:r w:rsidRPr="001D3665">
        <w:t xml:space="preserve"> kva for «</w:t>
      </w:r>
      <w:proofErr w:type="spellStart"/>
      <w:r w:rsidRPr="001D3665">
        <w:t>aktørar</w:t>
      </w:r>
      <w:proofErr w:type="spellEnd"/>
      <w:r w:rsidRPr="001D3665">
        <w:t xml:space="preserve">» som skal </w:t>
      </w:r>
      <w:proofErr w:type="spellStart"/>
      <w:r w:rsidRPr="001D3665">
        <w:t>vere</w:t>
      </w:r>
      <w:proofErr w:type="spellEnd"/>
      <w:r w:rsidRPr="001D3665">
        <w:t xml:space="preserve"> omfatta av lovframlegget. Sjølve kravet til å registrere seg hos Tolletaten vil </w:t>
      </w:r>
      <w:proofErr w:type="spellStart"/>
      <w:r w:rsidRPr="001D3665">
        <w:t>følgje</w:t>
      </w:r>
      <w:proofErr w:type="spellEnd"/>
      <w:r w:rsidRPr="001D3665">
        <w:t xml:space="preserve"> av EU-rettsakter som krev eller </w:t>
      </w:r>
      <w:proofErr w:type="spellStart"/>
      <w:r w:rsidRPr="001D3665">
        <w:t>føreset</w:t>
      </w:r>
      <w:proofErr w:type="spellEnd"/>
      <w:r w:rsidRPr="001D3665">
        <w:t xml:space="preserve"> at </w:t>
      </w:r>
      <w:proofErr w:type="spellStart"/>
      <w:r w:rsidRPr="001D3665">
        <w:t>aktørane</w:t>
      </w:r>
      <w:proofErr w:type="spellEnd"/>
      <w:r w:rsidRPr="001D3665">
        <w:t xml:space="preserve"> har EORI-nummer, og som vert innlemma og gjennomførte i norsk rett. Dette kan gjelde subjekt av ulike slag. Departementet finn det </w:t>
      </w:r>
      <w:proofErr w:type="spellStart"/>
      <w:r w:rsidRPr="001D3665">
        <w:t>difor</w:t>
      </w:r>
      <w:proofErr w:type="spellEnd"/>
      <w:r w:rsidRPr="001D3665">
        <w:t xml:space="preserve"> </w:t>
      </w:r>
      <w:proofErr w:type="spellStart"/>
      <w:r w:rsidRPr="001D3665">
        <w:t>høveleg</w:t>
      </w:r>
      <w:proofErr w:type="spellEnd"/>
      <w:r w:rsidRPr="001D3665">
        <w:t xml:space="preserve"> å nytte </w:t>
      </w:r>
      <w:proofErr w:type="spellStart"/>
      <w:r w:rsidRPr="001D3665">
        <w:t>samnemninga</w:t>
      </w:r>
      <w:proofErr w:type="spellEnd"/>
      <w:r w:rsidRPr="001D3665">
        <w:t xml:space="preserve"> «</w:t>
      </w:r>
      <w:proofErr w:type="spellStart"/>
      <w:r w:rsidRPr="001D3665">
        <w:t>aktørar</w:t>
      </w:r>
      <w:proofErr w:type="spellEnd"/>
      <w:r w:rsidRPr="001D3665">
        <w:t>».</w:t>
      </w:r>
    </w:p>
    <w:p w14:paraId="5D1DE266" w14:textId="77777777" w:rsidR="00BC371A" w:rsidRPr="001D3665" w:rsidRDefault="00BC371A" w:rsidP="001D3665">
      <w:r w:rsidRPr="001D3665">
        <w:t xml:space="preserve">Om </w:t>
      </w:r>
      <w:proofErr w:type="spellStart"/>
      <w:r w:rsidRPr="001D3665">
        <w:t>aktørar</w:t>
      </w:r>
      <w:proofErr w:type="spellEnd"/>
      <w:r w:rsidRPr="001D3665">
        <w:t xml:space="preserve"> som har vareførsel </w:t>
      </w:r>
      <w:proofErr w:type="spellStart"/>
      <w:r w:rsidRPr="001D3665">
        <w:t>frå</w:t>
      </w:r>
      <w:proofErr w:type="spellEnd"/>
      <w:r w:rsidRPr="001D3665">
        <w:t xml:space="preserve"> tredjeland til Svalbard, kontinentalsokkelen eller økonomisk sone vil måtte registrere seg hos Tolletaten for å få </w:t>
      </w:r>
      <w:proofErr w:type="spellStart"/>
      <w:r w:rsidRPr="001D3665">
        <w:t>eit</w:t>
      </w:r>
      <w:proofErr w:type="spellEnd"/>
      <w:r w:rsidRPr="001D3665">
        <w:t xml:space="preserve"> norsk identifikasjonsnummer, vil òg avhenge av den </w:t>
      </w:r>
      <w:proofErr w:type="spellStart"/>
      <w:r w:rsidRPr="001D3665">
        <w:t>einskilde</w:t>
      </w:r>
      <w:proofErr w:type="spellEnd"/>
      <w:r w:rsidRPr="001D3665">
        <w:t xml:space="preserve"> EU-rettsakta som vert innlemma i EØS-avtalen og gjennomført i norsk rett.</w:t>
      </w:r>
    </w:p>
    <w:p w14:paraId="5E835206" w14:textId="77777777" w:rsidR="00BC371A" w:rsidRPr="001D3665" w:rsidRDefault="00BC371A" w:rsidP="001D3665">
      <w:proofErr w:type="spellStart"/>
      <w:r w:rsidRPr="001D3665">
        <w:t>Ein</w:t>
      </w:r>
      <w:proofErr w:type="spellEnd"/>
      <w:r w:rsidRPr="001D3665">
        <w:t xml:space="preserve"> skal nytte den norske identifikatoren ved vareførsel til og </w:t>
      </w:r>
      <w:proofErr w:type="spellStart"/>
      <w:r w:rsidRPr="001D3665">
        <w:t>frå</w:t>
      </w:r>
      <w:proofErr w:type="spellEnd"/>
      <w:r w:rsidRPr="001D3665">
        <w:t xml:space="preserve"> </w:t>
      </w:r>
      <w:proofErr w:type="spellStart"/>
      <w:r w:rsidRPr="001D3665">
        <w:t>Noreg</w:t>
      </w:r>
      <w:proofErr w:type="spellEnd"/>
      <w:r w:rsidRPr="001D3665">
        <w:t xml:space="preserve"> (</w:t>
      </w:r>
      <w:proofErr w:type="spellStart"/>
      <w:r w:rsidRPr="001D3665">
        <w:t>hovudsakleg</w:t>
      </w:r>
      <w:proofErr w:type="spellEnd"/>
      <w:r w:rsidRPr="001D3665">
        <w:t xml:space="preserve"> norsk tollområde). </w:t>
      </w:r>
      <w:proofErr w:type="spellStart"/>
      <w:r w:rsidRPr="001D3665">
        <w:t>Aktørar</w:t>
      </w:r>
      <w:proofErr w:type="spellEnd"/>
      <w:r w:rsidRPr="001D3665">
        <w:t xml:space="preserve"> som har vareførsel til og </w:t>
      </w:r>
      <w:proofErr w:type="spellStart"/>
      <w:r w:rsidRPr="001D3665">
        <w:t>frå</w:t>
      </w:r>
      <w:proofErr w:type="spellEnd"/>
      <w:r w:rsidRPr="001D3665">
        <w:t xml:space="preserve"> EU, må nytte EUs EORI-nummer. Kravet om norsk identifikator vil </w:t>
      </w:r>
      <w:proofErr w:type="spellStart"/>
      <w:r w:rsidRPr="001D3665">
        <w:t>difor</w:t>
      </w:r>
      <w:proofErr w:type="spellEnd"/>
      <w:r w:rsidRPr="001D3665">
        <w:t xml:space="preserve"> òg gjelde </w:t>
      </w:r>
      <w:proofErr w:type="spellStart"/>
      <w:r w:rsidRPr="001D3665">
        <w:t>aktørar</w:t>
      </w:r>
      <w:proofErr w:type="spellEnd"/>
      <w:r w:rsidRPr="001D3665">
        <w:t xml:space="preserve"> som </w:t>
      </w:r>
      <w:proofErr w:type="spellStart"/>
      <w:r w:rsidRPr="001D3665">
        <w:t>allereie</w:t>
      </w:r>
      <w:proofErr w:type="spellEnd"/>
      <w:r w:rsidRPr="001D3665">
        <w:t xml:space="preserve"> er registrerte med EORI-nummer for vareførsel til og </w:t>
      </w:r>
      <w:proofErr w:type="spellStart"/>
      <w:r w:rsidRPr="001D3665">
        <w:t>frå</w:t>
      </w:r>
      <w:proofErr w:type="spellEnd"/>
      <w:r w:rsidRPr="001D3665">
        <w:t xml:space="preserve"> EU. Det vil </w:t>
      </w:r>
      <w:proofErr w:type="spellStart"/>
      <w:r w:rsidRPr="001D3665">
        <w:t>framleis</w:t>
      </w:r>
      <w:proofErr w:type="spellEnd"/>
      <w:r w:rsidRPr="001D3665">
        <w:t xml:space="preserve"> </w:t>
      </w:r>
      <w:proofErr w:type="spellStart"/>
      <w:r w:rsidRPr="001D3665">
        <w:t>vere</w:t>
      </w:r>
      <w:proofErr w:type="spellEnd"/>
      <w:r w:rsidRPr="001D3665">
        <w:t xml:space="preserve"> krav om EORI-nummer for </w:t>
      </w:r>
      <w:proofErr w:type="spellStart"/>
      <w:r w:rsidRPr="001D3665">
        <w:t>aktørar</w:t>
      </w:r>
      <w:proofErr w:type="spellEnd"/>
      <w:r w:rsidRPr="001D3665">
        <w:t xml:space="preserve"> som må levere førehandsvarsel i ICS2 (EUs system for elektronisk førehandsvarsling).</w:t>
      </w:r>
    </w:p>
    <w:p w14:paraId="6EEE8A64" w14:textId="77777777" w:rsidR="00BC371A" w:rsidRPr="001D3665" w:rsidRDefault="00BC371A" w:rsidP="001D3665">
      <w:r w:rsidRPr="001D3665">
        <w:t xml:space="preserve">I </w:t>
      </w:r>
      <w:proofErr w:type="spellStart"/>
      <w:r w:rsidRPr="001D3665">
        <w:t>høyringa</w:t>
      </w:r>
      <w:proofErr w:type="spellEnd"/>
      <w:r w:rsidRPr="001D3665">
        <w:t xml:space="preserve"> vart det </w:t>
      </w:r>
      <w:proofErr w:type="spellStart"/>
      <w:r w:rsidRPr="001D3665">
        <w:t>teke</w:t>
      </w:r>
      <w:proofErr w:type="spellEnd"/>
      <w:r w:rsidRPr="001D3665">
        <w:t xml:space="preserve"> opp at </w:t>
      </w:r>
      <w:proofErr w:type="spellStart"/>
      <w:r w:rsidRPr="001D3665">
        <w:t>nokon</w:t>
      </w:r>
      <w:proofErr w:type="spellEnd"/>
      <w:r w:rsidRPr="001D3665">
        <w:t xml:space="preserve"> kan mistyde omgrepet «identifikasjonsnummer» for å </w:t>
      </w:r>
      <w:proofErr w:type="spellStart"/>
      <w:r w:rsidRPr="001D3665">
        <w:t>vere</w:t>
      </w:r>
      <w:proofErr w:type="spellEnd"/>
      <w:r w:rsidRPr="001D3665">
        <w:t xml:space="preserve"> </w:t>
      </w:r>
      <w:proofErr w:type="spellStart"/>
      <w:r w:rsidRPr="001D3665">
        <w:t>ein</w:t>
      </w:r>
      <w:proofErr w:type="spellEnd"/>
      <w:r w:rsidRPr="001D3665">
        <w:t xml:space="preserve"> identifikator i samsvar med andre EU-rettsakter. For å unngå dette vert lovteksten endra slik at han bruker «EORI-nummer» i staden for «identifikasjonsnummer».</w:t>
      </w:r>
    </w:p>
    <w:p w14:paraId="504012D7" w14:textId="77777777" w:rsidR="00BC371A" w:rsidRPr="001D3665" w:rsidRDefault="00BC371A" w:rsidP="001D3665">
      <w:r w:rsidRPr="001D3665">
        <w:t xml:space="preserve">Når aktøren er </w:t>
      </w:r>
      <w:proofErr w:type="spellStart"/>
      <w:r w:rsidRPr="001D3665">
        <w:t>eit</w:t>
      </w:r>
      <w:proofErr w:type="spellEnd"/>
      <w:r w:rsidRPr="001D3665">
        <w:t xml:space="preserve"> </w:t>
      </w:r>
      <w:proofErr w:type="spellStart"/>
      <w:r w:rsidRPr="001D3665">
        <w:t>enkeltpersonføretak</w:t>
      </w:r>
      <w:proofErr w:type="spellEnd"/>
      <w:r w:rsidRPr="001D3665">
        <w:t xml:space="preserve">, kan </w:t>
      </w:r>
      <w:proofErr w:type="spellStart"/>
      <w:r w:rsidRPr="001D3665">
        <w:t>ein</w:t>
      </w:r>
      <w:proofErr w:type="spellEnd"/>
      <w:r w:rsidRPr="001D3665">
        <w:t xml:space="preserve"> knyte </w:t>
      </w:r>
      <w:proofErr w:type="spellStart"/>
      <w:r w:rsidRPr="001D3665">
        <w:t>opplysingane</w:t>
      </w:r>
      <w:proofErr w:type="spellEnd"/>
      <w:r w:rsidRPr="001D3665">
        <w:t xml:space="preserve"> som vert registrerte til </w:t>
      </w:r>
      <w:proofErr w:type="spellStart"/>
      <w:r w:rsidRPr="001D3665">
        <w:t>einskildpersonar</w:t>
      </w:r>
      <w:proofErr w:type="spellEnd"/>
      <w:r w:rsidRPr="001D3665">
        <w:t xml:space="preserve"> då </w:t>
      </w:r>
      <w:proofErr w:type="spellStart"/>
      <w:r w:rsidRPr="001D3665">
        <w:t>namnet</w:t>
      </w:r>
      <w:proofErr w:type="spellEnd"/>
      <w:r w:rsidRPr="001D3665">
        <w:t xml:space="preserve"> på </w:t>
      </w:r>
      <w:proofErr w:type="spellStart"/>
      <w:r w:rsidRPr="001D3665">
        <w:t>føretaket</w:t>
      </w:r>
      <w:proofErr w:type="spellEnd"/>
      <w:r w:rsidRPr="001D3665">
        <w:t xml:space="preserve"> skal </w:t>
      </w:r>
      <w:proofErr w:type="spellStart"/>
      <w:r w:rsidRPr="001D3665">
        <w:t>innehalde</w:t>
      </w:r>
      <w:proofErr w:type="spellEnd"/>
      <w:r w:rsidRPr="001D3665">
        <w:t xml:space="preserve"> </w:t>
      </w:r>
      <w:proofErr w:type="spellStart"/>
      <w:r w:rsidRPr="001D3665">
        <w:t>etternamnet</w:t>
      </w:r>
      <w:proofErr w:type="spellEnd"/>
      <w:r w:rsidRPr="001D3665">
        <w:t xml:space="preserve"> til </w:t>
      </w:r>
      <w:proofErr w:type="spellStart"/>
      <w:r w:rsidRPr="001D3665">
        <w:t>innehavaren</w:t>
      </w:r>
      <w:proofErr w:type="spellEnd"/>
      <w:r w:rsidRPr="001D3665">
        <w:t xml:space="preserve">. </w:t>
      </w:r>
      <w:proofErr w:type="spellStart"/>
      <w:r w:rsidRPr="001D3665">
        <w:t>Opplysingane</w:t>
      </w:r>
      <w:proofErr w:type="spellEnd"/>
      <w:r w:rsidRPr="001D3665">
        <w:t xml:space="preserve"> vil då falle inn under personvernforordninga sin definisjon av </w:t>
      </w:r>
      <w:proofErr w:type="spellStart"/>
      <w:r w:rsidRPr="001D3665">
        <w:t>personopplysingar</w:t>
      </w:r>
      <w:proofErr w:type="spellEnd"/>
      <w:r w:rsidRPr="001D3665">
        <w:t xml:space="preserve"> i artikkel 4 nr. 1.</w:t>
      </w:r>
    </w:p>
    <w:p w14:paraId="451FAD54" w14:textId="77777777" w:rsidR="00BC371A" w:rsidRPr="001D3665" w:rsidRDefault="00BC371A" w:rsidP="001D3665">
      <w:r w:rsidRPr="001D3665">
        <w:lastRenderedPageBreak/>
        <w:t xml:space="preserve">Både registreringa og oversendinga til EU vert </w:t>
      </w:r>
      <w:proofErr w:type="spellStart"/>
      <w:r w:rsidRPr="001D3665">
        <w:t>rekna</w:t>
      </w:r>
      <w:proofErr w:type="spellEnd"/>
      <w:r w:rsidRPr="001D3665">
        <w:t xml:space="preserve"> som behandling av </w:t>
      </w:r>
      <w:proofErr w:type="spellStart"/>
      <w:r w:rsidRPr="001D3665">
        <w:t>personopplysingar</w:t>
      </w:r>
      <w:proofErr w:type="spellEnd"/>
      <w:r w:rsidRPr="001D3665">
        <w:t xml:space="preserve">. Det følgjer av personvernforordninga artikkel 6 nr. 1 bokstav e at behandling av </w:t>
      </w:r>
      <w:proofErr w:type="spellStart"/>
      <w:r w:rsidRPr="001D3665">
        <w:t>personopplysingar</w:t>
      </w:r>
      <w:proofErr w:type="spellEnd"/>
      <w:r w:rsidRPr="001D3665">
        <w:t xml:space="preserve"> er </w:t>
      </w:r>
      <w:proofErr w:type="spellStart"/>
      <w:r w:rsidRPr="001D3665">
        <w:t>lovleg</w:t>
      </w:r>
      <w:proofErr w:type="spellEnd"/>
      <w:r w:rsidRPr="001D3665">
        <w:t xml:space="preserve"> dersom behandlinga er </w:t>
      </w:r>
      <w:proofErr w:type="spellStart"/>
      <w:r w:rsidRPr="001D3665">
        <w:t>naudsynt</w:t>
      </w:r>
      <w:proofErr w:type="spellEnd"/>
      <w:r w:rsidRPr="001D3665">
        <w:t xml:space="preserve"> for å utføre ei </w:t>
      </w:r>
      <w:proofErr w:type="spellStart"/>
      <w:r w:rsidRPr="001D3665">
        <w:t>oppgåve</w:t>
      </w:r>
      <w:proofErr w:type="spellEnd"/>
      <w:r w:rsidRPr="001D3665">
        <w:t xml:space="preserve"> i allmenn interesse eller utøve </w:t>
      </w:r>
      <w:proofErr w:type="spellStart"/>
      <w:r w:rsidRPr="001D3665">
        <w:t>offentleg</w:t>
      </w:r>
      <w:proofErr w:type="spellEnd"/>
      <w:r w:rsidRPr="001D3665">
        <w:t xml:space="preserve"> mynde som den med ansvar for behandlinga er pålagd. Etter artikkel 6 nr. 3 bokstav b må </w:t>
      </w:r>
      <w:proofErr w:type="spellStart"/>
      <w:r w:rsidRPr="001D3665">
        <w:t>ein</w:t>
      </w:r>
      <w:proofErr w:type="spellEnd"/>
      <w:r w:rsidRPr="001D3665">
        <w:t xml:space="preserve"> </w:t>
      </w:r>
      <w:proofErr w:type="spellStart"/>
      <w:r w:rsidRPr="001D3665">
        <w:t>fastsetje</w:t>
      </w:r>
      <w:proofErr w:type="spellEnd"/>
      <w:r w:rsidRPr="001D3665">
        <w:t xml:space="preserve"> grunnlaget for slik behandling i nasjonal rett for </w:t>
      </w:r>
      <w:proofErr w:type="spellStart"/>
      <w:r w:rsidRPr="001D3665">
        <w:t>medlemsstatane</w:t>
      </w:r>
      <w:proofErr w:type="spellEnd"/>
      <w:r w:rsidRPr="001D3665">
        <w:t>. Departementet viser til lovframlegget.</w:t>
      </w:r>
    </w:p>
    <w:p w14:paraId="6B494694" w14:textId="77777777" w:rsidR="00BC371A" w:rsidRPr="001D3665" w:rsidRDefault="00BC371A" w:rsidP="001D3665">
      <w:r w:rsidRPr="001D3665">
        <w:t xml:space="preserve">Framlegget er </w:t>
      </w:r>
      <w:proofErr w:type="spellStart"/>
      <w:r w:rsidRPr="001D3665">
        <w:t>naudsynt</w:t>
      </w:r>
      <w:proofErr w:type="spellEnd"/>
      <w:r w:rsidRPr="001D3665">
        <w:t xml:space="preserve"> for å oppfylle pliktene etter ulike EU-rettsakter som vert gjennomførte i norsk rett. </w:t>
      </w:r>
      <w:proofErr w:type="spellStart"/>
      <w:r w:rsidRPr="001D3665">
        <w:t>Opplysingane</w:t>
      </w:r>
      <w:proofErr w:type="spellEnd"/>
      <w:r w:rsidRPr="001D3665">
        <w:t xml:space="preserve"> er </w:t>
      </w:r>
      <w:proofErr w:type="spellStart"/>
      <w:r w:rsidRPr="001D3665">
        <w:t>offentleg</w:t>
      </w:r>
      <w:proofErr w:type="spellEnd"/>
      <w:r w:rsidRPr="001D3665">
        <w:t xml:space="preserve"> </w:t>
      </w:r>
      <w:proofErr w:type="spellStart"/>
      <w:r w:rsidRPr="001D3665">
        <w:t>tilgjengelege</w:t>
      </w:r>
      <w:proofErr w:type="spellEnd"/>
      <w:r w:rsidRPr="001D3665">
        <w:t xml:space="preserve">, behandlinga er lite </w:t>
      </w:r>
      <w:proofErr w:type="spellStart"/>
      <w:r w:rsidRPr="001D3665">
        <w:t>inngripande</w:t>
      </w:r>
      <w:proofErr w:type="spellEnd"/>
      <w:r w:rsidRPr="001D3665">
        <w:t xml:space="preserve"> og </w:t>
      </w:r>
      <w:proofErr w:type="spellStart"/>
      <w:r w:rsidRPr="001D3665">
        <w:t>omfattar</w:t>
      </w:r>
      <w:proofErr w:type="spellEnd"/>
      <w:r w:rsidRPr="001D3665">
        <w:t xml:space="preserve"> </w:t>
      </w:r>
      <w:proofErr w:type="spellStart"/>
      <w:r w:rsidRPr="001D3665">
        <w:t>ein</w:t>
      </w:r>
      <w:proofErr w:type="spellEnd"/>
      <w:r w:rsidRPr="001D3665">
        <w:t xml:space="preserve"> avgrensa krins av </w:t>
      </w:r>
      <w:proofErr w:type="spellStart"/>
      <w:r w:rsidRPr="001D3665">
        <w:t>verksemder</w:t>
      </w:r>
      <w:proofErr w:type="spellEnd"/>
      <w:r w:rsidRPr="001D3665">
        <w:t xml:space="preserve">. Tiltaket vert </w:t>
      </w:r>
      <w:proofErr w:type="spellStart"/>
      <w:r w:rsidRPr="001D3665">
        <w:t>difor</w:t>
      </w:r>
      <w:proofErr w:type="spellEnd"/>
      <w:r w:rsidRPr="001D3665">
        <w:t xml:space="preserve"> vurdert som å stå til behovet.</w:t>
      </w:r>
    </w:p>
    <w:p w14:paraId="75259E83" w14:textId="77777777" w:rsidR="00BC371A" w:rsidRPr="001D3665" w:rsidRDefault="00BC371A" w:rsidP="001D3665">
      <w:r w:rsidRPr="001D3665">
        <w:t>Departementet viser til framlegg til vareførselsloven ny § 7-22.</w:t>
      </w:r>
    </w:p>
    <w:p w14:paraId="3F3F0672" w14:textId="77777777" w:rsidR="00BC371A" w:rsidRPr="001D3665" w:rsidRDefault="00BC371A" w:rsidP="001D3665">
      <w:r w:rsidRPr="001D3665">
        <w:t xml:space="preserve">Departementet foreslår at </w:t>
      </w:r>
      <w:proofErr w:type="spellStart"/>
      <w:r w:rsidRPr="001D3665">
        <w:t>lovendringane</w:t>
      </w:r>
      <w:proofErr w:type="spellEnd"/>
      <w:r w:rsidRPr="001D3665">
        <w:t xml:space="preserve"> tek til å gjelde 1. juli 2026.</w:t>
      </w:r>
    </w:p>
    <w:p w14:paraId="6FE70AD1" w14:textId="77777777" w:rsidR="00BC371A" w:rsidRPr="001D3665" w:rsidRDefault="00BC371A" w:rsidP="001D3665">
      <w:pPr>
        <w:pStyle w:val="Overskrift2"/>
      </w:pPr>
      <w:r w:rsidRPr="001D3665">
        <w:t xml:space="preserve">Økonomiske og administrative </w:t>
      </w:r>
      <w:proofErr w:type="spellStart"/>
      <w:r w:rsidRPr="001D3665">
        <w:t>konsekvensar</w:t>
      </w:r>
      <w:proofErr w:type="spellEnd"/>
    </w:p>
    <w:p w14:paraId="0D96F81A" w14:textId="77777777" w:rsidR="00BC371A" w:rsidRPr="001D3665" w:rsidRDefault="00BC371A" w:rsidP="001D3665">
      <w:r w:rsidRPr="001D3665">
        <w:t xml:space="preserve">Framlegget om registreringsordninga vil få </w:t>
      </w:r>
      <w:proofErr w:type="spellStart"/>
      <w:r w:rsidRPr="001D3665">
        <w:t>konsekvensar</w:t>
      </w:r>
      <w:proofErr w:type="spellEnd"/>
      <w:r w:rsidRPr="001D3665">
        <w:t xml:space="preserve"> for </w:t>
      </w:r>
      <w:proofErr w:type="spellStart"/>
      <w:r w:rsidRPr="001D3665">
        <w:t>aktørar</w:t>
      </w:r>
      <w:proofErr w:type="spellEnd"/>
      <w:r w:rsidRPr="001D3665">
        <w:t xml:space="preserve"> i næringslivet og for Tolletaten. </w:t>
      </w:r>
      <w:proofErr w:type="spellStart"/>
      <w:r w:rsidRPr="001D3665">
        <w:t>Ein</w:t>
      </w:r>
      <w:proofErr w:type="spellEnd"/>
      <w:r w:rsidRPr="001D3665">
        <w:t xml:space="preserve"> kan </w:t>
      </w:r>
      <w:proofErr w:type="spellStart"/>
      <w:r w:rsidRPr="001D3665">
        <w:t>ikkje</w:t>
      </w:r>
      <w:proofErr w:type="spellEnd"/>
      <w:r w:rsidRPr="001D3665">
        <w:t xml:space="preserve"> estimere </w:t>
      </w:r>
      <w:proofErr w:type="spellStart"/>
      <w:r w:rsidRPr="001D3665">
        <w:t>dei</w:t>
      </w:r>
      <w:proofErr w:type="spellEnd"/>
      <w:r w:rsidRPr="001D3665">
        <w:t xml:space="preserve"> økonomiske </w:t>
      </w:r>
      <w:proofErr w:type="spellStart"/>
      <w:r w:rsidRPr="001D3665">
        <w:t>konsekvensane</w:t>
      </w:r>
      <w:proofErr w:type="spellEnd"/>
      <w:r w:rsidRPr="001D3665">
        <w:t xml:space="preserve"> av registreringa konkret. </w:t>
      </w:r>
      <w:proofErr w:type="spellStart"/>
      <w:r w:rsidRPr="001D3665">
        <w:t>Ein</w:t>
      </w:r>
      <w:proofErr w:type="spellEnd"/>
      <w:r w:rsidRPr="001D3665">
        <w:t xml:space="preserve"> går likevel ut </w:t>
      </w:r>
      <w:proofErr w:type="spellStart"/>
      <w:r w:rsidRPr="001D3665">
        <w:t>frå</w:t>
      </w:r>
      <w:proofErr w:type="spellEnd"/>
      <w:r w:rsidRPr="001D3665">
        <w:t xml:space="preserve"> at </w:t>
      </w:r>
      <w:proofErr w:type="spellStart"/>
      <w:r w:rsidRPr="001D3665">
        <w:t>kostnadane</w:t>
      </w:r>
      <w:proofErr w:type="spellEnd"/>
      <w:r w:rsidRPr="001D3665">
        <w:t xml:space="preserve"> for </w:t>
      </w:r>
      <w:proofErr w:type="spellStart"/>
      <w:r w:rsidRPr="001D3665">
        <w:t>næringslivsaktørane</w:t>
      </w:r>
      <w:proofErr w:type="spellEnd"/>
      <w:r w:rsidRPr="001D3665">
        <w:t xml:space="preserve"> vil </w:t>
      </w:r>
      <w:proofErr w:type="spellStart"/>
      <w:r w:rsidRPr="001D3665">
        <w:t>vere</w:t>
      </w:r>
      <w:proofErr w:type="spellEnd"/>
      <w:r w:rsidRPr="001D3665">
        <w:t xml:space="preserve"> låge, og at det i </w:t>
      </w:r>
      <w:proofErr w:type="spellStart"/>
      <w:r w:rsidRPr="001D3665">
        <w:t>hovudsak</w:t>
      </w:r>
      <w:proofErr w:type="spellEnd"/>
      <w:r w:rsidRPr="001D3665">
        <w:t xml:space="preserve"> vil dreie seg om administrative </w:t>
      </w:r>
      <w:proofErr w:type="spellStart"/>
      <w:r w:rsidRPr="001D3665">
        <w:t>kostnadar</w:t>
      </w:r>
      <w:proofErr w:type="spellEnd"/>
      <w:r w:rsidRPr="001D3665">
        <w:t xml:space="preserve"> i samband med registreringa.</w:t>
      </w:r>
    </w:p>
    <w:p w14:paraId="73B8C0CE" w14:textId="77777777" w:rsidR="00BC371A" w:rsidRPr="001D3665" w:rsidRDefault="00BC371A" w:rsidP="001D3665">
      <w:proofErr w:type="spellStart"/>
      <w:r w:rsidRPr="001D3665">
        <w:t>Kostnadane</w:t>
      </w:r>
      <w:proofErr w:type="spellEnd"/>
      <w:r w:rsidRPr="001D3665">
        <w:t xml:space="preserve"> ved å utvikle og etablere registeret er av Tolletaten talfesta til om lag 19 mill. kroner (eks. </w:t>
      </w:r>
      <w:proofErr w:type="spellStart"/>
      <w:r w:rsidRPr="001D3665">
        <w:t>mva</w:t>
      </w:r>
      <w:proofErr w:type="spellEnd"/>
      <w:r w:rsidRPr="001D3665">
        <w:t xml:space="preserve">). Dei </w:t>
      </w:r>
      <w:proofErr w:type="spellStart"/>
      <w:r w:rsidRPr="001D3665">
        <w:t>omfattar</w:t>
      </w:r>
      <w:proofErr w:type="spellEnd"/>
      <w:r w:rsidRPr="001D3665">
        <w:t xml:space="preserve"> mellom anna </w:t>
      </w:r>
      <w:proofErr w:type="spellStart"/>
      <w:r w:rsidRPr="001D3665">
        <w:t>naudsynt</w:t>
      </w:r>
      <w:proofErr w:type="spellEnd"/>
      <w:r w:rsidRPr="001D3665">
        <w:t xml:space="preserve"> forretnings- og systemutvikling og rettleiing. Varige drifts- og </w:t>
      </w:r>
      <w:proofErr w:type="spellStart"/>
      <w:r w:rsidRPr="001D3665">
        <w:t>forvaltingskostnadar</w:t>
      </w:r>
      <w:proofErr w:type="spellEnd"/>
      <w:r w:rsidRPr="001D3665">
        <w:t xml:space="preserve"> er talfesta til om lag 13 mill. kroner (eks. </w:t>
      </w:r>
      <w:proofErr w:type="spellStart"/>
      <w:r w:rsidRPr="001D3665">
        <w:t>mva</w:t>
      </w:r>
      <w:proofErr w:type="spellEnd"/>
      <w:r w:rsidRPr="001D3665">
        <w:t>).</w:t>
      </w:r>
    </w:p>
    <w:p w14:paraId="11C983FE" w14:textId="77777777" w:rsidR="00BC371A" w:rsidRPr="001D3665" w:rsidRDefault="00BC371A" w:rsidP="001D3665">
      <w:pPr>
        <w:pStyle w:val="Overskrift1"/>
      </w:pPr>
      <w:proofErr w:type="spellStart"/>
      <w:r w:rsidRPr="001D3665">
        <w:t>Aktivitetspengar</w:t>
      </w:r>
      <w:proofErr w:type="spellEnd"/>
      <w:r w:rsidRPr="001D3665">
        <w:t xml:space="preserve"> for unge</w:t>
      </w:r>
    </w:p>
    <w:p w14:paraId="7AD96323" w14:textId="77777777" w:rsidR="00BC371A" w:rsidRPr="001D3665" w:rsidRDefault="00BC371A" w:rsidP="001D3665">
      <w:r w:rsidRPr="001D3665">
        <w:t xml:space="preserve">Regjeringa vil innføre ei forsøksordning med </w:t>
      </w:r>
      <w:proofErr w:type="spellStart"/>
      <w:r w:rsidRPr="001D3665">
        <w:t>aktivitetspengar</w:t>
      </w:r>
      <w:proofErr w:type="spellEnd"/>
      <w:r w:rsidRPr="001D3665">
        <w:t xml:space="preserve"> for unge. Ytinga er </w:t>
      </w:r>
      <w:proofErr w:type="spellStart"/>
      <w:r w:rsidRPr="001D3665">
        <w:t>nærare</w:t>
      </w:r>
      <w:proofErr w:type="spellEnd"/>
      <w:r w:rsidRPr="001D3665">
        <w:t xml:space="preserve"> omtalt på s. 121 i </w:t>
      </w:r>
      <w:proofErr w:type="spellStart"/>
      <w:r w:rsidRPr="001D3665">
        <w:t>Prop</w:t>
      </w:r>
      <w:proofErr w:type="spellEnd"/>
      <w:r w:rsidRPr="001D3665">
        <w:t xml:space="preserve">. 1 S (2025–2026) </w:t>
      </w:r>
      <w:proofErr w:type="spellStart"/>
      <w:r w:rsidRPr="001D3665">
        <w:t>frå</w:t>
      </w:r>
      <w:proofErr w:type="spellEnd"/>
      <w:r w:rsidRPr="001D3665">
        <w:t xml:space="preserve"> Arbeids- og inkluderingsdepartementet. Ytinga høyrer under prosjektet </w:t>
      </w:r>
      <w:proofErr w:type="spellStart"/>
      <w:r w:rsidRPr="001D3665">
        <w:rPr>
          <w:rStyle w:val="kursiv"/>
        </w:rPr>
        <w:t>Eit</w:t>
      </w:r>
      <w:proofErr w:type="spellEnd"/>
      <w:r w:rsidRPr="001D3665">
        <w:rPr>
          <w:rStyle w:val="kursiv"/>
        </w:rPr>
        <w:t xml:space="preserve"> </w:t>
      </w:r>
      <w:proofErr w:type="spellStart"/>
      <w:r w:rsidRPr="001D3665">
        <w:rPr>
          <w:rStyle w:val="kursiv"/>
        </w:rPr>
        <w:t>enklare</w:t>
      </w:r>
      <w:proofErr w:type="spellEnd"/>
      <w:r w:rsidRPr="001D3665">
        <w:rPr>
          <w:rStyle w:val="kursiv"/>
        </w:rPr>
        <w:t xml:space="preserve"> Nav</w:t>
      </w:r>
      <w:r w:rsidRPr="001D3665">
        <w:t xml:space="preserve">, som er </w:t>
      </w:r>
      <w:proofErr w:type="spellStart"/>
      <w:r w:rsidRPr="001D3665">
        <w:t>eit</w:t>
      </w:r>
      <w:proofErr w:type="spellEnd"/>
      <w:r w:rsidRPr="001D3665">
        <w:t xml:space="preserve"> samarbeid mellom Nav </w:t>
      </w:r>
      <w:proofErr w:type="spellStart"/>
      <w:r w:rsidRPr="001D3665">
        <w:t>Falkenborg</w:t>
      </w:r>
      <w:proofErr w:type="spellEnd"/>
      <w:r w:rsidRPr="001D3665">
        <w:t xml:space="preserve">, Nav Lerkendal, Trondheim kommune, </w:t>
      </w:r>
      <w:proofErr w:type="spellStart"/>
      <w:r w:rsidRPr="001D3665">
        <w:t>Statsforvaltaren</w:t>
      </w:r>
      <w:proofErr w:type="spellEnd"/>
      <w:r w:rsidRPr="001D3665">
        <w:t xml:space="preserve"> i Trøndelag, Nav Trøndelag og Arbeids- og velferdsdirektoratet. Forsøket skal prøve ut </w:t>
      </w:r>
      <w:proofErr w:type="spellStart"/>
      <w:r w:rsidRPr="001D3665">
        <w:t>éin</w:t>
      </w:r>
      <w:proofErr w:type="spellEnd"/>
      <w:r w:rsidRPr="001D3665">
        <w:t xml:space="preserve"> stønad til unge under 30 år med tett og individuelt tilpassa oppfølging og aktivitet. Slik kjem unge </w:t>
      </w:r>
      <w:proofErr w:type="spellStart"/>
      <w:r w:rsidRPr="001D3665">
        <w:t>raskare</w:t>
      </w:r>
      <w:proofErr w:type="spellEnd"/>
      <w:r w:rsidRPr="001D3665">
        <w:t xml:space="preserve"> i gang med </w:t>
      </w:r>
      <w:proofErr w:type="spellStart"/>
      <w:r w:rsidRPr="001D3665">
        <w:t>arbeidsretta</w:t>
      </w:r>
      <w:proofErr w:type="spellEnd"/>
      <w:r w:rsidRPr="001D3665">
        <w:t xml:space="preserve"> oppfølging, mellom anna ved at </w:t>
      </w:r>
      <w:proofErr w:type="spellStart"/>
      <w:r w:rsidRPr="001D3665">
        <w:t>dei</w:t>
      </w:r>
      <w:proofErr w:type="spellEnd"/>
      <w:r w:rsidRPr="001D3665">
        <w:t xml:space="preserve"> får tilgang til inntektssikring </w:t>
      </w:r>
      <w:proofErr w:type="spellStart"/>
      <w:r w:rsidRPr="001D3665">
        <w:t>utan</w:t>
      </w:r>
      <w:proofErr w:type="spellEnd"/>
      <w:r w:rsidRPr="001D3665">
        <w:t xml:space="preserve"> </w:t>
      </w:r>
      <w:proofErr w:type="spellStart"/>
      <w:r w:rsidRPr="001D3665">
        <w:t>eit</w:t>
      </w:r>
      <w:proofErr w:type="spellEnd"/>
      <w:r w:rsidRPr="001D3665">
        <w:t xml:space="preserve"> helserelatert inngangsvilkår.</w:t>
      </w:r>
    </w:p>
    <w:p w14:paraId="00BD3AF1" w14:textId="77777777" w:rsidR="00BC371A" w:rsidRPr="001D3665" w:rsidRDefault="00BC371A" w:rsidP="001D3665">
      <w:r w:rsidRPr="001D3665">
        <w:t xml:space="preserve">Ytinga vert </w:t>
      </w:r>
      <w:proofErr w:type="spellStart"/>
      <w:r w:rsidRPr="001D3665">
        <w:t>skattlagd</w:t>
      </w:r>
      <w:proofErr w:type="spellEnd"/>
      <w:r w:rsidRPr="001D3665">
        <w:t xml:space="preserve"> som </w:t>
      </w:r>
      <w:proofErr w:type="spellStart"/>
      <w:r w:rsidRPr="001D3665">
        <w:t>løn</w:t>
      </w:r>
      <w:proofErr w:type="spellEnd"/>
      <w:r w:rsidRPr="001D3665">
        <w:t xml:space="preserve"> og vert </w:t>
      </w:r>
      <w:proofErr w:type="spellStart"/>
      <w:r w:rsidRPr="001D3665">
        <w:t>rekna</w:t>
      </w:r>
      <w:proofErr w:type="spellEnd"/>
      <w:r w:rsidRPr="001D3665">
        <w:t xml:space="preserve"> som </w:t>
      </w:r>
      <w:proofErr w:type="spellStart"/>
      <w:r w:rsidRPr="001D3665">
        <w:t>pensjonsgjevande</w:t>
      </w:r>
      <w:proofErr w:type="spellEnd"/>
      <w:r w:rsidRPr="001D3665">
        <w:t xml:space="preserve"> inntekt.</w:t>
      </w:r>
    </w:p>
    <w:p w14:paraId="768AE186" w14:textId="77777777" w:rsidR="00BC371A" w:rsidRPr="001D3665" w:rsidRDefault="00BC371A" w:rsidP="001D3665">
      <w:r w:rsidRPr="001D3665">
        <w:t xml:space="preserve">Departementet foreslår </w:t>
      </w:r>
      <w:proofErr w:type="spellStart"/>
      <w:r w:rsidRPr="001D3665">
        <w:t>difor</w:t>
      </w:r>
      <w:proofErr w:type="spellEnd"/>
      <w:r w:rsidRPr="001D3665">
        <w:t xml:space="preserve"> at «aktivitetspenger for unge» vert lagt til i </w:t>
      </w:r>
      <w:proofErr w:type="spellStart"/>
      <w:r w:rsidRPr="001D3665">
        <w:t>opprekningane</w:t>
      </w:r>
      <w:proofErr w:type="spellEnd"/>
      <w:r w:rsidRPr="001D3665">
        <w:t xml:space="preserve"> som </w:t>
      </w:r>
      <w:proofErr w:type="spellStart"/>
      <w:r w:rsidRPr="001D3665">
        <w:t>finst</w:t>
      </w:r>
      <w:proofErr w:type="spellEnd"/>
      <w:r w:rsidRPr="001D3665">
        <w:t xml:space="preserve"> i skatteloven § 5-42 bokstav a, § 6-32 bokstav a og § 12-2 fyrste ledd bokstav c, og </w:t>
      </w:r>
      <w:proofErr w:type="spellStart"/>
      <w:r w:rsidRPr="001D3665">
        <w:t>dessutan</w:t>
      </w:r>
      <w:proofErr w:type="spellEnd"/>
      <w:r w:rsidRPr="001D3665">
        <w:t xml:space="preserve"> folketrygdloven § 23-3 andre ledd nr. 2 bokstav b. Departementet foreslår at </w:t>
      </w:r>
      <w:proofErr w:type="spellStart"/>
      <w:r w:rsidRPr="001D3665">
        <w:t>endringane</w:t>
      </w:r>
      <w:proofErr w:type="spellEnd"/>
      <w:r w:rsidRPr="001D3665">
        <w:t xml:space="preserve"> </w:t>
      </w:r>
      <w:proofErr w:type="spellStart"/>
      <w:r w:rsidRPr="001D3665">
        <w:t>tek</w:t>
      </w:r>
      <w:proofErr w:type="spellEnd"/>
      <w:r w:rsidRPr="001D3665">
        <w:t xml:space="preserve"> til å gjelde straks med verknad </w:t>
      </w:r>
      <w:proofErr w:type="spellStart"/>
      <w:r w:rsidRPr="001D3665">
        <w:t>frå</w:t>
      </w:r>
      <w:proofErr w:type="spellEnd"/>
      <w:r w:rsidRPr="001D3665">
        <w:t xml:space="preserve"> 1. juli 2026.</w:t>
      </w:r>
    </w:p>
    <w:p w14:paraId="48FAD7CD" w14:textId="77777777" w:rsidR="00BC371A" w:rsidRPr="001D3665" w:rsidRDefault="00BC371A" w:rsidP="001D3665">
      <w:r w:rsidRPr="001D3665">
        <w:t>Ytinga vert rapporteringspliktig etter skatteforvaltningsloven § 7-2 fyrste ledd bokstav b og trekkpliktig etter skattebetalingsloven § 5-6 fyrste ledd bokstav b.</w:t>
      </w:r>
    </w:p>
    <w:p w14:paraId="5A35BE18" w14:textId="77777777" w:rsidR="00BC371A" w:rsidRPr="001D3665" w:rsidRDefault="00BC371A" w:rsidP="001D3665">
      <w:pPr>
        <w:pStyle w:val="Overskrift1"/>
      </w:pPr>
      <w:proofErr w:type="spellStart"/>
      <w:r w:rsidRPr="001D3665">
        <w:lastRenderedPageBreak/>
        <w:t>Endringar</w:t>
      </w:r>
      <w:proofErr w:type="spellEnd"/>
      <w:r w:rsidRPr="001D3665">
        <w:t xml:space="preserve"> i sjukdomslista i lov om kompensasjonsordning for kjemikalieskadde </w:t>
      </w:r>
      <w:proofErr w:type="spellStart"/>
      <w:r w:rsidRPr="001D3665">
        <w:t>oljepionerar</w:t>
      </w:r>
      <w:proofErr w:type="spellEnd"/>
    </w:p>
    <w:p w14:paraId="5ACA8AC4" w14:textId="77777777" w:rsidR="00BC371A" w:rsidRPr="001D3665" w:rsidRDefault="00BC371A" w:rsidP="001D3665">
      <w:pPr>
        <w:pStyle w:val="Overskrift2"/>
      </w:pPr>
      <w:r w:rsidRPr="001D3665">
        <w:t>Bakgrunn for endringa</w:t>
      </w:r>
    </w:p>
    <w:p w14:paraId="273A5832" w14:textId="77777777" w:rsidR="00BC371A" w:rsidRPr="001D3665" w:rsidRDefault="00BC371A" w:rsidP="001D3665">
      <w:r w:rsidRPr="001D3665">
        <w:t xml:space="preserve">Ved utarbeiding av framlegg til </w:t>
      </w:r>
      <w:proofErr w:type="spellStart"/>
      <w:r w:rsidRPr="001D3665">
        <w:t>dei</w:t>
      </w:r>
      <w:proofErr w:type="spellEnd"/>
      <w:r w:rsidRPr="001D3665">
        <w:t xml:space="preserve"> medisinske kriteria for kompensasjonsordninga tok Arbeids- og inkluderingsdepartementet, i tråd med Stortingets </w:t>
      </w:r>
      <w:proofErr w:type="spellStart"/>
      <w:r w:rsidRPr="001D3665">
        <w:t>tidlegare</w:t>
      </w:r>
      <w:proofErr w:type="spellEnd"/>
      <w:r w:rsidRPr="001D3665">
        <w:t xml:space="preserve"> oppmoding i saka, utgangspunkt i </w:t>
      </w:r>
      <w:proofErr w:type="spellStart"/>
      <w:r w:rsidRPr="001D3665">
        <w:t>fleirtalsframlegget</w:t>
      </w:r>
      <w:proofErr w:type="spellEnd"/>
      <w:r w:rsidRPr="001D3665">
        <w:t xml:space="preserve"> </w:t>
      </w:r>
      <w:proofErr w:type="spellStart"/>
      <w:r w:rsidRPr="001D3665">
        <w:t>frå</w:t>
      </w:r>
      <w:proofErr w:type="spellEnd"/>
      <w:r w:rsidRPr="001D3665">
        <w:t xml:space="preserve"> Oljepionerkommisjonen i NOU 2022: 19. </w:t>
      </w:r>
      <w:proofErr w:type="spellStart"/>
      <w:r w:rsidRPr="001D3665">
        <w:t>Fleirtalsframlegget</w:t>
      </w:r>
      <w:proofErr w:type="spellEnd"/>
      <w:r w:rsidRPr="001D3665">
        <w:t xml:space="preserve"> </w:t>
      </w:r>
      <w:proofErr w:type="spellStart"/>
      <w:r w:rsidRPr="001D3665">
        <w:t>frå</w:t>
      </w:r>
      <w:proofErr w:type="spellEnd"/>
      <w:r w:rsidRPr="001D3665">
        <w:t xml:space="preserve"> kommisjonen stiller krav om varig sjukdom eller skade som på gruppenivå har dokumentert </w:t>
      </w:r>
      <w:proofErr w:type="spellStart"/>
      <w:r w:rsidRPr="001D3665">
        <w:t>samanheng</w:t>
      </w:r>
      <w:proofErr w:type="spellEnd"/>
      <w:r w:rsidRPr="001D3665">
        <w:t xml:space="preserve"> med eksponering for boreslam, hydrokarbon eller benzen i offshorearbeidet. På individnivå må det </w:t>
      </w:r>
      <w:proofErr w:type="spellStart"/>
      <w:r w:rsidRPr="001D3665">
        <w:t>vere</w:t>
      </w:r>
      <w:proofErr w:type="spellEnd"/>
      <w:r w:rsidRPr="001D3665">
        <w:t xml:space="preserve"> </w:t>
      </w:r>
      <w:proofErr w:type="spellStart"/>
      <w:r w:rsidRPr="001D3665">
        <w:t>ein</w:t>
      </w:r>
      <w:proofErr w:type="spellEnd"/>
      <w:r w:rsidRPr="001D3665">
        <w:t xml:space="preserve"> </w:t>
      </w:r>
      <w:proofErr w:type="spellStart"/>
      <w:r w:rsidRPr="001D3665">
        <w:t>mogleg</w:t>
      </w:r>
      <w:proofErr w:type="spellEnd"/>
      <w:r w:rsidRPr="001D3665">
        <w:t xml:space="preserve"> </w:t>
      </w:r>
      <w:proofErr w:type="spellStart"/>
      <w:r w:rsidRPr="001D3665">
        <w:t>samanheng</w:t>
      </w:r>
      <w:proofErr w:type="spellEnd"/>
      <w:r w:rsidRPr="001D3665">
        <w:t xml:space="preserve"> mellom sjukdommen eller skaden og kjemikalieeksponeringa.</w:t>
      </w:r>
    </w:p>
    <w:p w14:paraId="04564B96" w14:textId="77777777" w:rsidR="00BC371A" w:rsidRPr="001D3665" w:rsidRDefault="00BC371A" w:rsidP="001D3665">
      <w:r w:rsidRPr="001D3665">
        <w:t xml:space="preserve">Oljepionerlova § 3 </w:t>
      </w:r>
      <w:proofErr w:type="spellStart"/>
      <w:r w:rsidRPr="001D3665">
        <w:t>listar</w:t>
      </w:r>
      <w:proofErr w:type="spellEnd"/>
      <w:r w:rsidRPr="001D3665">
        <w:t xml:space="preserve"> opp kva for </w:t>
      </w:r>
      <w:proofErr w:type="spellStart"/>
      <w:r w:rsidRPr="001D3665">
        <w:t>sjukdommar</w:t>
      </w:r>
      <w:proofErr w:type="spellEnd"/>
      <w:r w:rsidRPr="001D3665">
        <w:t xml:space="preserve"> og skader som kan </w:t>
      </w:r>
      <w:proofErr w:type="spellStart"/>
      <w:r w:rsidRPr="001D3665">
        <w:t>gje</w:t>
      </w:r>
      <w:proofErr w:type="spellEnd"/>
      <w:r w:rsidRPr="001D3665">
        <w:t xml:space="preserve"> rett til kompensasjon etter lova, sjå bokstav a–f. Sjukdomslista er </w:t>
      </w:r>
      <w:proofErr w:type="spellStart"/>
      <w:r w:rsidRPr="001D3665">
        <w:t>uttømmande</w:t>
      </w:r>
      <w:proofErr w:type="spellEnd"/>
      <w:r w:rsidRPr="001D3665">
        <w:t xml:space="preserve">. </w:t>
      </w:r>
      <w:proofErr w:type="spellStart"/>
      <w:r w:rsidRPr="001D3665">
        <w:t>Sjukdommane</w:t>
      </w:r>
      <w:proofErr w:type="spellEnd"/>
      <w:r w:rsidRPr="001D3665">
        <w:t xml:space="preserve"> som er lista opp her er </w:t>
      </w:r>
      <w:proofErr w:type="spellStart"/>
      <w:r w:rsidRPr="001D3665">
        <w:t>sjukdommar</w:t>
      </w:r>
      <w:proofErr w:type="spellEnd"/>
      <w:r w:rsidRPr="001D3665">
        <w:t xml:space="preserve"> der det, basert på internasjonal forsking, er påvist </w:t>
      </w:r>
      <w:proofErr w:type="spellStart"/>
      <w:r w:rsidRPr="001D3665">
        <w:t>ein</w:t>
      </w:r>
      <w:proofErr w:type="spellEnd"/>
      <w:r w:rsidRPr="001D3665">
        <w:t xml:space="preserve"> dokumentert </w:t>
      </w:r>
      <w:proofErr w:type="spellStart"/>
      <w:r w:rsidRPr="001D3665">
        <w:t>samanheng</w:t>
      </w:r>
      <w:proofErr w:type="spellEnd"/>
      <w:r w:rsidRPr="001D3665">
        <w:t xml:space="preserve"> med eksponering for boreslam, hydrokarbon eller benzen, jf. </w:t>
      </w:r>
      <w:proofErr w:type="spellStart"/>
      <w:r w:rsidRPr="001D3665">
        <w:t>Prop</w:t>
      </w:r>
      <w:proofErr w:type="spellEnd"/>
      <w:r w:rsidRPr="001D3665">
        <w:t>. 7 L (2025–2026) punkt 5.2.3.1:</w:t>
      </w:r>
    </w:p>
    <w:p w14:paraId="7D9E6FA9" w14:textId="77777777" w:rsidR="00BC371A" w:rsidRPr="001D3665" w:rsidRDefault="00BC371A" w:rsidP="001D3665">
      <w:pPr>
        <w:pStyle w:val="blokksit"/>
      </w:pPr>
      <w:r w:rsidRPr="001D3665">
        <w:t xml:space="preserve">Etter departementet sitt syn bør det, slik kommisjonen </w:t>
      </w:r>
      <w:proofErr w:type="spellStart"/>
      <w:r w:rsidRPr="001D3665">
        <w:t>legg</w:t>
      </w:r>
      <w:proofErr w:type="spellEnd"/>
      <w:r w:rsidRPr="001D3665">
        <w:t xml:space="preserve"> til grunn, </w:t>
      </w:r>
      <w:proofErr w:type="spellStart"/>
      <w:r w:rsidRPr="001D3665">
        <w:t>vere</w:t>
      </w:r>
      <w:proofErr w:type="spellEnd"/>
      <w:r w:rsidRPr="001D3665">
        <w:t xml:space="preserve"> </w:t>
      </w:r>
      <w:proofErr w:type="spellStart"/>
      <w:r w:rsidRPr="001D3665">
        <w:t>sjukdommar</w:t>
      </w:r>
      <w:proofErr w:type="spellEnd"/>
      <w:r w:rsidRPr="001D3665">
        <w:t xml:space="preserve"> og </w:t>
      </w:r>
      <w:proofErr w:type="spellStart"/>
      <w:r w:rsidRPr="001D3665">
        <w:t>skadar</w:t>
      </w:r>
      <w:proofErr w:type="spellEnd"/>
      <w:r w:rsidRPr="001D3665">
        <w:t xml:space="preserve"> som har </w:t>
      </w:r>
      <w:proofErr w:type="spellStart"/>
      <w:r w:rsidRPr="001D3665">
        <w:t>ein</w:t>
      </w:r>
      <w:proofErr w:type="spellEnd"/>
      <w:r w:rsidRPr="001D3665">
        <w:t xml:space="preserve"> dokumentert </w:t>
      </w:r>
      <w:proofErr w:type="spellStart"/>
      <w:r w:rsidRPr="001D3665">
        <w:t>samanheng</w:t>
      </w:r>
      <w:proofErr w:type="spellEnd"/>
      <w:r w:rsidRPr="001D3665">
        <w:t xml:space="preserve"> med eksponering for boreslam, hydrokarbon og benzen, som skal kunne gi rett til kompensasjon. Dette er eksponeringsforhold som var </w:t>
      </w:r>
      <w:proofErr w:type="spellStart"/>
      <w:r w:rsidRPr="001D3665">
        <w:t>særskilde</w:t>
      </w:r>
      <w:proofErr w:type="spellEnd"/>
      <w:r w:rsidRPr="001D3665">
        <w:t xml:space="preserve"> for arbeidet offshore i pionertida, og som </w:t>
      </w:r>
      <w:proofErr w:type="spellStart"/>
      <w:r w:rsidRPr="001D3665">
        <w:t>ikkje</w:t>
      </w:r>
      <w:proofErr w:type="spellEnd"/>
      <w:r w:rsidRPr="001D3665">
        <w:t xml:space="preserve"> var like for elles </w:t>
      </w:r>
      <w:proofErr w:type="spellStart"/>
      <w:r w:rsidRPr="001D3665">
        <w:t>samanliknbare</w:t>
      </w:r>
      <w:proofErr w:type="spellEnd"/>
      <w:r w:rsidRPr="001D3665">
        <w:t xml:space="preserve"> </w:t>
      </w:r>
      <w:proofErr w:type="spellStart"/>
      <w:r w:rsidRPr="001D3665">
        <w:t>arbeidstakargrupper</w:t>
      </w:r>
      <w:proofErr w:type="spellEnd"/>
      <w:r w:rsidRPr="001D3665">
        <w:t xml:space="preserve"> i det landbaserte arbeidslivet i </w:t>
      </w:r>
      <w:proofErr w:type="spellStart"/>
      <w:r w:rsidRPr="001D3665">
        <w:t>tilsvarande</w:t>
      </w:r>
      <w:proofErr w:type="spellEnd"/>
      <w:r w:rsidRPr="001D3665">
        <w:t xml:space="preserve"> periode. Det </w:t>
      </w:r>
      <w:proofErr w:type="spellStart"/>
      <w:r w:rsidRPr="001D3665">
        <w:t>finst</w:t>
      </w:r>
      <w:proofErr w:type="spellEnd"/>
      <w:r w:rsidRPr="001D3665">
        <w:t xml:space="preserve"> </w:t>
      </w:r>
      <w:proofErr w:type="spellStart"/>
      <w:r w:rsidRPr="001D3665">
        <w:t>fleire</w:t>
      </w:r>
      <w:proofErr w:type="spellEnd"/>
      <w:r w:rsidRPr="001D3665">
        <w:t xml:space="preserve"> </w:t>
      </w:r>
      <w:proofErr w:type="spellStart"/>
      <w:r w:rsidRPr="001D3665">
        <w:t>typar</w:t>
      </w:r>
      <w:proofErr w:type="spellEnd"/>
      <w:r w:rsidRPr="001D3665">
        <w:t xml:space="preserve"> blod- og lymfekreft, men det er ifølge Statens arbeidsmiljøinstitutt (STAMI) </w:t>
      </w:r>
      <w:proofErr w:type="spellStart"/>
      <w:r w:rsidRPr="001D3665">
        <w:t>berre</w:t>
      </w:r>
      <w:proofErr w:type="spellEnd"/>
      <w:r w:rsidRPr="001D3665">
        <w:t xml:space="preserve"> </w:t>
      </w:r>
      <w:proofErr w:type="spellStart"/>
      <w:r w:rsidRPr="001D3665">
        <w:t>nokre</w:t>
      </w:r>
      <w:proofErr w:type="spellEnd"/>
      <w:r w:rsidRPr="001D3665">
        <w:t xml:space="preserve"> av </w:t>
      </w:r>
      <w:proofErr w:type="spellStart"/>
      <w:r w:rsidRPr="001D3665">
        <w:t>desse</w:t>
      </w:r>
      <w:proofErr w:type="spellEnd"/>
      <w:r w:rsidRPr="001D3665">
        <w:t xml:space="preserve"> som har </w:t>
      </w:r>
      <w:proofErr w:type="spellStart"/>
      <w:r w:rsidRPr="001D3665">
        <w:t>ein</w:t>
      </w:r>
      <w:proofErr w:type="spellEnd"/>
      <w:r w:rsidRPr="001D3665">
        <w:t xml:space="preserve"> dokumentert </w:t>
      </w:r>
      <w:proofErr w:type="spellStart"/>
      <w:r w:rsidRPr="001D3665">
        <w:t>samanheng</w:t>
      </w:r>
      <w:proofErr w:type="spellEnd"/>
      <w:r w:rsidRPr="001D3665">
        <w:t xml:space="preserve"> med eksponering for </w:t>
      </w:r>
      <w:proofErr w:type="spellStart"/>
      <w:r w:rsidRPr="001D3665">
        <w:t>dei</w:t>
      </w:r>
      <w:proofErr w:type="spellEnd"/>
      <w:r w:rsidRPr="001D3665">
        <w:t xml:space="preserve"> </w:t>
      </w:r>
      <w:proofErr w:type="spellStart"/>
      <w:r w:rsidRPr="001D3665">
        <w:t>nemnde</w:t>
      </w:r>
      <w:proofErr w:type="spellEnd"/>
      <w:r w:rsidRPr="001D3665">
        <w:t xml:space="preserve"> kjemikalia. Dette </w:t>
      </w:r>
      <w:proofErr w:type="spellStart"/>
      <w:r w:rsidRPr="001D3665">
        <w:t>omfattar</w:t>
      </w:r>
      <w:proofErr w:type="spellEnd"/>
      <w:r w:rsidRPr="001D3665">
        <w:t xml:space="preserve"> akutt myelogen leukemi, </w:t>
      </w:r>
      <w:proofErr w:type="spellStart"/>
      <w:r w:rsidRPr="001D3665">
        <w:t>myelodysplastisk</w:t>
      </w:r>
      <w:proofErr w:type="spellEnd"/>
      <w:r w:rsidRPr="001D3665">
        <w:t xml:space="preserve"> </w:t>
      </w:r>
      <w:proofErr w:type="spellStart"/>
      <w:r w:rsidRPr="001D3665">
        <w:t>neoplasi</w:t>
      </w:r>
      <w:proofErr w:type="spellEnd"/>
      <w:r w:rsidRPr="001D3665">
        <w:t xml:space="preserve"> (MDS), myelomatose og kronisk lymfatisk leukemi. Departementet </w:t>
      </w:r>
      <w:proofErr w:type="spellStart"/>
      <w:r w:rsidRPr="001D3665">
        <w:t>legg</w:t>
      </w:r>
      <w:proofErr w:type="spellEnd"/>
      <w:r w:rsidRPr="001D3665">
        <w:t xml:space="preserve"> til grunn at det er </w:t>
      </w:r>
      <w:proofErr w:type="spellStart"/>
      <w:r w:rsidRPr="001D3665">
        <w:t>desse</w:t>
      </w:r>
      <w:proofErr w:type="spellEnd"/>
      <w:r w:rsidRPr="001D3665">
        <w:t xml:space="preserve"> </w:t>
      </w:r>
      <w:proofErr w:type="spellStart"/>
      <w:r w:rsidRPr="001D3665">
        <w:t>typane</w:t>
      </w:r>
      <w:proofErr w:type="spellEnd"/>
      <w:r w:rsidRPr="001D3665">
        <w:t xml:space="preserve"> blod- og lymfekreft, og </w:t>
      </w:r>
      <w:proofErr w:type="spellStart"/>
      <w:r w:rsidRPr="001D3665">
        <w:t>dei</w:t>
      </w:r>
      <w:proofErr w:type="spellEnd"/>
      <w:r w:rsidRPr="001D3665">
        <w:t xml:space="preserve"> andre </w:t>
      </w:r>
      <w:proofErr w:type="spellStart"/>
      <w:r w:rsidRPr="001D3665">
        <w:t>sjukdommane</w:t>
      </w:r>
      <w:proofErr w:type="spellEnd"/>
      <w:r w:rsidRPr="001D3665">
        <w:t xml:space="preserve"> og </w:t>
      </w:r>
      <w:proofErr w:type="spellStart"/>
      <w:r w:rsidRPr="001D3665">
        <w:t>skadane</w:t>
      </w:r>
      <w:proofErr w:type="spellEnd"/>
      <w:r w:rsidRPr="001D3665">
        <w:t xml:space="preserve"> som er </w:t>
      </w:r>
      <w:proofErr w:type="spellStart"/>
      <w:r w:rsidRPr="001D3665">
        <w:t>nemnde</w:t>
      </w:r>
      <w:proofErr w:type="spellEnd"/>
      <w:r w:rsidRPr="001D3665">
        <w:t xml:space="preserve"> </w:t>
      </w:r>
      <w:proofErr w:type="spellStart"/>
      <w:r w:rsidRPr="001D3665">
        <w:t>ovanfor</w:t>
      </w:r>
      <w:proofErr w:type="spellEnd"/>
      <w:r w:rsidRPr="001D3665">
        <w:t xml:space="preserve">, som bør </w:t>
      </w:r>
      <w:proofErr w:type="spellStart"/>
      <w:r w:rsidRPr="001D3665">
        <w:t>vere</w:t>
      </w:r>
      <w:proofErr w:type="spellEnd"/>
      <w:r w:rsidRPr="001D3665">
        <w:t xml:space="preserve"> omfatta av ordninga og kunne gi rett til kompensasjon.</w:t>
      </w:r>
    </w:p>
    <w:p w14:paraId="422EB31C" w14:textId="77777777" w:rsidR="00BC371A" w:rsidRPr="001D3665" w:rsidRDefault="00BC371A" w:rsidP="001D3665">
      <w:r w:rsidRPr="001D3665">
        <w:t xml:space="preserve">Etter at Stortinget vedtok oljepionerlova, har Arbeids- og inkluderingsdepartementet fått </w:t>
      </w:r>
      <w:proofErr w:type="spellStart"/>
      <w:r w:rsidRPr="001D3665">
        <w:t>opplysingar</w:t>
      </w:r>
      <w:proofErr w:type="spellEnd"/>
      <w:r w:rsidRPr="001D3665">
        <w:t xml:space="preserve"> om at det kunne </w:t>
      </w:r>
      <w:proofErr w:type="spellStart"/>
      <w:r w:rsidRPr="001D3665">
        <w:t>vere</w:t>
      </w:r>
      <w:proofErr w:type="spellEnd"/>
      <w:r w:rsidRPr="001D3665">
        <w:t xml:space="preserve"> behov for å </w:t>
      </w:r>
      <w:proofErr w:type="spellStart"/>
      <w:r w:rsidRPr="001D3665">
        <w:t>gjere</w:t>
      </w:r>
      <w:proofErr w:type="spellEnd"/>
      <w:r w:rsidRPr="001D3665">
        <w:t xml:space="preserve"> ei avgrensa tilføying i sjukdomslista. Etter </w:t>
      </w:r>
      <w:proofErr w:type="spellStart"/>
      <w:r w:rsidRPr="001D3665">
        <w:t>ytterlegare</w:t>
      </w:r>
      <w:proofErr w:type="spellEnd"/>
      <w:r w:rsidRPr="001D3665">
        <w:t xml:space="preserve"> </w:t>
      </w:r>
      <w:proofErr w:type="spellStart"/>
      <w:r w:rsidRPr="001D3665">
        <w:t>undersøkingar</w:t>
      </w:r>
      <w:proofErr w:type="spellEnd"/>
      <w:r w:rsidRPr="001D3665">
        <w:t xml:space="preserve"> har STAMI konkludert med at spesifikke </w:t>
      </w:r>
      <w:proofErr w:type="spellStart"/>
      <w:r w:rsidRPr="001D3665">
        <w:t>typar</w:t>
      </w:r>
      <w:proofErr w:type="spellEnd"/>
      <w:r w:rsidRPr="001D3665">
        <w:t xml:space="preserve"> lymfekreft, kalla non-</w:t>
      </w:r>
      <w:proofErr w:type="spellStart"/>
      <w:r w:rsidRPr="001D3665">
        <w:t>Hodgkin</w:t>
      </w:r>
      <w:proofErr w:type="spellEnd"/>
      <w:r w:rsidRPr="001D3665">
        <w:t xml:space="preserve"> </w:t>
      </w:r>
      <w:proofErr w:type="spellStart"/>
      <w:r w:rsidRPr="001D3665">
        <w:t>lymfom</w:t>
      </w:r>
      <w:proofErr w:type="spellEnd"/>
      <w:r w:rsidRPr="001D3665">
        <w:t xml:space="preserve">, har såpass sterk </w:t>
      </w:r>
      <w:proofErr w:type="spellStart"/>
      <w:r w:rsidRPr="001D3665">
        <w:t>samanheng</w:t>
      </w:r>
      <w:proofErr w:type="spellEnd"/>
      <w:r w:rsidRPr="001D3665">
        <w:t xml:space="preserve"> med benzeneksponering at </w:t>
      </w:r>
      <w:proofErr w:type="spellStart"/>
      <w:r w:rsidRPr="001D3665">
        <w:t>dei</w:t>
      </w:r>
      <w:proofErr w:type="spellEnd"/>
      <w:r w:rsidRPr="001D3665">
        <w:t xml:space="preserve"> burde ha </w:t>
      </w:r>
      <w:proofErr w:type="spellStart"/>
      <w:r w:rsidRPr="001D3665">
        <w:t>vore</w:t>
      </w:r>
      <w:proofErr w:type="spellEnd"/>
      <w:r w:rsidRPr="001D3665">
        <w:t xml:space="preserve"> inkludert i sjukdomslista, gjeve </w:t>
      </w:r>
      <w:proofErr w:type="spellStart"/>
      <w:r w:rsidRPr="001D3665">
        <w:t>dei</w:t>
      </w:r>
      <w:proofErr w:type="spellEnd"/>
      <w:r w:rsidRPr="001D3665">
        <w:t xml:space="preserve"> </w:t>
      </w:r>
      <w:proofErr w:type="spellStart"/>
      <w:r w:rsidRPr="001D3665">
        <w:t>nemnde</w:t>
      </w:r>
      <w:proofErr w:type="spellEnd"/>
      <w:r w:rsidRPr="001D3665">
        <w:t xml:space="preserve"> </w:t>
      </w:r>
      <w:proofErr w:type="spellStart"/>
      <w:r w:rsidRPr="001D3665">
        <w:t>premissane</w:t>
      </w:r>
      <w:proofErr w:type="spellEnd"/>
      <w:r w:rsidRPr="001D3665">
        <w:t xml:space="preserve"> som ligg til grunn for utarbeiding av denne lista i lovproposisjonen </w:t>
      </w:r>
      <w:proofErr w:type="spellStart"/>
      <w:r w:rsidRPr="001D3665">
        <w:t>frå</w:t>
      </w:r>
      <w:proofErr w:type="spellEnd"/>
      <w:r w:rsidRPr="001D3665">
        <w:t xml:space="preserve"> Arbeids- og inkluderingsdepartementet. Nav stadfester òg at enkelte undergrupper av non-</w:t>
      </w:r>
      <w:proofErr w:type="spellStart"/>
      <w:r w:rsidRPr="001D3665">
        <w:t>Hodgkin</w:t>
      </w:r>
      <w:proofErr w:type="spellEnd"/>
      <w:r w:rsidRPr="001D3665">
        <w:t xml:space="preserve"> </w:t>
      </w:r>
      <w:proofErr w:type="spellStart"/>
      <w:r w:rsidRPr="001D3665">
        <w:t>lymfom</w:t>
      </w:r>
      <w:proofErr w:type="spellEnd"/>
      <w:r w:rsidRPr="001D3665">
        <w:t xml:space="preserve"> (som er ei sams </w:t>
      </w:r>
      <w:proofErr w:type="spellStart"/>
      <w:r w:rsidRPr="001D3665">
        <w:t>nemning</w:t>
      </w:r>
      <w:proofErr w:type="spellEnd"/>
      <w:r w:rsidRPr="001D3665">
        <w:t xml:space="preserve"> på ulike </w:t>
      </w:r>
      <w:proofErr w:type="spellStart"/>
      <w:r w:rsidRPr="001D3665">
        <w:t>typar</w:t>
      </w:r>
      <w:proofErr w:type="spellEnd"/>
      <w:r w:rsidRPr="001D3665">
        <w:t xml:space="preserve"> lymfekreft) har </w:t>
      </w:r>
      <w:proofErr w:type="spellStart"/>
      <w:r w:rsidRPr="001D3665">
        <w:t>eit</w:t>
      </w:r>
      <w:proofErr w:type="spellEnd"/>
      <w:r w:rsidRPr="001D3665">
        <w:t xml:space="preserve"> </w:t>
      </w:r>
      <w:proofErr w:type="spellStart"/>
      <w:r w:rsidRPr="001D3665">
        <w:t>sjukdomsbilete</w:t>
      </w:r>
      <w:proofErr w:type="spellEnd"/>
      <w:r w:rsidRPr="001D3665">
        <w:t xml:space="preserve"> som er karakteristisk for benzeneksponering. Det </w:t>
      </w:r>
      <w:proofErr w:type="spellStart"/>
      <w:r w:rsidRPr="001D3665">
        <w:t>gjeld</w:t>
      </w:r>
      <w:proofErr w:type="spellEnd"/>
      <w:r w:rsidRPr="001D3665">
        <w:t xml:space="preserve"> diffust storcella b-celle </w:t>
      </w:r>
      <w:proofErr w:type="spellStart"/>
      <w:r w:rsidRPr="001D3665">
        <w:t>lymfom</w:t>
      </w:r>
      <w:proofErr w:type="spellEnd"/>
      <w:r w:rsidRPr="001D3665">
        <w:t xml:space="preserve"> og follikulært </w:t>
      </w:r>
      <w:proofErr w:type="spellStart"/>
      <w:r w:rsidRPr="001D3665">
        <w:t>lymfom</w:t>
      </w:r>
      <w:proofErr w:type="spellEnd"/>
      <w:r w:rsidRPr="001D3665">
        <w:t xml:space="preserve">, i tillegg til kronisk lymfatisk leukemi som </w:t>
      </w:r>
      <w:proofErr w:type="spellStart"/>
      <w:r w:rsidRPr="001D3665">
        <w:t>allereie</w:t>
      </w:r>
      <w:proofErr w:type="spellEnd"/>
      <w:r w:rsidRPr="001D3665">
        <w:t xml:space="preserve"> er </w:t>
      </w:r>
      <w:proofErr w:type="spellStart"/>
      <w:r w:rsidRPr="001D3665">
        <w:t>teke</w:t>
      </w:r>
      <w:proofErr w:type="spellEnd"/>
      <w:r w:rsidRPr="001D3665">
        <w:t xml:space="preserve"> inn på sjukdomslista. Arbeids- og inkluderingsdepartementet sine </w:t>
      </w:r>
      <w:proofErr w:type="spellStart"/>
      <w:r w:rsidRPr="001D3665">
        <w:t>undersøkingar</w:t>
      </w:r>
      <w:proofErr w:type="spellEnd"/>
      <w:r w:rsidRPr="001D3665">
        <w:t xml:space="preserve"> syner at det </w:t>
      </w:r>
      <w:proofErr w:type="spellStart"/>
      <w:r w:rsidRPr="001D3665">
        <w:t>ikkje</w:t>
      </w:r>
      <w:proofErr w:type="spellEnd"/>
      <w:r w:rsidRPr="001D3665">
        <w:t xml:space="preserve"> er grunnlag for å </w:t>
      </w:r>
      <w:proofErr w:type="spellStart"/>
      <w:r w:rsidRPr="001D3665">
        <w:t>leggje</w:t>
      </w:r>
      <w:proofErr w:type="spellEnd"/>
      <w:r w:rsidRPr="001D3665">
        <w:t xml:space="preserve"> til andre </w:t>
      </w:r>
      <w:proofErr w:type="spellStart"/>
      <w:r w:rsidRPr="001D3665">
        <w:t>sjukdommar</w:t>
      </w:r>
      <w:proofErr w:type="spellEnd"/>
      <w:r w:rsidRPr="001D3665">
        <w:t xml:space="preserve"> på sjukdomslista.</w:t>
      </w:r>
    </w:p>
    <w:p w14:paraId="149A17CF" w14:textId="77777777" w:rsidR="00BC371A" w:rsidRPr="001D3665" w:rsidRDefault="00BC371A" w:rsidP="001D3665">
      <w:r w:rsidRPr="001D3665">
        <w:t xml:space="preserve">På bakgrunn av dette foreslår Arbeids- og inkluderingsdepartementet ei tilføying til sjukdomslista i lova § 3. Konkret foreslår Arbeids- og inkluderingsdepartementet at </w:t>
      </w:r>
      <w:proofErr w:type="spellStart"/>
      <w:r w:rsidRPr="001D3665">
        <w:t>gjeldande</w:t>
      </w:r>
      <w:proofErr w:type="spellEnd"/>
      <w:r w:rsidRPr="001D3665">
        <w:t xml:space="preserve"> </w:t>
      </w:r>
      <w:proofErr w:type="gramStart"/>
      <w:r w:rsidRPr="001D3665">
        <w:t>sjukdomsliste vert</w:t>
      </w:r>
      <w:proofErr w:type="gramEnd"/>
      <w:r w:rsidRPr="001D3665">
        <w:t xml:space="preserve"> endra ved at tilvisinga til kronisk lymfatisk leukemi i § 3 bokstav d vert bytta ut med ei tilvising til non-</w:t>
      </w:r>
      <w:proofErr w:type="spellStart"/>
      <w:r w:rsidRPr="001D3665">
        <w:t>Hodgkin</w:t>
      </w:r>
      <w:proofErr w:type="spellEnd"/>
      <w:r w:rsidRPr="001D3665">
        <w:t xml:space="preserve"> </w:t>
      </w:r>
      <w:proofErr w:type="spellStart"/>
      <w:r w:rsidRPr="001D3665">
        <w:t>lymfom</w:t>
      </w:r>
      <w:proofErr w:type="spellEnd"/>
      <w:r w:rsidRPr="001D3665">
        <w:t xml:space="preserve">. </w:t>
      </w:r>
      <w:proofErr w:type="spellStart"/>
      <w:r w:rsidRPr="001D3665">
        <w:t>Sjølv</w:t>
      </w:r>
      <w:proofErr w:type="spellEnd"/>
      <w:r w:rsidRPr="001D3665">
        <w:t xml:space="preserve"> om non-</w:t>
      </w:r>
      <w:proofErr w:type="spellStart"/>
      <w:r w:rsidRPr="001D3665">
        <w:t>Hodgkin</w:t>
      </w:r>
      <w:proofErr w:type="spellEnd"/>
      <w:r w:rsidRPr="001D3665">
        <w:t xml:space="preserve"> </w:t>
      </w:r>
      <w:proofErr w:type="spellStart"/>
      <w:r w:rsidRPr="001D3665">
        <w:t>lymfom</w:t>
      </w:r>
      <w:proofErr w:type="spellEnd"/>
      <w:r w:rsidRPr="001D3665">
        <w:t xml:space="preserve"> som gruppe vert teken inn i sjukdomslista, vert det presisert at </w:t>
      </w:r>
      <w:proofErr w:type="spellStart"/>
      <w:r w:rsidRPr="001D3665">
        <w:t>ikkje</w:t>
      </w:r>
      <w:proofErr w:type="spellEnd"/>
      <w:r w:rsidRPr="001D3665">
        <w:t xml:space="preserve"> alle undergrupper av non-</w:t>
      </w:r>
      <w:proofErr w:type="spellStart"/>
      <w:r w:rsidRPr="001D3665">
        <w:t>Hodgkin</w:t>
      </w:r>
      <w:proofErr w:type="spellEnd"/>
      <w:r w:rsidRPr="001D3665">
        <w:t xml:space="preserve"> </w:t>
      </w:r>
      <w:proofErr w:type="spellStart"/>
      <w:r w:rsidRPr="001D3665">
        <w:t>lymfom</w:t>
      </w:r>
      <w:proofErr w:type="spellEnd"/>
      <w:r w:rsidRPr="001D3665">
        <w:t xml:space="preserve"> vil </w:t>
      </w:r>
      <w:r w:rsidRPr="001D3665">
        <w:lastRenderedPageBreak/>
        <w:t xml:space="preserve">kvalifisere til kompensasjon. Oljepionernemnda må </w:t>
      </w:r>
      <w:proofErr w:type="spellStart"/>
      <w:r w:rsidRPr="001D3665">
        <w:t>føreta</w:t>
      </w:r>
      <w:proofErr w:type="spellEnd"/>
      <w:r w:rsidRPr="001D3665">
        <w:t xml:space="preserve"> ei vurdering av om det kan </w:t>
      </w:r>
      <w:proofErr w:type="spellStart"/>
      <w:r w:rsidRPr="001D3665">
        <w:t>påvisast</w:t>
      </w:r>
      <w:proofErr w:type="spellEnd"/>
      <w:r w:rsidRPr="001D3665">
        <w:t xml:space="preserve"> </w:t>
      </w:r>
      <w:proofErr w:type="spellStart"/>
      <w:r w:rsidRPr="001D3665">
        <w:t>tilstrekkeleg</w:t>
      </w:r>
      <w:proofErr w:type="spellEnd"/>
      <w:r w:rsidRPr="001D3665">
        <w:t xml:space="preserve"> </w:t>
      </w:r>
      <w:proofErr w:type="spellStart"/>
      <w:r w:rsidRPr="001D3665">
        <w:t>samanheng</w:t>
      </w:r>
      <w:proofErr w:type="spellEnd"/>
      <w:r w:rsidRPr="001D3665">
        <w:t xml:space="preserve"> mellom benzeneksponeringa og den konkrete undergruppa av non-</w:t>
      </w:r>
      <w:proofErr w:type="spellStart"/>
      <w:r w:rsidRPr="001D3665">
        <w:t>Hodgkin</w:t>
      </w:r>
      <w:proofErr w:type="spellEnd"/>
      <w:r w:rsidRPr="001D3665">
        <w:t xml:space="preserve"> som </w:t>
      </w:r>
      <w:proofErr w:type="spellStart"/>
      <w:r w:rsidRPr="001D3665">
        <w:t>søkaren</w:t>
      </w:r>
      <w:proofErr w:type="spellEnd"/>
      <w:r w:rsidRPr="001D3665">
        <w:t xml:space="preserve"> har.</w:t>
      </w:r>
    </w:p>
    <w:p w14:paraId="7690237B" w14:textId="77777777" w:rsidR="00BC371A" w:rsidRPr="001D3665" w:rsidRDefault="00BC371A" w:rsidP="001D3665">
      <w:r w:rsidRPr="001D3665">
        <w:t xml:space="preserve">Arbeids- og inkluderingsdepartementet </w:t>
      </w:r>
      <w:proofErr w:type="spellStart"/>
      <w:r w:rsidRPr="001D3665">
        <w:t>legg</w:t>
      </w:r>
      <w:proofErr w:type="spellEnd"/>
      <w:r w:rsidRPr="001D3665">
        <w:t xml:space="preserve"> til grunn at </w:t>
      </w:r>
      <w:proofErr w:type="spellStart"/>
      <w:r w:rsidRPr="001D3665">
        <w:t>søkarar</w:t>
      </w:r>
      <w:proofErr w:type="spellEnd"/>
      <w:r w:rsidRPr="001D3665">
        <w:t xml:space="preserve"> med non-</w:t>
      </w:r>
      <w:proofErr w:type="spellStart"/>
      <w:r w:rsidRPr="001D3665">
        <w:t>Hodgkin</w:t>
      </w:r>
      <w:proofErr w:type="spellEnd"/>
      <w:r w:rsidRPr="001D3665">
        <w:t xml:space="preserve"> </w:t>
      </w:r>
      <w:proofErr w:type="spellStart"/>
      <w:r w:rsidRPr="001D3665">
        <w:t>lymfom</w:t>
      </w:r>
      <w:proofErr w:type="spellEnd"/>
      <w:r w:rsidRPr="001D3665">
        <w:t xml:space="preserve"> i mange tilfelle vil måtte gjennomføre ei arbeidsmedisinsk utgreiing for å vurdere om det ligg føre </w:t>
      </w:r>
      <w:proofErr w:type="spellStart"/>
      <w:r w:rsidRPr="001D3665">
        <w:t>tilstrekkeleg</w:t>
      </w:r>
      <w:proofErr w:type="spellEnd"/>
      <w:r w:rsidRPr="001D3665">
        <w:t xml:space="preserve"> </w:t>
      </w:r>
      <w:proofErr w:type="spellStart"/>
      <w:r w:rsidRPr="001D3665">
        <w:t>samanheng</w:t>
      </w:r>
      <w:proofErr w:type="spellEnd"/>
      <w:r w:rsidRPr="001D3665">
        <w:t xml:space="preserve"> med benzeneksponering, slik oljepionerlova langt på veg </w:t>
      </w:r>
      <w:proofErr w:type="spellStart"/>
      <w:r w:rsidRPr="001D3665">
        <w:t>føresett</w:t>
      </w:r>
      <w:proofErr w:type="spellEnd"/>
      <w:r w:rsidRPr="001D3665">
        <w:t xml:space="preserve">. Dersom </w:t>
      </w:r>
      <w:proofErr w:type="spellStart"/>
      <w:r w:rsidRPr="001D3665">
        <w:t>søkaren</w:t>
      </w:r>
      <w:proofErr w:type="spellEnd"/>
      <w:r w:rsidRPr="001D3665">
        <w:t xml:space="preserve"> </w:t>
      </w:r>
      <w:proofErr w:type="spellStart"/>
      <w:r w:rsidRPr="001D3665">
        <w:t>allereie</w:t>
      </w:r>
      <w:proofErr w:type="spellEnd"/>
      <w:r w:rsidRPr="001D3665">
        <w:t xml:space="preserve"> har dokumentasjon som syner at </w:t>
      </w:r>
      <w:proofErr w:type="spellStart"/>
      <w:r w:rsidRPr="001D3665">
        <w:t>vedkommande</w:t>
      </w:r>
      <w:proofErr w:type="spellEnd"/>
      <w:r w:rsidRPr="001D3665">
        <w:t xml:space="preserve"> har ei av </w:t>
      </w:r>
      <w:proofErr w:type="spellStart"/>
      <w:r w:rsidRPr="001D3665">
        <w:t>dei</w:t>
      </w:r>
      <w:proofErr w:type="spellEnd"/>
      <w:r w:rsidRPr="001D3665">
        <w:t xml:space="preserve"> konkrete undergruppene der det er påvist </w:t>
      </w:r>
      <w:proofErr w:type="spellStart"/>
      <w:r w:rsidRPr="001D3665">
        <w:t>tilstrekkeleg</w:t>
      </w:r>
      <w:proofErr w:type="spellEnd"/>
      <w:r w:rsidRPr="001D3665">
        <w:t xml:space="preserve"> </w:t>
      </w:r>
      <w:proofErr w:type="spellStart"/>
      <w:r w:rsidRPr="001D3665">
        <w:t>samanheng</w:t>
      </w:r>
      <w:proofErr w:type="spellEnd"/>
      <w:r w:rsidRPr="001D3665">
        <w:t xml:space="preserve"> med benzeneksponering, vil det neppe </w:t>
      </w:r>
      <w:proofErr w:type="spellStart"/>
      <w:r w:rsidRPr="001D3665">
        <w:t>vere</w:t>
      </w:r>
      <w:proofErr w:type="spellEnd"/>
      <w:r w:rsidRPr="001D3665">
        <w:t xml:space="preserve"> </w:t>
      </w:r>
      <w:proofErr w:type="spellStart"/>
      <w:r w:rsidRPr="001D3665">
        <w:t>naudsynt</w:t>
      </w:r>
      <w:proofErr w:type="spellEnd"/>
      <w:r w:rsidRPr="001D3665">
        <w:t xml:space="preserve"> med slik undersøking.</w:t>
      </w:r>
    </w:p>
    <w:p w14:paraId="12AE2A3C" w14:textId="77777777" w:rsidR="00BC371A" w:rsidRPr="001D3665" w:rsidRDefault="00BC371A" w:rsidP="001D3665">
      <w:pPr>
        <w:pStyle w:val="Overskrift2"/>
      </w:pPr>
      <w:r w:rsidRPr="001D3665">
        <w:t xml:space="preserve">Økonomiske og administrative </w:t>
      </w:r>
      <w:proofErr w:type="spellStart"/>
      <w:r w:rsidRPr="001D3665">
        <w:t>konsekvensar</w:t>
      </w:r>
      <w:proofErr w:type="spellEnd"/>
    </w:p>
    <w:p w14:paraId="3E96FFB6" w14:textId="77777777" w:rsidR="00BC371A" w:rsidRPr="001D3665" w:rsidRDefault="00BC371A" w:rsidP="001D3665">
      <w:r w:rsidRPr="001D3665">
        <w:t xml:space="preserve">Det er anslått at framlegget om endring av sjukdomslista i lov om kompensasjonsordning for kjemikalieskadde </w:t>
      </w:r>
      <w:proofErr w:type="spellStart"/>
      <w:r w:rsidRPr="001D3665">
        <w:t>oljepionerar</w:t>
      </w:r>
      <w:proofErr w:type="spellEnd"/>
      <w:r w:rsidRPr="001D3665">
        <w:t xml:space="preserve"> vil medføre </w:t>
      </w:r>
      <w:proofErr w:type="spellStart"/>
      <w:r w:rsidRPr="001D3665">
        <w:t>eit</w:t>
      </w:r>
      <w:proofErr w:type="spellEnd"/>
      <w:r w:rsidRPr="001D3665">
        <w:t xml:space="preserve"> behov for </w:t>
      </w:r>
      <w:proofErr w:type="spellStart"/>
      <w:r w:rsidRPr="001D3665">
        <w:t>auka</w:t>
      </w:r>
      <w:proofErr w:type="spellEnd"/>
      <w:r w:rsidRPr="001D3665">
        <w:t xml:space="preserve"> løyving til </w:t>
      </w:r>
      <w:proofErr w:type="spellStart"/>
      <w:r w:rsidRPr="001D3665">
        <w:t>kompensasjonsutbetalingar</w:t>
      </w:r>
      <w:proofErr w:type="spellEnd"/>
      <w:r w:rsidRPr="001D3665">
        <w:t xml:space="preserve"> på 4 mill. kroner. Det vert synt til framlegg til løyvingsvedtak i </w:t>
      </w:r>
      <w:proofErr w:type="spellStart"/>
      <w:r w:rsidRPr="001D3665">
        <w:t>Prop</w:t>
      </w:r>
      <w:proofErr w:type="spellEnd"/>
      <w:r w:rsidRPr="001D3665">
        <w:t xml:space="preserve">. 96 S (2025–2026) </w:t>
      </w:r>
      <w:r w:rsidRPr="001D3665">
        <w:rPr>
          <w:rStyle w:val="kursiv"/>
        </w:rPr>
        <w:t xml:space="preserve">Tilleggsbevilgninger og omprioriteringer i statsbudsjettet 2026. </w:t>
      </w:r>
      <w:r w:rsidRPr="001D3665">
        <w:t xml:space="preserve">Dei økonomiske rammene for kompensasjonsordninga er basert på </w:t>
      </w:r>
      <w:proofErr w:type="spellStart"/>
      <w:r w:rsidRPr="001D3665">
        <w:t>eit</w:t>
      </w:r>
      <w:proofErr w:type="spellEnd"/>
      <w:r w:rsidRPr="001D3665">
        <w:t xml:space="preserve"> estimat utarbeida av Oslo </w:t>
      </w:r>
      <w:proofErr w:type="spellStart"/>
      <w:r w:rsidRPr="001D3665">
        <w:t>Economics</w:t>
      </w:r>
      <w:proofErr w:type="spellEnd"/>
      <w:r w:rsidRPr="001D3665">
        <w:t xml:space="preserve">, på oppdrag </w:t>
      </w:r>
      <w:proofErr w:type="spellStart"/>
      <w:r w:rsidRPr="001D3665">
        <w:t>frå</w:t>
      </w:r>
      <w:proofErr w:type="spellEnd"/>
      <w:r w:rsidRPr="001D3665">
        <w:t xml:space="preserve"> kommisjonen. Dette estimatet tok høgde for ei viss </w:t>
      </w:r>
      <w:proofErr w:type="spellStart"/>
      <w:r w:rsidRPr="001D3665">
        <w:t>usikkerheit</w:t>
      </w:r>
      <w:proofErr w:type="spellEnd"/>
      <w:r w:rsidRPr="001D3665">
        <w:t xml:space="preserve"> både i </w:t>
      </w:r>
      <w:proofErr w:type="spellStart"/>
      <w:r w:rsidRPr="001D3665">
        <w:t>talet</w:t>
      </w:r>
      <w:proofErr w:type="spellEnd"/>
      <w:r w:rsidRPr="001D3665">
        <w:t xml:space="preserve"> på </w:t>
      </w:r>
      <w:proofErr w:type="spellStart"/>
      <w:r w:rsidRPr="001D3665">
        <w:t>søkarar</w:t>
      </w:r>
      <w:proofErr w:type="spellEnd"/>
      <w:r w:rsidRPr="001D3665">
        <w:t xml:space="preserve"> som oppfyller vilkåra, og </w:t>
      </w:r>
      <w:proofErr w:type="spellStart"/>
      <w:r w:rsidRPr="001D3665">
        <w:t>talet</w:t>
      </w:r>
      <w:proofErr w:type="spellEnd"/>
      <w:r w:rsidRPr="001D3665">
        <w:t xml:space="preserve"> som får </w:t>
      </w:r>
      <w:proofErr w:type="spellStart"/>
      <w:r w:rsidRPr="001D3665">
        <w:t>frådrag</w:t>
      </w:r>
      <w:proofErr w:type="spellEnd"/>
      <w:r w:rsidRPr="001D3665">
        <w:t xml:space="preserve"> for </w:t>
      </w:r>
      <w:proofErr w:type="spellStart"/>
      <w:r w:rsidRPr="001D3665">
        <w:t>tidlegare</w:t>
      </w:r>
      <w:proofErr w:type="spellEnd"/>
      <w:r w:rsidRPr="001D3665">
        <w:t xml:space="preserve"> </w:t>
      </w:r>
      <w:proofErr w:type="spellStart"/>
      <w:r w:rsidRPr="001D3665">
        <w:t>utbetalingar</w:t>
      </w:r>
      <w:proofErr w:type="spellEnd"/>
      <w:r w:rsidRPr="001D3665">
        <w:t xml:space="preserve">. I tillegg har Arbeids- og inkluderingsdepartementet </w:t>
      </w:r>
      <w:proofErr w:type="spellStart"/>
      <w:r w:rsidRPr="001D3665">
        <w:t>indikasjonar</w:t>
      </w:r>
      <w:proofErr w:type="spellEnd"/>
      <w:r w:rsidRPr="001D3665">
        <w:t xml:space="preserve"> </w:t>
      </w:r>
      <w:proofErr w:type="spellStart"/>
      <w:r w:rsidRPr="001D3665">
        <w:t>frå</w:t>
      </w:r>
      <w:proofErr w:type="spellEnd"/>
      <w:r w:rsidRPr="001D3665">
        <w:t xml:space="preserve"> fagmiljøa om at </w:t>
      </w:r>
      <w:proofErr w:type="spellStart"/>
      <w:r w:rsidRPr="001D3665">
        <w:t>dei</w:t>
      </w:r>
      <w:proofErr w:type="spellEnd"/>
      <w:r w:rsidRPr="001D3665">
        <w:t xml:space="preserve"> aktuelle </w:t>
      </w:r>
      <w:proofErr w:type="spellStart"/>
      <w:r w:rsidRPr="001D3665">
        <w:t>sjukdommane</w:t>
      </w:r>
      <w:proofErr w:type="spellEnd"/>
      <w:r w:rsidRPr="001D3665">
        <w:t xml:space="preserve"> er sjeldne.</w:t>
      </w:r>
    </w:p>
    <w:p w14:paraId="41DCC0A2" w14:textId="77777777" w:rsidR="00BC371A" w:rsidRPr="001D3665" w:rsidRDefault="00BC371A" w:rsidP="001D3665">
      <w:pPr>
        <w:pStyle w:val="Overskrift2"/>
      </w:pPr>
      <w:r w:rsidRPr="001D3665">
        <w:t xml:space="preserve">Merknader til endringa i lov om kjemikalieskadde </w:t>
      </w:r>
      <w:proofErr w:type="spellStart"/>
      <w:r w:rsidRPr="001D3665">
        <w:t>oljepionerar</w:t>
      </w:r>
      <w:proofErr w:type="spellEnd"/>
      <w:r w:rsidRPr="001D3665">
        <w:t xml:space="preserve"> § 3</w:t>
      </w:r>
    </w:p>
    <w:p w14:paraId="4CD6E6AF" w14:textId="77777777" w:rsidR="00BC371A" w:rsidRPr="001D3665" w:rsidRDefault="00BC371A" w:rsidP="001D3665">
      <w:r w:rsidRPr="001D3665">
        <w:t xml:space="preserve">Endringa i bokstav d </w:t>
      </w:r>
      <w:proofErr w:type="spellStart"/>
      <w:r w:rsidRPr="001D3665">
        <w:t>inneber</w:t>
      </w:r>
      <w:proofErr w:type="spellEnd"/>
      <w:r w:rsidRPr="001D3665">
        <w:t xml:space="preserve"> at tilvisinga til kronisk lymfatisk leukemi er bytta ut med ei tilvising til non-</w:t>
      </w:r>
      <w:proofErr w:type="spellStart"/>
      <w:r w:rsidRPr="001D3665">
        <w:t>Hodgkin</w:t>
      </w:r>
      <w:proofErr w:type="spellEnd"/>
      <w:r w:rsidRPr="001D3665">
        <w:t xml:space="preserve"> </w:t>
      </w:r>
      <w:proofErr w:type="spellStart"/>
      <w:r w:rsidRPr="001D3665">
        <w:t>lymfom</w:t>
      </w:r>
      <w:proofErr w:type="spellEnd"/>
      <w:r w:rsidRPr="001D3665">
        <w:t xml:space="preserve">. Endringa </w:t>
      </w:r>
      <w:proofErr w:type="spellStart"/>
      <w:r w:rsidRPr="001D3665">
        <w:t>inneber</w:t>
      </w:r>
      <w:proofErr w:type="spellEnd"/>
      <w:r w:rsidRPr="001D3665">
        <w:t xml:space="preserve"> </w:t>
      </w:r>
      <w:proofErr w:type="spellStart"/>
      <w:r w:rsidRPr="001D3665">
        <w:t>ikkje</w:t>
      </w:r>
      <w:proofErr w:type="spellEnd"/>
      <w:r w:rsidRPr="001D3665">
        <w:t xml:space="preserve"> at det skal gjelde unntak for kronisk lymfatisk leukemi, slik sjukdom vil </w:t>
      </w:r>
      <w:proofErr w:type="spellStart"/>
      <w:r w:rsidRPr="001D3665">
        <w:t>framleis</w:t>
      </w:r>
      <w:proofErr w:type="spellEnd"/>
      <w:r w:rsidRPr="001D3665">
        <w:t xml:space="preserve"> kunne </w:t>
      </w:r>
      <w:proofErr w:type="spellStart"/>
      <w:r w:rsidRPr="001D3665">
        <w:t>gje</w:t>
      </w:r>
      <w:proofErr w:type="spellEnd"/>
      <w:r w:rsidRPr="001D3665">
        <w:t xml:space="preserve"> rett til kompensasjon. Non-</w:t>
      </w:r>
      <w:proofErr w:type="spellStart"/>
      <w:r w:rsidRPr="001D3665">
        <w:t>Hodgkin</w:t>
      </w:r>
      <w:proofErr w:type="spellEnd"/>
      <w:r w:rsidRPr="001D3665">
        <w:t xml:space="preserve"> </w:t>
      </w:r>
      <w:proofErr w:type="spellStart"/>
      <w:r w:rsidRPr="001D3665">
        <w:t>lymfom</w:t>
      </w:r>
      <w:proofErr w:type="spellEnd"/>
      <w:r w:rsidRPr="001D3665">
        <w:t xml:space="preserve"> er ei sams </w:t>
      </w:r>
      <w:proofErr w:type="spellStart"/>
      <w:r w:rsidRPr="001D3665">
        <w:t>nemning</w:t>
      </w:r>
      <w:proofErr w:type="spellEnd"/>
      <w:r w:rsidRPr="001D3665">
        <w:t xml:space="preserve"> på ulike undergrupper av lymfekreft, der kronisk lymfatisk leukemi er ei av </w:t>
      </w:r>
      <w:proofErr w:type="spellStart"/>
      <w:r w:rsidRPr="001D3665">
        <w:t>fleire</w:t>
      </w:r>
      <w:proofErr w:type="spellEnd"/>
      <w:r w:rsidRPr="001D3665">
        <w:t xml:space="preserve"> undergrupper.</w:t>
      </w:r>
    </w:p>
    <w:p w14:paraId="6B5CADA0" w14:textId="77777777" w:rsidR="00BC371A" w:rsidRPr="001D3665" w:rsidRDefault="00BC371A" w:rsidP="001D3665">
      <w:r w:rsidRPr="001D3665">
        <w:t xml:space="preserve">Det er </w:t>
      </w:r>
      <w:proofErr w:type="spellStart"/>
      <w:r w:rsidRPr="001D3665">
        <w:t>ikkje</w:t>
      </w:r>
      <w:proofErr w:type="spellEnd"/>
      <w:r w:rsidRPr="001D3665">
        <w:t xml:space="preserve"> </w:t>
      </w:r>
      <w:proofErr w:type="spellStart"/>
      <w:r w:rsidRPr="001D3665">
        <w:t>tilstrekkeleg</w:t>
      </w:r>
      <w:proofErr w:type="spellEnd"/>
      <w:r w:rsidRPr="001D3665">
        <w:t xml:space="preserve"> at oljepioneren er diagnostisert med non-</w:t>
      </w:r>
      <w:proofErr w:type="spellStart"/>
      <w:r w:rsidRPr="001D3665">
        <w:t>Hodgkin</w:t>
      </w:r>
      <w:proofErr w:type="spellEnd"/>
      <w:r w:rsidRPr="001D3665">
        <w:t xml:space="preserve"> </w:t>
      </w:r>
      <w:proofErr w:type="spellStart"/>
      <w:r w:rsidRPr="001D3665">
        <w:t>lymfom</w:t>
      </w:r>
      <w:proofErr w:type="spellEnd"/>
      <w:r w:rsidRPr="001D3665">
        <w:t xml:space="preserve">, det </w:t>
      </w:r>
      <w:proofErr w:type="spellStart"/>
      <w:r w:rsidRPr="001D3665">
        <w:t>krevst</w:t>
      </w:r>
      <w:proofErr w:type="spellEnd"/>
      <w:r w:rsidRPr="001D3665">
        <w:t xml:space="preserve"> at </w:t>
      </w:r>
      <w:proofErr w:type="spellStart"/>
      <w:r w:rsidRPr="001D3665">
        <w:t>søkaren</w:t>
      </w:r>
      <w:proofErr w:type="spellEnd"/>
      <w:r w:rsidRPr="001D3665">
        <w:t xml:space="preserve"> må ha ei av undergruppene der </w:t>
      </w:r>
      <w:proofErr w:type="spellStart"/>
      <w:r w:rsidRPr="001D3665">
        <w:t>sjukdomsbiletet</w:t>
      </w:r>
      <w:proofErr w:type="spellEnd"/>
      <w:r w:rsidRPr="001D3665">
        <w:t xml:space="preserve"> er karakteristisk for benzeneksponering, </w:t>
      </w:r>
      <w:proofErr w:type="spellStart"/>
      <w:r w:rsidRPr="001D3665">
        <w:t>medrekna</w:t>
      </w:r>
      <w:proofErr w:type="spellEnd"/>
      <w:r w:rsidRPr="001D3665">
        <w:t xml:space="preserve"> diffust storcella b-celle </w:t>
      </w:r>
      <w:proofErr w:type="spellStart"/>
      <w:r w:rsidRPr="001D3665">
        <w:t>lymfom</w:t>
      </w:r>
      <w:proofErr w:type="spellEnd"/>
      <w:r w:rsidRPr="001D3665">
        <w:t xml:space="preserve"> og follikulært </w:t>
      </w:r>
      <w:proofErr w:type="spellStart"/>
      <w:r w:rsidRPr="001D3665">
        <w:t>lymfom</w:t>
      </w:r>
      <w:proofErr w:type="spellEnd"/>
      <w:r w:rsidRPr="001D3665">
        <w:t>, i tillegg til kronisk lymfatisk leukemi.</w:t>
      </w:r>
    </w:p>
    <w:p w14:paraId="5D7DBC19" w14:textId="77777777" w:rsidR="00BC371A" w:rsidRPr="001D3665" w:rsidRDefault="00BC371A" w:rsidP="001D3665">
      <w:pPr>
        <w:pStyle w:val="Overskrift1"/>
      </w:pPr>
      <w:r w:rsidRPr="001D3665">
        <w:t>Omtalesaker</w:t>
      </w:r>
    </w:p>
    <w:p w14:paraId="3BA5F75B" w14:textId="77777777" w:rsidR="00BC371A" w:rsidRPr="001D3665" w:rsidRDefault="00BC371A" w:rsidP="001D3665">
      <w:pPr>
        <w:pStyle w:val="Overskrift2"/>
      </w:pPr>
      <w:proofErr w:type="spellStart"/>
      <w:r w:rsidRPr="001D3665">
        <w:t>Prisar</w:t>
      </w:r>
      <w:proofErr w:type="spellEnd"/>
      <w:r w:rsidRPr="001D3665">
        <w:t xml:space="preserve"> på bensin og diesel i vegtransport</w:t>
      </w:r>
    </w:p>
    <w:p w14:paraId="690F2397" w14:textId="77777777" w:rsidR="00BC371A" w:rsidRPr="001D3665" w:rsidRDefault="00BC371A" w:rsidP="001D3665">
      <w:r w:rsidRPr="001D3665">
        <w:t xml:space="preserve">Krigen i Midtausten har </w:t>
      </w:r>
      <w:proofErr w:type="spellStart"/>
      <w:r w:rsidRPr="001D3665">
        <w:t>ifølgje</w:t>
      </w:r>
      <w:proofErr w:type="spellEnd"/>
      <w:r w:rsidRPr="001D3665">
        <w:t xml:space="preserve"> Det internasjonale energibyrået (IEA) skapt den største uroa i </w:t>
      </w:r>
      <w:proofErr w:type="spellStart"/>
      <w:r w:rsidRPr="001D3665">
        <w:t>forsyningane</w:t>
      </w:r>
      <w:proofErr w:type="spellEnd"/>
      <w:r w:rsidRPr="001D3665">
        <w:t xml:space="preserve"> i historia til den globale </w:t>
      </w:r>
      <w:proofErr w:type="spellStart"/>
      <w:r w:rsidRPr="001D3665">
        <w:t>oljemarknaden</w:t>
      </w:r>
      <w:proofErr w:type="spellEnd"/>
      <w:r w:rsidRPr="001D3665">
        <w:t xml:space="preserve">. Eksporten </w:t>
      </w:r>
      <w:proofErr w:type="spellStart"/>
      <w:r w:rsidRPr="001D3665">
        <w:t>frå</w:t>
      </w:r>
      <w:proofErr w:type="spellEnd"/>
      <w:r w:rsidRPr="001D3665">
        <w:t xml:space="preserve"> landa rundt Persiabukta av råolje og oljeprodukt gjennom Hormuzsundet utgjorde om lag 20 mill. fat per dag (</w:t>
      </w:r>
      <w:proofErr w:type="spellStart"/>
      <w:r w:rsidRPr="001D3665">
        <w:t>mb</w:t>
      </w:r>
      <w:proofErr w:type="spellEnd"/>
      <w:r w:rsidRPr="001D3665">
        <w:t xml:space="preserve">/d) før </w:t>
      </w:r>
      <w:proofErr w:type="spellStart"/>
      <w:r w:rsidRPr="001D3665">
        <w:t>krigsutbrotet</w:t>
      </w:r>
      <w:proofErr w:type="spellEnd"/>
      <w:r w:rsidRPr="001D3665">
        <w:t xml:space="preserve">, </w:t>
      </w:r>
      <w:proofErr w:type="spellStart"/>
      <w:r w:rsidRPr="001D3665">
        <w:t>tilsvarande</w:t>
      </w:r>
      <w:proofErr w:type="spellEnd"/>
      <w:r w:rsidRPr="001D3665">
        <w:t xml:space="preserve"> kring 20 pst. av verdas forbruk av olje. Grunna avgrensa alternative </w:t>
      </w:r>
      <w:proofErr w:type="spellStart"/>
      <w:r w:rsidRPr="001D3665">
        <w:t>eksportmoglegheiter</w:t>
      </w:r>
      <w:proofErr w:type="spellEnd"/>
      <w:r w:rsidRPr="001D3665">
        <w:t xml:space="preserve"> er dette </w:t>
      </w:r>
      <w:proofErr w:type="spellStart"/>
      <w:r w:rsidRPr="001D3665">
        <w:t>no</w:t>
      </w:r>
      <w:proofErr w:type="spellEnd"/>
      <w:r w:rsidRPr="001D3665">
        <w:t xml:space="preserve"> </w:t>
      </w:r>
      <w:proofErr w:type="spellStart"/>
      <w:r w:rsidRPr="001D3665">
        <w:t>betydeleg</w:t>
      </w:r>
      <w:proofErr w:type="spellEnd"/>
      <w:r w:rsidRPr="001D3665">
        <w:t xml:space="preserve"> redusert. Konflikten </w:t>
      </w:r>
      <w:proofErr w:type="spellStart"/>
      <w:r w:rsidRPr="001D3665">
        <w:t>varar</w:t>
      </w:r>
      <w:proofErr w:type="spellEnd"/>
      <w:r w:rsidRPr="001D3665">
        <w:t xml:space="preserve"> ved, og </w:t>
      </w:r>
      <w:proofErr w:type="spellStart"/>
      <w:r w:rsidRPr="001D3665">
        <w:t>mykje</w:t>
      </w:r>
      <w:proofErr w:type="spellEnd"/>
      <w:r w:rsidRPr="001D3665">
        <w:t xml:space="preserve"> </w:t>
      </w:r>
      <w:proofErr w:type="spellStart"/>
      <w:r w:rsidRPr="001D3665">
        <w:t>tydar</w:t>
      </w:r>
      <w:proofErr w:type="spellEnd"/>
      <w:r w:rsidRPr="001D3665">
        <w:t xml:space="preserve"> på at </w:t>
      </w:r>
      <w:r w:rsidRPr="001D3665">
        <w:lastRenderedPageBreak/>
        <w:t xml:space="preserve">det vil ta tid før transporten gjennom Hormuzsundet er normalisert. Di lenger tid det </w:t>
      </w:r>
      <w:proofErr w:type="spellStart"/>
      <w:r w:rsidRPr="001D3665">
        <w:t>tek</w:t>
      </w:r>
      <w:proofErr w:type="spellEnd"/>
      <w:r w:rsidRPr="001D3665">
        <w:t xml:space="preserve"> før oljetransporten gjennom sundet </w:t>
      </w:r>
      <w:proofErr w:type="spellStart"/>
      <w:r w:rsidRPr="001D3665">
        <w:t>normaliserast</w:t>
      </w:r>
      <w:proofErr w:type="spellEnd"/>
      <w:r w:rsidRPr="001D3665">
        <w:t xml:space="preserve">, di lenger tid vil det ta før </w:t>
      </w:r>
      <w:proofErr w:type="spellStart"/>
      <w:r w:rsidRPr="001D3665">
        <w:t>prisane</w:t>
      </w:r>
      <w:proofErr w:type="spellEnd"/>
      <w:r w:rsidRPr="001D3665">
        <w:t xml:space="preserve"> kjem tilbake på nivået før krigen tok til.</w:t>
      </w:r>
    </w:p>
    <w:p w14:paraId="04D54747" w14:textId="77777777" w:rsidR="00BC371A" w:rsidRPr="001D3665" w:rsidRDefault="00BC371A" w:rsidP="001D3665">
      <w:r w:rsidRPr="001D3665">
        <w:t xml:space="preserve">I </w:t>
      </w:r>
      <w:proofErr w:type="spellStart"/>
      <w:r w:rsidRPr="001D3665">
        <w:t>ein</w:t>
      </w:r>
      <w:proofErr w:type="spellEnd"/>
      <w:r w:rsidRPr="001D3665">
        <w:t xml:space="preserve"> </w:t>
      </w:r>
      <w:proofErr w:type="spellStart"/>
      <w:r w:rsidRPr="001D3665">
        <w:t>marknad</w:t>
      </w:r>
      <w:proofErr w:type="spellEnd"/>
      <w:r w:rsidRPr="001D3665">
        <w:t xml:space="preserve"> må </w:t>
      </w:r>
      <w:proofErr w:type="spellStart"/>
      <w:r w:rsidRPr="001D3665">
        <w:t>tilbodet</w:t>
      </w:r>
      <w:proofErr w:type="spellEnd"/>
      <w:r w:rsidRPr="001D3665">
        <w:t xml:space="preserve"> og </w:t>
      </w:r>
      <w:proofErr w:type="spellStart"/>
      <w:r w:rsidRPr="001D3665">
        <w:t>etterspurnaden</w:t>
      </w:r>
      <w:proofErr w:type="spellEnd"/>
      <w:r w:rsidRPr="001D3665">
        <w:t xml:space="preserve"> for ei vare balansere. Når </w:t>
      </w:r>
      <w:proofErr w:type="spellStart"/>
      <w:r w:rsidRPr="001D3665">
        <w:t>tilbodet</w:t>
      </w:r>
      <w:proofErr w:type="spellEnd"/>
      <w:r w:rsidRPr="001D3665">
        <w:t xml:space="preserve"> av ei vare fell, vil </w:t>
      </w:r>
      <w:proofErr w:type="spellStart"/>
      <w:r w:rsidRPr="001D3665">
        <w:t>prisane</w:t>
      </w:r>
      <w:proofErr w:type="spellEnd"/>
      <w:r w:rsidRPr="001D3665">
        <w:t xml:space="preserve"> </w:t>
      </w:r>
      <w:proofErr w:type="spellStart"/>
      <w:r w:rsidRPr="001D3665">
        <w:t>auke</w:t>
      </w:r>
      <w:proofErr w:type="spellEnd"/>
      <w:r w:rsidRPr="001D3665">
        <w:t xml:space="preserve">. Når </w:t>
      </w:r>
      <w:proofErr w:type="spellStart"/>
      <w:r w:rsidRPr="001D3665">
        <w:t>prisane</w:t>
      </w:r>
      <w:proofErr w:type="spellEnd"/>
      <w:r w:rsidRPr="001D3665">
        <w:t xml:space="preserve"> </w:t>
      </w:r>
      <w:proofErr w:type="spellStart"/>
      <w:r w:rsidRPr="001D3665">
        <w:t>aukar</w:t>
      </w:r>
      <w:proofErr w:type="spellEnd"/>
      <w:r w:rsidRPr="001D3665">
        <w:t xml:space="preserve">, vil </w:t>
      </w:r>
      <w:proofErr w:type="spellStart"/>
      <w:r w:rsidRPr="001D3665">
        <w:t>etterspurnaden</w:t>
      </w:r>
      <w:proofErr w:type="spellEnd"/>
      <w:r w:rsidRPr="001D3665">
        <w:t xml:space="preserve"> minke. Slik held det fram heilt til </w:t>
      </w:r>
      <w:proofErr w:type="spellStart"/>
      <w:r w:rsidRPr="001D3665">
        <w:t>tilbodet</w:t>
      </w:r>
      <w:proofErr w:type="spellEnd"/>
      <w:r w:rsidRPr="001D3665">
        <w:t xml:space="preserve"> og </w:t>
      </w:r>
      <w:proofErr w:type="spellStart"/>
      <w:r w:rsidRPr="001D3665">
        <w:t>etterspurnaden</w:t>
      </w:r>
      <w:proofErr w:type="spellEnd"/>
      <w:r w:rsidRPr="001D3665">
        <w:t xml:space="preserve"> igjen balanserer. Dersom </w:t>
      </w:r>
      <w:proofErr w:type="spellStart"/>
      <w:r w:rsidRPr="001D3665">
        <w:t>marknadsmekanismane</w:t>
      </w:r>
      <w:proofErr w:type="spellEnd"/>
      <w:r w:rsidRPr="001D3665">
        <w:t xml:space="preserve"> </w:t>
      </w:r>
      <w:proofErr w:type="spellStart"/>
      <w:r w:rsidRPr="001D3665">
        <w:t>ikkje</w:t>
      </w:r>
      <w:proofErr w:type="spellEnd"/>
      <w:r w:rsidRPr="001D3665">
        <w:t xml:space="preserve"> får fungere, må </w:t>
      </w:r>
      <w:proofErr w:type="spellStart"/>
      <w:r w:rsidRPr="001D3665">
        <w:t>tilbodet</w:t>
      </w:r>
      <w:proofErr w:type="spellEnd"/>
      <w:r w:rsidRPr="001D3665">
        <w:t xml:space="preserve"> og </w:t>
      </w:r>
      <w:proofErr w:type="spellStart"/>
      <w:r w:rsidRPr="001D3665">
        <w:t>etterspurnaden</w:t>
      </w:r>
      <w:proofErr w:type="spellEnd"/>
      <w:r w:rsidRPr="001D3665">
        <w:t xml:space="preserve"> balanserast på andre </w:t>
      </w:r>
      <w:proofErr w:type="spellStart"/>
      <w:r w:rsidRPr="001D3665">
        <w:t>måtar</w:t>
      </w:r>
      <w:proofErr w:type="spellEnd"/>
      <w:r w:rsidRPr="001D3665">
        <w:t xml:space="preserve">, til dømes ved å rasjonere </w:t>
      </w:r>
      <w:proofErr w:type="spellStart"/>
      <w:r w:rsidRPr="001D3665">
        <w:t>etterspurnaden</w:t>
      </w:r>
      <w:proofErr w:type="spellEnd"/>
      <w:r w:rsidRPr="001D3665">
        <w:t xml:space="preserve"> og/eller </w:t>
      </w:r>
      <w:proofErr w:type="spellStart"/>
      <w:r w:rsidRPr="001D3665">
        <w:t>trekkje</w:t>
      </w:r>
      <w:proofErr w:type="spellEnd"/>
      <w:r w:rsidRPr="001D3665">
        <w:t xml:space="preserve"> </w:t>
      </w:r>
      <w:proofErr w:type="spellStart"/>
      <w:r w:rsidRPr="001D3665">
        <w:t>frå</w:t>
      </w:r>
      <w:proofErr w:type="spellEnd"/>
      <w:r w:rsidRPr="001D3665">
        <w:t xml:space="preserve"> strategiske lager. </w:t>
      </w:r>
      <w:proofErr w:type="spellStart"/>
      <w:r w:rsidRPr="001D3665">
        <w:t>Prisane</w:t>
      </w:r>
      <w:proofErr w:type="spellEnd"/>
      <w:r w:rsidRPr="001D3665">
        <w:t xml:space="preserve"> på råolje, gass og raffinerte oljeprodukt har </w:t>
      </w:r>
      <w:proofErr w:type="spellStart"/>
      <w:r w:rsidRPr="001D3665">
        <w:t>auka</w:t>
      </w:r>
      <w:proofErr w:type="spellEnd"/>
      <w:r w:rsidRPr="001D3665">
        <w:t xml:space="preserve"> kraftig på verdsbasis. I Europa har </w:t>
      </w:r>
      <w:proofErr w:type="spellStart"/>
      <w:r w:rsidRPr="001D3665">
        <w:t>prisane</w:t>
      </w:r>
      <w:proofErr w:type="spellEnd"/>
      <w:r w:rsidRPr="001D3665">
        <w:t xml:space="preserve"> på bensin og diesel òg </w:t>
      </w:r>
      <w:proofErr w:type="spellStart"/>
      <w:r w:rsidRPr="001D3665">
        <w:t>auka</w:t>
      </w:r>
      <w:proofErr w:type="spellEnd"/>
      <w:r w:rsidRPr="001D3665">
        <w:t xml:space="preserve"> etter at krigen i Midtausten braut ut 28. februar 2026, sjå figur 9.1. Auken var </w:t>
      </w:r>
      <w:proofErr w:type="spellStart"/>
      <w:r w:rsidRPr="001D3665">
        <w:t>særleg</w:t>
      </w:r>
      <w:proofErr w:type="spellEnd"/>
      <w:r w:rsidRPr="001D3665">
        <w:t xml:space="preserve"> høg for diesel.</w:t>
      </w:r>
    </w:p>
    <w:p w14:paraId="051C2618" w14:textId="687DAEE9" w:rsidR="00BC371A" w:rsidRPr="001D3665" w:rsidRDefault="001D3665" w:rsidP="001D3665">
      <w:r w:rsidRPr="001D3665">
        <w:rPr>
          <w:noProof/>
        </w:rPr>
        <w:drawing>
          <wp:inline distT="0" distB="0" distL="0" distR="0" wp14:anchorId="701D3DD1" wp14:editId="3174CA32">
            <wp:extent cx="6076950" cy="2762250"/>
            <wp:effectExtent l="0" t="0" r="0" b="0"/>
            <wp:docPr id="32"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23EE1C25" w14:textId="77777777" w:rsidR="00BC371A" w:rsidRPr="001D3665" w:rsidRDefault="00BC371A" w:rsidP="001D3665">
      <w:pPr>
        <w:pStyle w:val="figur-tittel"/>
      </w:pPr>
      <w:proofErr w:type="spellStart"/>
      <w:r w:rsidRPr="001D3665">
        <w:t>Prisar</w:t>
      </w:r>
      <w:proofErr w:type="spellEnd"/>
      <w:r w:rsidRPr="001D3665">
        <w:t xml:space="preserve"> på bensin (heil line) og diesel (stipla line) i Sverige, Danmark og EU. Euro per 1000 liter. Januar 2026–mai 2026</w:t>
      </w:r>
    </w:p>
    <w:p w14:paraId="00BA7E7A" w14:textId="77777777" w:rsidR="00BC371A" w:rsidRPr="001D3665" w:rsidRDefault="00BC371A" w:rsidP="001D3665">
      <w:pPr>
        <w:pStyle w:val="Kilde"/>
      </w:pPr>
      <w:r w:rsidRPr="001D3665">
        <w:t xml:space="preserve">Kjelde: EU </w:t>
      </w:r>
      <w:proofErr w:type="spellStart"/>
      <w:r w:rsidRPr="001D3665">
        <w:t>Weekly</w:t>
      </w:r>
      <w:proofErr w:type="spellEnd"/>
      <w:r w:rsidRPr="001D3665">
        <w:t xml:space="preserve"> Oil Bulletin.</w:t>
      </w:r>
    </w:p>
    <w:p w14:paraId="0D92C94B" w14:textId="77777777" w:rsidR="00BC371A" w:rsidRPr="001D3665" w:rsidRDefault="00BC371A" w:rsidP="001D3665">
      <w:proofErr w:type="spellStart"/>
      <w:r w:rsidRPr="001D3665">
        <w:t>Noreg</w:t>
      </w:r>
      <w:proofErr w:type="spellEnd"/>
      <w:r w:rsidRPr="001D3665">
        <w:t xml:space="preserve"> er </w:t>
      </w:r>
      <w:proofErr w:type="spellStart"/>
      <w:r w:rsidRPr="001D3665">
        <w:t>ein</w:t>
      </w:r>
      <w:proofErr w:type="spellEnd"/>
      <w:r w:rsidRPr="001D3665">
        <w:t xml:space="preserve"> stor produsent og eksportør av råolje og naturgass. Trass i dette er </w:t>
      </w:r>
      <w:proofErr w:type="spellStart"/>
      <w:r w:rsidRPr="001D3665">
        <w:t>ikkje</w:t>
      </w:r>
      <w:proofErr w:type="spellEnd"/>
      <w:r w:rsidRPr="001D3665">
        <w:t xml:space="preserve"> </w:t>
      </w:r>
      <w:proofErr w:type="spellStart"/>
      <w:r w:rsidRPr="001D3665">
        <w:t>Noreg</w:t>
      </w:r>
      <w:proofErr w:type="spellEnd"/>
      <w:r w:rsidRPr="001D3665">
        <w:t xml:space="preserve"> </w:t>
      </w:r>
      <w:proofErr w:type="spellStart"/>
      <w:r w:rsidRPr="001D3665">
        <w:t>sjølvforsynt</w:t>
      </w:r>
      <w:proofErr w:type="spellEnd"/>
      <w:r w:rsidRPr="001D3665">
        <w:t xml:space="preserve"> med alle </w:t>
      </w:r>
      <w:proofErr w:type="spellStart"/>
      <w:r w:rsidRPr="001D3665">
        <w:t>typar</w:t>
      </w:r>
      <w:proofErr w:type="spellEnd"/>
      <w:r w:rsidRPr="001D3665">
        <w:t xml:space="preserve"> drivstoff. Det </w:t>
      </w:r>
      <w:proofErr w:type="spellStart"/>
      <w:r w:rsidRPr="001D3665">
        <w:t>einaste</w:t>
      </w:r>
      <w:proofErr w:type="spellEnd"/>
      <w:r w:rsidRPr="001D3665">
        <w:t xml:space="preserve"> raffineriet i landet, Mongstad, produserer bensin, diesel, marin gassolje og flydrivstoff. Mongstad produserer fire gonger det norske forbruket av bensin, men vi må importere </w:t>
      </w:r>
      <w:proofErr w:type="spellStart"/>
      <w:r w:rsidRPr="001D3665">
        <w:t>delar</w:t>
      </w:r>
      <w:proofErr w:type="spellEnd"/>
      <w:r w:rsidRPr="001D3665">
        <w:t xml:space="preserve"> av forbruket av diesel, marine gassoljer og flydrivstoff. Importen kjem </w:t>
      </w:r>
      <w:proofErr w:type="spellStart"/>
      <w:r w:rsidRPr="001D3665">
        <w:t>hovudsakeleg</w:t>
      </w:r>
      <w:proofErr w:type="spellEnd"/>
      <w:r w:rsidRPr="001D3665">
        <w:t xml:space="preserve"> </w:t>
      </w:r>
      <w:proofErr w:type="spellStart"/>
      <w:r w:rsidRPr="001D3665">
        <w:t>frå</w:t>
      </w:r>
      <w:proofErr w:type="spellEnd"/>
      <w:r w:rsidRPr="001D3665">
        <w:t xml:space="preserve"> land i Europa, men er kopla til </w:t>
      </w:r>
      <w:proofErr w:type="spellStart"/>
      <w:r w:rsidRPr="001D3665">
        <w:t>verdsmarknaden</w:t>
      </w:r>
      <w:proofErr w:type="spellEnd"/>
      <w:r w:rsidRPr="001D3665">
        <w:t xml:space="preserve"> via </w:t>
      </w:r>
      <w:proofErr w:type="spellStart"/>
      <w:r w:rsidRPr="001D3665">
        <w:t>ein</w:t>
      </w:r>
      <w:proofErr w:type="spellEnd"/>
      <w:r w:rsidRPr="001D3665">
        <w:t xml:space="preserve"> </w:t>
      </w:r>
      <w:proofErr w:type="spellStart"/>
      <w:r w:rsidRPr="001D3665">
        <w:t>logistikkhub</w:t>
      </w:r>
      <w:proofErr w:type="spellEnd"/>
      <w:r w:rsidRPr="001D3665">
        <w:t xml:space="preserve"> for oljeprodukt i Nederland.</w:t>
      </w:r>
      <w:r w:rsidRPr="001D3665">
        <w:rPr>
          <w:rStyle w:val="Fotnotereferanse"/>
        </w:rPr>
        <w:footnoteReference w:id="1"/>
      </w:r>
      <w:r w:rsidRPr="001D3665">
        <w:t xml:space="preserve"> Norske </w:t>
      </w:r>
      <w:proofErr w:type="spellStart"/>
      <w:r w:rsidRPr="001D3665">
        <w:t>distributørar</w:t>
      </w:r>
      <w:proofErr w:type="spellEnd"/>
      <w:r w:rsidRPr="001D3665">
        <w:t xml:space="preserve"> av drivstoff må </w:t>
      </w:r>
      <w:proofErr w:type="spellStart"/>
      <w:r w:rsidRPr="001D3665">
        <w:t>halde</w:t>
      </w:r>
      <w:proofErr w:type="spellEnd"/>
      <w:r w:rsidRPr="001D3665">
        <w:t xml:space="preserve"> seg til </w:t>
      </w:r>
      <w:proofErr w:type="spellStart"/>
      <w:r w:rsidRPr="001D3665">
        <w:t>prisane</w:t>
      </w:r>
      <w:proofErr w:type="spellEnd"/>
      <w:r w:rsidRPr="001D3665">
        <w:t xml:space="preserve"> på </w:t>
      </w:r>
      <w:proofErr w:type="spellStart"/>
      <w:r w:rsidRPr="001D3665">
        <w:t>verdsmarknaden</w:t>
      </w:r>
      <w:proofErr w:type="spellEnd"/>
      <w:r w:rsidRPr="001D3665">
        <w:t xml:space="preserve">, </w:t>
      </w:r>
      <w:proofErr w:type="spellStart"/>
      <w:r w:rsidRPr="001D3665">
        <w:t>anten</w:t>
      </w:r>
      <w:proofErr w:type="spellEnd"/>
      <w:r w:rsidRPr="001D3665">
        <w:t xml:space="preserve"> drivstoffet er raffinert på Mongstad eller er importert.</w:t>
      </w:r>
    </w:p>
    <w:p w14:paraId="5340F3D9" w14:textId="77777777" w:rsidR="00BC371A" w:rsidRPr="001D3665" w:rsidRDefault="00BC371A" w:rsidP="001D3665">
      <w:proofErr w:type="spellStart"/>
      <w:r w:rsidRPr="001D3665">
        <w:t>Høgare</w:t>
      </w:r>
      <w:proofErr w:type="spellEnd"/>
      <w:r w:rsidRPr="001D3665">
        <w:t xml:space="preserve"> </w:t>
      </w:r>
      <w:proofErr w:type="spellStart"/>
      <w:r w:rsidRPr="001D3665">
        <w:t>prisar</w:t>
      </w:r>
      <w:proofErr w:type="spellEnd"/>
      <w:r w:rsidRPr="001D3665">
        <w:t xml:space="preserve"> på verdsbasis </w:t>
      </w:r>
      <w:proofErr w:type="spellStart"/>
      <w:r w:rsidRPr="001D3665">
        <w:t>medverka</w:t>
      </w:r>
      <w:proofErr w:type="spellEnd"/>
      <w:r w:rsidRPr="001D3665">
        <w:t xml:space="preserve"> òg til at </w:t>
      </w:r>
      <w:proofErr w:type="spellStart"/>
      <w:r w:rsidRPr="001D3665">
        <w:t>pumpeprisane</w:t>
      </w:r>
      <w:proofErr w:type="spellEnd"/>
      <w:r w:rsidRPr="001D3665">
        <w:t xml:space="preserve"> på drivstoff </w:t>
      </w:r>
      <w:proofErr w:type="spellStart"/>
      <w:r w:rsidRPr="001D3665">
        <w:t>auka</w:t>
      </w:r>
      <w:proofErr w:type="spellEnd"/>
      <w:r w:rsidRPr="001D3665">
        <w:t xml:space="preserve"> i </w:t>
      </w:r>
      <w:proofErr w:type="spellStart"/>
      <w:r w:rsidRPr="001D3665">
        <w:t>Noreg</w:t>
      </w:r>
      <w:proofErr w:type="spellEnd"/>
      <w:r w:rsidRPr="001D3665">
        <w:t xml:space="preserve">. I mars 2026 var </w:t>
      </w:r>
      <w:proofErr w:type="spellStart"/>
      <w:r w:rsidRPr="001D3665">
        <w:t>dei</w:t>
      </w:r>
      <w:proofErr w:type="spellEnd"/>
      <w:r w:rsidRPr="001D3665">
        <w:t xml:space="preserve"> </w:t>
      </w:r>
      <w:proofErr w:type="spellStart"/>
      <w:r w:rsidRPr="001D3665">
        <w:t>gjennomsnittlege</w:t>
      </w:r>
      <w:proofErr w:type="spellEnd"/>
      <w:r w:rsidRPr="001D3665">
        <w:t xml:space="preserve"> </w:t>
      </w:r>
      <w:proofErr w:type="spellStart"/>
      <w:r w:rsidRPr="001D3665">
        <w:t>pumpeprisane</w:t>
      </w:r>
      <w:proofErr w:type="spellEnd"/>
      <w:r w:rsidRPr="001D3665">
        <w:t xml:space="preserve"> 23,50 kroner per liter bensin og 24,54 kroner per liter diesel, </w:t>
      </w:r>
      <w:proofErr w:type="spellStart"/>
      <w:r w:rsidRPr="001D3665">
        <w:t>ein</w:t>
      </w:r>
      <w:proofErr w:type="spellEnd"/>
      <w:r w:rsidRPr="001D3665">
        <w:t xml:space="preserve"> </w:t>
      </w:r>
      <w:proofErr w:type="spellStart"/>
      <w:r w:rsidRPr="001D3665">
        <w:t>auke</w:t>
      </w:r>
      <w:proofErr w:type="spellEnd"/>
      <w:r w:rsidRPr="001D3665">
        <w:t xml:space="preserve"> på </w:t>
      </w:r>
      <w:proofErr w:type="spellStart"/>
      <w:r w:rsidRPr="001D3665">
        <w:t>høvesvis</w:t>
      </w:r>
      <w:proofErr w:type="spellEnd"/>
      <w:r w:rsidRPr="001D3665">
        <w:t xml:space="preserve"> 3,82 kroner per liter og 4,72 kroner per liter </w:t>
      </w:r>
      <w:proofErr w:type="spellStart"/>
      <w:r w:rsidRPr="001D3665">
        <w:t>frå</w:t>
      </w:r>
      <w:proofErr w:type="spellEnd"/>
      <w:r w:rsidRPr="001D3665">
        <w:t xml:space="preserve"> februar 2026. </w:t>
      </w:r>
      <w:proofErr w:type="spellStart"/>
      <w:r w:rsidRPr="001D3665">
        <w:t>Prisane</w:t>
      </w:r>
      <w:proofErr w:type="spellEnd"/>
      <w:r w:rsidRPr="001D3665">
        <w:t xml:space="preserve"> i mars 2026 var høge </w:t>
      </w:r>
      <w:proofErr w:type="spellStart"/>
      <w:r w:rsidRPr="001D3665">
        <w:t>samanlikna</w:t>
      </w:r>
      <w:proofErr w:type="spellEnd"/>
      <w:r w:rsidRPr="001D3665">
        <w:t xml:space="preserve"> med normale </w:t>
      </w:r>
      <w:proofErr w:type="spellStart"/>
      <w:r w:rsidRPr="001D3665">
        <w:t>prisar</w:t>
      </w:r>
      <w:proofErr w:type="spellEnd"/>
      <w:r w:rsidRPr="001D3665">
        <w:t xml:space="preserve"> </w:t>
      </w:r>
      <w:proofErr w:type="spellStart"/>
      <w:r w:rsidRPr="001D3665">
        <w:t>dei</w:t>
      </w:r>
      <w:proofErr w:type="spellEnd"/>
      <w:r w:rsidRPr="001D3665">
        <w:t xml:space="preserve"> siste tiåra, målt i dagens </w:t>
      </w:r>
      <w:r w:rsidRPr="001D3665">
        <w:lastRenderedPageBreak/>
        <w:t xml:space="preserve">kroneverdi, men </w:t>
      </w:r>
      <w:proofErr w:type="spellStart"/>
      <w:r w:rsidRPr="001D3665">
        <w:t>framleis</w:t>
      </w:r>
      <w:proofErr w:type="spellEnd"/>
      <w:r w:rsidRPr="001D3665">
        <w:t xml:space="preserve"> godt under </w:t>
      </w:r>
      <w:proofErr w:type="spellStart"/>
      <w:r w:rsidRPr="001D3665">
        <w:t>prisane</w:t>
      </w:r>
      <w:proofErr w:type="spellEnd"/>
      <w:r w:rsidRPr="001D3665">
        <w:t xml:space="preserve"> </w:t>
      </w:r>
      <w:proofErr w:type="spellStart"/>
      <w:r w:rsidRPr="001D3665">
        <w:t>sumaren</w:t>
      </w:r>
      <w:proofErr w:type="spellEnd"/>
      <w:r w:rsidRPr="001D3665">
        <w:t xml:space="preserve"> 2022, etter at Russland invaderte Ukraina, sjå figur 9.2.</w:t>
      </w:r>
    </w:p>
    <w:p w14:paraId="7DD7BA9C" w14:textId="43EBED22" w:rsidR="00BC371A" w:rsidRPr="001D3665" w:rsidRDefault="001D3665" w:rsidP="001D3665">
      <w:r w:rsidRPr="001D3665">
        <w:rPr>
          <w:noProof/>
        </w:rPr>
        <w:drawing>
          <wp:inline distT="0" distB="0" distL="0" distR="0" wp14:anchorId="05E532CB" wp14:editId="7CAAEA50">
            <wp:extent cx="6076950" cy="2762250"/>
            <wp:effectExtent l="0" t="0" r="0" b="0"/>
            <wp:docPr id="34"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581EF50C" w14:textId="77777777" w:rsidR="00BC371A" w:rsidRPr="001D3665" w:rsidRDefault="00BC371A" w:rsidP="001D3665">
      <w:pPr>
        <w:pStyle w:val="figur-tittel"/>
      </w:pPr>
      <w:proofErr w:type="spellStart"/>
      <w:r w:rsidRPr="001D3665">
        <w:t>Prisar</w:t>
      </w:r>
      <w:proofErr w:type="spellEnd"/>
      <w:r w:rsidRPr="001D3665">
        <w:t xml:space="preserve"> på bensin og diesel. </w:t>
      </w:r>
      <w:proofErr w:type="spellStart"/>
      <w:r w:rsidRPr="001D3665">
        <w:t>Månadleg</w:t>
      </w:r>
      <w:proofErr w:type="spellEnd"/>
      <w:r w:rsidRPr="001D3665">
        <w:t xml:space="preserve"> gjennomsnitt for </w:t>
      </w:r>
      <w:proofErr w:type="spellStart"/>
      <w:r w:rsidRPr="001D3665">
        <w:t>Noreg</w:t>
      </w:r>
      <w:proofErr w:type="spellEnd"/>
      <w:r w:rsidRPr="001D3665">
        <w:t>. Faste 2026-kroner per liter. Januar 1995–mars 2026</w:t>
      </w:r>
    </w:p>
    <w:p w14:paraId="36ABA94C" w14:textId="77777777" w:rsidR="00BC371A" w:rsidRPr="001D3665" w:rsidRDefault="00BC371A" w:rsidP="001D3665">
      <w:pPr>
        <w:pStyle w:val="Kilde"/>
      </w:pPr>
      <w:r w:rsidRPr="001D3665">
        <w:t>Kjelder: Statistisk sentralbyrå og Finansdepartementet.</w:t>
      </w:r>
    </w:p>
    <w:p w14:paraId="728A9D93" w14:textId="77777777" w:rsidR="00BC371A" w:rsidRPr="001D3665" w:rsidRDefault="00BC371A" w:rsidP="001D3665">
      <w:r w:rsidRPr="001D3665">
        <w:t xml:space="preserve">Stortinget vedtok 26. mars 2026 store </w:t>
      </w:r>
      <w:proofErr w:type="spellStart"/>
      <w:r w:rsidRPr="001D3665">
        <w:t>mellombelse</w:t>
      </w:r>
      <w:proofErr w:type="spellEnd"/>
      <w:r w:rsidRPr="001D3665">
        <w:t xml:space="preserve"> kutt i drivstoffavgiftene. </w:t>
      </w:r>
      <w:proofErr w:type="spellStart"/>
      <w:r w:rsidRPr="001D3665">
        <w:t>Frå</w:t>
      </w:r>
      <w:proofErr w:type="spellEnd"/>
      <w:r w:rsidRPr="001D3665">
        <w:t xml:space="preserve"> 1. april til 31. august 2026 er </w:t>
      </w:r>
      <w:proofErr w:type="spellStart"/>
      <w:r w:rsidRPr="001D3665">
        <w:t>satsane</w:t>
      </w:r>
      <w:proofErr w:type="spellEnd"/>
      <w:r w:rsidRPr="001D3665">
        <w:t xml:space="preserve"> i </w:t>
      </w:r>
      <w:proofErr w:type="spellStart"/>
      <w:r w:rsidRPr="001D3665">
        <w:t>vegbruksavgifta</w:t>
      </w:r>
      <w:proofErr w:type="spellEnd"/>
      <w:r w:rsidRPr="001D3665">
        <w:t xml:space="preserve"> sett til null. For diesel </w:t>
      </w:r>
      <w:proofErr w:type="spellStart"/>
      <w:r w:rsidRPr="001D3665">
        <w:t>utgjer</w:t>
      </w:r>
      <w:proofErr w:type="spellEnd"/>
      <w:r w:rsidRPr="001D3665">
        <w:t xml:space="preserve"> reduksjonen i </w:t>
      </w:r>
      <w:proofErr w:type="spellStart"/>
      <w:r w:rsidRPr="001D3665">
        <w:t>vegbruksavgifta</w:t>
      </w:r>
      <w:proofErr w:type="spellEnd"/>
      <w:r w:rsidRPr="001D3665">
        <w:t xml:space="preserve"> 2,28 kroner per liter. Dersom heile avgiftsreduksjonen vert overført til </w:t>
      </w:r>
      <w:proofErr w:type="spellStart"/>
      <w:r w:rsidRPr="001D3665">
        <w:t>prisane</w:t>
      </w:r>
      <w:proofErr w:type="spellEnd"/>
      <w:r w:rsidRPr="001D3665">
        <w:t xml:space="preserve">, vil pumpeprisen </w:t>
      </w:r>
      <w:proofErr w:type="spellStart"/>
      <w:r w:rsidRPr="001D3665">
        <w:t>verte</w:t>
      </w:r>
      <w:proofErr w:type="spellEnd"/>
      <w:r w:rsidRPr="001D3665">
        <w:t xml:space="preserve"> redusert med 2,85 kroner per liter, inkludert </w:t>
      </w:r>
      <w:proofErr w:type="spellStart"/>
      <w:r w:rsidRPr="001D3665">
        <w:t>meirverdiavgift</w:t>
      </w:r>
      <w:proofErr w:type="spellEnd"/>
      <w:r w:rsidRPr="001D3665">
        <w:t xml:space="preserve">. Verknaden er uavhengig av høvet mellom mineralolje og biodiesel i blandinga, </w:t>
      </w:r>
      <w:proofErr w:type="spellStart"/>
      <w:r w:rsidRPr="001D3665">
        <w:t>sidan</w:t>
      </w:r>
      <w:proofErr w:type="spellEnd"/>
      <w:r w:rsidRPr="001D3665">
        <w:t xml:space="preserve"> </w:t>
      </w:r>
      <w:proofErr w:type="spellStart"/>
      <w:r w:rsidRPr="001D3665">
        <w:t>vegbruksavgifta</w:t>
      </w:r>
      <w:proofErr w:type="spellEnd"/>
      <w:r w:rsidRPr="001D3665">
        <w:t xml:space="preserve"> på mineralolje og biodiesel er lik i kroner per liter. For ei blanding som består av 85 pst. fossil bensin og 15 pst. bioetanol, vil reduksjonen i </w:t>
      </w:r>
      <w:proofErr w:type="spellStart"/>
      <w:r w:rsidRPr="001D3665">
        <w:t>vegbruksavgifta</w:t>
      </w:r>
      <w:proofErr w:type="spellEnd"/>
      <w:r w:rsidRPr="001D3665">
        <w:t xml:space="preserve"> </w:t>
      </w:r>
      <w:proofErr w:type="spellStart"/>
      <w:r w:rsidRPr="001D3665">
        <w:t>utgjere</w:t>
      </w:r>
      <w:proofErr w:type="spellEnd"/>
      <w:r w:rsidRPr="001D3665">
        <w:t xml:space="preserve"> 3,53 kroner per liter. Dersom heile reduksjonen i avgifta vert overført til </w:t>
      </w:r>
      <w:proofErr w:type="spellStart"/>
      <w:r w:rsidRPr="001D3665">
        <w:t>prisane</w:t>
      </w:r>
      <w:proofErr w:type="spellEnd"/>
      <w:r w:rsidRPr="001D3665">
        <w:t xml:space="preserve">, vert prisen redusert med 4,41 kroner per liter, inkludert </w:t>
      </w:r>
      <w:proofErr w:type="spellStart"/>
      <w:r w:rsidRPr="001D3665">
        <w:t>meirverdiavgift</w:t>
      </w:r>
      <w:proofErr w:type="spellEnd"/>
      <w:r w:rsidRPr="001D3665">
        <w:t>. Verknaden vil avhenge av høvet mellom bensin og bioetanol i blandinga.</w:t>
      </w:r>
    </w:p>
    <w:p w14:paraId="4ACC0FDB" w14:textId="77777777" w:rsidR="00BC371A" w:rsidRPr="001D3665" w:rsidRDefault="00BC371A" w:rsidP="001D3665">
      <w:proofErr w:type="spellStart"/>
      <w:r w:rsidRPr="001D3665">
        <w:t>Frå</w:t>
      </w:r>
      <w:proofErr w:type="spellEnd"/>
      <w:r w:rsidRPr="001D3665">
        <w:t xml:space="preserve"> 1. mai til 31. august 2026 er CO</w:t>
      </w:r>
      <w:r w:rsidRPr="001D3665">
        <w:rPr>
          <w:rStyle w:val="skrift-senket"/>
        </w:rPr>
        <w:t>2</w:t>
      </w:r>
      <w:r w:rsidRPr="001D3665">
        <w:t xml:space="preserve">-avgifta på «autodiesel» redusert </w:t>
      </w:r>
      <w:proofErr w:type="spellStart"/>
      <w:r w:rsidRPr="001D3665">
        <w:t>frå</w:t>
      </w:r>
      <w:proofErr w:type="spellEnd"/>
      <w:r w:rsidRPr="001D3665">
        <w:t xml:space="preserve"> 4,42 kroner per liter til 3,09 kroner per liter. Med autodiesel er det meint mineralolje til bruk i vegtrafikken som er </w:t>
      </w:r>
      <w:proofErr w:type="spellStart"/>
      <w:r w:rsidRPr="001D3665">
        <w:t>ilagd</w:t>
      </w:r>
      <w:proofErr w:type="spellEnd"/>
      <w:r w:rsidRPr="001D3665">
        <w:t xml:space="preserve"> </w:t>
      </w:r>
      <w:proofErr w:type="spellStart"/>
      <w:r w:rsidRPr="001D3665">
        <w:t>vegbruksavgift</w:t>
      </w:r>
      <w:proofErr w:type="spellEnd"/>
      <w:r w:rsidRPr="001D3665">
        <w:t>. For ei dieselblanding som består av 85 pst. mineralolje og 15 pst. biodiesel, vil reduksjonen i CO</w:t>
      </w:r>
      <w:r w:rsidRPr="001D3665">
        <w:rPr>
          <w:rStyle w:val="skrift-senket"/>
        </w:rPr>
        <w:t>2</w:t>
      </w:r>
      <w:r w:rsidRPr="001D3665">
        <w:t xml:space="preserve">-avgifta </w:t>
      </w:r>
      <w:proofErr w:type="spellStart"/>
      <w:r w:rsidRPr="001D3665">
        <w:t>utgjere</w:t>
      </w:r>
      <w:proofErr w:type="spellEnd"/>
      <w:r w:rsidRPr="001D3665">
        <w:t xml:space="preserve"> 1,13 kroner per liter. Dersom heile avgiftsreduksjonen vert overført til </w:t>
      </w:r>
      <w:proofErr w:type="spellStart"/>
      <w:r w:rsidRPr="001D3665">
        <w:t>prisane</w:t>
      </w:r>
      <w:proofErr w:type="spellEnd"/>
      <w:r w:rsidRPr="001D3665">
        <w:t xml:space="preserve">, vert pumpeprisen redusert med 1,41 kroner per liter, inkludert </w:t>
      </w:r>
      <w:proofErr w:type="spellStart"/>
      <w:r w:rsidRPr="001D3665">
        <w:t>meirverdiavgift</w:t>
      </w:r>
      <w:proofErr w:type="spellEnd"/>
      <w:r w:rsidRPr="001D3665">
        <w:t>. Verknaden vil avhenge av blandingstilhøvet mellom mineralolje og biodiesel.</w:t>
      </w:r>
    </w:p>
    <w:p w14:paraId="11891D5A" w14:textId="77777777" w:rsidR="00BC371A" w:rsidRPr="001D3665" w:rsidRDefault="00BC371A" w:rsidP="001D3665">
      <w:proofErr w:type="spellStart"/>
      <w:r w:rsidRPr="001D3665">
        <w:t>Frå</w:t>
      </w:r>
      <w:proofErr w:type="spellEnd"/>
      <w:r w:rsidRPr="001D3665">
        <w:t xml:space="preserve"> mars 2026 til april 2026 har </w:t>
      </w:r>
      <w:proofErr w:type="spellStart"/>
      <w:r w:rsidRPr="001D3665">
        <w:t>prisane</w:t>
      </w:r>
      <w:proofErr w:type="spellEnd"/>
      <w:r w:rsidRPr="001D3665">
        <w:t xml:space="preserve"> på bensin og diesel vorte reduserte med </w:t>
      </w:r>
      <w:proofErr w:type="spellStart"/>
      <w:r w:rsidRPr="001D3665">
        <w:t>høvesvis</w:t>
      </w:r>
      <w:proofErr w:type="spellEnd"/>
      <w:r w:rsidRPr="001D3665">
        <w:t xml:space="preserve"> 18,0 og 4,7 pst., jf. Statistisk sentralbyrås konsumprisindeks. Dette kjem i </w:t>
      </w:r>
      <w:proofErr w:type="spellStart"/>
      <w:r w:rsidRPr="001D3665">
        <w:t>hovudsak</w:t>
      </w:r>
      <w:proofErr w:type="spellEnd"/>
      <w:r w:rsidRPr="001D3665">
        <w:t xml:space="preserve"> av kuttet i </w:t>
      </w:r>
      <w:proofErr w:type="spellStart"/>
      <w:r w:rsidRPr="001D3665">
        <w:t>vegbruksavgifta</w:t>
      </w:r>
      <w:proofErr w:type="spellEnd"/>
      <w:r w:rsidRPr="001D3665">
        <w:t>.</w:t>
      </w:r>
    </w:p>
    <w:p w14:paraId="5437C289" w14:textId="77777777" w:rsidR="00BC371A" w:rsidRPr="001D3665" w:rsidRDefault="00BC371A" w:rsidP="001D3665">
      <w:proofErr w:type="spellStart"/>
      <w:r w:rsidRPr="001D3665">
        <w:t>Ein</w:t>
      </w:r>
      <w:proofErr w:type="spellEnd"/>
      <w:r w:rsidRPr="001D3665">
        <w:t xml:space="preserve"> går ut </w:t>
      </w:r>
      <w:proofErr w:type="spellStart"/>
      <w:r w:rsidRPr="001D3665">
        <w:t>frå</w:t>
      </w:r>
      <w:proofErr w:type="spellEnd"/>
      <w:r w:rsidRPr="001D3665">
        <w:t xml:space="preserve"> at kuttet i </w:t>
      </w:r>
      <w:proofErr w:type="spellStart"/>
      <w:r w:rsidRPr="001D3665">
        <w:t>vegbruksavgifta</w:t>
      </w:r>
      <w:proofErr w:type="spellEnd"/>
      <w:r w:rsidRPr="001D3665">
        <w:t xml:space="preserve"> kan redusere prisen på bensin med knapt 20 pst. og på diesel med drygt 10 pst. Overslag for kortsiktig priselastisitet på drivstoff i vegtrafikken er om lag ­0,2. Kuttet i </w:t>
      </w:r>
      <w:proofErr w:type="spellStart"/>
      <w:r w:rsidRPr="001D3665">
        <w:t>vegbruksavgifta</w:t>
      </w:r>
      <w:proofErr w:type="spellEnd"/>
      <w:r w:rsidRPr="001D3665">
        <w:t xml:space="preserve"> kan, isolert sett, </w:t>
      </w:r>
      <w:proofErr w:type="spellStart"/>
      <w:r w:rsidRPr="001D3665">
        <w:t>dimed</w:t>
      </w:r>
      <w:proofErr w:type="spellEnd"/>
      <w:r w:rsidRPr="001D3665">
        <w:t xml:space="preserve"> </w:t>
      </w:r>
      <w:proofErr w:type="spellStart"/>
      <w:r w:rsidRPr="001D3665">
        <w:t>reknast</w:t>
      </w:r>
      <w:proofErr w:type="spellEnd"/>
      <w:r w:rsidRPr="001D3665">
        <w:t xml:space="preserve"> å </w:t>
      </w:r>
      <w:proofErr w:type="spellStart"/>
      <w:r w:rsidRPr="001D3665">
        <w:t>auke</w:t>
      </w:r>
      <w:proofErr w:type="spellEnd"/>
      <w:r w:rsidRPr="001D3665">
        <w:t xml:space="preserve"> den norske </w:t>
      </w:r>
      <w:proofErr w:type="spellStart"/>
      <w:r w:rsidRPr="001D3665">
        <w:lastRenderedPageBreak/>
        <w:t>etterspurnaden</w:t>
      </w:r>
      <w:proofErr w:type="spellEnd"/>
      <w:r w:rsidRPr="001D3665">
        <w:t xml:space="preserve"> etter bensin med knapt 4 pst. og etter diesel med drygt 2 pst. Dette må </w:t>
      </w:r>
      <w:proofErr w:type="spellStart"/>
      <w:r w:rsidRPr="001D3665">
        <w:t>reknast</w:t>
      </w:r>
      <w:proofErr w:type="spellEnd"/>
      <w:r w:rsidRPr="001D3665">
        <w:t xml:space="preserve"> som </w:t>
      </w:r>
      <w:proofErr w:type="spellStart"/>
      <w:r w:rsidRPr="001D3665">
        <w:t>ein</w:t>
      </w:r>
      <w:proofErr w:type="spellEnd"/>
      <w:r w:rsidRPr="001D3665">
        <w:t xml:space="preserve"> </w:t>
      </w:r>
      <w:proofErr w:type="spellStart"/>
      <w:r w:rsidRPr="001D3665">
        <w:t>vesentleg</w:t>
      </w:r>
      <w:proofErr w:type="spellEnd"/>
      <w:r w:rsidRPr="001D3665">
        <w:t xml:space="preserve"> </w:t>
      </w:r>
      <w:proofErr w:type="spellStart"/>
      <w:r w:rsidRPr="001D3665">
        <w:t>auke</w:t>
      </w:r>
      <w:proofErr w:type="spellEnd"/>
      <w:r w:rsidRPr="001D3665">
        <w:t xml:space="preserve"> i </w:t>
      </w:r>
      <w:proofErr w:type="spellStart"/>
      <w:r w:rsidRPr="001D3665">
        <w:t>ein</w:t>
      </w:r>
      <w:proofErr w:type="spellEnd"/>
      <w:r w:rsidRPr="001D3665">
        <w:t xml:space="preserve"> </w:t>
      </w:r>
      <w:proofErr w:type="spellStart"/>
      <w:r w:rsidRPr="001D3665">
        <w:t>marknad</w:t>
      </w:r>
      <w:proofErr w:type="spellEnd"/>
      <w:r w:rsidRPr="001D3665">
        <w:t xml:space="preserve"> som er prega av </w:t>
      </w:r>
      <w:proofErr w:type="spellStart"/>
      <w:r w:rsidRPr="001D3665">
        <w:t>avgrensingar</w:t>
      </w:r>
      <w:proofErr w:type="spellEnd"/>
      <w:r w:rsidRPr="001D3665">
        <w:t xml:space="preserve"> på </w:t>
      </w:r>
      <w:proofErr w:type="spellStart"/>
      <w:r w:rsidRPr="001D3665">
        <w:t>tilbodssida</w:t>
      </w:r>
      <w:proofErr w:type="spellEnd"/>
      <w:r w:rsidRPr="001D3665">
        <w:t>.</w:t>
      </w:r>
    </w:p>
    <w:p w14:paraId="7A2EEE7D" w14:textId="77777777" w:rsidR="00BC371A" w:rsidRPr="001D3665" w:rsidRDefault="00BC371A" w:rsidP="001D3665">
      <w:pPr>
        <w:pStyle w:val="Overskrift3"/>
        <w:numPr>
          <w:ilvl w:val="2"/>
          <w:numId w:val="20"/>
        </w:numPr>
      </w:pPr>
      <w:r w:rsidRPr="001D3665">
        <w:t xml:space="preserve">Verknader av </w:t>
      </w:r>
      <w:proofErr w:type="spellStart"/>
      <w:r w:rsidRPr="001D3665">
        <w:t>drivstoffprisar</w:t>
      </w:r>
      <w:proofErr w:type="spellEnd"/>
      <w:r w:rsidRPr="001D3665">
        <w:t xml:space="preserve"> for </w:t>
      </w:r>
      <w:proofErr w:type="spellStart"/>
      <w:r w:rsidRPr="001D3665">
        <w:t>hushald</w:t>
      </w:r>
      <w:proofErr w:type="spellEnd"/>
    </w:p>
    <w:p w14:paraId="758020C0" w14:textId="77777777" w:rsidR="00BC371A" w:rsidRPr="001D3665" w:rsidRDefault="00BC371A" w:rsidP="001D3665">
      <w:r w:rsidRPr="001D3665">
        <w:t xml:space="preserve">Dersom </w:t>
      </w:r>
      <w:proofErr w:type="spellStart"/>
      <w:r w:rsidRPr="001D3665">
        <w:t>prisane</w:t>
      </w:r>
      <w:proofErr w:type="spellEnd"/>
      <w:r w:rsidRPr="001D3665">
        <w:t xml:space="preserve"> på drivstoff </w:t>
      </w:r>
      <w:proofErr w:type="spellStart"/>
      <w:r w:rsidRPr="001D3665">
        <w:t>aukar</w:t>
      </w:r>
      <w:proofErr w:type="spellEnd"/>
      <w:r w:rsidRPr="001D3665">
        <w:t xml:space="preserve">, </w:t>
      </w:r>
      <w:proofErr w:type="spellStart"/>
      <w:r w:rsidRPr="001D3665">
        <w:t>aukar</w:t>
      </w:r>
      <w:proofErr w:type="spellEnd"/>
      <w:r w:rsidRPr="001D3665">
        <w:t xml:space="preserve"> òg </w:t>
      </w:r>
      <w:proofErr w:type="spellStart"/>
      <w:r w:rsidRPr="001D3665">
        <w:t>drivstoffkostnadane</w:t>
      </w:r>
      <w:proofErr w:type="spellEnd"/>
      <w:r w:rsidRPr="001D3665">
        <w:t xml:space="preserve"> for </w:t>
      </w:r>
      <w:proofErr w:type="spellStart"/>
      <w:r w:rsidRPr="001D3665">
        <w:t>hushalda</w:t>
      </w:r>
      <w:proofErr w:type="spellEnd"/>
      <w:r w:rsidRPr="001D3665">
        <w:t xml:space="preserve">. </w:t>
      </w:r>
      <w:proofErr w:type="spellStart"/>
      <w:r w:rsidRPr="001D3665">
        <w:t>Auka</w:t>
      </w:r>
      <w:proofErr w:type="spellEnd"/>
      <w:r w:rsidRPr="001D3665">
        <w:t xml:space="preserve"> </w:t>
      </w:r>
      <w:proofErr w:type="spellStart"/>
      <w:r w:rsidRPr="001D3665">
        <w:t>drivstoffprisar</w:t>
      </w:r>
      <w:proofErr w:type="spellEnd"/>
      <w:r w:rsidRPr="001D3665">
        <w:t xml:space="preserve"> kan </w:t>
      </w:r>
      <w:proofErr w:type="spellStart"/>
      <w:r w:rsidRPr="001D3665">
        <w:t>dessutan</w:t>
      </w:r>
      <w:proofErr w:type="spellEnd"/>
      <w:r w:rsidRPr="001D3665">
        <w:t xml:space="preserve"> føre til at andre varer og </w:t>
      </w:r>
      <w:proofErr w:type="spellStart"/>
      <w:r w:rsidRPr="001D3665">
        <w:t>tenester</w:t>
      </w:r>
      <w:proofErr w:type="spellEnd"/>
      <w:r w:rsidRPr="001D3665">
        <w:t xml:space="preserve"> vert </w:t>
      </w:r>
      <w:proofErr w:type="spellStart"/>
      <w:r w:rsidRPr="001D3665">
        <w:t>dyrare</w:t>
      </w:r>
      <w:proofErr w:type="spellEnd"/>
      <w:r w:rsidRPr="001D3665">
        <w:t xml:space="preserve"> for </w:t>
      </w:r>
      <w:proofErr w:type="spellStart"/>
      <w:r w:rsidRPr="001D3665">
        <w:t>hushalda</w:t>
      </w:r>
      <w:proofErr w:type="spellEnd"/>
      <w:r w:rsidRPr="001D3665">
        <w:t xml:space="preserve">, då drivstoff er </w:t>
      </w:r>
      <w:proofErr w:type="spellStart"/>
      <w:r w:rsidRPr="001D3665">
        <w:t>ein</w:t>
      </w:r>
      <w:proofErr w:type="spellEnd"/>
      <w:r w:rsidRPr="001D3665">
        <w:t xml:space="preserve"> viktig komponent i </w:t>
      </w:r>
      <w:proofErr w:type="spellStart"/>
      <w:r w:rsidRPr="001D3665">
        <w:t>kostnadane</w:t>
      </w:r>
      <w:proofErr w:type="spellEnd"/>
      <w:r w:rsidRPr="001D3665">
        <w:t xml:space="preserve"> til transport av varer.</w:t>
      </w:r>
    </w:p>
    <w:p w14:paraId="4F7562F4" w14:textId="77777777" w:rsidR="00BC371A" w:rsidRPr="001D3665" w:rsidRDefault="00BC371A" w:rsidP="001D3665">
      <w:r w:rsidRPr="001D3665">
        <w:t xml:space="preserve">Drivstoff </w:t>
      </w:r>
      <w:proofErr w:type="spellStart"/>
      <w:r w:rsidRPr="001D3665">
        <w:t>utgjer</w:t>
      </w:r>
      <w:proofErr w:type="spellEnd"/>
      <w:r w:rsidRPr="001D3665">
        <w:t xml:space="preserve"> </w:t>
      </w:r>
      <w:proofErr w:type="spellStart"/>
      <w:r w:rsidRPr="001D3665">
        <w:t>ein</w:t>
      </w:r>
      <w:proofErr w:type="spellEnd"/>
      <w:r w:rsidRPr="001D3665">
        <w:t xml:space="preserve"> stadig mindre del av </w:t>
      </w:r>
      <w:proofErr w:type="spellStart"/>
      <w:r w:rsidRPr="001D3665">
        <w:t>hushalda</w:t>
      </w:r>
      <w:proofErr w:type="spellEnd"/>
      <w:r w:rsidRPr="001D3665">
        <w:t xml:space="preserve"> sine utgifter, sjå figur 9.3. </w:t>
      </w:r>
      <w:proofErr w:type="spellStart"/>
      <w:r w:rsidRPr="001D3665">
        <w:t>Sidan</w:t>
      </w:r>
      <w:proofErr w:type="spellEnd"/>
      <w:r w:rsidRPr="001D3665">
        <w:t xml:space="preserve"> 2000-talet har vekta av drivstoff i konsumprisindeksen vorte </w:t>
      </w:r>
      <w:proofErr w:type="spellStart"/>
      <w:r w:rsidRPr="001D3665">
        <w:t>meir</w:t>
      </w:r>
      <w:proofErr w:type="spellEnd"/>
      <w:r w:rsidRPr="001D3665">
        <w:t xml:space="preserve"> enn halvert. Dette kjem delvis av elektrifiseringa av vegtransporten, men òg av at forbruket av andre varer og </w:t>
      </w:r>
      <w:proofErr w:type="spellStart"/>
      <w:r w:rsidRPr="001D3665">
        <w:t>tenester</w:t>
      </w:r>
      <w:proofErr w:type="spellEnd"/>
      <w:r w:rsidRPr="001D3665">
        <w:t xml:space="preserve"> har </w:t>
      </w:r>
      <w:proofErr w:type="spellStart"/>
      <w:r w:rsidRPr="001D3665">
        <w:t>auka</w:t>
      </w:r>
      <w:proofErr w:type="spellEnd"/>
      <w:r w:rsidRPr="001D3665">
        <w:t xml:space="preserve"> i takt med inntektsnivået. Verknaden av høge </w:t>
      </w:r>
      <w:proofErr w:type="spellStart"/>
      <w:r w:rsidRPr="001D3665">
        <w:t>drivstoffprisar</w:t>
      </w:r>
      <w:proofErr w:type="spellEnd"/>
      <w:r w:rsidRPr="001D3665">
        <w:t xml:space="preserve"> for </w:t>
      </w:r>
      <w:proofErr w:type="spellStart"/>
      <w:r w:rsidRPr="001D3665">
        <w:t>hushalda</w:t>
      </w:r>
      <w:proofErr w:type="spellEnd"/>
      <w:r w:rsidRPr="001D3665">
        <w:t xml:space="preserve"> er </w:t>
      </w:r>
      <w:proofErr w:type="spellStart"/>
      <w:r w:rsidRPr="001D3665">
        <w:t>difor</w:t>
      </w:r>
      <w:proofErr w:type="spellEnd"/>
      <w:r w:rsidRPr="001D3665">
        <w:t xml:space="preserve"> mindre </w:t>
      </w:r>
      <w:proofErr w:type="spellStart"/>
      <w:r w:rsidRPr="001D3665">
        <w:t>no</w:t>
      </w:r>
      <w:proofErr w:type="spellEnd"/>
      <w:r w:rsidRPr="001D3665">
        <w:t xml:space="preserve"> enn </w:t>
      </w:r>
      <w:proofErr w:type="spellStart"/>
      <w:r w:rsidRPr="001D3665">
        <w:t>tidlegare</w:t>
      </w:r>
      <w:proofErr w:type="spellEnd"/>
      <w:r w:rsidRPr="001D3665">
        <w:t>.</w:t>
      </w:r>
    </w:p>
    <w:p w14:paraId="6562188F" w14:textId="7D56795F" w:rsidR="00BC371A" w:rsidRPr="001D3665" w:rsidRDefault="001D3665" w:rsidP="001D3665">
      <w:r w:rsidRPr="001D3665">
        <w:rPr>
          <w:noProof/>
        </w:rPr>
        <w:drawing>
          <wp:inline distT="0" distB="0" distL="0" distR="0" wp14:anchorId="26971E33" wp14:editId="51246C2A">
            <wp:extent cx="6076950" cy="2762250"/>
            <wp:effectExtent l="0" t="0" r="0" b="0"/>
            <wp:docPr id="36"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7F5511B1" w14:textId="77777777" w:rsidR="00BC371A" w:rsidRPr="001D3665" w:rsidRDefault="00BC371A" w:rsidP="001D3665">
      <w:pPr>
        <w:pStyle w:val="figur-tittel"/>
      </w:pPr>
      <w:r w:rsidRPr="001D3665">
        <w:t xml:space="preserve">Forbruk av drivstoff og </w:t>
      </w:r>
      <w:proofErr w:type="spellStart"/>
      <w:r w:rsidRPr="001D3665">
        <w:t>smørjemiddel</w:t>
      </w:r>
      <w:proofErr w:type="spellEnd"/>
      <w:r w:rsidRPr="001D3665">
        <w:t xml:space="preserve">, inkl. lading av </w:t>
      </w:r>
      <w:proofErr w:type="spellStart"/>
      <w:r w:rsidRPr="001D3665">
        <w:t>elbilar</w:t>
      </w:r>
      <w:proofErr w:type="spellEnd"/>
      <w:r w:rsidRPr="001D3665">
        <w:t>, som del av samla forbruk (KPI-vekt). Promille. 2000–2026</w:t>
      </w:r>
    </w:p>
    <w:p w14:paraId="7D94BB24" w14:textId="77777777" w:rsidR="00BC371A" w:rsidRPr="001D3665" w:rsidRDefault="00BC371A" w:rsidP="001D3665">
      <w:pPr>
        <w:pStyle w:val="Kilde"/>
      </w:pPr>
      <w:r w:rsidRPr="001D3665">
        <w:t>Kjelde: Statistisk sentralbyrå.</w:t>
      </w:r>
    </w:p>
    <w:p w14:paraId="4DDC606B" w14:textId="77777777" w:rsidR="00BC371A" w:rsidRPr="001D3665" w:rsidRDefault="00BC371A" w:rsidP="001D3665">
      <w:r w:rsidRPr="001D3665">
        <w:t xml:space="preserve">Tal </w:t>
      </w:r>
      <w:proofErr w:type="spellStart"/>
      <w:r w:rsidRPr="001D3665">
        <w:t>frå</w:t>
      </w:r>
      <w:proofErr w:type="spellEnd"/>
      <w:r w:rsidRPr="001D3665">
        <w:t xml:space="preserve"> Statistisk sentralbyrå syner at den </w:t>
      </w:r>
      <w:proofErr w:type="spellStart"/>
      <w:r w:rsidRPr="001D3665">
        <w:t>gjennomsnittlege</w:t>
      </w:r>
      <w:proofErr w:type="spellEnd"/>
      <w:r w:rsidRPr="001D3665">
        <w:t xml:space="preserve"> </w:t>
      </w:r>
      <w:proofErr w:type="spellStart"/>
      <w:r w:rsidRPr="001D3665">
        <w:t>køyrelengda</w:t>
      </w:r>
      <w:proofErr w:type="spellEnd"/>
      <w:r w:rsidRPr="001D3665">
        <w:t xml:space="preserve"> for </w:t>
      </w:r>
      <w:proofErr w:type="spellStart"/>
      <w:r w:rsidRPr="001D3665">
        <w:t>personbilar</w:t>
      </w:r>
      <w:proofErr w:type="spellEnd"/>
      <w:r w:rsidRPr="001D3665">
        <w:t xml:space="preserve"> i 2025 var 11 350 km. For </w:t>
      </w:r>
      <w:proofErr w:type="spellStart"/>
      <w:r w:rsidRPr="001D3665">
        <w:t>ein</w:t>
      </w:r>
      <w:proofErr w:type="spellEnd"/>
      <w:r w:rsidRPr="001D3665">
        <w:t xml:space="preserve"> bilist som </w:t>
      </w:r>
      <w:proofErr w:type="spellStart"/>
      <w:r w:rsidRPr="001D3665">
        <w:t>køyrer</w:t>
      </w:r>
      <w:proofErr w:type="spellEnd"/>
      <w:r w:rsidRPr="001D3665">
        <w:t xml:space="preserve"> 12 000 km i året, og som har </w:t>
      </w:r>
      <w:proofErr w:type="spellStart"/>
      <w:r w:rsidRPr="001D3665">
        <w:t>eit</w:t>
      </w:r>
      <w:proofErr w:type="spellEnd"/>
      <w:r w:rsidRPr="001D3665">
        <w:t xml:space="preserve"> </w:t>
      </w:r>
      <w:proofErr w:type="spellStart"/>
      <w:r w:rsidRPr="001D3665">
        <w:t>gjennomsnittleg</w:t>
      </w:r>
      <w:proofErr w:type="spellEnd"/>
      <w:r w:rsidRPr="001D3665">
        <w:t xml:space="preserve"> forbruk av drivstoff på 0,06 liter per kilometer, vil </w:t>
      </w:r>
      <w:proofErr w:type="spellStart"/>
      <w:r w:rsidRPr="001D3665">
        <w:t>ein</w:t>
      </w:r>
      <w:proofErr w:type="spellEnd"/>
      <w:r w:rsidRPr="001D3665">
        <w:t xml:space="preserve"> </w:t>
      </w:r>
      <w:proofErr w:type="spellStart"/>
      <w:r w:rsidRPr="001D3665">
        <w:t>auke</w:t>
      </w:r>
      <w:proofErr w:type="spellEnd"/>
      <w:r w:rsidRPr="001D3665">
        <w:t xml:space="preserve"> i pumpeprisen på drivstoff med 4 kroner per liter </w:t>
      </w:r>
      <w:proofErr w:type="spellStart"/>
      <w:r w:rsidRPr="001D3665">
        <w:t>gje</w:t>
      </w:r>
      <w:proofErr w:type="spellEnd"/>
      <w:r w:rsidRPr="001D3665">
        <w:t xml:space="preserve"> </w:t>
      </w:r>
      <w:proofErr w:type="spellStart"/>
      <w:r w:rsidRPr="001D3665">
        <w:t>ein</w:t>
      </w:r>
      <w:proofErr w:type="spellEnd"/>
      <w:r w:rsidRPr="001D3665">
        <w:t xml:space="preserve"> </w:t>
      </w:r>
      <w:proofErr w:type="spellStart"/>
      <w:r w:rsidRPr="001D3665">
        <w:t>månadleg</w:t>
      </w:r>
      <w:proofErr w:type="spellEnd"/>
      <w:r w:rsidRPr="001D3665">
        <w:t xml:space="preserve"> </w:t>
      </w:r>
      <w:proofErr w:type="spellStart"/>
      <w:r w:rsidRPr="001D3665">
        <w:t>meirkostnad</w:t>
      </w:r>
      <w:proofErr w:type="spellEnd"/>
      <w:r w:rsidRPr="001D3665">
        <w:t xml:space="preserve"> på 240 kroner. Dersom </w:t>
      </w:r>
      <w:proofErr w:type="spellStart"/>
      <w:r w:rsidRPr="001D3665">
        <w:t>auken</w:t>
      </w:r>
      <w:proofErr w:type="spellEnd"/>
      <w:r w:rsidRPr="001D3665">
        <w:t xml:space="preserve"> er varig, vil den </w:t>
      </w:r>
      <w:proofErr w:type="spellStart"/>
      <w:r w:rsidRPr="001D3665">
        <w:t>årlege</w:t>
      </w:r>
      <w:proofErr w:type="spellEnd"/>
      <w:r w:rsidRPr="001D3665">
        <w:t xml:space="preserve"> </w:t>
      </w:r>
      <w:proofErr w:type="spellStart"/>
      <w:r w:rsidRPr="001D3665">
        <w:t>meirkostnaden</w:t>
      </w:r>
      <w:proofErr w:type="spellEnd"/>
      <w:r w:rsidRPr="001D3665">
        <w:t xml:space="preserve"> </w:t>
      </w:r>
      <w:proofErr w:type="spellStart"/>
      <w:r w:rsidRPr="001D3665">
        <w:t>vere</w:t>
      </w:r>
      <w:proofErr w:type="spellEnd"/>
      <w:r w:rsidRPr="001D3665">
        <w:t xml:space="preserve"> om lag 2 880 kroner. </w:t>
      </w:r>
      <w:proofErr w:type="spellStart"/>
      <w:r w:rsidRPr="001D3665">
        <w:t>Meirkostnaden</w:t>
      </w:r>
      <w:proofErr w:type="spellEnd"/>
      <w:r w:rsidRPr="001D3665">
        <w:t xml:space="preserve"> vil variere etter </w:t>
      </w:r>
      <w:proofErr w:type="spellStart"/>
      <w:r w:rsidRPr="001D3665">
        <w:t>køyrelengd</w:t>
      </w:r>
      <w:proofErr w:type="spellEnd"/>
      <w:r w:rsidRPr="001D3665">
        <w:t xml:space="preserve">, </w:t>
      </w:r>
      <w:proofErr w:type="spellStart"/>
      <w:r w:rsidRPr="001D3665">
        <w:t>gjennomsnittleg</w:t>
      </w:r>
      <w:proofErr w:type="spellEnd"/>
      <w:r w:rsidRPr="001D3665">
        <w:t xml:space="preserve"> forbruk av drivstoff og prisauke, sjå tabell 9.1.</w:t>
      </w:r>
    </w:p>
    <w:p w14:paraId="241A2734" w14:textId="1A5ECCBC" w:rsidR="001B58A2" w:rsidRPr="001D3665" w:rsidRDefault="001B58A2" w:rsidP="001D3665">
      <w:pPr>
        <w:pStyle w:val="tabell-tittel"/>
      </w:pPr>
      <w:proofErr w:type="spellStart"/>
      <w:r w:rsidRPr="001D3665">
        <w:t>Månadleg</w:t>
      </w:r>
      <w:proofErr w:type="spellEnd"/>
      <w:r w:rsidRPr="001D3665">
        <w:t xml:space="preserve"> og </w:t>
      </w:r>
      <w:proofErr w:type="spellStart"/>
      <w:r w:rsidRPr="001D3665">
        <w:t>årleg</w:t>
      </w:r>
      <w:proofErr w:type="spellEnd"/>
      <w:r w:rsidRPr="001D3665">
        <w:t xml:space="preserve"> </w:t>
      </w:r>
      <w:proofErr w:type="spellStart"/>
      <w:r w:rsidRPr="001D3665">
        <w:t>meirkostnad</w:t>
      </w:r>
      <w:proofErr w:type="spellEnd"/>
      <w:r w:rsidRPr="001D3665">
        <w:t xml:space="preserve"> for </w:t>
      </w:r>
      <w:proofErr w:type="spellStart"/>
      <w:r w:rsidRPr="001D3665">
        <w:t>ein</w:t>
      </w:r>
      <w:proofErr w:type="spellEnd"/>
      <w:r w:rsidRPr="001D3665">
        <w:t xml:space="preserve"> bilist med </w:t>
      </w:r>
      <w:proofErr w:type="spellStart"/>
      <w:r w:rsidRPr="001D3665">
        <w:t>eit</w:t>
      </w:r>
      <w:proofErr w:type="spellEnd"/>
      <w:r w:rsidRPr="001D3665">
        <w:t xml:space="preserve"> </w:t>
      </w:r>
      <w:proofErr w:type="spellStart"/>
      <w:r w:rsidRPr="001D3665">
        <w:t>månadleg</w:t>
      </w:r>
      <w:proofErr w:type="spellEnd"/>
      <w:r w:rsidRPr="001D3665">
        <w:t xml:space="preserve"> forbruk av drivstoff på 60 liter.</w:t>
      </w:r>
      <w:r w:rsidRPr="001D3665">
        <w:rPr>
          <w:rStyle w:val="skrift-hevet"/>
        </w:rPr>
        <w:t>1</w:t>
      </w:r>
    </w:p>
    <w:p w14:paraId="1A6BCAF4" w14:textId="77777777" w:rsidR="00BC371A" w:rsidRPr="001D3665" w:rsidRDefault="00BC371A" w:rsidP="001D3665">
      <w:pPr>
        <w:pStyle w:val="Tabellnavn"/>
      </w:pPr>
      <w:r w:rsidRPr="001D3665">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80"/>
        <w:gridCol w:w="2240"/>
        <w:gridCol w:w="2240"/>
      </w:tblGrid>
      <w:tr w:rsidR="00CF0C10" w:rsidRPr="001D3665" w14:paraId="6BBD2B5B" w14:textId="77777777">
        <w:trPr>
          <w:trHeight w:val="600"/>
        </w:trPr>
        <w:tc>
          <w:tcPr>
            <w:tcW w:w="5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32AF75" w14:textId="77777777" w:rsidR="00BC371A" w:rsidRPr="001D3665" w:rsidRDefault="00BC371A" w:rsidP="001D3665">
            <w:pPr>
              <w:rPr>
                <w:sz w:val="21"/>
              </w:rPr>
            </w:pPr>
            <w:proofErr w:type="spellStart"/>
            <w:r w:rsidRPr="001D3665">
              <w:rPr>
                <w:sz w:val="21"/>
              </w:rPr>
              <w:lastRenderedPageBreak/>
              <w:t>Auke</w:t>
            </w:r>
            <w:proofErr w:type="spellEnd"/>
            <w:r w:rsidRPr="001D3665">
              <w:rPr>
                <w:sz w:val="21"/>
              </w:rPr>
              <w:t xml:space="preserve"> i pumpepris på drivstoff</w:t>
            </w:r>
          </w:p>
          <w:p w14:paraId="288209E0" w14:textId="77777777" w:rsidR="00BC371A" w:rsidRPr="001D3665" w:rsidRDefault="00BC371A" w:rsidP="001D3665">
            <w:pPr>
              <w:rPr>
                <w:sz w:val="21"/>
              </w:rPr>
            </w:pPr>
            <w:r w:rsidRPr="001D3665">
              <w:rPr>
                <w:sz w:val="21"/>
              </w:rPr>
              <w:t>Kroner per liter</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C19F48" w14:textId="77777777" w:rsidR="00BC371A" w:rsidRPr="001D3665" w:rsidRDefault="00BC371A" w:rsidP="001D3665">
            <w:pPr>
              <w:jc w:val="right"/>
              <w:rPr>
                <w:sz w:val="21"/>
              </w:rPr>
            </w:pPr>
            <w:proofErr w:type="spellStart"/>
            <w:r w:rsidRPr="001D3665">
              <w:rPr>
                <w:sz w:val="21"/>
              </w:rPr>
              <w:t>Månadleg</w:t>
            </w:r>
            <w:proofErr w:type="spellEnd"/>
            <w:r w:rsidRPr="001D3665">
              <w:rPr>
                <w:sz w:val="21"/>
              </w:rPr>
              <w:t xml:space="preserve"> </w:t>
            </w:r>
            <w:proofErr w:type="spellStart"/>
            <w:r w:rsidRPr="001D3665">
              <w:rPr>
                <w:sz w:val="21"/>
              </w:rPr>
              <w:t>meirkostnad</w:t>
            </w:r>
            <w:proofErr w:type="spellEnd"/>
          </w:p>
          <w:p w14:paraId="62085CE1" w14:textId="77777777" w:rsidR="00BC371A" w:rsidRPr="001D3665" w:rsidRDefault="00BC371A" w:rsidP="001D3665">
            <w:pPr>
              <w:jc w:val="right"/>
              <w:rPr>
                <w:sz w:val="21"/>
              </w:rPr>
            </w:pPr>
            <w:r w:rsidRPr="001D3665">
              <w:rPr>
                <w:sz w:val="21"/>
              </w:rPr>
              <w:t>Kroner</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E007C4" w14:textId="77777777" w:rsidR="00BC371A" w:rsidRPr="001D3665" w:rsidRDefault="00BC371A" w:rsidP="001D3665">
            <w:pPr>
              <w:jc w:val="right"/>
              <w:rPr>
                <w:sz w:val="21"/>
              </w:rPr>
            </w:pPr>
            <w:proofErr w:type="spellStart"/>
            <w:r w:rsidRPr="001D3665">
              <w:rPr>
                <w:sz w:val="21"/>
              </w:rPr>
              <w:t>Årleg</w:t>
            </w:r>
            <w:proofErr w:type="spellEnd"/>
            <w:r w:rsidRPr="001D3665">
              <w:rPr>
                <w:sz w:val="21"/>
              </w:rPr>
              <w:t xml:space="preserve"> </w:t>
            </w:r>
            <w:proofErr w:type="spellStart"/>
            <w:r w:rsidRPr="001D3665">
              <w:rPr>
                <w:sz w:val="21"/>
              </w:rPr>
              <w:t>meirkostnad</w:t>
            </w:r>
            <w:proofErr w:type="spellEnd"/>
          </w:p>
          <w:p w14:paraId="2E96D6DA" w14:textId="77777777" w:rsidR="00BC371A" w:rsidRPr="001D3665" w:rsidRDefault="00BC371A" w:rsidP="001D3665">
            <w:pPr>
              <w:jc w:val="right"/>
              <w:rPr>
                <w:sz w:val="21"/>
              </w:rPr>
            </w:pPr>
            <w:r w:rsidRPr="001D3665">
              <w:rPr>
                <w:sz w:val="21"/>
              </w:rPr>
              <w:t>Kroner</w:t>
            </w:r>
          </w:p>
        </w:tc>
      </w:tr>
      <w:tr w:rsidR="00CF0C10" w:rsidRPr="001D3665" w14:paraId="2773A33A" w14:textId="77777777">
        <w:trPr>
          <w:trHeight w:val="380"/>
        </w:trPr>
        <w:tc>
          <w:tcPr>
            <w:tcW w:w="5080" w:type="dxa"/>
            <w:tcBorders>
              <w:top w:val="single" w:sz="4" w:space="0" w:color="000000"/>
              <w:left w:val="nil"/>
              <w:bottom w:val="nil"/>
              <w:right w:val="nil"/>
            </w:tcBorders>
            <w:tcMar>
              <w:top w:w="128" w:type="dxa"/>
              <w:left w:w="43" w:type="dxa"/>
              <w:bottom w:w="43" w:type="dxa"/>
              <w:right w:w="43" w:type="dxa"/>
            </w:tcMar>
          </w:tcPr>
          <w:p w14:paraId="53352ACF" w14:textId="77777777" w:rsidR="00BC371A" w:rsidRPr="001D3665" w:rsidRDefault="00BC371A" w:rsidP="001D3665">
            <w:pPr>
              <w:rPr>
                <w:sz w:val="21"/>
              </w:rPr>
            </w:pPr>
            <w:r w:rsidRPr="001D3665">
              <w:rPr>
                <w:sz w:val="21"/>
              </w:rPr>
              <w:t>2</w:t>
            </w:r>
          </w:p>
        </w:tc>
        <w:tc>
          <w:tcPr>
            <w:tcW w:w="2240" w:type="dxa"/>
            <w:tcBorders>
              <w:top w:val="single" w:sz="4" w:space="0" w:color="000000"/>
              <w:left w:val="nil"/>
              <w:bottom w:val="nil"/>
              <w:right w:val="nil"/>
            </w:tcBorders>
            <w:tcMar>
              <w:top w:w="128" w:type="dxa"/>
              <w:left w:w="43" w:type="dxa"/>
              <w:bottom w:w="43" w:type="dxa"/>
              <w:right w:w="43" w:type="dxa"/>
            </w:tcMar>
            <w:vAlign w:val="bottom"/>
          </w:tcPr>
          <w:p w14:paraId="39B81EA4" w14:textId="77777777" w:rsidR="00BC371A" w:rsidRPr="001D3665" w:rsidRDefault="00BC371A" w:rsidP="001D3665">
            <w:pPr>
              <w:jc w:val="right"/>
              <w:rPr>
                <w:sz w:val="21"/>
              </w:rPr>
            </w:pPr>
            <w:r w:rsidRPr="001D3665">
              <w:rPr>
                <w:sz w:val="21"/>
              </w:rPr>
              <w:t>120</w:t>
            </w:r>
          </w:p>
        </w:tc>
        <w:tc>
          <w:tcPr>
            <w:tcW w:w="2240" w:type="dxa"/>
            <w:tcBorders>
              <w:top w:val="single" w:sz="4" w:space="0" w:color="000000"/>
              <w:left w:val="nil"/>
              <w:bottom w:val="nil"/>
              <w:right w:val="nil"/>
            </w:tcBorders>
            <w:tcMar>
              <w:top w:w="128" w:type="dxa"/>
              <w:left w:w="43" w:type="dxa"/>
              <w:bottom w:w="43" w:type="dxa"/>
              <w:right w:w="43" w:type="dxa"/>
            </w:tcMar>
            <w:vAlign w:val="bottom"/>
          </w:tcPr>
          <w:p w14:paraId="677C5271" w14:textId="77777777" w:rsidR="00BC371A" w:rsidRPr="001D3665" w:rsidRDefault="00BC371A" w:rsidP="001D3665">
            <w:pPr>
              <w:jc w:val="right"/>
              <w:rPr>
                <w:sz w:val="21"/>
              </w:rPr>
            </w:pPr>
            <w:r w:rsidRPr="001D3665">
              <w:rPr>
                <w:sz w:val="21"/>
              </w:rPr>
              <w:t>1 440</w:t>
            </w:r>
          </w:p>
        </w:tc>
      </w:tr>
      <w:tr w:rsidR="00CF0C10" w:rsidRPr="001D3665" w14:paraId="29405D48" w14:textId="77777777">
        <w:trPr>
          <w:trHeight w:val="380"/>
        </w:trPr>
        <w:tc>
          <w:tcPr>
            <w:tcW w:w="5080" w:type="dxa"/>
            <w:tcBorders>
              <w:top w:val="nil"/>
              <w:left w:val="nil"/>
              <w:bottom w:val="nil"/>
              <w:right w:val="nil"/>
            </w:tcBorders>
            <w:tcMar>
              <w:top w:w="128" w:type="dxa"/>
              <w:left w:w="43" w:type="dxa"/>
              <w:bottom w:w="43" w:type="dxa"/>
              <w:right w:w="43" w:type="dxa"/>
            </w:tcMar>
          </w:tcPr>
          <w:p w14:paraId="1A49AA4F" w14:textId="77777777" w:rsidR="00BC371A" w:rsidRPr="001D3665" w:rsidRDefault="00BC371A" w:rsidP="001D3665">
            <w:pPr>
              <w:rPr>
                <w:sz w:val="21"/>
              </w:rPr>
            </w:pPr>
            <w:r w:rsidRPr="001D3665">
              <w:rPr>
                <w:sz w:val="21"/>
              </w:rPr>
              <w:t>4</w:t>
            </w:r>
          </w:p>
        </w:tc>
        <w:tc>
          <w:tcPr>
            <w:tcW w:w="2240" w:type="dxa"/>
            <w:tcBorders>
              <w:top w:val="nil"/>
              <w:left w:val="nil"/>
              <w:bottom w:val="nil"/>
              <w:right w:val="nil"/>
            </w:tcBorders>
            <w:tcMar>
              <w:top w:w="128" w:type="dxa"/>
              <w:left w:w="43" w:type="dxa"/>
              <w:bottom w:w="43" w:type="dxa"/>
              <w:right w:w="43" w:type="dxa"/>
            </w:tcMar>
            <w:vAlign w:val="bottom"/>
          </w:tcPr>
          <w:p w14:paraId="1717620F" w14:textId="77777777" w:rsidR="00BC371A" w:rsidRPr="001D3665" w:rsidRDefault="00BC371A" w:rsidP="001D3665">
            <w:pPr>
              <w:jc w:val="right"/>
              <w:rPr>
                <w:sz w:val="21"/>
              </w:rPr>
            </w:pPr>
            <w:r w:rsidRPr="001D3665">
              <w:rPr>
                <w:sz w:val="21"/>
              </w:rPr>
              <w:t>240</w:t>
            </w:r>
          </w:p>
        </w:tc>
        <w:tc>
          <w:tcPr>
            <w:tcW w:w="2240" w:type="dxa"/>
            <w:tcBorders>
              <w:top w:val="nil"/>
              <w:left w:val="nil"/>
              <w:bottom w:val="nil"/>
              <w:right w:val="nil"/>
            </w:tcBorders>
            <w:tcMar>
              <w:top w:w="128" w:type="dxa"/>
              <w:left w:w="43" w:type="dxa"/>
              <w:bottom w:w="43" w:type="dxa"/>
              <w:right w:w="43" w:type="dxa"/>
            </w:tcMar>
            <w:vAlign w:val="bottom"/>
          </w:tcPr>
          <w:p w14:paraId="77198641" w14:textId="77777777" w:rsidR="00BC371A" w:rsidRPr="001D3665" w:rsidRDefault="00BC371A" w:rsidP="001D3665">
            <w:pPr>
              <w:jc w:val="right"/>
              <w:rPr>
                <w:sz w:val="21"/>
              </w:rPr>
            </w:pPr>
            <w:r w:rsidRPr="001D3665">
              <w:rPr>
                <w:sz w:val="21"/>
              </w:rPr>
              <w:t>2 880</w:t>
            </w:r>
          </w:p>
        </w:tc>
      </w:tr>
      <w:tr w:rsidR="00CF0C10" w:rsidRPr="001D3665" w14:paraId="315685F2" w14:textId="77777777">
        <w:trPr>
          <w:trHeight w:val="380"/>
        </w:trPr>
        <w:tc>
          <w:tcPr>
            <w:tcW w:w="5080" w:type="dxa"/>
            <w:tcBorders>
              <w:top w:val="nil"/>
              <w:left w:val="nil"/>
              <w:bottom w:val="nil"/>
              <w:right w:val="nil"/>
            </w:tcBorders>
            <w:tcMar>
              <w:top w:w="128" w:type="dxa"/>
              <w:left w:w="43" w:type="dxa"/>
              <w:bottom w:w="43" w:type="dxa"/>
              <w:right w:w="43" w:type="dxa"/>
            </w:tcMar>
          </w:tcPr>
          <w:p w14:paraId="25475BC4" w14:textId="77777777" w:rsidR="00BC371A" w:rsidRPr="001D3665" w:rsidRDefault="00BC371A" w:rsidP="001D3665">
            <w:pPr>
              <w:rPr>
                <w:sz w:val="21"/>
              </w:rPr>
            </w:pPr>
            <w:r w:rsidRPr="001D3665">
              <w:rPr>
                <w:sz w:val="21"/>
              </w:rPr>
              <w:t>6</w:t>
            </w:r>
          </w:p>
        </w:tc>
        <w:tc>
          <w:tcPr>
            <w:tcW w:w="2240" w:type="dxa"/>
            <w:tcBorders>
              <w:top w:val="nil"/>
              <w:left w:val="nil"/>
              <w:bottom w:val="nil"/>
              <w:right w:val="nil"/>
            </w:tcBorders>
            <w:tcMar>
              <w:top w:w="128" w:type="dxa"/>
              <w:left w:w="43" w:type="dxa"/>
              <w:bottom w:w="43" w:type="dxa"/>
              <w:right w:w="43" w:type="dxa"/>
            </w:tcMar>
            <w:vAlign w:val="bottom"/>
          </w:tcPr>
          <w:p w14:paraId="3D98220E" w14:textId="77777777" w:rsidR="00BC371A" w:rsidRPr="001D3665" w:rsidRDefault="00BC371A" w:rsidP="001D3665">
            <w:pPr>
              <w:jc w:val="right"/>
              <w:rPr>
                <w:sz w:val="21"/>
              </w:rPr>
            </w:pPr>
            <w:r w:rsidRPr="001D3665">
              <w:rPr>
                <w:sz w:val="21"/>
              </w:rPr>
              <w:t>360</w:t>
            </w:r>
          </w:p>
        </w:tc>
        <w:tc>
          <w:tcPr>
            <w:tcW w:w="2240" w:type="dxa"/>
            <w:tcBorders>
              <w:top w:val="nil"/>
              <w:left w:val="nil"/>
              <w:bottom w:val="nil"/>
              <w:right w:val="nil"/>
            </w:tcBorders>
            <w:tcMar>
              <w:top w:w="128" w:type="dxa"/>
              <w:left w:w="43" w:type="dxa"/>
              <w:bottom w:w="43" w:type="dxa"/>
              <w:right w:w="43" w:type="dxa"/>
            </w:tcMar>
            <w:vAlign w:val="bottom"/>
          </w:tcPr>
          <w:p w14:paraId="105F413D" w14:textId="77777777" w:rsidR="00BC371A" w:rsidRPr="001D3665" w:rsidRDefault="00BC371A" w:rsidP="001D3665">
            <w:pPr>
              <w:jc w:val="right"/>
              <w:rPr>
                <w:sz w:val="21"/>
              </w:rPr>
            </w:pPr>
            <w:r w:rsidRPr="001D3665">
              <w:rPr>
                <w:sz w:val="21"/>
              </w:rPr>
              <w:t>4 320</w:t>
            </w:r>
          </w:p>
        </w:tc>
      </w:tr>
      <w:tr w:rsidR="00CF0C10" w:rsidRPr="001D3665" w14:paraId="59D97302" w14:textId="77777777">
        <w:trPr>
          <w:trHeight w:val="380"/>
        </w:trPr>
        <w:tc>
          <w:tcPr>
            <w:tcW w:w="5080" w:type="dxa"/>
            <w:tcBorders>
              <w:top w:val="nil"/>
              <w:left w:val="nil"/>
              <w:bottom w:val="nil"/>
              <w:right w:val="nil"/>
            </w:tcBorders>
            <w:tcMar>
              <w:top w:w="128" w:type="dxa"/>
              <w:left w:w="43" w:type="dxa"/>
              <w:bottom w:w="43" w:type="dxa"/>
              <w:right w:w="43" w:type="dxa"/>
            </w:tcMar>
          </w:tcPr>
          <w:p w14:paraId="5F5D6503" w14:textId="77777777" w:rsidR="00BC371A" w:rsidRPr="001D3665" w:rsidRDefault="00BC371A" w:rsidP="001D3665">
            <w:pPr>
              <w:rPr>
                <w:sz w:val="21"/>
              </w:rPr>
            </w:pPr>
            <w:r w:rsidRPr="001D3665">
              <w:rPr>
                <w:sz w:val="21"/>
              </w:rPr>
              <w:t>8</w:t>
            </w:r>
          </w:p>
        </w:tc>
        <w:tc>
          <w:tcPr>
            <w:tcW w:w="2240" w:type="dxa"/>
            <w:tcBorders>
              <w:top w:val="nil"/>
              <w:left w:val="nil"/>
              <w:bottom w:val="nil"/>
              <w:right w:val="nil"/>
            </w:tcBorders>
            <w:tcMar>
              <w:top w:w="128" w:type="dxa"/>
              <w:left w:w="43" w:type="dxa"/>
              <w:bottom w:w="43" w:type="dxa"/>
              <w:right w:w="43" w:type="dxa"/>
            </w:tcMar>
            <w:vAlign w:val="bottom"/>
          </w:tcPr>
          <w:p w14:paraId="1CF9049A" w14:textId="77777777" w:rsidR="00BC371A" w:rsidRPr="001D3665" w:rsidRDefault="00BC371A" w:rsidP="001D3665">
            <w:pPr>
              <w:jc w:val="right"/>
              <w:rPr>
                <w:sz w:val="21"/>
              </w:rPr>
            </w:pPr>
            <w:r w:rsidRPr="001D3665">
              <w:rPr>
                <w:sz w:val="21"/>
              </w:rPr>
              <w:t>480</w:t>
            </w:r>
          </w:p>
        </w:tc>
        <w:tc>
          <w:tcPr>
            <w:tcW w:w="2240" w:type="dxa"/>
            <w:tcBorders>
              <w:top w:val="nil"/>
              <w:left w:val="nil"/>
              <w:bottom w:val="nil"/>
              <w:right w:val="nil"/>
            </w:tcBorders>
            <w:tcMar>
              <w:top w:w="128" w:type="dxa"/>
              <w:left w:w="43" w:type="dxa"/>
              <w:bottom w:w="43" w:type="dxa"/>
              <w:right w:w="43" w:type="dxa"/>
            </w:tcMar>
            <w:vAlign w:val="bottom"/>
          </w:tcPr>
          <w:p w14:paraId="183239A0" w14:textId="77777777" w:rsidR="00BC371A" w:rsidRPr="001D3665" w:rsidRDefault="00BC371A" w:rsidP="001D3665">
            <w:pPr>
              <w:jc w:val="right"/>
              <w:rPr>
                <w:sz w:val="21"/>
              </w:rPr>
            </w:pPr>
            <w:r w:rsidRPr="001D3665">
              <w:rPr>
                <w:sz w:val="21"/>
              </w:rPr>
              <w:t>5 760</w:t>
            </w:r>
          </w:p>
        </w:tc>
      </w:tr>
      <w:tr w:rsidR="00CF0C10" w:rsidRPr="001D3665" w14:paraId="2D52023C" w14:textId="77777777">
        <w:trPr>
          <w:trHeight w:val="380"/>
        </w:trPr>
        <w:tc>
          <w:tcPr>
            <w:tcW w:w="5080" w:type="dxa"/>
            <w:tcBorders>
              <w:top w:val="nil"/>
              <w:left w:val="nil"/>
              <w:bottom w:val="single" w:sz="4" w:space="0" w:color="000000"/>
              <w:right w:val="nil"/>
            </w:tcBorders>
            <w:tcMar>
              <w:top w:w="128" w:type="dxa"/>
              <w:left w:w="43" w:type="dxa"/>
              <w:bottom w:w="43" w:type="dxa"/>
              <w:right w:w="43" w:type="dxa"/>
            </w:tcMar>
          </w:tcPr>
          <w:p w14:paraId="061E034C" w14:textId="77777777" w:rsidR="00BC371A" w:rsidRPr="001D3665" w:rsidRDefault="00BC371A" w:rsidP="001D3665">
            <w:pPr>
              <w:rPr>
                <w:sz w:val="21"/>
              </w:rPr>
            </w:pPr>
            <w:r w:rsidRPr="001D3665">
              <w:rPr>
                <w:sz w:val="21"/>
              </w:rPr>
              <w:t>10</w:t>
            </w:r>
          </w:p>
        </w:tc>
        <w:tc>
          <w:tcPr>
            <w:tcW w:w="2240" w:type="dxa"/>
            <w:tcBorders>
              <w:top w:val="nil"/>
              <w:left w:val="nil"/>
              <w:bottom w:val="single" w:sz="4" w:space="0" w:color="000000"/>
              <w:right w:val="nil"/>
            </w:tcBorders>
            <w:tcMar>
              <w:top w:w="128" w:type="dxa"/>
              <w:left w:w="43" w:type="dxa"/>
              <w:bottom w:w="43" w:type="dxa"/>
              <w:right w:w="43" w:type="dxa"/>
            </w:tcMar>
            <w:vAlign w:val="bottom"/>
          </w:tcPr>
          <w:p w14:paraId="48713FD8" w14:textId="77777777" w:rsidR="00BC371A" w:rsidRPr="001D3665" w:rsidRDefault="00BC371A" w:rsidP="001D3665">
            <w:pPr>
              <w:jc w:val="right"/>
              <w:rPr>
                <w:sz w:val="21"/>
              </w:rPr>
            </w:pPr>
            <w:r w:rsidRPr="001D3665">
              <w:rPr>
                <w:sz w:val="21"/>
              </w:rPr>
              <w:t>600</w:t>
            </w:r>
          </w:p>
        </w:tc>
        <w:tc>
          <w:tcPr>
            <w:tcW w:w="2240" w:type="dxa"/>
            <w:tcBorders>
              <w:top w:val="nil"/>
              <w:left w:val="nil"/>
              <w:bottom w:val="single" w:sz="4" w:space="0" w:color="000000"/>
              <w:right w:val="nil"/>
            </w:tcBorders>
            <w:tcMar>
              <w:top w:w="128" w:type="dxa"/>
              <w:left w:w="43" w:type="dxa"/>
              <w:bottom w:w="43" w:type="dxa"/>
              <w:right w:w="43" w:type="dxa"/>
            </w:tcMar>
            <w:vAlign w:val="bottom"/>
          </w:tcPr>
          <w:p w14:paraId="3BAB1504" w14:textId="77777777" w:rsidR="00BC371A" w:rsidRPr="001D3665" w:rsidRDefault="00BC371A" w:rsidP="001D3665">
            <w:pPr>
              <w:jc w:val="right"/>
              <w:rPr>
                <w:sz w:val="21"/>
              </w:rPr>
            </w:pPr>
            <w:r w:rsidRPr="001D3665">
              <w:rPr>
                <w:sz w:val="21"/>
              </w:rPr>
              <w:t>7 200</w:t>
            </w:r>
          </w:p>
        </w:tc>
      </w:tr>
    </w:tbl>
    <w:p w14:paraId="4EED2B1C" w14:textId="77777777" w:rsidR="00BC371A" w:rsidRPr="001D3665" w:rsidRDefault="00BC371A" w:rsidP="001D3665">
      <w:pPr>
        <w:pStyle w:val="tabell-noter"/>
      </w:pPr>
      <w:r w:rsidRPr="001D3665">
        <w:rPr>
          <w:rStyle w:val="skrift-hevet"/>
        </w:rPr>
        <w:t>1</w:t>
      </w:r>
      <w:r w:rsidRPr="001D3665">
        <w:tab/>
      </w:r>
      <w:proofErr w:type="spellStart"/>
      <w:r w:rsidRPr="001D3665">
        <w:t>Årleg</w:t>
      </w:r>
      <w:proofErr w:type="spellEnd"/>
      <w:r w:rsidRPr="001D3665">
        <w:t xml:space="preserve"> </w:t>
      </w:r>
      <w:proofErr w:type="spellStart"/>
      <w:r w:rsidRPr="001D3665">
        <w:t>køyrelengd</w:t>
      </w:r>
      <w:proofErr w:type="spellEnd"/>
      <w:r w:rsidRPr="001D3665">
        <w:t xml:space="preserve"> på 12 000 km og </w:t>
      </w:r>
      <w:proofErr w:type="spellStart"/>
      <w:r w:rsidRPr="001D3665">
        <w:t>eit</w:t>
      </w:r>
      <w:proofErr w:type="spellEnd"/>
      <w:r w:rsidRPr="001D3665">
        <w:t xml:space="preserve"> </w:t>
      </w:r>
      <w:proofErr w:type="spellStart"/>
      <w:r w:rsidRPr="001D3665">
        <w:t>gjennomsnittleg</w:t>
      </w:r>
      <w:proofErr w:type="spellEnd"/>
      <w:r w:rsidRPr="001D3665">
        <w:t xml:space="preserve"> forbruk av drivstoff på 0,06 liter/km gjev </w:t>
      </w:r>
      <w:proofErr w:type="spellStart"/>
      <w:r w:rsidRPr="001D3665">
        <w:t>eit</w:t>
      </w:r>
      <w:proofErr w:type="spellEnd"/>
      <w:r w:rsidRPr="001D3665">
        <w:t xml:space="preserve"> </w:t>
      </w:r>
      <w:proofErr w:type="spellStart"/>
      <w:r w:rsidRPr="001D3665">
        <w:t>månadleg</w:t>
      </w:r>
      <w:proofErr w:type="spellEnd"/>
      <w:r w:rsidRPr="001D3665">
        <w:t xml:space="preserve"> forbruk av drivstoff på 60 liter.</w:t>
      </w:r>
    </w:p>
    <w:p w14:paraId="7B9BB832" w14:textId="77777777" w:rsidR="00BC371A" w:rsidRPr="001D3665" w:rsidRDefault="00BC371A" w:rsidP="001D3665">
      <w:r w:rsidRPr="001D3665">
        <w:t xml:space="preserve">Det er stor variasjon i bilbruken mellom </w:t>
      </w:r>
      <w:proofErr w:type="spellStart"/>
      <w:r w:rsidRPr="001D3665">
        <w:t>kommunar</w:t>
      </w:r>
      <w:proofErr w:type="spellEnd"/>
      <w:r w:rsidRPr="001D3665">
        <w:t xml:space="preserve">, men denne er uavhengig av kor sentralt kommunen ligg. Statistisk sentralbyrå publiserer statistikk over </w:t>
      </w:r>
      <w:proofErr w:type="spellStart"/>
      <w:r w:rsidRPr="001D3665">
        <w:t>køyrelengd</w:t>
      </w:r>
      <w:proofErr w:type="spellEnd"/>
      <w:r w:rsidRPr="001D3665">
        <w:t xml:space="preserve"> for </w:t>
      </w:r>
      <w:proofErr w:type="spellStart"/>
      <w:r w:rsidRPr="001D3665">
        <w:t>personbilar</w:t>
      </w:r>
      <w:proofErr w:type="spellEnd"/>
      <w:r w:rsidRPr="001D3665">
        <w:t xml:space="preserve"> etter kvar </w:t>
      </w:r>
      <w:proofErr w:type="spellStart"/>
      <w:r w:rsidRPr="001D3665">
        <w:t>brukarane</w:t>
      </w:r>
      <w:proofErr w:type="spellEnd"/>
      <w:r w:rsidRPr="001D3665">
        <w:t xml:space="preserve"> bur. Figur 9.4 syner </w:t>
      </w:r>
      <w:proofErr w:type="spellStart"/>
      <w:r w:rsidRPr="001D3665">
        <w:t>gjennomsnittlege</w:t>
      </w:r>
      <w:proofErr w:type="spellEnd"/>
      <w:r w:rsidRPr="001D3665">
        <w:t xml:space="preserve"> </w:t>
      </w:r>
      <w:proofErr w:type="spellStart"/>
      <w:r w:rsidRPr="001D3665">
        <w:t>køyrelengder</w:t>
      </w:r>
      <w:proofErr w:type="spellEnd"/>
      <w:r w:rsidRPr="001D3665">
        <w:t xml:space="preserve"> for </w:t>
      </w:r>
      <w:proofErr w:type="spellStart"/>
      <w:r w:rsidRPr="001D3665">
        <w:t>personbilar</w:t>
      </w:r>
      <w:proofErr w:type="spellEnd"/>
      <w:r w:rsidRPr="001D3665">
        <w:t xml:space="preserve"> per kommune per bil, fordelt etter sentralitetsindeksen til </w:t>
      </w:r>
      <w:proofErr w:type="spellStart"/>
      <w:r w:rsidRPr="001D3665">
        <w:t>kommunane</w:t>
      </w:r>
      <w:proofErr w:type="spellEnd"/>
      <w:r w:rsidRPr="001D3665">
        <w:t xml:space="preserve">. Dei mest sentrale </w:t>
      </w:r>
      <w:proofErr w:type="spellStart"/>
      <w:r w:rsidRPr="001D3665">
        <w:t>kommunane</w:t>
      </w:r>
      <w:proofErr w:type="spellEnd"/>
      <w:r w:rsidRPr="001D3665">
        <w:t xml:space="preserve"> har </w:t>
      </w:r>
      <w:proofErr w:type="spellStart"/>
      <w:r w:rsidRPr="001D3665">
        <w:t>ein</w:t>
      </w:r>
      <w:proofErr w:type="spellEnd"/>
      <w:r w:rsidRPr="001D3665">
        <w:t xml:space="preserve"> </w:t>
      </w:r>
      <w:proofErr w:type="spellStart"/>
      <w:r w:rsidRPr="001D3665">
        <w:t>høg</w:t>
      </w:r>
      <w:proofErr w:type="spellEnd"/>
      <w:r w:rsidRPr="001D3665">
        <w:t xml:space="preserve"> verdi på indeksen (Oslo har 1000), </w:t>
      </w:r>
      <w:proofErr w:type="spellStart"/>
      <w:r w:rsidRPr="001D3665">
        <w:t>medan</w:t>
      </w:r>
      <w:proofErr w:type="spellEnd"/>
      <w:r w:rsidRPr="001D3665">
        <w:t xml:space="preserve"> </w:t>
      </w:r>
      <w:proofErr w:type="spellStart"/>
      <w:r w:rsidRPr="001D3665">
        <w:t>dei</w:t>
      </w:r>
      <w:proofErr w:type="spellEnd"/>
      <w:r w:rsidRPr="001D3665">
        <w:t xml:space="preserve"> minst sentrale har </w:t>
      </w:r>
      <w:proofErr w:type="spellStart"/>
      <w:r w:rsidRPr="001D3665">
        <w:t>ein</w:t>
      </w:r>
      <w:proofErr w:type="spellEnd"/>
      <w:r w:rsidRPr="001D3665">
        <w:t xml:space="preserve"> låg verdi på indeksen. Av </w:t>
      </w:r>
      <w:proofErr w:type="spellStart"/>
      <w:r w:rsidRPr="001D3665">
        <w:t>dei</w:t>
      </w:r>
      <w:proofErr w:type="spellEnd"/>
      <w:r w:rsidRPr="001D3665">
        <w:t xml:space="preserve"> </w:t>
      </w:r>
      <w:proofErr w:type="spellStart"/>
      <w:r w:rsidRPr="001D3665">
        <w:t>kommunane</w:t>
      </w:r>
      <w:proofErr w:type="spellEnd"/>
      <w:r w:rsidRPr="001D3665">
        <w:t xml:space="preserve"> med lengst </w:t>
      </w:r>
      <w:proofErr w:type="spellStart"/>
      <w:r w:rsidRPr="001D3665">
        <w:t>gjennomsnittleg</w:t>
      </w:r>
      <w:proofErr w:type="spellEnd"/>
      <w:r w:rsidRPr="001D3665">
        <w:t xml:space="preserve"> </w:t>
      </w:r>
      <w:proofErr w:type="spellStart"/>
      <w:r w:rsidRPr="001D3665">
        <w:t>køyrelengd</w:t>
      </w:r>
      <w:proofErr w:type="spellEnd"/>
      <w:r w:rsidRPr="001D3665">
        <w:t xml:space="preserve"> er det dels </w:t>
      </w:r>
      <w:proofErr w:type="spellStart"/>
      <w:r w:rsidRPr="001D3665">
        <w:t>distriktskommunar</w:t>
      </w:r>
      <w:proofErr w:type="spellEnd"/>
      <w:r w:rsidRPr="001D3665">
        <w:t xml:space="preserve"> og dels typiske </w:t>
      </w:r>
      <w:proofErr w:type="spellStart"/>
      <w:r w:rsidRPr="001D3665">
        <w:t>pendlarkommunar</w:t>
      </w:r>
      <w:proofErr w:type="spellEnd"/>
      <w:r w:rsidRPr="001D3665">
        <w:t xml:space="preserve"> på Austlandet. </w:t>
      </w:r>
      <w:proofErr w:type="spellStart"/>
      <w:r w:rsidRPr="001D3665">
        <w:t>Kommunane</w:t>
      </w:r>
      <w:proofErr w:type="spellEnd"/>
      <w:r w:rsidRPr="001D3665">
        <w:t xml:space="preserve"> med </w:t>
      </w:r>
      <w:proofErr w:type="spellStart"/>
      <w:r w:rsidRPr="001D3665">
        <w:t>lågast</w:t>
      </w:r>
      <w:proofErr w:type="spellEnd"/>
      <w:r w:rsidRPr="001D3665">
        <w:t xml:space="preserve"> </w:t>
      </w:r>
      <w:proofErr w:type="spellStart"/>
      <w:r w:rsidRPr="001D3665">
        <w:t>gjennomsnittleg</w:t>
      </w:r>
      <w:proofErr w:type="spellEnd"/>
      <w:r w:rsidRPr="001D3665">
        <w:t xml:space="preserve"> </w:t>
      </w:r>
      <w:proofErr w:type="spellStart"/>
      <w:r w:rsidRPr="001D3665">
        <w:t>køyrelengd</w:t>
      </w:r>
      <w:proofErr w:type="spellEnd"/>
      <w:r w:rsidRPr="001D3665">
        <w:t xml:space="preserve"> er alle </w:t>
      </w:r>
      <w:proofErr w:type="spellStart"/>
      <w:r w:rsidRPr="001D3665">
        <w:t>distriktskommunar</w:t>
      </w:r>
      <w:proofErr w:type="spellEnd"/>
      <w:r w:rsidRPr="001D3665">
        <w:t>.</w:t>
      </w:r>
    </w:p>
    <w:p w14:paraId="1FF64D01" w14:textId="3C0F16FE" w:rsidR="00BC371A" w:rsidRPr="001D3665" w:rsidRDefault="001D3665" w:rsidP="001D3665">
      <w:r w:rsidRPr="001D3665">
        <w:rPr>
          <w:noProof/>
        </w:rPr>
        <w:drawing>
          <wp:inline distT="0" distB="0" distL="0" distR="0" wp14:anchorId="77A6157B" wp14:editId="6311C713">
            <wp:extent cx="6076950" cy="2762250"/>
            <wp:effectExtent l="0" t="0" r="0" b="0"/>
            <wp:docPr id="38"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46F4D623" w14:textId="77777777" w:rsidR="00BC371A" w:rsidRPr="001D3665" w:rsidRDefault="00BC371A" w:rsidP="001D3665">
      <w:pPr>
        <w:pStyle w:val="figur-tittel"/>
      </w:pPr>
      <w:proofErr w:type="spellStart"/>
      <w:r w:rsidRPr="001D3665">
        <w:t>Gjennomsnittleg</w:t>
      </w:r>
      <w:proofErr w:type="spellEnd"/>
      <w:r w:rsidRPr="001D3665">
        <w:t xml:space="preserve"> </w:t>
      </w:r>
      <w:proofErr w:type="spellStart"/>
      <w:r w:rsidRPr="001D3665">
        <w:t>årleg</w:t>
      </w:r>
      <w:proofErr w:type="spellEnd"/>
      <w:r w:rsidRPr="001D3665">
        <w:t xml:space="preserve"> </w:t>
      </w:r>
      <w:proofErr w:type="spellStart"/>
      <w:r w:rsidRPr="001D3665">
        <w:t>køyrelengd</w:t>
      </w:r>
      <w:proofErr w:type="spellEnd"/>
      <w:r w:rsidRPr="001D3665">
        <w:t xml:space="preserve"> for </w:t>
      </w:r>
      <w:proofErr w:type="spellStart"/>
      <w:r w:rsidRPr="001D3665">
        <w:t>personbilar</w:t>
      </w:r>
      <w:proofErr w:type="spellEnd"/>
      <w:r w:rsidRPr="001D3665">
        <w:t xml:space="preserve"> per bil, etter sentralitetsindeks for </w:t>
      </w:r>
      <w:proofErr w:type="spellStart"/>
      <w:r w:rsidRPr="001D3665">
        <w:t>brukaren</w:t>
      </w:r>
      <w:proofErr w:type="spellEnd"/>
      <w:r w:rsidRPr="001D3665">
        <w:t xml:space="preserve"> sin bustadskommune. Kilometer. 2025</w:t>
      </w:r>
    </w:p>
    <w:p w14:paraId="39C7CE16" w14:textId="77777777" w:rsidR="00BC371A" w:rsidRPr="001D3665" w:rsidRDefault="00BC371A" w:rsidP="001D3665">
      <w:pPr>
        <w:pStyle w:val="Kilde"/>
      </w:pPr>
      <w:r w:rsidRPr="001D3665">
        <w:t>Kjelde: Statistisk sentralbyrå.</w:t>
      </w:r>
    </w:p>
    <w:p w14:paraId="413A05DF" w14:textId="77777777" w:rsidR="00BC371A" w:rsidRPr="001D3665" w:rsidRDefault="00BC371A" w:rsidP="001D3665">
      <w:r w:rsidRPr="001D3665">
        <w:t xml:space="preserve">Figur 9.5 syner </w:t>
      </w:r>
      <w:proofErr w:type="spellStart"/>
      <w:r w:rsidRPr="001D3665">
        <w:t>gjennomsnittlege</w:t>
      </w:r>
      <w:proofErr w:type="spellEnd"/>
      <w:r w:rsidRPr="001D3665">
        <w:t xml:space="preserve"> utgifter per person til bensin og diesel, fordelt på </w:t>
      </w:r>
      <w:proofErr w:type="spellStart"/>
      <w:r w:rsidRPr="001D3665">
        <w:t>kommunar</w:t>
      </w:r>
      <w:proofErr w:type="spellEnd"/>
      <w:r w:rsidRPr="001D3665">
        <w:t xml:space="preserve">. </w:t>
      </w:r>
      <w:proofErr w:type="spellStart"/>
      <w:r w:rsidRPr="001D3665">
        <w:t>Kommunane</w:t>
      </w:r>
      <w:proofErr w:type="spellEnd"/>
      <w:r w:rsidRPr="001D3665">
        <w:t xml:space="preserve"> er rangerte etter sentralitetsindeksen. Figuren </w:t>
      </w:r>
      <w:proofErr w:type="spellStart"/>
      <w:r w:rsidRPr="001D3665">
        <w:t>fangar</w:t>
      </w:r>
      <w:proofErr w:type="spellEnd"/>
      <w:r w:rsidRPr="001D3665">
        <w:t xml:space="preserve"> opp </w:t>
      </w:r>
      <w:proofErr w:type="spellStart"/>
      <w:r w:rsidRPr="001D3665">
        <w:t>kommuneskilnadar</w:t>
      </w:r>
      <w:proofErr w:type="spellEnd"/>
      <w:r w:rsidRPr="001D3665">
        <w:t xml:space="preserve"> når </w:t>
      </w:r>
      <w:proofErr w:type="spellStart"/>
      <w:r w:rsidRPr="001D3665">
        <w:t>ein</w:t>
      </w:r>
      <w:proofErr w:type="spellEnd"/>
      <w:r w:rsidRPr="001D3665">
        <w:t xml:space="preserve"> òg tek omsyn til </w:t>
      </w:r>
      <w:proofErr w:type="spellStart"/>
      <w:r w:rsidRPr="001D3665">
        <w:t>talet</w:t>
      </w:r>
      <w:proofErr w:type="spellEnd"/>
      <w:r w:rsidRPr="001D3665">
        <w:t xml:space="preserve"> på </w:t>
      </w:r>
      <w:proofErr w:type="spellStart"/>
      <w:r w:rsidRPr="001D3665">
        <w:t>bilar</w:t>
      </w:r>
      <w:proofErr w:type="spellEnd"/>
      <w:r w:rsidRPr="001D3665">
        <w:t xml:space="preserve"> i høve til </w:t>
      </w:r>
      <w:proofErr w:type="spellStart"/>
      <w:r w:rsidRPr="001D3665">
        <w:t>innbyggjartalet</w:t>
      </w:r>
      <w:proofErr w:type="spellEnd"/>
      <w:r w:rsidRPr="001D3665">
        <w:t xml:space="preserve">, og </w:t>
      </w:r>
      <w:proofErr w:type="spellStart"/>
      <w:r w:rsidRPr="001D3665">
        <w:t>dessutan</w:t>
      </w:r>
      <w:proofErr w:type="spellEnd"/>
      <w:r w:rsidRPr="001D3665">
        <w:t xml:space="preserve"> </w:t>
      </w:r>
      <w:proofErr w:type="spellStart"/>
      <w:r w:rsidRPr="001D3665">
        <w:t>samansetjinga</w:t>
      </w:r>
      <w:proofErr w:type="spellEnd"/>
      <w:r w:rsidRPr="001D3665">
        <w:t xml:space="preserve"> av </w:t>
      </w:r>
      <w:proofErr w:type="spellStart"/>
      <w:r w:rsidRPr="001D3665">
        <w:lastRenderedPageBreak/>
        <w:t>drivstofftypar</w:t>
      </w:r>
      <w:proofErr w:type="spellEnd"/>
      <w:r w:rsidRPr="001D3665">
        <w:t xml:space="preserve"> mellom </w:t>
      </w:r>
      <w:proofErr w:type="spellStart"/>
      <w:r w:rsidRPr="001D3665">
        <w:t>bilane</w:t>
      </w:r>
      <w:proofErr w:type="spellEnd"/>
      <w:r w:rsidRPr="001D3665">
        <w:t xml:space="preserve"> i </w:t>
      </w:r>
      <w:proofErr w:type="spellStart"/>
      <w:r w:rsidRPr="001D3665">
        <w:t>ein</w:t>
      </w:r>
      <w:proofErr w:type="spellEnd"/>
      <w:r w:rsidRPr="001D3665">
        <w:t xml:space="preserve"> kommune. Figuren syner at forbruket av drivstoff per person i snitt er </w:t>
      </w:r>
      <w:proofErr w:type="spellStart"/>
      <w:r w:rsidRPr="001D3665">
        <w:t>høgare</w:t>
      </w:r>
      <w:proofErr w:type="spellEnd"/>
      <w:r w:rsidRPr="001D3665">
        <w:t xml:space="preserve"> for </w:t>
      </w:r>
      <w:proofErr w:type="spellStart"/>
      <w:r w:rsidRPr="001D3665">
        <w:t>dei</w:t>
      </w:r>
      <w:proofErr w:type="spellEnd"/>
      <w:r w:rsidRPr="001D3665">
        <w:t xml:space="preserve"> usentrale enn for </w:t>
      </w:r>
      <w:proofErr w:type="spellStart"/>
      <w:r w:rsidRPr="001D3665">
        <w:t>dei</w:t>
      </w:r>
      <w:proofErr w:type="spellEnd"/>
      <w:r w:rsidRPr="001D3665">
        <w:t xml:space="preserve"> sentrale </w:t>
      </w:r>
      <w:proofErr w:type="spellStart"/>
      <w:r w:rsidRPr="001D3665">
        <w:t>kommunane</w:t>
      </w:r>
      <w:proofErr w:type="spellEnd"/>
      <w:r w:rsidRPr="001D3665">
        <w:t xml:space="preserve">. Samstundes er variasjonen stor mellom </w:t>
      </w:r>
      <w:proofErr w:type="spellStart"/>
      <w:r w:rsidRPr="001D3665">
        <w:t>kommunar</w:t>
      </w:r>
      <w:proofErr w:type="spellEnd"/>
      <w:r w:rsidRPr="001D3665">
        <w:t xml:space="preserve"> med relativt lik sentralitet, og i </w:t>
      </w:r>
      <w:proofErr w:type="spellStart"/>
      <w:r w:rsidRPr="001D3665">
        <w:t>fleire</w:t>
      </w:r>
      <w:proofErr w:type="spellEnd"/>
      <w:r w:rsidRPr="001D3665">
        <w:t xml:space="preserve"> av </w:t>
      </w:r>
      <w:proofErr w:type="spellStart"/>
      <w:r w:rsidRPr="001D3665">
        <w:t>dei</w:t>
      </w:r>
      <w:proofErr w:type="spellEnd"/>
      <w:r w:rsidRPr="001D3665">
        <w:t xml:space="preserve"> minst sentrale </w:t>
      </w:r>
      <w:proofErr w:type="spellStart"/>
      <w:r w:rsidRPr="001D3665">
        <w:t>kommunane</w:t>
      </w:r>
      <w:proofErr w:type="spellEnd"/>
      <w:r w:rsidRPr="001D3665">
        <w:t xml:space="preserve"> har </w:t>
      </w:r>
      <w:proofErr w:type="spellStart"/>
      <w:r w:rsidRPr="001D3665">
        <w:t>innbyggjarane</w:t>
      </w:r>
      <w:proofErr w:type="spellEnd"/>
      <w:r w:rsidRPr="001D3665">
        <w:t xml:space="preserve"> </w:t>
      </w:r>
      <w:proofErr w:type="spellStart"/>
      <w:r w:rsidRPr="001D3665">
        <w:t>eit</w:t>
      </w:r>
      <w:proofErr w:type="spellEnd"/>
      <w:r w:rsidRPr="001D3665">
        <w:t xml:space="preserve"> </w:t>
      </w:r>
      <w:proofErr w:type="spellStart"/>
      <w:r w:rsidRPr="001D3665">
        <w:t>lågare</w:t>
      </w:r>
      <w:proofErr w:type="spellEnd"/>
      <w:r w:rsidRPr="001D3665">
        <w:t xml:space="preserve"> forbruk av drivstoff enn landssnittet.</w:t>
      </w:r>
    </w:p>
    <w:p w14:paraId="6A001AB8" w14:textId="0332067B" w:rsidR="00BC371A" w:rsidRPr="001D3665" w:rsidRDefault="001D3665" w:rsidP="001D3665">
      <w:r w:rsidRPr="001D3665">
        <w:rPr>
          <w:noProof/>
        </w:rPr>
        <w:drawing>
          <wp:inline distT="0" distB="0" distL="0" distR="0" wp14:anchorId="0496B944" wp14:editId="1DB350DE">
            <wp:extent cx="6076950" cy="2762250"/>
            <wp:effectExtent l="0" t="0" r="0" b="0"/>
            <wp:docPr id="40"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210DF577" w14:textId="77777777" w:rsidR="00BC371A" w:rsidRPr="001D3665" w:rsidRDefault="00BC371A" w:rsidP="001D3665">
      <w:pPr>
        <w:pStyle w:val="figur-tittel"/>
      </w:pPr>
      <w:proofErr w:type="spellStart"/>
      <w:r w:rsidRPr="001D3665">
        <w:t>Gjennomsnittleg</w:t>
      </w:r>
      <w:proofErr w:type="spellEnd"/>
      <w:r w:rsidRPr="001D3665">
        <w:t xml:space="preserve"> forbruk av bensin og diesel til </w:t>
      </w:r>
      <w:proofErr w:type="spellStart"/>
      <w:r w:rsidRPr="001D3665">
        <w:t>personbilar</w:t>
      </w:r>
      <w:proofErr w:type="spellEnd"/>
      <w:r w:rsidRPr="001D3665">
        <w:t xml:space="preserve"> per person, etter sentralitetsindeks for </w:t>
      </w:r>
      <w:proofErr w:type="spellStart"/>
      <w:r w:rsidRPr="001D3665">
        <w:t>eigaren</w:t>
      </w:r>
      <w:proofErr w:type="spellEnd"/>
      <w:r w:rsidRPr="001D3665">
        <w:t xml:space="preserve"> sin bustadkommune.</w:t>
      </w:r>
      <w:r w:rsidRPr="001D3665">
        <w:rPr>
          <w:rStyle w:val="skrift-hevet"/>
        </w:rPr>
        <w:t>1</w:t>
      </w:r>
      <w:r w:rsidRPr="001D3665">
        <w:t xml:space="preserve"> Liter. 2024</w:t>
      </w:r>
    </w:p>
    <w:p w14:paraId="2F8E89EF" w14:textId="77777777" w:rsidR="00BC371A" w:rsidRPr="001D3665" w:rsidRDefault="00BC371A" w:rsidP="001D3665">
      <w:pPr>
        <w:pStyle w:val="figur-noter"/>
        <w:rPr>
          <w:rStyle w:val="skrift-hevet"/>
        </w:rPr>
      </w:pPr>
      <w:r w:rsidRPr="001D3665">
        <w:rPr>
          <w:rStyle w:val="skrift-hevet"/>
        </w:rPr>
        <w:t>1</w:t>
      </w:r>
      <w:r w:rsidRPr="001D3665">
        <w:tab/>
        <w:t xml:space="preserve">Inkluderer </w:t>
      </w:r>
      <w:proofErr w:type="spellStart"/>
      <w:r w:rsidRPr="001D3665">
        <w:t>personbilar</w:t>
      </w:r>
      <w:proofErr w:type="spellEnd"/>
      <w:r w:rsidRPr="001D3665">
        <w:t xml:space="preserve"> som er </w:t>
      </w:r>
      <w:proofErr w:type="spellStart"/>
      <w:r w:rsidRPr="001D3665">
        <w:t>eigde</w:t>
      </w:r>
      <w:proofErr w:type="spellEnd"/>
      <w:r w:rsidRPr="001D3665">
        <w:t xml:space="preserve"> av </w:t>
      </w:r>
      <w:proofErr w:type="spellStart"/>
      <w:r w:rsidRPr="001D3665">
        <w:t>privatpersonar</w:t>
      </w:r>
      <w:proofErr w:type="spellEnd"/>
      <w:r w:rsidRPr="001D3665">
        <w:t xml:space="preserve">. </w:t>
      </w:r>
      <w:proofErr w:type="spellStart"/>
      <w:r w:rsidRPr="001D3665">
        <w:t>Utrekningane</w:t>
      </w:r>
      <w:proofErr w:type="spellEnd"/>
      <w:r w:rsidRPr="001D3665">
        <w:t xml:space="preserve"> er baserte på data på personbilnivå </w:t>
      </w:r>
      <w:proofErr w:type="spellStart"/>
      <w:r w:rsidRPr="001D3665">
        <w:t>frå</w:t>
      </w:r>
      <w:proofErr w:type="spellEnd"/>
      <w:r w:rsidRPr="001D3665">
        <w:t xml:space="preserve"> </w:t>
      </w:r>
      <w:proofErr w:type="spellStart"/>
      <w:r w:rsidRPr="001D3665">
        <w:t>køyretøyregisteret</w:t>
      </w:r>
      <w:proofErr w:type="spellEnd"/>
      <w:r w:rsidRPr="001D3665">
        <w:t xml:space="preserve">, kopla </w:t>
      </w:r>
      <w:proofErr w:type="spellStart"/>
      <w:r w:rsidRPr="001D3665">
        <w:t>saman</w:t>
      </w:r>
      <w:proofErr w:type="spellEnd"/>
      <w:r w:rsidRPr="001D3665">
        <w:t xml:space="preserve"> med administrative data </w:t>
      </w:r>
      <w:proofErr w:type="spellStart"/>
      <w:r w:rsidRPr="001D3665">
        <w:t>frå</w:t>
      </w:r>
      <w:proofErr w:type="spellEnd"/>
      <w:r w:rsidRPr="001D3665">
        <w:t xml:space="preserve"> SSB sin befolkningsstatistikk.</w:t>
      </w:r>
    </w:p>
    <w:p w14:paraId="0A4E560B" w14:textId="77777777" w:rsidR="00BC371A" w:rsidRPr="001D3665" w:rsidRDefault="00BC371A" w:rsidP="001D3665">
      <w:pPr>
        <w:pStyle w:val="Kilde"/>
      </w:pPr>
      <w:r w:rsidRPr="001D3665">
        <w:t xml:space="preserve">Kjelder: Finansdepartement og </w:t>
      </w:r>
      <w:proofErr w:type="spellStart"/>
      <w:r w:rsidRPr="001D3665">
        <w:t>utrekningar</w:t>
      </w:r>
      <w:proofErr w:type="spellEnd"/>
      <w:r w:rsidRPr="001D3665">
        <w:t xml:space="preserve"> i microdata.no.</w:t>
      </w:r>
    </w:p>
    <w:p w14:paraId="7A478AA8" w14:textId="77777777" w:rsidR="00BC371A" w:rsidRPr="001D3665" w:rsidRDefault="00BC371A" w:rsidP="001D3665">
      <w:proofErr w:type="spellStart"/>
      <w:r w:rsidRPr="001D3665">
        <w:t>Personar</w:t>
      </w:r>
      <w:proofErr w:type="spellEnd"/>
      <w:r w:rsidRPr="001D3665">
        <w:t xml:space="preserve"> med </w:t>
      </w:r>
      <w:proofErr w:type="spellStart"/>
      <w:r w:rsidRPr="001D3665">
        <w:t>høg</w:t>
      </w:r>
      <w:proofErr w:type="spellEnd"/>
      <w:r w:rsidRPr="001D3665">
        <w:t xml:space="preserve"> inntekt brukte </w:t>
      </w:r>
      <w:proofErr w:type="spellStart"/>
      <w:r w:rsidRPr="001D3665">
        <w:t>meir</w:t>
      </w:r>
      <w:proofErr w:type="spellEnd"/>
      <w:r w:rsidRPr="001D3665">
        <w:t xml:space="preserve"> drivstoff enn </w:t>
      </w:r>
      <w:proofErr w:type="spellStart"/>
      <w:r w:rsidRPr="001D3665">
        <w:t>personar</w:t>
      </w:r>
      <w:proofErr w:type="spellEnd"/>
      <w:r w:rsidRPr="001D3665">
        <w:t xml:space="preserve"> med låg inntekt, slik figur 9.6 syner. For kvar krone den </w:t>
      </w:r>
      <w:proofErr w:type="spellStart"/>
      <w:r w:rsidRPr="001D3665">
        <w:t>lågaste</w:t>
      </w:r>
      <w:proofErr w:type="spellEnd"/>
      <w:r w:rsidRPr="001D3665">
        <w:t xml:space="preserve"> inntektsdesilen (desil 1) får i </w:t>
      </w:r>
      <w:proofErr w:type="spellStart"/>
      <w:r w:rsidRPr="001D3665">
        <w:t>auka</w:t>
      </w:r>
      <w:proofErr w:type="spellEnd"/>
      <w:r w:rsidRPr="001D3665">
        <w:t xml:space="preserve"> drivstoffutgifter ved </w:t>
      </w:r>
      <w:proofErr w:type="spellStart"/>
      <w:r w:rsidRPr="001D3665">
        <w:t>høgare</w:t>
      </w:r>
      <w:proofErr w:type="spellEnd"/>
      <w:r w:rsidRPr="001D3665">
        <w:t xml:space="preserve"> pumpepris, vil </w:t>
      </w:r>
      <w:proofErr w:type="spellStart"/>
      <w:r w:rsidRPr="001D3665">
        <w:t>dei</w:t>
      </w:r>
      <w:proofErr w:type="spellEnd"/>
      <w:r w:rsidRPr="001D3665">
        <w:t xml:space="preserve"> midtre og </w:t>
      </w:r>
      <w:proofErr w:type="spellStart"/>
      <w:r w:rsidRPr="001D3665">
        <w:t>øvste</w:t>
      </w:r>
      <w:proofErr w:type="spellEnd"/>
      <w:r w:rsidRPr="001D3665">
        <w:t xml:space="preserve"> </w:t>
      </w:r>
      <w:proofErr w:type="spellStart"/>
      <w:r w:rsidRPr="001D3665">
        <w:t>desilane</w:t>
      </w:r>
      <w:proofErr w:type="spellEnd"/>
      <w:r w:rsidRPr="001D3665">
        <w:t xml:space="preserve"> få </w:t>
      </w:r>
      <w:proofErr w:type="spellStart"/>
      <w:r w:rsidRPr="001D3665">
        <w:t>meir</w:t>
      </w:r>
      <w:proofErr w:type="spellEnd"/>
      <w:r w:rsidRPr="001D3665">
        <w:t xml:space="preserve"> enn to kroner i </w:t>
      </w:r>
      <w:proofErr w:type="spellStart"/>
      <w:r w:rsidRPr="001D3665">
        <w:t>auka</w:t>
      </w:r>
      <w:proofErr w:type="spellEnd"/>
      <w:r w:rsidRPr="001D3665">
        <w:t xml:space="preserve"> utgifter. Med andre ord vil </w:t>
      </w:r>
      <w:proofErr w:type="spellStart"/>
      <w:r w:rsidRPr="001D3665">
        <w:t>høgare</w:t>
      </w:r>
      <w:proofErr w:type="spellEnd"/>
      <w:r w:rsidRPr="001D3665">
        <w:t xml:space="preserve"> </w:t>
      </w:r>
      <w:proofErr w:type="spellStart"/>
      <w:r w:rsidRPr="001D3665">
        <w:t>pumpeprisar</w:t>
      </w:r>
      <w:proofErr w:type="spellEnd"/>
      <w:r w:rsidRPr="001D3665">
        <w:t xml:space="preserve"> </w:t>
      </w:r>
      <w:proofErr w:type="spellStart"/>
      <w:r w:rsidRPr="001D3665">
        <w:t>påverke</w:t>
      </w:r>
      <w:proofErr w:type="spellEnd"/>
      <w:r w:rsidRPr="001D3665">
        <w:t xml:space="preserve"> budsjettet til </w:t>
      </w:r>
      <w:proofErr w:type="spellStart"/>
      <w:r w:rsidRPr="001D3665">
        <w:t>låginntektsgrupper</w:t>
      </w:r>
      <w:proofErr w:type="spellEnd"/>
      <w:r w:rsidRPr="001D3665">
        <w:t xml:space="preserve"> i større grad enn høginntektsgrupper, dersom </w:t>
      </w:r>
      <w:proofErr w:type="spellStart"/>
      <w:r w:rsidRPr="001D3665">
        <w:t>ein</w:t>
      </w:r>
      <w:proofErr w:type="spellEnd"/>
      <w:r w:rsidRPr="001D3665">
        <w:t xml:space="preserve"> ser på prosentdelen av gruppene sitt samla forbruk.</w:t>
      </w:r>
    </w:p>
    <w:p w14:paraId="259F44BF" w14:textId="77777777" w:rsidR="00BC371A" w:rsidRPr="001D3665" w:rsidRDefault="00BC371A" w:rsidP="001D3665">
      <w:r w:rsidRPr="001D3665">
        <w:t xml:space="preserve">Elektrifiseringa av personbilparken </w:t>
      </w:r>
      <w:proofErr w:type="spellStart"/>
      <w:r w:rsidRPr="001D3665">
        <w:t>dei</w:t>
      </w:r>
      <w:proofErr w:type="spellEnd"/>
      <w:r w:rsidRPr="001D3665">
        <w:t xml:space="preserve"> </w:t>
      </w:r>
      <w:proofErr w:type="spellStart"/>
      <w:r w:rsidRPr="001D3665">
        <w:t>seinare</w:t>
      </w:r>
      <w:proofErr w:type="spellEnd"/>
      <w:r w:rsidRPr="001D3665">
        <w:t xml:space="preserve"> åra har </w:t>
      </w:r>
      <w:proofErr w:type="spellStart"/>
      <w:r w:rsidRPr="001D3665">
        <w:t>innverknad</w:t>
      </w:r>
      <w:proofErr w:type="spellEnd"/>
      <w:r w:rsidRPr="001D3665">
        <w:t xml:space="preserve"> på kven som vert mest </w:t>
      </w:r>
      <w:proofErr w:type="spellStart"/>
      <w:r w:rsidRPr="001D3665">
        <w:t>påverka</w:t>
      </w:r>
      <w:proofErr w:type="spellEnd"/>
      <w:r w:rsidRPr="001D3665">
        <w:t xml:space="preserve"> av endra </w:t>
      </w:r>
      <w:proofErr w:type="spellStart"/>
      <w:r w:rsidRPr="001D3665">
        <w:t>pumpeprisar</w:t>
      </w:r>
      <w:proofErr w:type="spellEnd"/>
      <w:r w:rsidRPr="001D3665">
        <w:t xml:space="preserve">. </w:t>
      </w:r>
      <w:proofErr w:type="spellStart"/>
      <w:r w:rsidRPr="001D3665">
        <w:t>Ein</w:t>
      </w:r>
      <w:proofErr w:type="spellEnd"/>
      <w:r w:rsidRPr="001D3665">
        <w:t xml:space="preserve"> finn </w:t>
      </w:r>
      <w:proofErr w:type="spellStart"/>
      <w:r w:rsidRPr="001D3665">
        <w:t>ein</w:t>
      </w:r>
      <w:proofErr w:type="spellEnd"/>
      <w:r w:rsidRPr="001D3665">
        <w:t xml:space="preserve"> positiv </w:t>
      </w:r>
      <w:proofErr w:type="spellStart"/>
      <w:r w:rsidRPr="001D3665">
        <w:t>samanheng</w:t>
      </w:r>
      <w:proofErr w:type="spellEnd"/>
      <w:r w:rsidRPr="001D3665">
        <w:t xml:space="preserve"> mellom inntektsnivå og elbilkjøp, </w:t>
      </w:r>
      <w:proofErr w:type="spellStart"/>
      <w:r w:rsidRPr="001D3665">
        <w:t>noko</w:t>
      </w:r>
      <w:proofErr w:type="spellEnd"/>
      <w:r w:rsidRPr="001D3665">
        <w:t xml:space="preserve"> som </w:t>
      </w:r>
      <w:proofErr w:type="spellStart"/>
      <w:r w:rsidRPr="001D3665">
        <w:t>inneber</w:t>
      </w:r>
      <w:proofErr w:type="spellEnd"/>
      <w:r w:rsidRPr="001D3665">
        <w:t xml:space="preserve"> at verknaden av </w:t>
      </w:r>
      <w:proofErr w:type="spellStart"/>
      <w:r w:rsidRPr="001D3665">
        <w:t>auka</w:t>
      </w:r>
      <w:proofErr w:type="spellEnd"/>
      <w:r w:rsidRPr="001D3665">
        <w:t xml:space="preserve"> </w:t>
      </w:r>
      <w:proofErr w:type="spellStart"/>
      <w:r w:rsidRPr="001D3665">
        <w:t>pumpeprisar</w:t>
      </w:r>
      <w:proofErr w:type="spellEnd"/>
      <w:r w:rsidRPr="001D3665">
        <w:t xml:space="preserve"> </w:t>
      </w:r>
      <w:proofErr w:type="spellStart"/>
      <w:r w:rsidRPr="001D3665">
        <w:t>ikkje</w:t>
      </w:r>
      <w:proofErr w:type="spellEnd"/>
      <w:r w:rsidRPr="001D3665">
        <w:t xml:space="preserve"> lenger er like stor for </w:t>
      </w:r>
      <w:proofErr w:type="spellStart"/>
      <w:r w:rsidRPr="001D3665">
        <w:t>dei</w:t>
      </w:r>
      <w:proofErr w:type="spellEnd"/>
      <w:r w:rsidRPr="001D3665">
        <w:t xml:space="preserve"> øvre </w:t>
      </w:r>
      <w:proofErr w:type="spellStart"/>
      <w:r w:rsidRPr="001D3665">
        <w:t>inntektsdesilane</w:t>
      </w:r>
      <w:proofErr w:type="spellEnd"/>
      <w:r w:rsidRPr="001D3665">
        <w:t xml:space="preserve"> </w:t>
      </w:r>
      <w:proofErr w:type="spellStart"/>
      <w:r w:rsidRPr="001D3665">
        <w:t>samanlikna</w:t>
      </w:r>
      <w:proofErr w:type="spellEnd"/>
      <w:r w:rsidRPr="001D3665">
        <w:t xml:space="preserve"> med </w:t>
      </w:r>
      <w:proofErr w:type="spellStart"/>
      <w:r w:rsidRPr="001D3665">
        <w:t>dei</w:t>
      </w:r>
      <w:proofErr w:type="spellEnd"/>
      <w:r w:rsidRPr="001D3665">
        <w:t xml:space="preserve"> med litt </w:t>
      </w:r>
      <w:proofErr w:type="spellStart"/>
      <w:r w:rsidRPr="001D3665">
        <w:t>lågare</w:t>
      </w:r>
      <w:proofErr w:type="spellEnd"/>
      <w:r w:rsidRPr="001D3665">
        <w:t xml:space="preserve"> inntekter. Det er samstundes </w:t>
      </w:r>
      <w:proofErr w:type="spellStart"/>
      <w:r w:rsidRPr="001D3665">
        <w:t>ein</w:t>
      </w:r>
      <w:proofErr w:type="spellEnd"/>
      <w:r w:rsidRPr="001D3665">
        <w:t xml:space="preserve"> langt mindre del av </w:t>
      </w:r>
      <w:proofErr w:type="spellStart"/>
      <w:r w:rsidRPr="001D3665">
        <w:t>personane</w:t>
      </w:r>
      <w:proofErr w:type="spellEnd"/>
      <w:r w:rsidRPr="001D3665">
        <w:t xml:space="preserve"> i </w:t>
      </w:r>
      <w:proofErr w:type="spellStart"/>
      <w:r w:rsidRPr="001D3665">
        <w:t>dei</w:t>
      </w:r>
      <w:proofErr w:type="spellEnd"/>
      <w:r w:rsidRPr="001D3665">
        <w:t xml:space="preserve"> </w:t>
      </w:r>
      <w:proofErr w:type="spellStart"/>
      <w:r w:rsidRPr="001D3665">
        <w:t>lågaste</w:t>
      </w:r>
      <w:proofErr w:type="spellEnd"/>
      <w:r w:rsidRPr="001D3665">
        <w:t xml:space="preserve"> </w:t>
      </w:r>
      <w:proofErr w:type="spellStart"/>
      <w:r w:rsidRPr="001D3665">
        <w:t>inntektsdesilane</w:t>
      </w:r>
      <w:proofErr w:type="spellEnd"/>
      <w:r w:rsidRPr="001D3665">
        <w:t xml:space="preserve"> som vert direkte </w:t>
      </w:r>
      <w:proofErr w:type="spellStart"/>
      <w:r w:rsidRPr="001D3665">
        <w:t>påverka</w:t>
      </w:r>
      <w:proofErr w:type="spellEnd"/>
      <w:r w:rsidRPr="001D3665">
        <w:t xml:space="preserve"> av endra </w:t>
      </w:r>
      <w:proofErr w:type="spellStart"/>
      <w:r w:rsidRPr="001D3665">
        <w:t>pumpeprisar</w:t>
      </w:r>
      <w:proofErr w:type="spellEnd"/>
      <w:r w:rsidRPr="001D3665">
        <w:t xml:space="preserve">. Det kjem av at </w:t>
      </w:r>
      <w:proofErr w:type="spellStart"/>
      <w:r w:rsidRPr="001D3665">
        <w:t>desse</w:t>
      </w:r>
      <w:proofErr w:type="spellEnd"/>
      <w:r w:rsidRPr="001D3665">
        <w:t xml:space="preserve"> i mindre grad </w:t>
      </w:r>
      <w:proofErr w:type="spellStart"/>
      <w:r w:rsidRPr="001D3665">
        <w:t>eig</w:t>
      </w:r>
      <w:proofErr w:type="spellEnd"/>
      <w:r w:rsidRPr="001D3665">
        <w:t xml:space="preserve"> bil.</w:t>
      </w:r>
    </w:p>
    <w:p w14:paraId="6A1D14A6" w14:textId="3CCBB4ED" w:rsidR="00BC371A" w:rsidRPr="001D3665" w:rsidRDefault="001D3665" w:rsidP="001D3665">
      <w:r w:rsidRPr="001D3665">
        <w:rPr>
          <w:noProof/>
        </w:rPr>
        <w:lastRenderedPageBreak/>
        <w:drawing>
          <wp:inline distT="0" distB="0" distL="0" distR="0" wp14:anchorId="16EEFB71" wp14:editId="21A7C8B6">
            <wp:extent cx="6076950" cy="2762250"/>
            <wp:effectExtent l="0" t="0" r="0" b="0"/>
            <wp:docPr id="42"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78AE0628" w14:textId="77777777" w:rsidR="00BC371A" w:rsidRPr="001D3665" w:rsidRDefault="00BC371A" w:rsidP="001D3665">
      <w:pPr>
        <w:pStyle w:val="figur-tittel"/>
      </w:pPr>
      <w:proofErr w:type="spellStart"/>
      <w:r w:rsidRPr="001D3665">
        <w:t>Gjennomsnittleg</w:t>
      </w:r>
      <w:proofErr w:type="spellEnd"/>
      <w:r w:rsidRPr="001D3665">
        <w:t xml:space="preserve"> forbruk per person av bensin og diesel til personbil (venstre akse) og prosentdel </w:t>
      </w:r>
      <w:proofErr w:type="spellStart"/>
      <w:r w:rsidRPr="001D3665">
        <w:t>tilhøyrande</w:t>
      </w:r>
      <w:proofErr w:type="spellEnd"/>
      <w:r w:rsidRPr="001D3665">
        <w:t xml:space="preserve"> husstand med slikt forbruk (høyre akse). Befolkninga delt inn i 10 like store grupper (</w:t>
      </w:r>
      <w:proofErr w:type="spellStart"/>
      <w:r w:rsidRPr="001D3665">
        <w:t>desilar</w:t>
      </w:r>
      <w:proofErr w:type="spellEnd"/>
      <w:r w:rsidRPr="001D3665">
        <w:t>) etter husstandsjustert inntekt etter skatt.</w:t>
      </w:r>
      <w:r w:rsidRPr="001D3665">
        <w:rPr>
          <w:rStyle w:val="skrift-hevet"/>
        </w:rPr>
        <w:t>1 </w:t>
      </w:r>
      <w:r w:rsidRPr="001D3665">
        <w:t>2024</w:t>
      </w:r>
    </w:p>
    <w:p w14:paraId="472F3546" w14:textId="77777777" w:rsidR="00BC371A" w:rsidRPr="001D3665" w:rsidRDefault="00BC371A" w:rsidP="001D3665">
      <w:pPr>
        <w:pStyle w:val="figur-noter"/>
        <w:rPr>
          <w:rStyle w:val="skrift-hevet"/>
        </w:rPr>
      </w:pPr>
      <w:r w:rsidRPr="001D3665">
        <w:rPr>
          <w:rStyle w:val="skrift-hevet"/>
        </w:rPr>
        <w:t>1</w:t>
      </w:r>
      <w:r w:rsidRPr="001D3665">
        <w:rPr>
          <w:rStyle w:val="skrift-hevet"/>
        </w:rPr>
        <w:tab/>
      </w:r>
      <w:r w:rsidRPr="001D3665">
        <w:t xml:space="preserve">Inkluderer </w:t>
      </w:r>
      <w:proofErr w:type="spellStart"/>
      <w:r w:rsidRPr="001D3665">
        <w:t>personbilar</w:t>
      </w:r>
      <w:proofErr w:type="spellEnd"/>
      <w:r w:rsidRPr="001D3665">
        <w:t xml:space="preserve"> som er </w:t>
      </w:r>
      <w:proofErr w:type="spellStart"/>
      <w:r w:rsidRPr="001D3665">
        <w:t>eigde</w:t>
      </w:r>
      <w:proofErr w:type="spellEnd"/>
      <w:r w:rsidRPr="001D3665">
        <w:t xml:space="preserve"> av </w:t>
      </w:r>
      <w:proofErr w:type="spellStart"/>
      <w:r w:rsidRPr="001D3665">
        <w:t>privatpersonar</w:t>
      </w:r>
      <w:proofErr w:type="spellEnd"/>
      <w:r w:rsidRPr="001D3665">
        <w:t xml:space="preserve">. </w:t>
      </w:r>
      <w:proofErr w:type="spellStart"/>
      <w:r w:rsidRPr="001D3665">
        <w:t>Utrekningane</w:t>
      </w:r>
      <w:proofErr w:type="spellEnd"/>
      <w:r w:rsidRPr="001D3665">
        <w:t xml:space="preserve"> er baserte på data på personbilnivå </w:t>
      </w:r>
      <w:proofErr w:type="spellStart"/>
      <w:r w:rsidRPr="001D3665">
        <w:t>frå</w:t>
      </w:r>
      <w:proofErr w:type="spellEnd"/>
      <w:r w:rsidRPr="001D3665">
        <w:t xml:space="preserve"> </w:t>
      </w:r>
      <w:proofErr w:type="spellStart"/>
      <w:r w:rsidRPr="001D3665">
        <w:t>køyretøyregisteret</w:t>
      </w:r>
      <w:proofErr w:type="spellEnd"/>
      <w:r w:rsidRPr="001D3665">
        <w:t xml:space="preserve">, kopla </w:t>
      </w:r>
      <w:proofErr w:type="spellStart"/>
      <w:r w:rsidRPr="001D3665">
        <w:t>saman</w:t>
      </w:r>
      <w:proofErr w:type="spellEnd"/>
      <w:r w:rsidRPr="001D3665">
        <w:t xml:space="preserve"> med administrative data </w:t>
      </w:r>
      <w:proofErr w:type="spellStart"/>
      <w:r w:rsidRPr="001D3665">
        <w:t>frå</w:t>
      </w:r>
      <w:proofErr w:type="spellEnd"/>
      <w:r w:rsidRPr="001D3665">
        <w:t xml:space="preserve"> SSB sin inntektsstatistikk. </w:t>
      </w:r>
      <w:proofErr w:type="spellStart"/>
      <w:r w:rsidRPr="001D3665">
        <w:t>Tala</w:t>
      </w:r>
      <w:proofErr w:type="spellEnd"/>
      <w:r w:rsidRPr="001D3665">
        <w:t xml:space="preserve"> er justerte for </w:t>
      </w:r>
      <w:proofErr w:type="spellStart"/>
      <w:r w:rsidRPr="001D3665">
        <w:t>hushaldsstorleik</w:t>
      </w:r>
      <w:proofErr w:type="spellEnd"/>
      <w:r w:rsidRPr="001D3665">
        <w:t xml:space="preserve"> etter EU-skala.</w:t>
      </w:r>
    </w:p>
    <w:p w14:paraId="791BAB4C" w14:textId="77777777" w:rsidR="00BC371A" w:rsidRPr="001D3665" w:rsidRDefault="00BC371A" w:rsidP="001D3665">
      <w:pPr>
        <w:pStyle w:val="Kilde"/>
      </w:pPr>
      <w:r w:rsidRPr="001D3665">
        <w:t xml:space="preserve">Kjelder: Finansdepartement og </w:t>
      </w:r>
      <w:proofErr w:type="spellStart"/>
      <w:r w:rsidRPr="001D3665">
        <w:t>utrekningar</w:t>
      </w:r>
      <w:proofErr w:type="spellEnd"/>
      <w:r w:rsidRPr="001D3665">
        <w:t xml:space="preserve"> i microdata.no.</w:t>
      </w:r>
    </w:p>
    <w:p w14:paraId="35877FE4" w14:textId="77777777" w:rsidR="00BC371A" w:rsidRPr="001D3665" w:rsidRDefault="00BC371A" w:rsidP="001D3665">
      <w:r w:rsidRPr="001D3665">
        <w:t xml:space="preserve">Drivstoff </w:t>
      </w:r>
      <w:proofErr w:type="spellStart"/>
      <w:r w:rsidRPr="001D3665">
        <w:t>utgjer</w:t>
      </w:r>
      <w:proofErr w:type="spellEnd"/>
      <w:r w:rsidRPr="001D3665">
        <w:t xml:space="preserve"> </w:t>
      </w:r>
      <w:proofErr w:type="spellStart"/>
      <w:r w:rsidRPr="001D3665">
        <w:t>ein</w:t>
      </w:r>
      <w:proofErr w:type="spellEnd"/>
      <w:r w:rsidRPr="001D3665">
        <w:t xml:space="preserve"> stadig mindre del av utgiftene til </w:t>
      </w:r>
      <w:proofErr w:type="spellStart"/>
      <w:r w:rsidRPr="001D3665">
        <w:t>hushalda</w:t>
      </w:r>
      <w:proofErr w:type="spellEnd"/>
      <w:r w:rsidRPr="001D3665">
        <w:t xml:space="preserve">. Verknaden av </w:t>
      </w:r>
      <w:proofErr w:type="spellStart"/>
      <w:r w:rsidRPr="001D3665">
        <w:t>auka</w:t>
      </w:r>
      <w:proofErr w:type="spellEnd"/>
      <w:r w:rsidRPr="001D3665">
        <w:t xml:space="preserve"> </w:t>
      </w:r>
      <w:proofErr w:type="spellStart"/>
      <w:r w:rsidRPr="001D3665">
        <w:t>drivstoffprisar</w:t>
      </w:r>
      <w:proofErr w:type="spellEnd"/>
      <w:r w:rsidRPr="001D3665">
        <w:t xml:space="preserve"> er </w:t>
      </w:r>
      <w:proofErr w:type="spellStart"/>
      <w:r w:rsidRPr="001D3665">
        <w:t>difor</w:t>
      </w:r>
      <w:proofErr w:type="spellEnd"/>
      <w:r w:rsidRPr="001D3665">
        <w:t xml:space="preserve"> mindre for </w:t>
      </w:r>
      <w:proofErr w:type="spellStart"/>
      <w:r w:rsidRPr="001D3665">
        <w:t>hushalda</w:t>
      </w:r>
      <w:proofErr w:type="spellEnd"/>
      <w:r w:rsidRPr="001D3665">
        <w:t xml:space="preserve"> i dag enn </w:t>
      </w:r>
      <w:proofErr w:type="spellStart"/>
      <w:r w:rsidRPr="001D3665">
        <w:t>tidlegare</w:t>
      </w:r>
      <w:proofErr w:type="spellEnd"/>
      <w:r w:rsidRPr="001D3665">
        <w:t xml:space="preserve">. </w:t>
      </w:r>
      <w:proofErr w:type="spellStart"/>
      <w:r w:rsidRPr="001D3665">
        <w:t>Hushald</w:t>
      </w:r>
      <w:proofErr w:type="spellEnd"/>
      <w:r w:rsidRPr="001D3665">
        <w:t xml:space="preserve"> med låg inntekt bruker mindre drivstoff enn </w:t>
      </w:r>
      <w:proofErr w:type="spellStart"/>
      <w:r w:rsidRPr="001D3665">
        <w:t>hushald</w:t>
      </w:r>
      <w:proofErr w:type="spellEnd"/>
      <w:r w:rsidRPr="001D3665">
        <w:t xml:space="preserve"> med </w:t>
      </w:r>
      <w:proofErr w:type="spellStart"/>
      <w:r w:rsidRPr="001D3665">
        <w:t>høg</w:t>
      </w:r>
      <w:proofErr w:type="spellEnd"/>
      <w:r w:rsidRPr="001D3665">
        <w:t xml:space="preserve"> inntekt. Det er </w:t>
      </w:r>
      <w:proofErr w:type="spellStart"/>
      <w:r w:rsidRPr="001D3665">
        <w:t>ikkje</w:t>
      </w:r>
      <w:proofErr w:type="spellEnd"/>
      <w:r w:rsidRPr="001D3665">
        <w:t xml:space="preserve"> slik at </w:t>
      </w:r>
      <w:proofErr w:type="spellStart"/>
      <w:r w:rsidRPr="001D3665">
        <w:t>bilar</w:t>
      </w:r>
      <w:proofErr w:type="spellEnd"/>
      <w:r w:rsidRPr="001D3665">
        <w:t xml:space="preserve"> brukt av </w:t>
      </w:r>
      <w:proofErr w:type="spellStart"/>
      <w:r w:rsidRPr="001D3665">
        <w:t>personar</w:t>
      </w:r>
      <w:proofErr w:type="spellEnd"/>
      <w:r w:rsidRPr="001D3665">
        <w:t xml:space="preserve"> busette i distrikta, systematisk vert brukt </w:t>
      </w:r>
      <w:proofErr w:type="spellStart"/>
      <w:r w:rsidRPr="001D3665">
        <w:t>meir</w:t>
      </w:r>
      <w:proofErr w:type="spellEnd"/>
      <w:r w:rsidRPr="001D3665">
        <w:t xml:space="preserve"> enn </w:t>
      </w:r>
      <w:proofErr w:type="spellStart"/>
      <w:r w:rsidRPr="001D3665">
        <w:t>bilar</w:t>
      </w:r>
      <w:proofErr w:type="spellEnd"/>
      <w:r w:rsidRPr="001D3665">
        <w:t xml:space="preserve"> brukt av </w:t>
      </w:r>
      <w:proofErr w:type="spellStart"/>
      <w:r w:rsidRPr="001D3665">
        <w:t>personar</w:t>
      </w:r>
      <w:proofErr w:type="spellEnd"/>
      <w:r w:rsidRPr="001D3665">
        <w:t xml:space="preserve"> busette i sentrale strøk. Det er likevel slik at </w:t>
      </w:r>
      <w:proofErr w:type="spellStart"/>
      <w:r w:rsidRPr="001D3665">
        <w:t>personar</w:t>
      </w:r>
      <w:proofErr w:type="spellEnd"/>
      <w:r w:rsidRPr="001D3665">
        <w:t xml:space="preserve"> som bur i sentrale strøk, i mindre grad bruker bil og i større grad bruker elbil enn </w:t>
      </w:r>
      <w:proofErr w:type="spellStart"/>
      <w:r w:rsidRPr="001D3665">
        <w:t>personar</w:t>
      </w:r>
      <w:proofErr w:type="spellEnd"/>
      <w:r w:rsidRPr="001D3665">
        <w:t xml:space="preserve"> busette i distrikta.</w:t>
      </w:r>
    </w:p>
    <w:p w14:paraId="2A421C48" w14:textId="77777777" w:rsidR="00BC371A" w:rsidRPr="001D3665" w:rsidRDefault="00BC371A" w:rsidP="001D3665">
      <w:pPr>
        <w:pStyle w:val="Overskrift3"/>
      </w:pPr>
      <w:r w:rsidRPr="001D3665">
        <w:t xml:space="preserve">Verknader av </w:t>
      </w:r>
      <w:proofErr w:type="spellStart"/>
      <w:r w:rsidRPr="001D3665">
        <w:t>drivstoffprisar</w:t>
      </w:r>
      <w:proofErr w:type="spellEnd"/>
      <w:r w:rsidRPr="001D3665">
        <w:t xml:space="preserve"> for vare- og lastebiltransport</w:t>
      </w:r>
    </w:p>
    <w:p w14:paraId="4543B073" w14:textId="77777777" w:rsidR="00BC371A" w:rsidRPr="001D3665" w:rsidRDefault="00BC371A" w:rsidP="001D3665">
      <w:r w:rsidRPr="001D3665">
        <w:t xml:space="preserve">Transportselskap har eigne </w:t>
      </w:r>
      <w:proofErr w:type="spellStart"/>
      <w:r w:rsidRPr="001D3665">
        <w:t>bedriftsavtalar</w:t>
      </w:r>
      <w:proofErr w:type="spellEnd"/>
      <w:r w:rsidRPr="001D3665">
        <w:t xml:space="preserve"> med oljeselskapa. </w:t>
      </w:r>
      <w:proofErr w:type="spellStart"/>
      <w:r w:rsidRPr="001D3665">
        <w:t>Desse</w:t>
      </w:r>
      <w:proofErr w:type="spellEnd"/>
      <w:r w:rsidRPr="001D3665">
        <w:t xml:space="preserve"> </w:t>
      </w:r>
      <w:proofErr w:type="spellStart"/>
      <w:r w:rsidRPr="001D3665">
        <w:t>avtalane</w:t>
      </w:r>
      <w:proofErr w:type="spellEnd"/>
      <w:r w:rsidRPr="001D3665">
        <w:t xml:space="preserve"> er baserte på oljeselskapa sine </w:t>
      </w:r>
      <w:proofErr w:type="spellStart"/>
      <w:r w:rsidRPr="001D3665">
        <w:t>listeprisar</w:t>
      </w:r>
      <w:proofErr w:type="spellEnd"/>
      <w:r w:rsidRPr="001D3665">
        <w:t xml:space="preserve"> for drivstoff og </w:t>
      </w:r>
      <w:proofErr w:type="spellStart"/>
      <w:r w:rsidRPr="001D3665">
        <w:t>rabattavtalar</w:t>
      </w:r>
      <w:proofErr w:type="spellEnd"/>
      <w:r w:rsidRPr="001D3665">
        <w:t xml:space="preserve"> mellom oljeselskapa og transportselskapa. </w:t>
      </w:r>
      <w:proofErr w:type="spellStart"/>
      <w:r w:rsidRPr="001D3665">
        <w:t>Pumpeprisane</w:t>
      </w:r>
      <w:proofErr w:type="spellEnd"/>
      <w:r w:rsidRPr="001D3665">
        <w:t xml:space="preserve"> som </w:t>
      </w:r>
      <w:proofErr w:type="spellStart"/>
      <w:r w:rsidRPr="001D3665">
        <w:t>privatbilistar</w:t>
      </w:r>
      <w:proofErr w:type="spellEnd"/>
      <w:r w:rsidRPr="001D3665">
        <w:t xml:space="preserve"> står overfor, gjev </w:t>
      </w:r>
      <w:proofErr w:type="spellStart"/>
      <w:r w:rsidRPr="001D3665">
        <w:t>difor</w:t>
      </w:r>
      <w:proofErr w:type="spellEnd"/>
      <w:r w:rsidRPr="001D3665">
        <w:t xml:space="preserve"> </w:t>
      </w:r>
      <w:proofErr w:type="spellStart"/>
      <w:r w:rsidRPr="001D3665">
        <w:t>ikkje</w:t>
      </w:r>
      <w:proofErr w:type="spellEnd"/>
      <w:r w:rsidRPr="001D3665">
        <w:t xml:space="preserve"> </w:t>
      </w:r>
      <w:proofErr w:type="spellStart"/>
      <w:r w:rsidRPr="001D3665">
        <w:t>eit</w:t>
      </w:r>
      <w:proofErr w:type="spellEnd"/>
      <w:r w:rsidRPr="001D3665">
        <w:t xml:space="preserve"> riktig </w:t>
      </w:r>
      <w:proofErr w:type="spellStart"/>
      <w:r w:rsidRPr="001D3665">
        <w:t>bilete</w:t>
      </w:r>
      <w:proofErr w:type="spellEnd"/>
      <w:r w:rsidRPr="001D3665">
        <w:t xml:space="preserve"> av </w:t>
      </w:r>
      <w:proofErr w:type="spellStart"/>
      <w:r w:rsidRPr="001D3665">
        <w:t>dei</w:t>
      </w:r>
      <w:proofErr w:type="spellEnd"/>
      <w:r w:rsidRPr="001D3665">
        <w:t xml:space="preserve"> </w:t>
      </w:r>
      <w:proofErr w:type="spellStart"/>
      <w:r w:rsidRPr="001D3665">
        <w:t>drivstoffprisane</w:t>
      </w:r>
      <w:proofErr w:type="spellEnd"/>
      <w:r w:rsidRPr="001D3665">
        <w:t xml:space="preserve"> </w:t>
      </w:r>
      <w:proofErr w:type="spellStart"/>
      <w:r w:rsidRPr="001D3665">
        <w:t>transportføretaka</w:t>
      </w:r>
      <w:proofErr w:type="spellEnd"/>
      <w:r w:rsidRPr="001D3665">
        <w:t xml:space="preserve"> møter.</w:t>
      </w:r>
    </w:p>
    <w:p w14:paraId="50D511C1" w14:textId="77777777" w:rsidR="00BC371A" w:rsidRPr="001D3665" w:rsidRDefault="00BC371A" w:rsidP="001D3665">
      <w:r w:rsidRPr="001D3665">
        <w:t xml:space="preserve">Statistisk sentralbyrå sin kostnadsindeks for vare- og lastebiltransport syner utviklinga i </w:t>
      </w:r>
      <w:proofErr w:type="spellStart"/>
      <w:r w:rsidRPr="001D3665">
        <w:t>drivstoffprisar</w:t>
      </w:r>
      <w:proofErr w:type="spellEnd"/>
      <w:r w:rsidRPr="001D3665">
        <w:t xml:space="preserve"> for transportbedriftene, sjå figur 9.7. I 1. kvartal 2026 </w:t>
      </w:r>
      <w:proofErr w:type="spellStart"/>
      <w:r w:rsidRPr="001D3665">
        <w:t>auka</w:t>
      </w:r>
      <w:proofErr w:type="spellEnd"/>
      <w:r w:rsidRPr="001D3665">
        <w:t xml:space="preserve"> </w:t>
      </w:r>
      <w:proofErr w:type="spellStart"/>
      <w:r w:rsidRPr="001D3665">
        <w:t>drivstoffkostnadane</w:t>
      </w:r>
      <w:proofErr w:type="spellEnd"/>
      <w:r w:rsidRPr="001D3665">
        <w:t xml:space="preserve"> med 5,9 pst. </w:t>
      </w:r>
      <w:proofErr w:type="spellStart"/>
      <w:r w:rsidRPr="001D3665">
        <w:t>samanlikna</w:t>
      </w:r>
      <w:proofErr w:type="spellEnd"/>
      <w:r w:rsidRPr="001D3665">
        <w:t xml:space="preserve"> med 1. kvartal 2025 og med 9,4 pst. </w:t>
      </w:r>
      <w:proofErr w:type="spellStart"/>
      <w:r w:rsidRPr="001D3665">
        <w:t>samanlikna</w:t>
      </w:r>
      <w:proofErr w:type="spellEnd"/>
      <w:r w:rsidRPr="001D3665">
        <w:t xml:space="preserve"> med 4. kvartal 2025. I 1. kvartal 2026 var </w:t>
      </w:r>
      <w:proofErr w:type="spellStart"/>
      <w:r w:rsidRPr="001D3665">
        <w:t>drivstoffkostnadane</w:t>
      </w:r>
      <w:proofErr w:type="spellEnd"/>
      <w:r w:rsidRPr="001D3665">
        <w:t xml:space="preserve"> 2,9 pst. </w:t>
      </w:r>
      <w:proofErr w:type="spellStart"/>
      <w:r w:rsidRPr="001D3665">
        <w:t>lågare</w:t>
      </w:r>
      <w:proofErr w:type="spellEnd"/>
      <w:r w:rsidRPr="001D3665">
        <w:t xml:space="preserve"> enn i 3. kvartal 2022.</w:t>
      </w:r>
    </w:p>
    <w:p w14:paraId="1916FB1F" w14:textId="5CFB5B21" w:rsidR="00BC371A" w:rsidRPr="001D3665" w:rsidRDefault="001D3665" w:rsidP="001D3665">
      <w:r w:rsidRPr="001D3665">
        <w:rPr>
          <w:noProof/>
        </w:rPr>
        <w:lastRenderedPageBreak/>
        <w:drawing>
          <wp:inline distT="0" distB="0" distL="0" distR="0" wp14:anchorId="2C56AF10" wp14:editId="2B1B9A4E">
            <wp:extent cx="6076950" cy="2762250"/>
            <wp:effectExtent l="0" t="0" r="0" b="0"/>
            <wp:docPr id="4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21AC9E38" w14:textId="77777777" w:rsidR="00BC371A" w:rsidRPr="001D3665" w:rsidRDefault="00BC371A" w:rsidP="001D3665">
      <w:pPr>
        <w:pStyle w:val="figur-tittel"/>
      </w:pPr>
      <w:r w:rsidRPr="001D3665">
        <w:t>Kostnadsindeks for drivstoff for vare- og lastebiltransport. 4. kvartal 2021=100. 1. kvartal 2016–1. kvartal 2026</w:t>
      </w:r>
    </w:p>
    <w:p w14:paraId="763E8888" w14:textId="77777777" w:rsidR="00BC371A" w:rsidRPr="001D3665" w:rsidRDefault="00BC371A" w:rsidP="001D3665">
      <w:pPr>
        <w:pStyle w:val="Kilde"/>
      </w:pPr>
      <w:r w:rsidRPr="001D3665">
        <w:t>Kjelde: Statistisk sentralbyrå.</w:t>
      </w:r>
    </w:p>
    <w:p w14:paraId="5808C077" w14:textId="77777777" w:rsidR="00BC371A" w:rsidRPr="001D3665" w:rsidRDefault="00BC371A" w:rsidP="001D3665">
      <w:r w:rsidRPr="001D3665">
        <w:t xml:space="preserve">Det er store </w:t>
      </w:r>
      <w:proofErr w:type="spellStart"/>
      <w:r w:rsidRPr="001D3665">
        <w:t>variasjonar</w:t>
      </w:r>
      <w:proofErr w:type="spellEnd"/>
      <w:r w:rsidRPr="001D3665">
        <w:t xml:space="preserve"> i kor stor del drivstoff </w:t>
      </w:r>
      <w:proofErr w:type="spellStart"/>
      <w:r w:rsidRPr="001D3665">
        <w:t>utgjer</w:t>
      </w:r>
      <w:proofErr w:type="spellEnd"/>
      <w:r w:rsidRPr="001D3665">
        <w:t xml:space="preserve"> av </w:t>
      </w:r>
      <w:proofErr w:type="spellStart"/>
      <w:r w:rsidRPr="001D3665">
        <w:t>transportføretaka</w:t>
      </w:r>
      <w:proofErr w:type="spellEnd"/>
      <w:r w:rsidRPr="001D3665">
        <w:t xml:space="preserve"> sine totale </w:t>
      </w:r>
      <w:proofErr w:type="spellStart"/>
      <w:r w:rsidRPr="001D3665">
        <w:t>kostnadar</w:t>
      </w:r>
      <w:proofErr w:type="spellEnd"/>
      <w:r w:rsidRPr="001D3665">
        <w:t xml:space="preserve">. For transport av tømmer og transport i anlegg over korte </w:t>
      </w:r>
      <w:proofErr w:type="spellStart"/>
      <w:r w:rsidRPr="001D3665">
        <w:t>strekningar</w:t>
      </w:r>
      <w:proofErr w:type="spellEnd"/>
      <w:r w:rsidRPr="001D3665">
        <w:t xml:space="preserve"> </w:t>
      </w:r>
      <w:proofErr w:type="spellStart"/>
      <w:r w:rsidRPr="001D3665">
        <w:t>utgjer</w:t>
      </w:r>
      <w:proofErr w:type="spellEnd"/>
      <w:r w:rsidRPr="001D3665">
        <w:t xml:space="preserve"> drivstoff </w:t>
      </w:r>
      <w:proofErr w:type="spellStart"/>
      <w:r w:rsidRPr="001D3665">
        <w:t>meir</w:t>
      </w:r>
      <w:proofErr w:type="spellEnd"/>
      <w:r w:rsidRPr="001D3665">
        <w:t xml:space="preserve"> enn 25 pst. av </w:t>
      </w:r>
      <w:proofErr w:type="spellStart"/>
      <w:r w:rsidRPr="001D3665">
        <w:t>dei</w:t>
      </w:r>
      <w:proofErr w:type="spellEnd"/>
      <w:r w:rsidRPr="001D3665">
        <w:t xml:space="preserve"> totale </w:t>
      </w:r>
      <w:proofErr w:type="spellStart"/>
      <w:r w:rsidRPr="001D3665">
        <w:t>kostnadane</w:t>
      </w:r>
      <w:proofErr w:type="spellEnd"/>
      <w:r w:rsidRPr="001D3665">
        <w:t xml:space="preserve">, </w:t>
      </w:r>
      <w:proofErr w:type="spellStart"/>
      <w:r w:rsidRPr="001D3665">
        <w:t>medan</w:t>
      </w:r>
      <w:proofErr w:type="spellEnd"/>
      <w:r w:rsidRPr="001D3665">
        <w:t xml:space="preserve"> </w:t>
      </w:r>
      <w:proofErr w:type="spellStart"/>
      <w:r w:rsidRPr="001D3665">
        <w:t>drivstoffkostnadane</w:t>
      </w:r>
      <w:proofErr w:type="spellEnd"/>
      <w:r w:rsidRPr="001D3665">
        <w:t xml:space="preserve"> i andre </w:t>
      </w:r>
      <w:proofErr w:type="spellStart"/>
      <w:r w:rsidRPr="001D3665">
        <w:t>delar</w:t>
      </w:r>
      <w:proofErr w:type="spellEnd"/>
      <w:r w:rsidRPr="001D3665">
        <w:t xml:space="preserve"> av transportsektoren er ned mot 10 pst. Verknaden av </w:t>
      </w:r>
      <w:proofErr w:type="spellStart"/>
      <w:r w:rsidRPr="001D3665">
        <w:t>auka</w:t>
      </w:r>
      <w:proofErr w:type="spellEnd"/>
      <w:r w:rsidRPr="001D3665">
        <w:t xml:space="preserve"> </w:t>
      </w:r>
      <w:proofErr w:type="spellStart"/>
      <w:r w:rsidRPr="001D3665">
        <w:t>kostnadar</w:t>
      </w:r>
      <w:proofErr w:type="spellEnd"/>
      <w:r w:rsidRPr="001D3665">
        <w:t xml:space="preserve"> til drivstoff varierer </w:t>
      </w:r>
      <w:proofErr w:type="spellStart"/>
      <w:r w:rsidRPr="001D3665">
        <w:t>dimed</w:t>
      </w:r>
      <w:proofErr w:type="spellEnd"/>
      <w:r w:rsidRPr="001D3665">
        <w:t xml:space="preserve"> mellom ulike </w:t>
      </w:r>
      <w:proofErr w:type="spellStart"/>
      <w:r w:rsidRPr="001D3665">
        <w:t>delar</w:t>
      </w:r>
      <w:proofErr w:type="spellEnd"/>
      <w:r w:rsidRPr="001D3665">
        <w:t xml:space="preserve"> av transportnæringa.</w:t>
      </w:r>
    </w:p>
    <w:p w14:paraId="62CC8732" w14:textId="77777777" w:rsidR="00BC371A" w:rsidRPr="001D3665" w:rsidRDefault="00BC371A" w:rsidP="001D3665">
      <w:proofErr w:type="spellStart"/>
      <w:r w:rsidRPr="001D3665">
        <w:t>Kontraktar</w:t>
      </w:r>
      <w:proofErr w:type="spellEnd"/>
      <w:r w:rsidRPr="001D3665">
        <w:t xml:space="preserve"> i transportnæringa er ofte indeksregulerte med utgangspunkt i Statistisk sentralbyrå sin kostnadsindeks for vare- og lastebiltransport. </w:t>
      </w:r>
      <w:proofErr w:type="spellStart"/>
      <w:r w:rsidRPr="001D3665">
        <w:t>Auka</w:t>
      </w:r>
      <w:proofErr w:type="spellEnd"/>
      <w:r w:rsidRPr="001D3665">
        <w:t xml:space="preserve"> </w:t>
      </w:r>
      <w:proofErr w:type="spellStart"/>
      <w:r w:rsidRPr="001D3665">
        <w:t>drivstoffkostnadar</w:t>
      </w:r>
      <w:proofErr w:type="spellEnd"/>
      <w:r w:rsidRPr="001D3665">
        <w:t xml:space="preserve"> vert velta over på </w:t>
      </w:r>
      <w:proofErr w:type="spellStart"/>
      <w:r w:rsidRPr="001D3665">
        <w:t>kundane</w:t>
      </w:r>
      <w:proofErr w:type="spellEnd"/>
      <w:r w:rsidRPr="001D3665">
        <w:t xml:space="preserve"> gjennom indeksreguleringa av </w:t>
      </w:r>
      <w:proofErr w:type="spellStart"/>
      <w:r w:rsidRPr="001D3665">
        <w:t>kontraktane</w:t>
      </w:r>
      <w:proofErr w:type="spellEnd"/>
      <w:r w:rsidRPr="001D3665">
        <w:t xml:space="preserve">. Indeksen for </w:t>
      </w:r>
      <w:proofErr w:type="spellStart"/>
      <w:r w:rsidRPr="001D3665">
        <w:t>eit</w:t>
      </w:r>
      <w:proofErr w:type="spellEnd"/>
      <w:r w:rsidRPr="001D3665">
        <w:t xml:space="preserve"> kvartal vert publisert kring midten av den </w:t>
      </w:r>
      <w:proofErr w:type="spellStart"/>
      <w:r w:rsidRPr="001D3665">
        <w:t>påfølgjande</w:t>
      </w:r>
      <w:proofErr w:type="spellEnd"/>
      <w:r w:rsidRPr="001D3665">
        <w:t xml:space="preserve"> </w:t>
      </w:r>
      <w:proofErr w:type="spellStart"/>
      <w:r w:rsidRPr="001D3665">
        <w:t>månaden</w:t>
      </w:r>
      <w:proofErr w:type="spellEnd"/>
      <w:r w:rsidRPr="001D3665">
        <w:t xml:space="preserve">. Deretter </w:t>
      </w:r>
      <w:proofErr w:type="spellStart"/>
      <w:r w:rsidRPr="001D3665">
        <w:t>tek</w:t>
      </w:r>
      <w:proofErr w:type="spellEnd"/>
      <w:r w:rsidRPr="001D3665">
        <w:t xml:space="preserve"> det </w:t>
      </w:r>
      <w:proofErr w:type="spellStart"/>
      <w:r w:rsidRPr="001D3665">
        <w:t>noko</w:t>
      </w:r>
      <w:proofErr w:type="spellEnd"/>
      <w:r w:rsidRPr="001D3665">
        <w:t xml:space="preserve"> tid før </w:t>
      </w:r>
      <w:proofErr w:type="spellStart"/>
      <w:r w:rsidRPr="001D3665">
        <w:t>kontraktsprisane</w:t>
      </w:r>
      <w:proofErr w:type="spellEnd"/>
      <w:r w:rsidRPr="001D3665">
        <w:t xml:space="preserve"> vert justerte, og </w:t>
      </w:r>
      <w:proofErr w:type="spellStart"/>
      <w:r w:rsidRPr="001D3665">
        <w:t>auka</w:t>
      </w:r>
      <w:proofErr w:type="spellEnd"/>
      <w:r w:rsidRPr="001D3665">
        <w:t xml:space="preserve"> </w:t>
      </w:r>
      <w:proofErr w:type="spellStart"/>
      <w:r w:rsidRPr="001D3665">
        <w:t>kostnadar</w:t>
      </w:r>
      <w:proofErr w:type="spellEnd"/>
      <w:r w:rsidRPr="001D3665">
        <w:t xml:space="preserve"> vert dekte inn gjennom </w:t>
      </w:r>
      <w:proofErr w:type="spellStart"/>
      <w:r w:rsidRPr="001D3665">
        <w:t>høgare</w:t>
      </w:r>
      <w:proofErr w:type="spellEnd"/>
      <w:r w:rsidRPr="001D3665">
        <w:t xml:space="preserve"> </w:t>
      </w:r>
      <w:proofErr w:type="spellStart"/>
      <w:r w:rsidRPr="001D3665">
        <w:t>prisar</w:t>
      </w:r>
      <w:proofErr w:type="spellEnd"/>
      <w:r w:rsidRPr="001D3665">
        <w:t xml:space="preserve">. På litt lengre sikt er det </w:t>
      </w:r>
      <w:proofErr w:type="spellStart"/>
      <w:r w:rsidRPr="001D3665">
        <w:t>difor</w:t>
      </w:r>
      <w:proofErr w:type="spellEnd"/>
      <w:r w:rsidRPr="001D3665">
        <w:t xml:space="preserve"> </w:t>
      </w:r>
      <w:proofErr w:type="spellStart"/>
      <w:r w:rsidRPr="001D3665">
        <w:t>ikkje</w:t>
      </w:r>
      <w:proofErr w:type="spellEnd"/>
      <w:r w:rsidRPr="001D3665">
        <w:t xml:space="preserve"> transportnæringa som ber </w:t>
      </w:r>
      <w:proofErr w:type="spellStart"/>
      <w:r w:rsidRPr="001D3665">
        <w:t>kostnadane</w:t>
      </w:r>
      <w:proofErr w:type="spellEnd"/>
      <w:r w:rsidRPr="001D3665">
        <w:t xml:space="preserve"> av </w:t>
      </w:r>
      <w:proofErr w:type="spellStart"/>
      <w:r w:rsidRPr="001D3665">
        <w:t>auka</w:t>
      </w:r>
      <w:proofErr w:type="spellEnd"/>
      <w:r w:rsidRPr="001D3665">
        <w:t xml:space="preserve"> </w:t>
      </w:r>
      <w:proofErr w:type="spellStart"/>
      <w:r w:rsidRPr="001D3665">
        <w:t>drivstoffprisar</w:t>
      </w:r>
      <w:proofErr w:type="spellEnd"/>
      <w:r w:rsidRPr="001D3665">
        <w:t xml:space="preserve">, men </w:t>
      </w:r>
      <w:proofErr w:type="spellStart"/>
      <w:r w:rsidRPr="001D3665">
        <w:t>kundane</w:t>
      </w:r>
      <w:proofErr w:type="spellEnd"/>
      <w:r w:rsidRPr="001D3665">
        <w:t xml:space="preserve"> som kjøper </w:t>
      </w:r>
      <w:proofErr w:type="spellStart"/>
      <w:r w:rsidRPr="001D3665">
        <w:t>transporttenester</w:t>
      </w:r>
      <w:proofErr w:type="spellEnd"/>
      <w:r w:rsidRPr="001D3665">
        <w:t>.</w:t>
      </w:r>
    </w:p>
    <w:p w14:paraId="5B6B6D91" w14:textId="77777777" w:rsidR="00BC371A" w:rsidRPr="001D3665" w:rsidRDefault="00BC371A" w:rsidP="001D3665">
      <w:pPr>
        <w:pStyle w:val="Overskrift3"/>
      </w:pPr>
      <w:proofErr w:type="spellStart"/>
      <w:r w:rsidRPr="001D3665">
        <w:t>Verkemiddel</w:t>
      </w:r>
      <w:proofErr w:type="spellEnd"/>
      <w:r w:rsidRPr="001D3665">
        <w:t xml:space="preserve"> som påverkar </w:t>
      </w:r>
      <w:proofErr w:type="spellStart"/>
      <w:r w:rsidRPr="001D3665">
        <w:t>drivstoffprisane</w:t>
      </w:r>
      <w:proofErr w:type="spellEnd"/>
    </w:p>
    <w:p w14:paraId="43573CCD" w14:textId="77777777" w:rsidR="00BC371A" w:rsidRPr="001D3665" w:rsidRDefault="00BC371A" w:rsidP="001D3665">
      <w:r w:rsidRPr="001D3665">
        <w:t xml:space="preserve">Det er tre </w:t>
      </w:r>
      <w:proofErr w:type="spellStart"/>
      <w:r w:rsidRPr="001D3665">
        <w:t>verkemiddel</w:t>
      </w:r>
      <w:proofErr w:type="spellEnd"/>
      <w:r w:rsidRPr="001D3665">
        <w:t xml:space="preserve"> som direkte påverkar </w:t>
      </w:r>
      <w:proofErr w:type="spellStart"/>
      <w:r w:rsidRPr="001D3665">
        <w:t>pumpeprisane</w:t>
      </w:r>
      <w:proofErr w:type="spellEnd"/>
      <w:r w:rsidRPr="001D3665">
        <w:t xml:space="preserve"> på drivstoff: </w:t>
      </w:r>
      <w:proofErr w:type="spellStart"/>
      <w:r w:rsidRPr="001D3665">
        <w:t>vegbruksavgifta</w:t>
      </w:r>
      <w:proofErr w:type="spellEnd"/>
      <w:r w:rsidRPr="001D3665">
        <w:t>, CO</w:t>
      </w:r>
      <w:r w:rsidRPr="001D3665">
        <w:rPr>
          <w:rStyle w:val="skrift-senket"/>
        </w:rPr>
        <w:t>2</w:t>
      </w:r>
      <w:r w:rsidRPr="001D3665">
        <w:t xml:space="preserve">-avgifta og omsetningskravet for biodrivstoff i vegtrafikken. For andre høve som påverkar </w:t>
      </w:r>
      <w:proofErr w:type="spellStart"/>
      <w:r w:rsidRPr="001D3665">
        <w:t>drivstoffprisane</w:t>
      </w:r>
      <w:proofErr w:type="spellEnd"/>
      <w:r w:rsidRPr="001D3665">
        <w:t>, sjå boks 9.1. For verkemiddelbruk i Sverige, sjå boks 9.2.</w:t>
      </w:r>
    </w:p>
    <w:p w14:paraId="04C4583F" w14:textId="77777777" w:rsidR="00BC371A" w:rsidRPr="001D3665" w:rsidRDefault="00BC371A" w:rsidP="001D3665">
      <w:proofErr w:type="spellStart"/>
      <w:r w:rsidRPr="001D3665">
        <w:t>Vegbruksavgifta</w:t>
      </w:r>
      <w:proofErr w:type="spellEnd"/>
      <w:r w:rsidRPr="001D3665">
        <w:t xml:space="preserve"> på drivstoff skal prise </w:t>
      </w:r>
      <w:proofErr w:type="spellStart"/>
      <w:r w:rsidRPr="001D3665">
        <w:t>kostnadane</w:t>
      </w:r>
      <w:proofErr w:type="spellEnd"/>
      <w:r w:rsidRPr="001D3665">
        <w:t xml:space="preserve"> vegtrafikken påfører samfunnet i form av </w:t>
      </w:r>
      <w:proofErr w:type="spellStart"/>
      <w:r w:rsidRPr="001D3665">
        <w:t>ulukker</w:t>
      </w:r>
      <w:proofErr w:type="spellEnd"/>
      <w:r w:rsidRPr="001D3665">
        <w:t xml:space="preserve">, kø, støy, vegslitasje og helse- og </w:t>
      </w:r>
      <w:proofErr w:type="spellStart"/>
      <w:r w:rsidRPr="001D3665">
        <w:t>miljøskadelege</w:t>
      </w:r>
      <w:proofErr w:type="spellEnd"/>
      <w:r w:rsidRPr="001D3665">
        <w:t xml:space="preserve"> utslepp til luft. Ved å prise </w:t>
      </w:r>
      <w:proofErr w:type="spellStart"/>
      <w:r w:rsidRPr="001D3665">
        <w:t>desse</w:t>
      </w:r>
      <w:proofErr w:type="spellEnd"/>
      <w:r w:rsidRPr="001D3665">
        <w:t xml:space="preserve"> eksterne </w:t>
      </w:r>
      <w:proofErr w:type="spellStart"/>
      <w:r w:rsidRPr="001D3665">
        <w:t>kostnadane</w:t>
      </w:r>
      <w:proofErr w:type="spellEnd"/>
      <w:r w:rsidRPr="001D3665">
        <w:t xml:space="preserve">, skal </w:t>
      </w:r>
      <w:proofErr w:type="spellStart"/>
      <w:r w:rsidRPr="001D3665">
        <w:t>vegbruksavgifta</w:t>
      </w:r>
      <w:proofErr w:type="spellEnd"/>
      <w:r w:rsidRPr="001D3665">
        <w:t xml:space="preserve"> </w:t>
      </w:r>
      <w:proofErr w:type="spellStart"/>
      <w:r w:rsidRPr="001D3665">
        <w:t>gje</w:t>
      </w:r>
      <w:proofErr w:type="spellEnd"/>
      <w:r w:rsidRPr="001D3665">
        <w:t xml:space="preserve"> </w:t>
      </w:r>
      <w:proofErr w:type="spellStart"/>
      <w:r w:rsidRPr="001D3665">
        <w:t>brukarar</w:t>
      </w:r>
      <w:proofErr w:type="spellEnd"/>
      <w:r w:rsidRPr="001D3665">
        <w:t xml:space="preserve"> av </w:t>
      </w:r>
      <w:proofErr w:type="spellStart"/>
      <w:r w:rsidRPr="001D3665">
        <w:t>køyretøy</w:t>
      </w:r>
      <w:proofErr w:type="spellEnd"/>
      <w:r w:rsidRPr="001D3665">
        <w:t xml:space="preserve"> </w:t>
      </w:r>
      <w:proofErr w:type="spellStart"/>
      <w:r w:rsidRPr="001D3665">
        <w:t>eit</w:t>
      </w:r>
      <w:proofErr w:type="spellEnd"/>
      <w:r w:rsidRPr="001D3665">
        <w:t xml:space="preserve"> økonomisk insentiv til å ta omsyn til ulempene køyringa påfører andre. </w:t>
      </w:r>
      <w:proofErr w:type="spellStart"/>
      <w:r w:rsidRPr="001D3665">
        <w:t>Vegbruksavgifta</w:t>
      </w:r>
      <w:proofErr w:type="spellEnd"/>
      <w:r w:rsidRPr="001D3665">
        <w:t xml:space="preserve"> gjev i tillegg inntekter til statskassa. Utslepp av CO</w:t>
      </w:r>
      <w:r w:rsidRPr="001D3665">
        <w:rPr>
          <w:rStyle w:val="skrift-senket"/>
        </w:rPr>
        <w:t>2</w:t>
      </w:r>
      <w:r w:rsidRPr="001D3665">
        <w:t xml:space="preserve"> vert </w:t>
      </w:r>
      <w:proofErr w:type="spellStart"/>
      <w:r w:rsidRPr="001D3665">
        <w:t>ikkje</w:t>
      </w:r>
      <w:proofErr w:type="spellEnd"/>
      <w:r w:rsidRPr="001D3665">
        <w:t xml:space="preserve"> prisa gjennom </w:t>
      </w:r>
      <w:proofErr w:type="spellStart"/>
      <w:r w:rsidRPr="001D3665">
        <w:t>vegbruksavgifta</w:t>
      </w:r>
      <w:proofErr w:type="spellEnd"/>
      <w:r w:rsidRPr="001D3665">
        <w:t>, men gjennom CO</w:t>
      </w:r>
      <w:r w:rsidRPr="001D3665">
        <w:rPr>
          <w:rStyle w:val="skrift-senket"/>
        </w:rPr>
        <w:t>2</w:t>
      </w:r>
      <w:r w:rsidRPr="001D3665">
        <w:t xml:space="preserve">-avgifta på mineralske produkt. </w:t>
      </w:r>
      <w:proofErr w:type="spellStart"/>
      <w:r w:rsidRPr="001D3665">
        <w:t>Vegbruksavgifta</w:t>
      </w:r>
      <w:proofErr w:type="spellEnd"/>
      <w:r w:rsidRPr="001D3665">
        <w:t xml:space="preserve"> </w:t>
      </w:r>
      <w:proofErr w:type="spellStart"/>
      <w:r w:rsidRPr="001D3665">
        <w:t>omfattar</w:t>
      </w:r>
      <w:proofErr w:type="spellEnd"/>
      <w:r w:rsidRPr="001D3665">
        <w:t xml:space="preserve"> bensin, mineralolje (diesel), bioetanol, biodiesel, LPG og naturgass. Tabell 9.2 syner </w:t>
      </w:r>
      <w:proofErr w:type="spellStart"/>
      <w:r w:rsidRPr="001D3665">
        <w:t>satsane</w:t>
      </w:r>
      <w:proofErr w:type="spellEnd"/>
      <w:r w:rsidRPr="001D3665">
        <w:t xml:space="preserve"> i </w:t>
      </w:r>
      <w:proofErr w:type="spellStart"/>
      <w:r w:rsidRPr="001D3665">
        <w:t>vegbruksavgifta</w:t>
      </w:r>
      <w:proofErr w:type="spellEnd"/>
      <w:r w:rsidRPr="001D3665">
        <w:t xml:space="preserve"> i 2026.</w:t>
      </w:r>
    </w:p>
    <w:p w14:paraId="43CF24DE" w14:textId="7CC63B53" w:rsidR="001B58A2" w:rsidRPr="001D3665" w:rsidRDefault="001B58A2" w:rsidP="001D3665">
      <w:pPr>
        <w:pStyle w:val="tabell-tittel"/>
      </w:pPr>
      <w:proofErr w:type="spellStart"/>
      <w:r w:rsidRPr="001D3665">
        <w:lastRenderedPageBreak/>
        <w:t>Vegbruksavgift</w:t>
      </w:r>
      <w:proofErr w:type="spellEnd"/>
      <w:r w:rsidRPr="001D3665">
        <w:t xml:space="preserve"> på drivstoff. 2026</w:t>
      </w:r>
    </w:p>
    <w:p w14:paraId="7B7A1F35" w14:textId="77777777" w:rsidR="00BC371A" w:rsidRPr="001D3665" w:rsidRDefault="00BC371A" w:rsidP="001D3665">
      <w:pPr>
        <w:pStyle w:val="Tabellnavn"/>
      </w:pPr>
      <w:r w:rsidRPr="001D3665">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01"/>
        <w:gridCol w:w="2006"/>
        <w:gridCol w:w="2006"/>
        <w:gridCol w:w="2007"/>
      </w:tblGrid>
      <w:tr w:rsidR="00CF0C10" w:rsidRPr="001D3665" w14:paraId="6188DF30" w14:textId="77777777" w:rsidTr="001D3665">
        <w:trPr>
          <w:trHeight w:val="360"/>
        </w:trPr>
        <w:tc>
          <w:tcPr>
            <w:tcW w:w="35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B3591F" w14:textId="77777777" w:rsidR="00BC371A" w:rsidRPr="001D3665" w:rsidRDefault="00BC371A" w:rsidP="001D3665">
            <w:pPr>
              <w:rPr>
                <w:sz w:val="21"/>
              </w:rPr>
            </w:pPr>
          </w:p>
        </w:tc>
        <w:tc>
          <w:tcPr>
            <w:tcW w:w="200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6ED9A4" w14:textId="77777777" w:rsidR="00BC371A" w:rsidRPr="001D3665" w:rsidRDefault="00BC371A" w:rsidP="001D3665">
            <w:pPr>
              <w:jc w:val="right"/>
              <w:rPr>
                <w:sz w:val="21"/>
              </w:rPr>
            </w:pPr>
            <w:r w:rsidRPr="001D3665">
              <w:rPr>
                <w:sz w:val="21"/>
              </w:rPr>
              <w:t xml:space="preserve">1. jan.–31. </w:t>
            </w:r>
            <w:proofErr w:type="spellStart"/>
            <w:r w:rsidRPr="001D3665">
              <w:rPr>
                <w:sz w:val="21"/>
              </w:rPr>
              <w:t>mar</w:t>
            </w:r>
            <w:proofErr w:type="spellEnd"/>
            <w:r w:rsidRPr="001D3665">
              <w:rPr>
                <w:sz w:val="21"/>
              </w:rPr>
              <w:t>.</w:t>
            </w:r>
          </w:p>
        </w:tc>
        <w:tc>
          <w:tcPr>
            <w:tcW w:w="200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A0718B" w14:textId="77777777" w:rsidR="00BC371A" w:rsidRPr="001D3665" w:rsidRDefault="00BC371A" w:rsidP="001D3665">
            <w:pPr>
              <w:jc w:val="right"/>
              <w:rPr>
                <w:sz w:val="21"/>
              </w:rPr>
            </w:pPr>
            <w:r w:rsidRPr="001D3665">
              <w:rPr>
                <w:sz w:val="21"/>
              </w:rPr>
              <w:t>1. apr.–31. aug.</w:t>
            </w:r>
          </w:p>
        </w:tc>
        <w:tc>
          <w:tcPr>
            <w:tcW w:w="200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30E333" w14:textId="77777777" w:rsidR="00BC371A" w:rsidRPr="001D3665" w:rsidRDefault="00BC371A" w:rsidP="001D3665">
            <w:pPr>
              <w:jc w:val="right"/>
              <w:rPr>
                <w:sz w:val="21"/>
              </w:rPr>
            </w:pPr>
            <w:r w:rsidRPr="001D3665">
              <w:rPr>
                <w:sz w:val="21"/>
              </w:rPr>
              <w:t>1. sep.–31. des.</w:t>
            </w:r>
          </w:p>
        </w:tc>
      </w:tr>
      <w:tr w:rsidR="00CF0C10" w:rsidRPr="001D3665" w14:paraId="2AFEC8B9" w14:textId="77777777" w:rsidTr="001D3665">
        <w:trPr>
          <w:trHeight w:val="380"/>
        </w:trPr>
        <w:tc>
          <w:tcPr>
            <w:tcW w:w="3501" w:type="dxa"/>
            <w:tcBorders>
              <w:top w:val="single" w:sz="4" w:space="0" w:color="000000"/>
              <w:left w:val="nil"/>
              <w:bottom w:val="nil"/>
              <w:right w:val="nil"/>
            </w:tcBorders>
            <w:tcMar>
              <w:top w:w="128" w:type="dxa"/>
              <w:left w:w="43" w:type="dxa"/>
              <w:bottom w:w="43" w:type="dxa"/>
              <w:right w:w="43" w:type="dxa"/>
            </w:tcMar>
          </w:tcPr>
          <w:p w14:paraId="5AE70F19" w14:textId="77777777" w:rsidR="00BC371A" w:rsidRPr="001D3665" w:rsidRDefault="00BC371A" w:rsidP="001D3665">
            <w:pPr>
              <w:rPr>
                <w:sz w:val="21"/>
              </w:rPr>
            </w:pPr>
            <w:r w:rsidRPr="001D3665">
              <w:rPr>
                <w:sz w:val="21"/>
              </w:rPr>
              <w:t>Mineralolje, kr/l</w:t>
            </w:r>
          </w:p>
        </w:tc>
        <w:tc>
          <w:tcPr>
            <w:tcW w:w="2006" w:type="dxa"/>
            <w:tcBorders>
              <w:top w:val="single" w:sz="4" w:space="0" w:color="000000"/>
              <w:left w:val="nil"/>
              <w:bottom w:val="nil"/>
              <w:right w:val="nil"/>
            </w:tcBorders>
            <w:tcMar>
              <w:top w:w="128" w:type="dxa"/>
              <w:left w:w="43" w:type="dxa"/>
              <w:bottom w:w="43" w:type="dxa"/>
              <w:right w:w="43" w:type="dxa"/>
            </w:tcMar>
            <w:vAlign w:val="bottom"/>
          </w:tcPr>
          <w:p w14:paraId="6D3B2A0A" w14:textId="77777777" w:rsidR="00BC371A" w:rsidRPr="001D3665" w:rsidRDefault="00BC371A" w:rsidP="001D3665">
            <w:pPr>
              <w:jc w:val="right"/>
              <w:rPr>
                <w:sz w:val="21"/>
              </w:rPr>
            </w:pPr>
            <w:r w:rsidRPr="001D3665">
              <w:rPr>
                <w:sz w:val="21"/>
              </w:rPr>
              <w:t>2,28</w:t>
            </w:r>
          </w:p>
        </w:tc>
        <w:tc>
          <w:tcPr>
            <w:tcW w:w="2006" w:type="dxa"/>
            <w:tcBorders>
              <w:top w:val="single" w:sz="4" w:space="0" w:color="000000"/>
              <w:left w:val="nil"/>
              <w:bottom w:val="nil"/>
              <w:right w:val="nil"/>
            </w:tcBorders>
            <w:tcMar>
              <w:top w:w="128" w:type="dxa"/>
              <w:left w:w="43" w:type="dxa"/>
              <w:bottom w:w="43" w:type="dxa"/>
              <w:right w:w="43" w:type="dxa"/>
            </w:tcMar>
            <w:vAlign w:val="bottom"/>
          </w:tcPr>
          <w:p w14:paraId="11C8BA6C" w14:textId="77777777" w:rsidR="00BC371A" w:rsidRPr="001D3665" w:rsidRDefault="00BC371A" w:rsidP="001D3665">
            <w:pPr>
              <w:jc w:val="right"/>
              <w:rPr>
                <w:sz w:val="21"/>
              </w:rPr>
            </w:pPr>
            <w:r w:rsidRPr="001D3665">
              <w:rPr>
                <w:sz w:val="21"/>
              </w:rPr>
              <w:t>0,00</w:t>
            </w:r>
          </w:p>
        </w:tc>
        <w:tc>
          <w:tcPr>
            <w:tcW w:w="2007" w:type="dxa"/>
            <w:tcBorders>
              <w:top w:val="single" w:sz="4" w:space="0" w:color="000000"/>
              <w:left w:val="nil"/>
              <w:bottom w:val="nil"/>
              <w:right w:val="nil"/>
            </w:tcBorders>
            <w:tcMar>
              <w:top w:w="128" w:type="dxa"/>
              <w:left w:w="43" w:type="dxa"/>
              <w:bottom w:w="43" w:type="dxa"/>
              <w:right w:w="43" w:type="dxa"/>
            </w:tcMar>
            <w:vAlign w:val="bottom"/>
          </w:tcPr>
          <w:p w14:paraId="5CA46D37" w14:textId="77777777" w:rsidR="00BC371A" w:rsidRPr="001D3665" w:rsidRDefault="00BC371A" w:rsidP="001D3665">
            <w:pPr>
              <w:jc w:val="right"/>
              <w:rPr>
                <w:sz w:val="21"/>
              </w:rPr>
            </w:pPr>
            <w:r w:rsidRPr="001D3665">
              <w:rPr>
                <w:sz w:val="21"/>
              </w:rPr>
              <w:t>2,28</w:t>
            </w:r>
          </w:p>
        </w:tc>
      </w:tr>
      <w:tr w:rsidR="00CF0C10" w:rsidRPr="001D3665" w14:paraId="6D293E92" w14:textId="77777777" w:rsidTr="001D3665">
        <w:trPr>
          <w:trHeight w:val="380"/>
        </w:trPr>
        <w:tc>
          <w:tcPr>
            <w:tcW w:w="3501" w:type="dxa"/>
            <w:tcBorders>
              <w:top w:val="nil"/>
              <w:left w:val="nil"/>
              <w:bottom w:val="nil"/>
              <w:right w:val="nil"/>
            </w:tcBorders>
            <w:tcMar>
              <w:top w:w="128" w:type="dxa"/>
              <w:left w:w="43" w:type="dxa"/>
              <w:bottom w:w="43" w:type="dxa"/>
              <w:right w:w="43" w:type="dxa"/>
            </w:tcMar>
          </w:tcPr>
          <w:p w14:paraId="0B6730B6" w14:textId="77777777" w:rsidR="00BC371A" w:rsidRPr="001D3665" w:rsidRDefault="00BC371A" w:rsidP="001D3665">
            <w:pPr>
              <w:rPr>
                <w:sz w:val="21"/>
              </w:rPr>
            </w:pPr>
            <w:r w:rsidRPr="001D3665">
              <w:rPr>
                <w:sz w:val="21"/>
              </w:rPr>
              <w:t>Biodiesel, kr/l</w:t>
            </w:r>
          </w:p>
        </w:tc>
        <w:tc>
          <w:tcPr>
            <w:tcW w:w="2006" w:type="dxa"/>
            <w:tcBorders>
              <w:top w:val="nil"/>
              <w:left w:val="nil"/>
              <w:bottom w:val="nil"/>
              <w:right w:val="nil"/>
            </w:tcBorders>
            <w:tcMar>
              <w:top w:w="128" w:type="dxa"/>
              <w:left w:w="43" w:type="dxa"/>
              <w:bottom w:w="43" w:type="dxa"/>
              <w:right w:w="43" w:type="dxa"/>
            </w:tcMar>
            <w:vAlign w:val="bottom"/>
          </w:tcPr>
          <w:p w14:paraId="10C45EE2" w14:textId="77777777" w:rsidR="00BC371A" w:rsidRPr="001D3665" w:rsidRDefault="00BC371A" w:rsidP="001D3665">
            <w:pPr>
              <w:jc w:val="right"/>
              <w:rPr>
                <w:sz w:val="21"/>
              </w:rPr>
            </w:pPr>
            <w:r w:rsidRPr="001D3665">
              <w:rPr>
                <w:sz w:val="21"/>
              </w:rPr>
              <w:t>2,28</w:t>
            </w:r>
          </w:p>
        </w:tc>
        <w:tc>
          <w:tcPr>
            <w:tcW w:w="2006" w:type="dxa"/>
            <w:tcBorders>
              <w:top w:val="nil"/>
              <w:left w:val="nil"/>
              <w:bottom w:val="nil"/>
              <w:right w:val="nil"/>
            </w:tcBorders>
            <w:tcMar>
              <w:top w:w="128" w:type="dxa"/>
              <w:left w:w="43" w:type="dxa"/>
              <w:bottom w:w="43" w:type="dxa"/>
              <w:right w:w="43" w:type="dxa"/>
            </w:tcMar>
            <w:vAlign w:val="bottom"/>
          </w:tcPr>
          <w:p w14:paraId="5878B062" w14:textId="77777777" w:rsidR="00BC371A" w:rsidRPr="001D3665" w:rsidRDefault="00BC371A" w:rsidP="001D3665">
            <w:pPr>
              <w:jc w:val="right"/>
              <w:rPr>
                <w:sz w:val="21"/>
              </w:rPr>
            </w:pPr>
            <w:r w:rsidRPr="001D3665">
              <w:rPr>
                <w:sz w:val="21"/>
              </w:rPr>
              <w:t>0,00</w:t>
            </w:r>
          </w:p>
        </w:tc>
        <w:tc>
          <w:tcPr>
            <w:tcW w:w="2007" w:type="dxa"/>
            <w:tcBorders>
              <w:top w:val="nil"/>
              <w:left w:val="nil"/>
              <w:bottom w:val="nil"/>
              <w:right w:val="nil"/>
            </w:tcBorders>
            <w:tcMar>
              <w:top w:w="128" w:type="dxa"/>
              <w:left w:w="43" w:type="dxa"/>
              <w:bottom w:w="43" w:type="dxa"/>
              <w:right w:w="43" w:type="dxa"/>
            </w:tcMar>
            <w:vAlign w:val="bottom"/>
          </w:tcPr>
          <w:p w14:paraId="291386DB" w14:textId="77777777" w:rsidR="00BC371A" w:rsidRPr="001D3665" w:rsidRDefault="00BC371A" w:rsidP="001D3665">
            <w:pPr>
              <w:jc w:val="right"/>
              <w:rPr>
                <w:sz w:val="21"/>
              </w:rPr>
            </w:pPr>
            <w:r w:rsidRPr="001D3665">
              <w:rPr>
                <w:sz w:val="21"/>
              </w:rPr>
              <w:t>2,28</w:t>
            </w:r>
          </w:p>
        </w:tc>
      </w:tr>
      <w:tr w:rsidR="00CF0C10" w:rsidRPr="001D3665" w14:paraId="349D0FEE" w14:textId="77777777" w:rsidTr="001D3665">
        <w:trPr>
          <w:trHeight w:val="380"/>
        </w:trPr>
        <w:tc>
          <w:tcPr>
            <w:tcW w:w="3501" w:type="dxa"/>
            <w:tcBorders>
              <w:top w:val="nil"/>
              <w:left w:val="nil"/>
              <w:bottom w:val="nil"/>
              <w:right w:val="nil"/>
            </w:tcBorders>
            <w:tcMar>
              <w:top w:w="128" w:type="dxa"/>
              <w:left w:w="43" w:type="dxa"/>
              <w:bottom w:w="43" w:type="dxa"/>
              <w:right w:w="43" w:type="dxa"/>
            </w:tcMar>
          </w:tcPr>
          <w:p w14:paraId="62525E06" w14:textId="77777777" w:rsidR="00BC371A" w:rsidRPr="001D3665" w:rsidRDefault="00BC371A" w:rsidP="001D3665">
            <w:pPr>
              <w:rPr>
                <w:sz w:val="21"/>
              </w:rPr>
            </w:pPr>
            <w:r w:rsidRPr="001D3665">
              <w:rPr>
                <w:sz w:val="21"/>
              </w:rPr>
              <w:t>Bensin, kr/l</w:t>
            </w:r>
          </w:p>
        </w:tc>
        <w:tc>
          <w:tcPr>
            <w:tcW w:w="2006" w:type="dxa"/>
            <w:tcBorders>
              <w:top w:val="nil"/>
              <w:left w:val="nil"/>
              <w:bottom w:val="nil"/>
              <w:right w:val="nil"/>
            </w:tcBorders>
            <w:tcMar>
              <w:top w:w="128" w:type="dxa"/>
              <w:left w:w="43" w:type="dxa"/>
              <w:bottom w:w="43" w:type="dxa"/>
              <w:right w:w="43" w:type="dxa"/>
            </w:tcMar>
            <w:vAlign w:val="bottom"/>
          </w:tcPr>
          <w:p w14:paraId="0CEDF71B" w14:textId="77777777" w:rsidR="00BC371A" w:rsidRPr="001D3665" w:rsidRDefault="00BC371A" w:rsidP="001D3665">
            <w:pPr>
              <w:jc w:val="right"/>
              <w:rPr>
                <w:sz w:val="21"/>
              </w:rPr>
            </w:pPr>
            <w:r w:rsidRPr="001D3665">
              <w:rPr>
                <w:sz w:val="21"/>
              </w:rPr>
              <w:t>3,77</w:t>
            </w:r>
          </w:p>
        </w:tc>
        <w:tc>
          <w:tcPr>
            <w:tcW w:w="2006" w:type="dxa"/>
            <w:tcBorders>
              <w:top w:val="nil"/>
              <w:left w:val="nil"/>
              <w:bottom w:val="nil"/>
              <w:right w:val="nil"/>
            </w:tcBorders>
            <w:tcMar>
              <w:top w:w="128" w:type="dxa"/>
              <w:left w:w="43" w:type="dxa"/>
              <w:bottom w:w="43" w:type="dxa"/>
              <w:right w:w="43" w:type="dxa"/>
            </w:tcMar>
            <w:vAlign w:val="bottom"/>
          </w:tcPr>
          <w:p w14:paraId="202D8201" w14:textId="77777777" w:rsidR="00BC371A" w:rsidRPr="001D3665" w:rsidRDefault="00BC371A" w:rsidP="001D3665">
            <w:pPr>
              <w:jc w:val="right"/>
              <w:rPr>
                <w:sz w:val="21"/>
              </w:rPr>
            </w:pPr>
            <w:r w:rsidRPr="001D3665">
              <w:rPr>
                <w:sz w:val="21"/>
              </w:rPr>
              <w:t>0,00</w:t>
            </w:r>
          </w:p>
        </w:tc>
        <w:tc>
          <w:tcPr>
            <w:tcW w:w="2007" w:type="dxa"/>
            <w:tcBorders>
              <w:top w:val="nil"/>
              <w:left w:val="nil"/>
              <w:bottom w:val="nil"/>
              <w:right w:val="nil"/>
            </w:tcBorders>
            <w:tcMar>
              <w:top w:w="128" w:type="dxa"/>
              <w:left w:w="43" w:type="dxa"/>
              <w:bottom w:w="43" w:type="dxa"/>
              <w:right w:w="43" w:type="dxa"/>
            </w:tcMar>
            <w:vAlign w:val="bottom"/>
          </w:tcPr>
          <w:p w14:paraId="0CE126E0" w14:textId="77777777" w:rsidR="00BC371A" w:rsidRPr="001D3665" w:rsidRDefault="00BC371A" w:rsidP="001D3665">
            <w:pPr>
              <w:jc w:val="right"/>
              <w:rPr>
                <w:sz w:val="21"/>
              </w:rPr>
            </w:pPr>
            <w:r w:rsidRPr="001D3665">
              <w:rPr>
                <w:sz w:val="21"/>
              </w:rPr>
              <w:t>3,77</w:t>
            </w:r>
          </w:p>
        </w:tc>
      </w:tr>
      <w:tr w:rsidR="00CF0C10" w:rsidRPr="001D3665" w14:paraId="0F364F7A" w14:textId="77777777" w:rsidTr="001D3665">
        <w:trPr>
          <w:trHeight w:val="380"/>
        </w:trPr>
        <w:tc>
          <w:tcPr>
            <w:tcW w:w="3501" w:type="dxa"/>
            <w:tcBorders>
              <w:top w:val="nil"/>
              <w:left w:val="nil"/>
              <w:bottom w:val="nil"/>
              <w:right w:val="nil"/>
            </w:tcBorders>
            <w:tcMar>
              <w:top w:w="128" w:type="dxa"/>
              <w:left w:w="43" w:type="dxa"/>
              <w:bottom w:w="43" w:type="dxa"/>
              <w:right w:w="43" w:type="dxa"/>
            </w:tcMar>
          </w:tcPr>
          <w:p w14:paraId="0878EBEA" w14:textId="77777777" w:rsidR="00BC371A" w:rsidRPr="001D3665" w:rsidRDefault="00BC371A" w:rsidP="001D3665">
            <w:pPr>
              <w:rPr>
                <w:sz w:val="21"/>
              </w:rPr>
            </w:pPr>
            <w:r w:rsidRPr="001D3665">
              <w:rPr>
                <w:sz w:val="21"/>
              </w:rPr>
              <w:t>Bioetanol, kr/l</w:t>
            </w:r>
          </w:p>
        </w:tc>
        <w:tc>
          <w:tcPr>
            <w:tcW w:w="2006" w:type="dxa"/>
            <w:tcBorders>
              <w:top w:val="nil"/>
              <w:left w:val="nil"/>
              <w:bottom w:val="nil"/>
              <w:right w:val="nil"/>
            </w:tcBorders>
            <w:tcMar>
              <w:top w:w="128" w:type="dxa"/>
              <w:left w:w="43" w:type="dxa"/>
              <w:bottom w:w="43" w:type="dxa"/>
              <w:right w:w="43" w:type="dxa"/>
            </w:tcMar>
            <w:vAlign w:val="bottom"/>
          </w:tcPr>
          <w:p w14:paraId="21FF2A4E" w14:textId="77777777" w:rsidR="00BC371A" w:rsidRPr="001D3665" w:rsidRDefault="00BC371A" w:rsidP="001D3665">
            <w:pPr>
              <w:jc w:val="right"/>
              <w:rPr>
                <w:sz w:val="21"/>
              </w:rPr>
            </w:pPr>
            <w:r w:rsidRPr="001D3665">
              <w:rPr>
                <w:sz w:val="21"/>
              </w:rPr>
              <w:t>2,17</w:t>
            </w:r>
          </w:p>
        </w:tc>
        <w:tc>
          <w:tcPr>
            <w:tcW w:w="2006" w:type="dxa"/>
            <w:tcBorders>
              <w:top w:val="nil"/>
              <w:left w:val="nil"/>
              <w:bottom w:val="nil"/>
              <w:right w:val="nil"/>
            </w:tcBorders>
            <w:tcMar>
              <w:top w:w="128" w:type="dxa"/>
              <w:left w:w="43" w:type="dxa"/>
              <w:bottom w:w="43" w:type="dxa"/>
              <w:right w:w="43" w:type="dxa"/>
            </w:tcMar>
            <w:vAlign w:val="bottom"/>
          </w:tcPr>
          <w:p w14:paraId="5506B1F3" w14:textId="77777777" w:rsidR="00BC371A" w:rsidRPr="001D3665" w:rsidRDefault="00BC371A" w:rsidP="001D3665">
            <w:pPr>
              <w:jc w:val="right"/>
              <w:rPr>
                <w:sz w:val="21"/>
              </w:rPr>
            </w:pPr>
            <w:r w:rsidRPr="001D3665">
              <w:rPr>
                <w:sz w:val="21"/>
              </w:rPr>
              <w:t>0,00</w:t>
            </w:r>
          </w:p>
        </w:tc>
        <w:tc>
          <w:tcPr>
            <w:tcW w:w="2007" w:type="dxa"/>
            <w:tcBorders>
              <w:top w:val="nil"/>
              <w:left w:val="nil"/>
              <w:bottom w:val="nil"/>
              <w:right w:val="nil"/>
            </w:tcBorders>
            <w:tcMar>
              <w:top w:w="128" w:type="dxa"/>
              <w:left w:w="43" w:type="dxa"/>
              <w:bottom w:w="43" w:type="dxa"/>
              <w:right w:w="43" w:type="dxa"/>
            </w:tcMar>
            <w:vAlign w:val="bottom"/>
          </w:tcPr>
          <w:p w14:paraId="7CE59948" w14:textId="77777777" w:rsidR="00BC371A" w:rsidRPr="001D3665" w:rsidRDefault="00BC371A" w:rsidP="001D3665">
            <w:pPr>
              <w:jc w:val="right"/>
              <w:rPr>
                <w:sz w:val="21"/>
              </w:rPr>
            </w:pPr>
            <w:r w:rsidRPr="001D3665">
              <w:rPr>
                <w:sz w:val="21"/>
              </w:rPr>
              <w:t>2,17</w:t>
            </w:r>
          </w:p>
        </w:tc>
      </w:tr>
      <w:tr w:rsidR="00CF0C10" w:rsidRPr="001D3665" w14:paraId="1F333C62" w14:textId="77777777" w:rsidTr="001D3665">
        <w:trPr>
          <w:trHeight w:val="380"/>
        </w:trPr>
        <w:tc>
          <w:tcPr>
            <w:tcW w:w="3501" w:type="dxa"/>
            <w:tcBorders>
              <w:top w:val="nil"/>
              <w:left w:val="nil"/>
              <w:bottom w:val="nil"/>
              <w:right w:val="nil"/>
            </w:tcBorders>
            <w:tcMar>
              <w:top w:w="128" w:type="dxa"/>
              <w:left w:w="43" w:type="dxa"/>
              <w:bottom w:w="43" w:type="dxa"/>
              <w:right w:w="43" w:type="dxa"/>
            </w:tcMar>
          </w:tcPr>
          <w:p w14:paraId="3193B996" w14:textId="77777777" w:rsidR="00BC371A" w:rsidRPr="001D3665" w:rsidRDefault="00BC371A" w:rsidP="001D3665">
            <w:pPr>
              <w:rPr>
                <w:sz w:val="21"/>
              </w:rPr>
            </w:pPr>
            <w:r w:rsidRPr="001D3665">
              <w:rPr>
                <w:sz w:val="21"/>
              </w:rPr>
              <w:t>LPG, kr/kg</w:t>
            </w:r>
          </w:p>
        </w:tc>
        <w:tc>
          <w:tcPr>
            <w:tcW w:w="2006" w:type="dxa"/>
            <w:tcBorders>
              <w:top w:val="nil"/>
              <w:left w:val="nil"/>
              <w:bottom w:val="nil"/>
              <w:right w:val="nil"/>
            </w:tcBorders>
            <w:tcMar>
              <w:top w:w="128" w:type="dxa"/>
              <w:left w:w="43" w:type="dxa"/>
              <w:bottom w:w="43" w:type="dxa"/>
              <w:right w:w="43" w:type="dxa"/>
            </w:tcMar>
            <w:vAlign w:val="bottom"/>
          </w:tcPr>
          <w:p w14:paraId="0B438729" w14:textId="77777777" w:rsidR="00BC371A" w:rsidRPr="001D3665" w:rsidRDefault="00BC371A" w:rsidP="001D3665">
            <w:pPr>
              <w:jc w:val="right"/>
              <w:rPr>
                <w:sz w:val="21"/>
              </w:rPr>
            </w:pPr>
            <w:r w:rsidRPr="001D3665">
              <w:rPr>
                <w:sz w:val="21"/>
              </w:rPr>
              <w:t>4,07</w:t>
            </w:r>
          </w:p>
        </w:tc>
        <w:tc>
          <w:tcPr>
            <w:tcW w:w="2006" w:type="dxa"/>
            <w:tcBorders>
              <w:top w:val="nil"/>
              <w:left w:val="nil"/>
              <w:bottom w:val="nil"/>
              <w:right w:val="nil"/>
            </w:tcBorders>
            <w:tcMar>
              <w:top w:w="128" w:type="dxa"/>
              <w:left w:w="43" w:type="dxa"/>
              <w:bottom w:w="43" w:type="dxa"/>
              <w:right w:w="43" w:type="dxa"/>
            </w:tcMar>
            <w:vAlign w:val="bottom"/>
          </w:tcPr>
          <w:p w14:paraId="38A4F74D" w14:textId="77777777" w:rsidR="00BC371A" w:rsidRPr="001D3665" w:rsidRDefault="00BC371A" w:rsidP="001D3665">
            <w:pPr>
              <w:jc w:val="right"/>
              <w:rPr>
                <w:sz w:val="21"/>
              </w:rPr>
            </w:pPr>
            <w:r w:rsidRPr="001D3665">
              <w:rPr>
                <w:sz w:val="21"/>
              </w:rPr>
              <w:t>0,00</w:t>
            </w:r>
          </w:p>
        </w:tc>
        <w:tc>
          <w:tcPr>
            <w:tcW w:w="2007" w:type="dxa"/>
            <w:tcBorders>
              <w:top w:val="nil"/>
              <w:left w:val="nil"/>
              <w:bottom w:val="nil"/>
              <w:right w:val="nil"/>
            </w:tcBorders>
            <w:tcMar>
              <w:top w:w="128" w:type="dxa"/>
              <w:left w:w="43" w:type="dxa"/>
              <w:bottom w:w="43" w:type="dxa"/>
              <w:right w:w="43" w:type="dxa"/>
            </w:tcMar>
            <w:vAlign w:val="bottom"/>
          </w:tcPr>
          <w:p w14:paraId="2BB022C9" w14:textId="77777777" w:rsidR="00BC371A" w:rsidRPr="001D3665" w:rsidRDefault="00BC371A" w:rsidP="001D3665">
            <w:pPr>
              <w:jc w:val="right"/>
              <w:rPr>
                <w:sz w:val="21"/>
              </w:rPr>
            </w:pPr>
            <w:r w:rsidRPr="001D3665">
              <w:rPr>
                <w:sz w:val="21"/>
              </w:rPr>
              <w:t>4,07</w:t>
            </w:r>
          </w:p>
        </w:tc>
      </w:tr>
      <w:tr w:rsidR="00CF0C10" w:rsidRPr="001D3665" w14:paraId="466AD2BF" w14:textId="77777777" w:rsidTr="001D3665">
        <w:trPr>
          <w:trHeight w:val="380"/>
        </w:trPr>
        <w:tc>
          <w:tcPr>
            <w:tcW w:w="3501" w:type="dxa"/>
            <w:tcBorders>
              <w:top w:val="nil"/>
              <w:left w:val="nil"/>
              <w:bottom w:val="single" w:sz="4" w:space="0" w:color="000000"/>
              <w:right w:val="nil"/>
            </w:tcBorders>
            <w:tcMar>
              <w:top w:w="128" w:type="dxa"/>
              <w:left w:w="43" w:type="dxa"/>
              <w:bottom w:w="43" w:type="dxa"/>
              <w:right w:w="43" w:type="dxa"/>
            </w:tcMar>
          </w:tcPr>
          <w:p w14:paraId="0BA03A65" w14:textId="77777777" w:rsidR="00BC371A" w:rsidRPr="001D3665" w:rsidRDefault="00BC371A" w:rsidP="001D3665">
            <w:pPr>
              <w:rPr>
                <w:sz w:val="21"/>
              </w:rPr>
            </w:pPr>
            <w:r w:rsidRPr="001D3665">
              <w:rPr>
                <w:sz w:val="21"/>
              </w:rPr>
              <w:t>Naturgass, kr/Sm</w:t>
            </w:r>
            <w:r w:rsidRPr="001D3665">
              <w:rPr>
                <w:rStyle w:val="skrift-hevet"/>
                <w:sz w:val="21"/>
              </w:rPr>
              <w:t>3</w:t>
            </w:r>
          </w:p>
        </w:tc>
        <w:tc>
          <w:tcPr>
            <w:tcW w:w="2006" w:type="dxa"/>
            <w:tcBorders>
              <w:top w:val="nil"/>
              <w:left w:val="nil"/>
              <w:bottom w:val="single" w:sz="4" w:space="0" w:color="000000"/>
              <w:right w:val="nil"/>
            </w:tcBorders>
            <w:tcMar>
              <w:top w:w="128" w:type="dxa"/>
              <w:left w:w="43" w:type="dxa"/>
              <w:bottom w:w="43" w:type="dxa"/>
              <w:right w:w="43" w:type="dxa"/>
            </w:tcMar>
            <w:vAlign w:val="bottom"/>
          </w:tcPr>
          <w:p w14:paraId="1CECF069" w14:textId="77777777" w:rsidR="00BC371A" w:rsidRPr="001D3665" w:rsidRDefault="00BC371A" w:rsidP="001D3665">
            <w:pPr>
              <w:jc w:val="right"/>
              <w:rPr>
                <w:sz w:val="21"/>
              </w:rPr>
            </w:pPr>
            <w:r w:rsidRPr="001D3665">
              <w:rPr>
                <w:sz w:val="21"/>
              </w:rPr>
              <w:t>3,12</w:t>
            </w:r>
          </w:p>
        </w:tc>
        <w:tc>
          <w:tcPr>
            <w:tcW w:w="2006" w:type="dxa"/>
            <w:tcBorders>
              <w:top w:val="nil"/>
              <w:left w:val="nil"/>
              <w:bottom w:val="single" w:sz="4" w:space="0" w:color="000000"/>
              <w:right w:val="nil"/>
            </w:tcBorders>
            <w:tcMar>
              <w:top w:w="128" w:type="dxa"/>
              <w:left w:w="43" w:type="dxa"/>
              <w:bottom w:w="43" w:type="dxa"/>
              <w:right w:w="43" w:type="dxa"/>
            </w:tcMar>
            <w:vAlign w:val="bottom"/>
          </w:tcPr>
          <w:p w14:paraId="48CFBD11" w14:textId="77777777" w:rsidR="00BC371A" w:rsidRPr="001D3665" w:rsidRDefault="00BC371A" w:rsidP="001D3665">
            <w:pPr>
              <w:jc w:val="right"/>
              <w:rPr>
                <w:sz w:val="21"/>
              </w:rPr>
            </w:pPr>
            <w:r w:rsidRPr="001D3665">
              <w:rPr>
                <w:sz w:val="21"/>
              </w:rPr>
              <w:t>0,00</w:t>
            </w:r>
          </w:p>
        </w:tc>
        <w:tc>
          <w:tcPr>
            <w:tcW w:w="2007" w:type="dxa"/>
            <w:tcBorders>
              <w:top w:val="nil"/>
              <w:left w:val="nil"/>
              <w:bottom w:val="single" w:sz="4" w:space="0" w:color="000000"/>
              <w:right w:val="nil"/>
            </w:tcBorders>
            <w:tcMar>
              <w:top w:w="128" w:type="dxa"/>
              <w:left w:w="43" w:type="dxa"/>
              <w:bottom w:w="43" w:type="dxa"/>
              <w:right w:w="43" w:type="dxa"/>
            </w:tcMar>
            <w:vAlign w:val="bottom"/>
          </w:tcPr>
          <w:p w14:paraId="6495159B" w14:textId="77777777" w:rsidR="00BC371A" w:rsidRPr="001D3665" w:rsidRDefault="00BC371A" w:rsidP="001D3665">
            <w:pPr>
              <w:jc w:val="right"/>
              <w:rPr>
                <w:sz w:val="21"/>
              </w:rPr>
            </w:pPr>
            <w:r w:rsidRPr="001D3665">
              <w:rPr>
                <w:sz w:val="21"/>
              </w:rPr>
              <w:t>3,12</w:t>
            </w:r>
          </w:p>
        </w:tc>
      </w:tr>
    </w:tbl>
    <w:p w14:paraId="73593885" w14:textId="77777777" w:rsidR="00BC371A" w:rsidRPr="001D3665" w:rsidRDefault="00BC371A" w:rsidP="001D3665">
      <w:r w:rsidRPr="001D3665">
        <w:t>CO</w:t>
      </w:r>
      <w:r w:rsidRPr="001D3665">
        <w:rPr>
          <w:rStyle w:val="skrift-senket"/>
        </w:rPr>
        <w:t>2</w:t>
      </w:r>
      <w:r w:rsidRPr="001D3665">
        <w:t>-avgifta på mineralske produkt skal prise utslepp av CO</w:t>
      </w:r>
      <w:r w:rsidRPr="001D3665">
        <w:rPr>
          <w:rStyle w:val="skrift-senket"/>
        </w:rPr>
        <w:t>2</w:t>
      </w:r>
      <w:r w:rsidRPr="001D3665">
        <w:t xml:space="preserve"> </w:t>
      </w:r>
      <w:proofErr w:type="spellStart"/>
      <w:r w:rsidRPr="001D3665">
        <w:t>frå</w:t>
      </w:r>
      <w:proofErr w:type="spellEnd"/>
      <w:r w:rsidRPr="001D3665">
        <w:t xml:space="preserve"> forbrenning av fossile drivstoff. Prising av utslepp av </w:t>
      </w:r>
      <w:proofErr w:type="spellStart"/>
      <w:r w:rsidRPr="001D3665">
        <w:t>klimagassar</w:t>
      </w:r>
      <w:proofErr w:type="spellEnd"/>
      <w:r w:rsidRPr="001D3665">
        <w:t xml:space="preserve"> gjev </w:t>
      </w:r>
      <w:proofErr w:type="spellStart"/>
      <w:r w:rsidRPr="001D3665">
        <w:t>aktørane</w:t>
      </w:r>
      <w:proofErr w:type="spellEnd"/>
      <w:r w:rsidRPr="001D3665">
        <w:t xml:space="preserve"> </w:t>
      </w:r>
      <w:proofErr w:type="spellStart"/>
      <w:r w:rsidRPr="001D3665">
        <w:t>eit</w:t>
      </w:r>
      <w:proofErr w:type="spellEnd"/>
      <w:r w:rsidRPr="001D3665">
        <w:t xml:space="preserve"> økonomisk insentiv til å redusere utsleppa, til dømes ved å ta i bruk ny teknologi (</w:t>
      </w:r>
      <w:proofErr w:type="spellStart"/>
      <w:r w:rsidRPr="001D3665">
        <w:t>elbilar</w:t>
      </w:r>
      <w:proofErr w:type="spellEnd"/>
      <w:r w:rsidRPr="001D3665">
        <w:t>) eller ved å redusere aktiviteten som fører til utslepp (</w:t>
      </w:r>
      <w:proofErr w:type="spellStart"/>
      <w:r w:rsidRPr="001D3665">
        <w:t>køyre</w:t>
      </w:r>
      <w:proofErr w:type="spellEnd"/>
      <w:r w:rsidRPr="001D3665">
        <w:t xml:space="preserve"> mindre bil). Tabell 9.3 syner </w:t>
      </w:r>
      <w:proofErr w:type="spellStart"/>
      <w:r w:rsidRPr="001D3665">
        <w:t>satsane</w:t>
      </w:r>
      <w:proofErr w:type="spellEnd"/>
      <w:r w:rsidRPr="001D3665">
        <w:t xml:space="preserve"> i CO</w:t>
      </w:r>
      <w:r w:rsidRPr="001D3665">
        <w:rPr>
          <w:rStyle w:val="skrift-senket"/>
        </w:rPr>
        <w:t>2</w:t>
      </w:r>
      <w:r w:rsidRPr="001D3665">
        <w:t>-avgifta i 2026 på drivstoff som vert brukt i vegtrafikken.</w:t>
      </w:r>
    </w:p>
    <w:p w14:paraId="5B0555B0" w14:textId="76B518AD" w:rsidR="001B58A2" w:rsidRPr="001D3665" w:rsidRDefault="001B58A2" w:rsidP="001D3665">
      <w:pPr>
        <w:pStyle w:val="tabell-tittel"/>
      </w:pPr>
      <w:r w:rsidRPr="001D3665">
        <w:t>CO</w:t>
      </w:r>
      <w:r w:rsidRPr="001D3665">
        <w:rPr>
          <w:rStyle w:val="skrift-senket"/>
        </w:rPr>
        <w:t>2</w:t>
      </w:r>
      <w:r w:rsidRPr="001D3665">
        <w:t>-avgift på drivstoff til bruk i vegtrafikk. 2026</w:t>
      </w:r>
    </w:p>
    <w:p w14:paraId="40DA356F" w14:textId="77777777" w:rsidR="00BC371A" w:rsidRPr="001D3665" w:rsidRDefault="00BC371A" w:rsidP="001D3665">
      <w:pPr>
        <w:pStyle w:val="Tabellnavn"/>
      </w:pPr>
      <w:r w:rsidRPr="001D3665">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68"/>
        <w:gridCol w:w="1817"/>
        <w:gridCol w:w="1817"/>
        <w:gridCol w:w="1818"/>
      </w:tblGrid>
      <w:tr w:rsidR="00CF0C10" w:rsidRPr="001D3665" w14:paraId="3839BF27" w14:textId="77777777" w:rsidTr="001D3665">
        <w:trPr>
          <w:trHeight w:val="360"/>
        </w:trPr>
        <w:tc>
          <w:tcPr>
            <w:tcW w:w="40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767FDB" w14:textId="77777777" w:rsidR="00BC371A" w:rsidRPr="001D3665" w:rsidRDefault="00BC371A" w:rsidP="001D3665">
            <w:pPr>
              <w:rPr>
                <w:sz w:val="21"/>
              </w:rPr>
            </w:pPr>
          </w:p>
        </w:tc>
        <w:tc>
          <w:tcPr>
            <w:tcW w:w="18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13E45B" w14:textId="77777777" w:rsidR="00BC371A" w:rsidRPr="001D3665" w:rsidRDefault="00BC371A" w:rsidP="001D3665">
            <w:pPr>
              <w:jc w:val="right"/>
              <w:rPr>
                <w:sz w:val="21"/>
              </w:rPr>
            </w:pPr>
            <w:r w:rsidRPr="001D3665">
              <w:rPr>
                <w:sz w:val="21"/>
              </w:rPr>
              <w:t>1. jan.–30. apr.</w:t>
            </w:r>
          </w:p>
        </w:tc>
        <w:tc>
          <w:tcPr>
            <w:tcW w:w="18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2C2AD5" w14:textId="77777777" w:rsidR="00BC371A" w:rsidRPr="001D3665" w:rsidRDefault="00BC371A" w:rsidP="001D3665">
            <w:pPr>
              <w:jc w:val="right"/>
              <w:rPr>
                <w:sz w:val="21"/>
              </w:rPr>
            </w:pPr>
            <w:r w:rsidRPr="001D3665">
              <w:rPr>
                <w:sz w:val="21"/>
              </w:rPr>
              <w:t xml:space="preserve">1. </w:t>
            </w:r>
            <w:proofErr w:type="gramStart"/>
            <w:r w:rsidRPr="001D3665">
              <w:rPr>
                <w:sz w:val="21"/>
              </w:rPr>
              <w:t>mai.–</w:t>
            </w:r>
            <w:proofErr w:type="gramEnd"/>
            <w:r w:rsidRPr="001D3665">
              <w:rPr>
                <w:sz w:val="21"/>
              </w:rPr>
              <w:t>31. aug.</w:t>
            </w:r>
          </w:p>
        </w:tc>
        <w:tc>
          <w:tcPr>
            <w:tcW w:w="18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741AED" w14:textId="77777777" w:rsidR="00BC371A" w:rsidRPr="001D3665" w:rsidRDefault="00BC371A" w:rsidP="001D3665">
            <w:pPr>
              <w:jc w:val="right"/>
              <w:rPr>
                <w:sz w:val="21"/>
              </w:rPr>
            </w:pPr>
            <w:r w:rsidRPr="001D3665">
              <w:rPr>
                <w:sz w:val="21"/>
              </w:rPr>
              <w:t>1. sep.–31. des.</w:t>
            </w:r>
          </w:p>
        </w:tc>
      </w:tr>
      <w:tr w:rsidR="00CF0C10" w:rsidRPr="001D3665" w14:paraId="4B3B3989" w14:textId="77777777" w:rsidTr="001D3665">
        <w:trPr>
          <w:trHeight w:val="380"/>
        </w:trPr>
        <w:tc>
          <w:tcPr>
            <w:tcW w:w="4068" w:type="dxa"/>
            <w:tcBorders>
              <w:top w:val="single" w:sz="4" w:space="0" w:color="000000"/>
              <w:left w:val="nil"/>
              <w:bottom w:val="nil"/>
              <w:right w:val="nil"/>
            </w:tcBorders>
            <w:tcMar>
              <w:top w:w="128" w:type="dxa"/>
              <w:left w:w="43" w:type="dxa"/>
              <w:bottom w:w="43" w:type="dxa"/>
              <w:right w:w="43" w:type="dxa"/>
            </w:tcMar>
          </w:tcPr>
          <w:p w14:paraId="1A6718D5" w14:textId="77777777" w:rsidR="00BC371A" w:rsidRPr="001D3665" w:rsidRDefault="00BC371A" w:rsidP="001D3665">
            <w:pPr>
              <w:rPr>
                <w:sz w:val="21"/>
              </w:rPr>
            </w:pPr>
            <w:r w:rsidRPr="001D3665">
              <w:rPr>
                <w:sz w:val="21"/>
              </w:rPr>
              <w:t>Mineralolje, kr/l</w:t>
            </w:r>
          </w:p>
        </w:tc>
        <w:tc>
          <w:tcPr>
            <w:tcW w:w="1817" w:type="dxa"/>
            <w:tcBorders>
              <w:top w:val="single" w:sz="4" w:space="0" w:color="000000"/>
              <w:left w:val="nil"/>
              <w:bottom w:val="nil"/>
              <w:right w:val="nil"/>
            </w:tcBorders>
            <w:tcMar>
              <w:top w:w="128" w:type="dxa"/>
              <w:left w:w="43" w:type="dxa"/>
              <w:bottom w:w="43" w:type="dxa"/>
              <w:right w:w="43" w:type="dxa"/>
            </w:tcMar>
            <w:vAlign w:val="bottom"/>
          </w:tcPr>
          <w:p w14:paraId="003058CF" w14:textId="77777777" w:rsidR="00BC371A" w:rsidRPr="001D3665" w:rsidRDefault="00BC371A" w:rsidP="001D3665">
            <w:pPr>
              <w:jc w:val="right"/>
              <w:rPr>
                <w:sz w:val="21"/>
              </w:rPr>
            </w:pPr>
            <w:r w:rsidRPr="001D3665">
              <w:rPr>
                <w:sz w:val="21"/>
              </w:rPr>
              <w:t>4,42</w:t>
            </w:r>
          </w:p>
        </w:tc>
        <w:tc>
          <w:tcPr>
            <w:tcW w:w="1817" w:type="dxa"/>
            <w:tcBorders>
              <w:top w:val="single" w:sz="4" w:space="0" w:color="000000"/>
              <w:left w:val="nil"/>
              <w:bottom w:val="nil"/>
              <w:right w:val="nil"/>
            </w:tcBorders>
            <w:tcMar>
              <w:top w:w="128" w:type="dxa"/>
              <w:left w:w="43" w:type="dxa"/>
              <w:bottom w:w="43" w:type="dxa"/>
              <w:right w:w="43" w:type="dxa"/>
            </w:tcMar>
            <w:vAlign w:val="bottom"/>
          </w:tcPr>
          <w:p w14:paraId="59CB9DDE" w14:textId="77777777" w:rsidR="00BC371A" w:rsidRPr="001D3665" w:rsidRDefault="00BC371A" w:rsidP="001D3665">
            <w:pPr>
              <w:jc w:val="right"/>
              <w:rPr>
                <w:sz w:val="21"/>
              </w:rPr>
            </w:pPr>
            <w:r w:rsidRPr="001D3665">
              <w:rPr>
                <w:sz w:val="21"/>
              </w:rPr>
              <w:t>3,09</w:t>
            </w:r>
          </w:p>
        </w:tc>
        <w:tc>
          <w:tcPr>
            <w:tcW w:w="1818" w:type="dxa"/>
            <w:tcBorders>
              <w:top w:val="single" w:sz="4" w:space="0" w:color="000000"/>
              <w:left w:val="nil"/>
              <w:bottom w:val="nil"/>
              <w:right w:val="nil"/>
            </w:tcBorders>
            <w:tcMar>
              <w:top w:w="128" w:type="dxa"/>
              <w:left w:w="43" w:type="dxa"/>
              <w:bottom w:w="43" w:type="dxa"/>
              <w:right w:w="43" w:type="dxa"/>
            </w:tcMar>
            <w:vAlign w:val="bottom"/>
          </w:tcPr>
          <w:p w14:paraId="73742EFB" w14:textId="77777777" w:rsidR="00BC371A" w:rsidRPr="001D3665" w:rsidRDefault="00BC371A" w:rsidP="001D3665">
            <w:pPr>
              <w:jc w:val="right"/>
              <w:rPr>
                <w:sz w:val="21"/>
              </w:rPr>
            </w:pPr>
            <w:r w:rsidRPr="001D3665">
              <w:rPr>
                <w:sz w:val="21"/>
              </w:rPr>
              <w:t>4,42</w:t>
            </w:r>
          </w:p>
        </w:tc>
      </w:tr>
      <w:tr w:rsidR="00CF0C10" w:rsidRPr="001D3665" w14:paraId="70C8F25C" w14:textId="77777777" w:rsidTr="001D3665">
        <w:trPr>
          <w:trHeight w:val="380"/>
        </w:trPr>
        <w:tc>
          <w:tcPr>
            <w:tcW w:w="4068" w:type="dxa"/>
            <w:tcBorders>
              <w:top w:val="nil"/>
              <w:left w:val="nil"/>
              <w:bottom w:val="nil"/>
              <w:right w:val="nil"/>
            </w:tcBorders>
            <w:tcMar>
              <w:top w:w="128" w:type="dxa"/>
              <w:left w:w="43" w:type="dxa"/>
              <w:bottom w:w="43" w:type="dxa"/>
              <w:right w:w="43" w:type="dxa"/>
            </w:tcMar>
          </w:tcPr>
          <w:p w14:paraId="3A1B1B68" w14:textId="77777777" w:rsidR="00BC371A" w:rsidRPr="001D3665" w:rsidRDefault="00BC371A" w:rsidP="001D3665">
            <w:pPr>
              <w:rPr>
                <w:sz w:val="21"/>
              </w:rPr>
            </w:pPr>
            <w:r w:rsidRPr="001D3665">
              <w:rPr>
                <w:sz w:val="21"/>
              </w:rPr>
              <w:t>Bensin, kr/l</w:t>
            </w:r>
          </w:p>
        </w:tc>
        <w:tc>
          <w:tcPr>
            <w:tcW w:w="5452" w:type="dxa"/>
            <w:gridSpan w:val="3"/>
            <w:tcBorders>
              <w:top w:val="nil"/>
              <w:left w:val="nil"/>
              <w:bottom w:val="nil"/>
              <w:right w:val="nil"/>
            </w:tcBorders>
            <w:tcMar>
              <w:top w:w="128" w:type="dxa"/>
              <w:left w:w="43" w:type="dxa"/>
              <w:bottom w:w="43" w:type="dxa"/>
              <w:right w:w="43" w:type="dxa"/>
            </w:tcMar>
            <w:vAlign w:val="bottom"/>
          </w:tcPr>
          <w:p w14:paraId="3CF72811" w14:textId="77777777" w:rsidR="00BC371A" w:rsidRPr="001D3665" w:rsidRDefault="00BC371A" w:rsidP="001D3665">
            <w:pPr>
              <w:jc w:val="right"/>
              <w:rPr>
                <w:sz w:val="21"/>
              </w:rPr>
            </w:pPr>
            <w:r w:rsidRPr="001D3665">
              <w:rPr>
                <w:sz w:val="21"/>
              </w:rPr>
              <w:t>3,80</w:t>
            </w:r>
          </w:p>
        </w:tc>
      </w:tr>
      <w:tr w:rsidR="00CF0C10" w:rsidRPr="001D3665" w14:paraId="20A32D71" w14:textId="77777777" w:rsidTr="001D3665">
        <w:trPr>
          <w:trHeight w:val="380"/>
        </w:trPr>
        <w:tc>
          <w:tcPr>
            <w:tcW w:w="4068" w:type="dxa"/>
            <w:tcBorders>
              <w:top w:val="nil"/>
              <w:left w:val="nil"/>
              <w:bottom w:val="nil"/>
              <w:right w:val="nil"/>
            </w:tcBorders>
            <w:tcMar>
              <w:top w:w="128" w:type="dxa"/>
              <w:left w:w="43" w:type="dxa"/>
              <w:bottom w:w="43" w:type="dxa"/>
              <w:right w:w="43" w:type="dxa"/>
            </w:tcMar>
          </w:tcPr>
          <w:p w14:paraId="6806999F" w14:textId="77777777" w:rsidR="00BC371A" w:rsidRPr="001D3665" w:rsidRDefault="00BC371A" w:rsidP="001D3665">
            <w:pPr>
              <w:rPr>
                <w:sz w:val="21"/>
              </w:rPr>
            </w:pPr>
            <w:r w:rsidRPr="001D3665">
              <w:rPr>
                <w:sz w:val="21"/>
              </w:rPr>
              <w:t>LPG, kr/kg</w:t>
            </w:r>
          </w:p>
        </w:tc>
        <w:tc>
          <w:tcPr>
            <w:tcW w:w="5452" w:type="dxa"/>
            <w:gridSpan w:val="3"/>
            <w:tcBorders>
              <w:top w:val="nil"/>
              <w:left w:val="nil"/>
              <w:bottom w:val="nil"/>
              <w:right w:val="nil"/>
            </w:tcBorders>
            <w:tcMar>
              <w:top w:w="128" w:type="dxa"/>
              <w:left w:w="43" w:type="dxa"/>
              <w:bottom w:w="43" w:type="dxa"/>
              <w:right w:w="43" w:type="dxa"/>
            </w:tcMar>
            <w:vAlign w:val="bottom"/>
          </w:tcPr>
          <w:p w14:paraId="60405FAC" w14:textId="77777777" w:rsidR="00BC371A" w:rsidRPr="001D3665" w:rsidRDefault="00BC371A" w:rsidP="001D3665">
            <w:pPr>
              <w:jc w:val="right"/>
              <w:rPr>
                <w:sz w:val="21"/>
              </w:rPr>
            </w:pPr>
            <w:r w:rsidRPr="001D3665">
              <w:rPr>
                <w:sz w:val="21"/>
              </w:rPr>
              <w:t>4,92</w:t>
            </w:r>
          </w:p>
        </w:tc>
      </w:tr>
      <w:tr w:rsidR="00CF0C10" w:rsidRPr="001D3665" w14:paraId="2B9D0F99" w14:textId="77777777" w:rsidTr="001D3665">
        <w:trPr>
          <w:trHeight w:val="380"/>
        </w:trPr>
        <w:tc>
          <w:tcPr>
            <w:tcW w:w="4068" w:type="dxa"/>
            <w:tcBorders>
              <w:top w:val="nil"/>
              <w:left w:val="nil"/>
              <w:bottom w:val="single" w:sz="4" w:space="0" w:color="000000"/>
              <w:right w:val="nil"/>
            </w:tcBorders>
            <w:tcMar>
              <w:top w:w="128" w:type="dxa"/>
              <w:left w:w="43" w:type="dxa"/>
              <w:bottom w:w="43" w:type="dxa"/>
              <w:right w:w="43" w:type="dxa"/>
            </w:tcMar>
          </w:tcPr>
          <w:p w14:paraId="2F13075E" w14:textId="77777777" w:rsidR="00BC371A" w:rsidRPr="001D3665" w:rsidRDefault="00BC371A" w:rsidP="001D3665">
            <w:pPr>
              <w:rPr>
                <w:sz w:val="21"/>
              </w:rPr>
            </w:pPr>
            <w:r w:rsidRPr="001D3665">
              <w:rPr>
                <w:sz w:val="21"/>
              </w:rPr>
              <w:t>Naturgass, kr/Sm</w:t>
            </w:r>
            <w:r w:rsidRPr="001D3665">
              <w:rPr>
                <w:rStyle w:val="skrift-hevet"/>
                <w:sz w:val="21"/>
              </w:rPr>
              <w:t>3</w:t>
            </w:r>
          </w:p>
        </w:tc>
        <w:tc>
          <w:tcPr>
            <w:tcW w:w="5452" w:type="dxa"/>
            <w:gridSpan w:val="3"/>
            <w:tcBorders>
              <w:top w:val="nil"/>
              <w:left w:val="nil"/>
              <w:bottom w:val="single" w:sz="4" w:space="0" w:color="000000"/>
              <w:right w:val="nil"/>
            </w:tcBorders>
            <w:tcMar>
              <w:top w:w="128" w:type="dxa"/>
              <w:left w:w="43" w:type="dxa"/>
              <w:bottom w:w="43" w:type="dxa"/>
              <w:right w:w="43" w:type="dxa"/>
            </w:tcMar>
            <w:vAlign w:val="bottom"/>
          </w:tcPr>
          <w:p w14:paraId="080E6749" w14:textId="77777777" w:rsidR="00BC371A" w:rsidRPr="001D3665" w:rsidRDefault="00BC371A" w:rsidP="001D3665">
            <w:pPr>
              <w:jc w:val="right"/>
              <w:rPr>
                <w:sz w:val="21"/>
              </w:rPr>
            </w:pPr>
            <w:r w:rsidRPr="001D3665">
              <w:rPr>
                <w:sz w:val="21"/>
              </w:rPr>
              <w:t>3,26</w:t>
            </w:r>
          </w:p>
        </w:tc>
      </w:tr>
    </w:tbl>
    <w:p w14:paraId="25ABE537" w14:textId="77777777" w:rsidR="00BC371A" w:rsidRPr="001D3665" w:rsidRDefault="00BC371A" w:rsidP="001D3665">
      <w:proofErr w:type="spellStart"/>
      <w:r w:rsidRPr="001D3665">
        <w:t>Allereie</w:t>
      </w:r>
      <w:proofErr w:type="spellEnd"/>
      <w:r w:rsidRPr="001D3665">
        <w:t xml:space="preserve"> før Stortinget kutta i avgiftene, var avgiftene på bensin </w:t>
      </w:r>
      <w:proofErr w:type="spellStart"/>
      <w:r w:rsidRPr="001D3665">
        <w:t>lågare</w:t>
      </w:r>
      <w:proofErr w:type="spellEnd"/>
      <w:r w:rsidRPr="001D3665">
        <w:t xml:space="preserve"> enn i 2013 målt i faste 2026-kroner, </w:t>
      </w:r>
      <w:proofErr w:type="spellStart"/>
      <w:r w:rsidRPr="001D3665">
        <w:t>medan</w:t>
      </w:r>
      <w:proofErr w:type="spellEnd"/>
      <w:r w:rsidRPr="001D3665">
        <w:t xml:space="preserve"> avgiftene på mineralolje var om lag </w:t>
      </w:r>
      <w:proofErr w:type="spellStart"/>
      <w:r w:rsidRPr="001D3665">
        <w:t>dei</w:t>
      </w:r>
      <w:proofErr w:type="spellEnd"/>
      <w:r w:rsidRPr="001D3665">
        <w:t xml:space="preserve"> same, sjå figur 9.8 og 9.9. Opptrappinga av CO</w:t>
      </w:r>
      <w:r w:rsidRPr="001D3665">
        <w:rPr>
          <w:rStyle w:val="skrift-senket"/>
        </w:rPr>
        <w:t>2</w:t>
      </w:r>
      <w:r w:rsidRPr="001D3665">
        <w:t xml:space="preserve">-avgifta, både under Solberg-regjeringa og denne regjeringa, har vorte </w:t>
      </w:r>
      <w:proofErr w:type="spellStart"/>
      <w:r w:rsidRPr="001D3665">
        <w:t>motverka</w:t>
      </w:r>
      <w:proofErr w:type="spellEnd"/>
      <w:r w:rsidRPr="001D3665">
        <w:t xml:space="preserve"> av redusert </w:t>
      </w:r>
      <w:proofErr w:type="spellStart"/>
      <w:r w:rsidRPr="001D3665">
        <w:t>vegbruksavgift</w:t>
      </w:r>
      <w:proofErr w:type="spellEnd"/>
      <w:r w:rsidRPr="001D3665">
        <w:t xml:space="preserve">. Ved </w:t>
      </w:r>
      <w:proofErr w:type="spellStart"/>
      <w:r w:rsidRPr="001D3665">
        <w:t>behandlinga</w:t>
      </w:r>
      <w:proofErr w:type="spellEnd"/>
      <w:r w:rsidRPr="001D3665">
        <w:t xml:space="preserve"> av </w:t>
      </w:r>
      <w:proofErr w:type="spellStart"/>
      <w:r w:rsidRPr="001D3665">
        <w:t>dei</w:t>
      </w:r>
      <w:proofErr w:type="spellEnd"/>
      <w:r w:rsidRPr="001D3665">
        <w:t xml:space="preserve"> </w:t>
      </w:r>
      <w:proofErr w:type="spellStart"/>
      <w:r w:rsidRPr="001D3665">
        <w:t>årlege</w:t>
      </w:r>
      <w:proofErr w:type="spellEnd"/>
      <w:r w:rsidRPr="001D3665">
        <w:t xml:space="preserve"> statsbudsjetta har det </w:t>
      </w:r>
      <w:proofErr w:type="spellStart"/>
      <w:r w:rsidRPr="001D3665">
        <w:t>ikkje</w:t>
      </w:r>
      <w:proofErr w:type="spellEnd"/>
      <w:r w:rsidRPr="001D3665">
        <w:t xml:space="preserve"> </w:t>
      </w:r>
      <w:proofErr w:type="spellStart"/>
      <w:r w:rsidRPr="001D3665">
        <w:t>vore</w:t>
      </w:r>
      <w:proofErr w:type="spellEnd"/>
      <w:r w:rsidRPr="001D3665">
        <w:t xml:space="preserve"> </w:t>
      </w:r>
      <w:proofErr w:type="spellStart"/>
      <w:r w:rsidRPr="001D3665">
        <w:t>fleirtal</w:t>
      </w:r>
      <w:proofErr w:type="spellEnd"/>
      <w:r w:rsidRPr="001D3665">
        <w:t xml:space="preserve"> på Stortinget for å </w:t>
      </w:r>
      <w:proofErr w:type="spellStart"/>
      <w:r w:rsidRPr="001D3665">
        <w:t>auke</w:t>
      </w:r>
      <w:proofErr w:type="spellEnd"/>
      <w:r w:rsidRPr="001D3665">
        <w:t xml:space="preserve"> </w:t>
      </w:r>
      <w:proofErr w:type="spellStart"/>
      <w:r w:rsidRPr="001D3665">
        <w:t>dei</w:t>
      </w:r>
      <w:proofErr w:type="spellEnd"/>
      <w:r w:rsidRPr="001D3665">
        <w:t xml:space="preserve"> samla avgiftene på bruk av fossilt drivstoff i vegtrafikken.</w:t>
      </w:r>
    </w:p>
    <w:p w14:paraId="4E854034" w14:textId="7936EA23" w:rsidR="00BC371A" w:rsidRPr="001D3665" w:rsidRDefault="001D3665" w:rsidP="001D3665">
      <w:r w:rsidRPr="001D3665">
        <w:rPr>
          <w:noProof/>
        </w:rPr>
        <w:lastRenderedPageBreak/>
        <w:drawing>
          <wp:inline distT="0" distB="0" distL="0" distR="0" wp14:anchorId="62AC781F" wp14:editId="11DD7DFC">
            <wp:extent cx="2914650" cy="2647950"/>
            <wp:effectExtent l="0" t="0" r="0" b="0"/>
            <wp:docPr id="4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4650" cy="2647950"/>
                    </a:xfrm>
                    <a:prstGeom prst="rect">
                      <a:avLst/>
                    </a:prstGeom>
                    <a:noFill/>
                    <a:ln>
                      <a:noFill/>
                    </a:ln>
                  </pic:spPr>
                </pic:pic>
              </a:graphicData>
            </a:graphic>
          </wp:inline>
        </w:drawing>
      </w:r>
    </w:p>
    <w:p w14:paraId="68FCE0D5" w14:textId="77777777" w:rsidR="00BC371A" w:rsidRPr="001D3665" w:rsidRDefault="00BC371A" w:rsidP="001D3665">
      <w:pPr>
        <w:pStyle w:val="figur-tittel"/>
      </w:pPr>
      <w:r w:rsidRPr="001D3665">
        <w:t>Særavgifter på bensin. Faste 2026-kroner per liter. 2013–2026</w:t>
      </w:r>
    </w:p>
    <w:p w14:paraId="484A3255" w14:textId="77777777" w:rsidR="00BC371A" w:rsidRPr="001D3665" w:rsidRDefault="00BC371A" w:rsidP="001D3665">
      <w:pPr>
        <w:pStyle w:val="Kilde"/>
      </w:pPr>
      <w:r w:rsidRPr="001D3665">
        <w:t>Kjelder: Statistisk sentralbyrå og Finansdepartementet.</w:t>
      </w:r>
    </w:p>
    <w:p w14:paraId="6179B062" w14:textId="19B1E787" w:rsidR="00BC371A" w:rsidRPr="001D3665" w:rsidRDefault="001D3665" w:rsidP="001D3665">
      <w:r w:rsidRPr="001D3665">
        <w:rPr>
          <w:noProof/>
        </w:rPr>
        <w:drawing>
          <wp:inline distT="0" distB="0" distL="0" distR="0" wp14:anchorId="58867222" wp14:editId="69025634">
            <wp:extent cx="2914650" cy="2647950"/>
            <wp:effectExtent l="0" t="0" r="0" b="0"/>
            <wp:docPr id="4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4650" cy="2647950"/>
                    </a:xfrm>
                    <a:prstGeom prst="rect">
                      <a:avLst/>
                    </a:prstGeom>
                    <a:noFill/>
                    <a:ln>
                      <a:noFill/>
                    </a:ln>
                  </pic:spPr>
                </pic:pic>
              </a:graphicData>
            </a:graphic>
          </wp:inline>
        </w:drawing>
      </w:r>
    </w:p>
    <w:p w14:paraId="147080B6" w14:textId="77777777" w:rsidR="00BC371A" w:rsidRPr="001D3665" w:rsidRDefault="00BC371A" w:rsidP="001D3665">
      <w:pPr>
        <w:pStyle w:val="figur-tittel"/>
      </w:pPr>
      <w:r w:rsidRPr="001D3665">
        <w:t>Særavgifter på mineralolje til bruk i vegtrafikk. Faste 2026-kroner per liter. 2013–2026</w:t>
      </w:r>
    </w:p>
    <w:p w14:paraId="3B06892E" w14:textId="77777777" w:rsidR="00BC371A" w:rsidRPr="001D3665" w:rsidRDefault="00BC371A" w:rsidP="001D3665">
      <w:pPr>
        <w:pStyle w:val="Kilde"/>
      </w:pPr>
      <w:r w:rsidRPr="001D3665">
        <w:t>Kjelder: Statistisk sentralbyrå og Finansdepartementet.</w:t>
      </w:r>
    </w:p>
    <w:p w14:paraId="04C972FF" w14:textId="77777777" w:rsidR="00BC371A" w:rsidRPr="001D3665" w:rsidRDefault="00BC371A" w:rsidP="001D3665">
      <w:r w:rsidRPr="001D3665">
        <w:t xml:space="preserve">Omsetningskravet for biodrivstoff er </w:t>
      </w:r>
      <w:proofErr w:type="spellStart"/>
      <w:r w:rsidRPr="001D3665">
        <w:t>ein</w:t>
      </w:r>
      <w:proofErr w:type="spellEnd"/>
      <w:r w:rsidRPr="001D3665">
        <w:t xml:space="preserve"> viktig del av planen til regjeringa for å nå klimamåla. Omsetningskravet for biodrivstoff er fastsett i produktforskrifta under Klima- og miljødepartementet. Dei som </w:t>
      </w:r>
      <w:proofErr w:type="spellStart"/>
      <w:r w:rsidRPr="001D3665">
        <w:t>omset</w:t>
      </w:r>
      <w:proofErr w:type="spellEnd"/>
      <w:r w:rsidRPr="001D3665">
        <w:t xml:space="preserve"> </w:t>
      </w:r>
      <w:proofErr w:type="spellStart"/>
      <w:r w:rsidRPr="001D3665">
        <w:t>flytande</w:t>
      </w:r>
      <w:proofErr w:type="spellEnd"/>
      <w:r w:rsidRPr="001D3665">
        <w:t xml:space="preserve"> drivstoff til vegtrafikk skal </w:t>
      </w:r>
      <w:proofErr w:type="spellStart"/>
      <w:r w:rsidRPr="001D3665">
        <w:t>sørgje</w:t>
      </w:r>
      <w:proofErr w:type="spellEnd"/>
      <w:r w:rsidRPr="001D3665">
        <w:t xml:space="preserve"> for at minst 20 volumprosent av den totale omsette </w:t>
      </w:r>
      <w:proofErr w:type="spellStart"/>
      <w:r w:rsidRPr="001D3665">
        <w:t>mengda</w:t>
      </w:r>
      <w:proofErr w:type="spellEnd"/>
      <w:r w:rsidRPr="001D3665">
        <w:t xml:space="preserve"> </w:t>
      </w:r>
      <w:proofErr w:type="spellStart"/>
      <w:r w:rsidRPr="001D3665">
        <w:t>flytande</w:t>
      </w:r>
      <w:proofErr w:type="spellEnd"/>
      <w:r w:rsidRPr="001D3665">
        <w:t xml:space="preserve"> drivstoff per år er biodrivstoff. For å oppfylle omsetningskravet må minst 13,5 volumprosent </w:t>
      </w:r>
      <w:proofErr w:type="spellStart"/>
      <w:r w:rsidRPr="001D3665">
        <w:t>vere</w:t>
      </w:r>
      <w:proofErr w:type="spellEnd"/>
      <w:r w:rsidRPr="001D3665">
        <w:t xml:space="preserve"> avansert biodrivstoff eller biodrivstoff framstilt av bestemte råstoff (B-råstoff), og minst 1 volumprosent må </w:t>
      </w:r>
      <w:proofErr w:type="spellStart"/>
      <w:r w:rsidRPr="001D3665">
        <w:t>vere</w:t>
      </w:r>
      <w:proofErr w:type="spellEnd"/>
      <w:r w:rsidRPr="001D3665">
        <w:t xml:space="preserve"> avansert biodrivstoff. </w:t>
      </w:r>
      <w:proofErr w:type="spellStart"/>
      <w:r w:rsidRPr="001D3665">
        <w:t>Nokre</w:t>
      </w:r>
      <w:proofErr w:type="spellEnd"/>
      <w:r w:rsidRPr="001D3665">
        <w:t xml:space="preserve"> </w:t>
      </w:r>
      <w:proofErr w:type="spellStart"/>
      <w:r w:rsidRPr="001D3665">
        <w:t>typar</w:t>
      </w:r>
      <w:proofErr w:type="spellEnd"/>
      <w:r w:rsidRPr="001D3665">
        <w:t xml:space="preserve"> biodrivstoff kan </w:t>
      </w:r>
      <w:proofErr w:type="spellStart"/>
      <w:r w:rsidRPr="001D3665">
        <w:t>reknast</w:t>
      </w:r>
      <w:proofErr w:type="spellEnd"/>
      <w:r w:rsidRPr="001D3665">
        <w:t xml:space="preserve"> dobbelt ved oppfyllinga av </w:t>
      </w:r>
      <w:proofErr w:type="spellStart"/>
      <w:r w:rsidRPr="001D3665">
        <w:t>hovudkravet</w:t>
      </w:r>
      <w:proofErr w:type="spellEnd"/>
      <w:r w:rsidRPr="001D3665">
        <w:t xml:space="preserve">, </w:t>
      </w:r>
      <w:proofErr w:type="spellStart"/>
      <w:r w:rsidRPr="001D3665">
        <w:t>noko</w:t>
      </w:r>
      <w:proofErr w:type="spellEnd"/>
      <w:r w:rsidRPr="001D3665">
        <w:t xml:space="preserve"> som </w:t>
      </w:r>
      <w:proofErr w:type="spellStart"/>
      <w:r w:rsidRPr="001D3665">
        <w:t>gjer</w:t>
      </w:r>
      <w:proofErr w:type="spellEnd"/>
      <w:r w:rsidRPr="001D3665">
        <w:t xml:space="preserve"> at den faktiske innblandinga er 14–15 pst., </w:t>
      </w:r>
      <w:proofErr w:type="spellStart"/>
      <w:r w:rsidRPr="001D3665">
        <w:t>sjølv</w:t>
      </w:r>
      <w:proofErr w:type="spellEnd"/>
      <w:r w:rsidRPr="001D3665">
        <w:t xml:space="preserve"> om kravet er på 20 volumprosent. Omsetningskravet vart </w:t>
      </w:r>
      <w:proofErr w:type="spellStart"/>
      <w:r w:rsidRPr="001D3665">
        <w:t>auka</w:t>
      </w:r>
      <w:proofErr w:type="spellEnd"/>
      <w:r w:rsidRPr="001D3665">
        <w:t xml:space="preserve"> </w:t>
      </w:r>
      <w:proofErr w:type="spellStart"/>
      <w:r w:rsidRPr="001D3665">
        <w:t>frå</w:t>
      </w:r>
      <w:proofErr w:type="spellEnd"/>
      <w:r w:rsidRPr="001D3665">
        <w:t xml:space="preserve"> 1. januar 2026, og vert </w:t>
      </w:r>
      <w:proofErr w:type="spellStart"/>
      <w:r w:rsidRPr="001D3665">
        <w:t>ytterlegare</w:t>
      </w:r>
      <w:proofErr w:type="spellEnd"/>
      <w:r w:rsidRPr="001D3665">
        <w:t xml:space="preserve"> </w:t>
      </w:r>
      <w:proofErr w:type="spellStart"/>
      <w:r w:rsidRPr="001D3665">
        <w:t>auka</w:t>
      </w:r>
      <w:proofErr w:type="spellEnd"/>
      <w:r w:rsidRPr="001D3665">
        <w:t xml:space="preserve"> </w:t>
      </w:r>
      <w:proofErr w:type="spellStart"/>
      <w:r w:rsidRPr="001D3665">
        <w:t>frå</w:t>
      </w:r>
      <w:proofErr w:type="spellEnd"/>
      <w:r w:rsidRPr="001D3665">
        <w:t xml:space="preserve"> 1. januar 2027.</w:t>
      </w:r>
    </w:p>
    <w:p w14:paraId="3F4D467A" w14:textId="77777777" w:rsidR="00BC371A" w:rsidRPr="001D3665" w:rsidRDefault="00BC371A" w:rsidP="001D3665">
      <w:r w:rsidRPr="001D3665">
        <w:lastRenderedPageBreak/>
        <w:t xml:space="preserve">Biodrivstoff er </w:t>
      </w:r>
      <w:proofErr w:type="spellStart"/>
      <w:r w:rsidRPr="001D3665">
        <w:t>dyrare</w:t>
      </w:r>
      <w:proofErr w:type="spellEnd"/>
      <w:r w:rsidRPr="001D3665">
        <w:t xml:space="preserve"> enn fossilt drivstoff, sjå figur 9.10. Innblandinga av biodrivstoff </w:t>
      </w:r>
      <w:proofErr w:type="spellStart"/>
      <w:r w:rsidRPr="001D3665">
        <w:t>aukar</w:t>
      </w:r>
      <w:proofErr w:type="spellEnd"/>
      <w:r w:rsidRPr="001D3665">
        <w:t xml:space="preserve"> </w:t>
      </w:r>
      <w:proofErr w:type="spellStart"/>
      <w:r w:rsidRPr="001D3665">
        <w:t>dimed</w:t>
      </w:r>
      <w:proofErr w:type="spellEnd"/>
      <w:r w:rsidRPr="001D3665">
        <w:t xml:space="preserve"> </w:t>
      </w:r>
      <w:proofErr w:type="spellStart"/>
      <w:r w:rsidRPr="001D3665">
        <w:t>pumpeprisane</w:t>
      </w:r>
      <w:proofErr w:type="spellEnd"/>
      <w:r w:rsidRPr="001D3665">
        <w:t xml:space="preserve"> på drivstoff. Verknaden på pumpeprisen av omsetningskravet er avhengig av kor høgt omsetningskravet er, skilnaden i </w:t>
      </w:r>
      <w:proofErr w:type="spellStart"/>
      <w:r w:rsidRPr="001D3665">
        <w:t>marknadsprisar</w:t>
      </w:r>
      <w:proofErr w:type="spellEnd"/>
      <w:r w:rsidRPr="001D3665">
        <w:t xml:space="preserve"> mellom biodrivstoff og fossilt drivstoff, og CO</w:t>
      </w:r>
      <w:r w:rsidRPr="001D3665">
        <w:rPr>
          <w:rStyle w:val="skrift-senket"/>
        </w:rPr>
        <w:t>2</w:t>
      </w:r>
      <w:r w:rsidRPr="001D3665">
        <w:t>-avgifta.</w:t>
      </w:r>
    </w:p>
    <w:p w14:paraId="129585BF" w14:textId="412F5A5C" w:rsidR="00BC371A" w:rsidRPr="001D3665" w:rsidRDefault="001D3665" w:rsidP="001D3665">
      <w:r w:rsidRPr="001D3665">
        <w:rPr>
          <w:noProof/>
        </w:rPr>
        <w:drawing>
          <wp:inline distT="0" distB="0" distL="0" distR="0" wp14:anchorId="78594BA6" wp14:editId="1C7EA291">
            <wp:extent cx="6076950" cy="2762250"/>
            <wp:effectExtent l="0" t="0" r="0" b="0"/>
            <wp:docPr id="5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0D38B88C" w14:textId="77777777" w:rsidR="00BC371A" w:rsidRPr="001D3665" w:rsidRDefault="00BC371A" w:rsidP="001D3665">
      <w:pPr>
        <w:pStyle w:val="figur-tittel"/>
      </w:pPr>
      <w:proofErr w:type="spellStart"/>
      <w:r w:rsidRPr="001D3665">
        <w:t>Prisar</w:t>
      </w:r>
      <w:proofErr w:type="spellEnd"/>
      <w:r w:rsidRPr="001D3665">
        <w:t xml:space="preserve"> for ulike </w:t>
      </w:r>
      <w:proofErr w:type="spellStart"/>
      <w:r w:rsidRPr="001D3665">
        <w:t>typar</w:t>
      </w:r>
      <w:proofErr w:type="spellEnd"/>
      <w:r w:rsidRPr="001D3665">
        <w:t xml:space="preserve"> HVO-biodiesel og fossil diesel, </w:t>
      </w:r>
      <w:proofErr w:type="spellStart"/>
      <w:r w:rsidRPr="001D3665">
        <w:t>utan</w:t>
      </w:r>
      <w:proofErr w:type="spellEnd"/>
      <w:r w:rsidRPr="001D3665">
        <w:t xml:space="preserve"> avgifter. Faste 2025-kroner per liter. 2023–2035</w:t>
      </w:r>
    </w:p>
    <w:p w14:paraId="540C8343" w14:textId="77777777" w:rsidR="00BC371A" w:rsidRPr="001D3665" w:rsidRDefault="00BC371A" w:rsidP="001D3665">
      <w:pPr>
        <w:pStyle w:val="Kilde"/>
      </w:pPr>
      <w:r w:rsidRPr="001D3665">
        <w:t xml:space="preserve">Kjelde: Miljødirektoratet, basert på analyse </w:t>
      </w:r>
      <w:proofErr w:type="spellStart"/>
      <w:r w:rsidRPr="001D3665">
        <w:t>frå</w:t>
      </w:r>
      <w:proofErr w:type="spellEnd"/>
      <w:r w:rsidRPr="001D3665">
        <w:t xml:space="preserve"> Argus.</w:t>
      </w:r>
    </w:p>
    <w:p w14:paraId="7F148836" w14:textId="77777777" w:rsidR="00BC371A" w:rsidRPr="001D3665" w:rsidRDefault="00BC371A" w:rsidP="001D3665">
      <w:pPr>
        <w:pStyle w:val="tittel-ramme"/>
      </w:pPr>
      <w:r w:rsidRPr="001D3665">
        <w:t xml:space="preserve">Kva </w:t>
      </w:r>
      <w:proofErr w:type="spellStart"/>
      <w:r w:rsidRPr="001D3665">
        <w:t>avgjer</w:t>
      </w:r>
      <w:proofErr w:type="spellEnd"/>
      <w:r w:rsidRPr="001D3665">
        <w:t xml:space="preserve"> </w:t>
      </w:r>
      <w:proofErr w:type="spellStart"/>
      <w:r w:rsidRPr="001D3665">
        <w:t>drivstoffprisane</w:t>
      </w:r>
      <w:proofErr w:type="spellEnd"/>
      <w:r w:rsidRPr="001D3665">
        <w:t xml:space="preserve"> i </w:t>
      </w:r>
      <w:proofErr w:type="spellStart"/>
      <w:r w:rsidRPr="001D3665">
        <w:t>Noreg</w:t>
      </w:r>
      <w:proofErr w:type="spellEnd"/>
    </w:p>
    <w:p w14:paraId="51BA8EE1" w14:textId="77777777" w:rsidR="00BC371A" w:rsidRPr="001D3665" w:rsidRDefault="00BC371A" w:rsidP="001D3665">
      <w:r w:rsidRPr="001D3665">
        <w:t xml:space="preserve">Bensin og diesel er raffinerte petroleumsprodukt laga av råolje. Råolje vert handla globalt, og prisen avheng av det globale </w:t>
      </w:r>
      <w:proofErr w:type="spellStart"/>
      <w:r w:rsidRPr="001D3665">
        <w:t>tilbodet</w:t>
      </w:r>
      <w:proofErr w:type="spellEnd"/>
      <w:r w:rsidRPr="001D3665">
        <w:t xml:space="preserve"> og </w:t>
      </w:r>
      <w:proofErr w:type="spellStart"/>
      <w:r w:rsidRPr="001D3665">
        <w:t>etterspurnaden</w:t>
      </w:r>
      <w:proofErr w:type="spellEnd"/>
      <w:r w:rsidRPr="001D3665">
        <w:t xml:space="preserve"> etter råolje. Råolja må </w:t>
      </w:r>
      <w:proofErr w:type="spellStart"/>
      <w:r w:rsidRPr="001D3665">
        <w:t>raffinerast</w:t>
      </w:r>
      <w:proofErr w:type="spellEnd"/>
      <w:r w:rsidRPr="001D3665">
        <w:t xml:space="preserve"> før ho kan brukast som drivstoff. Raffinerte oljeprodukt vert òg handla globalt, og prisen avheng av det globale </w:t>
      </w:r>
      <w:proofErr w:type="spellStart"/>
      <w:r w:rsidRPr="001D3665">
        <w:t>tilbodet</w:t>
      </w:r>
      <w:proofErr w:type="spellEnd"/>
      <w:r w:rsidRPr="001D3665">
        <w:t xml:space="preserve"> og </w:t>
      </w:r>
      <w:proofErr w:type="spellStart"/>
      <w:r w:rsidRPr="001D3665">
        <w:t>etterspurnaden</w:t>
      </w:r>
      <w:proofErr w:type="spellEnd"/>
      <w:r w:rsidRPr="001D3665">
        <w:t xml:space="preserve"> etter raffinerte oljeprodukt. </w:t>
      </w:r>
      <w:proofErr w:type="spellStart"/>
      <w:r w:rsidRPr="001D3665">
        <w:t>Prisane</w:t>
      </w:r>
      <w:proofErr w:type="spellEnd"/>
      <w:r w:rsidRPr="001D3665">
        <w:t xml:space="preserve"> vert noterte på internasjonale </w:t>
      </w:r>
      <w:proofErr w:type="spellStart"/>
      <w:r w:rsidRPr="001D3665">
        <w:t>børsar</w:t>
      </w:r>
      <w:proofErr w:type="spellEnd"/>
      <w:r w:rsidRPr="001D3665">
        <w:t xml:space="preserve">, og </w:t>
      </w:r>
      <w:proofErr w:type="spellStart"/>
      <w:r w:rsidRPr="001D3665">
        <w:t>føretaka</w:t>
      </w:r>
      <w:proofErr w:type="spellEnd"/>
      <w:r w:rsidRPr="001D3665">
        <w:t xml:space="preserve"> </w:t>
      </w:r>
      <w:proofErr w:type="spellStart"/>
      <w:r w:rsidRPr="001D3665">
        <w:t>forhandlar</w:t>
      </w:r>
      <w:proofErr w:type="spellEnd"/>
      <w:r w:rsidRPr="001D3665">
        <w:t xml:space="preserve"> innkjøpsprisen ut </w:t>
      </w:r>
      <w:proofErr w:type="spellStart"/>
      <w:r w:rsidRPr="001D3665">
        <w:t>frå</w:t>
      </w:r>
      <w:proofErr w:type="spellEnd"/>
      <w:r w:rsidRPr="001D3665">
        <w:t xml:space="preserve"> </w:t>
      </w:r>
      <w:proofErr w:type="spellStart"/>
      <w:r w:rsidRPr="001D3665">
        <w:t>desse</w:t>
      </w:r>
      <w:proofErr w:type="spellEnd"/>
      <w:r w:rsidRPr="001D3665">
        <w:t>.</w:t>
      </w:r>
    </w:p>
    <w:p w14:paraId="7D0832F7" w14:textId="77777777" w:rsidR="00BC371A" w:rsidRPr="001D3665" w:rsidRDefault="00BC371A" w:rsidP="001D3665">
      <w:r w:rsidRPr="001D3665">
        <w:t xml:space="preserve">Både råolje og raffinerte petroleumsprodukt vert handla i amerikanske dollar. I </w:t>
      </w:r>
      <w:proofErr w:type="spellStart"/>
      <w:r w:rsidRPr="001D3665">
        <w:t>Noreg</w:t>
      </w:r>
      <w:proofErr w:type="spellEnd"/>
      <w:r w:rsidRPr="001D3665">
        <w:t xml:space="preserve"> vert drivstoff omsett i norske kroner. Valutakursen mellom amerikanske dollar og norske kroner har </w:t>
      </w:r>
      <w:proofErr w:type="spellStart"/>
      <w:r w:rsidRPr="001D3665">
        <w:t>dimed</w:t>
      </w:r>
      <w:proofErr w:type="spellEnd"/>
      <w:r w:rsidRPr="001D3665">
        <w:t xml:space="preserve"> </w:t>
      </w:r>
      <w:proofErr w:type="spellStart"/>
      <w:r w:rsidRPr="001D3665">
        <w:t>innverknad</w:t>
      </w:r>
      <w:proofErr w:type="spellEnd"/>
      <w:r w:rsidRPr="001D3665">
        <w:t xml:space="preserve"> på </w:t>
      </w:r>
      <w:proofErr w:type="spellStart"/>
      <w:r w:rsidRPr="001D3665">
        <w:t>drivstoffprisane</w:t>
      </w:r>
      <w:proofErr w:type="spellEnd"/>
      <w:r w:rsidRPr="001D3665">
        <w:t xml:space="preserve"> i norske kroner.</w:t>
      </w:r>
    </w:p>
    <w:p w14:paraId="3E9816C8" w14:textId="77777777" w:rsidR="00BC371A" w:rsidRPr="001D3665" w:rsidRDefault="00BC371A" w:rsidP="001D3665">
      <w:proofErr w:type="spellStart"/>
      <w:r w:rsidRPr="001D3665">
        <w:t>Energiføretaka</w:t>
      </w:r>
      <w:proofErr w:type="spellEnd"/>
      <w:r w:rsidRPr="001D3665">
        <w:t xml:space="preserve"> har </w:t>
      </w:r>
      <w:proofErr w:type="spellStart"/>
      <w:r w:rsidRPr="001D3665">
        <w:t>kostnadar</w:t>
      </w:r>
      <w:proofErr w:type="spellEnd"/>
      <w:r w:rsidRPr="001D3665">
        <w:t xml:space="preserve"> til transport av drivstoff til tankanlegga, drift av tankanlegga, transport av drivstoff </w:t>
      </w:r>
      <w:proofErr w:type="spellStart"/>
      <w:r w:rsidRPr="001D3665">
        <w:t>frå</w:t>
      </w:r>
      <w:proofErr w:type="spellEnd"/>
      <w:r w:rsidRPr="001D3665">
        <w:t xml:space="preserve"> tankanlegga til stasjonsnettet og drift av stasjonsnettet. </w:t>
      </w:r>
      <w:proofErr w:type="spellStart"/>
      <w:r w:rsidRPr="001D3665">
        <w:t>Føretaka</w:t>
      </w:r>
      <w:proofErr w:type="spellEnd"/>
      <w:r w:rsidRPr="001D3665">
        <w:t xml:space="preserve"> i </w:t>
      </w:r>
      <w:proofErr w:type="spellStart"/>
      <w:r w:rsidRPr="001D3665">
        <w:t>forsyningskjeda</w:t>
      </w:r>
      <w:proofErr w:type="spellEnd"/>
      <w:r w:rsidRPr="001D3665">
        <w:t xml:space="preserve"> har òg krav til avkastning.</w:t>
      </w:r>
    </w:p>
    <w:p w14:paraId="6BAEC39B" w14:textId="77777777" w:rsidR="00BC371A" w:rsidRPr="001D3665" w:rsidRDefault="00BC371A" w:rsidP="001D3665">
      <w:proofErr w:type="spellStart"/>
      <w:r w:rsidRPr="001D3665">
        <w:t>Vegbruksavgifta</w:t>
      </w:r>
      <w:proofErr w:type="spellEnd"/>
      <w:r w:rsidRPr="001D3665">
        <w:t>, CO</w:t>
      </w:r>
      <w:r w:rsidRPr="001D3665">
        <w:rPr>
          <w:rStyle w:val="skrift-senket"/>
        </w:rPr>
        <w:t>2</w:t>
      </w:r>
      <w:r w:rsidRPr="001D3665">
        <w:t xml:space="preserve">-avgifta og omsetningskravet for biodrivstoff i vegtrafikken er tre </w:t>
      </w:r>
      <w:proofErr w:type="spellStart"/>
      <w:r w:rsidRPr="001D3665">
        <w:t>statlege</w:t>
      </w:r>
      <w:proofErr w:type="spellEnd"/>
      <w:r w:rsidRPr="001D3665">
        <w:t xml:space="preserve"> </w:t>
      </w:r>
      <w:proofErr w:type="spellStart"/>
      <w:r w:rsidRPr="001D3665">
        <w:t>verkemiddel</w:t>
      </w:r>
      <w:proofErr w:type="spellEnd"/>
      <w:r w:rsidRPr="001D3665">
        <w:t xml:space="preserve"> som direkte påverkar </w:t>
      </w:r>
      <w:proofErr w:type="spellStart"/>
      <w:r w:rsidRPr="001D3665">
        <w:t>pumpeprisane</w:t>
      </w:r>
      <w:proofErr w:type="spellEnd"/>
      <w:r w:rsidRPr="001D3665">
        <w:t xml:space="preserve"> på drivstoff. I tillegg kjem </w:t>
      </w:r>
      <w:proofErr w:type="spellStart"/>
      <w:r w:rsidRPr="001D3665">
        <w:t>meirverdiavgifta</w:t>
      </w:r>
      <w:proofErr w:type="spellEnd"/>
      <w:r w:rsidRPr="001D3665">
        <w:t>.</w:t>
      </w:r>
    </w:p>
    <w:p w14:paraId="2A93000E" w14:textId="77777777" w:rsidR="00BC371A" w:rsidRPr="001D3665" w:rsidRDefault="00BC371A" w:rsidP="001D3665">
      <w:r w:rsidRPr="001D3665">
        <w:t xml:space="preserve">Lokal konkurranse har </w:t>
      </w:r>
      <w:proofErr w:type="spellStart"/>
      <w:r w:rsidRPr="001D3665">
        <w:t>mykje</w:t>
      </w:r>
      <w:proofErr w:type="spellEnd"/>
      <w:r w:rsidRPr="001D3665">
        <w:t xml:space="preserve"> å </w:t>
      </w:r>
      <w:proofErr w:type="spellStart"/>
      <w:r w:rsidRPr="001D3665">
        <w:t>seie</w:t>
      </w:r>
      <w:proofErr w:type="spellEnd"/>
      <w:r w:rsidRPr="001D3665">
        <w:t xml:space="preserve"> for kortsiktige </w:t>
      </w:r>
      <w:proofErr w:type="spellStart"/>
      <w:r w:rsidRPr="001D3665">
        <w:t>svingingar</w:t>
      </w:r>
      <w:proofErr w:type="spellEnd"/>
      <w:r w:rsidRPr="001D3665">
        <w:t xml:space="preserve"> i </w:t>
      </w:r>
      <w:proofErr w:type="spellStart"/>
      <w:r w:rsidRPr="001D3665">
        <w:t>pumpeprisar</w:t>
      </w:r>
      <w:proofErr w:type="spellEnd"/>
      <w:r w:rsidRPr="001D3665">
        <w:t xml:space="preserve"> og for lokale </w:t>
      </w:r>
      <w:proofErr w:type="spellStart"/>
      <w:r w:rsidRPr="001D3665">
        <w:t>prisforskjellar</w:t>
      </w:r>
      <w:proofErr w:type="spellEnd"/>
      <w:r w:rsidRPr="001D3665">
        <w:t xml:space="preserve">. Graden av konkurranse i </w:t>
      </w:r>
      <w:proofErr w:type="spellStart"/>
      <w:r w:rsidRPr="001D3665">
        <w:t>drivstoffmarknaden</w:t>
      </w:r>
      <w:proofErr w:type="spellEnd"/>
      <w:r w:rsidRPr="001D3665">
        <w:t xml:space="preserve"> varierer mellom ulike område. Om det er god konkurranse, avheng mellom anna av kor mange og kva slags kjeder som er til </w:t>
      </w:r>
      <w:proofErr w:type="spellStart"/>
      <w:r w:rsidRPr="001D3665">
        <w:t>stades</w:t>
      </w:r>
      <w:proofErr w:type="spellEnd"/>
      <w:r w:rsidRPr="001D3665">
        <w:t xml:space="preserve">. </w:t>
      </w:r>
      <w:proofErr w:type="spellStart"/>
      <w:r w:rsidRPr="001D3665">
        <w:lastRenderedPageBreak/>
        <w:t>Nokre</w:t>
      </w:r>
      <w:proofErr w:type="spellEnd"/>
      <w:r w:rsidRPr="001D3665">
        <w:t xml:space="preserve"> </w:t>
      </w:r>
      <w:proofErr w:type="spellStart"/>
      <w:r w:rsidRPr="001D3665">
        <w:t>stader</w:t>
      </w:r>
      <w:proofErr w:type="spellEnd"/>
      <w:r w:rsidRPr="001D3665">
        <w:t xml:space="preserve"> </w:t>
      </w:r>
      <w:proofErr w:type="spellStart"/>
      <w:r w:rsidRPr="001D3665">
        <w:t>finst</w:t>
      </w:r>
      <w:proofErr w:type="spellEnd"/>
      <w:r w:rsidRPr="001D3665">
        <w:t xml:space="preserve"> det òg mindre kjeder som </w:t>
      </w:r>
      <w:proofErr w:type="spellStart"/>
      <w:r w:rsidRPr="001D3665">
        <w:t>bidreg</w:t>
      </w:r>
      <w:proofErr w:type="spellEnd"/>
      <w:r w:rsidRPr="001D3665">
        <w:t xml:space="preserve"> til </w:t>
      </w:r>
      <w:proofErr w:type="spellStart"/>
      <w:r w:rsidRPr="001D3665">
        <w:t>sterkare</w:t>
      </w:r>
      <w:proofErr w:type="spellEnd"/>
      <w:r w:rsidRPr="001D3665">
        <w:t xml:space="preserve"> konkurranse, då </w:t>
      </w:r>
      <w:proofErr w:type="spellStart"/>
      <w:r w:rsidRPr="001D3665">
        <w:t>dei</w:t>
      </w:r>
      <w:proofErr w:type="spellEnd"/>
      <w:r w:rsidRPr="001D3665">
        <w:t xml:space="preserve"> </w:t>
      </w:r>
      <w:proofErr w:type="spellStart"/>
      <w:r w:rsidRPr="001D3665">
        <w:t>ikkje</w:t>
      </w:r>
      <w:proofErr w:type="spellEnd"/>
      <w:r w:rsidRPr="001D3665">
        <w:t xml:space="preserve"> følgjer det same faste prismønsteret som </w:t>
      </w:r>
      <w:proofErr w:type="spellStart"/>
      <w:r w:rsidRPr="001D3665">
        <w:t>dei</w:t>
      </w:r>
      <w:proofErr w:type="spellEnd"/>
      <w:r w:rsidRPr="001D3665">
        <w:t xml:space="preserve"> store kjedene.</w:t>
      </w:r>
    </w:p>
    <w:p w14:paraId="6475DE8B" w14:textId="184AB686" w:rsidR="00BC371A" w:rsidRPr="001D3665" w:rsidRDefault="001B58A2" w:rsidP="001D3665">
      <w:pPr>
        <w:pStyle w:val="Ramme-slutt"/>
      </w:pPr>
      <w:r w:rsidRPr="001D3665">
        <w:t>[Boks slutt]</w:t>
      </w:r>
    </w:p>
    <w:p w14:paraId="18E762F3" w14:textId="77777777" w:rsidR="00BC371A" w:rsidRPr="001D3665" w:rsidRDefault="00BC371A" w:rsidP="001D3665">
      <w:pPr>
        <w:pStyle w:val="tittel-ramme"/>
      </w:pPr>
      <w:r w:rsidRPr="001D3665">
        <w:t>Drivstoffavgifter og reduksjonsplikta i Sverige</w:t>
      </w:r>
    </w:p>
    <w:p w14:paraId="7FCBBFB1" w14:textId="77777777" w:rsidR="00BC371A" w:rsidRPr="001D3665" w:rsidRDefault="00BC371A" w:rsidP="001D3665">
      <w:r w:rsidRPr="001D3665">
        <w:t xml:space="preserve">Dei svenske regjeringspartia (Moderaterna, </w:t>
      </w:r>
      <w:proofErr w:type="spellStart"/>
      <w:r w:rsidRPr="001D3665">
        <w:t>Kristdemokraterna</w:t>
      </w:r>
      <w:proofErr w:type="spellEnd"/>
      <w:r w:rsidRPr="001D3665">
        <w:t xml:space="preserve"> og </w:t>
      </w:r>
      <w:proofErr w:type="spellStart"/>
      <w:r w:rsidRPr="001D3665">
        <w:t>Liberalerna</w:t>
      </w:r>
      <w:proofErr w:type="spellEnd"/>
      <w:r w:rsidRPr="001D3665">
        <w:t xml:space="preserve">) og </w:t>
      </w:r>
      <w:proofErr w:type="spellStart"/>
      <w:r w:rsidRPr="001D3665">
        <w:t>Sverigedemokraterna</w:t>
      </w:r>
      <w:proofErr w:type="spellEnd"/>
      <w:r w:rsidRPr="001D3665">
        <w:t xml:space="preserve"> inngjekk 14. oktober 2022 </w:t>
      </w:r>
      <w:proofErr w:type="spellStart"/>
      <w:r w:rsidRPr="001D3665">
        <w:t>ein</w:t>
      </w:r>
      <w:proofErr w:type="spellEnd"/>
      <w:r w:rsidRPr="001D3665">
        <w:t xml:space="preserve"> samarbeidsavtale, </w:t>
      </w:r>
      <w:proofErr w:type="spellStart"/>
      <w:r w:rsidRPr="001D3665">
        <w:rPr>
          <w:rStyle w:val="kursiv"/>
        </w:rPr>
        <w:t>Tidöavtalen</w:t>
      </w:r>
      <w:proofErr w:type="spellEnd"/>
      <w:r w:rsidRPr="001D3665">
        <w:t xml:space="preserve">. </w:t>
      </w:r>
      <w:proofErr w:type="spellStart"/>
      <w:r w:rsidRPr="001D3665">
        <w:t>Eit</w:t>
      </w:r>
      <w:proofErr w:type="spellEnd"/>
      <w:r w:rsidRPr="001D3665">
        <w:t xml:space="preserve"> av måla i avtalen er: «</w:t>
      </w:r>
      <w:proofErr w:type="spellStart"/>
      <w:r w:rsidRPr="001D3665">
        <w:rPr>
          <w:rStyle w:val="kursiv"/>
        </w:rPr>
        <w:t>Lägre</w:t>
      </w:r>
      <w:proofErr w:type="spellEnd"/>
      <w:r w:rsidRPr="001D3665">
        <w:rPr>
          <w:rStyle w:val="kursiv"/>
        </w:rPr>
        <w:t xml:space="preserve"> drivmedelspriser</w:t>
      </w:r>
      <w:r w:rsidRPr="001D3665">
        <w:t>».</w:t>
      </w:r>
    </w:p>
    <w:p w14:paraId="4685EB14" w14:textId="77777777" w:rsidR="00BC371A" w:rsidRPr="001D3665" w:rsidRDefault="00BC371A" w:rsidP="001D3665">
      <w:r w:rsidRPr="001D3665">
        <w:t xml:space="preserve">I Sverige vert drivstoff ilagt </w:t>
      </w:r>
      <w:r w:rsidRPr="001D3665">
        <w:rPr>
          <w:rStyle w:val="kursiv"/>
        </w:rPr>
        <w:t xml:space="preserve">energiskatt </w:t>
      </w:r>
      <w:r w:rsidRPr="001D3665">
        <w:t xml:space="preserve">og </w:t>
      </w:r>
      <w:proofErr w:type="spellStart"/>
      <w:r w:rsidRPr="001D3665">
        <w:rPr>
          <w:rStyle w:val="kursiv"/>
        </w:rPr>
        <w:t>koldioxidskatt</w:t>
      </w:r>
      <w:proofErr w:type="spellEnd"/>
      <w:r w:rsidRPr="001D3665">
        <w:t xml:space="preserve">. </w:t>
      </w:r>
      <w:proofErr w:type="spellStart"/>
      <w:r w:rsidRPr="001D3665">
        <w:t>Sidan</w:t>
      </w:r>
      <w:proofErr w:type="spellEnd"/>
      <w:r w:rsidRPr="001D3665">
        <w:t xml:space="preserve"> 2022 har </w:t>
      </w:r>
      <w:proofErr w:type="spellStart"/>
      <w:r w:rsidRPr="001D3665">
        <w:t>dei</w:t>
      </w:r>
      <w:proofErr w:type="spellEnd"/>
      <w:r w:rsidRPr="001D3665">
        <w:t xml:space="preserve"> svenske drivstoffavgiftene vorte nominelt reduserte, </w:t>
      </w:r>
      <w:proofErr w:type="spellStart"/>
      <w:r w:rsidRPr="001D3665">
        <w:t>medan</w:t>
      </w:r>
      <w:proofErr w:type="spellEnd"/>
      <w:r w:rsidRPr="001D3665">
        <w:t xml:space="preserve"> </w:t>
      </w:r>
      <w:proofErr w:type="spellStart"/>
      <w:r w:rsidRPr="001D3665">
        <w:t>dei</w:t>
      </w:r>
      <w:proofErr w:type="spellEnd"/>
      <w:r w:rsidRPr="001D3665">
        <w:t xml:space="preserve"> norske drivstoffavgiftene har vorte nominelt </w:t>
      </w:r>
      <w:proofErr w:type="spellStart"/>
      <w:r w:rsidRPr="001D3665">
        <w:t>auka</w:t>
      </w:r>
      <w:proofErr w:type="spellEnd"/>
      <w:r w:rsidRPr="001D3665">
        <w:t xml:space="preserve">, sjå figur 9.11 og 9.12. På bakgrunn av </w:t>
      </w:r>
      <w:proofErr w:type="spellStart"/>
      <w:r w:rsidRPr="001D3665">
        <w:t>dei</w:t>
      </w:r>
      <w:proofErr w:type="spellEnd"/>
      <w:r w:rsidRPr="001D3665">
        <w:t xml:space="preserve"> høge </w:t>
      </w:r>
      <w:proofErr w:type="spellStart"/>
      <w:r w:rsidRPr="001D3665">
        <w:t>drivstoffprisane</w:t>
      </w:r>
      <w:proofErr w:type="spellEnd"/>
      <w:r w:rsidRPr="001D3665">
        <w:t xml:space="preserve"> er </w:t>
      </w:r>
      <w:proofErr w:type="spellStart"/>
      <w:r w:rsidRPr="001D3665">
        <w:t>dei</w:t>
      </w:r>
      <w:proofErr w:type="spellEnd"/>
      <w:r w:rsidRPr="001D3665">
        <w:t xml:space="preserve"> svenske drivstoffavgiftene mellombels reduserte i perioden 1. mai til 1. oktober 2026. Energiskatten på bensin </w:t>
      </w:r>
      <w:proofErr w:type="spellStart"/>
      <w:r w:rsidRPr="001D3665">
        <w:t>vart</w:t>
      </w:r>
      <w:proofErr w:type="spellEnd"/>
      <w:r w:rsidRPr="001D3665">
        <w:t xml:space="preserve"> redusert med 0,82 SEK per liter, </w:t>
      </w:r>
      <w:proofErr w:type="spellStart"/>
      <w:r w:rsidRPr="001D3665">
        <w:t>medan</w:t>
      </w:r>
      <w:proofErr w:type="spellEnd"/>
      <w:r w:rsidRPr="001D3665">
        <w:t xml:space="preserve"> energiskatten på diesel </w:t>
      </w:r>
      <w:proofErr w:type="spellStart"/>
      <w:r w:rsidRPr="001D3665">
        <w:t>vart</w:t>
      </w:r>
      <w:proofErr w:type="spellEnd"/>
      <w:r w:rsidRPr="001D3665">
        <w:t xml:space="preserve"> redusert med 0,32 SEK per liter. Det </w:t>
      </w:r>
      <w:proofErr w:type="spellStart"/>
      <w:r w:rsidRPr="001D3665">
        <w:t>mellombelse</w:t>
      </w:r>
      <w:proofErr w:type="spellEnd"/>
      <w:r w:rsidRPr="001D3665">
        <w:t xml:space="preserve"> avgiftskuttet er </w:t>
      </w:r>
      <w:proofErr w:type="spellStart"/>
      <w:r w:rsidRPr="001D3665">
        <w:t>dimed</w:t>
      </w:r>
      <w:proofErr w:type="spellEnd"/>
      <w:r w:rsidRPr="001D3665">
        <w:t xml:space="preserve"> langt </w:t>
      </w:r>
      <w:proofErr w:type="spellStart"/>
      <w:r w:rsidRPr="001D3665">
        <w:t>lågare</w:t>
      </w:r>
      <w:proofErr w:type="spellEnd"/>
      <w:r w:rsidRPr="001D3665">
        <w:t xml:space="preserve"> i Sverige enn i </w:t>
      </w:r>
      <w:proofErr w:type="spellStart"/>
      <w:r w:rsidRPr="001D3665">
        <w:t>Noreg</w:t>
      </w:r>
      <w:proofErr w:type="spellEnd"/>
      <w:r w:rsidRPr="001D3665">
        <w:t xml:space="preserve">, og fram til 1. september 2026 er </w:t>
      </w:r>
      <w:proofErr w:type="spellStart"/>
      <w:r w:rsidRPr="001D3665">
        <w:t>dei</w:t>
      </w:r>
      <w:proofErr w:type="spellEnd"/>
      <w:r w:rsidRPr="001D3665">
        <w:t xml:space="preserve"> norske drivstoffavgiftene </w:t>
      </w:r>
      <w:proofErr w:type="spellStart"/>
      <w:r w:rsidRPr="001D3665">
        <w:t>lågare</w:t>
      </w:r>
      <w:proofErr w:type="spellEnd"/>
      <w:r w:rsidRPr="001D3665">
        <w:t xml:space="preserve"> enn </w:t>
      </w:r>
      <w:proofErr w:type="spellStart"/>
      <w:r w:rsidRPr="001D3665">
        <w:t>dei</w:t>
      </w:r>
      <w:proofErr w:type="spellEnd"/>
      <w:r w:rsidRPr="001D3665">
        <w:t xml:space="preserve"> svenske drivstoffavgiftene.</w:t>
      </w:r>
    </w:p>
    <w:p w14:paraId="1A9828D2" w14:textId="6812C02B" w:rsidR="00BC371A" w:rsidRPr="001D3665" w:rsidRDefault="001D3665" w:rsidP="001D3665">
      <w:r w:rsidRPr="001D3665">
        <w:rPr>
          <w:noProof/>
        </w:rPr>
        <w:drawing>
          <wp:inline distT="0" distB="0" distL="0" distR="0" wp14:anchorId="0E91A78D" wp14:editId="0EEAFDAE">
            <wp:extent cx="2914650" cy="2647950"/>
            <wp:effectExtent l="0" t="0" r="0" b="0"/>
            <wp:docPr id="5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4650" cy="2647950"/>
                    </a:xfrm>
                    <a:prstGeom prst="rect">
                      <a:avLst/>
                    </a:prstGeom>
                    <a:noFill/>
                    <a:ln>
                      <a:noFill/>
                    </a:ln>
                  </pic:spPr>
                </pic:pic>
              </a:graphicData>
            </a:graphic>
          </wp:inline>
        </w:drawing>
      </w:r>
    </w:p>
    <w:p w14:paraId="5A62CFDD" w14:textId="77777777" w:rsidR="00BC371A" w:rsidRPr="001D3665" w:rsidRDefault="00BC371A" w:rsidP="001D3665">
      <w:pPr>
        <w:pStyle w:val="figur-tittel"/>
      </w:pPr>
      <w:r w:rsidRPr="001D3665">
        <w:t>Særavgifter på bensin i Sverige</w:t>
      </w:r>
      <w:r w:rsidRPr="001D3665">
        <w:rPr>
          <w:rStyle w:val="skrift-hevet"/>
        </w:rPr>
        <w:t>1</w:t>
      </w:r>
      <w:r w:rsidRPr="001D3665">
        <w:t xml:space="preserve"> og Noreg</w:t>
      </w:r>
      <w:r w:rsidRPr="001D3665">
        <w:rPr>
          <w:rStyle w:val="skrift-hevet"/>
        </w:rPr>
        <w:t>2</w:t>
      </w:r>
      <w:r w:rsidRPr="001D3665">
        <w:t>. 2020–2026</w:t>
      </w:r>
    </w:p>
    <w:p w14:paraId="1BCD2761" w14:textId="77777777" w:rsidR="00BC371A" w:rsidRPr="001D3665" w:rsidRDefault="00BC371A" w:rsidP="001D3665">
      <w:pPr>
        <w:pStyle w:val="figur-noter"/>
        <w:rPr>
          <w:rStyle w:val="skrift-hevet"/>
        </w:rPr>
      </w:pPr>
      <w:r w:rsidRPr="001D3665">
        <w:rPr>
          <w:rStyle w:val="skrift-hevet"/>
        </w:rPr>
        <w:t>1</w:t>
      </w:r>
      <w:r w:rsidRPr="001D3665">
        <w:tab/>
        <w:t xml:space="preserve">Dei svenske avgiftene gjeld bensin som oppfyller krava for </w:t>
      </w:r>
      <w:proofErr w:type="spellStart"/>
      <w:r w:rsidRPr="001D3665">
        <w:t>miljöklass</w:t>
      </w:r>
      <w:proofErr w:type="spellEnd"/>
      <w:r w:rsidRPr="001D3665">
        <w:t xml:space="preserve"> 1 – motorbensin.</w:t>
      </w:r>
    </w:p>
    <w:p w14:paraId="286C82C4" w14:textId="77777777" w:rsidR="00BC371A" w:rsidRPr="001D3665" w:rsidRDefault="00BC371A" w:rsidP="001D3665">
      <w:pPr>
        <w:pStyle w:val="figur-noter"/>
        <w:rPr>
          <w:rStyle w:val="skrift-hevet"/>
        </w:rPr>
      </w:pPr>
      <w:r w:rsidRPr="001D3665">
        <w:rPr>
          <w:rStyle w:val="skrift-hevet"/>
        </w:rPr>
        <w:t>2</w:t>
      </w:r>
      <w:r w:rsidRPr="001D3665">
        <w:tab/>
        <w:t xml:space="preserve">Dei norske avgiftene gjeld ei drivstoffblanding </w:t>
      </w:r>
      <w:proofErr w:type="spellStart"/>
      <w:r w:rsidRPr="001D3665">
        <w:t>beståande</w:t>
      </w:r>
      <w:proofErr w:type="spellEnd"/>
      <w:r w:rsidRPr="001D3665">
        <w:t xml:space="preserve"> av 85 volumprosent fossil bensin og 15 volumprosent bioetanol.</w:t>
      </w:r>
    </w:p>
    <w:p w14:paraId="65E15A77" w14:textId="77777777" w:rsidR="00BC371A" w:rsidRPr="001D3665" w:rsidRDefault="00BC371A" w:rsidP="001D3665">
      <w:pPr>
        <w:pStyle w:val="Kilde"/>
      </w:pPr>
      <w:r w:rsidRPr="001D3665">
        <w:t>Kjelder: Skatteverket og Finansdepartementet.</w:t>
      </w:r>
    </w:p>
    <w:p w14:paraId="11586917" w14:textId="066FB794" w:rsidR="00BC371A" w:rsidRPr="001D3665" w:rsidRDefault="001D3665" w:rsidP="001D3665">
      <w:r w:rsidRPr="001D3665">
        <w:rPr>
          <w:noProof/>
        </w:rPr>
        <w:lastRenderedPageBreak/>
        <w:drawing>
          <wp:inline distT="0" distB="0" distL="0" distR="0" wp14:anchorId="1C2B2E43" wp14:editId="73BBCB35">
            <wp:extent cx="2914650" cy="2647950"/>
            <wp:effectExtent l="0" t="0" r="0" b="0"/>
            <wp:docPr id="5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4650" cy="2647950"/>
                    </a:xfrm>
                    <a:prstGeom prst="rect">
                      <a:avLst/>
                    </a:prstGeom>
                    <a:noFill/>
                    <a:ln>
                      <a:noFill/>
                    </a:ln>
                  </pic:spPr>
                </pic:pic>
              </a:graphicData>
            </a:graphic>
          </wp:inline>
        </w:drawing>
      </w:r>
    </w:p>
    <w:p w14:paraId="07C45360" w14:textId="77777777" w:rsidR="00BC371A" w:rsidRPr="001D3665" w:rsidRDefault="00BC371A" w:rsidP="001D3665">
      <w:pPr>
        <w:pStyle w:val="figur-tittel"/>
      </w:pPr>
      <w:r w:rsidRPr="001D3665">
        <w:t>Særavgifter på diesel i Sverige</w:t>
      </w:r>
      <w:r w:rsidRPr="001D3665">
        <w:rPr>
          <w:rStyle w:val="skrift-hevet"/>
        </w:rPr>
        <w:t>1</w:t>
      </w:r>
      <w:r w:rsidRPr="001D3665">
        <w:t xml:space="preserve"> og Noreg</w:t>
      </w:r>
      <w:r w:rsidRPr="001D3665">
        <w:rPr>
          <w:rStyle w:val="skrift-hevet"/>
        </w:rPr>
        <w:t>2</w:t>
      </w:r>
      <w:r w:rsidRPr="001D3665">
        <w:t>. 2020–2026</w:t>
      </w:r>
    </w:p>
    <w:p w14:paraId="11BF5050" w14:textId="77777777" w:rsidR="00BC371A" w:rsidRPr="001D3665" w:rsidRDefault="00BC371A" w:rsidP="001D3665">
      <w:pPr>
        <w:pStyle w:val="figur-noter"/>
        <w:rPr>
          <w:rStyle w:val="skrift-hevet"/>
        </w:rPr>
      </w:pPr>
      <w:r w:rsidRPr="001D3665">
        <w:rPr>
          <w:rStyle w:val="skrift-hevet"/>
        </w:rPr>
        <w:t>1</w:t>
      </w:r>
      <w:r w:rsidRPr="001D3665">
        <w:tab/>
        <w:t xml:space="preserve">Dei svenske avgiftene gjeld fyringsolje, dieselbrenselolje, parafin, m.m. som </w:t>
      </w:r>
      <w:proofErr w:type="spellStart"/>
      <w:r w:rsidRPr="001D3665">
        <w:t>ikkje</w:t>
      </w:r>
      <w:proofErr w:type="spellEnd"/>
      <w:r w:rsidRPr="001D3665">
        <w:t xml:space="preserve"> er tilsette merke- og fargestoff og gjev minst 85 volumprosent destillat ved 350 grader C, </w:t>
      </w:r>
      <w:proofErr w:type="spellStart"/>
      <w:r w:rsidRPr="001D3665">
        <w:t>høyrande</w:t>
      </w:r>
      <w:proofErr w:type="spellEnd"/>
      <w:r w:rsidRPr="001D3665">
        <w:t xml:space="preserve"> til miljøklasse 1.</w:t>
      </w:r>
    </w:p>
    <w:p w14:paraId="7378B6A5" w14:textId="77777777" w:rsidR="00BC371A" w:rsidRPr="001D3665" w:rsidRDefault="00BC371A" w:rsidP="001D3665">
      <w:pPr>
        <w:pStyle w:val="figur-noter"/>
        <w:rPr>
          <w:rStyle w:val="skrift-hevet"/>
        </w:rPr>
      </w:pPr>
      <w:r w:rsidRPr="001D3665">
        <w:rPr>
          <w:rStyle w:val="skrift-hevet"/>
        </w:rPr>
        <w:t>2</w:t>
      </w:r>
      <w:r w:rsidRPr="001D3665">
        <w:tab/>
        <w:t xml:space="preserve">Dei norske avgiftene gjeld ei drivstoffblanding </w:t>
      </w:r>
      <w:proofErr w:type="spellStart"/>
      <w:r w:rsidRPr="001D3665">
        <w:t>beståande</w:t>
      </w:r>
      <w:proofErr w:type="spellEnd"/>
      <w:r w:rsidRPr="001D3665">
        <w:t xml:space="preserve"> av 85 volumprosent mineralolje og 15 volumprosent biodiesel.</w:t>
      </w:r>
    </w:p>
    <w:p w14:paraId="7903D0DF" w14:textId="77777777" w:rsidR="00BC371A" w:rsidRPr="001D3665" w:rsidRDefault="00BC371A" w:rsidP="001D3665">
      <w:pPr>
        <w:pStyle w:val="Kilde"/>
      </w:pPr>
      <w:r w:rsidRPr="001D3665">
        <w:t>Kjelder: Skatteverket og Finansdepartementet.</w:t>
      </w:r>
    </w:p>
    <w:p w14:paraId="227101CF" w14:textId="77777777" w:rsidR="00BC371A" w:rsidRPr="001D3665" w:rsidRDefault="00BC371A" w:rsidP="001D3665">
      <w:r w:rsidRPr="001D3665">
        <w:t xml:space="preserve">Sverige har ei reduksjonsplikt. Målet med reduksjonsplikta er å redusere utsleppa av </w:t>
      </w:r>
      <w:proofErr w:type="spellStart"/>
      <w:r w:rsidRPr="001D3665">
        <w:t>klimagassar</w:t>
      </w:r>
      <w:proofErr w:type="spellEnd"/>
      <w:r w:rsidRPr="001D3665">
        <w:t xml:space="preserve"> </w:t>
      </w:r>
      <w:proofErr w:type="spellStart"/>
      <w:r w:rsidRPr="001D3665">
        <w:t>frå</w:t>
      </w:r>
      <w:proofErr w:type="spellEnd"/>
      <w:r w:rsidRPr="001D3665">
        <w:t xml:space="preserve"> diesel og bensin, og dette svarer til det norske omsetningskravet for biodrivstoff. Dei som er skattepliktige for bensin eller diesel, må redusere utsleppa i tråd med nivået som </w:t>
      </w:r>
      <w:proofErr w:type="spellStart"/>
      <w:r w:rsidRPr="001D3665">
        <w:t>gjeld</w:t>
      </w:r>
      <w:proofErr w:type="spellEnd"/>
      <w:r w:rsidRPr="001D3665">
        <w:t xml:space="preserve"> for det </w:t>
      </w:r>
      <w:proofErr w:type="spellStart"/>
      <w:r w:rsidRPr="001D3665">
        <w:t>einskilde</w:t>
      </w:r>
      <w:proofErr w:type="spellEnd"/>
      <w:r w:rsidRPr="001D3665">
        <w:t xml:space="preserve"> kalenderåret, sjå tabell 9.4. </w:t>
      </w:r>
      <w:proofErr w:type="spellStart"/>
      <w:r w:rsidRPr="001D3665">
        <w:t>Utsleppsreduksjonen</w:t>
      </w:r>
      <w:proofErr w:type="spellEnd"/>
      <w:r w:rsidRPr="001D3665">
        <w:t xml:space="preserve"> kan </w:t>
      </w:r>
      <w:proofErr w:type="spellStart"/>
      <w:r w:rsidRPr="001D3665">
        <w:t>ein</w:t>
      </w:r>
      <w:proofErr w:type="spellEnd"/>
      <w:r w:rsidRPr="001D3665">
        <w:t xml:space="preserve"> oppnå ved å blande inn fornybare drivstoff eller kjøpe </w:t>
      </w:r>
      <w:proofErr w:type="spellStart"/>
      <w:r w:rsidRPr="001D3665">
        <w:t>sokalla</w:t>
      </w:r>
      <w:proofErr w:type="spellEnd"/>
      <w:r w:rsidRPr="001D3665">
        <w:t xml:space="preserve"> el-</w:t>
      </w:r>
      <w:proofErr w:type="spellStart"/>
      <w:r w:rsidRPr="001D3665">
        <w:t>kredittar</w:t>
      </w:r>
      <w:proofErr w:type="spellEnd"/>
      <w:r w:rsidRPr="001D3665">
        <w:t xml:space="preserve"> </w:t>
      </w:r>
      <w:proofErr w:type="spellStart"/>
      <w:r w:rsidRPr="001D3665">
        <w:t>frå</w:t>
      </w:r>
      <w:proofErr w:type="spellEnd"/>
      <w:r w:rsidRPr="001D3665">
        <w:t xml:space="preserve"> </w:t>
      </w:r>
      <w:proofErr w:type="spellStart"/>
      <w:r w:rsidRPr="001D3665">
        <w:t>offentlege</w:t>
      </w:r>
      <w:proofErr w:type="spellEnd"/>
      <w:r w:rsidRPr="001D3665">
        <w:t xml:space="preserve"> </w:t>
      </w:r>
      <w:proofErr w:type="spellStart"/>
      <w:r w:rsidRPr="001D3665">
        <w:t>ladestasjonar</w:t>
      </w:r>
      <w:proofErr w:type="spellEnd"/>
      <w:r w:rsidRPr="001D3665">
        <w:t>.</w:t>
      </w:r>
    </w:p>
    <w:p w14:paraId="645F3358" w14:textId="77777777" w:rsidR="00BC371A" w:rsidRPr="001D3665" w:rsidRDefault="00BC371A" w:rsidP="001D3665">
      <w:r w:rsidRPr="001D3665">
        <w:t xml:space="preserve">Reduksjonsplikta påverkar </w:t>
      </w:r>
      <w:proofErr w:type="spellStart"/>
      <w:r w:rsidRPr="001D3665">
        <w:t>prisane</w:t>
      </w:r>
      <w:proofErr w:type="spellEnd"/>
      <w:r w:rsidRPr="001D3665">
        <w:t xml:space="preserve"> på bensin og diesel, </w:t>
      </w:r>
      <w:proofErr w:type="spellStart"/>
      <w:r w:rsidRPr="001D3665">
        <w:t>sidan</w:t>
      </w:r>
      <w:proofErr w:type="spellEnd"/>
      <w:r w:rsidRPr="001D3665">
        <w:t xml:space="preserve"> kostnaden for fossilfrie drivstoff er </w:t>
      </w:r>
      <w:proofErr w:type="spellStart"/>
      <w:r w:rsidRPr="001D3665">
        <w:t>høgare</w:t>
      </w:r>
      <w:proofErr w:type="spellEnd"/>
      <w:r w:rsidRPr="001D3665">
        <w:t xml:space="preserve"> enn </w:t>
      </w:r>
      <w:proofErr w:type="spellStart"/>
      <w:r w:rsidRPr="001D3665">
        <w:t>kostnadane</w:t>
      </w:r>
      <w:proofErr w:type="spellEnd"/>
      <w:r w:rsidRPr="001D3665">
        <w:t xml:space="preserve"> for fossil bensin og diesel. Den svenske regjeringa talfesta i </w:t>
      </w:r>
      <w:proofErr w:type="spellStart"/>
      <w:r w:rsidRPr="001D3665">
        <w:t>Regeringens</w:t>
      </w:r>
      <w:proofErr w:type="spellEnd"/>
      <w:r w:rsidRPr="001D3665">
        <w:t xml:space="preserve"> </w:t>
      </w:r>
      <w:proofErr w:type="spellStart"/>
      <w:r w:rsidRPr="001D3665">
        <w:t>proposition</w:t>
      </w:r>
      <w:proofErr w:type="spellEnd"/>
      <w:r w:rsidRPr="001D3665">
        <w:t xml:space="preserve"> 2023/24:28 </w:t>
      </w:r>
      <w:proofErr w:type="spellStart"/>
      <w:r w:rsidRPr="001D3665">
        <w:rPr>
          <w:rStyle w:val="kursiv"/>
        </w:rPr>
        <w:t>Sänkning</w:t>
      </w:r>
      <w:proofErr w:type="spellEnd"/>
      <w:r w:rsidRPr="001D3665">
        <w:rPr>
          <w:rStyle w:val="kursiv"/>
        </w:rPr>
        <w:t xml:space="preserve"> av </w:t>
      </w:r>
      <w:proofErr w:type="spellStart"/>
      <w:r w:rsidRPr="001D3665">
        <w:rPr>
          <w:rStyle w:val="kursiv"/>
        </w:rPr>
        <w:t>reduktionsplikten</w:t>
      </w:r>
      <w:proofErr w:type="spellEnd"/>
      <w:r w:rsidRPr="001D3665">
        <w:rPr>
          <w:rStyle w:val="kursiv"/>
        </w:rPr>
        <w:t xml:space="preserve"> </w:t>
      </w:r>
      <w:proofErr w:type="spellStart"/>
      <w:r w:rsidRPr="001D3665">
        <w:rPr>
          <w:rStyle w:val="kursiv"/>
        </w:rPr>
        <w:t>för</w:t>
      </w:r>
      <w:proofErr w:type="spellEnd"/>
      <w:r w:rsidRPr="001D3665">
        <w:rPr>
          <w:rStyle w:val="kursiv"/>
        </w:rPr>
        <w:t xml:space="preserve"> bensin </w:t>
      </w:r>
      <w:proofErr w:type="spellStart"/>
      <w:r w:rsidRPr="001D3665">
        <w:rPr>
          <w:rStyle w:val="kursiv"/>
        </w:rPr>
        <w:t>och</w:t>
      </w:r>
      <w:proofErr w:type="spellEnd"/>
      <w:r w:rsidRPr="001D3665">
        <w:rPr>
          <w:rStyle w:val="kursiv"/>
        </w:rPr>
        <w:t xml:space="preserve"> diesel</w:t>
      </w:r>
      <w:r w:rsidRPr="001D3665">
        <w:t xml:space="preserve"> at </w:t>
      </w:r>
      <w:proofErr w:type="spellStart"/>
      <w:r w:rsidRPr="001D3665">
        <w:t>kostnadane</w:t>
      </w:r>
      <w:proofErr w:type="spellEnd"/>
      <w:r w:rsidRPr="001D3665">
        <w:t xml:space="preserve"> ved å oppfylle reduksjonsplikta utgjorde om lag 0,13 SEK per liter per prosenteining reduksjonsplikt, eksklusiv </w:t>
      </w:r>
      <w:proofErr w:type="spellStart"/>
      <w:r w:rsidRPr="001D3665">
        <w:t>meirverdiavgift</w:t>
      </w:r>
      <w:proofErr w:type="spellEnd"/>
      <w:r w:rsidRPr="001D3665">
        <w:t xml:space="preserve">. Dette var bakgrunnen for at reduksjonsplikta </w:t>
      </w:r>
      <w:proofErr w:type="spellStart"/>
      <w:r w:rsidRPr="001D3665">
        <w:t>vart</w:t>
      </w:r>
      <w:proofErr w:type="spellEnd"/>
      <w:r w:rsidRPr="001D3665">
        <w:t xml:space="preserve"> kraftig redusert </w:t>
      </w:r>
      <w:proofErr w:type="spellStart"/>
      <w:r w:rsidRPr="001D3665">
        <w:t>frå</w:t>
      </w:r>
      <w:proofErr w:type="spellEnd"/>
      <w:r w:rsidRPr="001D3665">
        <w:t xml:space="preserve"> 2024. Det vart talfesta at reduksjonen i reduksjonsplikta ville redusere </w:t>
      </w:r>
      <w:proofErr w:type="spellStart"/>
      <w:r w:rsidRPr="001D3665">
        <w:t>pumpeprisane</w:t>
      </w:r>
      <w:proofErr w:type="spellEnd"/>
      <w:r w:rsidRPr="001D3665">
        <w:t xml:space="preserve"> med om lag 0,30 SEK per liter bensin og med om lag 4 SEK per liter diesel, inkludert </w:t>
      </w:r>
      <w:proofErr w:type="spellStart"/>
      <w:r w:rsidRPr="001D3665">
        <w:t>meirverdiavgift</w:t>
      </w:r>
      <w:proofErr w:type="spellEnd"/>
      <w:r w:rsidRPr="001D3665">
        <w:t>.</w:t>
      </w:r>
    </w:p>
    <w:p w14:paraId="185B3243" w14:textId="7DA40017" w:rsidR="001B58A2" w:rsidRPr="001D3665" w:rsidRDefault="001B58A2" w:rsidP="001D3665">
      <w:pPr>
        <w:pStyle w:val="tabell-tittel"/>
      </w:pPr>
      <w:r w:rsidRPr="001D3665">
        <w:t>Reduksjonsnivå. Prosent</w:t>
      </w:r>
    </w:p>
    <w:p w14:paraId="3341AC4F" w14:textId="77777777" w:rsidR="00BC371A" w:rsidRPr="001D3665" w:rsidRDefault="00BC371A" w:rsidP="001D3665">
      <w:pPr>
        <w:pStyle w:val="Tabellnavn"/>
      </w:pPr>
      <w:r w:rsidRPr="001D3665">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00"/>
        <w:gridCol w:w="1400"/>
        <w:gridCol w:w="1400"/>
      </w:tblGrid>
      <w:tr w:rsidR="00CF0C10" w:rsidRPr="001D3665" w14:paraId="152CD526" w14:textId="77777777">
        <w:trPr>
          <w:trHeight w:val="360"/>
        </w:trPr>
        <w:tc>
          <w:tcPr>
            <w:tcW w:w="6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9AC20F" w14:textId="77777777" w:rsidR="00BC371A" w:rsidRPr="001D3665" w:rsidRDefault="00BC371A" w:rsidP="001D3665">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13911E" w14:textId="77777777" w:rsidR="00BC371A" w:rsidRPr="001D3665" w:rsidRDefault="00BC371A" w:rsidP="001D3665">
            <w:pPr>
              <w:jc w:val="right"/>
              <w:rPr>
                <w:sz w:val="21"/>
              </w:rPr>
            </w:pPr>
            <w:r w:rsidRPr="001D3665">
              <w:rPr>
                <w:sz w:val="21"/>
              </w:rPr>
              <w:t>Bensin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B2F34E" w14:textId="77777777" w:rsidR="00BC371A" w:rsidRPr="001D3665" w:rsidRDefault="00BC371A" w:rsidP="001D3665">
            <w:pPr>
              <w:jc w:val="right"/>
              <w:rPr>
                <w:sz w:val="21"/>
              </w:rPr>
            </w:pPr>
            <w:r w:rsidRPr="001D3665">
              <w:rPr>
                <w:sz w:val="21"/>
              </w:rPr>
              <w:t>Diesel</w:t>
            </w:r>
          </w:p>
        </w:tc>
      </w:tr>
      <w:tr w:rsidR="00CF0C10" w:rsidRPr="001D3665" w14:paraId="458685BC" w14:textId="77777777">
        <w:trPr>
          <w:trHeight w:val="380"/>
        </w:trPr>
        <w:tc>
          <w:tcPr>
            <w:tcW w:w="6400" w:type="dxa"/>
            <w:tcBorders>
              <w:top w:val="single" w:sz="4" w:space="0" w:color="000000"/>
              <w:left w:val="nil"/>
              <w:bottom w:val="nil"/>
              <w:right w:val="nil"/>
            </w:tcBorders>
            <w:tcMar>
              <w:top w:w="128" w:type="dxa"/>
              <w:left w:w="43" w:type="dxa"/>
              <w:bottom w:w="43" w:type="dxa"/>
              <w:right w:w="43" w:type="dxa"/>
            </w:tcMar>
          </w:tcPr>
          <w:p w14:paraId="73F9D62A" w14:textId="77777777" w:rsidR="00BC371A" w:rsidRPr="001D3665" w:rsidRDefault="00BC371A" w:rsidP="001D3665">
            <w:pPr>
              <w:rPr>
                <w:sz w:val="21"/>
              </w:rPr>
            </w:pPr>
            <w:r w:rsidRPr="001D3665">
              <w:rPr>
                <w:sz w:val="21"/>
              </w:rPr>
              <w:t>2022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299EE69" w14:textId="77777777" w:rsidR="00BC371A" w:rsidRPr="001D3665" w:rsidRDefault="00BC371A" w:rsidP="001D3665">
            <w:pPr>
              <w:jc w:val="right"/>
              <w:rPr>
                <w:sz w:val="21"/>
              </w:rPr>
            </w:pPr>
            <w:r w:rsidRPr="001D3665">
              <w:rPr>
                <w:sz w:val="21"/>
              </w:rPr>
              <w:t>7,8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65C145F" w14:textId="77777777" w:rsidR="00BC371A" w:rsidRPr="001D3665" w:rsidRDefault="00BC371A" w:rsidP="001D3665">
            <w:pPr>
              <w:jc w:val="right"/>
              <w:rPr>
                <w:sz w:val="21"/>
              </w:rPr>
            </w:pPr>
            <w:r w:rsidRPr="001D3665">
              <w:rPr>
                <w:sz w:val="21"/>
              </w:rPr>
              <w:t>30,5</w:t>
            </w:r>
          </w:p>
        </w:tc>
      </w:tr>
      <w:tr w:rsidR="00CF0C10" w:rsidRPr="001D3665" w14:paraId="5DFE033A" w14:textId="77777777">
        <w:trPr>
          <w:trHeight w:val="380"/>
        </w:trPr>
        <w:tc>
          <w:tcPr>
            <w:tcW w:w="6400" w:type="dxa"/>
            <w:tcBorders>
              <w:top w:val="nil"/>
              <w:left w:val="nil"/>
              <w:bottom w:val="nil"/>
              <w:right w:val="nil"/>
            </w:tcBorders>
            <w:tcMar>
              <w:top w:w="128" w:type="dxa"/>
              <w:left w:w="43" w:type="dxa"/>
              <w:bottom w:w="43" w:type="dxa"/>
              <w:right w:w="43" w:type="dxa"/>
            </w:tcMar>
          </w:tcPr>
          <w:p w14:paraId="54C555A3" w14:textId="77777777" w:rsidR="00BC371A" w:rsidRPr="001D3665" w:rsidRDefault="00BC371A" w:rsidP="001D3665">
            <w:pPr>
              <w:rPr>
                <w:sz w:val="21"/>
              </w:rPr>
            </w:pPr>
            <w:r w:rsidRPr="001D3665">
              <w:rPr>
                <w:sz w:val="21"/>
              </w:rPr>
              <w:t>2023</w:t>
            </w:r>
          </w:p>
        </w:tc>
        <w:tc>
          <w:tcPr>
            <w:tcW w:w="1400" w:type="dxa"/>
            <w:tcBorders>
              <w:top w:val="nil"/>
              <w:left w:val="nil"/>
              <w:bottom w:val="nil"/>
              <w:right w:val="nil"/>
            </w:tcBorders>
            <w:tcMar>
              <w:top w:w="128" w:type="dxa"/>
              <w:left w:w="43" w:type="dxa"/>
              <w:bottom w:w="43" w:type="dxa"/>
              <w:right w:w="43" w:type="dxa"/>
            </w:tcMar>
            <w:vAlign w:val="bottom"/>
          </w:tcPr>
          <w:p w14:paraId="31732DF9" w14:textId="77777777" w:rsidR="00BC371A" w:rsidRPr="001D3665" w:rsidRDefault="00BC371A" w:rsidP="001D3665">
            <w:pPr>
              <w:jc w:val="right"/>
              <w:rPr>
                <w:sz w:val="21"/>
              </w:rPr>
            </w:pPr>
            <w:r w:rsidRPr="001D3665">
              <w:rPr>
                <w:sz w:val="21"/>
              </w:rPr>
              <w:t>7,8</w:t>
            </w:r>
          </w:p>
        </w:tc>
        <w:tc>
          <w:tcPr>
            <w:tcW w:w="1400" w:type="dxa"/>
            <w:tcBorders>
              <w:top w:val="nil"/>
              <w:left w:val="nil"/>
              <w:bottom w:val="nil"/>
              <w:right w:val="nil"/>
            </w:tcBorders>
            <w:tcMar>
              <w:top w:w="128" w:type="dxa"/>
              <w:left w:w="43" w:type="dxa"/>
              <w:bottom w:w="43" w:type="dxa"/>
              <w:right w:w="43" w:type="dxa"/>
            </w:tcMar>
            <w:vAlign w:val="bottom"/>
          </w:tcPr>
          <w:p w14:paraId="2AB7888B" w14:textId="77777777" w:rsidR="00BC371A" w:rsidRPr="001D3665" w:rsidRDefault="00BC371A" w:rsidP="001D3665">
            <w:pPr>
              <w:jc w:val="right"/>
              <w:rPr>
                <w:sz w:val="21"/>
              </w:rPr>
            </w:pPr>
            <w:r w:rsidRPr="001D3665">
              <w:rPr>
                <w:sz w:val="21"/>
              </w:rPr>
              <w:t>30,5</w:t>
            </w:r>
          </w:p>
        </w:tc>
      </w:tr>
      <w:tr w:rsidR="00CF0C10" w:rsidRPr="001D3665" w14:paraId="03505D8F" w14:textId="77777777">
        <w:trPr>
          <w:trHeight w:val="380"/>
        </w:trPr>
        <w:tc>
          <w:tcPr>
            <w:tcW w:w="6400" w:type="dxa"/>
            <w:tcBorders>
              <w:top w:val="nil"/>
              <w:left w:val="nil"/>
              <w:bottom w:val="nil"/>
              <w:right w:val="nil"/>
            </w:tcBorders>
            <w:tcMar>
              <w:top w:w="128" w:type="dxa"/>
              <w:left w:w="43" w:type="dxa"/>
              <w:bottom w:w="43" w:type="dxa"/>
              <w:right w:w="43" w:type="dxa"/>
            </w:tcMar>
          </w:tcPr>
          <w:p w14:paraId="74CEB3E4" w14:textId="77777777" w:rsidR="00BC371A" w:rsidRPr="001D3665" w:rsidRDefault="00BC371A" w:rsidP="001D3665">
            <w:pPr>
              <w:rPr>
                <w:sz w:val="21"/>
              </w:rPr>
            </w:pPr>
            <w:r w:rsidRPr="001D3665">
              <w:rPr>
                <w:sz w:val="21"/>
              </w:rPr>
              <w:lastRenderedPageBreak/>
              <w:t>2024</w:t>
            </w:r>
          </w:p>
        </w:tc>
        <w:tc>
          <w:tcPr>
            <w:tcW w:w="1400" w:type="dxa"/>
            <w:tcBorders>
              <w:top w:val="nil"/>
              <w:left w:val="nil"/>
              <w:bottom w:val="nil"/>
              <w:right w:val="nil"/>
            </w:tcBorders>
            <w:tcMar>
              <w:top w:w="128" w:type="dxa"/>
              <w:left w:w="43" w:type="dxa"/>
              <w:bottom w:w="43" w:type="dxa"/>
              <w:right w:w="43" w:type="dxa"/>
            </w:tcMar>
            <w:vAlign w:val="bottom"/>
          </w:tcPr>
          <w:p w14:paraId="38D81A47" w14:textId="77777777" w:rsidR="00BC371A" w:rsidRPr="001D3665" w:rsidRDefault="00BC371A" w:rsidP="001D3665">
            <w:pPr>
              <w:jc w:val="right"/>
              <w:rPr>
                <w:sz w:val="21"/>
              </w:rPr>
            </w:pPr>
            <w:r w:rsidRPr="001D3665">
              <w:rPr>
                <w:sz w:val="21"/>
              </w:rPr>
              <w:t>6</w:t>
            </w:r>
          </w:p>
        </w:tc>
        <w:tc>
          <w:tcPr>
            <w:tcW w:w="1400" w:type="dxa"/>
            <w:tcBorders>
              <w:top w:val="nil"/>
              <w:left w:val="nil"/>
              <w:bottom w:val="nil"/>
              <w:right w:val="nil"/>
            </w:tcBorders>
            <w:tcMar>
              <w:top w:w="128" w:type="dxa"/>
              <w:left w:w="43" w:type="dxa"/>
              <w:bottom w:w="43" w:type="dxa"/>
              <w:right w:w="43" w:type="dxa"/>
            </w:tcMar>
            <w:vAlign w:val="bottom"/>
          </w:tcPr>
          <w:p w14:paraId="5574F7B9" w14:textId="77777777" w:rsidR="00BC371A" w:rsidRPr="001D3665" w:rsidRDefault="00BC371A" w:rsidP="001D3665">
            <w:pPr>
              <w:jc w:val="right"/>
              <w:rPr>
                <w:sz w:val="21"/>
              </w:rPr>
            </w:pPr>
            <w:r w:rsidRPr="001D3665">
              <w:rPr>
                <w:sz w:val="21"/>
              </w:rPr>
              <w:t>6</w:t>
            </w:r>
          </w:p>
        </w:tc>
      </w:tr>
      <w:tr w:rsidR="00CF0C10" w:rsidRPr="001D3665" w14:paraId="6B4B782C" w14:textId="77777777">
        <w:trPr>
          <w:trHeight w:val="380"/>
        </w:trPr>
        <w:tc>
          <w:tcPr>
            <w:tcW w:w="6400" w:type="dxa"/>
            <w:tcBorders>
              <w:top w:val="nil"/>
              <w:left w:val="nil"/>
              <w:bottom w:val="nil"/>
              <w:right w:val="nil"/>
            </w:tcBorders>
            <w:tcMar>
              <w:top w:w="128" w:type="dxa"/>
              <w:left w:w="43" w:type="dxa"/>
              <w:bottom w:w="43" w:type="dxa"/>
              <w:right w:w="43" w:type="dxa"/>
            </w:tcMar>
          </w:tcPr>
          <w:p w14:paraId="3D21F943" w14:textId="77777777" w:rsidR="00BC371A" w:rsidRPr="001D3665" w:rsidRDefault="00BC371A" w:rsidP="001D3665">
            <w:pPr>
              <w:rPr>
                <w:sz w:val="21"/>
              </w:rPr>
            </w:pPr>
            <w:r w:rsidRPr="001D3665">
              <w:rPr>
                <w:sz w:val="21"/>
              </w:rPr>
              <w:t>2025</w:t>
            </w:r>
          </w:p>
        </w:tc>
        <w:tc>
          <w:tcPr>
            <w:tcW w:w="1400" w:type="dxa"/>
            <w:tcBorders>
              <w:top w:val="nil"/>
              <w:left w:val="nil"/>
              <w:bottom w:val="nil"/>
              <w:right w:val="nil"/>
            </w:tcBorders>
            <w:tcMar>
              <w:top w:w="128" w:type="dxa"/>
              <w:left w:w="43" w:type="dxa"/>
              <w:bottom w:w="43" w:type="dxa"/>
              <w:right w:w="43" w:type="dxa"/>
            </w:tcMar>
            <w:vAlign w:val="bottom"/>
          </w:tcPr>
          <w:p w14:paraId="5B644FAA" w14:textId="77777777" w:rsidR="00BC371A" w:rsidRPr="001D3665" w:rsidRDefault="00BC371A" w:rsidP="001D3665">
            <w:pPr>
              <w:jc w:val="right"/>
              <w:rPr>
                <w:sz w:val="21"/>
              </w:rPr>
            </w:pPr>
            <w:r w:rsidRPr="001D3665">
              <w:rPr>
                <w:sz w:val="21"/>
              </w:rPr>
              <w:t>10</w:t>
            </w:r>
          </w:p>
        </w:tc>
        <w:tc>
          <w:tcPr>
            <w:tcW w:w="1400" w:type="dxa"/>
            <w:tcBorders>
              <w:top w:val="nil"/>
              <w:left w:val="nil"/>
              <w:bottom w:val="nil"/>
              <w:right w:val="nil"/>
            </w:tcBorders>
            <w:tcMar>
              <w:top w:w="128" w:type="dxa"/>
              <w:left w:w="43" w:type="dxa"/>
              <w:bottom w:w="43" w:type="dxa"/>
              <w:right w:w="43" w:type="dxa"/>
            </w:tcMar>
            <w:vAlign w:val="bottom"/>
          </w:tcPr>
          <w:p w14:paraId="325112D0" w14:textId="77777777" w:rsidR="00BC371A" w:rsidRPr="001D3665" w:rsidRDefault="00BC371A" w:rsidP="001D3665">
            <w:pPr>
              <w:jc w:val="right"/>
              <w:rPr>
                <w:sz w:val="21"/>
              </w:rPr>
            </w:pPr>
            <w:r w:rsidRPr="001D3665">
              <w:rPr>
                <w:sz w:val="21"/>
              </w:rPr>
              <w:t>10</w:t>
            </w:r>
          </w:p>
        </w:tc>
      </w:tr>
      <w:tr w:rsidR="00CF0C10" w:rsidRPr="001D3665" w14:paraId="61520666" w14:textId="77777777">
        <w:trPr>
          <w:trHeight w:val="380"/>
        </w:trPr>
        <w:tc>
          <w:tcPr>
            <w:tcW w:w="6400" w:type="dxa"/>
            <w:tcBorders>
              <w:top w:val="nil"/>
              <w:left w:val="nil"/>
              <w:bottom w:val="single" w:sz="4" w:space="0" w:color="000000"/>
              <w:right w:val="nil"/>
            </w:tcBorders>
            <w:tcMar>
              <w:top w:w="128" w:type="dxa"/>
              <w:left w:w="43" w:type="dxa"/>
              <w:bottom w:w="43" w:type="dxa"/>
              <w:right w:w="43" w:type="dxa"/>
            </w:tcMar>
          </w:tcPr>
          <w:p w14:paraId="494E1C2E" w14:textId="77777777" w:rsidR="00BC371A" w:rsidRPr="001D3665" w:rsidRDefault="00BC371A" w:rsidP="001D3665">
            <w:pPr>
              <w:rPr>
                <w:sz w:val="21"/>
              </w:rPr>
            </w:pPr>
            <w:r w:rsidRPr="001D3665">
              <w:rPr>
                <w:sz w:val="21"/>
              </w:rPr>
              <w:t>2026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9BF5A3" w14:textId="77777777" w:rsidR="00BC371A" w:rsidRPr="001D3665" w:rsidRDefault="00BC371A" w:rsidP="001D3665">
            <w:pPr>
              <w:jc w:val="right"/>
              <w:rPr>
                <w:sz w:val="21"/>
              </w:rPr>
            </w:pPr>
            <w:r w:rsidRPr="001D3665">
              <w:rPr>
                <w:sz w:val="21"/>
              </w:rPr>
              <w:t>10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2B61C0" w14:textId="77777777" w:rsidR="00BC371A" w:rsidRPr="001D3665" w:rsidRDefault="00BC371A" w:rsidP="001D3665">
            <w:pPr>
              <w:jc w:val="right"/>
              <w:rPr>
                <w:sz w:val="21"/>
              </w:rPr>
            </w:pPr>
            <w:r w:rsidRPr="001D3665">
              <w:rPr>
                <w:sz w:val="21"/>
              </w:rPr>
              <w:t>10</w:t>
            </w:r>
          </w:p>
        </w:tc>
      </w:tr>
    </w:tbl>
    <w:p w14:paraId="141CE94C" w14:textId="77777777" w:rsidR="00BC371A" w:rsidRPr="001D3665" w:rsidRDefault="00BC371A" w:rsidP="001D3665">
      <w:pPr>
        <w:pStyle w:val="Kilde"/>
      </w:pPr>
      <w:r w:rsidRPr="001D3665">
        <w:t xml:space="preserve">Kjelde: Lag (2017:1201) om </w:t>
      </w:r>
      <w:proofErr w:type="spellStart"/>
      <w:r w:rsidRPr="001D3665">
        <w:t>reduktion</w:t>
      </w:r>
      <w:proofErr w:type="spellEnd"/>
      <w:r w:rsidRPr="001D3665">
        <w:t xml:space="preserve"> av </w:t>
      </w:r>
      <w:proofErr w:type="spellStart"/>
      <w:r w:rsidRPr="001D3665">
        <w:t>växthusgasutsläpp</w:t>
      </w:r>
      <w:proofErr w:type="spellEnd"/>
      <w:r w:rsidRPr="001D3665">
        <w:t xml:space="preserve"> </w:t>
      </w:r>
      <w:proofErr w:type="spellStart"/>
      <w:r w:rsidRPr="001D3665">
        <w:t>från</w:t>
      </w:r>
      <w:proofErr w:type="spellEnd"/>
      <w:r w:rsidRPr="001D3665">
        <w:t xml:space="preserve"> bensin </w:t>
      </w:r>
      <w:proofErr w:type="spellStart"/>
      <w:r w:rsidRPr="001D3665">
        <w:t>och</w:t>
      </w:r>
      <w:proofErr w:type="spellEnd"/>
      <w:r w:rsidRPr="001D3665">
        <w:t xml:space="preserve"> diesel.</w:t>
      </w:r>
    </w:p>
    <w:p w14:paraId="342EBD96" w14:textId="7491DF13" w:rsidR="00BC371A" w:rsidRPr="001D3665" w:rsidRDefault="001B58A2" w:rsidP="001D3665">
      <w:pPr>
        <w:pStyle w:val="Ramme-slutt"/>
      </w:pPr>
      <w:r w:rsidRPr="001D3665">
        <w:t>[Boks slutt]</w:t>
      </w:r>
    </w:p>
    <w:p w14:paraId="002BE715" w14:textId="77777777" w:rsidR="00BC371A" w:rsidRPr="001D3665" w:rsidRDefault="00BC371A" w:rsidP="001D3665">
      <w:pPr>
        <w:pStyle w:val="Overskrift2"/>
      </w:pPr>
      <w:r w:rsidRPr="001D3665">
        <w:t xml:space="preserve">Tiltak mot høge </w:t>
      </w:r>
      <w:proofErr w:type="spellStart"/>
      <w:r w:rsidRPr="001D3665">
        <w:t>levekostnadar</w:t>
      </w:r>
      <w:proofErr w:type="spellEnd"/>
      <w:r w:rsidRPr="001D3665">
        <w:t xml:space="preserve"> – oppmoding nr. 600 (2025–2026)</w:t>
      </w:r>
    </w:p>
    <w:p w14:paraId="2F4CBDF6" w14:textId="77777777" w:rsidR="00BC371A" w:rsidRPr="001D3665" w:rsidRDefault="00BC371A" w:rsidP="001D3665">
      <w:pPr>
        <w:pStyle w:val="Overskrift3"/>
      </w:pPr>
      <w:r w:rsidRPr="001D3665">
        <w:t xml:space="preserve">Innleiing og </w:t>
      </w:r>
      <w:proofErr w:type="spellStart"/>
      <w:r w:rsidRPr="001D3665">
        <w:t>samandrag</w:t>
      </w:r>
      <w:proofErr w:type="spellEnd"/>
    </w:p>
    <w:p w14:paraId="2E205C17" w14:textId="77777777" w:rsidR="00BC371A" w:rsidRPr="001D3665" w:rsidRDefault="00BC371A" w:rsidP="001D3665">
      <w:r w:rsidRPr="001D3665">
        <w:t xml:space="preserve">I samband med </w:t>
      </w:r>
      <w:proofErr w:type="spellStart"/>
      <w:r w:rsidRPr="001D3665">
        <w:t>behandlinga</w:t>
      </w:r>
      <w:proofErr w:type="spellEnd"/>
      <w:r w:rsidRPr="001D3665">
        <w:t xml:space="preserve"> av Dokument 8:222 S (2025–2026) </w:t>
      </w:r>
      <w:r w:rsidRPr="001D3665">
        <w:rPr>
          <w:rStyle w:val="kursiv"/>
        </w:rPr>
        <w:t>Representantforslag om midlertidig suspensjon av veibruksavgift på drivstoff</w:t>
      </w:r>
      <w:r w:rsidRPr="001D3665">
        <w:t xml:space="preserve"> vedtok Stortinget 26. mars 2026 oppmoding nr. 600 (2025–2026):</w:t>
      </w:r>
    </w:p>
    <w:p w14:paraId="2A79986D" w14:textId="77777777" w:rsidR="00BC371A" w:rsidRPr="001D3665" w:rsidRDefault="00BC371A" w:rsidP="001D3665">
      <w:pPr>
        <w:pStyle w:val="blokksit"/>
      </w:pPr>
      <w:r w:rsidRPr="001D3665">
        <w:t>«I lys av utviklingen i energimarkedene ber Stortinget regjeringen i revidert nasjonalbudsjett komme tilbake med tiltak som kan avhjelpe situasjonen med høye levekostnader for befolkningen. Stortinget ber regjeringen i denne sammenhengen vurdere skatte- og avgiftslettelser eller andre kompensasjonsordninger, slik som engangsutbetalinger til befolkningen.»</w:t>
      </w:r>
    </w:p>
    <w:p w14:paraId="15D95EAC" w14:textId="77777777" w:rsidR="00BC371A" w:rsidRPr="001D3665" w:rsidRDefault="00BC371A" w:rsidP="001D3665">
      <w:r w:rsidRPr="001D3665">
        <w:t xml:space="preserve">Krigen i Midtausten har ført til </w:t>
      </w:r>
      <w:proofErr w:type="spellStart"/>
      <w:r w:rsidRPr="001D3665">
        <w:t>ein</w:t>
      </w:r>
      <w:proofErr w:type="spellEnd"/>
      <w:r w:rsidRPr="001D3665">
        <w:t xml:space="preserve"> markert </w:t>
      </w:r>
      <w:proofErr w:type="spellStart"/>
      <w:r w:rsidRPr="001D3665">
        <w:t>auke</w:t>
      </w:r>
      <w:proofErr w:type="spellEnd"/>
      <w:r w:rsidRPr="001D3665">
        <w:t xml:space="preserve"> i </w:t>
      </w:r>
      <w:proofErr w:type="spellStart"/>
      <w:r w:rsidRPr="001D3665">
        <w:t>energiprisane</w:t>
      </w:r>
      <w:proofErr w:type="spellEnd"/>
      <w:r w:rsidRPr="001D3665">
        <w:t xml:space="preserve"> internasjonalt. Samstundes er det stor uvisse både om prisutviklinga framover og </w:t>
      </w:r>
      <w:proofErr w:type="spellStart"/>
      <w:r w:rsidRPr="001D3665">
        <w:t>tilhøyrande</w:t>
      </w:r>
      <w:proofErr w:type="spellEnd"/>
      <w:r w:rsidRPr="001D3665">
        <w:t xml:space="preserve"> </w:t>
      </w:r>
      <w:proofErr w:type="spellStart"/>
      <w:r w:rsidRPr="001D3665">
        <w:t>konsekvensar</w:t>
      </w:r>
      <w:proofErr w:type="spellEnd"/>
      <w:r w:rsidRPr="001D3665">
        <w:t xml:space="preserve"> for norsk økonomi og norske </w:t>
      </w:r>
      <w:proofErr w:type="spellStart"/>
      <w:r w:rsidRPr="001D3665">
        <w:t>hushald</w:t>
      </w:r>
      <w:proofErr w:type="spellEnd"/>
      <w:r w:rsidRPr="001D3665">
        <w:t>.</w:t>
      </w:r>
    </w:p>
    <w:p w14:paraId="4F11B47D" w14:textId="77777777" w:rsidR="00BC371A" w:rsidRPr="001D3665" w:rsidRDefault="00BC371A" w:rsidP="001D3665">
      <w:r w:rsidRPr="001D3665">
        <w:t xml:space="preserve">Det </w:t>
      </w:r>
      <w:proofErr w:type="spellStart"/>
      <w:r w:rsidRPr="001D3665">
        <w:t>viktigaste</w:t>
      </w:r>
      <w:proofErr w:type="spellEnd"/>
      <w:r w:rsidRPr="001D3665">
        <w:t xml:space="preserve"> regjeringa </w:t>
      </w:r>
      <w:proofErr w:type="spellStart"/>
      <w:r w:rsidRPr="001D3665">
        <w:t>gjer</w:t>
      </w:r>
      <w:proofErr w:type="spellEnd"/>
      <w:r w:rsidRPr="001D3665">
        <w:t xml:space="preserve"> for å </w:t>
      </w:r>
      <w:proofErr w:type="spellStart"/>
      <w:r w:rsidRPr="001D3665">
        <w:t>tryggje</w:t>
      </w:r>
      <w:proofErr w:type="spellEnd"/>
      <w:r w:rsidRPr="001D3665">
        <w:t xml:space="preserve"> folk sin privatøkonomi er å </w:t>
      </w:r>
      <w:proofErr w:type="spellStart"/>
      <w:r w:rsidRPr="001D3665">
        <w:t>halde</w:t>
      </w:r>
      <w:proofErr w:type="spellEnd"/>
      <w:r w:rsidRPr="001D3665">
        <w:t xml:space="preserve"> fram med å føre </w:t>
      </w:r>
      <w:proofErr w:type="spellStart"/>
      <w:r w:rsidRPr="001D3665">
        <w:t>ein</w:t>
      </w:r>
      <w:proofErr w:type="spellEnd"/>
      <w:r w:rsidRPr="001D3665">
        <w:t xml:space="preserve"> </w:t>
      </w:r>
      <w:proofErr w:type="spellStart"/>
      <w:r w:rsidRPr="001D3665">
        <w:t>ansvarleg</w:t>
      </w:r>
      <w:proofErr w:type="spellEnd"/>
      <w:r w:rsidRPr="001D3665">
        <w:t xml:space="preserve"> økonomisk politikk. Det </w:t>
      </w:r>
      <w:proofErr w:type="spellStart"/>
      <w:r w:rsidRPr="001D3665">
        <w:t>bidreg</w:t>
      </w:r>
      <w:proofErr w:type="spellEnd"/>
      <w:r w:rsidRPr="001D3665">
        <w:t xml:space="preserve"> til at folk har </w:t>
      </w:r>
      <w:proofErr w:type="spellStart"/>
      <w:r w:rsidRPr="001D3665">
        <w:t>ein</w:t>
      </w:r>
      <w:proofErr w:type="spellEnd"/>
      <w:r w:rsidRPr="001D3665">
        <w:t xml:space="preserve"> jobb å gå til, og </w:t>
      </w:r>
      <w:proofErr w:type="spellStart"/>
      <w:r w:rsidRPr="001D3665">
        <w:t>legg</w:t>
      </w:r>
      <w:proofErr w:type="spellEnd"/>
      <w:r w:rsidRPr="001D3665">
        <w:t xml:space="preserve"> til rette for at </w:t>
      </w:r>
      <w:proofErr w:type="spellStart"/>
      <w:r w:rsidRPr="001D3665">
        <w:t>lønene</w:t>
      </w:r>
      <w:proofErr w:type="spellEnd"/>
      <w:r w:rsidRPr="001D3665">
        <w:t xml:space="preserve"> </w:t>
      </w:r>
      <w:proofErr w:type="spellStart"/>
      <w:r w:rsidRPr="001D3665">
        <w:t>veks</w:t>
      </w:r>
      <w:proofErr w:type="spellEnd"/>
      <w:r w:rsidRPr="001D3665">
        <w:t xml:space="preserve"> </w:t>
      </w:r>
      <w:proofErr w:type="spellStart"/>
      <w:r w:rsidRPr="001D3665">
        <w:t>meir</w:t>
      </w:r>
      <w:proofErr w:type="spellEnd"/>
      <w:r w:rsidRPr="001D3665">
        <w:t xml:space="preserve"> enn </w:t>
      </w:r>
      <w:proofErr w:type="spellStart"/>
      <w:r w:rsidRPr="001D3665">
        <w:t>prisane</w:t>
      </w:r>
      <w:proofErr w:type="spellEnd"/>
      <w:r w:rsidRPr="001D3665">
        <w:t xml:space="preserve">. Den samla </w:t>
      </w:r>
      <w:proofErr w:type="spellStart"/>
      <w:r w:rsidRPr="001D3665">
        <w:t>mengda</w:t>
      </w:r>
      <w:proofErr w:type="spellEnd"/>
      <w:r w:rsidRPr="001D3665">
        <w:t xml:space="preserve"> tiltak for å </w:t>
      </w:r>
      <w:proofErr w:type="spellStart"/>
      <w:r w:rsidRPr="001D3665">
        <w:t>betre</w:t>
      </w:r>
      <w:proofErr w:type="spellEnd"/>
      <w:r w:rsidRPr="001D3665">
        <w:t xml:space="preserve"> økonomien til </w:t>
      </w:r>
      <w:proofErr w:type="spellStart"/>
      <w:r w:rsidRPr="001D3665">
        <w:t>hushalda</w:t>
      </w:r>
      <w:proofErr w:type="spellEnd"/>
      <w:r w:rsidRPr="001D3665">
        <w:t xml:space="preserve"> må balanserast mot omsynet til å føre </w:t>
      </w:r>
      <w:proofErr w:type="spellStart"/>
      <w:r w:rsidRPr="001D3665">
        <w:t>ein</w:t>
      </w:r>
      <w:proofErr w:type="spellEnd"/>
      <w:r w:rsidRPr="001D3665">
        <w:t xml:space="preserve"> </w:t>
      </w:r>
      <w:proofErr w:type="spellStart"/>
      <w:r w:rsidRPr="001D3665">
        <w:t>ansvarleg</w:t>
      </w:r>
      <w:proofErr w:type="spellEnd"/>
      <w:r w:rsidRPr="001D3665">
        <w:t xml:space="preserve"> økonomisk politikk. Konjunktursituasjonen med låg </w:t>
      </w:r>
      <w:proofErr w:type="spellStart"/>
      <w:r w:rsidRPr="001D3665">
        <w:t>arbeidsløyse</w:t>
      </w:r>
      <w:proofErr w:type="spellEnd"/>
      <w:r w:rsidRPr="001D3665">
        <w:t xml:space="preserve"> og prisvekst over inflasjonsmålet </w:t>
      </w:r>
      <w:proofErr w:type="spellStart"/>
      <w:r w:rsidRPr="001D3665">
        <w:t>tilseier</w:t>
      </w:r>
      <w:proofErr w:type="spellEnd"/>
      <w:r w:rsidRPr="001D3665">
        <w:t xml:space="preserve"> at det </w:t>
      </w:r>
      <w:proofErr w:type="spellStart"/>
      <w:r w:rsidRPr="001D3665">
        <w:t>ikkje</w:t>
      </w:r>
      <w:proofErr w:type="spellEnd"/>
      <w:r w:rsidRPr="001D3665">
        <w:t xml:space="preserve"> er behov for </w:t>
      </w:r>
      <w:proofErr w:type="spellStart"/>
      <w:r w:rsidRPr="001D3665">
        <w:t>ein</w:t>
      </w:r>
      <w:proofErr w:type="spellEnd"/>
      <w:r w:rsidRPr="001D3665">
        <w:t xml:space="preserve"> ekspansiv finanspolitikk. </w:t>
      </w:r>
      <w:proofErr w:type="spellStart"/>
      <w:r w:rsidRPr="001D3665">
        <w:t>Vedvarande</w:t>
      </w:r>
      <w:proofErr w:type="spellEnd"/>
      <w:r w:rsidRPr="001D3665">
        <w:t xml:space="preserve"> </w:t>
      </w:r>
      <w:proofErr w:type="spellStart"/>
      <w:r w:rsidRPr="001D3665">
        <w:t>høg</w:t>
      </w:r>
      <w:proofErr w:type="spellEnd"/>
      <w:r w:rsidRPr="001D3665">
        <w:t xml:space="preserve"> prisvekst vil ramme </w:t>
      </w:r>
      <w:proofErr w:type="spellStart"/>
      <w:r w:rsidRPr="001D3665">
        <w:t>dei</w:t>
      </w:r>
      <w:proofErr w:type="spellEnd"/>
      <w:r w:rsidRPr="001D3665">
        <w:t xml:space="preserve"> mest sårbare </w:t>
      </w:r>
      <w:proofErr w:type="spellStart"/>
      <w:r w:rsidRPr="001D3665">
        <w:t>hushalda</w:t>
      </w:r>
      <w:proofErr w:type="spellEnd"/>
      <w:r w:rsidRPr="001D3665">
        <w:t>.</w:t>
      </w:r>
    </w:p>
    <w:p w14:paraId="75460E9A" w14:textId="77777777" w:rsidR="00BC371A" w:rsidRPr="001D3665" w:rsidRDefault="00BC371A" w:rsidP="001D3665">
      <w:r w:rsidRPr="001D3665">
        <w:t xml:space="preserve">Statsbudsjettet for 2026 </w:t>
      </w:r>
      <w:proofErr w:type="spellStart"/>
      <w:r w:rsidRPr="001D3665">
        <w:t>inneheld</w:t>
      </w:r>
      <w:proofErr w:type="spellEnd"/>
      <w:r w:rsidRPr="001D3665">
        <w:t xml:space="preserve"> ei </w:t>
      </w:r>
      <w:proofErr w:type="spellStart"/>
      <w:r w:rsidRPr="001D3665">
        <w:t>rekkje</w:t>
      </w:r>
      <w:proofErr w:type="spellEnd"/>
      <w:r w:rsidRPr="001D3665">
        <w:t xml:space="preserve"> tiltak for å betre folk sin privatøkonomi. </w:t>
      </w:r>
      <w:proofErr w:type="spellStart"/>
      <w:r w:rsidRPr="001D3665">
        <w:t>Fleire</w:t>
      </w:r>
      <w:proofErr w:type="spellEnd"/>
      <w:r w:rsidRPr="001D3665">
        <w:t xml:space="preserve"> av </w:t>
      </w:r>
      <w:proofErr w:type="spellStart"/>
      <w:r w:rsidRPr="001D3665">
        <w:t>desse</w:t>
      </w:r>
      <w:proofErr w:type="spellEnd"/>
      <w:r w:rsidRPr="001D3665">
        <w:t xml:space="preserve"> tiltaka er målretta mot å avhjelpe effekten av høge </w:t>
      </w:r>
      <w:proofErr w:type="spellStart"/>
      <w:r w:rsidRPr="001D3665">
        <w:t>energiprisar</w:t>
      </w:r>
      <w:proofErr w:type="spellEnd"/>
      <w:r w:rsidRPr="001D3665">
        <w:t xml:space="preserve">. </w:t>
      </w:r>
      <w:proofErr w:type="spellStart"/>
      <w:r w:rsidRPr="001D3665">
        <w:t>Straumstøtteordningane</w:t>
      </w:r>
      <w:proofErr w:type="spellEnd"/>
      <w:r w:rsidRPr="001D3665">
        <w:t xml:space="preserve"> </w:t>
      </w:r>
      <w:proofErr w:type="spellStart"/>
      <w:r w:rsidRPr="001D3665">
        <w:t>gjer</w:t>
      </w:r>
      <w:proofErr w:type="spellEnd"/>
      <w:r w:rsidRPr="001D3665">
        <w:t xml:space="preserve"> at </w:t>
      </w:r>
      <w:proofErr w:type="spellStart"/>
      <w:r w:rsidRPr="001D3665">
        <w:t>hushalda</w:t>
      </w:r>
      <w:proofErr w:type="spellEnd"/>
      <w:r w:rsidRPr="001D3665">
        <w:t xml:space="preserve"> i stor grad vert skjerma for </w:t>
      </w:r>
      <w:proofErr w:type="spellStart"/>
      <w:r w:rsidRPr="001D3665">
        <w:t>auka</w:t>
      </w:r>
      <w:proofErr w:type="spellEnd"/>
      <w:r w:rsidRPr="001D3665">
        <w:t xml:space="preserve"> </w:t>
      </w:r>
      <w:proofErr w:type="spellStart"/>
      <w:r w:rsidRPr="001D3665">
        <w:t>straumprisar</w:t>
      </w:r>
      <w:proofErr w:type="spellEnd"/>
      <w:r w:rsidRPr="001D3665">
        <w:t xml:space="preserve">. </w:t>
      </w:r>
      <w:proofErr w:type="spellStart"/>
      <w:r w:rsidRPr="001D3665">
        <w:t>Vidare</w:t>
      </w:r>
      <w:proofErr w:type="spellEnd"/>
      <w:r w:rsidRPr="001D3665">
        <w:t xml:space="preserve"> har Stortinget </w:t>
      </w:r>
      <w:proofErr w:type="spellStart"/>
      <w:r w:rsidRPr="001D3665">
        <w:t>vedteke</w:t>
      </w:r>
      <w:proofErr w:type="spellEnd"/>
      <w:r w:rsidRPr="001D3665">
        <w:t xml:space="preserve"> </w:t>
      </w:r>
      <w:proofErr w:type="spellStart"/>
      <w:r w:rsidRPr="001D3665">
        <w:t>mellombelse</w:t>
      </w:r>
      <w:proofErr w:type="spellEnd"/>
      <w:r w:rsidRPr="001D3665">
        <w:t xml:space="preserve"> </w:t>
      </w:r>
      <w:proofErr w:type="spellStart"/>
      <w:r w:rsidRPr="001D3665">
        <w:t>reduksjonar</w:t>
      </w:r>
      <w:proofErr w:type="spellEnd"/>
      <w:r w:rsidRPr="001D3665">
        <w:t xml:space="preserve"> i </w:t>
      </w:r>
      <w:proofErr w:type="spellStart"/>
      <w:r w:rsidRPr="001D3665">
        <w:t>vegbruksavgifta</w:t>
      </w:r>
      <w:proofErr w:type="spellEnd"/>
      <w:r w:rsidRPr="001D3665">
        <w:t xml:space="preserve"> og CO</w:t>
      </w:r>
      <w:r w:rsidRPr="001D3665">
        <w:rPr>
          <w:rStyle w:val="skrift-senket"/>
        </w:rPr>
        <w:t>2</w:t>
      </w:r>
      <w:r w:rsidRPr="001D3665">
        <w:t xml:space="preserve">-avgifta, som </w:t>
      </w:r>
      <w:proofErr w:type="spellStart"/>
      <w:r w:rsidRPr="001D3665">
        <w:t>gjer</w:t>
      </w:r>
      <w:proofErr w:type="spellEnd"/>
      <w:r w:rsidRPr="001D3665">
        <w:t xml:space="preserve"> at </w:t>
      </w:r>
      <w:proofErr w:type="spellStart"/>
      <w:r w:rsidRPr="001D3665">
        <w:t>hushalda</w:t>
      </w:r>
      <w:proofErr w:type="spellEnd"/>
      <w:r w:rsidRPr="001D3665">
        <w:t xml:space="preserve"> sine utgifter til drivstoff vert reduserte. Dette har regjeringa </w:t>
      </w:r>
      <w:proofErr w:type="spellStart"/>
      <w:r w:rsidRPr="001D3665">
        <w:t>følgt</w:t>
      </w:r>
      <w:proofErr w:type="spellEnd"/>
      <w:r w:rsidRPr="001D3665">
        <w:t xml:space="preserve"> opp. </w:t>
      </w:r>
      <w:proofErr w:type="spellStart"/>
      <w:r w:rsidRPr="001D3665">
        <w:t>Samanlikna</w:t>
      </w:r>
      <w:proofErr w:type="spellEnd"/>
      <w:r w:rsidRPr="001D3665">
        <w:t xml:space="preserve"> med det </w:t>
      </w:r>
      <w:proofErr w:type="spellStart"/>
      <w:r w:rsidRPr="001D3665">
        <w:t>vedtekne</w:t>
      </w:r>
      <w:proofErr w:type="spellEnd"/>
      <w:r w:rsidRPr="001D3665">
        <w:t xml:space="preserve"> budsjettet for 2026 </w:t>
      </w:r>
      <w:proofErr w:type="spellStart"/>
      <w:r w:rsidRPr="001D3665">
        <w:t>utgjer</w:t>
      </w:r>
      <w:proofErr w:type="spellEnd"/>
      <w:r w:rsidRPr="001D3665">
        <w:t xml:space="preserve"> </w:t>
      </w:r>
      <w:proofErr w:type="spellStart"/>
      <w:r w:rsidRPr="001D3665">
        <w:t>auka</w:t>
      </w:r>
      <w:proofErr w:type="spellEnd"/>
      <w:r w:rsidRPr="001D3665">
        <w:t xml:space="preserve"> utgifter til </w:t>
      </w:r>
      <w:proofErr w:type="spellStart"/>
      <w:r w:rsidRPr="001D3665">
        <w:t>straumstøtteordningane</w:t>
      </w:r>
      <w:proofErr w:type="spellEnd"/>
      <w:r w:rsidRPr="001D3665">
        <w:t xml:space="preserve"> og reduserte inntekter </w:t>
      </w:r>
      <w:proofErr w:type="spellStart"/>
      <w:r w:rsidRPr="001D3665">
        <w:t>frå</w:t>
      </w:r>
      <w:proofErr w:type="spellEnd"/>
      <w:r w:rsidRPr="001D3665">
        <w:t xml:space="preserve"> </w:t>
      </w:r>
      <w:proofErr w:type="spellStart"/>
      <w:r w:rsidRPr="001D3665">
        <w:t>mellombelse</w:t>
      </w:r>
      <w:proofErr w:type="spellEnd"/>
      <w:r w:rsidRPr="001D3665">
        <w:t xml:space="preserve"> kutt i avgifter på drivstoff til </w:t>
      </w:r>
      <w:proofErr w:type="spellStart"/>
      <w:r w:rsidRPr="001D3665">
        <w:t>saman</w:t>
      </w:r>
      <w:proofErr w:type="spellEnd"/>
      <w:r w:rsidRPr="001D3665">
        <w:t xml:space="preserve"> 15,5 mrd. kroner. Dette er ei </w:t>
      </w:r>
      <w:proofErr w:type="spellStart"/>
      <w:r w:rsidRPr="001D3665">
        <w:t>betydeleg</w:t>
      </w:r>
      <w:proofErr w:type="spellEnd"/>
      <w:r w:rsidRPr="001D3665">
        <w:t xml:space="preserve"> styrking av tiltaka for å betre privatøkonomien til </w:t>
      </w:r>
      <w:proofErr w:type="spellStart"/>
      <w:r w:rsidRPr="001D3665">
        <w:t>hushalda</w:t>
      </w:r>
      <w:proofErr w:type="spellEnd"/>
      <w:r w:rsidRPr="001D3665">
        <w:t>.</w:t>
      </w:r>
    </w:p>
    <w:p w14:paraId="1BAB1911" w14:textId="77777777" w:rsidR="00BC371A" w:rsidRPr="001D3665" w:rsidRDefault="00BC371A" w:rsidP="001D3665">
      <w:r w:rsidRPr="001D3665">
        <w:t xml:space="preserve">Regjeringa har òg gjennomført </w:t>
      </w:r>
      <w:proofErr w:type="spellStart"/>
      <w:r w:rsidRPr="001D3665">
        <w:t>fleire</w:t>
      </w:r>
      <w:proofErr w:type="spellEnd"/>
      <w:r w:rsidRPr="001D3665">
        <w:t xml:space="preserve"> andre tiltak som </w:t>
      </w:r>
      <w:proofErr w:type="spellStart"/>
      <w:r w:rsidRPr="001D3665">
        <w:t>styrkjer</w:t>
      </w:r>
      <w:proofErr w:type="spellEnd"/>
      <w:r w:rsidRPr="001D3665">
        <w:t xml:space="preserve"> </w:t>
      </w:r>
      <w:proofErr w:type="spellStart"/>
      <w:r w:rsidRPr="001D3665">
        <w:t>kvardagsøkonomien</w:t>
      </w:r>
      <w:proofErr w:type="spellEnd"/>
      <w:r w:rsidRPr="001D3665">
        <w:t xml:space="preserve"> for befolkninga. På skatte- og avgiftsområdet er inntektsskatten og elavgifta reduserte. </w:t>
      </w:r>
      <w:proofErr w:type="spellStart"/>
      <w:r w:rsidRPr="001D3665">
        <w:t>Vidare</w:t>
      </w:r>
      <w:proofErr w:type="spellEnd"/>
      <w:r w:rsidRPr="001D3665">
        <w:t xml:space="preserve"> er </w:t>
      </w:r>
      <w:proofErr w:type="spellStart"/>
      <w:r w:rsidRPr="001D3665">
        <w:t>prisane</w:t>
      </w:r>
      <w:proofErr w:type="spellEnd"/>
      <w:r w:rsidRPr="001D3665">
        <w:t xml:space="preserve"> på kollektivtransport og </w:t>
      </w:r>
      <w:proofErr w:type="spellStart"/>
      <w:r w:rsidRPr="001D3665">
        <w:t>prisane</w:t>
      </w:r>
      <w:proofErr w:type="spellEnd"/>
      <w:r w:rsidRPr="001D3665">
        <w:t xml:space="preserve"> i barnehage og SFO reduserte, </w:t>
      </w:r>
      <w:proofErr w:type="spellStart"/>
      <w:r w:rsidRPr="001D3665">
        <w:t>medan</w:t>
      </w:r>
      <w:proofErr w:type="spellEnd"/>
      <w:r w:rsidRPr="001D3665">
        <w:t xml:space="preserve"> barnetrygd og </w:t>
      </w:r>
      <w:proofErr w:type="spellStart"/>
      <w:r w:rsidRPr="001D3665">
        <w:t>fleire</w:t>
      </w:r>
      <w:proofErr w:type="spellEnd"/>
      <w:r w:rsidRPr="001D3665">
        <w:t xml:space="preserve"> </w:t>
      </w:r>
      <w:proofErr w:type="spellStart"/>
      <w:r w:rsidRPr="001D3665">
        <w:t>minsteytingar</w:t>
      </w:r>
      <w:proofErr w:type="spellEnd"/>
      <w:r w:rsidRPr="001D3665">
        <w:t xml:space="preserve"> har </w:t>
      </w:r>
      <w:proofErr w:type="spellStart"/>
      <w:r w:rsidRPr="001D3665">
        <w:t>auka</w:t>
      </w:r>
      <w:proofErr w:type="spellEnd"/>
      <w:r w:rsidRPr="001D3665">
        <w:t>.</w:t>
      </w:r>
    </w:p>
    <w:p w14:paraId="0DED630B" w14:textId="77777777" w:rsidR="00BC371A" w:rsidRPr="001D3665" w:rsidRDefault="00BC371A" w:rsidP="001D3665">
      <w:r w:rsidRPr="001D3665">
        <w:lastRenderedPageBreak/>
        <w:t xml:space="preserve">Regjeringa vil framover vurdere behovet for </w:t>
      </w:r>
      <w:proofErr w:type="spellStart"/>
      <w:r w:rsidRPr="001D3665">
        <w:t>ytterlegare</w:t>
      </w:r>
      <w:proofErr w:type="spellEnd"/>
      <w:r w:rsidRPr="001D3665">
        <w:t xml:space="preserve"> tiltak. Det er </w:t>
      </w:r>
      <w:proofErr w:type="spellStart"/>
      <w:r w:rsidRPr="001D3665">
        <w:t>ein</w:t>
      </w:r>
      <w:proofErr w:type="spellEnd"/>
      <w:r w:rsidRPr="001D3665">
        <w:t xml:space="preserve"> fordel om slike tiltak vert innretta slik at </w:t>
      </w:r>
      <w:proofErr w:type="spellStart"/>
      <w:r w:rsidRPr="001D3665">
        <w:t>dei</w:t>
      </w:r>
      <w:proofErr w:type="spellEnd"/>
      <w:r w:rsidRPr="001D3665">
        <w:t xml:space="preserve"> samstundes kan bidra til å løyse </w:t>
      </w:r>
      <w:proofErr w:type="spellStart"/>
      <w:r w:rsidRPr="001D3665">
        <w:t>dei</w:t>
      </w:r>
      <w:proofErr w:type="spellEnd"/>
      <w:r w:rsidRPr="001D3665">
        <w:t xml:space="preserve"> </w:t>
      </w:r>
      <w:proofErr w:type="spellStart"/>
      <w:r w:rsidRPr="001D3665">
        <w:t>viktigaste</w:t>
      </w:r>
      <w:proofErr w:type="spellEnd"/>
      <w:r w:rsidRPr="001D3665">
        <w:t xml:space="preserve"> </w:t>
      </w:r>
      <w:proofErr w:type="spellStart"/>
      <w:r w:rsidRPr="001D3665">
        <w:t>utfordringane</w:t>
      </w:r>
      <w:proofErr w:type="spellEnd"/>
      <w:r w:rsidRPr="001D3665">
        <w:t xml:space="preserve"> i norsk økonomi framover, slik som mangel på arbeidskraft. Breie </w:t>
      </w:r>
      <w:proofErr w:type="spellStart"/>
      <w:r w:rsidRPr="001D3665">
        <w:t>reduksjonar</w:t>
      </w:r>
      <w:proofErr w:type="spellEnd"/>
      <w:r w:rsidRPr="001D3665">
        <w:t xml:space="preserve"> i inntektsskatten </w:t>
      </w:r>
      <w:proofErr w:type="spellStart"/>
      <w:r w:rsidRPr="001D3665">
        <w:t>innanfor</w:t>
      </w:r>
      <w:proofErr w:type="spellEnd"/>
      <w:r w:rsidRPr="001D3665">
        <w:t xml:space="preserve"> rammene av </w:t>
      </w:r>
      <w:proofErr w:type="spellStart"/>
      <w:r w:rsidRPr="001D3665">
        <w:t>ein</w:t>
      </w:r>
      <w:proofErr w:type="spellEnd"/>
      <w:r w:rsidRPr="001D3665">
        <w:t xml:space="preserve"> </w:t>
      </w:r>
      <w:proofErr w:type="spellStart"/>
      <w:r w:rsidRPr="001D3665">
        <w:t>ansvarleg</w:t>
      </w:r>
      <w:proofErr w:type="spellEnd"/>
      <w:r w:rsidRPr="001D3665">
        <w:t xml:space="preserve"> økonomisk politikk er </w:t>
      </w:r>
      <w:proofErr w:type="spellStart"/>
      <w:r w:rsidRPr="001D3665">
        <w:t>eit</w:t>
      </w:r>
      <w:proofErr w:type="spellEnd"/>
      <w:r w:rsidRPr="001D3665">
        <w:t xml:space="preserve"> døme på </w:t>
      </w:r>
      <w:proofErr w:type="spellStart"/>
      <w:r w:rsidRPr="001D3665">
        <w:t>eit</w:t>
      </w:r>
      <w:proofErr w:type="spellEnd"/>
      <w:r w:rsidRPr="001D3665">
        <w:t xml:space="preserve"> slikt tiltak.</w:t>
      </w:r>
    </w:p>
    <w:p w14:paraId="66FD4382" w14:textId="77777777" w:rsidR="00BC371A" w:rsidRPr="001D3665" w:rsidRDefault="00BC371A" w:rsidP="001D3665">
      <w:pPr>
        <w:pStyle w:val="Overskrift3"/>
      </w:pPr>
      <w:r w:rsidRPr="001D3665">
        <w:t xml:space="preserve">Vurdering av behov for nye tiltak i møte med </w:t>
      </w:r>
      <w:proofErr w:type="spellStart"/>
      <w:r w:rsidRPr="001D3665">
        <w:t>auka</w:t>
      </w:r>
      <w:proofErr w:type="spellEnd"/>
      <w:r w:rsidRPr="001D3665">
        <w:t xml:space="preserve"> </w:t>
      </w:r>
      <w:proofErr w:type="spellStart"/>
      <w:r w:rsidRPr="001D3665">
        <w:t>energiprisar</w:t>
      </w:r>
      <w:proofErr w:type="spellEnd"/>
    </w:p>
    <w:p w14:paraId="1D13BA01" w14:textId="77777777" w:rsidR="00BC371A" w:rsidRPr="001D3665" w:rsidRDefault="00BC371A" w:rsidP="001D3665">
      <w:pPr>
        <w:pStyle w:val="avsnitt-tittel"/>
      </w:pPr>
      <w:r w:rsidRPr="001D3665">
        <w:t xml:space="preserve">Konjunktursituasjonen og verknader av </w:t>
      </w:r>
      <w:proofErr w:type="spellStart"/>
      <w:r w:rsidRPr="001D3665">
        <w:t>auka</w:t>
      </w:r>
      <w:proofErr w:type="spellEnd"/>
      <w:r w:rsidRPr="001D3665">
        <w:t xml:space="preserve"> </w:t>
      </w:r>
      <w:proofErr w:type="spellStart"/>
      <w:r w:rsidRPr="001D3665">
        <w:t>energiprisar</w:t>
      </w:r>
      <w:proofErr w:type="spellEnd"/>
      <w:r w:rsidRPr="001D3665">
        <w:t xml:space="preserve"> på </w:t>
      </w:r>
      <w:proofErr w:type="spellStart"/>
      <w:r w:rsidRPr="001D3665">
        <w:t>levekostnadar</w:t>
      </w:r>
      <w:proofErr w:type="spellEnd"/>
      <w:r w:rsidRPr="001D3665">
        <w:t xml:space="preserve"> for befolkninga</w:t>
      </w:r>
    </w:p>
    <w:p w14:paraId="18D381CC" w14:textId="77777777" w:rsidR="00BC371A" w:rsidRPr="001D3665" w:rsidRDefault="00BC371A" w:rsidP="001D3665">
      <w:r w:rsidRPr="001D3665">
        <w:t xml:space="preserve">Krigen i Midtausten har på kort tid endra verdsøkonomien og skapt stor uvisse internasjonalt. Dei siste </w:t>
      </w:r>
      <w:proofErr w:type="spellStart"/>
      <w:r w:rsidRPr="001D3665">
        <w:t>månadene</w:t>
      </w:r>
      <w:proofErr w:type="spellEnd"/>
      <w:r w:rsidRPr="001D3665">
        <w:t xml:space="preserve"> har </w:t>
      </w:r>
      <w:proofErr w:type="spellStart"/>
      <w:r w:rsidRPr="001D3665">
        <w:t>auka</w:t>
      </w:r>
      <w:proofErr w:type="spellEnd"/>
      <w:r w:rsidRPr="001D3665">
        <w:t xml:space="preserve"> </w:t>
      </w:r>
      <w:proofErr w:type="spellStart"/>
      <w:r w:rsidRPr="001D3665">
        <w:t>knappleik</w:t>
      </w:r>
      <w:proofErr w:type="spellEnd"/>
      <w:r w:rsidRPr="001D3665">
        <w:t xml:space="preserve"> på olje og gass og uvisse om </w:t>
      </w:r>
      <w:proofErr w:type="spellStart"/>
      <w:r w:rsidRPr="001D3665">
        <w:t>vidare</w:t>
      </w:r>
      <w:proofErr w:type="spellEnd"/>
      <w:r w:rsidRPr="001D3665">
        <w:t xml:space="preserve"> utvikling i konflikten ført til kraftig vekst i </w:t>
      </w:r>
      <w:proofErr w:type="spellStart"/>
      <w:r w:rsidRPr="001D3665">
        <w:t>petroleumsprisane</w:t>
      </w:r>
      <w:proofErr w:type="spellEnd"/>
      <w:r w:rsidRPr="001D3665">
        <w:t xml:space="preserve"> og andre </w:t>
      </w:r>
      <w:proofErr w:type="spellStart"/>
      <w:r w:rsidRPr="001D3665">
        <w:t>råvareprisar</w:t>
      </w:r>
      <w:proofErr w:type="spellEnd"/>
      <w:r w:rsidRPr="001D3665">
        <w:t xml:space="preserve">. Russlands åtakskrig i Ukraina held fram og </w:t>
      </w:r>
      <w:proofErr w:type="spellStart"/>
      <w:r w:rsidRPr="001D3665">
        <w:t>skapar</w:t>
      </w:r>
      <w:proofErr w:type="spellEnd"/>
      <w:r w:rsidRPr="001D3665">
        <w:t xml:space="preserve"> </w:t>
      </w:r>
      <w:proofErr w:type="spellStart"/>
      <w:r w:rsidRPr="001D3665">
        <w:t>vedvarande</w:t>
      </w:r>
      <w:proofErr w:type="spellEnd"/>
      <w:r w:rsidRPr="001D3665">
        <w:t xml:space="preserve"> uro i Europa.</w:t>
      </w:r>
    </w:p>
    <w:p w14:paraId="052722E4" w14:textId="77777777" w:rsidR="00BC371A" w:rsidRPr="001D3665" w:rsidRDefault="00BC371A" w:rsidP="001D3665">
      <w:r w:rsidRPr="001D3665">
        <w:t xml:space="preserve">Uroa internasjonalt vil òg </w:t>
      </w:r>
      <w:proofErr w:type="spellStart"/>
      <w:r w:rsidRPr="001D3665">
        <w:t>merkast</w:t>
      </w:r>
      <w:proofErr w:type="spellEnd"/>
      <w:r w:rsidRPr="001D3665">
        <w:t xml:space="preserve"> i norsk økonomi, men vi har </w:t>
      </w:r>
      <w:proofErr w:type="spellStart"/>
      <w:r w:rsidRPr="001D3665">
        <w:t>eit</w:t>
      </w:r>
      <w:proofErr w:type="spellEnd"/>
      <w:r w:rsidRPr="001D3665">
        <w:t xml:space="preserve"> godt utgangspunkt for å handtere situasjonen. </w:t>
      </w:r>
      <w:proofErr w:type="spellStart"/>
      <w:r w:rsidRPr="001D3665">
        <w:t>Sysselsetjinga</w:t>
      </w:r>
      <w:proofErr w:type="spellEnd"/>
      <w:r w:rsidRPr="001D3665">
        <w:t xml:space="preserve"> er </w:t>
      </w:r>
      <w:proofErr w:type="spellStart"/>
      <w:r w:rsidRPr="001D3665">
        <w:t>høg</w:t>
      </w:r>
      <w:proofErr w:type="spellEnd"/>
      <w:r w:rsidRPr="001D3665">
        <w:t xml:space="preserve">, næringslivet investerer for framtida, og </w:t>
      </w:r>
      <w:proofErr w:type="spellStart"/>
      <w:r w:rsidRPr="001D3665">
        <w:t>statsfinansane</w:t>
      </w:r>
      <w:proofErr w:type="spellEnd"/>
      <w:r w:rsidRPr="001D3665">
        <w:t xml:space="preserve"> er </w:t>
      </w:r>
      <w:proofErr w:type="gramStart"/>
      <w:r w:rsidRPr="001D3665">
        <w:t>robuste</w:t>
      </w:r>
      <w:proofErr w:type="gramEnd"/>
      <w:r w:rsidRPr="001D3665">
        <w:t xml:space="preserve">. Den registrerte </w:t>
      </w:r>
      <w:proofErr w:type="spellStart"/>
      <w:r w:rsidRPr="001D3665">
        <w:t>arbeidsløysa</w:t>
      </w:r>
      <w:proofErr w:type="spellEnd"/>
      <w:r w:rsidRPr="001D3665">
        <w:t xml:space="preserve"> er låg. </w:t>
      </w:r>
      <w:proofErr w:type="spellStart"/>
      <w:r w:rsidRPr="001D3665">
        <w:t>Sjølv</w:t>
      </w:r>
      <w:proofErr w:type="spellEnd"/>
      <w:r w:rsidRPr="001D3665">
        <w:t xml:space="preserve"> om mange </w:t>
      </w:r>
      <w:proofErr w:type="spellStart"/>
      <w:r w:rsidRPr="001D3665">
        <w:t>prisar</w:t>
      </w:r>
      <w:proofErr w:type="spellEnd"/>
      <w:r w:rsidRPr="001D3665">
        <w:t xml:space="preserve"> held fram med å stige, vert det anslått at </w:t>
      </w:r>
      <w:proofErr w:type="spellStart"/>
      <w:r w:rsidRPr="001D3665">
        <w:t>dei</w:t>
      </w:r>
      <w:proofErr w:type="spellEnd"/>
      <w:r w:rsidRPr="001D3665">
        <w:t xml:space="preserve"> fleste </w:t>
      </w:r>
      <w:proofErr w:type="spellStart"/>
      <w:r w:rsidRPr="001D3665">
        <w:t>hushalda</w:t>
      </w:r>
      <w:proofErr w:type="spellEnd"/>
      <w:r w:rsidRPr="001D3665">
        <w:t xml:space="preserve"> vil oppleve at </w:t>
      </w:r>
      <w:proofErr w:type="spellStart"/>
      <w:r w:rsidRPr="001D3665">
        <w:t>lønene</w:t>
      </w:r>
      <w:proofErr w:type="spellEnd"/>
      <w:r w:rsidRPr="001D3665">
        <w:t xml:space="preserve"> </w:t>
      </w:r>
      <w:proofErr w:type="spellStart"/>
      <w:r w:rsidRPr="001D3665">
        <w:t>veks</w:t>
      </w:r>
      <w:proofErr w:type="spellEnd"/>
      <w:r w:rsidRPr="001D3665">
        <w:t xml:space="preserve"> </w:t>
      </w:r>
      <w:proofErr w:type="spellStart"/>
      <w:r w:rsidRPr="001D3665">
        <w:t>raskare</w:t>
      </w:r>
      <w:proofErr w:type="spellEnd"/>
      <w:r w:rsidRPr="001D3665">
        <w:t xml:space="preserve"> enn </w:t>
      </w:r>
      <w:proofErr w:type="spellStart"/>
      <w:r w:rsidRPr="001D3665">
        <w:t>prisane</w:t>
      </w:r>
      <w:proofErr w:type="spellEnd"/>
      <w:r w:rsidRPr="001D3665">
        <w:t xml:space="preserve"> for tredje året på rad.</w:t>
      </w:r>
    </w:p>
    <w:p w14:paraId="497225A5" w14:textId="77777777" w:rsidR="00BC371A" w:rsidRPr="001D3665" w:rsidRDefault="00BC371A" w:rsidP="001D3665">
      <w:r w:rsidRPr="001D3665">
        <w:t xml:space="preserve">Finanspolitikken må </w:t>
      </w:r>
      <w:proofErr w:type="spellStart"/>
      <w:r w:rsidRPr="001D3665">
        <w:t>ikkje</w:t>
      </w:r>
      <w:proofErr w:type="spellEnd"/>
      <w:r w:rsidRPr="001D3665">
        <w:t xml:space="preserve"> </w:t>
      </w:r>
      <w:proofErr w:type="spellStart"/>
      <w:r w:rsidRPr="001D3665">
        <w:t>motverke</w:t>
      </w:r>
      <w:proofErr w:type="spellEnd"/>
      <w:r w:rsidRPr="001D3665">
        <w:t xml:space="preserve"> pengepolitikken. Dersom pengebruken vert for </w:t>
      </w:r>
      <w:proofErr w:type="spellStart"/>
      <w:r w:rsidRPr="001D3665">
        <w:t>høg</w:t>
      </w:r>
      <w:proofErr w:type="spellEnd"/>
      <w:r w:rsidRPr="001D3665">
        <w:t xml:space="preserve">, vil det kunne bidra til at prisveksten held seg høg lenger, og at </w:t>
      </w:r>
      <w:proofErr w:type="spellStart"/>
      <w:r w:rsidRPr="001D3665">
        <w:t>Noregs</w:t>
      </w:r>
      <w:proofErr w:type="spellEnd"/>
      <w:r w:rsidRPr="001D3665">
        <w:t xml:space="preserve"> Bank held renta oppe lenger enn </w:t>
      </w:r>
      <w:proofErr w:type="spellStart"/>
      <w:r w:rsidRPr="001D3665">
        <w:t>dei</w:t>
      </w:r>
      <w:proofErr w:type="spellEnd"/>
      <w:r w:rsidRPr="001D3665">
        <w:t xml:space="preserve"> </w:t>
      </w:r>
      <w:proofErr w:type="spellStart"/>
      <w:r w:rsidRPr="001D3665">
        <w:t>elles</w:t>
      </w:r>
      <w:proofErr w:type="spellEnd"/>
      <w:r w:rsidRPr="001D3665">
        <w:t xml:space="preserve"> ville gjort. </w:t>
      </w:r>
      <w:proofErr w:type="spellStart"/>
      <w:r w:rsidRPr="001D3665">
        <w:t>Ansvarleg</w:t>
      </w:r>
      <w:proofErr w:type="spellEnd"/>
      <w:r w:rsidRPr="001D3665">
        <w:t xml:space="preserve"> økonomisk styring ligg til grunn for regjeringa sin politikk og er </w:t>
      </w:r>
      <w:proofErr w:type="spellStart"/>
      <w:r w:rsidRPr="001D3665">
        <w:t>ein</w:t>
      </w:r>
      <w:proofErr w:type="spellEnd"/>
      <w:r w:rsidRPr="001D3665">
        <w:t xml:space="preserve"> sentral del av Plan for </w:t>
      </w:r>
      <w:proofErr w:type="spellStart"/>
      <w:r w:rsidRPr="001D3665">
        <w:t>Noreg</w:t>
      </w:r>
      <w:proofErr w:type="spellEnd"/>
      <w:r w:rsidRPr="001D3665">
        <w:t xml:space="preserve">. Å føre </w:t>
      </w:r>
      <w:proofErr w:type="spellStart"/>
      <w:r w:rsidRPr="001D3665">
        <w:t>ein</w:t>
      </w:r>
      <w:proofErr w:type="spellEnd"/>
      <w:r w:rsidRPr="001D3665">
        <w:t xml:space="preserve"> </w:t>
      </w:r>
      <w:proofErr w:type="spellStart"/>
      <w:r w:rsidRPr="001D3665">
        <w:t>ansvarleg</w:t>
      </w:r>
      <w:proofErr w:type="spellEnd"/>
      <w:r w:rsidRPr="001D3665">
        <w:t xml:space="preserve"> økonomisk politikk, som </w:t>
      </w:r>
      <w:proofErr w:type="spellStart"/>
      <w:r w:rsidRPr="001D3665">
        <w:t>medverkar</w:t>
      </w:r>
      <w:proofErr w:type="spellEnd"/>
      <w:r w:rsidRPr="001D3665">
        <w:t xml:space="preserve"> til at </w:t>
      </w:r>
      <w:proofErr w:type="spellStart"/>
      <w:r w:rsidRPr="001D3665">
        <w:t>prisane</w:t>
      </w:r>
      <w:proofErr w:type="spellEnd"/>
      <w:r w:rsidRPr="001D3665">
        <w:t xml:space="preserve"> </w:t>
      </w:r>
      <w:proofErr w:type="spellStart"/>
      <w:r w:rsidRPr="001D3665">
        <w:t>ikkje</w:t>
      </w:r>
      <w:proofErr w:type="spellEnd"/>
      <w:r w:rsidRPr="001D3665">
        <w:t xml:space="preserve"> et opp </w:t>
      </w:r>
      <w:proofErr w:type="spellStart"/>
      <w:r w:rsidRPr="001D3665">
        <w:t>lønene</w:t>
      </w:r>
      <w:proofErr w:type="spellEnd"/>
      <w:r w:rsidRPr="001D3665">
        <w:t xml:space="preserve">, er viktig for å sikre at folk får betre råd. Den økonomiske situasjonen og budsjettpolitikken er </w:t>
      </w:r>
      <w:proofErr w:type="spellStart"/>
      <w:r w:rsidRPr="001D3665">
        <w:t>nærare</w:t>
      </w:r>
      <w:proofErr w:type="spellEnd"/>
      <w:r w:rsidRPr="001D3665">
        <w:t xml:space="preserve"> omtalt i kapittel 2 og 3 i Revidert nasjonalbudsjett 2026.</w:t>
      </w:r>
    </w:p>
    <w:p w14:paraId="3B1B1A36" w14:textId="77777777" w:rsidR="00BC371A" w:rsidRPr="001D3665" w:rsidRDefault="00BC371A" w:rsidP="001D3665">
      <w:r w:rsidRPr="001D3665">
        <w:t xml:space="preserve">Det er stor uvisse om den </w:t>
      </w:r>
      <w:proofErr w:type="spellStart"/>
      <w:r w:rsidRPr="001D3665">
        <w:t>vidare</w:t>
      </w:r>
      <w:proofErr w:type="spellEnd"/>
      <w:r w:rsidRPr="001D3665">
        <w:t xml:space="preserve"> utviklinga i </w:t>
      </w:r>
      <w:proofErr w:type="spellStart"/>
      <w:r w:rsidRPr="001D3665">
        <w:t>petroleumsprisane</w:t>
      </w:r>
      <w:proofErr w:type="spellEnd"/>
      <w:r w:rsidRPr="001D3665">
        <w:t xml:space="preserve">, men det vil ta tid før </w:t>
      </w:r>
      <w:proofErr w:type="spellStart"/>
      <w:r w:rsidRPr="001D3665">
        <w:t>energimarknadene</w:t>
      </w:r>
      <w:proofErr w:type="spellEnd"/>
      <w:r w:rsidRPr="001D3665">
        <w:t xml:space="preserve"> og </w:t>
      </w:r>
      <w:proofErr w:type="spellStart"/>
      <w:r w:rsidRPr="001D3665">
        <w:t>energiprisane</w:t>
      </w:r>
      <w:proofErr w:type="spellEnd"/>
      <w:r w:rsidRPr="001D3665">
        <w:t xml:space="preserve"> vert normaliserte, jf. boks 2.2 om utviklinga i </w:t>
      </w:r>
      <w:proofErr w:type="spellStart"/>
      <w:r w:rsidRPr="001D3665">
        <w:t>petroleumsprisar</w:t>
      </w:r>
      <w:proofErr w:type="spellEnd"/>
      <w:r w:rsidRPr="001D3665">
        <w:t xml:space="preserve"> i Revidert nasjonalbudsjett 2026. Kombinasjonen av framleis </w:t>
      </w:r>
      <w:proofErr w:type="spellStart"/>
      <w:r w:rsidRPr="001D3665">
        <w:t>høg</w:t>
      </w:r>
      <w:proofErr w:type="spellEnd"/>
      <w:r w:rsidRPr="001D3665">
        <w:t xml:space="preserve"> prisvekst på </w:t>
      </w:r>
      <w:proofErr w:type="spellStart"/>
      <w:r w:rsidRPr="001D3665">
        <w:t>tenester</w:t>
      </w:r>
      <w:proofErr w:type="spellEnd"/>
      <w:r w:rsidRPr="001D3665">
        <w:t xml:space="preserve"> og ringverknader av </w:t>
      </w:r>
      <w:proofErr w:type="spellStart"/>
      <w:r w:rsidRPr="001D3665">
        <w:t>dei</w:t>
      </w:r>
      <w:proofErr w:type="spellEnd"/>
      <w:r w:rsidRPr="001D3665">
        <w:t xml:space="preserve"> </w:t>
      </w:r>
      <w:proofErr w:type="spellStart"/>
      <w:r w:rsidRPr="001D3665">
        <w:t>auka</w:t>
      </w:r>
      <w:proofErr w:type="spellEnd"/>
      <w:r w:rsidRPr="001D3665">
        <w:t xml:space="preserve"> </w:t>
      </w:r>
      <w:proofErr w:type="spellStart"/>
      <w:r w:rsidRPr="001D3665">
        <w:t>energiprisane</w:t>
      </w:r>
      <w:proofErr w:type="spellEnd"/>
      <w:r w:rsidRPr="001D3665">
        <w:t xml:space="preserve"> </w:t>
      </w:r>
      <w:proofErr w:type="spellStart"/>
      <w:r w:rsidRPr="001D3665">
        <w:t>gjer</w:t>
      </w:r>
      <w:proofErr w:type="spellEnd"/>
      <w:r w:rsidRPr="001D3665">
        <w:t xml:space="preserve"> at prisveksten er venta å </w:t>
      </w:r>
      <w:proofErr w:type="spellStart"/>
      <w:r w:rsidRPr="001D3665">
        <w:t>verte</w:t>
      </w:r>
      <w:proofErr w:type="spellEnd"/>
      <w:r w:rsidRPr="001D3665">
        <w:t xml:space="preserve"> </w:t>
      </w:r>
      <w:proofErr w:type="spellStart"/>
      <w:r w:rsidRPr="001D3665">
        <w:t>klårt</w:t>
      </w:r>
      <w:proofErr w:type="spellEnd"/>
      <w:r w:rsidRPr="001D3665">
        <w:t xml:space="preserve"> </w:t>
      </w:r>
      <w:proofErr w:type="spellStart"/>
      <w:r w:rsidRPr="001D3665">
        <w:t>høgare</w:t>
      </w:r>
      <w:proofErr w:type="spellEnd"/>
      <w:r w:rsidRPr="001D3665">
        <w:t xml:space="preserve"> enn lagt til grunn </w:t>
      </w:r>
      <w:proofErr w:type="spellStart"/>
      <w:r w:rsidRPr="001D3665">
        <w:t>tidlegare</w:t>
      </w:r>
      <w:proofErr w:type="spellEnd"/>
      <w:r w:rsidRPr="001D3665">
        <w:t xml:space="preserve"> i haust. Framover </w:t>
      </w:r>
      <w:proofErr w:type="spellStart"/>
      <w:r w:rsidRPr="001D3665">
        <w:t>bidreg</w:t>
      </w:r>
      <w:proofErr w:type="spellEnd"/>
      <w:r w:rsidRPr="001D3665">
        <w:t xml:space="preserve"> utsiktene for prisveksten og renta til at kjøpekraftsutviklinga for </w:t>
      </w:r>
      <w:proofErr w:type="spellStart"/>
      <w:r w:rsidRPr="001D3665">
        <w:t>hushalda</w:t>
      </w:r>
      <w:proofErr w:type="spellEnd"/>
      <w:r w:rsidRPr="001D3665">
        <w:t xml:space="preserve"> har vorte </w:t>
      </w:r>
      <w:proofErr w:type="spellStart"/>
      <w:r w:rsidRPr="001D3665">
        <w:t>meir</w:t>
      </w:r>
      <w:proofErr w:type="spellEnd"/>
      <w:r w:rsidRPr="001D3665">
        <w:t xml:space="preserve"> usikker. </w:t>
      </w:r>
      <w:proofErr w:type="spellStart"/>
      <w:r w:rsidRPr="001D3665">
        <w:t>Hushalda</w:t>
      </w:r>
      <w:proofErr w:type="spellEnd"/>
      <w:r w:rsidRPr="001D3665">
        <w:t xml:space="preserve"> si kjøpekraftsutvikling er </w:t>
      </w:r>
      <w:proofErr w:type="spellStart"/>
      <w:r w:rsidRPr="001D3665">
        <w:t>nærare</w:t>
      </w:r>
      <w:proofErr w:type="spellEnd"/>
      <w:r w:rsidRPr="001D3665">
        <w:t xml:space="preserve"> omtalt i boks 2.5 i Revidert nasjonalbudsjett 2026.</w:t>
      </w:r>
    </w:p>
    <w:p w14:paraId="19C95958" w14:textId="77777777" w:rsidR="00BC371A" w:rsidRPr="001D3665" w:rsidRDefault="00BC371A" w:rsidP="001D3665">
      <w:proofErr w:type="spellStart"/>
      <w:r w:rsidRPr="001D3665">
        <w:t>Auka</w:t>
      </w:r>
      <w:proofErr w:type="spellEnd"/>
      <w:r w:rsidRPr="001D3665">
        <w:t xml:space="preserve"> </w:t>
      </w:r>
      <w:proofErr w:type="spellStart"/>
      <w:r w:rsidRPr="001D3665">
        <w:t>prisar</w:t>
      </w:r>
      <w:proofErr w:type="spellEnd"/>
      <w:r w:rsidRPr="001D3665">
        <w:t xml:space="preserve"> på petroleum har </w:t>
      </w:r>
      <w:proofErr w:type="spellStart"/>
      <w:r w:rsidRPr="001D3665">
        <w:t>auka</w:t>
      </w:r>
      <w:proofErr w:type="spellEnd"/>
      <w:r w:rsidRPr="001D3665">
        <w:t xml:space="preserve"> </w:t>
      </w:r>
      <w:proofErr w:type="spellStart"/>
      <w:r w:rsidRPr="001D3665">
        <w:t>hushalda</w:t>
      </w:r>
      <w:proofErr w:type="spellEnd"/>
      <w:r w:rsidRPr="001D3665">
        <w:t xml:space="preserve"> sine </w:t>
      </w:r>
      <w:proofErr w:type="spellStart"/>
      <w:r w:rsidRPr="001D3665">
        <w:t>kostnadar</w:t>
      </w:r>
      <w:proofErr w:type="spellEnd"/>
      <w:r w:rsidRPr="001D3665">
        <w:t xml:space="preserve"> til kjøp av drivstoff. Målt som del av samla forbruk får </w:t>
      </w:r>
      <w:proofErr w:type="spellStart"/>
      <w:r w:rsidRPr="001D3665">
        <w:t>høgare</w:t>
      </w:r>
      <w:proofErr w:type="spellEnd"/>
      <w:r w:rsidRPr="001D3665">
        <w:t xml:space="preserve"> pumpepris større verknad på budsjettet til </w:t>
      </w:r>
      <w:proofErr w:type="spellStart"/>
      <w:r w:rsidRPr="001D3665">
        <w:t>låginntektsgrupper</w:t>
      </w:r>
      <w:proofErr w:type="spellEnd"/>
      <w:r w:rsidRPr="001D3665">
        <w:t xml:space="preserve"> enn til høginntektsgrupper. Samstundes </w:t>
      </w:r>
      <w:proofErr w:type="spellStart"/>
      <w:r w:rsidRPr="001D3665">
        <w:t>utgjer</w:t>
      </w:r>
      <w:proofErr w:type="spellEnd"/>
      <w:r w:rsidRPr="001D3665">
        <w:t xml:space="preserve"> drivstoff </w:t>
      </w:r>
      <w:proofErr w:type="spellStart"/>
      <w:r w:rsidRPr="001D3665">
        <w:t>ein</w:t>
      </w:r>
      <w:proofErr w:type="spellEnd"/>
      <w:r w:rsidRPr="001D3665">
        <w:t xml:space="preserve"> stadig mindre del av </w:t>
      </w:r>
      <w:proofErr w:type="spellStart"/>
      <w:r w:rsidRPr="001D3665">
        <w:t>hushalda</w:t>
      </w:r>
      <w:proofErr w:type="spellEnd"/>
      <w:r w:rsidRPr="001D3665">
        <w:t xml:space="preserve"> sine utgifter. </w:t>
      </w:r>
      <w:proofErr w:type="spellStart"/>
      <w:r w:rsidRPr="001D3665">
        <w:t>Personar</w:t>
      </w:r>
      <w:proofErr w:type="spellEnd"/>
      <w:r w:rsidRPr="001D3665">
        <w:t xml:space="preserve"> med </w:t>
      </w:r>
      <w:proofErr w:type="spellStart"/>
      <w:r w:rsidRPr="001D3665">
        <w:t>høg</w:t>
      </w:r>
      <w:proofErr w:type="spellEnd"/>
      <w:r w:rsidRPr="001D3665">
        <w:t xml:space="preserve"> inntekt bruker </w:t>
      </w:r>
      <w:proofErr w:type="spellStart"/>
      <w:r w:rsidRPr="001D3665">
        <w:t>meir</w:t>
      </w:r>
      <w:proofErr w:type="spellEnd"/>
      <w:r w:rsidRPr="001D3665">
        <w:t xml:space="preserve"> drivstoff enn </w:t>
      </w:r>
      <w:proofErr w:type="spellStart"/>
      <w:r w:rsidRPr="001D3665">
        <w:t>personar</w:t>
      </w:r>
      <w:proofErr w:type="spellEnd"/>
      <w:r w:rsidRPr="001D3665">
        <w:t xml:space="preserve"> med låg inntekt. Stortinget sine vedtak om reduserte avgifter på drivstoff </w:t>
      </w:r>
      <w:proofErr w:type="spellStart"/>
      <w:r w:rsidRPr="001D3665">
        <w:t>dempar</w:t>
      </w:r>
      <w:proofErr w:type="spellEnd"/>
      <w:r w:rsidRPr="001D3665">
        <w:t xml:space="preserve"> gjennomslaget </w:t>
      </w:r>
      <w:proofErr w:type="spellStart"/>
      <w:r w:rsidRPr="001D3665">
        <w:t>frå</w:t>
      </w:r>
      <w:proofErr w:type="spellEnd"/>
      <w:r w:rsidRPr="001D3665">
        <w:t xml:space="preserve"> </w:t>
      </w:r>
      <w:proofErr w:type="spellStart"/>
      <w:r w:rsidRPr="001D3665">
        <w:t>auka</w:t>
      </w:r>
      <w:proofErr w:type="spellEnd"/>
      <w:r w:rsidRPr="001D3665">
        <w:t xml:space="preserve"> </w:t>
      </w:r>
      <w:proofErr w:type="spellStart"/>
      <w:r w:rsidRPr="001D3665">
        <w:t>råvareprisar</w:t>
      </w:r>
      <w:proofErr w:type="spellEnd"/>
      <w:r w:rsidRPr="001D3665">
        <w:t xml:space="preserve"> til </w:t>
      </w:r>
      <w:proofErr w:type="spellStart"/>
      <w:r w:rsidRPr="001D3665">
        <w:t>prisane</w:t>
      </w:r>
      <w:proofErr w:type="spellEnd"/>
      <w:r w:rsidRPr="001D3665">
        <w:t xml:space="preserve"> på drivstoff. </w:t>
      </w:r>
      <w:proofErr w:type="spellStart"/>
      <w:r w:rsidRPr="001D3665">
        <w:t>Verknadane</w:t>
      </w:r>
      <w:proofErr w:type="spellEnd"/>
      <w:r w:rsidRPr="001D3665">
        <w:t xml:space="preserve"> for </w:t>
      </w:r>
      <w:proofErr w:type="spellStart"/>
      <w:r w:rsidRPr="001D3665">
        <w:t>hushalda</w:t>
      </w:r>
      <w:proofErr w:type="spellEnd"/>
      <w:r w:rsidRPr="001D3665">
        <w:t xml:space="preserve"> av </w:t>
      </w:r>
      <w:proofErr w:type="spellStart"/>
      <w:r w:rsidRPr="001D3665">
        <w:t>høgare</w:t>
      </w:r>
      <w:proofErr w:type="spellEnd"/>
      <w:r w:rsidRPr="001D3665">
        <w:t xml:space="preserve"> </w:t>
      </w:r>
      <w:proofErr w:type="spellStart"/>
      <w:r w:rsidRPr="001D3665">
        <w:t>prisar</w:t>
      </w:r>
      <w:proofErr w:type="spellEnd"/>
      <w:r w:rsidRPr="001D3665">
        <w:t xml:space="preserve"> på drivstoff er </w:t>
      </w:r>
      <w:proofErr w:type="spellStart"/>
      <w:r w:rsidRPr="001D3665">
        <w:t>nærare</w:t>
      </w:r>
      <w:proofErr w:type="spellEnd"/>
      <w:r w:rsidRPr="001D3665">
        <w:t xml:space="preserve"> omtalte i punkt 9.1.1.</w:t>
      </w:r>
    </w:p>
    <w:p w14:paraId="5C7542A2" w14:textId="77777777" w:rsidR="00BC371A" w:rsidRPr="001D3665" w:rsidRDefault="00BC371A" w:rsidP="001D3665">
      <w:proofErr w:type="spellStart"/>
      <w:r w:rsidRPr="001D3665">
        <w:t>Straumprisane</w:t>
      </w:r>
      <w:proofErr w:type="spellEnd"/>
      <w:r w:rsidRPr="001D3665">
        <w:t xml:space="preserve"> har òg </w:t>
      </w:r>
      <w:proofErr w:type="spellStart"/>
      <w:r w:rsidRPr="001D3665">
        <w:t>auka</w:t>
      </w:r>
      <w:proofErr w:type="spellEnd"/>
      <w:r w:rsidRPr="001D3665">
        <w:t xml:space="preserve"> </w:t>
      </w:r>
      <w:proofErr w:type="spellStart"/>
      <w:r w:rsidRPr="001D3665">
        <w:t>sidan</w:t>
      </w:r>
      <w:proofErr w:type="spellEnd"/>
      <w:r w:rsidRPr="001D3665">
        <w:t xml:space="preserve"> i fjor haust. Ved utgangen av april var </w:t>
      </w:r>
      <w:proofErr w:type="spellStart"/>
      <w:r w:rsidRPr="001D3665">
        <w:t>spotmarknadsprisane</w:t>
      </w:r>
      <w:proofErr w:type="spellEnd"/>
      <w:r w:rsidRPr="001D3665">
        <w:t xml:space="preserve"> på </w:t>
      </w:r>
      <w:proofErr w:type="spellStart"/>
      <w:r w:rsidRPr="001D3665">
        <w:t>straum</w:t>
      </w:r>
      <w:proofErr w:type="spellEnd"/>
      <w:r w:rsidRPr="001D3665">
        <w:t xml:space="preserve"> omtrent på same nivå som ved </w:t>
      </w:r>
      <w:proofErr w:type="spellStart"/>
      <w:r w:rsidRPr="001D3665">
        <w:t>utbrotet</w:t>
      </w:r>
      <w:proofErr w:type="spellEnd"/>
      <w:r w:rsidRPr="001D3665">
        <w:t xml:space="preserve"> av krigen i Midtausten. Korleis </w:t>
      </w:r>
      <w:proofErr w:type="spellStart"/>
      <w:r w:rsidRPr="001D3665">
        <w:t>auken</w:t>
      </w:r>
      <w:proofErr w:type="spellEnd"/>
      <w:r w:rsidRPr="001D3665">
        <w:t xml:space="preserve"> i </w:t>
      </w:r>
      <w:proofErr w:type="spellStart"/>
      <w:r w:rsidRPr="001D3665">
        <w:t>dei</w:t>
      </w:r>
      <w:proofErr w:type="spellEnd"/>
      <w:r w:rsidRPr="001D3665">
        <w:t xml:space="preserve"> </w:t>
      </w:r>
      <w:r w:rsidRPr="001D3665">
        <w:lastRenderedPageBreak/>
        <w:t xml:space="preserve">fossile </w:t>
      </w:r>
      <w:proofErr w:type="spellStart"/>
      <w:r w:rsidRPr="001D3665">
        <w:t>brenselsprisane</w:t>
      </w:r>
      <w:proofErr w:type="spellEnd"/>
      <w:r w:rsidRPr="001D3665">
        <w:t xml:space="preserve"> </w:t>
      </w:r>
      <w:proofErr w:type="spellStart"/>
      <w:r w:rsidRPr="001D3665">
        <w:t>verkar</w:t>
      </w:r>
      <w:proofErr w:type="spellEnd"/>
      <w:r w:rsidRPr="001D3665">
        <w:t xml:space="preserve"> inn på </w:t>
      </w:r>
      <w:proofErr w:type="spellStart"/>
      <w:r w:rsidRPr="001D3665">
        <w:t>kraftprisane</w:t>
      </w:r>
      <w:proofErr w:type="spellEnd"/>
      <w:r w:rsidRPr="001D3665">
        <w:t xml:space="preserve">, vil kunne variere over tid. Utgifter til </w:t>
      </w:r>
      <w:proofErr w:type="spellStart"/>
      <w:r w:rsidRPr="001D3665">
        <w:t>straum</w:t>
      </w:r>
      <w:proofErr w:type="spellEnd"/>
      <w:r w:rsidRPr="001D3665">
        <w:t xml:space="preserve"> </w:t>
      </w:r>
      <w:proofErr w:type="spellStart"/>
      <w:r w:rsidRPr="001D3665">
        <w:t>utgjer</w:t>
      </w:r>
      <w:proofErr w:type="spellEnd"/>
      <w:r w:rsidRPr="001D3665">
        <w:t xml:space="preserve"> </w:t>
      </w:r>
      <w:proofErr w:type="spellStart"/>
      <w:r w:rsidRPr="001D3665">
        <w:t>ein</w:t>
      </w:r>
      <w:proofErr w:type="spellEnd"/>
      <w:r w:rsidRPr="001D3665">
        <w:t xml:space="preserve"> større del av </w:t>
      </w:r>
      <w:proofErr w:type="spellStart"/>
      <w:r w:rsidRPr="001D3665">
        <w:t>hushalda</w:t>
      </w:r>
      <w:proofErr w:type="spellEnd"/>
      <w:r w:rsidRPr="001D3665">
        <w:t xml:space="preserve"> sine samla utgifter enn utgifter til drivstoff. </w:t>
      </w:r>
      <w:proofErr w:type="spellStart"/>
      <w:r w:rsidRPr="001D3665">
        <w:t>Straumstøtteordningane</w:t>
      </w:r>
      <w:proofErr w:type="spellEnd"/>
      <w:r w:rsidRPr="001D3665">
        <w:t xml:space="preserve">, som </w:t>
      </w:r>
      <w:proofErr w:type="spellStart"/>
      <w:r w:rsidRPr="001D3665">
        <w:t>noregspris</w:t>
      </w:r>
      <w:proofErr w:type="spellEnd"/>
      <w:r w:rsidRPr="001D3665">
        <w:t xml:space="preserve">, </w:t>
      </w:r>
      <w:proofErr w:type="spellStart"/>
      <w:r w:rsidRPr="001D3665">
        <w:t>dempar</w:t>
      </w:r>
      <w:proofErr w:type="spellEnd"/>
      <w:r w:rsidRPr="001D3665">
        <w:t xml:space="preserve"> verknaden av </w:t>
      </w:r>
      <w:proofErr w:type="spellStart"/>
      <w:r w:rsidRPr="001D3665">
        <w:t>auka</w:t>
      </w:r>
      <w:proofErr w:type="spellEnd"/>
      <w:r w:rsidRPr="001D3665">
        <w:t xml:space="preserve"> </w:t>
      </w:r>
      <w:proofErr w:type="spellStart"/>
      <w:r w:rsidRPr="001D3665">
        <w:t>straumprisar</w:t>
      </w:r>
      <w:proofErr w:type="spellEnd"/>
      <w:r w:rsidRPr="001D3665">
        <w:t xml:space="preserve"> på utgiftene til </w:t>
      </w:r>
      <w:proofErr w:type="spellStart"/>
      <w:r w:rsidRPr="001D3665">
        <w:t>hushalda</w:t>
      </w:r>
      <w:proofErr w:type="spellEnd"/>
      <w:r w:rsidRPr="001D3665">
        <w:t>.</w:t>
      </w:r>
    </w:p>
    <w:p w14:paraId="198A2D80" w14:textId="77777777" w:rsidR="00BC371A" w:rsidRPr="001D3665" w:rsidRDefault="00BC371A" w:rsidP="001D3665">
      <w:pPr>
        <w:pStyle w:val="avsnitt-tittel"/>
      </w:pPr>
      <w:proofErr w:type="spellStart"/>
      <w:r w:rsidRPr="001D3665">
        <w:t>Eksisterande</w:t>
      </w:r>
      <w:proofErr w:type="spellEnd"/>
      <w:r w:rsidRPr="001D3665">
        <w:t xml:space="preserve"> </w:t>
      </w:r>
      <w:proofErr w:type="spellStart"/>
      <w:r w:rsidRPr="001D3665">
        <w:t>ordningar</w:t>
      </w:r>
      <w:proofErr w:type="spellEnd"/>
      <w:r w:rsidRPr="001D3665">
        <w:t xml:space="preserve"> og anna gjennomført politikk</w:t>
      </w:r>
    </w:p>
    <w:p w14:paraId="65004983" w14:textId="77777777" w:rsidR="00BC371A" w:rsidRPr="001D3665" w:rsidRDefault="00BC371A" w:rsidP="001D3665">
      <w:r w:rsidRPr="001D3665">
        <w:t xml:space="preserve">Både </w:t>
      </w:r>
      <w:proofErr w:type="spellStart"/>
      <w:r w:rsidRPr="001D3665">
        <w:t>inntektssikringsordningar</w:t>
      </w:r>
      <w:proofErr w:type="spellEnd"/>
      <w:r w:rsidRPr="001D3665">
        <w:t xml:space="preserve"> og skattesystemet </w:t>
      </w:r>
      <w:proofErr w:type="spellStart"/>
      <w:r w:rsidRPr="001D3665">
        <w:t>bidreg</w:t>
      </w:r>
      <w:proofErr w:type="spellEnd"/>
      <w:r w:rsidRPr="001D3665">
        <w:t xml:space="preserve"> til </w:t>
      </w:r>
      <w:proofErr w:type="spellStart"/>
      <w:r w:rsidRPr="001D3665">
        <w:t>høg</w:t>
      </w:r>
      <w:proofErr w:type="spellEnd"/>
      <w:r w:rsidRPr="001D3665">
        <w:t xml:space="preserve"> grad av automatisk stabilisering av den norske økonomien. I </w:t>
      </w:r>
      <w:proofErr w:type="spellStart"/>
      <w:r w:rsidRPr="001D3665">
        <w:t>urolege</w:t>
      </w:r>
      <w:proofErr w:type="spellEnd"/>
      <w:r w:rsidRPr="001D3665">
        <w:t xml:space="preserve"> tider vil </w:t>
      </w:r>
      <w:proofErr w:type="spellStart"/>
      <w:r w:rsidRPr="001D3665">
        <w:t>desse</w:t>
      </w:r>
      <w:proofErr w:type="spellEnd"/>
      <w:r w:rsidRPr="001D3665">
        <w:t xml:space="preserve"> </w:t>
      </w:r>
      <w:proofErr w:type="spellStart"/>
      <w:r w:rsidRPr="001D3665">
        <w:t>mekanismane</w:t>
      </w:r>
      <w:proofErr w:type="spellEnd"/>
      <w:r w:rsidRPr="001D3665">
        <w:t xml:space="preserve"> òg syte for at </w:t>
      </w:r>
      <w:proofErr w:type="spellStart"/>
      <w:r w:rsidRPr="001D3665">
        <w:t>hushald</w:t>
      </w:r>
      <w:proofErr w:type="spellEnd"/>
      <w:r w:rsidRPr="001D3665">
        <w:t xml:space="preserve"> og </w:t>
      </w:r>
      <w:proofErr w:type="spellStart"/>
      <w:r w:rsidRPr="001D3665">
        <w:t>verksemder</w:t>
      </w:r>
      <w:proofErr w:type="spellEnd"/>
      <w:r w:rsidRPr="001D3665">
        <w:t xml:space="preserve"> har </w:t>
      </w:r>
      <w:proofErr w:type="spellStart"/>
      <w:r w:rsidRPr="001D3665">
        <w:t>eit</w:t>
      </w:r>
      <w:proofErr w:type="spellEnd"/>
      <w:r w:rsidRPr="001D3665">
        <w:t xml:space="preserve"> solid tryggingsnett. På utgiftssida </w:t>
      </w:r>
      <w:proofErr w:type="spellStart"/>
      <w:r w:rsidRPr="001D3665">
        <w:t>omfattar</w:t>
      </w:r>
      <w:proofErr w:type="spellEnd"/>
      <w:r w:rsidRPr="001D3665">
        <w:t xml:space="preserve"> </w:t>
      </w:r>
      <w:proofErr w:type="spellStart"/>
      <w:r w:rsidRPr="001D3665">
        <w:t>dei</w:t>
      </w:r>
      <w:proofErr w:type="spellEnd"/>
      <w:r w:rsidRPr="001D3665">
        <w:t xml:space="preserve"> mellom anna </w:t>
      </w:r>
      <w:proofErr w:type="spellStart"/>
      <w:r w:rsidRPr="001D3665">
        <w:t>dagpengar</w:t>
      </w:r>
      <w:proofErr w:type="spellEnd"/>
      <w:r w:rsidRPr="001D3665">
        <w:t xml:space="preserve"> og sosialhjelp, </w:t>
      </w:r>
      <w:proofErr w:type="spellStart"/>
      <w:r w:rsidRPr="001D3665">
        <w:t>medan</w:t>
      </w:r>
      <w:proofErr w:type="spellEnd"/>
      <w:r w:rsidRPr="001D3665">
        <w:t xml:space="preserve"> </w:t>
      </w:r>
      <w:proofErr w:type="spellStart"/>
      <w:r w:rsidRPr="001D3665">
        <w:t>dei</w:t>
      </w:r>
      <w:proofErr w:type="spellEnd"/>
      <w:r w:rsidRPr="001D3665">
        <w:t xml:space="preserve"> på inntektssida </w:t>
      </w:r>
      <w:proofErr w:type="spellStart"/>
      <w:r w:rsidRPr="001D3665">
        <w:t>verkar</w:t>
      </w:r>
      <w:proofErr w:type="spellEnd"/>
      <w:r w:rsidRPr="001D3665">
        <w:t xml:space="preserve"> gjennom inntektsskattesystemet, som </w:t>
      </w:r>
      <w:proofErr w:type="spellStart"/>
      <w:r w:rsidRPr="001D3665">
        <w:t>gjer</w:t>
      </w:r>
      <w:proofErr w:type="spellEnd"/>
      <w:r w:rsidRPr="001D3665">
        <w:t xml:space="preserve"> at </w:t>
      </w:r>
      <w:proofErr w:type="spellStart"/>
      <w:r w:rsidRPr="001D3665">
        <w:t>personar</w:t>
      </w:r>
      <w:proofErr w:type="spellEnd"/>
      <w:r w:rsidRPr="001D3665">
        <w:t xml:space="preserve"> og </w:t>
      </w:r>
      <w:proofErr w:type="spellStart"/>
      <w:r w:rsidRPr="001D3665">
        <w:t>verksemder</w:t>
      </w:r>
      <w:proofErr w:type="spellEnd"/>
      <w:r w:rsidRPr="001D3665">
        <w:t xml:space="preserve"> automatisk betaler mindre skatt når den økonomiske aktiviteten </w:t>
      </w:r>
      <w:proofErr w:type="spellStart"/>
      <w:r w:rsidRPr="001D3665">
        <w:t>bremsar</w:t>
      </w:r>
      <w:proofErr w:type="spellEnd"/>
      <w:r w:rsidRPr="001D3665">
        <w:t xml:space="preserve"> opp. </w:t>
      </w:r>
      <w:proofErr w:type="spellStart"/>
      <w:r w:rsidRPr="001D3665">
        <w:t>Desse</w:t>
      </w:r>
      <w:proofErr w:type="spellEnd"/>
      <w:r w:rsidRPr="001D3665">
        <w:t xml:space="preserve"> automatiske </w:t>
      </w:r>
      <w:proofErr w:type="spellStart"/>
      <w:r w:rsidRPr="001D3665">
        <w:t>stabilisatorane</w:t>
      </w:r>
      <w:proofErr w:type="spellEnd"/>
      <w:r w:rsidRPr="001D3665">
        <w:t xml:space="preserve"> </w:t>
      </w:r>
      <w:proofErr w:type="spellStart"/>
      <w:r w:rsidRPr="001D3665">
        <w:t>tryggjer</w:t>
      </w:r>
      <w:proofErr w:type="spellEnd"/>
      <w:r w:rsidRPr="001D3665">
        <w:t xml:space="preserve"> </w:t>
      </w:r>
      <w:proofErr w:type="spellStart"/>
      <w:r w:rsidRPr="001D3665">
        <w:t>hushald</w:t>
      </w:r>
      <w:proofErr w:type="spellEnd"/>
      <w:r w:rsidRPr="001D3665">
        <w:t xml:space="preserve"> og næringsliv, og er både målretta og </w:t>
      </w:r>
      <w:proofErr w:type="spellStart"/>
      <w:r w:rsidRPr="001D3665">
        <w:t>mellombelse</w:t>
      </w:r>
      <w:proofErr w:type="spellEnd"/>
      <w:r w:rsidRPr="001D3665">
        <w:t xml:space="preserve">. Norsk økonomi har </w:t>
      </w:r>
      <w:proofErr w:type="spellStart"/>
      <w:r w:rsidRPr="001D3665">
        <w:t>difor</w:t>
      </w:r>
      <w:proofErr w:type="spellEnd"/>
      <w:r w:rsidRPr="001D3665">
        <w:t xml:space="preserve"> </w:t>
      </w:r>
      <w:proofErr w:type="spellStart"/>
      <w:r w:rsidRPr="001D3665">
        <w:t>allereie</w:t>
      </w:r>
      <w:proofErr w:type="spellEnd"/>
      <w:r w:rsidRPr="001D3665">
        <w:t xml:space="preserve"> </w:t>
      </w:r>
      <w:proofErr w:type="spellStart"/>
      <w:r w:rsidRPr="001D3665">
        <w:t>eit</w:t>
      </w:r>
      <w:proofErr w:type="spellEnd"/>
      <w:r w:rsidRPr="001D3665">
        <w:t xml:space="preserve"> godt utgangspunkt for å handtere økonomiske </w:t>
      </w:r>
      <w:proofErr w:type="spellStart"/>
      <w:r w:rsidRPr="001D3665">
        <w:t>svingingar</w:t>
      </w:r>
      <w:proofErr w:type="spellEnd"/>
      <w:r w:rsidRPr="001D3665">
        <w:t>.</w:t>
      </w:r>
    </w:p>
    <w:p w14:paraId="57110167" w14:textId="77777777" w:rsidR="00BC371A" w:rsidRPr="001D3665" w:rsidRDefault="00BC371A" w:rsidP="001D3665">
      <w:r w:rsidRPr="001D3665">
        <w:t xml:space="preserve">Stortinget har </w:t>
      </w:r>
      <w:proofErr w:type="spellStart"/>
      <w:r w:rsidRPr="001D3665">
        <w:t>allereie</w:t>
      </w:r>
      <w:proofErr w:type="spellEnd"/>
      <w:r w:rsidRPr="001D3665">
        <w:t xml:space="preserve"> </w:t>
      </w:r>
      <w:proofErr w:type="spellStart"/>
      <w:r w:rsidRPr="001D3665">
        <w:t>vedteke</w:t>
      </w:r>
      <w:proofErr w:type="spellEnd"/>
      <w:r w:rsidRPr="001D3665">
        <w:t xml:space="preserve"> mellombels </w:t>
      </w:r>
      <w:proofErr w:type="spellStart"/>
      <w:r w:rsidRPr="001D3665">
        <w:t>lågare</w:t>
      </w:r>
      <w:proofErr w:type="spellEnd"/>
      <w:r w:rsidRPr="001D3665">
        <w:t xml:space="preserve"> avgifter på drivstoff fram til og med 31. august 2026, med </w:t>
      </w:r>
      <w:proofErr w:type="spellStart"/>
      <w:r w:rsidRPr="001D3665">
        <w:t>ein</w:t>
      </w:r>
      <w:proofErr w:type="spellEnd"/>
      <w:r w:rsidRPr="001D3665">
        <w:t xml:space="preserve"> kostnad på om lag 5,5 mrd. kroner. </w:t>
      </w:r>
      <w:proofErr w:type="spellStart"/>
      <w:r w:rsidRPr="001D3665">
        <w:t>Vidare</w:t>
      </w:r>
      <w:proofErr w:type="spellEnd"/>
      <w:r w:rsidRPr="001D3665">
        <w:t xml:space="preserve"> har regjeringa gjennomført </w:t>
      </w:r>
      <w:proofErr w:type="spellStart"/>
      <w:r w:rsidRPr="001D3665">
        <w:t>fleire</w:t>
      </w:r>
      <w:proofErr w:type="spellEnd"/>
      <w:r w:rsidRPr="001D3665">
        <w:t xml:space="preserve"> tiltak som </w:t>
      </w:r>
      <w:proofErr w:type="spellStart"/>
      <w:r w:rsidRPr="001D3665">
        <w:t>styrkjer</w:t>
      </w:r>
      <w:proofErr w:type="spellEnd"/>
      <w:r w:rsidRPr="001D3665">
        <w:t xml:space="preserve"> </w:t>
      </w:r>
      <w:proofErr w:type="spellStart"/>
      <w:r w:rsidRPr="001D3665">
        <w:t>kvardagsøkonomien</w:t>
      </w:r>
      <w:proofErr w:type="spellEnd"/>
      <w:r w:rsidRPr="001D3665">
        <w:t xml:space="preserve"> for </w:t>
      </w:r>
      <w:proofErr w:type="spellStart"/>
      <w:r w:rsidRPr="001D3665">
        <w:t>hushalda</w:t>
      </w:r>
      <w:proofErr w:type="spellEnd"/>
      <w:r w:rsidRPr="001D3665">
        <w:t xml:space="preserve"> og </w:t>
      </w:r>
      <w:proofErr w:type="spellStart"/>
      <w:r w:rsidRPr="001D3665">
        <w:t>gjer</w:t>
      </w:r>
      <w:proofErr w:type="spellEnd"/>
      <w:r w:rsidRPr="001D3665">
        <w:t xml:space="preserve"> </w:t>
      </w:r>
      <w:proofErr w:type="spellStart"/>
      <w:r w:rsidRPr="001D3665">
        <w:t>dei</w:t>
      </w:r>
      <w:proofErr w:type="spellEnd"/>
      <w:r w:rsidRPr="001D3665">
        <w:t xml:space="preserve"> betre rusta til å møte </w:t>
      </w:r>
      <w:proofErr w:type="spellStart"/>
      <w:r w:rsidRPr="001D3665">
        <w:t>kostnadsaukingane</w:t>
      </w:r>
      <w:proofErr w:type="spellEnd"/>
      <w:r w:rsidRPr="001D3665">
        <w:t xml:space="preserve"> </w:t>
      </w:r>
      <w:proofErr w:type="spellStart"/>
      <w:r w:rsidRPr="001D3665">
        <w:t>dei</w:t>
      </w:r>
      <w:proofErr w:type="spellEnd"/>
      <w:r w:rsidRPr="001D3665">
        <w:t xml:space="preserve"> </w:t>
      </w:r>
      <w:proofErr w:type="spellStart"/>
      <w:r w:rsidRPr="001D3665">
        <w:t>no</w:t>
      </w:r>
      <w:proofErr w:type="spellEnd"/>
      <w:r w:rsidRPr="001D3665">
        <w:t xml:space="preserve"> opplever, mellom anna gjennom </w:t>
      </w:r>
      <w:proofErr w:type="spellStart"/>
      <w:r w:rsidRPr="001D3665">
        <w:t>noregspris</w:t>
      </w:r>
      <w:proofErr w:type="spellEnd"/>
      <w:r w:rsidRPr="001D3665">
        <w:t xml:space="preserve"> og straumstøtte.</w:t>
      </w:r>
    </w:p>
    <w:p w14:paraId="426FABF4" w14:textId="77777777" w:rsidR="00BC371A" w:rsidRPr="001D3665" w:rsidRDefault="00BC371A" w:rsidP="001D3665">
      <w:r w:rsidRPr="001D3665">
        <w:t xml:space="preserve">Med </w:t>
      </w:r>
      <w:proofErr w:type="spellStart"/>
      <w:r w:rsidRPr="001D3665">
        <w:t>noregspris</w:t>
      </w:r>
      <w:proofErr w:type="spellEnd"/>
      <w:r w:rsidRPr="001D3665">
        <w:t xml:space="preserve"> kan </w:t>
      </w:r>
      <w:proofErr w:type="spellStart"/>
      <w:r w:rsidRPr="001D3665">
        <w:t>hushalda</w:t>
      </w:r>
      <w:proofErr w:type="spellEnd"/>
      <w:r w:rsidRPr="001D3665">
        <w:t xml:space="preserve"> avtale </w:t>
      </w:r>
      <w:proofErr w:type="spellStart"/>
      <w:r w:rsidRPr="001D3665">
        <w:t>ein</w:t>
      </w:r>
      <w:proofErr w:type="spellEnd"/>
      <w:r w:rsidRPr="001D3665">
        <w:t xml:space="preserve"> fast pris på 50 øre/kWh, inkludert </w:t>
      </w:r>
      <w:proofErr w:type="spellStart"/>
      <w:r w:rsidRPr="001D3665">
        <w:t>meirverdiavgift</w:t>
      </w:r>
      <w:proofErr w:type="spellEnd"/>
      <w:r w:rsidRPr="001D3665">
        <w:t xml:space="preserve">, uavhengig av kor høg </w:t>
      </w:r>
      <w:proofErr w:type="spellStart"/>
      <w:r w:rsidRPr="001D3665">
        <w:t>spotmarknadsprisen</w:t>
      </w:r>
      <w:proofErr w:type="spellEnd"/>
      <w:r w:rsidRPr="001D3665">
        <w:t xml:space="preserve"> er. Kostnaden for </w:t>
      </w:r>
      <w:proofErr w:type="spellStart"/>
      <w:r w:rsidRPr="001D3665">
        <w:t>straumstøtteordningane</w:t>
      </w:r>
      <w:proofErr w:type="spellEnd"/>
      <w:r w:rsidRPr="001D3665">
        <w:t xml:space="preserve"> under Energidepartementet i 2026 er estimert til 21,5 mrd. kroner, </w:t>
      </w:r>
      <w:proofErr w:type="spellStart"/>
      <w:r w:rsidRPr="001D3665">
        <w:t>ein</w:t>
      </w:r>
      <w:proofErr w:type="spellEnd"/>
      <w:r w:rsidRPr="001D3665">
        <w:t xml:space="preserve"> </w:t>
      </w:r>
      <w:proofErr w:type="spellStart"/>
      <w:r w:rsidRPr="001D3665">
        <w:t>auke</w:t>
      </w:r>
      <w:proofErr w:type="spellEnd"/>
      <w:r w:rsidRPr="001D3665">
        <w:t xml:space="preserve"> på om lag 10 mrd. kroner </w:t>
      </w:r>
      <w:proofErr w:type="spellStart"/>
      <w:r w:rsidRPr="001D3665">
        <w:t>frå</w:t>
      </w:r>
      <w:proofErr w:type="spellEnd"/>
      <w:r w:rsidRPr="001D3665">
        <w:t xml:space="preserve"> </w:t>
      </w:r>
      <w:proofErr w:type="spellStart"/>
      <w:r w:rsidRPr="001D3665">
        <w:t>tidlegare</w:t>
      </w:r>
      <w:proofErr w:type="spellEnd"/>
      <w:r w:rsidRPr="001D3665">
        <w:t xml:space="preserve"> overslag på 11,5 mrd. kroner. Denne </w:t>
      </w:r>
      <w:proofErr w:type="spellStart"/>
      <w:r w:rsidRPr="001D3665">
        <w:t>vesentlege</w:t>
      </w:r>
      <w:proofErr w:type="spellEnd"/>
      <w:r w:rsidRPr="001D3665">
        <w:t xml:space="preserve"> </w:t>
      </w:r>
      <w:proofErr w:type="spellStart"/>
      <w:r w:rsidRPr="001D3665">
        <w:t>auken</w:t>
      </w:r>
      <w:proofErr w:type="spellEnd"/>
      <w:r w:rsidRPr="001D3665">
        <w:t xml:space="preserve"> kjem av </w:t>
      </w:r>
      <w:proofErr w:type="spellStart"/>
      <w:r w:rsidRPr="001D3665">
        <w:t>auka</w:t>
      </w:r>
      <w:proofErr w:type="spellEnd"/>
      <w:r w:rsidRPr="001D3665">
        <w:t xml:space="preserve"> </w:t>
      </w:r>
      <w:proofErr w:type="spellStart"/>
      <w:r w:rsidRPr="001D3665">
        <w:t>straumprisar</w:t>
      </w:r>
      <w:proofErr w:type="spellEnd"/>
      <w:r w:rsidRPr="001D3665">
        <w:t xml:space="preserve"> i 2026, både realiserte </w:t>
      </w:r>
      <w:proofErr w:type="spellStart"/>
      <w:r w:rsidRPr="001D3665">
        <w:t>prisar</w:t>
      </w:r>
      <w:proofErr w:type="spellEnd"/>
      <w:r w:rsidRPr="001D3665">
        <w:t xml:space="preserve"> so langt og venta </w:t>
      </w:r>
      <w:proofErr w:type="spellStart"/>
      <w:r w:rsidRPr="001D3665">
        <w:t>prisar</w:t>
      </w:r>
      <w:proofErr w:type="spellEnd"/>
      <w:r w:rsidRPr="001D3665">
        <w:t xml:space="preserve"> ut året, </w:t>
      </w:r>
      <w:proofErr w:type="spellStart"/>
      <w:r w:rsidRPr="001D3665">
        <w:t>samanlikna</w:t>
      </w:r>
      <w:proofErr w:type="spellEnd"/>
      <w:r w:rsidRPr="001D3665">
        <w:t xml:space="preserve"> med overslaga som </w:t>
      </w:r>
      <w:proofErr w:type="spellStart"/>
      <w:r w:rsidRPr="001D3665">
        <w:t>låg</w:t>
      </w:r>
      <w:proofErr w:type="spellEnd"/>
      <w:r w:rsidRPr="001D3665">
        <w:t xml:space="preserve"> til grunn for saldert budsjett. Dei </w:t>
      </w:r>
      <w:proofErr w:type="spellStart"/>
      <w:r w:rsidRPr="001D3665">
        <w:t>auka</w:t>
      </w:r>
      <w:proofErr w:type="spellEnd"/>
      <w:r w:rsidRPr="001D3665">
        <w:t xml:space="preserve"> utgiftene til </w:t>
      </w:r>
      <w:proofErr w:type="spellStart"/>
      <w:r w:rsidRPr="001D3665">
        <w:t>straumstøtteordningane</w:t>
      </w:r>
      <w:proofErr w:type="spellEnd"/>
      <w:r w:rsidRPr="001D3665">
        <w:t xml:space="preserve"> representerer </w:t>
      </w:r>
      <w:proofErr w:type="spellStart"/>
      <w:r w:rsidRPr="001D3665">
        <w:t>dimed</w:t>
      </w:r>
      <w:proofErr w:type="spellEnd"/>
      <w:r w:rsidRPr="001D3665">
        <w:t xml:space="preserve"> store </w:t>
      </w:r>
      <w:proofErr w:type="spellStart"/>
      <w:r w:rsidRPr="001D3665">
        <w:t>overføringar</w:t>
      </w:r>
      <w:proofErr w:type="spellEnd"/>
      <w:r w:rsidRPr="001D3665">
        <w:t xml:space="preserve"> til </w:t>
      </w:r>
      <w:proofErr w:type="spellStart"/>
      <w:r w:rsidRPr="001D3665">
        <w:t>hushalda</w:t>
      </w:r>
      <w:proofErr w:type="spellEnd"/>
      <w:r w:rsidRPr="001D3665">
        <w:t xml:space="preserve"> som reduserer </w:t>
      </w:r>
      <w:proofErr w:type="spellStart"/>
      <w:r w:rsidRPr="001D3665">
        <w:t>levekostnadane</w:t>
      </w:r>
      <w:proofErr w:type="spellEnd"/>
      <w:r w:rsidRPr="001D3665">
        <w:t xml:space="preserve">, </w:t>
      </w:r>
      <w:proofErr w:type="spellStart"/>
      <w:r w:rsidRPr="001D3665">
        <w:t>sjølv</w:t>
      </w:r>
      <w:proofErr w:type="spellEnd"/>
      <w:r w:rsidRPr="001D3665">
        <w:t xml:space="preserve"> </w:t>
      </w:r>
      <w:proofErr w:type="spellStart"/>
      <w:r w:rsidRPr="001D3665">
        <w:t>utan</w:t>
      </w:r>
      <w:proofErr w:type="spellEnd"/>
      <w:r w:rsidRPr="001D3665">
        <w:t xml:space="preserve"> nye tiltak. Med utgangspunkt i </w:t>
      </w:r>
      <w:proofErr w:type="spellStart"/>
      <w:r w:rsidRPr="001D3665">
        <w:t>terminprisar</w:t>
      </w:r>
      <w:proofErr w:type="spellEnd"/>
      <w:r w:rsidRPr="001D3665">
        <w:t xml:space="preserve"> </w:t>
      </w:r>
      <w:proofErr w:type="spellStart"/>
      <w:r w:rsidRPr="001D3665">
        <w:t>frå</w:t>
      </w:r>
      <w:proofErr w:type="spellEnd"/>
      <w:r w:rsidRPr="001D3665">
        <w:t xml:space="preserve"> mars 2026 er det anslått at </w:t>
      </w:r>
      <w:proofErr w:type="spellStart"/>
      <w:r w:rsidRPr="001D3665">
        <w:t>eit</w:t>
      </w:r>
      <w:proofErr w:type="spellEnd"/>
      <w:r w:rsidRPr="001D3665">
        <w:t xml:space="preserve"> </w:t>
      </w:r>
      <w:proofErr w:type="spellStart"/>
      <w:r w:rsidRPr="001D3665">
        <w:t>gjennomsnittleg</w:t>
      </w:r>
      <w:proofErr w:type="spellEnd"/>
      <w:r w:rsidRPr="001D3665">
        <w:t xml:space="preserve"> </w:t>
      </w:r>
      <w:proofErr w:type="spellStart"/>
      <w:r w:rsidRPr="001D3665">
        <w:t>hushald</w:t>
      </w:r>
      <w:proofErr w:type="spellEnd"/>
      <w:r w:rsidRPr="001D3665">
        <w:t xml:space="preserve"> i Sør-</w:t>
      </w:r>
      <w:proofErr w:type="spellStart"/>
      <w:r w:rsidRPr="001D3665">
        <w:t>Noreg</w:t>
      </w:r>
      <w:proofErr w:type="spellEnd"/>
      <w:r w:rsidRPr="001D3665">
        <w:t xml:space="preserve"> som vel terminkontrakten </w:t>
      </w:r>
      <w:proofErr w:type="spellStart"/>
      <w:r w:rsidRPr="001D3665">
        <w:t>noregspris</w:t>
      </w:r>
      <w:proofErr w:type="spellEnd"/>
      <w:r w:rsidRPr="001D3665">
        <w:t xml:space="preserve"> vil kunne få støtte på om lag 10–11 000 kroner i 2026 </w:t>
      </w:r>
      <w:proofErr w:type="spellStart"/>
      <w:r w:rsidRPr="001D3665">
        <w:t>samanlikna</w:t>
      </w:r>
      <w:proofErr w:type="spellEnd"/>
      <w:r w:rsidRPr="001D3665">
        <w:t xml:space="preserve"> med spotprisen. I tillegg er elavgifta redusert med nesten 8,5 mrd. kroner </w:t>
      </w:r>
      <w:proofErr w:type="spellStart"/>
      <w:r w:rsidRPr="001D3665">
        <w:t>sidan</w:t>
      </w:r>
      <w:proofErr w:type="spellEnd"/>
      <w:r w:rsidRPr="001D3665">
        <w:t xml:space="preserve"> regjeringa </w:t>
      </w:r>
      <w:proofErr w:type="spellStart"/>
      <w:r w:rsidRPr="001D3665">
        <w:t>tiltredde</w:t>
      </w:r>
      <w:proofErr w:type="spellEnd"/>
      <w:r w:rsidRPr="001D3665">
        <w:t>.</w:t>
      </w:r>
    </w:p>
    <w:p w14:paraId="512479D2" w14:textId="77777777" w:rsidR="00BC371A" w:rsidRPr="001D3665" w:rsidRDefault="00BC371A" w:rsidP="001D3665">
      <w:proofErr w:type="spellStart"/>
      <w:r w:rsidRPr="001D3665">
        <w:t>Noreg</w:t>
      </w:r>
      <w:proofErr w:type="spellEnd"/>
      <w:r w:rsidRPr="001D3665">
        <w:t xml:space="preserve"> har òg </w:t>
      </w:r>
      <w:proofErr w:type="spellStart"/>
      <w:r w:rsidRPr="001D3665">
        <w:t>omfattande</w:t>
      </w:r>
      <w:proofErr w:type="spellEnd"/>
      <w:r w:rsidRPr="001D3665">
        <w:t xml:space="preserve"> </w:t>
      </w:r>
      <w:proofErr w:type="spellStart"/>
      <w:r w:rsidRPr="001D3665">
        <w:t>ordningar</w:t>
      </w:r>
      <w:proofErr w:type="spellEnd"/>
      <w:r w:rsidRPr="001D3665">
        <w:t xml:space="preserve"> for inntektssikring av </w:t>
      </w:r>
      <w:proofErr w:type="spellStart"/>
      <w:r w:rsidRPr="001D3665">
        <w:t>hushalda</w:t>
      </w:r>
      <w:proofErr w:type="spellEnd"/>
      <w:r w:rsidRPr="001D3665">
        <w:t xml:space="preserve">, </w:t>
      </w:r>
      <w:proofErr w:type="spellStart"/>
      <w:r w:rsidRPr="001D3665">
        <w:t>hovudsakleg</w:t>
      </w:r>
      <w:proofErr w:type="spellEnd"/>
      <w:r w:rsidRPr="001D3665">
        <w:t xml:space="preserve"> gjennom folketrygda. </w:t>
      </w:r>
      <w:proofErr w:type="spellStart"/>
      <w:r w:rsidRPr="001D3665">
        <w:t>Fleire</w:t>
      </w:r>
      <w:proofErr w:type="spellEnd"/>
      <w:r w:rsidRPr="001D3665">
        <w:t xml:space="preserve"> </w:t>
      </w:r>
      <w:proofErr w:type="spellStart"/>
      <w:r w:rsidRPr="001D3665">
        <w:t>minsteytingar</w:t>
      </w:r>
      <w:proofErr w:type="spellEnd"/>
      <w:r w:rsidRPr="001D3665">
        <w:t xml:space="preserve"> har vorte </w:t>
      </w:r>
      <w:proofErr w:type="spellStart"/>
      <w:r w:rsidRPr="001D3665">
        <w:t>auka</w:t>
      </w:r>
      <w:proofErr w:type="spellEnd"/>
      <w:r w:rsidRPr="001D3665">
        <w:t xml:space="preserve"> utover </w:t>
      </w:r>
      <w:proofErr w:type="spellStart"/>
      <w:r w:rsidRPr="001D3665">
        <w:t>dei</w:t>
      </w:r>
      <w:proofErr w:type="spellEnd"/>
      <w:r w:rsidRPr="001D3665">
        <w:t xml:space="preserve"> </w:t>
      </w:r>
      <w:proofErr w:type="spellStart"/>
      <w:r w:rsidRPr="001D3665">
        <w:t>årlege</w:t>
      </w:r>
      <w:proofErr w:type="spellEnd"/>
      <w:r w:rsidRPr="001D3665">
        <w:t xml:space="preserve"> </w:t>
      </w:r>
      <w:proofErr w:type="spellStart"/>
      <w:r w:rsidRPr="001D3665">
        <w:t>reguleringane</w:t>
      </w:r>
      <w:proofErr w:type="spellEnd"/>
      <w:r w:rsidRPr="001D3665">
        <w:t xml:space="preserve"> under Støre-regjeringa sin periode. Minstepensjonen for </w:t>
      </w:r>
      <w:proofErr w:type="spellStart"/>
      <w:r w:rsidRPr="001D3665">
        <w:t>einslege</w:t>
      </w:r>
      <w:proofErr w:type="spellEnd"/>
      <w:r w:rsidRPr="001D3665">
        <w:t xml:space="preserve"> vart </w:t>
      </w:r>
      <w:proofErr w:type="spellStart"/>
      <w:r w:rsidRPr="001D3665">
        <w:t>auka</w:t>
      </w:r>
      <w:proofErr w:type="spellEnd"/>
      <w:r w:rsidRPr="001D3665">
        <w:t xml:space="preserve"> med 4 000 kroner i 2023 og 6 000 kroner i 2025. I 2023 vart </w:t>
      </w:r>
      <w:proofErr w:type="spellStart"/>
      <w:r w:rsidRPr="001D3665">
        <w:t>dei</w:t>
      </w:r>
      <w:proofErr w:type="spellEnd"/>
      <w:r w:rsidRPr="001D3665">
        <w:t xml:space="preserve"> </w:t>
      </w:r>
      <w:proofErr w:type="spellStart"/>
      <w:r w:rsidRPr="001D3665">
        <w:t>statlege</w:t>
      </w:r>
      <w:proofErr w:type="spellEnd"/>
      <w:r w:rsidRPr="001D3665">
        <w:t xml:space="preserve"> </w:t>
      </w:r>
      <w:proofErr w:type="spellStart"/>
      <w:r w:rsidRPr="001D3665">
        <w:t>retningslinene</w:t>
      </w:r>
      <w:proofErr w:type="spellEnd"/>
      <w:r w:rsidRPr="001D3665">
        <w:t xml:space="preserve"> for sosialhjelp </w:t>
      </w:r>
      <w:proofErr w:type="spellStart"/>
      <w:r w:rsidRPr="001D3665">
        <w:t>auka</w:t>
      </w:r>
      <w:proofErr w:type="spellEnd"/>
      <w:r w:rsidRPr="001D3665">
        <w:t xml:space="preserve"> med 10 pst. I 2024 vart </w:t>
      </w:r>
      <w:proofErr w:type="spellStart"/>
      <w:r w:rsidRPr="001D3665">
        <w:t>minsteytingane</w:t>
      </w:r>
      <w:proofErr w:type="spellEnd"/>
      <w:r w:rsidRPr="001D3665">
        <w:t xml:space="preserve"> for uføretrygda, </w:t>
      </w:r>
      <w:proofErr w:type="spellStart"/>
      <w:r w:rsidRPr="001D3665">
        <w:t>mottakarar</w:t>
      </w:r>
      <w:proofErr w:type="spellEnd"/>
      <w:r w:rsidRPr="001D3665">
        <w:t xml:space="preserve"> av </w:t>
      </w:r>
      <w:proofErr w:type="spellStart"/>
      <w:r w:rsidRPr="001D3665">
        <w:t>arbeidsavklåringspengar</w:t>
      </w:r>
      <w:proofErr w:type="spellEnd"/>
      <w:r w:rsidRPr="001D3665">
        <w:t xml:space="preserve"> og kvalifiseringsstønad </w:t>
      </w:r>
      <w:proofErr w:type="spellStart"/>
      <w:r w:rsidRPr="001D3665">
        <w:t>auka</w:t>
      </w:r>
      <w:proofErr w:type="spellEnd"/>
      <w:r w:rsidRPr="001D3665">
        <w:t xml:space="preserve"> med </w:t>
      </w:r>
      <w:proofErr w:type="spellStart"/>
      <w:r w:rsidRPr="001D3665">
        <w:t>høvesvis</w:t>
      </w:r>
      <w:proofErr w:type="spellEnd"/>
      <w:r w:rsidRPr="001D3665">
        <w:t xml:space="preserve"> 6 000, 5 000 og 5 000 kroner.</w:t>
      </w:r>
    </w:p>
    <w:p w14:paraId="7F624062" w14:textId="77777777" w:rsidR="00BC371A" w:rsidRPr="001D3665" w:rsidRDefault="00BC371A" w:rsidP="001D3665">
      <w:r w:rsidRPr="001D3665">
        <w:t xml:space="preserve">Barnetrygda har for barn over seks år </w:t>
      </w:r>
      <w:proofErr w:type="spellStart"/>
      <w:r w:rsidRPr="001D3665">
        <w:t>auka</w:t>
      </w:r>
      <w:proofErr w:type="spellEnd"/>
      <w:r w:rsidRPr="001D3665">
        <w:t xml:space="preserve"> med 60 pst. </w:t>
      </w:r>
      <w:proofErr w:type="spellStart"/>
      <w:r w:rsidRPr="001D3665">
        <w:t>sidan</w:t>
      </w:r>
      <w:proofErr w:type="spellEnd"/>
      <w:r w:rsidRPr="001D3665">
        <w:t xml:space="preserve"> regjeringa </w:t>
      </w:r>
      <w:proofErr w:type="spellStart"/>
      <w:r w:rsidRPr="001D3665">
        <w:t>tiltredde</w:t>
      </w:r>
      <w:proofErr w:type="spellEnd"/>
      <w:r w:rsidRPr="001D3665">
        <w:t xml:space="preserve">, og er reelt sett </w:t>
      </w:r>
      <w:proofErr w:type="spellStart"/>
      <w:r w:rsidRPr="001D3665">
        <w:t>auka</w:t>
      </w:r>
      <w:proofErr w:type="spellEnd"/>
      <w:r w:rsidRPr="001D3665">
        <w:t xml:space="preserve"> med nesten 9 000 kroner per barn over seks år </w:t>
      </w:r>
      <w:proofErr w:type="spellStart"/>
      <w:r w:rsidRPr="001D3665">
        <w:t>sidan</w:t>
      </w:r>
      <w:proofErr w:type="spellEnd"/>
      <w:r w:rsidRPr="001D3665">
        <w:t xml:space="preserve"> 2021. </w:t>
      </w:r>
      <w:proofErr w:type="spellStart"/>
      <w:r w:rsidRPr="001D3665">
        <w:t>Prisane</w:t>
      </w:r>
      <w:proofErr w:type="spellEnd"/>
      <w:r w:rsidRPr="001D3665">
        <w:t xml:space="preserve"> for barnehage er òg kraftig reduserte, slik at ingen </w:t>
      </w:r>
      <w:proofErr w:type="spellStart"/>
      <w:r w:rsidRPr="001D3665">
        <w:t>no</w:t>
      </w:r>
      <w:proofErr w:type="spellEnd"/>
      <w:r w:rsidRPr="001D3665">
        <w:t xml:space="preserve"> betaler </w:t>
      </w:r>
      <w:proofErr w:type="spellStart"/>
      <w:r w:rsidRPr="001D3665">
        <w:t>meir</w:t>
      </w:r>
      <w:proofErr w:type="spellEnd"/>
      <w:r w:rsidRPr="001D3665">
        <w:t xml:space="preserve"> enn historisk låge 1 200 kroner per barn i barnehage. Regjeringa har innført tolv </w:t>
      </w:r>
      <w:proofErr w:type="spellStart"/>
      <w:r w:rsidRPr="001D3665">
        <w:t>timar</w:t>
      </w:r>
      <w:proofErr w:type="spellEnd"/>
      <w:r w:rsidRPr="001D3665">
        <w:t xml:space="preserve"> gratis SFO på 1., 2. og 3. trinn. </w:t>
      </w:r>
      <w:proofErr w:type="spellStart"/>
      <w:r w:rsidRPr="001D3665">
        <w:t>Frå</w:t>
      </w:r>
      <w:proofErr w:type="spellEnd"/>
      <w:r w:rsidRPr="001D3665">
        <w:t xml:space="preserve"> 1. august 2026 får òg 4. </w:t>
      </w:r>
      <w:proofErr w:type="spellStart"/>
      <w:r w:rsidRPr="001D3665">
        <w:t>klassingar</w:t>
      </w:r>
      <w:proofErr w:type="spellEnd"/>
      <w:r w:rsidRPr="001D3665">
        <w:t xml:space="preserve"> i </w:t>
      </w:r>
      <w:proofErr w:type="spellStart"/>
      <w:r w:rsidRPr="001D3665">
        <w:t>nokre</w:t>
      </w:r>
      <w:proofErr w:type="spellEnd"/>
      <w:r w:rsidRPr="001D3665">
        <w:t xml:space="preserve"> </w:t>
      </w:r>
      <w:proofErr w:type="spellStart"/>
      <w:r w:rsidRPr="001D3665">
        <w:t>levekårsutsette</w:t>
      </w:r>
      <w:proofErr w:type="spellEnd"/>
      <w:r w:rsidRPr="001D3665">
        <w:t xml:space="preserve"> område tolv </w:t>
      </w:r>
      <w:proofErr w:type="spellStart"/>
      <w:r w:rsidRPr="001D3665">
        <w:t>timar</w:t>
      </w:r>
      <w:proofErr w:type="spellEnd"/>
      <w:r w:rsidRPr="001D3665">
        <w:t xml:space="preserve"> gratis SFO.</w:t>
      </w:r>
    </w:p>
    <w:p w14:paraId="774CDA4C" w14:textId="77777777" w:rsidR="00BC371A" w:rsidRPr="001D3665" w:rsidRDefault="00BC371A" w:rsidP="001D3665">
      <w:r w:rsidRPr="001D3665">
        <w:t xml:space="preserve">På transportområdet er det gjort </w:t>
      </w:r>
      <w:proofErr w:type="spellStart"/>
      <w:r w:rsidRPr="001D3665">
        <w:t>fleire</w:t>
      </w:r>
      <w:proofErr w:type="spellEnd"/>
      <w:r w:rsidRPr="001D3665">
        <w:t xml:space="preserve"> tiltak for å redusere utgiftene til folk. I budsjettavtalen mellom </w:t>
      </w:r>
      <w:proofErr w:type="spellStart"/>
      <w:r w:rsidRPr="001D3665">
        <w:t>Arbeidarpartiet</w:t>
      </w:r>
      <w:proofErr w:type="spellEnd"/>
      <w:r w:rsidRPr="001D3665">
        <w:t xml:space="preserve">, Senterpartiet, Miljøpartiet Dei </w:t>
      </w:r>
      <w:proofErr w:type="spellStart"/>
      <w:r w:rsidRPr="001D3665">
        <w:t>Grøne</w:t>
      </w:r>
      <w:proofErr w:type="spellEnd"/>
      <w:r w:rsidRPr="001D3665">
        <w:t xml:space="preserve">, Sosialistisk Venstreparti og </w:t>
      </w:r>
      <w:proofErr w:type="spellStart"/>
      <w:r w:rsidRPr="001D3665">
        <w:lastRenderedPageBreak/>
        <w:t>Raudt</w:t>
      </w:r>
      <w:proofErr w:type="spellEnd"/>
      <w:r w:rsidRPr="001D3665">
        <w:t xml:space="preserve"> vart det semje om 620 mill. kroner til ei mellombels søknadsordning som </w:t>
      </w:r>
      <w:proofErr w:type="spellStart"/>
      <w:r w:rsidRPr="001D3665">
        <w:t>fylkeskommunane</w:t>
      </w:r>
      <w:proofErr w:type="spellEnd"/>
      <w:r w:rsidRPr="001D3665">
        <w:t xml:space="preserve"> kan </w:t>
      </w:r>
      <w:proofErr w:type="spellStart"/>
      <w:r w:rsidRPr="001D3665">
        <w:t>søkje</w:t>
      </w:r>
      <w:proofErr w:type="spellEnd"/>
      <w:r w:rsidRPr="001D3665">
        <w:t xml:space="preserve"> på for å senke </w:t>
      </w:r>
      <w:proofErr w:type="spellStart"/>
      <w:r w:rsidRPr="001D3665">
        <w:t>prisane</w:t>
      </w:r>
      <w:proofErr w:type="spellEnd"/>
      <w:r w:rsidRPr="001D3665">
        <w:t xml:space="preserve"> for å reise kollektivt. Målet er å redusere prisen på </w:t>
      </w:r>
      <w:proofErr w:type="spellStart"/>
      <w:r w:rsidRPr="001D3665">
        <w:t>periodebillettar</w:t>
      </w:r>
      <w:proofErr w:type="spellEnd"/>
      <w:r w:rsidRPr="001D3665">
        <w:t xml:space="preserve"> med om lag 100 kroner. Alle fylka har </w:t>
      </w:r>
      <w:proofErr w:type="spellStart"/>
      <w:r w:rsidRPr="001D3665">
        <w:t>no</w:t>
      </w:r>
      <w:proofErr w:type="spellEnd"/>
      <w:r w:rsidRPr="001D3665">
        <w:t xml:space="preserve"> søkt på ordninga, og </w:t>
      </w:r>
      <w:proofErr w:type="spellStart"/>
      <w:r w:rsidRPr="001D3665">
        <w:t>prisane</w:t>
      </w:r>
      <w:proofErr w:type="spellEnd"/>
      <w:r w:rsidRPr="001D3665">
        <w:t xml:space="preserve"> er alt reduserte i </w:t>
      </w:r>
      <w:proofErr w:type="spellStart"/>
      <w:r w:rsidRPr="001D3665">
        <w:t>dei</w:t>
      </w:r>
      <w:proofErr w:type="spellEnd"/>
      <w:r w:rsidRPr="001D3665">
        <w:t xml:space="preserve"> fleste fylka.</w:t>
      </w:r>
    </w:p>
    <w:p w14:paraId="5A5F889F" w14:textId="77777777" w:rsidR="00BC371A" w:rsidRPr="001D3665" w:rsidRDefault="00BC371A" w:rsidP="001D3665">
      <w:r w:rsidRPr="001D3665">
        <w:t xml:space="preserve">Regjeringa innførte </w:t>
      </w:r>
      <w:proofErr w:type="spellStart"/>
      <w:r w:rsidRPr="001D3665">
        <w:t>vidare</w:t>
      </w:r>
      <w:proofErr w:type="spellEnd"/>
      <w:r w:rsidRPr="001D3665">
        <w:t xml:space="preserve"> ordninga med gratis ferje i samband med revidert nasjonalbudsjett i 2022, og ho har </w:t>
      </w:r>
      <w:proofErr w:type="spellStart"/>
      <w:r w:rsidRPr="001D3665">
        <w:t>seinare</w:t>
      </w:r>
      <w:proofErr w:type="spellEnd"/>
      <w:r w:rsidRPr="001D3665">
        <w:t xml:space="preserve"> vorte utvida og </w:t>
      </w:r>
      <w:proofErr w:type="spellStart"/>
      <w:r w:rsidRPr="001D3665">
        <w:t>vidareført</w:t>
      </w:r>
      <w:proofErr w:type="spellEnd"/>
      <w:r w:rsidRPr="001D3665">
        <w:t xml:space="preserve">. Ordninga </w:t>
      </w:r>
      <w:proofErr w:type="spellStart"/>
      <w:r w:rsidRPr="001D3665">
        <w:t>legg</w:t>
      </w:r>
      <w:proofErr w:type="spellEnd"/>
      <w:r w:rsidRPr="001D3665">
        <w:t xml:space="preserve"> til rette for gratis ferje på samband med færre enn 100 000 </w:t>
      </w:r>
      <w:proofErr w:type="spellStart"/>
      <w:r w:rsidRPr="001D3665">
        <w:t>passasjerar</w:t>
      </w:r>
      <w:proofErr w:type="spellEnd"/>
      <w:r w:rsidRPr="001D3665">
        <w:t xml:space="preserve"> </w:t>
      </w:r>
      <w:proofErr w:type="spellStart"/>
      <w:r w:rsidRPr="001D3665">
        <w:t>årleg</w:t>
      </w:r>
      <w:proofErr w:type="spellEnd"/>
      <w:r w:rsidRPr="001D3665">
        <w:t xml:space="preserve">, og til </w:t>
      </w:r>
      <w:proofErr w:type="spellStart"/>
      <w:r w:rsidRPr="001D3665">
        <w:t>øyar</w:t>
      </w:r>
      <w:proofErr w:type="spellEnd"/>
      <w:r w:rsidRPr="001D3665">
        <w:t xml:space="preserve"> og andre samfunn </w:t>
      </w:r>
      <w:proofErr w:type="spellStart"/>
      <w:r w:rsidRPr="001D3665">
        <w:t>utan</w:t>
      </w:r>
      <w:proofErr w:type="spellEnd"/>
      <w:r w:rsidRPr="001D3665">
        <w:t xml:space="preserve"> vegsamband til fastlandet. På </w:t>
      </w:r>
      <w:proofErr w:type="spellStart"/>
      <w:r w:rsidRPr="001D3665">
        <w:t>tilsvarande</w:t>
      </w:r>
      <w:proofErr w:type="spellEnd"/>
      <w:r w:rsidRPr="001D3665">
        <w:t xml:space="preserve"> måte har regjeringa </w:t>
      </w:r>
      <w:proofErr w:type="spellStart"/>
      <w:r w:rsidRPr="001D3665">
        <w:t>sørgt</w:t>
      </w:r>
      <w:proofErr w:type="spellEnd"/>
      <w:r w:rsidRPr="001D3665">
        <w:t xml:space="preserve"> for reduserte </w:t>
      </w:r>
      <w:proofErr w:type="spellStart"/>
      <w:r w:rsidRPr="001D3665">
        <w:t>takstar</w:t>
      </w:r>
      <w:proofErr w:type="spellEnd"/>
      <w:r w:rsidRPr="001D3665">
        <w:t xml:space="preserve"> på andre ferjesamband. I statsbudsjettet for 2026 er det prioritert om lag 1,5 mrd. kroner for å </w:t>
      </w:r>
      <w:proofErr w:type="spellStart"/>
      <w:r w:rsidRPr="001D3665">
        <w:t>vidareføre</w:t>
      </w:r>
      <w:proofErr w:type="spellEnd"/>
      <w:r w:rsidRPr="001D3665">
        <w:t xml:space="preserve"> regjeringa sine </w:t>
      </w:r>
      <w:proofErr w:type="spellStart"/>
      <w:r w:rsidRPr="001D3665">
        <w:t>ordningar</w:t>
      </w:r>
      <w:proofErr w:type="spellEnd"/>
      <w:r w:rsidRPr="001D3665">
        <w:t xml:space="preserve">. Dette </w:t>
      </w:r>
      <w:proofErr w:type="spellStart"/>
      <w:r w:rsidRPr="001D3665">
        <w:t>bidreg</w:t>
      </w:r>
      <w:proofErr w:type="spellEnd"/>
      <w:r w:rsidRPr="001D3665">
        <w:t xml:space="preserve"> til reduserte </w:t>
      </w:r>
      <w:proofErr w:type="spellStart"/>
      <w:r w:rsidRPr="001D3665">
        <w:t>reisekostnadar</w:t>
      </w:r>
      <w:proofErr w:type="spellEnd"/>
      <w:r w:rsidRPr="001D3665">
        <w:t xml:space="preserve"> for </w:t>
      </w:r>
      <w:proofErr w:type="spellStart"/>
      <w:r w:rsidRPr="001D3665">
        <w:t>innbyggjarar</w:t>
      </w:r>
      <w:proofErr w:type="spellEnd"/>
      <w:r w:rsidRPr="001D3665">
        <w:t xml:space="preserve"> over heile landet.</w:t>
      </w:r>
    </w:p>
    <w:p w14:paraId="1E093513" w14:textId="77777777" w:rsidR="00BC371A" w:rsidRPr="001D3665" w:rsidRDefault="00BC371A" w:rsidP="001D3665">
      <w:r w:rsidRPr="001D3665">
        <w:t xml:space="preserve">Regjeringa har òg redusert inntektsskatten med 4,5 mrd. kroner i 2026 og med nesten 16 mrd. kroner til </w:t>
      </w:r>
      <w:proofErr w:type="spellStart"/>
      <w:r w:rsidRPr="001D3665">
        <w:t>saman</w:t>
      </w:r>
      <w:proofErr w:type="spellEnd"/>
      <w:r w:rsidRPr="001D3665">
        <w:t xml:space="preserve"> </w:t>
      </w:r>
      <w:proofErr w:type="spellStart"/>
      <w:r w:rsidRPr="001D3665">
        <w:t>sidan</w:t>
      </w:r>
      <w:proofErr w:type="spellEnd"/>
      <w:r w:rsidRPr="001D3665">
        <w:t xml:space="preserve"> Støre-regjeringa </w:t>
      </w:r>
      <w:proofErr w:type="spellStart"/>
      <w:r w:rsidRPr="001D3665">
        <w:t>tiltredde</w:t>
      </w:r>
      <w:proofErr w:type="spellEnd"/>
      <w:r w:rsidRPr="001D3665">
        <w:t xml:space="preserve">. Dette </w:t>
      </w:r>
      <w:proofErr w:type="spellStart"/>
      <w:r w:rsidRPr="001D3665">
        <w:t>gjer</w:t>
      </w:r>
      <w:proofErr w:type="spellEnd"/>
      <w:r w:rsidRPr="001D3665">
        <w:t xml:space="preserve"> at </w:t>
      </w:r>
      <w:proofErr w:type="spellStart"/>
      <w:r w:rsidRPr="001D3665">
        <w:t>ein</w:t>
      </w:r>
      <w:proofErr w:type="spellEnd"/>
      <w:r w:rsidRPr="001D3665">
        <w:t xml:space="preserve"> </w:t>
      </w:r>
      <w:proofErr w:type="spellStart"/>
      <w:r w:rsidRPr="001D3665">
        <w:t>vanleg</w:t>
      </w:r>
      <w:proofErr w:type="spellEnd"/>
      <w:r w:rsidRPr="001D3665">
        <w:t xml:space="preserve"> familie har om lag 12 000 kroner </w:t>
      </w:r>
      <w:proofErr w:type="spellStart"/>
      <w:r w:rsidRPr="001D3665">
        <w:t>meir</w:t>
      </w:r>
      <w:proofErr w:type="spellEnd"/>
      <w:r w:rsidRPr="001D3665">
        <w:t xml:space="preserve"> å rutte med i året enn </w:t>
      </w:r>
      <w:proofErr w:type="spellStart"/>
      <w:r w:rsidRPr="001D3665">
        <w:t>dei</w:t>
      </w:r>
      <w:proofErr w:type="spellEnd"/>
      <w:r w:rsidRPr="001D3665">
        <w:t xml:space="preserve"> ville hatt med </w:t>
      </w:r>
      <w:proofErr w:type="spellStart"/>
      <w:r w:rsidRPr="001D3665">
        <w:t>skattereglane</w:t>
      </w:r>
      <w:proofErr w:type="spellEnd"/>
      <w:r w:rsidRPr="001D3665">
        <w:t xml:space="preserve"> </w:t>
      </w:r>
      <w:proofErr w:type="spellStart"/>
      <w:r w:rsidRPr="001D3665">
        <w:t>frå</w:t>
      </w:r>
      <w:proofErr w:type="spellEnd"/>
      <w:r w:rsidRPr="001D3665">
        <w:t xml:space="preserve"> Solberg-regjeringa </w:t>
      </w:r>
      <w:proofErr w:type="spellStart"/>
      <w:r w:rsidRPr="001D3665">
        <w:t>si</w:t>
      </w:r>
      <w:proofErr w:type="spellEnd"/>
      <w:r w:rsidRPr="001D3665">
        <w:t xml:space="preserve"> tid.</w:t>
      </w:r>
    </w:p>
    <w:p w14:paraId="6245D04C" w14:textId="77777777" w:rsidR="00BC371A" w:rsidRPr="001D3665" w:rsidRDefault="00BC371A" w:rsidP="001D3665">
      <w:r w:rsidRPr="001D3665">
        <w:t xml:space="preserve">I Revidert nasjonalbudsjett 2026 foreslår regjeringa å </w:t>
      </w:r>
      <w:proofErr w:type="spellStart"/>
      <w:r w:rsidRPr="001D3665">
        <w:t>auke</w:t>
      </w:r>
      <w:proofErr w:type="spellEnd"/>
      <w:r w:rsidRPr="001D3665">
        <w:t xml:space="preserve"> </w:t>
      </w:r>
      <w:proofErr w:type="spellStart"/>
      <w:r w:rsidRPr="001D3665">
        <w:t>skattefrådraget</w:t>
      </w:r>
      <w:proofErr w:type="spellEnd"/>
      <w:r w:rsidRPr="001D3665">
        <w:t xml:space="preserve"> for pensjonsinntekt, slik at </w:t>
      </w:r>
      <w:proofErr w:type="spellStart"/>
      <w:r w:rsidRPr="001D3665">
        <w:t>einslege</w:t>
      </w:r>
      <w:proofErr w:type="spellEnd"/>
      <w:r w:rsidRPr="001D3665">
        <w:t xml:space="preserve"> med minste pensjonsnivå </w:t>
      </w:r>
      <w:proofErr w:type="spellStart"/>
      <w:r w:rsidRPr="001D3665">
        <w:t>ikkje</w:t>
      </w:r>
      <w:proofErr w:type="spellEnd"/>
      <w:r w:rsidRPr="001D3665">
        <w:t xml:space="preserve"> skal betale skatt i 2026. Framlegget vert </w:t>
      </w:r>
      <w:proofErr w:type="spellStart"/>
      <w:r w:rsidRPr="001D3665">
        <w:t>rekna</w:t>
      </w:r>
      <w:proofErr w:type="spellEnd"/>
      <w:r w:rsidRPr="001D3665">
        <w:t xml:space="preserve"> å redusere skatten med til </w:t>
      </w:r>
      <w:proofErr w:type="spellStart"/>
      <w:r w:rsidRPr="001D3665">
        <w:t>saman</w:t>
      </w:r>
      <w:proofErr w:type="spellEnd"/>
      <w:r w:rsidRPr="001D3665">
        <w:t xml:space="preserve"> 265 mill. kroner for </w:t>
      </w:r>
      <w:proofErr w:type="spellStart"/>
      <w:r w:rsidRPr="001D3665">
        <w:t>dei</w:t>
      </w:r>
      <w:proofErr w:type="spellEnd"/>
      <w:r w:rsidRPr="001D3665">
        <w:t xml:space="preserve"> med rett til </w:t>
      </w:r>
      <w:proofErr w:type="spellStart"/>
      <w:r w:rsidRPr="001D3665">
        <w:t>frådrag</w:t>
      </w:r>
      <w:proofErr w:type="spellEnd"/>
      <w:r w:rsidRPr="001D3665">
        <w:t xml:space="preserve"> i pensjonsinntekt.</w:t>
      </w:r>
    </w:p>
    <w:p w14:paraId="2B54EEDE" w14:textId="77777777" w:rsidR="00BC371A" w:rsidRPr="001D3665" w:rsidRDefault="00BC371A" w:rsidP="001D3665">
      <w:pPr>
        <w:pStyle w:val="Overskrift3"/>
      </w:pPr>
      <w:r w:rsidRPr="001D3665">
        <w:t xml:space="preserve">Vurdering av </w:t>
      </w:r>
      <w:proofErr w:type="spellStart"/>
      <w:r w:rsidRPr="001D3665">
        <w:t>moglege</w:t>
      </w:r>
      <w:proofErr w:type="spellEnd"/>
      <w:r w:rsidRPr="001D3665">
        <w:t xml:space="preserve"> tiltak</w:t>
      </w:r>
    </w:p>
    <w:p w14:paraId="745C8CC4" w14:textId="77777777" w:rsidR="00BC371A" w:rsidRPr="001D3665" w:rsidRDefault="00BC371A" w:rsidP="001D3665">
      <w:r w:rsidRPr="001D3665">
        <w:t xml:space="preserve">Regjeringa er </w:t>
      </w:r>
      <w:proofErr w:type="spellStart"/>
      <w:r w:rsidRPr="001D3665">
        <w:t>oppteken</w:t>
      </w:r>
      <w:proofErr w:type="spellEnd"/>
      <w:r w:rsidRPr="001D3665">
        <w:t xml:space="preserve"> av at eventuelle nye </w:t>
      </w:r>
      <w:proofErr w:type="spellStart"/>
      <w:r w:rsidRPr="001D3665">
        <w:t>mildnande</w:t>
      </w:r>
      <w:proofErr w:type="spellEnd"/>
      <w:r w:rsidRPr="001D3665">
        <w:t xml:space="preserve"> tiltak i møte med </w:t>
      </w:r>
      <w:proofErr w:type="spellStart"/>
      <w:r w:rsidRPr="001D3665">
        <w:t>auka</w:t>
      </w:r>
      <w:proofErr w:type="spellEnd"/>
      <w:r w:rsidRPr="001D3665">
        <w:t xml:space="preserve"> </w:t>
      </w:r>
      <w:proofErr w:type="spellStart"/>
      <w:r w:rsidRPr="001D3665">
        <w:t>energiprisar</w:t>
      </w:r>
      <w:proofErr w:type="spellEnd"/>
      <w:r w:rsidRPr="001D3665">
        <w:t xml:space="preserve"> bør </w:t>
      </w:r>
      <w:proofErr w:type="spellStart"/>
      <w:r w:rsidRPr="001D3665">
        <w:t>vere</w:t>
      </w:r>
      <w:proofErr w:type="spellEnd"/>
      <w:r w:rsidRPr="001D3665">
        <w:t xml:space="preserve"> treffsikre. I tillegg må eventuelle nye tiltak </w:t>
      </w:r>
      <w:proofErr w:type="spellStart"/>
      <w:r w:rsidRPr="001D3665">
        <w:t>verte</w:t>
      </w:r>
      <w:proofErr w:type="spellEnd"/>
      <w:r w:rsidRPr="001D3665">
        <w:t xml:space="preserve"> behandla </w:t>
      </w:r>
      <w:proofErr w:type="spellStart"/>
      <w:r w:rsidRPr="001D3665">
        <w:t>innanfor</w:t>
      </w:r>
      <w:proofErr w:type="spellEnd"/>
      <w:r w:rsidRPr="001D3665">
        <w:t xml:space="preserve"> </w:t>
      </w:r>
      <w:proofErr w:type="spellStart"/>
      <w:r w:rsidRPr="001D3665">
        <w:t>ansvarlege</w:t>
      </w:r>
      <w:proofErr w:type="spellEnd"/>
      <w:r w:rsidRPr="001D3665">
        <w:t xml:space="preserve"> økonomiske rammer som </w:t>
      </w:r>
      <w:proofErr w:type="spellStart"/>
      <w:r w:rsidRPr="001D3665">
        <w:t>ikkje</w:t>
      </w:r>
      <w:proofErr w:type="spellEnd"/>
      <w:r w:rsidRPr="001D3665">
        <w:t xml:space="preserve"> fører til </w:t>
      </w:r>
      <w:proofErr w:type="spellStart"/>
      <w:r w:rsidRPr="001D3665">
        <w:t>auka</w:t>
      </w:r>
      <w:proofErr w:type="spellEnd"/>
      <w:r w:rsidRPr="001D3665">
        <w:t xml:space="preserve"> press på </w:t>
      </w:r>
      <w:proofErr w:type="spellStart"/>
      <w:r w:rsidRPr="001D3665">
        <w:t>prisane</w:t>
      </w:r>
      <w:proofErr w:type="spellEnd"/>
      <w:r w:rsidRPr="001D3665">
        <w:t xml:space="preserve">. Det </w:t>
      </w:r>
      <w:proofErr w:type="spellStart"/>
      <w:r w:rsidRPr="001D3665">
        <w:t>inneber</w:t>
      </w:r>
      <w:proofErr w:type="spellEnd"/>
      <w:r w:rsidRPr="001D3665">
        <w:t xml:space="preserve"> at ulike tiltak må </w:t>
      </w:r>
      <w:proofErr w:type="spellStart"/>
      <w:r w:rsidRPr="001D3665">
        <w:t>vurderast</w:t>
      </w:r>
      <w:proofErr w:type="spellEnd"/>
      <w:r w:rsidRPr="001D3665">
        <w:t xml:space="preserve"> opp mot </w:t>
      </w:r>
      <w:proofErr w:type="spellStart"/>
      <w:r w:rsidRPr="001D3665">
        <w:t>kvarandre</w:t>
      </w:r>
      <w:proofErr w:type="spellEnd"/>
      <w:r w:rsidRPr="001D3665">
        <w:t>.</w:t>
      </w:r>
    </w:p>
    <w:p w14:paraId="1D913E68" w14:textId="77777777" w:rsidR="00BC371A" w:rsidRPr="001D3665" w:rsidRDefault="00BC371A" w:rsidP="001D3665">
      <w:r w:rsidRPr="001D3665">
        <w:t xml:space="preserve">I tillegg må tiltaka </w:t>
      </w:r>
      <w:proofErr w:type="spellStart"/>
      <w:r w:rsidRPr="001D3665">
        <w:t>vere</w:t>
      </w:r>
      <w:proofErr w:type="spellEnd"/>
      <w:r w:rsidRPr="001D3665">
        <w:t xml:space="preserve"> praktisk og juridisk </w:t>
      </w:r>
      <w:proofErr w:type="spellStart"/>
      <w:r w:rsidRPr="001D3665">
        <w:t>moglege</w:t>
      </w:r>
      <w:proofErr w:type="spellEnd"/>
      <w:r w:rsidRPr="001D3665">
        <w:t xml:space="preserve"> å gjennomføre. </w:t>
      </w:r>
      <w:proofErr w:type="spellStart"/>
      <w:r w:rsidRPr="001D3665">
        <w:t>Ein</w:t>
      </w:r>
      <w:proofErr w:type="spellEnd"/>
      <w:r w:rsidRPr="001D3665">
        <w:t xml:space="preserve"> må mellom anna ta omsyn til administrative </w:t>
      </w:r>
      <w:proofErr w:type="spellStart"/>
      <w:r w:rsidRPr="001D3665">
        <w:t>kostnadar</w:t>
      </w:r>
      <w:proofErr w:type="spellEnd"/>
      <w:r w:rsidRPr="001D3665">
        <w:t xml:space="preserve"> for det </w:t>
      </w:r>
      <w:proofErr w:type="spellStart"/>
      <w:r w:rsidRPr="001D3665">
        <w:t>offentlege</w:t>
      </w:r>
      <w:proofErr w:type="spellEnd"/>
      <w:r w:rsidRPr="001D3665">
        <w:t xml:space="preserve"> og </w:t>
      </w:r>
      <w:proofErr w:type="spellStart"/>
      <w:r w:rsidRPr="001D3665">
        <w:t>brukarane</w:t>
      </w:r>
      <w:proofErr w:type="spellEnd"/>
      <w:r w:rsidRPr="001D3665">
        <w:t xml:space="preserve">, </w:t>
      </w:r>
      <w:proofErr w:type="spellStart"/>
      <w:r w:rsidRPr="001D3665">
        <w:t>kapasitetsavgrensingar</w:t>
      </w:r>
      <w:proofErr w:type="spellEnd"/>
      <w:r w:rsidRPr="001D3665">
        <w:t xml:space="preserve"> og </w:t>
      </w:r>
      <w:proofErr w:type="spellStart"/>
      <w:r w:rsidRPr="001D3665">
        <w:t>konsekvensar</w:t>
      </w:r>
      <w:proofErr w:type="spellEnd"/>
      <w:r w:rsidRPr="001D3665">
        <w:t xml:space="preserve"> for </w:t>
      </w:r>
      <w:proofErr w:type="spellStart"/>
      <w:r w:rsidRPr="001D3665">
        <w:t>verksemda</w:t>
      </w:r>
      <w:proofErr w:type="spellEnd"/>
      <w:r w:rsidRPr="001D3665">
        <w:t xml:space="preserve"> sine andre </w:t>
      </w:r>
      <w:proofErr w:type="spellStart"/>
      <w:r w:rsidRPr="001D3665">
        <w:t>oppgåver</w:t>
      </w:r>
      <w:proofErr w:type="spellEnd"/>
      <w:r w:rsidRPr="001D3665">
        <w:t xml:space="preserve"> når </w:t>
      </w:r>
      <w:proofErr w:type="spellStart"/>
      <w:r w:rsidRPr="001D3665">
        <w:t>ordningane</w:t>
      </w:r>
      <w:proofErr w:type="spellEnd"/>
      <w:r w:rsidRPr="001D3665">
        <w:t xml:space="preserve"> vert utforma og </w:t>
      </w:r>
      <w:proofErr w:type="spellStart"/>
      <w:r w:rsidRPr="001D3665">
        <w:t>vedtekne</w:t>
      </w:r>
      <w:proofErr w:type="spellEnd"/>
      <w:r w:rsidRPr="001D3665">
        <w:t xml:space="preserve">. Mange tiltak vil kunne </w:t>
      </w:r>
      <w:proofErr w:type="spellStart"/>
      <w:r w:rsidRPr="001D3665">
        <w:t>utgjere</w:t>
      </w:r>
      <w:proofErr w:type="spellEnd"/>
      <w:r w:rsidRPr="001D3665">
        <w:t xml:space="preserve"> statsstøtte som må </w:t>
      </w:r>
      <w:proofErr w:type="spellStart"/>
      <w:r w:rsidRPr="001D3665">
        <w:t>vere</w:t>
      </w:r>
      <w:proofErr w:type="spellEnd"/>
      <w:r w:rsidRPr="001D3665">
        <w:t xml:space="preserve"> i samsvar med EØS-regelverket. </w:t>
      </w:r>
      <w:proofErr w:type="spellStart"/>
      <w:r w:rsidRPr="001D3665">
        <w:t>Nokre</w:t>
      </w:r>
      <w:proofErr w:type="spellEnd"/>
      <w:r w:rsidRPr="001D3665">
        <w:t xml:space="preserve"> tiltak må </w:t>
      </w:r>
      <w:proofErr w:type="spellStart"/>
      <w:r w:rsidRPr="001D3665">
        <w:t>meldast</w:t>
      </w:r>
      <w:proofErr w:type="spellEnd"/>
      <w:r w:rsidRPr="001D3665">
        <w:t xml:space="preserve"> inn til og </w:t>
      </w:r>
      <w:proofErr w:type="spellStart"/>
      <w:r w:rsidRPr="001D3665">
        <w:t>godkjennast</w:t>
      </w:r>
      <w:proofErr w:type="spellEnd"/>
      <w:r w:rsidRPr="001D3665">
        <w:t xml:space="preserve"> av ESA før </w:t>
      </w:r>
      <w:proofErr w:type="spellStart"/>
      <w:r w:rsidRPr="001D3665">
        <w:t>dei</w:t>
      </w:r>
      <w:proofErr w:type="spellEnd"/>
      <w:r w:rsidRPr="001D3665">
        <w:t xml:space="preserve"> kan </w:t>
      </w:r>
      <w:proofErr w:type="spellStart"/>
      <w:r w:rsidRPr="001D3665">
        <w:t>setjast</w:t>
      </w:r>
      <w:proofErr w:type="spellEnd"/>
      <w:r w:rsidRPr="001D3665">
        <w:t xml:space="preserve"> i verk. Til dømes har regjeringa </w:t>
      </w:r>
      <w:proofErr w:type="spellStart"/>
      <w:r w:rsidRPr="001D3665">
        <w:t>åtvara</w:t>
      </w:r>
      <w:proofErr w:type="spellEnd"/>
      <w:r w:rsidRPr="001D3665">
        <w:t xml:space="preserve"> Stortinget, før Stortinget gjorde sitt vedtak, om den statsstøtterettslege risikoen knytt til vedtaka om </w:t>
      </w:r>
      <w:proofErr w:type="spellStart"/>
      <w:r w:rsidRPr="001D3665">
        <w:t>lågare</w:t>
      </w:r>
      <w:proofErr w:type="spellEnd"/>
      <w:r w:rsidRPr="001D3665">
        <w:t xml:space="preserve"> CO</w:t>
      </w:r>
      <w:r w:rsidRPr="001D3665">
        <w:rPr>
          <w:rStyle w:val="skrift-senket"/>
        </w:rPr>
        <w:t>2</w:t>
      </w:r>
      <w:r w:rsidRPr="001D3665">
        <w:t xml:space="preserve">-avgift for </w:t>
      </w:r>
      <w:proofErr w:type="spellStart"/>
      <w:r w:rsidRPr="001D3665">
        <w:t>delar</w:t>
      </w:r>
      <w:proofErr w:type="spellEnd"/>
      <w:r w:rsidRPr="001D3665">
        <w:t xml:space="preserve"> av næringslivet, som tredde i kraft 1. mai i år.</w:t>
      </w:r>
    </w:p>
    <w:p w14:paraId="6813D15A" w14:textId="77777777" w:rsidR="00BC371A" w:rsidRPr="001D3665" w:rsidRDefault="00BC371A" w:rsidP="001D3665">
      <w:r w:rsidRPr="001D3665">
        <w:t xml:space="preserve">I det </w:t>
      </w:r>
      <w:proofErr w:type="spellStart"/>
      <w:r w:rsidRPr="001D3665">
        <w:t>følgjande</w:t>
      </w:r>
      <w:proofErr w:type="spellEnd"/>
      <w:r w:rsidRPr="001D3665">
        <w:t xml:space="preserve"> vert det gjort greie for ulike </w:t>
      </w:r>
      <w:proofErr w:type="spellStart"/>
      <w:r w:rsidRPr="001D3665">
        <w:t>måtar</w:t>
      </w:r>
      <w:proofErr w:type="spellEnd"/>
      <w:r w:rsidRPr="001D3665">
        <w:t xml:space="preserve"> å dempe </w:t>
      </w:r>
      <w:proofErr w:type="spellStart"/>
      <w:r w:rsidRPr="001D3665">
        <w:t>verknadane</w:t>
      </w:r>
      <w:proofErr w:type="spellEnd"/>
      <w:r w:rsidRPr="001D3665">
        <w:t xml:space="preserve"> for norske </w:t>
      </w:r>
      <w:proofErr w:type="spellStart"/>
      <w:r w:rsidRPr="001D3665">
        <w:t>hushald</w:t>
      </w:r>
      <w:proofErr w:type="spellEnd"/>
      <w:r w:rsidRPr="001D3665">
        <w:t xml:space="preserve"> av høge </w:t>
      </w:r>
      <w:proofErr w:type="spellStart"/>
      <w:r w:rsidRPr="001D3665">
        <w:t>energiprisar</w:t>
      </w:r>
      <w:proofErr w:type="spellEnd"/>
      <w:r w:rsidRPr="001D3665">
        <w:t xml:space="preserve"> internasjonalt. Tiltaka kan grovt sett </w:t>
      </w:r>
      <w:proofErr w:type="spellStart"/>
      <w:r w:rsidRPr="001D3665">
        <w:t>delast</w:t>
      </w:r>
      <w:proofErr w:type="spellEnd"/>
      <w:r w:rsidRPr="001D3665">
        <w:t xml:space="preserve"> inn i tiltak retta mot å avgrense gjennomslaget </w:t>
      </w:r>
      <w:proofErr w:type="spellStart"/>
      <w:r w:rsidRPr="001D3665">
        <w:t>frå</w:t>
      </w:r>
      <w:proofErr w:type="spellEnd"/>
      <w:r w:rsidRPr="001D3665">
        <w:t xml:space="preserve"> </w:t>
      </w:r>
      <w:proofErr w:type="spellStart"/>
      <w:r w:rsidRPr="001D3665">
        <w:t>auka</w:t>
      </w:r>
      <w:proofErr w:type="spellEnd"/>
      <w:r w:rsidRPr="001D3665">
        <w:t xml:space="preserve"> </w:t>
      </w:r>
      <w:proofErr w:type="spellStart"/>
      <w:r w:rsidRPr="001D3665">
        <w:t>prisar</w:t>
      </w:r>
      <w:proofErr w:type="spellEnd"/>
      <w:r w:rsidRPr="001D3665">
        <w:t xml:space="preserve"> internasjonalt til </w:t>
      </w:r>
      <w:proofErr w:type="spellStart"/>
      <w:r w:rsidRPr="001D3665">
        <w:t>prisane</w:t>
      </w:r>
      <w:proofErr w:type="spellEnd"/>
      <w:r w:rsidRPr="001D3665">
        <w:t xml:space="preserve"> </w:t>
      </w:r>
      <w:proofErr w:type="spellStart"/>
      <w:r w:rsidRPr="001D3665">
        <w:t>hushalda</w:t>
      </w:r>
      <w:proofErr w:type="spellEnd"/>
      <w:r w:rsidRPr="001D3665">
        <w:t xml:space="preserve"> står </w:t>
      </w:r>
      <w:proofErr w:type="spellStart"/>
      <w:r w:rsidRPr="001D3665">
        <w:t>ovanfor</w:t>
      </w:r>
      <w:proofErr w:type="spellEnd"/>
      <w:r w:rsidRPr="001D3665">
        <w:t xml:space="preserve"> her heime, </w:t>
      </w:r>
      <w:proofErr w:type="spellStart"/>
      <w:r w:rsidRPr="001D3665">
        <w:t>eingongsutbetalingar</w:t>
      </w:r>
      <w:proofErr w:type="spellEnd"/>
      <w:r w:rsidRPr="001D3665">
        <w:t xml:space="preserve"> til </w:t>
      </w:r>
      <w:proofErr w:type="spellStart"/>
      <w:r w:rsidRPr="001D3665">
        <w:t>hushald</w:t>
      </w:r>
      <w:proofErr w:type="spellEnd"/>
      <w:r w:rsidRPr="001D3665">
        <w:t xml:space="preserve">, tiltak </w:t>
      </w:r>
      <w:proofErr w:type="spellStart"/>
      <w:r w:rsidRPr="001D3665">
        <w:t>innanfor</w:t>
      </w:r>
      <w:proofErr w:type="spellEnd"/>
      <w:r w:rsidRPr="001D3665">
        <w:t xml:space="preserve"> </w:t>
      </w:r>
      <w:proofErr w:type="spellStart"/>
      <w:r w:rsidRPr="001D3665">
        <w:t>eksisterande</w:t>
      </w:r>
      <w:proofErr w:type="spellEnd"/>
      <w:r w:rsidRPr="001D3665">
        <w:t xml:space="preserve"> </w:t>
      </w:r>
      <w:proofErr w:type="spellStart"/>
      <w:r w:rsidRPr="001D3665">
        <w:t>inntektssikringsordningar</w:t>
      </w:r>
      <w:proofErr w:type="spellEnd"/>
      <w:r w:rsidRPr="001D3665">
        <w:t xml:space="preserve"> og breie </w:t>
      </w:r>
      <w:proofErr w:type="spellStart"/>
      <w:r w:rsidRPr="001D3665">
        <w:t>reduksjonar</w:t>
      </w:r>
      <w:proofErr w:type="spellEnd"/>
      <w:r w:rsidRPr="001D3665">
        <w:t xml:space="preserve"> i inntektsskatten. I oppmodinga er skatte- og </w:t>
      </w:r>
      <w:proofErr w:type="spellStart"/>
      <w:r w:rsidRPr="001D3665">
        <w:t>avgiftsletter</w:t>
      </w:r>
      <w:proofErr w:type="spellEnd"/>
      <w:r w:rsidRPr="001D3665">
        <w:t xml:space="preserve"> og </w:t>
      </w:r>
      <w:proofErr w:type="spellStart"/>
      <w:r w:rsidRPr="001D3665">
        <w:t>eingongsutbetalingar</w:t>
      </w:r>
      <w:proofErr w:type="spellEnd"/>
      <w:r w:rsidRPr="001D3665">
        <w:t xml:space="preserve"> eksplisitt </w:t>
      </w:r>
      <w:proofErr w:type="spellStart"/>
      <w:r w:rsidRPr="001D3665">
        <w:t>nemnde</w:t>
      </w:r>
      <w:proofErr w:type="spellEnd"/>
      <w:r w:rsidRPr="001D3665">
        <w:t>. Slike tiltak er dekte i omtalen.</w:t>
      </w:r>
    </w:p>
    <w:p w14:paraId="5B536507" w14:textId="77777777" w:rsidR="00BC371A" w:rsidRPr="001D3665" w:rsidRDefault="00BC371A" w:rsidP="001D3665">
      <w:pPr>
        <w:pStyle w:val="avsnitt-tittel"/>
      </w:pPr>
      <w:r w:rsidRPr="001D3665">
        <w:t xml:space="preserve">Tiltak retta mot </w:t>
      </w:r>
      <w:proofErr w:type="spellStart"/>
      <w:r w:rsidRPr="001D3665">
        <w:t>prisar</w:t>
      </w:r>
      <w:proofErr w:type="spellEnd"/>
      <w:r w:rsidRPr="001D3665">
        <w:t xml:space="preserve"> på enkeltvarer eller -</w:t>
      </w:r>
      <w:proofErr w:type="spellStart"/>
      <w:r w:rsidRPr="001D3665">
        <w:t>tenester</w:t>
      </w:r>
      <w:proofErr w:type="spellEnd"/>
    </w:p>
    <w:p w14:paraId="295796A2" w14:textId="77777777" w:rsidR="00BC371A" w:rsidRPr="001D3665" w:rsidRDefault="00BC371A" w:rsidP="001D3665">
      <w:proofErr w:type="spellStart"/>
      <w:r w:rsidRPr="001D3665">
        <w:t>Ein</w:t>
      </w:r>
      <w:proofErr w:type="spellEnd"/>
      <w:r w:rsidRPr="001D3665">
        <w:t xml:space="preserve"> måte å skjerme </w:t>
      </w:r>
      <w:proofErr w:type="spellStart"/>
      <w:r w:rsidRPr="001D3665">
        <w:t>hushald</w:t>
      </w:r>
      <w:proofErr w:type="spellEnd"/>
      <w:r w:rsidRPr="001D3665">
        <w:t xml:space="preserve"> for </w:t>
      </w:r>
      <w:proofErr w:type="spellStart"/>
      <w:r w:rsidRPr="001D3665">
        <w:t>høgare</w:t>
      </w:r>
      <w:proofErr w:type="spellEnd"/>
      <w:r w:rsidRPr="001D3665">
        <w:t xml:space="preserve"> </w:t>
      </w:r>
      <w:proofErr w:type="spellStart"/>
      <w:r w:rsidRPr="001D3665">
        <w:t>prisar</w:t>
      </w:r>
      <w:proofErr w:type="spellEnd"/>
      <w:r w:rsidRPr="001D3665">
        <w:t xml:space="preserve"> på råvarer og energi internasjonalt, og </w:t>
      </w:r>
      <w:proofErr w:type="spellStart"/>
      <w:r w:rsidRPr="001D3665">
        <w:t>dimed</w:t>
      </w:r>
      <w:proofErr w:type="spellEnd"/>
      <w:r w:rsidRPr="001D3665">
        <w:t xml:space="preserve"> redusere </w:t>
      </w:r>
      <w:proofErr w:type="spellStart"/>
      <w:r w:rsidRPr="001D3665">
        <w:t>levekostnadane</w:t>
      </w:r>
      <w:proofErr w:type="spellEnd"/>
      <w:r w:rsidRPr="001D3665">
        <w:t xml:space="preserve"> i </w:t>
      </w:r>
      <w:proofErr w:type="spellStart"/>
      <w:r w:rsidRPr="001D3665">
        <w:t>hushalda</w:t>
      </w:r>
      <w:proofErr w:type="spellEnd"/>
      <w:r w:rsidRPr="001D3665">
        <w:t xml:space="preserve">, er å dempe gjennomslaget </w:t>
      </w:r>
      <w:proofErr w:type="spellStart"/>
      <w:r w:rsidRPr="001D3665">
        <w:t>frå</w:t>
      </w:r>
      <w:proofErr w:type="spellEnd"/>
      <w:r w:rsidRPr="001D3665">
        <w:t xml:space="preserve"> internasjonale </w:t>
      </w:r>
      <w:proofErr w:type="spellStart"/>
      <w:r w:rsidRPr="001D3665">
        <w:t>prisendringar</w:t>
      </w:r>
      <w:proofErr w:type="spellEnd"/>
      <w:r w:rsidRPr="001D3665">
        <w:t xml:space="preserve"> til </w:t>
      </w:r>
      <w:proofErr w:type="spellStart"/>
      <w:r w:rsidRPr="001D3665">
        <w:lastRenderedPageBreak/>
        <w:t>innanlandske</w:t>
      </w:r>
      <w:proofErr w:type="spellEnd"/>
      <w:r w:rsidRPr="001D3665">
        <w:t xml:space="preserve"> </w:t>
      </w:r>
      <w:proofErr w:type="spellStart"/>
      <w:r w:rsidRPr="001D3665">
        <w:t>prisar</w:t>
      </w:r>
      <w:proofErr w:type="spellEnd"/>
      <w:r w:rsidRPr="001D3665">
        <w:t xml:space="preserve">. Dei </w:t>
      </w:r>
      <w:proofErr w:type="spellStart"/>
      <w:r w:rsidRPr="001D3665">
        <w:t>eksisterande</w:t>
      </w:r>
      <w:proofErr w:type="spellEnd"/>
      <w:r w:rsidRPr="001D3665">
        <w:t xml:space="preserve"> </w:t>
      </w:r>
      <w:proofErr w:type="spellStart"/>
      <w:r w:rsidRPr="001D3665">
        <w:t>straumstøtteordningane</w:t>
      </w:r>
      <w:proofErr w:type="spellEnd"/>
      <w:r w:rsidRPr="001D3665">
        <w:t xml:space="preserve"> som </w:t>
      </w:r>
      <w:proofErr w:type="spellStart"/>
      <w:r w:rsidRPr="001D3665">
        <w:t>tryggjer</w:t>
      </w:r>
      <w:proofErr w:type="spellEnd"/>
      <w:r w:rsidRPr="001D3665">
        <w:t xml:space="preserve"> </w:t>
      </w:r>
      <w:proofErr w:type="spellStart"/>
      <w:r w:rsidRPr="001D3665">
        <w:t>hushalda</w:t>
      </w:r>
      <w:proofErr w:type="spellEnd"/>
      <w:r w:rsidRPr="001D3665">
        <w:t xml:space="preserve"> mot høge </w:t>
      </w:r>
      <w:proofErr w:type="spellStart"/>
      <w:r w:rsidRPr="001D3665">
        <w:t>straumprisar</w:t>
      </w:r>
      <w:proofErr w:type="spellEnd"/>
      <w:r w:rsidRPr="001D3665">
        <w:t xml:space="preserve">, og mellombels reduserte drivstoffavgifter fell i denne kategorien. Det </w:t>
      </w:r>
      <w:proofErr w:type="spellStart"/>
      <w:r w:rsidRPr="001D3665">
        <w:t>gjeld</w:t>
      </w:r>
      <w:proofErr w:type="spellEnd"/>
      <w:r w:rsidRPr="001D3665">
        <w:t xml:space="preserve"> òg </w:t>
      </w:r>
      <w:proofErr w:type="spellStart"/>
      <w:r w:rsidRPr="001D3665">
        <w:t>reduksjonane</w:t>
      </w:r>
      <w:proofErr w:type="spellEnd"/>
      <w:r w:rsidRPr="001D3665">
        <w:t xml:space="preserve"> i </w:t>
      </w:r>
      <w:proofErr w:type="spellStart"/>
      <w:r w:rsidRPr="001D3665">
        <w:t>vegbruksavgifta</w:t>
      </w:r>
      <w:proofErr w:type="spellEnd"/>
      <w:r w:rsidRPr="001D3665">
        <w:t xml:space="preserve"> som har </w:t>
      </w:r>
      <w:proofErr w:type="spellStart"/>
      <w:r w:rsidRPr="001D3665">
        <w:t>følgt</w:t>
      </w:r>
      <w:proofErr w:type="spellEnd"/>
      <w:r w:rsidRPr="001D3665">
        <w:t xml:space="preserve"> </w:t>
      </w:r>
      <w:proofErr w:type="spellStart"/>
      <w:r w:rsidRPr="001D3665">
        <w:t>auken</w:t>
      </w:r>
      <w:proofErr w:type="spellEnd"/>
      <w:r w:rsidRPr="001D3665">
        <w:t xml:space="preserve"> i klimaavgiftene </w:t>
      </w:r>
      <w:proofErr w:type="spellStart"/>
      <w:r w:rsidRPr="001D3665">
        <w:t>dei</w:t>
      </w:r>
      <w:proofErr w:type="spellEnd"/>
      <w:r w:rsidRPr="001D3665">
        <w:t xml:space="preserve"> siste budsjetta. Tiltaka er </w:t>
      </w:r>
      <w:proofErr w:type="spellStart"/>
      <w:r w:rsidRPr="001D3665">
        <w:t>synlege</w:t>
      </w:r>
      <w:proofErr w:type="spellEnd"/>
      <w:r w:rsidRPr="001D3665">
        <w:t xml:space="preserve"> og er direkte retta mot </w:t>
      </w:r>
      <w:proofErr w:type="spellStart"/>
      <w:r w:rsidRPr="001D3665">
        <w:t>dei</w:t>
      </w:r>
      <w:proofErr w:type="spellEnd"/>
      <w:r w:rsidRPr="001D3665">
        <w:t xml:space="preserve"> </w:t>
      </w:r>
      <w:proofErr w:type="spellStart"/>
      <w:r w:rsidRPr="001D3665">
        <w:t>hushalda</w:t>
      </w:r>
      <w:proofErr w:type="spellEnd"/>
      <w:r w:rsidRPr="001D3665">
        <w:t xml:space="preserve"> og </w:t>
      </w:r>
      <w:proofErr w:type="spellStart"/>
      <w:r w:rsidRPr="001D3665">
        <w:t>verksemdene</w:t>
      </w:r>
      <w:proofErr w:type="spellEnd"/>
      <w:r w:rsidRPr="001D3665">
        <w:t xml:space="preserve"> som vert råka av </w:t>
      </w:r>
      <w:proofErr w:type="spellStart"/>
      <w:r w:rsidRPr="001D3665">
        <w:t>ein</w:t>
      </w:r>
      <w:proofErr w:type="spellEnd"/>
      <w:r w:rsidRPr="001D3665">
        <w:t xml:space="preserve"> prisauke på enkeltvarer eller -</w:t>
      </w:r>
      <w:proofErr w:type="spellStart"/>
      <w:r w:rsidRPr="001D3665">
        <w:t>tenester</w:t>
      </w:r>
      <w:proofErr w:type="spellEnd"/>
      <w:r w:rsidRPr="001D3665">
        <w:t>.</w:t>
      </w:r>
    </w:p>
    <w:p w14:paraId="203A9D92" w14:textId="77777777" w:rsidR="00BC371A" w:rsidRPr="001D3665" w:rsidRDefault="00BC371A" w:rsidP="001D3665">
      <w:proofErr w:type="spellStart"/>
      <w:r w:rsidRPr="001D3665">
        <w:t>Høgare</w:t>
      </w:r>
      <w:proofErr w:type="spellEnd"/>
      <w:r w:rsidRPr="001D3665">
        <w:t xml:space="preserve"> internasjonale </w:t>
      </w:r>
      <w:proofErr w:type="spellStart"/>
      <w:r w:rsidRPr="001D3665">
        <w:t>prisar</w:t>
      </w:r>
      <w:proofErr w:type="spellEnd"/>
      <w:r w:rsidRPr="001D3665">
        <w:t xml:space="preserve"> reflekterer mangel på </w:t>
      </w:r>
      <w:proofErr w:type="spellStart"/>
      <w:r w:rsidRPr="001D3665">
        <w:t>tilbod</w:t>
      </w:r>
      <w:proofErr w:type="spellEnd"/>
      <w:r w:rsidRPr="001D3665">
        <w:t xml:space="preserve"> i </w:t>
      </w:r>
      <w:proofErr w:type="spellStart"/>
      <w:r w:rsidRPr="001D3665">
        <w:t>marknaden</w:t>
      </w:r>
      <w:proofErr w:type="spellEnd"/>
      <w:r w:rsidRPr="001D3665">
        <w:t xml:space="preserve"> i høve til </w:t>
      </w:r>
      <w:proofErr w:type="spellStart"/>
      <w:r w:rsidRPr="001D3665">
        <w:t>gjeldande</w:t>
      </w:r>
      <w:proofErr w:type="spellEnd"/>
      <w:r w:rsidRPr="001D3665">
        <w:t xml:space="preserve"> </w:t>
      </w:r>
      <w:proofErr w:type="spellStart"/>
      <w:r w:rsidRPr="001D3665">
        <w:t>etterspurnad</w:t>
      </w:r>
      <w:proofErr w:type="spellEnd"/>
      <w:r w:rsidRPr="001D3665">
        <w:t xml:space="preserve">. </w:t>
      </w:r>
      <w:proofErr w:type="spellStart"/>
      <w:r w:rsidRPr="001D3665">
        <w:t>Sidan</w:t>
      </w:r>
      <w:proofErr w:type="spellEnd"/>
      <w:r w:rsidRPr="001D3665">
        <w:t xml:space="preserve"> </w:t>
      </w:r>
      <w:proofErr w:type="spellStart"/>
      <w:r w:rsidRPr="001D3665">
        <w:t>tilbodet</w:t>
      </w:r>
      <w:proofErr w:type="spellEnd"/>
      <w:r w:rsidRPr="001D3665">
        <w:t xml:space="preserve"> er relativt lite fleksibelt på kort sikt, må </w:t>
      </w:r>
      <w:proofErr w:type="spellStart"/>
      <w:r w:rsidRPr="001D3665">
        <w:t>hovuddelen</w:t>
      </w:r>
      <w:proofErr w:type="spellEnd"/>
      <w:r w:rsidRPr="001D3665">
        <w:t xml:space="preserve"> av tilpassinga </w:t>
      </w:r>
      <w:proofErr w:type="spellStart"/>
      <w:r w:rsidRPr="001D3665">
        <w:t>kome</w:t>
      </w:r>
      <w:proofErr w:type="spellEnd"/>
      <w:r w:rsidRPr="001D3665">
        <w:t xml:space="preserve"> på </w:t>
      </w:r>
      <w:proofErr w:type="spellStart"/>
      <w:r w:rsidRPr="001D3665">
        <w:t>etterspurnadssida</w:t>
      </w:r>
      <w:proofErr w:type="spellEnd"/>
      <w:r w:rsidRPr="001D3665">
        <w:t xml:space="preserve">. Tiltak som </w:t>
      </w:r>
      <w:proofErr w:type="spellStart"/>
      <w:r w:rsidRPr="001D3665">
        <w:t>grip</w:t>
      </w:r>
      <w:proofErr w:type="spellEnd"/>
      <w:r w:rsidRPr="001D3665">
        <w:t xml:space="preserve"> direkte inn i </w:t>
      </w:r>
      <w:proofErr w:type="spellStart"/>
      <w:r w:rsidRPr="001D3665">
        <w:t>prisane</w:t>
      </w:r>
      <w:proofErr w:type="spellEnd"/>
      <w:r w:rsidRPr="001D3665">
        <w:t xml:space="preserve"> på enkeltvarer eller -</w:t>
      </w:r>
      <w:proofErr w:type="spellStart"/>
      <w:r w:rsidRPr="001D3665">
        <w:t>tenester</w:t>
      </w:r>
      <w:proofErr w:type="spellEnd"/>
      <w:r w:rsidRPr="001D3665">
        <w:t xml:space="preserve">, kan </w:t>
      </w:r>
      <w:proofErr w:type="spellStart"/>
      <w:r w:rsidRPr="001D3665">
        <w:t>svekkje</w:t>
      </w:r>
      <w:proofErr w:type="spellEnd"/>
      <w:r w:rsidRPr="001D3665">
        <w:t xml:space="preserve"> prissignalet sin funksjon. I </w:t>
      </w:r>
      <w:proofErr w:type="spellStart"/>
      <w:r w:rsidRPr="001D3665">
        <w:t>nokre</w:t>
      </w:r>
      <w:proofErr w:type="spellEnd"/>
      <w:r w:rsidRPr="001D3665">
        <w:t xml:space="preserve"> tilfelle kan ei svekking av prissignala bidra til å forlenge eller forsterke </w:t>
      </w:r>
      <w:proofErr w:type="spellStart"/>
      <w:r w:rsidRPr="001D3665">
        <w:t>underliggjande</w:t>
      </w:r>
      <w:proofErr w:type="spellEnd"/>
      <w:r w:rsidRPr="001D3665">
        <w:t xml:space="preserve"> </w:t>
      </w:r>
      <w:proofErr w:type="spellStart"/>
      <w:r w:rsidRPr="001D3665">
        <w:t>knappleiksproblem</w:t>
      </w:r>
      <w:proofErr w:type="spellEnd"/>
      <w:r w:rsidRPr="001D3665">
        <w:t>.</w:t>
      </w:r>
    </w:p>
    <w:p w14:paraId="03BB9FEB" w14:textId="77777777" w:rsidR="00BC371A" w:rsidRPr="001D3665" w:rsidRDefault="00BC371A" w:rsidP="001D3665">
      <w:pPr>
        <w:pStyle w:val="avsnitt-tittel"/>
      </w:pPr>
      <w:proofErr w:type="spellStart"/>
      <w:r w:rsidRPr="001D3665">
        <w:t>Eingongsutbetalingar</w:t>
      </w:r>
      <w:proofErr w:type="spellEnd"/>
    </w:p>
    <w:p w14:paraId="4FF29E7C" w14:textId="77777777" w:rsidR="00BC371A" w:rsidRPr="001D3665" w:rsidRDefault="00BC371A" w:rsidP="001D3665">
      <w:r w:rsidRPr="001D3665">
        <w:t xml:space="preserve">Stortingets oppmoding nr. 600 </w:t>
      </w:r>
      <w:proofErr w:type="spellStart"/>
      <w:r w:rsidRPr="001D3665">
        <w:t>frå</w:t>
      </w:r>
      <w:proofErr w:type="spellEnd"/>
      <w:r w:rsidRPr="001D3665">
        <w:t xml:space="preserve"> 26. mars 2026 </w:t>
      </w:r>
      <w:proofErr w:type="spellStart"/>
      <w:r w:rsidRPr="001D3665">
        <w:t>nemner</w:t>
      </w:r>
      <w:proofErr w:type="spellEnd"/>
      <w:r w:rsidRPr="001D3665">
        <w:t xml:space="preserve"> eksplisitt </w:t>
      </w:r>
      <w:proofErr w:type="spellStart"/>
      <w:r w:rsidRPr="001D3665">
        <w:t>eit</w:t>
      </w:r>
      <w:proofErr w:type="spellEnd"/>
      <w:r w:rsidRPr="001D3665">
        <w:t xml:space="preserve"> alternativ med </w:t>
      </w:r>
      <w:proofErr w:type="spellStart"/>
      <w:r w:rsidRPr="001D3665">
        <w:t>eingongsutbetalingar</w:t>
      </w:r>
      <w:proofErr w:type="spellEnd"/>
      <w:r w:rsidRPr="001D3665">
        <w:t>.</w:t>
      </w:r>
    </w:p>
    <w:p w14:paraId="29B6EA04" w14:textId="77777777" w:rsidR="00BC371A" w:rsidRPr="001D3665" w:rsidRDefault="00BC371A" w:rsidP="001D3665">
      <w:proofErr w:type="spellStart"/>
      <w:r w:rsidRPr="001D3665">
        <w:t>Ynsket</w:t>
      </w:r>
      <w:proofErr w:type="spellEnd"/>
      <w:r w:rsidRPr="001D3665">
        <w:t xml:space="preserve"> om å etablere ei løysing som kan brukast til </w:t>
      </w:r>
      <w:proofErr w:type="spellStart"/>
      <w:r w:rsidRPr="001D3665">
        <w:t>kontantutbetalingar</w:t>
      </w:r>
      <w:proofErr w:type="spellEnd"/>
      <w:r w:rsidRPr="001D3665">
        <w:t xml:space="preserve"> til norske </w:t>
      </w:r>
      <w:proofErr w:type="spellStart"/>
      <w:r w:rsidRPr="001D3665">
        <w:t>hushald</w:t>
      </w:r>
      <w:proofErr w:type="spellEnd"/>
      <w:r w:rsidRPr="001D3665">
        <w:t xml:space="preserve"> når det oppstår ei eller anna krise, er </w:t>
      </w:r>
      <w:proofErr w:type="spellStart"/>
      <w:r w:rsidRPr="001D3665">
        <w:t>peikt</w:t>
      </w:r>
      <w:proofErr w:type="spellEnd"/>
      <w:r w:rsidRPr="001D3665">
        <w:t xml:space="preserve"> på </w:t>
      </w:r>
      <w:proofErr w:type="spellStart"/>
      <w:r w:rsidRPr="001D3665">
        <w:t>frå</w:t>
      </w:r>
      <w:proofErr w:type="spellEnd"/>
      <w:r w:rsidRPr="001D3665">
        <w:t xml:space="preserve"> </w:t>
      </w:r>
      <w:proofErr w:type="spellStart"/>
      <w:r w:rsidRPr="001D3665">
        <w:t>fleire</w:t>
      </w:r>
      <w:proofErr w:type="spellEnd"/>
      <w:r w:rsidRPr="001D3665">
        <w:t xml:space="preserve"> hald i </w:t>
      </w:r>
      <w:proofErr w:type="spellStart"/>
      <w:r w:rsidRPr="001D3665">
        <w:t>fleire</w:t>
      </w:r>
      <w:proofErr w:type="spellEnd"/>
      <w:r w:rsidRPr="001D3665">
        <w:t xml:space="preserve"> </w:t>
      </w:r>
      <w:proofErr w:type="spellStart"/>
      <w:r w:rsidRPr="001D3665">
        <w:t>samanhengar</w:t>
      </w:r>
      <w:proofErr w:type="spellEnd"/>
      <w:r w:rsidRPr="001D3665">
        <w:t>. Representantforslag Dokument 8:190 S etterlyser òg ei slik ordning:</w:t>
      </w:r>
    </w:p>
    <w:p w14:paraId="693C75AA" w14:textId="77777777" w:rsidR="00BC371A" w:rsidRPr="001D3665" w:rsidRDefault="00BC371A" w:rsidP="001D3665">
      <w:pPr>
        <w:pStyle w:val="Nummerertliste2"/>
      </w:pPr>
      <w:r w:rsidRPr="001D3665">
        <w:t>Stortinget ber regjeringen snarest mulig opprette en offentlig løsning som kan brukes til kontantutbetalinger til norske husholdninger.</w:t>
      </w:r>
    </w:p>
    <w:p w14:paraId="4F7AEF45" w14:textId="77777777" w:rsidR="00BC371A" w:rsidRPr="001D3665" w:rsidRDefault="00BC371A" w:rsidP="001D3665">
      <w:pPr>
        <w:pStyle w:val="Nummerertliste2"/>
      </w:pPr>
      <w:r w:rsidRPr="001D3665">
        <w:t>Stortinget ber regjeringen sørge for at det tilbys en offentlig bankkonto til alle innbyggere i Norge.</w:t>
      </w:r>
    </w:p>
    <w:p w14:paraId="3A3A1537" w14:textId="77777777" w:rsidR="00BC371A" w:rsidRPr="001D3665" w:rsidRDefault="00BC371A" w:rsidP="001D3665">
      <w:pPr>
        <w:pStyle w:val="Nummerertliste2"/>
      </w:pPr>
      <w:r w:rsidRPr="001D3665">
        <w:t>Stortinget ber regjeringen gå gjennom virkemidler for å støtte privatpersoner og næringsliv i møte med globale eller nasjonale kriser på en slik måte at de ikke øker ulikheten i samfunnet, og komme tilbake til Stortinget med forslag til hvordan dette virkemiddelapparatet kan styrkes.</w:t>
      </w:r>
    </w:p>
    <w:p w14:paraId="614CAF14" w14:textId="77777777" w:rsidR="00BC371A" w:rsidRPr="001D3665" w:rsidRDefault="00BC371A" w:rsidP="001D3665">
      <w:r w:rsidRPr="001D3665">
        <w:t xml:space="preserve">I </w:t>
      </w:r>
      <w:proofErr w:type="spellStart"/>
      <w:r w:rsidRPr="001D3665">
        <w:t>fleire</w:t>
      </w:r>
      <w:proofErr w:type="spellEnd"/>
      <w:r w:rsidRPr="001D3665">
        <w:t xml:space="preserve"> </w:t>
      </w:r>
      <w:proofErr w:type="spellStart"/>
      <w:r w:rsidRPr="001D3665">
        <w:t>omgangar</w:t>
      </w:r>
      <w:proofErr w:type="spellEnd"/>
      <w:r w:rsidRPr="001D3665">
        <w:t xml:space="preserve"> har det òg </w:t>
      </w:r>
      <w:proofErr w:type="spellStart"/>
      <w:r w:rsidRPr="001D3665">
        <w:t>vore</w:t>
      </w:r>
      <w:proofErr w:type="spellEnd"/>
      <w:r w:rsidRPr="001D3665">
        <w:t xml:space="preserve"> framlegg om å etablere </w:t>
      </w:r>
      <w:proofErr w:type="gramStart"/>
      <w:r w:rsidRPr="001D3665">
        <w:t>ei varig utbetalingsordning</w:t>
      </w:r>
      <w:proofErr w:type="gramEnd"/>
      <w:r w:rsidRPr="001D3665">
        <w:t xml:space="preserve"> for å kompensere </w:t>
      </w:r>
      <w:proofErr w:type="spellStart"/>
      <w:r w:rsidRPr="001D3665">
        <w:t>hushalda</w:t>
      </w:r>
      <w:proofErr w:type="spellEnd"/>
      <w:r w:rsidRPr="001D3665">
        <w:t xml:space="preserve"> for </w:t>
      </w:r>
      <w:proofErr w:type="spellStart"/>
      <w:r w:rsidRPr="001D3665">
        <w:t>auka</w:t>
      </w:r>
      <w:proofErr w:type="spellEnd"/>
      <w:r w:rsidRPr="001D3665">
        <w:t xml:space="preserve"> klimaavgifter, </w:t>
      </w:r>
      <w:proofErr w:type="spellStart"/>
      <w:r w:rsidRPr="001D3665">
        <w:t>seinast</w:t>
      </w:r>
      <w:proofErr w:type="spellEnd"/>
      <w:r w:rsidRPr="001D3665">
        <w:t xml:space="preserve"> i representantforslag Dokument 8:256 S:</w:t>
      </w:r>
    </w:p>
    <w:p w14:paraId="55E572C6" w14:textId="77777777" w:rsidR="00BC371A" w:rsidRPr="001D3665" w:rsidRDefault="00BC371A" w:rsidP="001D3665">
      <w:pPr>
        <w:pStyle w:val="Nummerertliste2"/>
        <w:numPr>
          <w:ilvl w:val="1"/>
          <w:numId w:val="21"/>
        </w:numPr>
      </w:pPr>
      <w:r w:rsidRPr="001D3665">
        <w:t>Stortinget ber regjeringen, så snart som mulig, fremme forslag om å innføre en klimabelønningsordning der statens inntekter fra CO</w:t>
      </w:r>
      <w:r w:rsidRPr="001D3665">
        <w:rPr>
          <w:rStyle w:val="skrift-senket"/>
        </w:rPr>
        <w:t>2</w:t>
      </w:r>
      <w:r w:rsidRPr="001D3665">
        <w:t>-avgiften på bensin og autodiesel utbetales til alle innbyggere, inkludert barn, med høyere beløp for personer bosatt i områder som i dag har redusert arbeidsgiveravgift.</w:t>
      </w:r>
    </w:p>
    <w:p w14:paraId="5E70EDF8" w14:textId="77777777" w:rsidR="00BC371A" w:rsidRPr="001D3665" w:rsidRDefault="00BC371A" w:rsidP="001D3665">
      <w:pPr>
        <w:pStyle w:val="Nummerertliste2"/>
      </w:pPr>
      <w:r w:rsidRPr="001D3665">
        <w:t>Stortinget ber regjeringen utrede hvordan klimabelønningsordningen kan utvides til å omfatte andre CO</w:t>
      </w:r>
      <w:r w:rsidRPr="001D3665">
        <w:rPr>
          <w:rStyle w:val="skrift-senket"/>
        </w:rPr>
        <w:t>2</w:t>
      </w:r>
      <w:r w:rsidRPr="001D3665">
        <w:t>-avgifter enn CO</w:t>
      </w:r>
      <w:r w:rsidRPr="001D3665">
        <w:rPr>
          <w:rStyle w:val="skrift-senket"/>
        </w:rPr>
        <w:t>2</w:t>
      </w:r>
      <w:r w:rsidRPr="001D3665">
        <w:t>-avgiftene på bensin og autodiesel, og komme tilbake til Stortinget på egnet måte. For CO</w:t>
      </w:r>
      <w:r w:rsidRPr="001D3665">
        <w:rPr>
          <w:rStyle w:val="skrift-senket"/>
        </w:rPr>
        <w:t>2</w:t>
      </w:r>
      <w:r w:rsidRPr="001D3665">
        <w:t>-avgifter som i hovedsak kreves inn fra næringslivet, kan klimabelønningsordningen innrettes mot bedrifter i form av omstillingsfond.</w:t>
      </w:r>
    </w:p>
    <w:p w14:paraId="2D662D58" w14:textId="77777777" w:rsidR="00BC371A" w:rsidRPr="001D3665" w:rsidRDefault="00BC371A" w:rsidP="001D3665">
      <w:r w:rsidRPr="001D3665">
        <w:t xml:space="preserve">Tilbakeføring av </w:t>
      </w:r>
      <w:proofErr w:type="spellStart"/>
      <w:r w:rsidRPr="001D3665">
        <w:t>auka</w:t>
      </w:r>
      <w:proofErr w:type="spellEnd"/>
      <w:r w:rsidRPr="001D3665">
        <w:t xml:space="preserve"> miljøavgifter i form av ei varig ordning </w:t>
      </w:r>
      <w:proofErr w:type="spellStart"/>
      <w:r w:rsidRPr="001D3665">
        <w:t>utan</w:t>
      </w:r>
      <w:proofErr w:type="spellEnd"/>
      <w:r w:rsidRPr="001D3665">
        <w:t xml:space="preserve"> ei krise som utgangspunkt har òg </w:t>
      </w:r>
      <w:proofErr w:type="spellStart"/>
      <w:r w:rsidRPr="001D3665">
        <w:t>vore</w:t>
      </w:r>
      <w:proofErr w:type="spellEnd"/>
      <w:r w:rsidRPr="001D3665">
        <w:t xml:space="preserve"> vurdert </w:t>
      </w:r>
      <w:proofErr w:type="spellStart"/>
      <w:r w:rsidRPr="001D3665">
        <w:t>tidlegare</w:t>
      </w:r>
      <w:proofErr w:type="spellEnd"/>
      <w:r w:rsidRPr="001D3665">
        <w:t xml:space="preserve">, </w:t>
      </w:r>
      <w:proofErr w:type="spellStart"/>
      <w:r w:rsidRPr="001D3665">
        <w:t>seinast</w:t>
      </w:r>
      <w:proofErr w:type="spellEnd"/>
      <w:r w:rsidRPr="001D3665">
        <w:t xml:space="preserve"> i </w:t>
      </w:r>
      <w:proofErr w:type="spellStart"/>
      <w:r w:rsidRPr="001D3665">
        <w:t>Prop</w:t>
      </w:r>
      <w:proofErr w:type="spellEnd"/>
      <w:r w:rsidRPr="001D3665">
        <w:t xml:space="preserve">. 1 LS (2023–2024) </w:t>
      </w:r>
      <w:r w:rsidRPr="001D3665">
        <w:rPr>
          <w:rStyle w:val="kursiv"/>
        </w:rPr>
        <w:t>Skatter og avgifter 2024</w:t>
      </w:r>
      <w:r w:rsidRPr="001D3665">
        <w:t xml:space="preserve"> kapittel 16, som følgjer opp framlegg om å drøfte «mulige ordninger for omfordelende kompensasjon for økte miljøavgifter».</w:t>
      </w:r>
    </w:p>
    <w:p w14:paraId="43E6522C" w14:textId="77777777" w:rsidR="00BC371A" w:rsidRPr="001D3665" w:rsidRDefault="00BC371A" w:rsidP="001D3665">
      <w:proofErr w:type="gramStart"/>
      <w:r w:rsidRPr="001D3665">
        <w:t>Ei utbetalingsordning</w:t>
      </w:r>
      <w:proofErr w:type="gramEnd"/>
      <w:r w:rsidRPr="001D3665">
        <w:t xml:space="preserve"> vil </w:t>
      </w:r>
      <w:proofErr w:type="spellStart"/>
      <w:r w:rsidRPr="001D3665">
        <w:t>oppretthalde</w:t>
      </w:r>
      <w:proofErr w:type="spellEnd"/>
      <w:r w:rsidRPr="001D3665">
        <w:t xml:space="preserve"> prissignala i </w:t>
      </w:r>
      <w:proofErr w:type="spellStart"/>
      <w:r w:rsidRPr="001D3665">
        <w:t>marknadene</w:t>
      </w:r>
      <w:proofErr w:type="spellEnd"/>
      <w:r w:rsidRPr="001D3665">
        <w:t xml:space="preserve">, og </w:t>
      </w:r>
      <w:proofErr w:type="spellStart"/>
      <w:r w:rsidRPr="001D3665">
        <w:t>hushalda</w:t>
      </w:r>
      <w:proofErr w:type="spellEnd"/>
      <w:r w:rsidRPr="001D3665">
        <w:t xml:space="preserve"> kan </w:t>
      </w:r>
      <w:proofErr w:type="spellStart"/>
      <w:r w:rsidRPr="001D3665">
        <w:t>sjølv</w:t>
      </w:r>
      <w:proofErr w:type="spellEnd"/>
      <w:r w:rsidRPr="001D3665">
        <w:t xml:space="preserve"> prioritere kva støtta skal brukast til. </w:t>
      </w:r>
      <w:proofErr w:type="spellStart"/>
      <w:r w:rsidRPr="001D3665">
        <w:t>Eit</w:t>
      </w:r>
      <w:proofErr w:type="spellEnd"/>
      <w:r w:rsidRPr="001D3665">
        <w:t xml:space="preserve"> slikt tiltak har </w:t>
      </w:r>
      <w:proofErr w:type="spellStart"/>
      <w:r w:rsidRPr="001D3665">
        <w:t>difor</w:t>
      </w:r>
      <w:proofErr w:type="spellEnd"/>
      <w:r w:rsidRPr="001D3665">
        <w:t xml:space="preserve"> </w:t>
      </w:r>
      <w:proofErr w:type="spellStart"/>
      <w:r w:rsidRPr="001D3665">
        <w:t>nokre</w:t>
      </w:r>
      <w:proofErr w:type="spellEnd"/>
      <w:r w:rsidRPr="001D3665">
        <w:t xml:space="preserve"> </w:t>
      </w:r>
      <w:proofErr w:type="spellStart"/>
      <w:r w:rsidRPr="001D3665">
        <w:t>fordelar</w:t>
      </w:r>
      <w:proofErr w:type="spellEnd"/>
      <w:r w:rsidRPr="001D3665">
        <w:t xml:space="preserve"> </w:t>
      </w:r>
      <w:proofErr w:type="spellStart"/>
      <w:r w:rsidRPr="001D3665">
        <w:t>samanlikna</w:t>
      </w:r>
      <w:proofErr w:type="spellEnd"/>
      <w:r w:rsidRPr="001D3665">
        <w:t xml:space="preserve"> med tiltak </w:t>
      </w:r>
      <w:r w:rsidRPr="001D3665">
        <w:lastRenderedPageBreak/>
        <w:t xml:space="preserve">som verker direkte inn mot </w:t>
      </w:r>
      <w:proofErr w:type="spellStart"/>
      <w:r w:rsidRPr="001D3665">
        <w:t>prisar</w:t>
      </w:r>
      <w:proofErr w:type="spellEnd"/>
      <w:r w:rsidRPr="001D3665">
        <w:t xml:space="preserve"> på enkeltvarer- eller </w:t>
      </w:r>
      <w:proofErr w:type="spellStart"/>
      <w:r w:rsidRPr="001D3665">
        <w:t>tenester</w:t>
      </w:r>
      <w:proofErr w:type="spellEnd"/>
      <w:r w:rsidRPr="001D3665">
        <w:t xml:space="preserve">. Ei slik ordning kan òg treffe </w:t>
      </w:r>
      <w:proofErr w:type="spellStart"/>
      <w:r w:rsidRPr="001D3665">
        <w:t>hushald</w:t>
      </w:r>
      <w:proofErr w:type="spellEnd"/>
      <w:r w:rsidRPr="001D3665">
        <w:t xml:space="preserve"> </w:t>
      </w:r>
      <w:proofErr w:type="spellStart"/>
      <w:r w:rsidRPr="001D3665">
        <w:t>raskare</w:t>
      </w:r>
      <w:proofErr w:type="spellEnd"/>
      <w:r w:rsidRPr="001D3665">
        <w:t xml:space="preserve"> enn </w:t>
      </w:r>
      <w:proofErr w:type="gramStart"/>
      <w:r w:rsidRPr="001D3665">
        <w:t>ei generell skattelette</w:t>
      </w:r>
      <w:proofErr w:type="gramEnd"/>
      <w:r w:rsidRPr="001D3665">
        <w:t>.</w:t>
      </w:r>
    </w:p>
    <w:p w14:paraId="75EB4D94" w14:textId="77777777" w:rsidR="00BC371A" w:rsidRPr="001D3665" w:rsidRDefault="00BC371A" w:rsidP="001D3665">
      <w:r w:rsidRPr="001D3665">
        <w:t xml:space="preserve">I dag </w:t>
      </w:r>
      <w:proofErr w:type="spellStart"/>
      <w:r w:rsidRPr="001D3665">
        <w:t>finst</w:t>
      </w:r>
      <w:proofErr w:type="spellEnd"/>
      <w:r w:rsidRPr="001D3665">
        <w:t xml:space="preserve"> det </w:t>
      </w:r>
      <w:proofErr w:type="spellStart"/>
      <w:r w:rsidRPr="001D3665">
        <w:t>allereie</w:t>
      </w:r>
      <w:proofErr w:type="spellEnd"/>
      <w:r w:rsidRPr="001D3665">
        <w:t xml:space="preserve"> ei </w:t>
      </w:r>
      <w:proofErr w:type="spellStart"/>
      <w:r w:rsidRPr="001D3665">
        <w:t>rekkje</w:t>
      </w:r>
      <w:proofErr w:type="spellEnd"/>
      <w:r w:rsidRPr="001D3665">
        <w:t xml:space="preserve"> </w:t>
      </w:r>
      <w:proofErr w:type="spellStart"/>
      <w:r w:rsidRPr="001D3665">
        <w:t>ordningar</w:t>
      </w:r>
      <w:proofErr w:type="spellEnd"/>
      <w:r w:rsidRPr="001D3665">
        <w:t xml:space="preserve"> for å utbetale </w:t>
      </w:r>
      <w:proofErr w:type="spellStart"/>
      <w:r w:rsidRPr="001D3665">
        <w:t>pengar</w:t>
      </w:r>
      <w:proofErr w:type="spellEnd"/>
      <w:r w:rsidRPr="001D3665">
        <w:t xml:space="preserve">, òg til </w:t>
      </w:r>
      <w:proofErr w:type="spellStart"/>
      <w:r w:rsidRPr="001D3665">
        <w:t>hushalda</w:t>
      </w:r>
      <w:proofErr w:type="spellEnd"/>
      <w:r w:rsidRPr="001D3665">
        <w:t xml:space="preserve">, til dømes i trygdesystemet og barnetrygda. </w:t>
      </w:r>
      <w:proofErr w:type="spellStart"/>
      <w:r w:rsidRPr="001D3665">
        <w:t>Desse</w:t>
      </w:r>
      <w:proofErr w:type="spellEnd"/>
      <w:r w:rsidRPr="001D3665">
        <w:t xml:space="preserve"> </w:t>
      </w:r>
      <w:proofErr w:type="spellStart"/>
      <w:r w:rsidRPr="001D3665">
        <w:t>ordningane</w:t>
      </w:r>
      <w:proofErr w:type="spellEnd"/>
      <w:r w:rsidRPr="001D3665">
        <w:t xml:space="preserve"> er </w:t>
      </w:r>
      <w:proofErr w:type="spellStart"/>
      <w:r w:rsidRPr="001D3665">
        <w:t>ikkje</w:t>
      </w:r>
      <w:proofErr w:type="spellEnd"/>
      <w:r w:rsidRPr="001D3665">
        <w:t xml:space="preserve"> i dag forma for å kortsiktig kompensere for </w:t>
      </w:r>
      <w:proofErr w:type="spellStart"/>
      <w:r w:rsidRPr="001D3665">
        <w:t>mellombelse</w:t>
      </w:r>
      <w:proofErr w:type="spellEnd"/>
      <w:r w:rsidRPr="001D3665">
        <w:t xml:space="preserve"> </w:t>
      </w:r>
      <w:proofErr w:type="spellStart"/>
      <w:r w:rsidRPr="001D3665">
        <w:t>prisaukar</w:t>
      </w:r>
      <w:proofErr w:type="spellEnd"/>
      <w:r w:rsidRPr="001D3665">
        <w:t xml:space="preserve">, og </w:t>
      </w:r>
      <w:proofErr w:type="spellStart"/>
      <w:r w:rsidRPr="001D3665">
        <w:t>dei</w:t>
      </w:r>
      <w:proofErr w:type="spellEnd"/>
      <w:r w:rsidRPr="001D3665">
        <w:t xml:space="preserve"> vil heller </w:t>
      </w:r>
      <w:proofErr w:type="spellStart"/>
      <w:r w:rsidRPr="001D3665">
        <w:t>ikkje</w:t>
      </w:r>
      <w:proofErr w:type="spellEnd"/>
      <w:r w:rsidRPr="001D3665">
        <w:t xml:space="preserve"> omfatte alle </w:t>
      </w:r>
      <w:proofErr w:type="spellStart"/>
      <w:r w:rsidRPr="001D3665">
        <w:t>hushald</w:t>
      </w:r>
      <w:proofErr w:type="spellEnd"/>
      <w:r w:rsidRPr="001D3665">
        <w:t>.</w:t>
      </w:r>
    </w:p>
    <w:p w14:paraId="5F0C20AC" w14:textId="77777777" w:rsidR="00BC371A" w:rsidRPr="001D3665" w:rsidRDefault="00BC371A" w:rsidP="001D3665">
      <w:r w:rsidRPr="001D3665">
        <w:t xml:space="preserve">Ei generell ordning med </w:t>
      </w:r>
      <w:proofErr w:type="spellStart"/>
      <w:r w:rsidRPr="001D3665">
        <w:t>eingongsutbetalingar</w:t>
      </w:r>
      <w:proofErr w:type="spellEnd"/>
      <w:r w:rsidRPr="001D3665">
        <w:t xml:space="preserve"> for å kompensere </w:t>
      </w:r>
      <w:proofErr w:type="spellStart"/>
      <w:r w:rsidRPr="001D3665">
        <w:t>hushalda</w:t>
      </w:r>
      <w:proofErr w:type="spellEnd"/>
      <w:r w:rsidRPr="001D3665">
        <w:t xml:space="preserve"> for </w:t>
      </w:r>
      <w:proofErr w:type="spellStart"/>
      <w:r w:rsidRPr="001D3665">
        <w:t>mellombelse</w:t>
      </w:r>
      <w:proofErr w:type="spellEnd"/>
      <w:r w:rsidRPr="001D3665">
        <w:t xml:space="preserve"> </w:t>
      </w:r>
      <w:proofErr w:type="spellStart"/>
      <w:r w:rsidRPr="001D3665">
        <w:t>prisaukar</w:t>
      </w:r>
      <w:proofErr w:type="spellEnd"/>
      <w:r w:rsidRPr="001D3665">
        <w:t xml:space="preserve"> må </w:t>
      </w:r>
      <w:proofErr w:type="spellStart"/>
      <w:r w:rsidRPr="001D3665">
        <w:t>difor</w:t>
      </w:r>
      <w:proofErr w:type="spellEnd"/>
      <w:r w:rsidRPr="001D3665">
        <w:t xml:space="preserve"> </w:t>
      </w:r>
      <w:proofErr w:type="spellStart"/>
      <w:r w:rsidRPr="001D3665">
        <w:t>vere</w:t>
      </w:r>
      <w:proofErr w:type="spellEnd"/>
      <w:r w:rsidRPr="001D3665">
        <w:t xml:space="preserve"> ei ny ordning. Ei slik ordning vil ta tid å innføre og vil reise ei </w:t>
      </w:r>
      <w:proofErr w:type="spellStart"/>
      <w:r w:rsidRPr="001D3665">
        <w:t>rekkje</w:t>
      </w:r>
      <w:proofErr w:type="spellEnd"/>
      <w:r w:rsidRPr="001D3665">
        <w:t xml:space="preserve"> </w:t>
      </w:r>
      <w:proofErr w:type="spellStart"/>
      <w:r w:rsidRPr="001D3665">
        <w:t>krevjande</w:t>
      </w:r>
      <w:proofErr w:type="spellEnd"/>
      <w:r w:rsidRPr="001D3665">
        <w:t xml:space="preserve"> spørsmål både prinsipielt og når det kjem til utforminga.</w:t>
      </w:r>
    </w:p>
    <w:p w14:paraId="6F4E54B4" w14:textId="77777777" w:rsidR="00BC371A" w:rsidRPr="001D3665" w:rsidRDefault="00BC371A" w:rsidP="001D3665">
      <w:proofErr w:type="spellStart"/>
      <w:r w:rsidRPr="001D3665">
        <w:t>Ein</w:t>
      </w:r>
      <w:proofErr w:type="spellEnd"/>
      <w:r w:rsidRPr="001D3665">
        <w:t xml:space="preserve"> må ta stilling til kven ordninga skal omfatte, og korleis ho skal </w:t>
      </w:r>
      <w:proofErr w:type="spellStart"/>
      <w:r w:rsidRPr="001D3665">
        <w:t>avgrensast</w:t>
      </w:r>
      <w:proofErr w:type="spellEnd"/>
      <w:r w:rsidRPr="001D3665">
        <w:t xml:space="preserve">. Dette inkluderer spørsmål om kriterium for deltaking, til dømes knytt til bustad, </w:t>
      </w:r>
      <w:proofErr w:type="spellStart"/>
      <w:r w:rsidRPr="001D3665">
        <w:t>tilknyting</w:t>
      </w:r>
      <w:proofErr w:type="spellEnd"/>
      <w:r w:rsidRPr="001D3665">
        <w:t xml:space="preserve"> til landet og eventuelle </w:t>
      </w:r>
      <w:proofErr w:type="spellStart"/>
      <w:r w:rsidRPr="001D3665">
        <w:t>aldersavgrensingar</w:t>
      </w:r>
      <w:proofErr w:type="spellEnd"/>
      <w:r w:rsidRPr="001D3665">
        <w:t xml:space="preserve">. </w:t>
      </w:r>
      <w:proofErr w:type="spellStart"/>
      <w:r w:rsidRPr="001D3665">
        <w:t>Vidare</w:t>
      </w:r>
      <w:proofErr w:type="spellEnd"/>
      <w:r w:rsidRPr="001D3665">
        <w:t xml:space="preserve"> må </w:t>
      </w:r>
      <w:proofErr w:type="spellStart"/>
      <w:r w:rsidRPr="001D3665">
        <w:t>ein</w:t>
      </w:r>
      <w:proofErr w:type="spellEnd"/>
      <w:r w:rsidRPr="001D3665">
        <w:t xml:space="preserve"> vurdere korleis </w:t>
      </w:r>
      <w:proofErr w:type="spellStart"/>
      <w:r w:rsidRPr="001D3665">
        <w:t>utbetalingane</w:t>
      </w:r>
      <w:proofErr w:type="spellEnd"/>
      <w:r w:rsidRPr="001D3665">
        <w:t xml:space="preserve"> skal </w:t>
      </w:r>
      <w:proofErr w:type="spellStart"/>
      <w:r w:rsidRPr="001D3665">
        <w:t>sjåast</w:t>
      </w:r>
      <w:proofErr w:type="spellEnd"/>
      <w:r w:rsidRPr="001D3665">
        <w:t xml:space="preserve"> i </w:t>
      </w:r>
      <w:proofErr w:type="spellStart"/>
      <w:r w:rsidRPr="001D3665">
        <w:t>samanheng</w:t>
      </w:r>
      <w:proofErr w:type="spellEnd"/>
      <w:r w:rsidRPr="001D3665">
        <w:t xml:space="preserve"> med andre </w:t>
      </w:r>
      <w:proofErr w:type="spellStart"/>
      <w:r w:rsidRPr="001D3665">
        <w:t>offentlege</w:t>
      </w:r>
      <w:proofErr w:type="spellEnd"/>
      <w:r w:rsidRPr="001D3665">
        <w:t xml:space="preserve"> </w:t>
      </w:r>
      <w:proofErr w:type="spellStart"/>
      <w:r w:rsidRPr="001D3665">
        <w:t>ytingar</w:t>
      </w:r>
      <w:proofErr w:type="spellEnd"/>
      <w:r w:rsidRPr="001D3665">
        <w:t xml:space="preserve">, til dømes om </w:t>
      </w:r>
      <w:proofErr w:type="spellStart"/>
      <w:r w:rsidRPr="001D3665">
        <w:t>dei</w:t>
      </w:r>
      <w:proofErr w:type="spellEnd"/>
      <w:r w:rsidRPr="001D3665">
        <w:t xml:space="preserve"> skal </w:t>
      </w:r>
      <w:proofErr w:type="spellStart"/>
      <w:r w:rsidRPr="001D3665">
        <w:t>avkortast</w:t>
      </w:r>
      <w:proofErr w:type="spellEnd"/>
      <w:r w:rsidRPr="001D3665">
        <w:t xml:space="preserve"> mot </w:t>
      </w:r>
      <w:proofErr w:type="spellStart"/>
      <w:r w:rsidRPr="001D3665">
        <w:t>eksisterande</w:t>
      </w:r>
      <w:proofErr w:type="spellEnd"/>
      <w:r w:rsidRPr="001D3665">
        <w:t xml:space="preserve"> stønader eller inngå i inntektsgrunnlaget for slike </w:t>
      </w:r>
      <w:proofErr w:type="spellStart"/>
      <w:r w:rsidRPr="001D3665">
        <w:t>ordningar</w:t>
      </w:r>
      <w:proofErr w:type="spellEnd"/>
      <w:r w:rsidRPr="001D3665">
        <w:t xml:space="preserve">. Jo </w:t>
      </w:r>
      <w:proofErr w:type="spellStart"/>
      <w:r w:rsidRPr="001D3665">
        <w:t>fleire</w:t>
      </w:r>
      <w:proofErr w:type="spellEnd"/>
      <w:r w:rsidRPr="001D3665">
        <w:t xml:space="preserve"> omsyn </w:t>
      </w:r>
      <w:proofErr w:type="spellStart"/>
      <w:r w:rsidRPr="001D3665">
        <w:t>ein</w:t>
      </w:r>
      <w:proofErr w:type="spellEnd"/>
      <w:r w:rsidRPr="001D3665">
        <w:t xml:space="preserve"> vil ta, jo </w:t>
      </w:r>
      <w:proofErr w:type="spellStart"/>
      <w:r w:rsidRPr="001D3665">
        <w:t>meir</w:t>
      </w:r>
      <w:proofErr w:type="spellEnd"/>
      <w:r w:rsidRPr="001D3665">
        <w:t xml:space="preserve"> komplisert vert ordninga.</w:t>
      </w:r>
    </w:p>
    <w:p w14:paraId="2B145EA6" w14:textId="77777777" w:rsidR="00BC371A" w:rsidRPr="001D3665" w:rsidRDefault="00BC371A" w:rsidP="001D3665">
      <w:r w:rsidRPr="001D3665">
        <w:t xml:space="preserve">Det må òg </w:t>
      </w:r>
      <w:proofErr w:type="spellStart"/>
      <w:r w:rsidRPr="001D3665">
        <w:t>avklarast</w:t>
      </w:r>
      <w:proofErr w:type="spellEnd"/>
      <w:r w:rsidRPr="001D3665">
        <w:t xml:space="preserve"> kva slags </w:t>
      </w:r>
      <w:proofErr w:type="spellStart"/>
      <w:r w:rsidRPr="001D3665">
        <w:t>kontrollmekanismar</w:t>
      </w:r>
      <w:proofErr w:type="spellEnd"/>
      <w:r w:rsidRPr="001D3665">
        <w:t xml:space="preserve"> ordninga skal ha, og korleis støtte eventuelt skal </w:t>
      </w:r>
      <w:proofErr w:type="spellStart"/>
      <w:r w:rsidRPr="001D3665">
        <w:t>tilbakebetalast</w:t>
      </w:r>
      <w:proofErr w:type="spellEnd"/>
      <w:r w:rsidRPr="001D3665">
        <w:t xml:space="preserve">. Ved </w:t>
      </w:r>
      <w:proofErr w:type="spellStart"/>
      <w:r w:rsidRPr="001D3665">
        <w:t>ynskje</w:t>
      </w:r>
      <w:proofErr w:type="spellEnd"/>
      <w:r w:rsidRPr="001D3665">
        <w:t xml:space="preserve"> om omfordeling må </w:t>
      </w:r>
      <w:proofErr w:type="spellStart"/>
      <w:r w:rsidRPr="001D3665">
        <w:t>ein</w:t>
      </w:r>
      <w:proofErr w:type="spellEnd"/>
      <w:r w:rsidRPr="001D3665">
        <w:t xml:space="preserve"> vurdere korleis denne omfordelinga skal </w:t>
      </w:r>
      <w:proofErr w:type="spellStart"/>
      <w:r w:rsidRPr="001D3665">
        <w:t>hengje</w:t>
      </w:r>
      <w:proofErr w:type="spellEnd"/>
      <w:r w:rsidRPr="001D3665">
        <w:t xml:space="preserve"> </w:t>
      </w:r>
      <w:proofErr w:type="spellStart"/>
      <w:r w:rsidRPr="001D3665">
        <w:t>saman</w:t>
      </w:r>
      <w:proofErr w:type="spellEnd"/>
      <w:r w:rsidRPr="001D3665">
        <w:t xml:space="preserve"> med </w:t>
      </w:r>
      <w:proofErr w:type="spellStart"/>
      <w:r w:rsidRPr="001D3665">
        <w:t>dei</w:t>
      </w:r>
      <w:proofErr w:type="spellEnd"/>
      <w:r w:rsidRPr="001D3665">
        <w:t xml:space="preserve"> </w:t>
      </w:r>
      <w:proofErr w:type="spellStart"/>
      <w:r w:rsidRPr="001D3665">
        <w:t>mekanismane</w:t>
      </w:r>
      <w:proofErr w:type="spellEnd"/>
      <w:r w:rsidRPr="001D3665">
        <w:t xml:space="preserve"> for omfordeling som </w:t>
      </w:r>
      <w:proofErr w:type="spellStart"/>
      <w:r w:rsidRPr="001D3665">
        <w:t>allereie</w:t>
      </w:r>
      <w:proofErr w:type="spellEnd"/>
      <w:r w:rsidRPr="001D3665">
        <w:t xml:space="preserve"> </w:t>
      </w:r>
      <w:proofErr w:type="spellStart"/>
      <w:r w:rsidRPr="001D3665">
        <w:t>finst</w:t>
      </w:r>
      <w:proofErr w:type="spellEnd"/>
      <w:r w:rsidRPr="001D3665">
        <w:t xml:space="preserve"> i det ordinære skattesystemet.</w:t>
      </w:r>
    </w:p>
    <w:p w14:paraId="477FD774" w14:textId="77777777" w:rsidR="00BC371A" w:rsidRPr="001D3665" w:rsidRDefault="00BC371A" w:rsidP="001D3665">
      <w:pPr>
        <w:pStyle w:val="avsnitt-tittel"/>
      </w:pPr>
      <w:r w:rsidRPr="001D3665">
        <w:t xml:space="preserve">Tiltak </w:t>
      </w:r>
      <w:proofErr w:type="spellStart"/>
      <w:r w:rsidRPr="001D3665">
        <w:t>innanfor</w:t>
      </w:r>
      <w:proofErr w:type="spellEnd"/>
      <w:r w:rsidRPr="001D3665">
        <w:t xml:space="preserve"> </w:t>
      </w:r>
      <w:proofErr w:type="spellStart"/>
      <w:r w:rsidRPr="001D3665">
        <w:t>eksisterande</w:t>
      </w:r>
      <w:proofErr w:type="spellEnd"/>
      <w:r w:rsidRPr="001D3665">
        <w:t xml:space="preserve"> </w:t>
      </w:r>
      <w:proofErr w:type="spellStart"/>
      <w:r w:rsidRPr="001D3665">
        <w:t>inntektssikringsordningar</w:t>
      </w:r>
      <w:proofErr w:type="spellEnd"/>
    </w:p>
    <w:p w14:paraId="0E794C1E" w14:textId="77777777" w:rsidR="00BC371A" w:rsidRPr="001D3665" w:rsidRDefault="00BC371A" w:rsidP="001D3665">
      <w:proofErr w:type="spellStart"/>
      <w:r w:rsidRPr="001D3665">
        <w:t>Noreg</w:t>
      </w:r>
      <w:proofErr w:type="spellEnd"/>
      <w:r w:rsidRPr="001D3665">
        <w:t xml:space="preserve"> har </w:t>
      </w:r>
      <w:proofErr w:type="spellStart"/>
      <w:r w:rsidRPr="001D3665">
        <w:t>eit</w:t>
      </w:r>
      <w:proofErr w:type="spellEnd"/>
      <w:r w:rsidRPr="001D3665">
        <w:t xml:space="preserve"> </w:t>
      </w:r>
      <w:proofErr w:type="spellStart"/>
      <w:r w:rsidRPr="001D3665">
        <w:t>omfattande</w:t>
      </w:r>
      <w:proofErr w:type="spellEnd"/>
      <w:r w:rsidRPr="001D3665">
        <w:t xml:space="preserve"> system for inntektssikring gjennom folketrygda. I tillegg </w:t>
      </w:r>
      <w:proofErr w:type="spellStart"/>
      <w:r w:rsidRPr="001D3665">
        <w:t>finst</w:t>
      </w:r>
      <w:proofErr w:type="spellEnd"/>
      <w:r w:rsidRPr="001D3665">
        <w:t xml:space="preserve"> </w:t>
      </w:r>
      <w:proofErr w:type="spellStart"/>
      <w:r w:rsidRPr="001D3665">
        <w:t>ordningar</w:t>
      </w:r>
      <w:proofErr w:type="spellEnd"/>
      <w:r w:rsidRPr="001D3665">
        <w:t xml:space="preserve"> som er retta mot </w:t>
      </w:r>
      <w:proofErr w:type="spellStart"/>
      <w:r w:rsidRPr="001D3665">
        <w:t>særskilde</w:t>
      </w:r>
      <w:proofErr w:type="spellEnd"/>
      <w:r w:rsidRPr="001D3665">
        <w:t xml:space="preserve"> utgifter i </w:t>
      </w:r>
      <w:proofErr w:type="spellStart"/>
      <w:r w:rsidRPr="001D3665">
        <w:t>hushalda</w:t>
      </w:r>
      <w:proofErr w:type="spellEnd"/>
      <w:r w:rsidRPr="001D3665">
        <w:t xml:space="preserve">, til dømes bustøtte. Mottak av bustøtte </w:t>
      </w:r>
      <w:proofErr w:type="spellStart"/>
      <w:r w:rsidRPr="001D3665">
        <w:t>føreset</w:t>
      </w:r>
      <w:proofErr w:type="spellEnd"/>
      <w:r w:rsidRPr="001D3665">
        <w:t xml:space="preserve"> låg inntekt og er </w:t>
      </w:r>
      <w:proofErr w:type="spellStart"/>
      <w:r w:rsidRPr="001D3665">
        <w:t>difor</w:t>
      </w:r>
      <w:proofErr w:type="spellEnd"/>
      <w:r w:rsidRPr="001D3665">
        <w:t xml:space="preserve"> målretta mot sårbare </w:t>
      </w:r>
      <w:proofErr w:type="spellStart"/>
      <w:r w:rsidRPr="001D3665">
        <w:t>hushald</w:t>
      </w:r>
      <w:proofErr w:type="spellEnd"/>
      <w:r w:rsidRPr="001D3665">
        <w:t xml:space="preserve">. I perioden 2021–2023 vart det gjeve ekstraordinære </w:t>
      </w:r>
      <w:proofErr w:type="spellStart"/>
      <w:r w:rsidRPr="001D3665">
        <w:t>utbetalingar</w:t>
      </w:r>
      <w:proofErr w:type="spellEnd"/>
      <w:r w:rsidRPr="001D3665">
        <w:t xml:space="preserve"> i bustøtta i </w:t>
      </w:r>
      <w:proofErr w:type="spellStart"/>
      <w:r w:rsidRPr="001D3665">
        <w:t>fleire</w:t>
      </w:r>
      <w:proofErr w:type="spellEnd"/>
      <w:r w:rsidRPr="001D3665">
        <w:t xml:space="preserve"> </w:t>
      </w:r>
      <w:proofErr w:type="spellStart"/>
      <w:r w:rsidRPr="001D3665">
        <w:t>omgangar</w:t>
      </w:r>
      <w:proofErr w:type="spellEnd"/>
      <w:r w:rsidRPr="001D3665">
        <w:t xml:space="preserve">, som var grunngjeve i høge </w:t>
      </w:r>
      <w:proofErr w:type="spellStart"/>
      <w:r w:rsidRPr="001D3665">
        <w:t>straumprisar</w:t>
      </w:r>
      <w:proofErr w:type="spellEnd"/>
      <w:r w:rsidRPr="001D3665">
        <w:t>.</w:t>
      </w:r>
    </w:p>
    <w:p w14:paraId="5E69DF9B" w14:textId="77777777" w:rsidR="00BC371A" w:rsidRPr="001D3665" w:rsidRDefault="00BC371A" w:rsidP="001D3665">
      <w:r w:rsidRPr="001D3665">
        <w:t xml:space="preserve">Trygdesystemet er </w:t>
      </w:r>
      <w:proofErr w:type="spellStart"/>
      <w:r w:rsidRPr="001D3665">
        <w:t>ikkje</w:t>
      </w:r>
      <w:proofErr w:type="spellEnd"/>
      <w:r w:rsidRPr="001D3665">
        <w:t xml:space="preserve"> utforma for å kompensere befolkninga for </w:t>
      </w:r>
      <w:proofErr w:type="spellStart"/>
      <w:r w:rsidRPr="001D3665">
        <w:t>auka</w:t>
      </w:r>
      <w:proofErr w:type="spellEnd"/>
      <w:r w:rsidRPr="001D3665">
        <w:t xml:space="preserve"> </w:t>
      </w:r>
      <w:proofErr w:type="spellStart"/>
      <w:r w:rsidRPr="001D3665">
        <w:t>levekostnadar</w:t>
      </w:r>
      <w:proofErr w:type="spellEnd"/>
      <w:r w:rsidRPr="001D3665">
        <w:t xml:space="preserve"> på kort sikt, men er i </w:t>
      </w:r>
      <w:proofErr w:type="spellStart"/>
      <w:r w:rsidRPr="001D3665">
        <w:t>hovudsak</w:t>
      </w:r>
      <w:proofErr w:type="spellEnd"/>
      <w:r w:rsidRPr="001D3665">
        <w:t xml:space="preserve"> meint å </w:t>
      </w:r>
      <w:proofErr w:type="spellStart"/>
      <w:r w:rsidRPr="001D3665">
        <w:t>dekkje</w:t>
      </w:r>
      <w:proofErr w:type="spellEnd"/>
      <w:r w:rsidRPr="001D3665">
        <w:t xml:space="preserve"> bortfall av inntekt ved alderdom, sjukdom, </w:t>
      </w:r>
      <w:proofErr w:type="spellStart"/>
      <w:r w:rsidRPr="001D3665">
        <w:t>uførheit</w:t>
      </w:r>
      <w:proofErr w:type="spellEnd"/>
      <w:r w:rsidRPr="001D3665">
        <w:t xml:space="preserve"> og </w:t>
      </w:r>
      <w:proofErr w:type="spellStart"/>
      <w:r w:rsidRPr="001D3665">
        <w:t>arbeidsløyse</w:t>
      </w:r>
      <w:proofErr w:type="spellEnd"/>
      <w:r w:rsidRPr="001D3665">
        <w:t xml:space="preserve"> mv. Den </w:t>
      </w:r>
      <w:proofErr w:type="spellStart"/>
      <w:r w:rsidRPr="001D3665">
        <w:t>årlege</w:t>
      </w:r>
      <w:proofErr w:type="spellEnd"/>
      <w:r w:rsidRPr="001D3665">
        <w:t xml:space="preserve"> reguleringa av </w:t>
      </w:r>
      <w:proofErr w:type="spellStart"/>
      <w:r w:rsidRPr="001D3665">
        <w:t>ytingar</w:t>
      </w:r>
      <w:proofErr w:type="spellEnd"/>
      <w:r w:rsidRPr="001D3665">
        <w:t xml:space="preserve"> vil likevel fange opp generell pris- og </w:t>
      </w:r>
      <w:proofErr w:type="spellStart"/>
      <w:r w:rsidRPr="001D3665">
        <w:t>lønsvekst</w:t>
      </w:r>
      <w:proofErr w:type="spellEnd"/>
      <w:r w:rsidRPr="001D3665">
        <w:t xml:space="preserve">, slik at kjøpekrafta vert </w:t>
      </w:r>
      <w:proofErr w:type="spellStart"/>
      <w:r w:rsidRPr="001D3665">
        <w:t>oppretthalde</w:t>
      </w:r>
      <w:proofErr w:type="spellEnd"/>
      <w:r w:rsidRPr="001D3665">
        <w:t xml:space="preserve">, med </w:t>
      </w:r>
      <w:proofErr w:type="spellStart"/>
      <w:r w:rsidRPr="001D3665">
        <w:t>noko</w:t>
      </w:r>
      <w:proofErr w:type="spellEnd"/>
      <w:r w:rsidRPr="001D3665">
        <w:t xml:space="preserve"> ulikt system for ulike </w:t>
      </w:r>
      <w:proofErr w:type="spellStart"/>
      <w:r w:rsidRPr="001D3665">
        <w:t>ordningar</w:t>
      </w:r>
      <w:proofErr w:type="spellEnd"/>
      <w:r w:rsidRPr="001D3665">
        <w:t>.</w:t>
      </w:r>
    </w:p>
    <w:p w14:paraId="1EB42CCE" w14:textId="77777777" w:rsidR="00BC371A" w:rsidRPr="001D3665" w:rsidRDefault="00BC371A" w:rsidP="001D3665">
      <w:r w:rsidRPr="001D3665">
        <w:t xml:space="preserve">Eventuelle </w:t>
      </w:r>
      <w:proofErr w:type="spellStart"/>
      <w:r w:rsidRPr="001D3665">
        <w:t>utbetalingar</w:t>
      </w:r>
      <w:proofErr w:type="spellEnd"/>
      <w:r w:rsidRPr="001D3665">
        <w:t xml:space="preserve"> </w:t>
      </w:r>
      <w:proofErr w:type="spellStart"/>
      <w:r w:rsidRPr="001D3665">
        <w:t>innanfor</w:t>
      </w:r>
      <w:proofErr w:type="spellEnd"/>
      <w:r w:rsidRPr="001D3665">
        <w:t xml:space="preserve"> </w:t>
      </w:r>
      <w:proofErr w:type="spellStart"/>
      <w:r w:rsidRPr="001D3665">
        <w:t>eksisterande</w:t>
      </w:r>
      <w:proofErr w:type="spellEnd"/>
      <w:r w:rsidRPr="001D3665">
        <w:t xml:space="preserve"> </w:t>
      </w:r>
      <w:proofErr w:type="spellStart"/>
      <w:r w:rsidRPr="001D3665">
        <w:t>ordningar</w:t>
      </w:r>
      <w:proofErr w:type="spellEnd"/>
      <w:r w:rsidRPr="001D3665">
        <w:t xml:space="preserve"> vil gå til </w:t>
      </w:r>
      <w:proofErr w:type="spellStart"/>
      <w:r w:rsidRPr="001D3665">
        <w:t>nokon</w:t>
      </w:r>
      <w:proofErr w:type="spellEnd"/>
      <w:r w:rsidRPr="001D3665">
        <w:t xml:space="preserve"> av </w:t>
      </w:r>
      <w:proofErr w:type="spellStart"/>
      <w:r w:rsidRPr="001D3665">
        <w:t>dei</w:t>
      </w:r>
      <w:proofErr w:type="spellEnd"/>
      <w:r w:rsidRPr="001D3665">
        <w:t xml:space="preserve"> som </w:t>
      </w:r>
      <w:proofErr w:type="spellStart"/>
      <w:r w:rsidRPr="001D3665">
        <w:t>allereie</w:t>
      </w:r>
      <w:proofErr w:type="spellEnd"/>
      <w:r w:rsidRPr="001D3665">
        <w:t xml:space="preserve"> mottar ei yting, og vil såleis i mindre grad treffe </w:t>
      </w:r>
      <w:proofErr w:type="spellStart"/>
      <w:r w:rsidRPr="001D3665">
        <w:t>arbeidstakarar</w:t>
      </w:r>
      <w:proofErr w:type="spellEnd"/>
      <w:r w:rsidRPr="001D3665">
        <w:t xml:space="preserve">. Å </w:t>
      </w:r>
      <w:proofErr w:type="spellStart"/>
      <w:r w:rsidRPr="001D3665">
        <w:t>einsidig</w:t>
      </w:r>
      <w:proofErr w:type="spellEnd"/>
      <w:r w:rsidRPr="001D3665">
        <w:t xml:space="preserve"> </w:t>
      </w:r>
      <w:proofErr w:type="spellStart"/>
      <w:r w:rsidRPr="001D3665">
        <w:t>auke</w:t>
      </w:r>
      <w:proofErr w:type="spellEnd"/>
      <w:r w:rsidRPr="001D3665">
        <w:t xml:space="preserve"> trygder </w:t>
      </w:r>
      <w:proofErr w:type="spellStart"/>
      <w:r w:rsidRPr="001D3665">
        <w:t>inneber</w:t>
      </w:r>
      <w:proofErr w:type="spellEnd"/>
      <w:r w:rsidRPr="001D3665">
        <w:t xml:space="preserve"> i prinsippet å </w:t>
      </w:r>
      <w:proofErr w:type="spellStart"/>
      <w:r w:rsidRPr="001D3665">
        <w:t>svekkje</w:t>
      </w:r>
      <w:proofErr w:type="spellEnd"/>
      <w:r w:rsidRPr="001D3665">
        <w:t xml:space="preserve"> </w:t>
      </w:r>
      <w:proofErr w:type="spellStart"/>
      <w:r w:rsidRPr="001D3665">
        <w:t>arbeidslina</w:t>
      </w:r>
      <w:proofErr w:type="spellEnd"/>
      <w:r w:rsidRPr="001D3665">
        <w:t xml:space="preserve"> og kan redusere </w:t>
      </w:r>
      <w:proofErr w:type="spellStart"/>
      <w:r w:rsidRPr="001D3665">
        <w:t>sysselsetjinga</w:t>
      </w:r>
      <w:proofErr w:type="spellEnd"/>
      <w:r w:rsidRPr="001D3665">
        <w:t xml:space="preserve">, </w:t>
      </w:r>
      <w:proofErr w:type="spellStart"/>
      <w:r w:rsidRPr="001D3665">
        <w:t>noko</w:t>
      </w:r>
      <w:proofErr w:type="spellEnd"/>
      <w:r w:rsidRPr="001D3665">
        <w:t xml:space="preserve"> som kan bidra til </w:t>
      </w:r>
      <w:proofErr w:type="spellStart"/>
      <w:r w:rsidRPr="001D3665">
        <w:t>auka</w:t>
      </w:r>
      <w:proofErr w:type="spellEnd"/>
      <w:r w:rsidRPr="001D3665">
        <w:t xml:space="preserve"> </w:t>
      </w:r>
      <w:proofErr w:type="spellStart"/>
      <w:r w:rsidRPr="001D3665">
        <w:t>levekårsutfordringar</w:t>
      </w:r>
      <w:proofErr w:type="spellEnd"/>
      <w:r w:rsidRPr="001D3665">
        <w:t xml:space="preserve"> på sikt.</w:t>
      </w:r>
    </w:p>
    <w:p w14:paraId="0127991B" w14:textId="77777777" w:rsidR="00BC371A" w:rsidRPr="001D3665" w:rsidRDefault="00BC371A" w:rsidP="001D3665">
      <w:pPr>
        <w:pStyle w:val="avsnitt-tittel"/>
      </w:pPr>
      <w:r w:rsidRPr="001D3665">
        <w:t xml:space="preserve">Breie </w:t>
      </w:r>
      <w:proofErr w:type="spellStart"/>
      <w:r w:rsidRPr="001D3665">
        <w:t>reduksjonar</w:t>
      </w:r>
      <w:proofErr w:type="spellEnd"/>
      <w:r w:rsidRPr="001D3665">
        <w:t xml:space="preserve"> i inntektsskatten</w:t>
      </w:r>
    </w:p>
    <w:p w14:paraId="6729521C" w14:textId="77777777" w:rsidR="00BC371A" w:rsidRPr="001D3665" w:rsidRDefault="00BC371A" w:rsidP="001D3665">
      <w:proofErr w:type="spellStart"/>
      <w:r w:rsidRPr="001D3665">
        <w:t>Reduksjonar</w:t>
      </w:r>
      <w:proofErr w:type="spellEnd"/>
      <w:r w:rsidRPr="001D3665">
        <w:t xml:space="preserve"> i inntektsskatten kan </w:t>
      </w:r>
      <w:proofErr w:type="spellStart"/>
      <w:r w:rsidRPr="001D3665">
        <w:t>gje</w:t>
      </w:r>
      <w:proofErr w:type="spellEnd"/>
      <w:r w:rsidRPr="001D3665">
        <w:t xml:space="preserve"> </w:t>
      </w:r>
      <w:proofErr w:type="spellStart"/>
      <w:r w:rsidRPr="001D3665">
        <w:t>hushalda</w:t>
      </w:r>
      <w:proofErr w:type="spellEnd"/>
      <w:r w:rsidRPr="001D3665">
        <w:t xml:space="preserve"> </w:t>
      </w:r>
      <w:proofErr w:type="spellStart"/>
      <w:r w:rsidRPr="001D3665">
        <w:t>auka</w:t>
      </w:r>
      <w:proofErr w:type="spellEnd"/>
      <w:r w:rsidRPr="001D3665">
        <w:t xml:space="preserve"> kjøpekraft i møte med </w:t>
      </w:r>
      <w:proofErr w:type="spellStart"/>
      <w:r w:rsidRPr="001D3665">
        <w:t>auka</w:t>
      </w:r>
      <w:proofErr w:type="spellEnd"/>
      <w:r w:rsidRPr="001D3665">
        <w:t xml:space="preserve"> </w:t>
      </w:r>
      <w:proofErr w:type="spellStart"/>
      <w:r w:rsidRPr="001D3665">
        <w:t>kostnadar</w:t>
      </w:r>
      <w:proofErr w:type="spellEnd"/>
      <w:r w:rsidRPr="001D3665">
        <w:t xml:space="preserve">. Inntektsskatteletter er </w:t>
      </w:r>
      <w:proofErr w:type="spellStart"/>
      <w:r w:rsidRPr="001D3665">
        <w:t>meir</w:t>
      </w:r>
      <w:proofErr w:type="spellEnd"/>
      <w:r w:rsidRPr="001D3665">
        <w:t xml:space="preserve"> generelle enn </w:t>
      </w:r>
      <w:proofErr w:type="spellStart"/>
      <w:r w:rsidRPr="001D3665">
        <w:t>endringar</w:t>
      </w:r>
      <w:proofErr w:type="spellEnd"/>
      <w:r w:rsidRPr="001D3665">
        <w:t xml:space="preserve"> i spesifikke særavgifter mv. og vil kompensere for </w:t>
      </w:r>
      <w:proofErr w:type="spellStart"/>
      <w:r w:rsidRPr="001D3665">
        <w:t>auke</w:t>
      </w:r>
      <w:proofErr w:type="spellEnd"/>
      <w:r w:rsidRPr="001D3665">
        <w:t xml:space="preserve"> i andre </w:t>
      </w:r>
      <w:proofErr w:type="spellStart"/>
      <w:r w:rsidRPr="001D3665">
        <w:t>prisar</w:t>
      </w:r>
      <w:proofErr w:type="spellEnd"/>
      <w:r w:rsidRPr="001D3665">
        <w:t xml:space="preserve"> som </w:t>
      </w:r>
      <w:proofErr w:type="spellStart"/>
      <w:r w:rsidRPr="001D3665">
        <w:t>følgje</w:t>
      </w:r>
      <w:proofErr w:type="spellEnd"/>
      <w:r w:rsidRPr="001D3665">
        <w:t xml:space="preserve"> av forsyningsproblem for sentrale råvarer – til dømes mat- og </w:t>
      </w:r>
      <w:proofErr w:type="spellStart"/>
      <w:r w:rsidRPr="001D3665">
        <w:t>flyprisar</w:t>
      </w:r>
      <w:proofErr w:type="spellEnd"/>
      <w:r w:rsidRPr="001D3665">
        <w:t>.</w:t>
      </w:r>
    </w:p>
    <w:p w14:paraId="373FE9F2" w14:textId="77777777" w:rsidR="00BC371A" w:rsidRPr="001D3665" w:rsidRDefault="00BC371A" w:rsidP="001D3665">
      <w:r w:rsidRPr="001D3665">
        <w:lastRenderedPageBreak/>
        <w:t xml:space="preserve">Det er </w:t>
      </w:r>
      <w:proofErr w:type="spellStart"/>
      <w:r w:rsidRPr="001D3665">
        <w:t>krevjande</w:t>
      </w:r>
      <w:proofErr w:type="spellEnd"/>
      <w:r w:rsidRPr="001D3665">
        <w:t xml:space="preserve"> å </w:t>
      </w:r>
      <w:proofErr w:type="spellStart"/>
      <w:r w:rsidRPr="001D3665">
        <w:t>gje</w:t>
      </w:r>
      <w:proofErr w:type="spellEnd"/>
      <w:r w:rsidRPr="001D3665">
        <w:t xml:space="preserve"> ei inntektsskattelette til </w:t>
      </w:r>
      <w:proofErr w:type="spellStart"/>
      <w:r w:rsidRPr="001D3665">
        <w:t>personar</w:t>
      </w:r>
      <w:proofErr w:type="spellEnd"/>
      <w:r w:rsidRPr="001D3665">
        <w:t xml:space="preserve"> for mindre enn </w:t>
      </w:r>
      <w:proofErr w:type="spellStart"/>
      <w:r w:rsidRPr="001D3665">
        <w:t>eit</w:t>
      </w:r>
      <w:proofErr w:type="spellEnd"/>
      <w:r w:rsidRPr="001D3665">
        <w:t xml:space="preserve"> kalenderår. Generelle inntektsskatteletter som vert </w:t>
      </w:r>
      <w:proofErr w:type="spellStart"/>
      <w:r w:rsidRPr="001D3665">
        <w:t>vedtekne</w:t>
      </w:r>
      <w:proofErr w:type="spellEnd"/>
      <w:r w:rsidRPr="001D3665">
        <w:t xml:space="preserve"> i </w:t>
      </w:r>
      <w:proofErr w:type="spellStart"/>
      <w:r w:rsidRPr="001D3665">
        <w:t>laupet</w:t>
      </w:r>
      <w:proofErr w:type="spellEnd"/>
      <w:r w:rsidRPr="001D3665">
        <w:t xml:space="preserve"> av året, gjev </w:t>
      </w:r>
      <w:proofErr w:type="spellStart"/>
      <w:r w:rsidRPr="001D3665">
        <w:t>berre</w:t>
      </w:r>
      <w:proofErr w:type="spellEnd"/>
      <w:r w:rsidRPr="001D3665">
        <w:t xml:space="preserve"> </w:t>
      </w:r>
      <w:proofErr w:type="spellStart"/>
      <w:r w:rsidRPr="001D3665">
        <w:t>auka</w:t>
      </w:r>
      <w:proofErr w:type="spellEnd"/>
      <w:r w:rsidRPr="001D3665">
        <w:t xml:space="preserve"> likviditet dersom </w:t>
      </w:r>
      <w:proofErr w:type="spellStart"/>
      <w:r w:rsidRPr="001D3665">
        <w:t>skattytar</w:t>
      </w:r>
      <w:proofErr w:type="spellEnd"/>
      <w:r w:rsidRPr="001D3665">
        <w:t xml:space="preserve"> ber om </w:t>
      </w:r>
      <w:proofErr w:type="spellStart"/>
      <w:r w:rsidRPr="001D3665">
        <w:t>eit</w:t>
      </w:r>
      <w:proofErr w:type="spellEnd"/>
      <w:r w:rsidRPr="001D3665">
        <w:t xml:space="preserve"> nytt skattekort etter at regelendringa er </w:t>
      </w:r>
      <w:proofErr w:type="spellStart"/>
      <w:r w:rsidRPr="001D3665">
        <w:t>vedteken</w:t>
      </w:r>
      <w:proofErr w:type="spellEnd"/>
      <w:r w:rsidRPr="001D3665">
        <w:t xml:space="preserve">. For </w:t>
      </w:r>
      <w:proofErr w:type="spellStart"/>
      <w:r w:rsidRPr="001D3665">
        <w:t>dei</w:t>
      </w:r>
      <w:proofErr w:type="spellEnd"/>
      <w:r w:rsidRPr="001D3665">
        <w:t xml:space="preserve"> som </w:t>
      </w:r>
      <w:proofErr w:type="spellStart"/>
      <w:r w:rsidRPr="001D3665">
        <w:t>ikkje</w:t>
      </w:r>
      <w:proofErr w:type="spellEnd"/>
      <w:r w:rsidRPr="001D3665">
        <w:t xml:space="preserve"> </w:t>
      </w:r>
      <w:proofErr w:type="spellStart"/>
      <w:r w:rsidRPr="001D3665">
        <w:t>endrar</w:t>
      </w:r>
      <w:proofErr w:type="spellEnd"/>
      <w:r w:rsidRPr="001D3665">
        <w:t xml:space="preserve"> skattekortet, vil </w:t>
      </w:r>
      <w:proofErr w:type="spellStart"/>
      <w:r w:rsidRPr="001D3665">
        <w:t>skatteletta</w:t>
      </w:r>
      <w:proofErr w:type="spellEnd"/>
      <w:r w:rsidRPr="001D3665">
        <w:t xml:space="preserve"> fyrst </w:t>
      </w:r>
      <w:proofErr w:type="spellStart"/>
      <w:r w:rsidRPr="001D3665">
        <w:t>kome</w:t>
      </w:r>
      <w:proofErr w:type="spellEnd"/>
      <w:r w:rsidRPr="001D3665">
        <w:t xml:space="preserve"> til syne ved </w:t>
      </w:r>
      <w:proofErr w:type="spellStart"/>
      <w:r w:rsidRPr="001D3665">
        <w:t>skatteoppgjeret</w:t>
      </w:r>
      <w:proofErr w:type="spellEnd"/>
      <w:r w:rsidRPr="001D3665">
        <w:t xml:space="preserve"> året etter. Det er </w:t>
      </w:r>
      <w:proofErr w:type="spellStart"/>
      <w:r w:rsidRPr="001D3665">
        <w:t>difor</w:t>
      </w:r>
      <w:proofErr w:type="spellEnd"/>
      <w:r w:rsidRPr="001D3665">
        <w:t xml:space="preserve"> </w:t>
      </w:r>
      <w:proofErr w:type="spellStart"/>
      <w:r w:rsidRPr="001D3665">
        <w:t>ikkje</w:t>
      </w:r>
      <w:proofErr w:type="spellEnd"/>
      <w:r w:rsidRPr="001D3665">
        <w:t xml:space="preserve"> nødvendigvis </w:t>
      </w:r>
      <w:proofErr w:type="spellStart"/>
      <w:r w:rsidRPr="001D3665">
        <w:t>eit</w:t>
      </w:r>
      <w:proofErr w:type="spellEnd"/>
      <w:r w:rsidRPr="001D3665">
        <w:t xml:space="preserve"> godt eigna </w:t>
      </w:r>
      <w:proofErr w:type="spellStart"/>
      <w:r w:rsidRPr="001D3665">
        <w:t>verkemiddel</w:t>
      </w:r>
      <w:proofErr w:type="spellEnd"/>
      <w:r w:rsidRPr="001D3665">
        <w:t xml:space="preserve"> for kriser som oppstår raskt og uføresett.</w:t>
      </w:r>
    </w:p>
    <w:p w14:paraId="29FEABD4" w14:textId="77777777" w:rsidR="00BC371A" w:rsidRPr="001D3665" w:rsidRDefault="00BC371A" w:rsidP="001D3665">
      <w:r w:rsidRPr="001D3665">
        <w:t xml:space="preserve">Det </w:t>
      </w:r>
      <w:proofErr w:type="spellStart"/>
      <w:r w:rsidRPr="001D3665">
        <w:t>gjer</w:t>
      </w:r>
      <w:proofErr w:type="spellEnd"/>
      <w:r w:rsidRPr="001D3665">
        <w:t xml:space="preserve"> tiltaket mindre målretta i tid, men på ei anna side kan ei varig redusert inntektsskatt ha positive verknader for norsk økonomi. </w:t>
      </w:r>
      <w:proofErr w:type="spellStart"/>
      <w:r w:rsidRPr="001D3665">
        <w:t>Lågare</w:t>
      </w:r>
      <w:proofErr w:type="spellEnd"/>
      <w:r w:rsidRPr="001D3665">
        <w:t xml:space="preserve"> inntektsskatt stimulerer til </w:t>
      </w:r>
      <w:proofErr w:type="spellStart"/>
      <w:r w:rsidRPr="001D3665">
        <w:t>auka</w:t>
      </w:r>
      <w:proofErr w:type="spellEnd"/>
      <w:r w:rsidRPr="001D3665">
        <w:t xml:space="preserve"> </w:t>
      </w:r>
      <w:proofErr w:type="spellStart"/>
      <w:r w:rsidRPr="001D3665">
        <w:t>arbeidstilbod</w:t>
      </w:r>
      <w:proofErr w:type="spellEnd"/>
      <w:r w:rsidRPr="001D3665">
        <w:t xml:space="preserve">, samstundes som letta kan </w:t>
      </w:r>
      <w:proofErr w:type="spellStart"/>
      <w:r w:rsidRPr="001D3665">
        <w:t>innrettast</w:t>
      </w:r>
      <w:proofErr w:type="spellEnd"/>
      <w:r w:rsidRPr="001D3665">
        <w:t xml:space="preserve"> for å </w:t>
      </w:r>
      <w:proofErr w:type="spellStart"/>
      <w:r w:rsidRPr="001D3665">
        <w:t>oppretthalde</w:t>
      </w:r>
      <w:proofErr w:type="spellEnd"/>
      <w:r w:rsidRPr="001D3665">
        <w:t xml:space="preserve"> dagens fordelingsprofil. </w:t>
      </w:r>
      <w:proofErr w:type="spellStart"/>
      <w:r w:rsidRPr="001D3665">
        <w:t>Verknadane</w:t>
      </w:r>
      <w:proofErr w:type="spellEnd"/>
      <w:r w:rsidRPr="001D3665">
        <w:t xml:space="preserve"> på fordeling og effektivitet av </w:t>
      </w:r>
      <w:proofErr w:type="gramStart"/>
      <w:r w:rsidRPr="001D3665">
        <w:t>ei skattelette</w:t>
      </w:r>
      <w:proofErr w:type="gramEnd"/>
      <w:r w:rsidRPr="001D3665">
        <w:t xml:space="preserve"> kjem an på korleis ho er utforma.</w:t>
      </w:r>
    </w:p>
    <w:p w14:paraId="2A129F5C" w14:textId="77777777" w:rsidR="00BC371A" w:rsidRPr="001D3665" w:rsidRDefault="00BC371A" w:rsidP="001D3665">
      <w:r w:rsidRPr="001D3665">
        <w:t xml:space="preserve">Breie </w:t>
      </w:r>
      <w:proofErr w:type="spellStart"/>
      <w:r w:rsidRPr="001D3665">
        <w:t>skattelettar</w:t>
      </w:r>
      <w:proofErr w:type="spellEnd"/>
      <w:r w:rsidRPr="001D3665">
        <w:t xml:space="preserve"> påverkar </w:t>
      </w:r>
      <w:proofErr w:type="spellStart"/>
      <w:r w:rsidRPr="001D3665">
        <w:t>ikkje</w:t>
      </w:r>
      <w:proofErr w:type="spellEnd"/>
      <w:r w:rsidRPr="001D3665">
        <w:t xml:space="preserve"> relative </w:t>
      </w:r>
      <w:proofErr w:type="spellStart"/>
      <w:r w:rsidRPr="001D3665">
        <w:t>prisar</w:t>
      </w:r>
      <w:proofErr w:type="spellEnd"/>
      <w:r w:rsidRPr="001D3665">
        <w:t xml:space="preserve"> mellom ulike varer og </w:t>
      </w:r>
      <w:proofErr w:type="spellStart"/>
      <w:r w:rsidRPr="001D3665">
        <w:t>tenester</w:t>
      </w:r>
      <w:proofErr w:type="spellEnd"/>
      <w:r w:rsidRPr="001D3665">
        <w:t xml:space="preserve">, slik at prissignala vert bevarte. Breie </w:t>
      </w:r>
      <w:proofErr w:type="spellStart"/>
      <w:r w:rsidRPr="001D3665">
        <w:t>skattelettar</w:t>
      </w:r>
      <w:proofErr w:type="spellEnd"/>
      <w:r w:rsidRPr="001D3665">
        <w:t xml:space="preserve"> </w:t>
      </w:r>
      <w:proofErr w:type="spellStart"/>
      <w:r w:rsidRPr="001D3665">
        <w:t>lèt</w:t>
      </w:r>
      <w:proofErr w:type="spellEnd"/>
      <w:r w:rsidRPr="001D3665">
        <w:t xml:space="preserve"> </w:t>
      </w:r>
      <w:proofErr w:type="spellStart"/>
      <w:r w:rsidRPr="001D3665">
        <w:t>hushalda</w:t>
      </w:r>
      <w:proofErr w:type="spellEnd"/>
      <w:r w:rsidRPr="001D3665">
        <w:t xml:space="preserve"> sjølve prioritere kva den </w:t>
      </w:r>
      <w:proofErr w:type="spellStart"/>
      <w:r w:rsidRPr="001D3665">
        <w:t>auka</w:t>
      </w:r>
      <w:proofErr w:type="spellEnd"/>
      <w:r w:rsidRPr="001D3665">
        <w:t xml:space="preserve"> disponible inntekta skal brukast på.</w:t>
      </w:r>
    </w:p>
    <w:p w14:paraId="277860DE" w14:textId="77777777" w:rsidR="00BC371A" w:rsidRPr="001D3665" w:rsidRDefault="00BC371A" w:rsidP="001D3665">
      <w:r w:rsidRPr="001D3665">
        <w:t xml:space="preserve">For å få nytte av </w:t>
      </w:r>
      <w:proofErr w:type="spellStart"/>
      <w:r w:rsidRPr="001D3665">
        <w:t>skattelettar</w:t>
      </w:r>
      <w:proofErr w:type="spellEnd"/>
      <w:r w:rsidRPr="001D3665">
        <w:t xml:space="preserve"> må </w:t>
      </w:r>
      <w:proofErr w:type="spellStart"/>
      <w:r w:rsidRPr="001D3665">
        <w:t>ein</w:t>
      </w:r>
      <w:proofErr w:type="spellEnd"/>
      <w:r w:rsidRPr="001D3665">
        <w:t xml:space="preserve"> betale skatt. </w:t>
      </w:r>
      <w:proofErr w:type="spellStart"/>
      <w:r w:rsidRPr="001D3665">
        <w:t>Personar</w:t>
      </w:r>
      <w:proofErr w:type="spellEnd"/>
      <w:r w:rsidRPr="001D3665">
        <w:t xml:space="preserve"> som </w:t>
      </w:r>
      <w:proofErr w:type="spellStart"/>
      <w:r w:rsidRPr="001D3665">
        <w:t>ikkje</w:t>
      </w:r>
      <w:proofErr w:type="spellEnd"/>
      <w:r w:rsidRPr="001D3665">
        <w:t xml:space="preserve"> betaler skatt, til dømes </w:t>
      </w:r>
      <w:proofErr w:type="spellStart"/>
      <w:r w:rsidRPr="001D3665">
        <w:t>pensjonistar</w:t>
      </w:r>
      <w:proofErr w:type="spellEnd"/>
      <w:r w:rsidRPr="001D3665">
        <w:t xml:space="preserve"> med ei inntekt på om lag minste pensjonsnivå eller </w:t>
      </w:r>
      <w:proofErr w:type="spellStart"/>
      <w:r w:rsidRPr="001D3665">
        <w:t>studentar</w:t>
      </w:r>
      <w:proofErr w:type="spellEnd"/>
      <w:r w:rsidRPr="001D3665">
        <w:t xml:space="preserve"> med låg inntekt, vil </w:t>
      </w:r>
      <w:proofErr w:type="spellStart"/>
      <w:r w:rsidRPr="001D3665">
        <w:t>ikkje</w:t>
      </w:r>
      <w:proofErr w:type="spellEnd"/>
      <w:r w:rsidRPr="001D3665">
        <w:t xml:space="preserve"> få del i letta. Breie </w:t>
      </w:r>
      <w:proofErr w:type="spellStart"/>
      <w:r w:rsidRPr="001D3665">
        <w:t>skattelettar</w:t>
      </w:r>
      <w:proofErr w:type="spellEnd"/>
      <w:r w:rsidRPr="001D3665">
        <w:t xml:space="preserve"> kan </w:t>
      </w:r>
      <w:proofErr w:type="spellStart"/>
      <w:r w:rsidRPr="001D3665">
        <w:t>supplerast</w:t>
      </w:r>
      <w:proofErr w:type="spellEnd"/>
      <w:r w:rsidRPr="001D3665">
        <w:t xml:space="preserve"> med </w:t>
      </w:r>
      <w:proofErr w:type="spellStart"/>
      <w:r w:rsidRPr="001D3665">
        <w:t>utbetalingar</w:t>
      </w:r>
      <w:proofErr w:type="spellEnd"/>
      <w:r w:rsidRPr="001D3665">
        <w:t xml:space="preserve"> gjennom </w:t>
      </w:r>
      <w:proofErr w:type="spellStart"/>
      <w:r w:rsidRPr="001D3665">
        <w:t>eksisterande</w:t>
      </w:r>
      <w:proofErr w:type="spellEnd"/>
      <w:r w:rsidRPr="001D3665">
        <w:t xml:space="preserve"> </w:t>
      </w:r>
      <w:proofErr w:type="spellStart"/>
      <w:r w:rsidRPr="001D3665">
        <w:t>ordningar</w:t>
      </w:r>
      <w:proofErr w:type="spellEnd"/>
      <w:r w:rsidRPr="001D3665">
        <w:t xml:space="preserve"> til </w:t>
      </w:r>
      <w:proofErr w:type="spellStart"/>
      <w:r w:rsidRPr="001D3665">
        <w:t>dei</w:t>
      </w:r>
      <w:proofErr w:type="spellEnd"/>
      <w:r w:rsidRPr="001D3665">
        <w:t xml:space="preserve"> som treng det mest og </w:t>
      </w:r>
      <w:proofErr w:type="spellStart"/>
      <w:r w:rsidRPr="001D3665">
        <w:t>ikkje</w:t>
      </w:r>
      <w:proofErr w:type="spellEnd"/>
      <w:r w:rsidRPr="001D3665">
        <w:t xml:space="preserve"> betaler skatt gjennom </w:t>
      </w:r>
      <w:proofErr w:type="spellStart"/>
      <w:r w:rsidRPr="001D3665">
        <w:t>eksisterande</w:t>
      </w:r>
      <w:proofErr w:type="spellEnd"/>
      <w:r w:rsidRPr="001D3665">
        <w:t xml:space="preserve"> </w:t>
      </w:r>
      <w:proofErr w:type="spellStart"/>
      <w:r w:rsidRPr="001D3665">
        <w:t>utbetalingsordningar</w:t>
      </w:r>
      <w:proofErr w:type="spellEnd"/>
      <w:r w:rsidRPr="001D3665">
        <w:t>.</w:t>
      </w:r>
    </w:p>
    <w:p w14:paraId="5028F353" w14:textId="77777777" w:rsidR="00BC371A" w:rsidRPr="001D3665" w:rsidRDefault="00BC371A" w:rsidP="001D3665">
      <w:pPr>
        <w:pStyle w:val="Overskrift3"/>
      </w:pPr>
      <w:r w:rsidRPr="001D3665">
        <w:t>Oppsummering</w:t>
      </w:r>
    </w:p>
    <w:p w14:paraId="4E0B865A" w14:textId="77777777" w:rsidR="00BC371A" w:rsidRPr="001D3665" w:rsidRDefault="00BC371A" w:rsidP="001D3665">
      <w:r w:rsidRPr="001D3665">
        <w:t xml:space="preserve">Krigen i Midtausten har ført til </w:t>
      </w:r>
      <w:proofErr w:type="spellStart"/>
      <w:r w:rsidRPr="001D3665">
        <w:t>ein</w:t>
      </w:r>
      <w:proofErr w:type="spellEnd"/>
      <w:r w:rsidRPr="001D3665">
        <w:t xml:space="preserve"> markert </w:t>
      </w:r>
      <w:proofErr w:type="spellStart"/>
      <w:r w:rsidRPr="001D3665">
        <w:t>auke</w:t>
      </w:r>
      <w:proofErr w:type="spellEnd"/>
      <w:r w:rsidRPr="001D3665">
        <w:t xml:space="preserve"> i </w:t>
      </w:r>
      <w:proofErr w:type="spellStart"/>
      <w:r w:rsidRPr="001D3665">
        <w:t>prisane</w:t>
      </w:r>
      <w:proofErr w:type="spellEnd"/>
      <w:r w:rsidRPr="001D3665">
        <w:t xml:space="preserve"> på petroleum. </w:t>
      </w:r>
      <w:proofErr w:type="spellStart"/>
      <w:r w:rsidRPr="001D3665">
        <w:t>Auka</w:t>
      </w:r>
      <w:proofErr w:type="spellEnd"/>
      <w:r w:rsidRPr="001D3665">
        <w:t xml:space="preserve"> </w:t>
      </w:r>
      <w:proofErr w:type="spellStart"/>
      <w:r w:rsidRPr="001D3665">
        <w:t>energiprisar</w:t>
      </w:r>
      <w:proofErr w:type="spellEnd"/>
      <w:r w:rsidRPr="001D3665">
        <w:t xml:space="preserve"> gjev </w:t>
      </w:r>
      <w:proofErr w:type="spellStart"/>
      <w:r w:rsidRPr="001D3665">
        <w:t>auka</w:t>
      </w:r>
      <w:proofErr w:type="spellEnd"/>
      <w:r w:rsidRPr="001D3665">
        <w:t xml:space="preserve"> </w:t>
      </w:r>
      <w:proofErr w:type="spellStart"/>
      <w:r w:rsidRPr="001D3665">
        <w:t>drivstoffprisar</w:t>
      </w:r>
      <w:proofErr w:type="spellEnd"/>
      <w:r w:rsidRPr="001D3665">
        <w:t xml:space="preserve">, men vil òg </w:t>
      </w:r>
      <w:proofErr w:type="spellStart"/>
      <w:r w:rsidRPr="001D3665">
        <w:t>påverke</w:t>
      </w:r>
      <w:proofErr w:type="spellEnd"/>
      <w:r w:rsidRPr="001D3665">
        <w:t xml:space="preserve"> </w:t>
      </w:r>
      <w:proofErr w:type="spellStart"/>
      <w:r w:rsidRPr="001D3665">
        <w:t>hushald</w:t>
      </w:r>
      <w:proofErr w:type="spellEnd"/>
      <w:r w:rsidRPr="001D3665">
        <w:t xml:space="preserve"> sine utgifter til kjøp av andre varer og </w:t>
      </w:r>
      <w:proofErr w:type="spellStart"/>
      <w:r w:rsidRPr="001D3665">
        <w:t>tenester</w:t>
      </w:r>
      <w:proofErr w:type="spellEnd"/>
      <w:r w:rsidRPr="001D3665">
        <w:t xml:space="preserve">. Kombinasjonen av framleis </w:t>
      </w:r>
      <w:proofErr w:type="spellStart"/>
      <w:r w:rsidRPr="001D3665">
        <w:t>høg</w:t>
      </w:r>
      <w:proofErr w:type="spellEnd"/>
      <w:r w:rsidRPr="001D3665">
        <w:t xml:space="preserve"> prisvekst på </w:t>
      </w:r>
      <w:proofErr w:type="spellStart"/>
      <w:r w:rsidRPr="001D3665">
        <w:t>tenester</w:t>
      </w:r>
      <w:proofErr w:type="spellEnd"/>
      <w:r w:rsidRPr="001D3665">
        <w:t xml:space="preserve"> og ringverknader av </w:t>
      </w:r>
      <w:proofErr w:type="spellStart"/>
      <w:r w:rsidRPr="001D3665">
        <w:t>dei</w:t>
      </w:r>
      <w:proofErr w:type="spellEnd"/>
      <w:r w:rsidRPr="001D3665">
        <w:t xml:space="preserve"> </w:t>
      </w:r>
      <w:proofErr w:type="spellStart"/>
      <w:r w:rsidRPr="001D3665">
        <w:t>auka</w:t>
      </w:r>
      <w:proofErr w:type="spellEnd"/>
      <w:r w:rsidRPr="001D3665">
        <w:t xml:space="preserve"> </w:t>
      </w:r>
      <w:proofErr w:type="spellStart"/>
      <w:r w:rsidRPr="001D3665">
        <w:t>energiprisane</w:t>
      </w:r>
      <w:proofErr w:type="spellEnd"/>
      <w:r w:rsidRPr="001D3665">
        <w:t xml:space="preserve"> </w:t>
      </w:r>
      <w:proofErr w:type="spellStart"/>
      <w:r w:rsidRPr="001D3665">
        <w:t>gjer</w:t>
      </w:r>
      <w:proofErr w:type="spellEnd"/>
      <w:r w:rsidRPr="001D3665">
        <w:t xml:space="preserve"> at prisveksten er venta å </w:t>
      </w:r>
      <w:proofErr w:type="spellStart"/>
      <w:r w:rsidRPr="001D3665">
        <w:t>verte</w:t>
      </w:r>
      <w:proofErr w:type="spellEnd"/>
      <w:r w:rsidRPr="001D3665">
        <w:t xml:space="preserve"> </w:t>
      </w:r>
      <w:proofErr w:type="spellStart"/>
      <w:r w:rsidRPr="001D3665">
        <w:t>klårt</w:t>
      </w:r>
      <w:proofErr w:type="spellEnd"/>
      <w:r w:rsidRPr="001D3665">
        <w:t xml:space="preserve"> </w:t>
      </w:r>
      <w:proofErr w:type="spellStart"/>
      <w:r w:rsidRPr="001D3665">
        <w:t>høgare</w:t>
      </w:r>
      <w:proofErr w:type="spellEnd"/>
      <w:r w:rsidRPr="001D3665">
        <w:t xml:space="preserve"> enn lagt til grunn </w:t>
      </w:r>
      <w:proofErr w:type="spellStart"/>
      <w:r w:rsidRPr="001D3665">
        <w:t>tidlegare</w:t>
      </w:r>
      <w:proofErr w:type="spellEnd"/>
      <w:r w:rsidRPr="001D3665">
        <w:t xml:space="preserve"> i haust. Høg </w:t>
      </w:r>
      <w:proofErr w:type="spellStart"/>
      <w:r w:rsidRPr="001D3665">
        <w:t>lønsvekst</w:t>
      </w:r>
      <w:proofErr w:type="spellEnd"/>
      <w:r w:rsidRPr="001D3665">
        <w:t xml:space="preserve"> </w:t>
      </w:r>
      <w:proofErr w:type="spellStart"/>
      <w:r w:rsidRPr="001D3665">
        <w:t>bidreg</w:t>
      </w:r>
      <w:proofErr w:type="spellEnd"/>
      <w:r w:rsidRPr="001D3665">
        <w:t xml:space="preserve"> til at det er venta </w:t>
      </w:r>
      <w:proofErr w:type="spellStart"/>
      <w:r w:rsidRPr="001D3665">
        <w:t>reallønsvekst</w:t>
      </w:r>
      <w:proofErr w:type="spellEnd"/>
      <w:r w:rsidRPr="001D3665">
        <w:t xml:space="preserve"> i år, </w:t>
      </w:r>
      <w:proofErr w:type="spellStart"/>
      <w:r w:rsidRPr="001D3665">
        <w:t>sjølv</w:t>
      </w:r>
      <w:proofErr w:type="spellEnd"/>
      <w:r w:rsidRPr="001D3665">
        <w:t xml:space="preserve"> etter at overslaget for konsumprisveksten er </w:t>
      </w:r>
      <w:proofErr w:type="spellStart"/>
      <w:r w:rsidRPr="001D3665">
        <w:t>lyft</w:t>
      </w:r>
      <w:proofErr w:type="spellEnd"/>
      <w:r w:rsidRPr="001D3665">
        <w:t xml:space="preserve">. Samstundes er det </w:t>
      </w:r>
      <w:proofErr w:type="spellStart"/>
      <w:r w:rsidRPr="001D3665">
        <w:t>betydeleg</w:t>
      </w:r>
      <w:proofErr w:type="spellEnd"/>
      <w:r w:rsidRPr="001D3665">
        <w:t xml:space="preserve"> uvisse både kring den </w:t>
      </w:r>
      <w:proofErr w:type="spellStart"/>
      <w:r w:rsidRPr="001D3665">
        <w:t>vidare</w:t>
      </w:r>
      <w:proofErr w:type="spellEnd"/>
      <w:r w:rsidRPr="001D3665">
        <w:t xml:space="preserve"> prisutviklinga og </w:t>
      </w:r>
      <w:proofErr w:type="spellStart"/>
      <w:r w:rsidRPr="001D3665">
        <w:t>dei</w:t>
      </w:r>
      <w:proofErr w:type="spellEnd"/>
      <w:r w:rsidRPr="001D3665">
        <w:t xml:space="preserve"> </w:t>
      </w:r>
      <w:proofErr w:type="spellStart"/>
      <w:r w:rsidRPr="001D3665">
        <w:t>tilhøyrande</w:t>
      </w:r>
      <w:proofErr w:type="spellEnd"/>
      <w:r w:rsidRPr="001D3665">
        <w:t xml:space="preserve"> økonomiske </w:t>
      </w:r>
      <w:proofErr w:type="spellStart"/>
      <w:r w:rsidRPr="001D3665">
        <w:t>konsekvensane</w:t>
      </w:r>
      <w:proofErr w:type="spellEnd"/>
      <w:r w:rsidRPr="001D3665">
        <w:t>.</w:t>
      </w:r>
    </w:p>
    <w:p w14:paraId="2B2E0450" w14:textId="77777777" w:rsidR="00BC371A" w:rsidRPr="001D3665" w:rsidRDefault="00BC371A" w:rsidP="001D3665">
      <w:r w:rsidRPr="001D3665">
        <w:t xml:space="preserve">Å føre </w:t>
      </w:r>
      <w:proofErr w:type="spellStart"/>
      <w:r w:rsidRPr="001D3665">
        <w:t>ein</w:t>
      </w:r>
      <w:proofErr w:type="spellEnd"/>
      <w:r w:rsidRPr="001D3665">
        <w:t xml:space="preserve"> </w:t>
      </w:r>
      <w:proofErr w:type="spellStart"/>
      <w:r w:rsidRPr="001D3665">
        <w:t>ansvarleg</w:t>
      </w:r>
      <w:proofErr w:type="spellEnd"/>
      <w:r w:rsidRPr="001D3665">
        <w:t xml:space="preserve"> økonomisk politikk som </w:t>
      </w:r>
      <w:proofErr w:type="spellStart"/>
      <w:r w:rsidRPr="001D3665">
        <w:t>medverkar</w:t>
      </w:r>
      <w:proofErr w:type="spellEnd"/>
      <w:r w:rsidRPr="001D3665">
        <w:t xml:space="preserve"> til at </w:t>
      </w:r>
      <w:proofErr w:type="spellStart"/>
      <w:r w:rsidRPr="001D3665">
        <w:t>prisane</w:t>
      </w:r>
      <w:proofErr w:type="spellEnd"/>
      <w:r w:rsidRPr="001D3665">
        <w:t xml:space="preserve"> </w:t>
      </w:r>
      <w:proofErr w:type="spellStart"/>
      <w:r w:rsidRPr="001D3665">
        <w:t>ikkje</w:t>
      </w:r>
      <w:proofErr w:type="spellEnd"/>
      <w:r w:rsidRPr="001D3665">
        <w:t xml:space="preserve"> et opp </w:t>
      </w:r>
      <w:proofErr w:type="spellStart"/>
      <w:r w:rsidRPr="001D3665">
        <w:t>lønene</w:t>
      </w:r>
      <w:proofErr w:type="spellEnd"/>
      <w:r w:rsidRPr="001D3665">
        <w:t xml:space="preserve">, er viktig for å sikre at folk får betre råd. </w:t>
      </w:r>
      <w:proofErr w:type="spellStart"/>
      <w:r w:rsidRPr="001D3665">
        <w:t>Straumstøtteordningane</w:t>
      </w:r>
      <w:proofErr w:type="spellEnd"/>
      <w:r w:rsidRPr="001D3665">
        <w:t xml:space="preserve"> </w:t>
      </w:r>
      <w:proofErr w:type="spellStart"/>
      <w:r w:rsidRPr="001D3665">
        <w:t>gjer</w:t>
      </w:r>
      <w:proofErr w:type="spellEnd"/>
      <w:r w:rsidRPr="001D3665">
        <w:t xml:space="preserve"> at </w:t>
      </w:r>
      <w:proofErr w:type="spellStart"/>
      <w:r w:rsidRPr="001D3665">
        <w:t>hushalda</w:t>
      </w:r>
      <w:proofErr w:type="spellEnd"/>
      <w:r w:rsidRPr="001D3665">
        <w:t xml:space="preserve"> i stor grad vert skjerma for </w:t>
      </w:r>
      <w:proofErr w:type="spellStart"/>
      <w:r w:rsidRPr="001D3665">
        <w:t>auka</w:t>
      </w:r>
      <w:proofErr w:type="spellEnd"/>
      <w:r w:rsidRPr="001D3665">
        <w:t xml:space="preserve"> </w:t>
      </w:r>
      <w:proofErr w:type="spellStart"/>
      <w:r w:rsidRPr="001D3665">
        <w:t>straumprisar</w:t>
      </w:r>
      <w:proofErr w:type="spellEnd"/>
      <w:r w:rsidRPr="001D3665">
        <w:t xml:space="preserve">. Regjeringa har òg gjennomført </w:t>
      </w:r>
      <w:proofErr w:type="spellStart"/>
      <w:r w:rsidRPr="001D3665">
        <w:t>fleire</w:t>
      </w:r>
      <w:proofErr w:type="spellEnd"/>
      <w:r w:rsidRPr="001D3665">
        <w:t xml:space="preserve"> andre tiltak som </w:t>
      </w:r>
      <w:proofErr w:type="spellStart"/>
      <w:r w:rsidRPr="001D3665">
        <w:t>styrkjer</w:t>
      </w:r>
      <w:proofErr w:type="spellEnd"/>
      <w:r w:rsidRPr="001D3665">
        <w:t xml:space="preserve"> </w:t>
      </w:r>
      <w:proofErr w:type="spellStart"/>
      <w:r w:rsidRPr="001D3665">
        <w:t>kvardagsøkonomien</w:t>
      </w:r>
      <w:proofErr w:type="spellEnd"/>
      <w:r w:rsidRPr="001D3665">
        <w:t xml:space="preserve"> for </w:t>
      </w:r>
      <w:proofErr w:type="spellStart"/>
      <w:r w:rsidRPr="001D3665">
        <w:t>hushalda</w:t>
      </w:r>
      <w:proofErr w:type="spellEnd"/>
      <w:r w:rsidRPr="001D3665">
        <w:t xml:space="preserve"> og </w:t>
      </w:r>
      <w:proofErr w:type="spellStart"/>
      <w:r w:rsidRPr="001D3665">
        <w:t>gjer</w:t>
      </w:r>
      <w:proofErr w:type="spellEnd"/>
      <w:r w:rsidRPr="001D3665">
        <w:t xml:space="preserve"> </w:t>
      </w:r>
      <w:proofErr w:type="spellStart"/>
      <w:r w:rsidRPr="001D3665">
        <w:t>dei</w:t>
      </w:r>
      <w:proofErr w:type="spellEnd"/>
      <w:r w:rsidRPr="001D3665">
        <w:t xml:space="preserve"> betre rusta til å møte </w:t>
      </w:r>
      <w:proofErr w:type="spellStart"/>
      <w:r w:rsidRPr="001D3665">
        <w:t>kostnadsaukingane</w:t>
      </w:r>
      <w:proofErr w:type="spellEnd"/>
      <w:r w:rsidRPr="001D3665">
        <w:t xml:space="preserve"> </w:t>
      </w:r>
      <w:proofErr w:type="spellStart"/>
      <w:r w:rsidRPr="001D3665">
        <w:t>dei</w:t>
      </w:r>
      <w:proofErr w:type="spellEnd"/>
      <w:r w:rsidRPr="001D3665">
        <w:t xml:space="preserve"> </w:t>
      </w:r>
      <w:proofErr w:type="spellStart"/>
      <w:r w:rsidRPr="001D3665">
        <w:t>no</w:t>
      </w:r>
      <w:proofErr w:type="spellEnd"/>
      <w:r w:rsidRPr="001D3665">
        <w:t xml:space="preserve"> opplever.</w:t>
      </w:r>
    </w:p>
    <w:p w14:paraId="1F682DD5" w14:textId="77777777" w:rsidR="00BC371A" w:rsidRPr="001D3665" w:rsidRDefault="00BC371A" w:rsidP="001D3665">
      <w:r w:rsidRPr="001D3665">
        <w:t xml:space="preserve">Dersom utviklinga </w:t>
      </w:r>
      <w:proofErr w:type="spellStart"/>
      <w:r w:rsidRPr="001D3665">
        <w:t>tilseier</w:t>
      </w:r>
      <w:proofErr w:type="spellEnd"/>
      <w:r w:rsidRPr="001D3665">
        <w:t xml:space="preserve"> at det er </w:t>
      </w:r>
      <w:proofErr w:type="spellStart"/>
      <w:r w:rsidRPr="001D3665">
        <w:t>naudsynt</w:t>
      </w:r>
      <w:proofErr w:type="spellEnd"/>
      <w:r w:rsidRPr="001D3665">
        <w:t xml:space="preserve"> med nye tiltak, vil regjeringa prioritere tiltak som er effektive, målretta og treffsikre, </w:t>
      </w:r>
      <w:proofErr w:type="spellStart"/>
      <w:r w:rsidRPr="001D3665">
        <w:t>innanfor</w:t>
      </w:r>
      <w:proofErr w:type="spellEnd"/>
      <w:r w:rsidRPr="001D3665">
        <w:t xml:space="preserve"> </w:t>
      </w:r>
      <w:proofErr w:type="spellStart"/>
      <w:r w:rsidRPr="001D3665">
        <w:t>ansvarlege</w:t>
      </w:r>
      <w:proofErr w:type="spellEnd"/>
      <w:r w:rsidRPr="001D3665">
        <w:t xml:space="preserve"> rammer som </w:t>
      </w:r>
      <w:proofErr w:type="spellStart"/>
      <w:r w:rsidRPr="001D3665">
        <w:t>ikkje</w:t>
      </w:r>
      <w:proofErr w:type="spellEnd"/>
      <w:r w:rsidRPr="001D3665">
        <w:t xml:space="preserve"> </w:t>
      </w:r>
      <w:proofErr w:type="spellStart"/>
      <w:r w:rsidRPr="001D3665">
        <w:t>aukar</w:t>
      </w:r>
      <w:proofErr w:type="spellEnd"/>
      <w:r w:rsidRPr="001D3665">
        <w:t xml:space="preserve"> presset på </w:t>
      </w:r>
      <w:proofErr w:type="spellStart"/>
      <w:r w:rsidRPr="001D3665">
        <w:t>prisane</w:t>
      </w:r>
      <w:proofErr w:type="spellEnd"/>
      <w:r w:rsidRPr="001D3665">
        <w:t>.</w:t>
      </w:r>
    </w:p>
    <w:p w14:paraId="7AB303C4" w14:textId="77777777" w:rsidR="00BC371A" w:rsidRPr="001D3665" w:rsidRDefault="00BC371A" w:rsidP="001D3665">
      <w:r w:rsidRPr="001D3665">
        <w:t xml:space="preserve">Det er </w:t>
      </w:r>
      <w:proofErr w:type="spellStart"/>
      <w:r w:rsidRPr="001D3665">
        <w:t>ein</w:t>
      </w:r>
      <w:proofErr w:type="spellEnd"/>
      <w:r w:rsidRPr="001D3665">
        <w:t xml:space="preserve"> fordel om eventuelle </w:t>
      </w:r>
      <w:proofErr w:type="spellStart"/>
      <w:r w:rsidRPr="001D3665">
        <w:t>ytterlegare</w:t>
      </w:r>
      <w:proofErr w:type="spellEnd"/>
      <w:r w:rsidRPr="001D3665">
        <w:t xml:space="preserve"> tiltak vert innretta slik at </w:t>
      </w:r>
      <w:proofErr w:type="spellStart"/>
      <w:r w:rsidRPr="001D3665">
        <w:t>dei</w:t>
      </w:r>
      <w:proofErr w:type="spellEnd"/>
      <w:r w:rsidRPr="001D3665">
        <w:t xml:space="preserve"> samstundes løyser </w:t>
      </w:r>
      <w:proofErr w:type="spellStart"/>
      <w:r w:rsidRPr="001D3665">
        <w:t>dei</w:t>
      </w:r>
      <w:proofErr w:type="spellEnd"/>
      <w:r w:rsidRPr="001D3665">
        <w:t xml:space="preserve"> </w:t>
      </w:r>
      <w:proofErr w:type="spellStart"/>
      <w:r w:rsidRPr="001D3665">
        <w:t>viktigaste</w:t>
      </w:r>
      <w:proofErr w:type="spellEnd"/>
      <w:r w:rsidRPr="001D3665">
        <w:t xml:space="preserve"> </w:t>
      </w:r>
      <w:proofErr w:type="spellStart"/>
      <w:r w:rsidRPr="001D3665">
        <w:t>utfordringane</w:t>
      </w:r>
      <w:proofErr w:type="spellEnd"/>
      <w:r w:rsidRPr="001D3665">
        <w:t xml:space="preserve"> i norsk økonomi framover, slik som mangel på arbeidskraft. </w:t>
      </w:r>
      <w:proofErr w:type="spellStart"/>
      <w:r w:rsidRPr="001D3665">
        <w:t>Reduksjonar</w:t>
      </w:r>
      <w:proofErr w:type="spellEnd"/>
      <w:r w:rsidRPr="001D3665">
        <w:t xml:space="preserve"> i inntektsskatten </w:t>
      </w:r>
      <w:proofErr w:type="spellStart"/>
      <w:r w:rsidRPr="001D3665">
        <w:t>innanfor</w:t>
      </w:r>
      <w:proofErr w:type="spellEnd"/>
      <w:r w:rsidRPr="001D3665">
        <w:t xml:space="preserve"> rammene av </w:t>
      </w:r>
      <w:proofErr w:type="spellStart"/>
      <w:r w:rsidRPr="001D3665">
        <w:t>ein</w:t>
      </w:r>
      <w:proofErr w:type="spellEnd"/>
      <w:r w:rsidRPr="001D3665">
        <w:t xml:space="preserve"> </w:t>
      </w:r>
      <w:proofErr w:type="spellStart"/>
      <w:r w:rsidRPr="001D3665">
        <w:t>ansvarleg</w:t>
      </w:r>
      <w:proofErr w:type="spellEnd"/>
      <w:r w:rsidRPr="001D3665">
        <w:t xml:space="preserve"> økonomisk politikk er </w:t>
      </w:r>
      <w:proofErr w:type="spellStart"/>
      <w:r w:rsidRPr="001D3665">
        <w:t>eit</w:t>
      </w:r>
      <w:proofErr w:type="spellEnd"/>
      <w:r w:rsidRPr="001D3665">
        <w:t xml:space="preserve"> slikt tiltak.</w:t>
      </w:r>
    </w:p>
    <w:p w14:paraId="40A469AB" w14:textId="77777777" w:rsidR="00BC371A" w:rsidRPr="001D3665" w:rsidRDefault="00BC371A" w:rsidP="001D3665">
      <w:r w:rsidRPr="001D3665">
        <w:t xml:space="preserve">Oppmodinga vert </w:t>
      </w:r>
      <w:proofErr w:type="spellStart"/>
      <w:r w:rsidRPr="001D3665">
        <w:t>rekna</w:t>
      </w:r>
      <w:proofErr w:type="spellEnd"/>
      <w:r w:rsidRPr="001D3665">
        <w:t xml:space="preserve"> som </w:t>
      </w:r>
      <w:proofErr w:type="spellStart"/>
      <w:r w:rsidRPr="001D3665">
        <w:t>følgt</w:t>
      </w:r>
      <w:proofErr w:type="spellEnd"/>
      <w:r w:rsidRPr="001D3665">
        <w:t xml:space="preserve"> opp med denne omtalen.</w:t>
      </w:r>
    </w:p>
    <w:p w14:paraId="7E769B83" w14:textId="77777777" w:rsidR="00BC371A" w:rsidRPr="001D3665" w:rsidRDefault="00BC371A" w:rsidP="001D3665">
      <w:pPr>
        <w:pStyle w:val="Overskrift2"/>
      </w:pPr>
      <w:r w:rsidRPr="001D3665">
        <w:lastRenderedPageBreak/>
        <w:t>CO</w:t>
      </w:r>
      <w:r w:rsidRPr="001D3665">
        <w:rPr>
          <w:rStyle w:val="skrift-senket"/>
        </w:rPr>
        <w:t>2</w:t>
      </w:r>
      <w:r w:rsidRPr="001D3665">
        <w:t>-avgifta på mineralske produkt</w:t>
      </w:r>
    </w:p>
    <w:p w14:paraId="2738DAFD" w14:textId="77777777" w:rsidR="00BC371A" w:rsidRPr="001D3665" w:rsidRDefault="00BC371A" w:rsidP="001D3665">
      <w:pPr>
        <w:pStyle w:val="Overskrift3"/>
      </w:pPr>
      <w:r w:rsidRPr="001D3665">
        <w:t>Nytt referansesystem</w:t>
      </w:r>
    </w:p>
    <w:p w14:paraId="4B35F30D" w14:textId="77777777" w:rsidR="00BC371A" w:rsidRPr="001D3665" w:rsidRDefault="00BC371A" w:rsidP="001D3665">
      <w:r w:rsidRPr="001D3665">
        <w:t xml:space="preserve">I dag er om lag 85 pst. av norske klimagassutslepp prisa gjennom </w:t>
      </w:r>
      <w:proofErr w:type="spellStart"/>
      <w:r w:rsidRPr="001D3665">
        <w:t>anten</w:t>
      </w:r>
      <w:proofErr w:type="spellEnd"/>
      <w:r w:rsidRPr="001D3665">
        <w:t xml:space="preserve"> avgifter eller deltaking i EUs kvotesystem (EU ETS). I underkant av halvparten av </w:t>
      </w:r>
      <w:proofErr w:type="spellStart"/>
      <w:r w:rsidRPr="001D3665">
        <w:t>dei</w:t>
      </w:r>
      <w:proofErr w:type="spellEnd"/>
      <w:r w:rsidRPr="001D3665">
        <w:t xml:space="preserve"> norske utsleppa er omfatta av EU ETS. Det gjeld </w:t>
      </w:r>
      <w:proofErr w:type="spellStart"/>
      <w:r w:rsidRPr="001D3665">
        <w:t>hovudsakleg</w:t>
      </w:r>
      <w:proofErr w:type="spellEnd"/>
      <w:r w:rsidRPr="001D3665">
        <w:t xml:space="preserve"> utslepp </w:t>
      </w:r>
      <w:proofErr w:type="spellStart"/>
      <w:r w:rsidRPr="001D3665">
        <w:t>frå</w:t>
      </w:r>
      <w:proofErr w:type="spellEnd"/>
      <w:r w:rsidRPr="001D3665">
        <w:t xml:space="preserve"> eksportretta og konkurranseutsette </w:t>
      </w:r>
      <w:proofErr w:type="spellStart"/>
      <w:r w:rsidRPr="001D3665">
        <w:t>næringar</w:t>
      </w:r>
      <w:proofErr w:type="spellEnd"/>
      <w:r w:rsidRPr="001D3665">
        <w:t xml:space="preserve"> som industri, petroleum, luftfart og sjøfart. EU ETS er </w:t>
      </w:r>
      <w:proofErr w:type="spellStart"/>
      <w:r w:rsidRPr="001D3665">
        <w:t>eit</w:t>
      </w:r>
      <w:proofErr w:type="spellEnd"/>
      <w:r w:rsidRPr="001D3665">
        <w:t xml:space="preserve"> system for handel med </w:t>
      </w:r>
      <w:proofErr w:type="spellStart"/>
      <w:r w:rsidRPr="001D3665">
        <w:t>klimakvotar</w:t>
      </w:r>
      <w:proofErr w:type="spellEnd"/>
      <w:r w:rsidRPr="001D3665">
        <w:t xml:space="preserve"> mellom </w:t>
      </w:r>
      <w:proofErr w:type="spellStart"/>
      <w:r w:rsidRPr="001D3665">
        <w:t>verksemder</w:t>
      </w:r>
      <w:proofErr w:type="spellEnd"/>
      <w:r w:rsidRPr="001D3665">
        <w:t xml:space="preserve">. </w:t>
      </w:r>
      <w:proofErr w:type="spellStart"/>
      <w:r w:rsidRPr="001D3665">
        <w:t>Føremålet</w:t>
      </w:r>
      <w:proofErr w:type="spellEnd"/>
      <w:r w:rsidRPr="001D3665">
        <w:t xml:space="preserve"> er å redusere utsleppa der </w:t>
      </w:r>
      <w:proofErr w:type="spellStart"/>
      <w:r w:rsidRPr="001D3665">
        <w:t>kostnadane</w:t>
      </w:r>
      <w:proofErr w:type="spellEnd"/>
      <w:r w:rsidRPr="001D3665">
        <w:t xml:space="preserve"> er </w:t>
      </w:r>
      <w:proofErr w:type="spellStart"/>
      <w:r w:rsidRPr="001D3665">
        <w:t>lågast</w:t>
      </w:r>
      <w:proofErr w:type="spellEnd"/>
      <w:r w:rsidRPr="001D3665">
        <w:t xml:space="preserve">, på tvers av </w:t>
      </w:r>
      <w:proofErr w:type="spellStart"/>
      <w:r w:rsidRPr="001D3665">
        <w:t>sektorar</w:t>
      </w:r>
      <w:proofErr w:type="spellEnd"/>
      <w:r w:rsidRPr="001D3665">
        <w:t xml:space="preserve"> og landegrenser.</w:t>
      </w:r>
    </w:p>
    <w:p w14:paraId="6FBA1D13" w14:textId="77777777" w:rsidR="00BC371A" w:rsidRPr="001D3665" w:rsidRDefault="00BC371A" w:rsidP="001D3665">
      <w:r w:rsidRPr="001D3665">
        <w:t xml:space="preserve">Utslepp </w:t>
      </w:r>
      <w:proofErr w:type="spellStart"/>
      <w:r w:rsidRPr="001D3665">
        <w:t>utanfor</w:t>
      </w:r>
      <w:proofErr w:type="spellEnd"/>
      <w:r w:rsidRPr="001D3665">
        <w:t xml:space="preserve"> EU ETS vert i </w:t>
      </w:r>
      <w:proofErr w:type="spellStart"/>
      <w:r w:rsidRPr="001D3665">
        <w:t>hovudsak</w:t>
      </w:r>
      <w:proofErr w:type="spellEnd"/>
      <w:r w:rsidRPr="001D3665">
        <w:t xml:space="preserve"> regulerte gjennom innsatsfordelingsforordninga (omtalt som innsatsfordelinga). Denne </w:t>
      </w:r>
      <w:proofErr w:type="spellStart"/>
      <w:r w:rsidRPr="001D3665">
        <w:t>omfattar</w:t>
      </w:r>
      <w:proofErr w:type="spellEnd"/>
      <w:r w:rsidRPr="001D3665">
        <w:t xml:space="preserve"> mellom anna utslepp </w:t>
      </w:r>
      <w:proofErr w:type="spellStart"/>
      <w:r w:rsidRPr="001D3665">
        <w:t>frå</w:t>
      </w:r>
      <w:proofErr w:type="spellEnd"/>
      <w:r w:rsidRPr="001D3665">
        <w:t xml:space="preserve"> transport, jordbruk, fiske og avfall. Under innsatsfordelinga har </w:t>
      </w:r>
      <w:proofErr w:type="spellStart"/>
      <w:r w:rsidRPr="001D3665">
        <w:t>Noreg</w:t>
      </w:r>
      <w:proofErr w:type="spellEnd"/>
      <w:r w:rsidRPr="001D3665">
        <w:t xml:space="preserve"> plikta seg til å oppfylle </w:t>
      </w:r>
      <w:proofErr w:type="spellStart"/>
      <w:r w:rsidRPr="001D3665">
        <w:t>årlege</w:t>
      </w:r>
      <w:proofErr w:type="spellEnd"/>
      <w:r w:rsidRPr="001D3665">
        <w:t xml:space="preserve">, </w:t>
      </w:r>
      <w:proofErr w:type="spellStart"/>
      <w:r w:rsidRPr="001D3665">
        <w:t>bindande</w:t>
      </w:r>
      <w:proofErr w:type="spellEnd"/>
      <w:r w:rsidRPr="001D3665">
        <w:t xml:space="preserve"> utsleppsbudsjett for perioden 2021–2030. Det er opp til kvart einskilt land å </w:t>
      </w:r>
      <w:proofErr w:type="spellStart"/>
      <w:r w:rsidRPr="001D3665">
        <w:t>fastsetje</w:t>
      </w:r>
      <w:proofErr w:type="spellEnd"/>
      <w:r w:rsidRPr="001D3665">
        <w:t xml:space="preserve"> kva </w:t>
      </w:r>
      <w:proofErr w:type="spellStart"/>
      <w:r w:rsidRPr="001D3665">
        <w:t>verkemiddel</w:t>
      </w:r>
      <w:proofErr w:type="spellEnd"/>
      <w:r w:rsidRPr="001D3665">
        <w:t xml:space="preserve"> som skal </w:t>
      </w:r>
      <w:proofErr w:type="spellStart"/>
      <w:r w:rsidRPr="001D3665">
        <w:t>nyttast</w:t>
      </w:r>
      <w:proofErr w:type="spellEnd"/>
      <w:r w:rsidRPr="001D3665">
        <w:t xml:space="preserve"> for å oppfylle pliktene. I </w:t>
      </w:r>
      <w:proofErr w:type="spellStart"/>
      <w:r w:rsidRPr="001D3665">
        <w:t>Noreg</w:t>
      </w:r>
      <w:proofErr w:type="spellEnd"/>
      <w:r w:rsidRPr="001D3665">
        <w:t xml:space="preserve"> er prising av utslepp </w:t>
      </w:r>
      <w:proofErr w:type="spellStart"/>
      <w:r w:rsidRPr="001D3665">
        <w:t>eit</w:t>
      </w:r>
      <w:proofErr w:type="spellEnd"/>
      <w:r w:rsidRPr="001D3665">
        <w:t xml:space="preserve"> </w:t>
      </w:r>
      <w:proofErr w:type="spellStart"/>
      <w:r w:rsidRPr="001D3665">
        <w:t>hovudverkemiddel</w:t>
      </w:r>
      <w:proofErr w:type="spellEnd"/>
      <w:r w:rsidRPr="001D3665">
        <w:t xml:space="preserve"> i klimapolitikken. </w:t>
      </w:r>
      <w:proofErr w:type="spellStart"/>
      <w:r w:rsidRPr="001D3665">
        <w:t>Ein</w:t>
      </w:r>
      <w:proofErr w:type="spellEnd"/>
      <w:r w:rsidRPr="001D3665">
        <w:t xml:space="preserve"> </w:t>
      </w:r>
      <w:proofErr w:type="spellStart"/>
      <w:r w:rsidRPr="001D3665">
        <w:t>einsarta</w:t>
      </w:r>
      <w:proofErr w:type="spellEnd"/>
      <w:r w:rsidRPr="001D3665">
        <w:t xml:space="preserve"> karbonpris på utsleppa under innsatsfordelinga </w:t>
      </w:r>
      <w:proofErr w:type="spellStart"/>
      <w:r w:rsidRPr="001D3665">
        <w:t>bidreg</w:t>
      </w:r>
      <w:proofErr w:type="spellEnd"/>
      <w:r w:rsidRPr="001D3665">
        <w:t xml:space="preserve"> til ei kostnadseffektiv oppfylling av pliktene.</w:t>
      </w:r>
    </w:p>
    <w:p w14:paraId="51FA5C8F" w14:textId="77777777" w:rsidR="00BC371A" w:rsidRPr="001D3665" w:rsidRDefault="00BC371A" w:rsidP="001D3665">
      <w:r w:rsidRPr="001D3665">
        <w:t xml:space="preserve">Det er fem ulike klimaavgifter i </w:t>
      </w:r>
      <w:proofErr w:type="spellStart"/>
      <w:r w:rsidRPr="001D3665">
        <w:t>Noreg</w:t>
      </w:r>
      <w:proofErr w:type="spellEnd"/>
      <w:r w:rsidRPr="001D3665">
        <w:t xml:space="preserve">. Den </w:t>
      </w:r>
      <w:proofErr w:type="spellStart"/>
      <w:r w:rsidRPr="001D3665">
        <w:t>viktigaste</w:t>
      </w:r>
      <w:proofErr w:type="spellEnd"/>
      <w:r w:rsidRPr="001D3665">
        <w:t xml:space="preserve"> er CO</w:t>
      </w:r>
      <w:r w:rsidRPr="001D3665">
        <w:rPr>
          <w:rStyle w:val="skrift-senket"/>
        </w:rPr>
        <w:t>2</w:t>
      </w:r>
      <w:r w:rsidRPr="001D3665">
        <w:t xml:space="preserve">-avgifta på mineralske produkt. Den </w:t>
      </w:r>
      <w:proofErr w:type="spellStart"/>
      <w:r w:rsidRPr="001D3665">
        <w:t>omfattar</w:t>
      </w:r>
      <w:proofErr w:type="spellEnd"/>
      <w:r w:rsidRPr="001D3665">
        <w:t xml:space="preserve"> tilnærma alle forbrenningsutslepp </w:t>
      </w:r>
      <w:proofErr w:type="spellStart"/>
      <w:r w:rsidRPr="001D3665">
        <w:t>frå</w:t>
      </w:r>
      <w:proofErr w:type="spellEnd"/>
      <w:r w:rsidRPr="001D3665">
        <w:t xml:space="preserve"> </w:t>
      </w:r>
      <w:proofErr w:type="spellStart"/>
      <w:r w:rsidRPr="001D3665">
        <w:t>dei</w:t>
      </w:r>
      <w:proofErr w:type="spellEnd"/>
      <w:r w:rsidRPr="001D3665">
        <w:t xml:space="preserve"> mineralske produkta bensin, mineralolje, naturgass og LPG.</w:t>
      </w:r>
    </w:p>
    <w:p w14:paraId="0CBDC121" w14:textId="77777777" w:rsidR="00BC371A" w:rsidRPr="001D3665" w:rsidRDefault="00BC371A" w:rsidP="001D3665">
      <w:proofErr w:type="spellStart"/>
      <w:r w:rsidRPr="001D3665">
        <w:t>Skiftande</w:t>
      </w:r>
      <w:proofErr w:type="spellEnd"/>
      <w:r w:rsidRPr="001D3665">
        <w:t xml:space="preserve"> </w:t>
      </w:r>
      <w:proofErr w:type="spellStart"/>
      <w:r w:rsidRPr="001D3665">
        <w:t>regjeringar</w:t>
      </w:r>
      <w:proofErr w:type="spellEnd"/>
      <w:r w:rsidRPr="001D3665">
        <w:t xml:space="preserve"> har </w:t>
      </w:r>
      <w:proofErr w:type="spellStart"/>
      <w:r w:rsidRPr="001D3665">
        <w:t>sidan</w:t>
      </w:r>
      <w:proofErr w:type="spellEnd"/>
      <w:r w:rsidRPr="001D3665">
        <w:t xml:space="preserve"> kvotesystemet </w:t>
      </w:r>
      <w:proofErr w:type="spellStart"/>
      <w:r w:rsidRPr="001D3665">
        <w:t>vart</w:t>
      </w:r>
      <w:proofErr w:type="spellEnd"/>
      <w:r w:rsidRPr="001D3665">
        <w:t xml:space="preserve"> innført i </w:t>
      </w:r>
      <w:proofErr w:type="spellStart"/>
      <w:r w:rsidRPr="001D3665">
        <w:t>Noreg</w:t>
      </w:r>
      <w:proofErr w:type="spellEnd"/>
      <w:r w:rsidRPr="001D3665">
        <w:t xml:space="preserve"> i 2008, hevda at </w:t>
      </w:r>
      <w:proofErr w:type="spellStart"/>
      <w:r w:rsidRPr="001D3665">
        <w:t>verksemder</w:t>
      </w:r>
      <w:proofErr w:type="spellEnd"/>
      <w:r w:rsidRPr="001D3665">
        <w:t xml:space="preserve"> som er kvotepliktige under EU ETS, bør </w:t>
      </w:r>
      <w:proofErr w:type="spellStart"/>
      <w:r w:rsidRPr="001D3665">
        <w:t>verte</w:t>
      </w:r>
      <w:proofErr w:type="spellEnd"/>
      <w:r w:rsidRPr="001D3665">
        <w:t xml:space="preserve"> </w:t>
      </w:r>
      <w:proofErr w:type="spellStart"/>
      <w:r w:rsidRPr="001D3665">
        <w:t>fritekne</w:t>
      </w:r>
      <w:proofErr w:type="spellEnd"/>
      <w:r w:rsidRPr="001D3665">
        <w:t xml:space="preserve"> for CO</w:t>
      </w:r>
      <w:r w:rsidRPr="001D3665">
        <w:rPr>
          <w:rStyle w:val="skrift-senket"/>
        </w:rPr>
        <w:t>2</w:t>
      </w:r>
      <w:r w:rsidRPr="001D3665">
        <w:t xml:space="preserve">-avgifta. </w:t>
      </w:r>
      <w:proofErr w:type="spellStart"/>
      <w:r w:rsidRPr="001D3665">
        <w:t>Eit</w:t>
      </w:r>
      <w:proofErr w:type="spellEnd"/>
      <w:r w:rsidRPr="001D3665">
        <w:t xml:space="preserve"> fritak gjev </w:t>
      </w:r>
      <w:proofErr w:type="spellStart"/>
      <w:r w:rsidRPr="001D3665">
        <w:t>ein</w:t>
      </w:r>
      <w:proofErr w:type="spellEnd"/>
      <w:r w:rsidRPr="001D3665">
        <w:t xml:space="preserve"> </w:t>
      </w:r>
      <w:proofErr w:type="spellStart"/>
      <w:r w:rsidRPr="001D3665">
        <w:t>meir</w:t>
      </w:r>
      <w:proofErr w:type="spellEnd"/>
      <w:r w:rsidRPr="001D3665">
        <w:t xml:space="preserve"> effektiv klimapolitikk, ettersom avgift i tillegg til kvoteplikt har avgrensa eller ingen klimaeffekt og heller ingen verknad for </w:t>
      </w:r>
      <w:proofErr w:type="spellStart"/>
      <w:r w:rsidRPr="001D3665">
        <w:t>oppnåinga</w:t>
      </w:r>
      <w:proofErr w:type="spellEnd"/>
      <w:r w:rsidRPr="001D3665">
        <w:t xml:space="preserve"> av </w:t>
      </w:r>
      <w:proofErr w:type="spellStart"/>
      <w:r w:rsidRPr="001D3665">
        <w:t>Noregs</w:t>
      </w:r>
      <w:proofErr w:type="spellEnd"/>
      <w:r w:rsidRPr="001D3665">
        <w:t xml:space="preserve"> klimamål under Parisavtalen. Departementet </w:t>
      </w:r>
      <w:proofErr w:type="spellStart"/>
      <w:r w:rsidRPr="001D3665">
        <w:t>fekk</w:t>
      </w:r>
      <w:proofErr w:type="spellEnd"/>
      <w:r w:rsidRPr="001D3665">
        <w:t xml:space="preserve"> inntil februar 2026 </w:t>
      </w:r>
      <w:proofErr w:type="spellStart"/>
      <w:r w:rsidRPr="001D3665">
        <w:t>ikkje</w:t>
      </w:r>
      <w:proofErr w:type="spellEnd"/>
      <w:r w:rsidRPr="001D3665">
        <w:t xml:space="preserve"> </w:t>
      </w:r>
      <w:proofErr w:type="spellStart"/>
      <w:r w:rsidRPr="001D3665">
        <w:t>medhald</w:t>
      </w:r>
      <w:proofErr w:type="spellEnd"/>
      <w:r w:rsidRPr="001D3665">
        <w:t xml:space="preserve"> for å kunne frita kvotepliktige </w:t>
      </w:r>
      <w:proofErr w:type="spellStart"/>
      <w:r w:rsidRPr="001D3665">
        <w:t>verksemder</w:t>
      </w:r>
      <w:proofErr w:type="spellEnd"/>
      <w:r w:rsidRPr="001D3665">
        <w:t xml:space="preserve"> </w:t>
      </w:r>
      <w:proofErr w:type="spellStart"/>
      <w:r w:rsidRPr="001D3665">
        <w:t>frå</w:t>
      </w:r>
      <w:proofErr w:type="spellEnd"/>
      <w:r w:rsidRPr="001D3665">
        <w:t xml:space="preserve"> avgift av </w:t>
      </w:r>
      <w:proofErr w:type="spellStart"/>
      <w:r w:rsidRPr="001D3665">
        <w:t>EFTAs</w:t>
      </w:r>
      <w:proofErr w:type="spellEnd"/>
      <w:r w:rsidRPr="001D3665">
        <w:t xml:space="preserve"> </w:t>
      </w:r>
      <w:proofErr w:type="spellStart"/>
      <w:r w:rsidRPr="001D3665">
        <w:t>overvakingsorgan</w:t>
      </w:r>
      <w:proofErr w:type="spellEnd"/>
      <w:r w:rsidRPr="001D3665">
        <w:t xml:space="preserve"> (ESA). Kvotepliktige </w:t>
      </w:r>
      <w:proofErr w:type="spellStart"/>
      <w:r w:rsidRPr="001D3665">
        <w:t>verksemder</w:t>
      </w:r>
      <w:proofErr w:type="spellEnd"/>
      <w:r w:rsidRPr="001D3665">
        <w:t xml:space="preserve"> har </w:t>
      </w:r>
      <w:proofErr w:type="spellStart"/>
      <w:r w:rsidRPr="001D3665">
        <w:t>difor</w:t>
      </w:r>
      <w:proofErr w:type="spellEnd"/>
      <w:r w:rsidRPr="001D3665">
        <w:t xml:space="preserve"> fram til 2026 vorte </w:t>
      </w:r>
      <w:proofErr w:type="spellStart"/>
      <w:r w:rsidRPr="001D3665">
        <w:t>ilagde</w:t>
      </w:r>
      <w:proofErr w:type="spellEnd"/>
      <w:r w:rsidRPr="001D3665">
        <w:t xml:space="preserve"> CO</w:t>
      </w:r>
      <w:r w:rsidRPr="001D3665">
        <w:rPr>
          <w:rStyle w:val="skrift-senket"/>
        </w:rPr>
        <w:t>2</w:t>
      </w:r>
      <w:r w:rsidRPr="001D3665">
        <w:t>-avgift på toppen av kvoteplikta.</w:t>
      </w:r>
    </w:p>
    <w:p w14:paraId="66A6C708" w14:textId="77777777" w:rsidR="00BC371A" w:rsidRPr="001D3665" w:rsidRDefault="00BC371A" w:rsidP="001D3665">
      <w:r w:rsidRPr="001D3665">
        <w:t xml:space="preserve">Etter lang dialog med ESA vart det i budsjettet for 2026 foreslått og </w:t>
      </w:r>
      <w:proofErr w:type="spellStart"/>
      <w:r w:rsidRPr="001D3665">
        <w:t>vedteke</w:t>
      </w:r>
      <w:proofErr w:type="spellEnd"/>
      <w:r w:rsidRPr="001D3665">
        <w:t xml:space="preserve"> </w:t>
      </w:r>
      <w:proofErr w:type="spellStart"/>
      <w:r w:rsidRPr="001D3665">
        <w:t>følgjande</w:t>
      </w:r>
      <w:proofErr w:type="spellEnd"/>
      <w:r w:rsidRPr="001D3665">
        <w:t xml:space="preserve"> </w:t>
      </w:r>
      <w:proofErr w:type="spellStart"/>
      <w:r w:rsidRPr="001D3665">
        <w:t>endringar</w:t>
      </w:r>
      <w:proofErr w:type="spellEnd"/>
      <w:r w:rsidRPr="001D3665">
        <w:t xml:space="preserve"> i CO</w:t>
      </w:r>
      <w:r w:rsidRPr="001D3665">
        <w:rPr>
          <w:rStyle w:val="skrift-senket"/>
        </w:rPr>
        <w:t>2</w:t>
      </w:r>
      <w:r w:rsidRPr="001D3665">
        <w:t>-avgifta:</w:t>
      </w:r>
    </w:p>
    <w:p w14:paraId="272E7904" w14:textId="77777777" w:rsidR="00BC371A" w:rsidRPr="001D3665" w:rsidRDefault="00BC371A" w:rsidP="001D3665">
      <w:pPr>
        <w:pStyle w:val="Nummerertliste"/>
        <w:numPr>
          <w:ilvl w:val="0"/>
          <w:numId w:val="22"/>
        </w:numPr>
      </w:pPr>
      <w:r w:rsidRPr="001D3665">
        <w:t xml:space="preserve">Utslepp som </w:t>
      </w:r>
      <w:proofErr w:type="spellStart"/>
      <w:r w:rsidRPr="001D3665">
        <w:t>berre</w:t>
      </w:r>
      <w:proofErr w:type="spellEnd"/>
      <w:r w:rsidRPr="001D3665">
        <w:t xml:space="preserve"> er omfatta av innsatsfordelinga, vert </w:t>
      </w:r>
      <w:proofErr w:type="spellStart"/>
      <w:r w:rsidRPr="001D3665">
        <w:t>ilagde</w:t>
      </w:r>
      <w:proofErr w:type="spellEnd"/>
      <w:r w:rsidRPr="001D3665">
        <w:t xml:space="preserve"> generell avgiftssats.</w:t>
      </w:r>
    </w:p>
    <w:p w14:paraId="3CE552A3" w14:textId="77777777" w:rsidR="00BC371A" w:rsidRPr="001D3665" w:rsidRDefault="00BC371A" w:rsidP="001D3665">
      <w:pPr>
        <w:pStyle w:val="Nummerertliste"/>
      </w:pPr>
      <w:r w:rsidRPr="001D3665">
        <w:t xml:space="preserve">Utslepp som </w:t>
      </w:r>
      <w:proofErr w:type="spellStart"/>
      <w:r w:rsidRPr="001D3665">
        <w:t>berre</w:t>
      </w:r>
      <w:proofErr w:type="spellEnd"/>
      <w:r w:rsidRPr="001D3665">
        <w:t xml:space="preserve"> er kvotepliktige, vert </w:t>
      </w:r>
      <w:proofErr w:type="spellStart"/>
      <w:r w:rsidRPr="001D3665">
        <w:t>fritekne</w:t>
      </w:r>
      <w:proofErr w:type="spellEnd"/>
      <w:r w:rsidRPr="001D3665">
        <w:t xml:space="preserve"> for avgift.</w:t>
      </w:r>
    </w:p>
    <w:p w14:paraId="44A01C4B" w14:textId="77777777" w:rsidR="00BC371A" w:rsidRPr="001D3665" w:rsidRDefault="00BC371A" w:rsidP="001D3665">
      <w:pPr>
        <w:pStyle w:val="Nummerertliste"/>
      </w:pPr>
      <w:r w:rsidRPr="001D3665">
        <w:t xml:space="preserve">Utslepp som både er kvotepliktige og omfatta av innsatsfordelinga, vert </w:t>
      </w:r>
      <w:proofErr w:type="spellStart"/>
      <w:r w:rsidRPr="001D3665">
        <w:t>ilagde</w:t>
      </w:r>
      <w:proofErr w:type="spellEnd"/>
      <w:r w:rsidRPr="001D3665">
        <w:t xml:space="preserve"> redusert avgiftssats, slik at summen av avgift og kvote svarer til det generelle nivået.</w:t>
      </w:r>
    </w:p>
    <w:p w14:paraId="4D6A445C" w14:textId="77777777" w:rsidR="00BC371A" w:rsidRPr="001D3665" w:rsidRDefault="00BC371A" w:rsidP="001D3665">
      <w:r w:rsidRPr="001D3665">
        <w:t xml:space="preserve">Departementet </w:t>
      </w:r>
      <w:proofErr w:type="spellStart"/>
      <w:r w:rsidRPr="001D3665">
        <w:t>fekk</w:t>
      </w:r>
      <w:proofErr w:type="spellEnd"/>
      <w:r w:rsidRPr="001D3665">
        <w:t xml:space="preserve"> i februar 2026 </w:t>
      </w:r>
      <w:proofErr w:type="spellStart"/>
      <w:r w:rsidRPr="001D3665">
        <w:t>medhald</w:t>
      </w:r>
      <w:proofErr w:type="spellEnd"/>
      <w:r w:rsidRPr="001D3665">
        <w:t xml:space="preserve"> </w:t>
      </w:r>
      <w:proofErr w:type="spellStart"/>
      <w:r w:rsidRPr="001D3665">
        <w:t>frå</w:t>
      </w:r>
      <w:proofErr w:type="spellEnd"/>
      <w:r w:rsidRPr="001D3665">
        <w:t xml:space="preserve"> ESA for å frita kvotepliktige </w:t>
      </w:r>
      <w:proofErr w:type="spellStart"/>
      <w:r w:rsidRPr="001D3665">
        <w:t>verksemder</w:t>
      </w:r>
      <w:proofErr w:type="spellEnd"/>
      <w:r w:rsidRPr="001D3665">
        <w:t xml:space="preserve"> for CO</w:t>
      </w:r>
      <w:r w:rsidRPr="001D3665">
        <w:rPr>
          <w:rStyle w:val="skrift-senket"/>
        </w:rPr>
        <w:t>2</w:t>
      </w:r>
      <w:r w:rsidRPr="001D3665">
        <w:t xml:space="preserve">-avgift, </w:t>
      </w:r>
      <w:proofErr w:type="spellStart"/>
      <w:r w:rsidRPr="001D3665">
        <w:t>føresett</w:t>
      </w:r>
      <w:proofErr w:type="spellEnd"/>
      <w:r w:rsidRPr="001D3665">
        <w:t xml:space="preserve"> at CO</w:t>
      </w:r>
      <w:r w:rsidRPr="001D3665">
        <w:rPr>
          <w:rStyle w:val="skrift-senket"/>
        </w:rPr>
        <w:t>2</w:t>
      </w:r>
      <w:r w:rsidRPr="001D3665">
        <w:t xml:space="preserve">-avgifta vert utforma på denne logiske og konsistente måten. På dette grunnlaget vart kvotepliktig luftfart og kvotepliktig fastlandsindustri </w:t>
      </w:r>
      <w:proofErr w:type="spellStart"/>
      <w:r w:rsidRPr="001D3665">
        <w:t>fritekne</w:t>
      </w:r>
      <w:proofErr w:type="spellEnd"/>
      <w:r w:rsidRPr="001D3665">
        <w:t xml:space="preserve"> for CO</w:t>
      </w:r>
      <w:r w:rsidRPr="001D3665">
        <w:rPr>
          <w:rStyle w:val="skrift-senket"/>
        </w:rPr>
        <w:t>2</w:t>
      </w:r>
      <w:r w:rsidRPr="001D3665">
        <w:t xml:space="preserve">-avgift </w:t>
      </w:r>
      <w:proofErr w:type="spellStart"/>
      <w:r w:rsidRPr="001D3665">
        <w:t>frå</w:t>
      </w:r>
      <w:proofErr w:type="spellEnd"/>
      <w:r w:rsidRPr="001D3665">
        <w:t xml:space="preserve"> 1. mars 2026, og </w:t>
      </w:r>
      <w:proofErr w:type="spellStart"/>
      <w:r w:rsidRPr="001D3665">
        <w:t>innanriks</w:t>
      </w:r>
      <w:proofErr w:type="spellEnd"/>
      <w:r w:rsidRPr="001D3665">
        <w:t xml:space="preserve"> kvotepliktig sjøfart </w:t>
      </w:r>
      <w:proofErr w:type="spellStart"/>
      <w:r w:rsidRPr="001D3665">
        <w:t>fekk</w:t>
      </w:r>
      <w:proofErr w:type="spellEnd"/>
      <w:r w:rsidRPr="001D3665">
        <w:t xml:space="preserve"> redusert avgiftssatsen. </w:t>
      </w:r>
      <w:proofErr w:type="spellStart"/>
      <w:r w:rsidRPr="001D3665">
        <w:t>Endringane</w:t>
      </w:r>
      <w:proofErr w:type="spellEnd"/>
      <w:r w:rsidRPr="001D3665">
        <w:t xml:space="preserve"> innebar </w:t>
      </w:r>
      <w:proofErr w:type="spellStart"/>
      <w:r w:rsidRPr="001D3665">
        <w:t>ein</w:t>
      </w:r>
      <w:proofErr w:type="spellEnd"/>
      <w:r w:rsidRPr="001D3665">
        <w:t xml:space="preserve"> </w:t>
      </w:r>
      <w:proofErr w:type="spellStart"/>
      <w:r w:rsidRPr="001D3665">
        <w:t>årleg</w:t>
      </w:r>
      <w:proofErr w:type="spellEnd"/>
      <w:r w:rsidRPr="001D3665">
        <w:t xml:space="preserve"> </w:t>
      </w:r>
      <w:proofErr w:type="spellStart"/>
      <w:r w:rsidRPr="001D3665">
        <w:t>avgiftslette</w:t>
      </w:r>
      <w:proofErr w:type="spellEnd"/>
      <w:r w:rsidRPr="001D3665">
        <w:t xml:space="preserve"> for kvotepliktige </w:t>
      </w:r>
      <w:proofErr w:type="spellStart"/>
      <w:r w:rsidRPr="001D3665">
        <w:t>næringar</w:t>
      </w:r>
      <w:proofErr w:type="spellEnd"/>
      <w:r w:rsidRPr="001D3665">
        <w:t xml:space="preserve"> på over 1 mrd. kroner. I samsvar med dette systemet la regjeringa òg opp til å innføre CO</w:t>
      </w:r>
      <w:r w:rsidRPr="001D3665">
        <w:rPr>
          <w:rStyle w:val="skrift-senket"/>
        </w:rPr>
        <w:t>2</w:t>
      </w:r>
      <w:r w:rsidRPr="001D3665">
        <w:t xml:space="preserve">-avgift på utslepp </w:t>
      </w:r>
      <w:proofErr w:type="spellStart"/>
      <w:r w:rsidRPr="001D3665">
        <w:t>frå</w:t>
      </w:r>
      <w:proofErr w:type="spellEnd"/>
      <w:r w:rsidRPr="001D3665">
        <w:t xml:space="preserve"> bruk av naturgass og LPG nytta av </w:t>
      </w:r>
      <w:proofErr w:type="spellStart"/>
      <w:r w:rsidRPr="001D3665">
        <w:t>ikkje</w:t>
      </w:r>
      <w:proofErr w:type="spellEnd"/>
      <w:r w:rsidRPr="001D3665">
        <w:t xml:space="preserve">-kvotepliktige </w:t>
      </w:r>
      <w:proofErr w:type="spellStart"/>
      <w:r w:rsidRPr="001D3665">
        <w:t>verksemder</w:t>
      </w:r>
      <w:proofErr w:type="spellEnd"/>
      <w:r w:rsidRPr="001D3665">
        <w:t xml:space="preserve"> med kjemiske og metallurgiske </w:t>
      </w:r>
      <w:proofErr w:type="spellStart"/>
      <w:r w:rsidRPr="001D3665">
        <w:t>prosessar</w:t>
      </w:r>
      <w:proofErr w:type="spellEnd"/>
      <w:r w:rsidRPr="001D3665">
        <w:t xml:space="preserve"> </w:t>
      </w:r>
      <w:proofErr w:type="spellStart"/>
      <w:r w:rsidRPr="001D3665">
        <w:t>frå</w:t>
      </w:r>
      <w:proofErr w:type="spellEnd"/>
      <w:r w:rsidRPr="001D3665">
        <w:t xml:space="preserve"> 1. mars, sjå omtale i punkt 9.3.5.</w:t>
      </w:r>
    </w:p>
    <w:p w14:paraId="00CD5278" w14:textId="77777777" w:rsidR="00BC371A" w:rsidRPr="001D3665" w:rsidRDefault="00BC371A" w:rsidP="001D3665">
      <w:pPr>
        <w:pStyle w:val="Overskrift3"/>
      </w:pPr>
      <w:r w:rsidRPr="001D3665">
        <w:lastRenderedPageBreak/>
        <w:t xml:space="preserve">Dei </w:t>
      </w:r>
      <w:proofErr w:type="spellStart"/>
      <w:r w:rsidRPr="001D3665">
        <w:t>mellombelse</w:t>
      </w:r>
      <w:proofErr w:type="spellEnd"/>
      <w:r w:rsidRPr="001D3665">
        <w:t xml:space="preserve"> </w:t>
      </w:r>
      <w:proofErr w:type="spellStart"/>
      <w:r w:rsidRPr="001D3665">
        <w:t>reduksjonane</w:t>
      </w:r>
      <w:proofErr w:type="spellEnd"/>
      <w:r w:rsidRPr="001D3665">
        <w:t xml:space="preserve"> i drivstoffavgiftene</w:t>
      </w:r>
    </w:p>
    <w:p w14:paraId="5FE17F49" w14:textId="77777777" w:rsidR="00BC371A" w:rsidRPr="001D3665" w:rsidRDefault="00BC371A" w:rsidP="001D3665">
      <w:r w:rsidRPr="001D3665">
        <w:t xml:space="preserve">Stortinget gjorde 26. mars </w:t>
      </w:r>
      <w:proofErr w:type="spellStart"/>
      <w:r w:rsidRPr="001D3665">
        <w:t>fleire</w:t>
      </w:r>
      <w:proofErr w:type="spellEnd"/>
      <w:r w:rsidRPr="001D3665">
        <w:t xml:space="preserve"> vedtak i CO</w:t>
      </w:r>
      <w:r w:rsidRPr="001D3665">
        <w:rPr>
          <w:rStyle w:val="skrift-senket"/>
        </w:rPr>
        <w:t>2</w:t>
      </w:r>
      <w:r w:rsidRPr="001D3665">
        <w:t xml:space="preserve">-avgifta som var i strid med det </w:t>
      </w:r>
      <w:proofErr w:type="spellStart"/>
      <w:r w:rsidRPr="001D3665">
        <w:t>ovannemnde</w:t>
      </w:r>
      <w:proofErr w:type="spellEnd"/>
      <w:r w:rsidRPr="001D3665">
        <w:t xml:space="preserve"> systemet. Vedtaka innebar at </w:t>
      </w:r>
      <w:proofErr w:type="spellStart"/>
      <w:r w:rsidRPr="001D3665">
        <w:t>nokre</w:t>
      </w:r>
      <w:proofErr w:type="spellEnd"/>
      <w:r w:rsidRPr="001D3665">
        <w:t xml:space="preserve"> av utsleppa som er omfatta av innsatsfordelinga, skulle få redusert CO</w:t>
      </w:r>
      <w:r w:rsidRPr="001D3665">
        <w:rPr>
          <w:rStyle w:val="skrift-senket"/>
        </w:rPr>
        <w:t>2</w:t>
      </w:r>
      <w:r w:rsidRPr="001D3665">
        <w:t xml:space="preserve">-avgift på mineralolje. </w:t>
      </w:r>
      <w:proofErr w:type="spellStart"/>
      <w:r w:rsidRPr="001D3665">
        <w:t>Avgiftsreduksjonane</w:t>
      </w:r>
      <w:proofErr w:type="spellEnd"/>
      <w:r w:rsidRPr="001D3665">
        <w:t xml:space="preserve"> kan </w:t>
      </w:r>
      <w:proofErr w:type="spellStart"/>
      <w:r w:rsidRPr="001D3665">
        <w:t>ikkje</w:t>
      </w:r>
      <w:proofErr w:type="spellEnd"/>
      <w:r w:rsidRPr="001D3665">
        <w:t xml:space="preserve"> </w:t>
      </w:r>
      <w:proofErr w:type="spellStart"/>
      <w:r w:rsidRPr="001D3665">
        <w:t>forklårast</w:t>
      </w:r>
      <w:proofErr w:type="spellEnd"/>
      <w:r w:rsidRPr="001D3665">
        <w:t xml:space="preserve"> ut </w:t>
      </w:r>
      <w:proofErr w:type="spellStart"/>
      <w:r w:rsidRPr="001D3665">
        <w:t>frå</w:t>
      </w:r>
      <w:proofErr w:type="spellEnd"/>
      <w:r w:rsidRPr="001D3665">
        <w:t xml:space="preserve"> </w:t>
      </w:r>
      <w:proofErr w:type="spellStart"/>
      <w:r w:rsidRPr="001D3665">
        <w:t>føremålet</w:t>
      </w:r>
      <w:proofErr w:type="spellEnd"/>
      <w:r w:rsidRPr="001D3665">
        <w:t xml:space="preserve"> eller logikken i avgifta. Slik selektiv stønad er høgst </w:t>
      </w:r>
      <w:proofErr w:type="spellStart"/>
      <w:r w:rsidRPr="001D3665">
        <w:t>sannsynleg</w:t>
      </w:r>
      <w:proofErr w:type="spellEnd"/>
      <w:r w:rsidRPr="001D3665">
        <w:t xml:space="preserve"> i strid med statsstøtteregelverket.</w:t>
      </w:r>
    </w:p>
    <w:p w14:paraId="68DD0E7A" w14:textId="77777777" w:rsidR="00BC371A" w:rsidRPr="001D3665" w:rsidRDefault="00BC371A" w:rsidP="001D3665">
      <w:r w:rsidRPr="001D3665">
        <w:t xml:space="preserve">Vedtaka </w:t>
      </w:r>
      <w:proofErr w:type="spellStart"/>
      <w:r w:rsidRPr="001D3665">
        <w:t>inneber</w:t>
      </w:r>
      <w:proofErr w:type="spellEnd"/>
      <w:r w:rsidRPr="001D3665">
        <w:t xml:space="preserve"> til dømes at skip som </w:t>
      </w:r>
      <w:proofErr w:type="spellStart"/>
      <w:r w:rsidRPr="001D3665">
        <w:t>nyttar</w:t>
      </w:r>
      <w:proofErr w:type="spellEnd"/>
      <w:r w:rsidRPr="001D3665">
        <w:t xml:space="preserve"> mineralolje, får mellombels </w:t>
      </w:r>
      <w:proofErr w:type="spellStart"/>
      <w:r w:rsidRPr="001D3665">
        <w:t>lågare</w:t>
      </w:r>
      <w:proofErr w:type="spellEnd"/>
      <w:r w:rsidRPr="001D3665">
        <w:t xml:space="preserve"> CO</w:t>
      </w:r>
      <w:r w:rsidRPr="001D3665">
        <w:rPr>
          <w:rStyle w:val="skrift-senket"/>
        </w:rPr>
        <w:t>2</w:t>
      </w:r>
      <w:r w:rsidRPr="001D3665">
        <w:t xml:space="preserve">-avgift. Samstundes vil skip i same </w:t>
      </w:r>
      <w:proofErr w:type="spellStart"/>
      <w:r w:rsidRPr="001D3665">
        <w:t>marknad</w:t>
      </w:r>
      <w:proofErr w:type="spellEnd"/>
      <w:r w:rsidRPr="001D3665">
        <w:t xml:space="preserve"> som </w:t>
      </w:r>
      <w:proofErr w:type="spellStart"/>
      <w:r w:rsidRPr="001D3665">
        <w:t>nyttar</w:t>
      </w:r>
      <w:proofErr w:type="spellEnd"/>
      <w:r w:rsidRPr="001D3665">
        <w:t xml:space="preserve"> naturgass, </w:t>
      </w:r>
      <w:proofErr w:type="spellStart"/>
      <w:r w:rsidRPr="001D3665">
        <w:t>ikkje</w:t>
      </w:r>
      <w:proofErr w:type="spellEnd"/>
      <w:r w:rsidRPr="001D3665">
        <w:t xml:space="preserve"> få </w:t>
      </w:r>
      <w:proofErr w:type="spellStart"/>
      <w:r w:rsidRPr="001D3665">
        <w:t>tilsvarande</w:t>
      </w:r>
      <w:proofErr w:type="spellEnd"/>
      <w:r w:rsidRPr="001D3665">
        <w:t xml:space="preserve"> reduksjon i CO</w:t>
      </w:r>
      <w:r w:rsidRPr="001D3665">
        <w:rPr>
          <w:rStyle w:val="skrift-senket"/>
        </w:rPr>
        <w:t>2</w:t>
      </w:r>
      <w:r w:rsidRPr="001D3665">
        <w:t xml:space="preserve">-avgifta. Dette kan </w:t>
      </w:r>
      <w:proofErr w:type="spellStart"/>
      <w:r w:rsidRPr="001D3665">
        <w:t>gje</w:t>
      </w:r>
      <w:proofErr w:type="spellEnd"/>
      <w:r w:rsidRPr="001D3665">
        <w:t xml:space="preserve"> </w:t>
      </w:r>
      <w:proofErr w:type="spellStart"/>
      <w:r w:rsidRPr="001D3665">
        <w:t>konkurransevridingar</w:t>
      </w:r>
      <w:proofErr w:type="spellEnd"/>
      <w:r w:rsidRPr="001D3665">
        <w:t xml:space="preserve"> som </w:t>
      </w:r>
      <w:proofErr w:type="spellStart"/>
      <w:r w:rsidRPr="001D3665">
        <w:t>ikkje</w:t>
      </w:r>
      <w:proofErr w:type="spellEnd"/>
      <w:r w:rsidRPr="001D3665">
        <w:t xml:space="preserve"> kan </w:t>
      </w:r>
      <w:proofErr w:type="spellStart"/>
      <w:r w:rsidRPr="001D3665">
        <w:t>grunngjevast</w:t>
      </w:r>
      <w:proofErr w:type="spellEnd"/>
      <w:r w:rsidRPr="001D3665">
        <w:t xml:space="preserve"> ut </w:t>
      </w:r>
      <w:proofErr w:type="spellStart"/>
      <w:r w:rsidRPr="001D3665">
        <w:t>frå</w:t>
      </w:r>
      <w:proofErr w:type="spellEnd"/>
      <w:r w:rsidRPr="001D3665">
        <w:t xml:space="preserve"> </w:t>
      </w:r>
      <w:proofErr w:type="spellStart"/>
      <w:r w:rsidRPr="001D3665">
        <w:t>føremålet</w:t>
      </w:r>
      <w:proofErr w:type="spellEnd"/>
      <w:r w:rsidRPr="001D3665">
        <w:t xml:space="preserve"> eller logikken i avgifta.</w:t>
      </w:r>
    </w:p>
    <w:p w14:paraId="03814666" w14:textId="77777777" w:rsidR="00BC371A" w:rsidRPr="001D3665" w:rsidRDefault="00BC371A" w:rsidP="001D3665">
      <w:r w:rsidRPr="001D3665">
        <w:t xml:space="preserve">Finansministeren </w:t>
      </w:r>
      <w:proofErr w:type="spellStart"/>
      <w:r w:rsidRPr="001D3665">
        <w:t>åtvara</w:t>
      </w:r>
      <w:proofErr w:type="spellEnd"/>
      <w:r w:rsidRPr="001D3665">
        <w:t xml:space="preserve"> i stortingsdebatten 26. mars 2026</w:t>
      </w:r>
      <w:r w:rsidRPr="001D3665">
        <w:rPr>
          <w:rStyle w:val="Fotnotereferanse"/>
        </w:rPr>
        <w:footnoteReference w:id="2"/>
      </w:r>
      <w:r w:rsidRPr="001D3665">
        <w:t xml:space="preserve"> mot statsstøtterisikoen knytt til vedtaka og gjorde </w:t>
      </w:r>
      <w:proofErr w:type="spellStart"/>
      <w:r w:rsidRPr="001D3665">
        <w:t>nærare</w:t>
      </w:r>
      <w:proofErr w:type="spellEnd"/>
      <w:r w:rsidRPr="001D3665">
        <w:t xml:space="preserve"> greie for dette i svar på </w:t>
      </w:r>
      <w:proofErr w:type="spellStart"/>
      <w:r w:rsidRPr="001D3665">
        <w:t>skriftleg</w:t>
      </w:r>
      <w:proofErr w:type="spellEnd"/>
      <w:r w:rsidRPr="001D3665">
        <w:t xml:space="preserve"> spørsmål </w:t>
      </w:r>
      <w:proofErr w:type="spellStart"/>
      <w:r w:rsidRPr="001D3665">
        <w:t>frå</w:t>
      </w:r>
      <w:proofErr w:type="spellEnd"/>
      <w:r w:rsidRPr="001D3665">
        <w:t xml:space="preserve"> Stortinget 24. april 2026. I svaret går det fram at departementet har vurdert alle aktuelle </w:t>
      </w:r>
      <w:proofErr w:type="spellStart"/>
      <w:r w:rsidRPr="001D3665">
        <w:t>heimlar</w:t>
      </w:r>
      <w:proofErr w:type="spellEnd"/>
      <w:r w:rsidRPr="001D3665">
        <w:t xml:space="preserve"> for at </w:t>
      </w:r>
      <w:proofErr w:type="spellStart"/>
      <w:r w:rsidRPr="001D3665">
        <w:t>avgiftsnedsetjingane</w:t>
      </w:r>
      <w:proofErr w:type="spellEnd"/>
      <w:r w:rsidRPr="001D3665">
        <w:t xml:space="preserve"> skulle kunne </w:t>
      </w:r>
      <w:proofErr w:type="spellStart"/>
      <w:r w:rsidRPr="001D3665">
        <w:t>utgjere</w:t>
      </w:r>
      <w:proofErr w:type="spellEnd"/>
      <w:r w:rsidRPr="001D3665">
        <w:t xml:space="preserve"> </w:t>
      </w:r>
      <w:proofErr w:type="spellStart"/>
      <w:r w:rsidRPr="001D3665">
        <w:t>lovleg</w:t>
      </w:r>
      <w:proofErr w:type="spellEnd"/>
      <w:r w:rsidRPr="001D3665">
        <w:t xml:space="preserve"> statsstøtte. Det </w:t>
      </w:r>
      <w:proofErr w:type="spellStart"/>
      <w:r w:rsidRPr="001D3665">
        <w:t>omfattar</w:t>
      </w:r>
      <w:proofErr w:type="spellEnd"/>
      <w:r w:rsidRPr="001D3665">
        <w:t xml:space="preserve"> EØS-avtalen artikkel 61 nr. 2 og 3, gruppeunntaksforordninga og EUs </w:t>
      </w:r>
      <w:proofErr w:type="spellStart"/>
      <w:r w:rsidRPr="001D3665">
        <w:t>mellombelse</w:t>
      </w:r>
      <w:proofErr w:type="spellEnd"/>
      <w:r w:rsidRPr="001D3665">
        <w:t xml:space="preserve"> statsstøtterammeverk knytt til krisa i Midtausten (METSAF). Det går </w:t>
      </w:r>
      <w:proofErr w:type="spellStart"/>
      <w:r w:rsidRPr="001D3665">
        <w:t>vidare</w:t>
      </w:r>
      <w:proofErr w:type="spellEnd"/>
      <w:r w:rsidRPr="001D3665">
        <w:t xml:space="preserve"> fram av svaret til Stortinget at departementet etter dialog med ESA har </w:t>
      </w:r>
      <w:proofErr w:type="spellStart"/>
      <w:r w:rsidRPr="001D3665">
        <w:t>kome</w:t>
      </w:r>
      <w:proofErr w:type="spellEnd"/>
      <w:r w:rsidRPr="001D3665">
        <w:t xml:space="preserve"> til at </w:t>
      </w:r>
      <w:proofErr w:type="spellStart"/>
      <w:r w:rsidRPr="001D3665">
        <w:t>avgiftsnedsetjinga</w:t>
      </w:r>
      <w:proofErr w:type="spellEnd"/>
      <w:r w:rsidRPr="001D3665">
        <w:t xml:space="preserve"> høgst </w:t>
      </w:r>
      <w:proofErr w:type="spellStart"/>
      <w:r w:rsidRPr="001D3665">
        <w:t>sannsynleg</w:t>
      </w:r>
      <w:proofErr w:type="spellEnd"/>
      <w:r w:rsidRPr="001D3665">
        <w:t xml:space="preserve"> </w:t>
      </w:r>
      <w:proofErr w:type="spellStart"/>
      <w:r w:rsidRPr="001D3665">
        <w:t>utgjer</w:t>
      </w:r>
      <w:proofErr w:type="spellEnd"/>
      <w:r w:rsidRPr="001D3665">
        <w:t xml:space="preserve"> </w:t>
      </w:r>
      <w:proofErr w:type="spellStart"/>
      <w:r w:rsidRPr="001D3665">
        <w:t>ulovleg</w:t>
      </w:r>
      <w:proofErr w:type="spellEnd"/>
      <w:r w:rsidRPr="001D3665">
        <w:t xml:space="preserve"> statsstøtte.</w:t>
      </w:r>
    </w:p>
    <w:p w14:paraId="117675FF" w14:textId="77777777" w:rsidR="00BC371A" w:rsidRPr="001D3665" w:rsidRDefault="00BC371A" w:rsidP="001D3665">
      <w:r w:rsidRPr="001D3665">
        <w:t xml:space="preserve">Departementet vil understreke at det er </w:t>
      </w:r>
      <w:proofErr w:type="spellStart"/>
      <w:r w:rsidRPr="001D3665">
        <w:t>tenleg</w:t>
      </w:r>
      <w:proofErr w:type="spellEnd"/>
      <w:r w:rsidRPr="001D3665">
        <w:t xml:space="preserve"> å </w:t>
      </w:r>
      <w:proofErr w:type="spellStart"/>
      <w:r w:rsidRPr="001D3665">
        <w:t>halde</w:t>
      </w:r>
      <w:proofErr w:type="spellEnd"/>
      <w:r w:rsidRPr="001D3665">
        <w:t xml:space="preserve"> fast ved avgiftsstrukturen som følgjer av det nye referansesystemet. Systemet gjev </w:t>
      </w:r>
      <w:proofErr w:type="spellStart"/>
      <w:r w:rsidRPr="001D3665">
        <w:t>føreseielege</w:t>
      </w:r>
      <w:proofErr w:type="spellEnd"/>
      <w:r w:rsidRPr="001D3665">
        <w:t xml:space="preserve"> rammer for norsk næringsliv og høve til å skjerme kvotepliktige </w:t>
      </w:r>
      <w:proofErr w:type="spellStart"/>
      <w:r w:rsidRPr="001D3665">
        <w:t>verksemder</w:t>
      </w:r>
      <w:proofErr w:type="spellEnd"/>
      <w:r w:rsidRPr="001D3665">
        <w:t xml:space="preserve"> mot dobbel verkemiddelbruk i form av både kvoteplikt og CO</w:t>
      </w:r>
      <w:r w:rsidRPr="001D3665">
        <w:rPr>
          <w:rStyle w:val="skrift-senket"/>
        </w:rPr>
        <w:t>2</w:t>
      </w:r>
      <w:r w:rsidRPr="001D3665">
        <w:t xml:space="preserve">-avgift. </w:t>
      </w:r>
      <w:proofErr w:type="spellStart"/>
      <w:r w:rsidRPr="001D3665">
        <w:t>Innanfor</w:t>
      </w:r>
      <w:proofErr w:type="spellEnd"/>
      <w:r w:rsidRPr="001D3665">
        <w:t xml:space="preserve"> systemet er det høve til å endre det generelle avgiftsnivået, men systemet </w:t>
      </w:r>
      <w:proofErr w:type="spellStart"/>
      <w:r w:rsidRPr="001D3665">
        <w:t>inneber</w:t>
      </w:r>
      <w:proofErr w:type="spellEnd"/>
      <w:r w:rsidRPr="001D3665">
        <w:t xml:space="preserve"> </w:t>
      </w:r>
      <w:proofErr w:type="spellStart"/>
      <w:r w:rsidRPr="001D3665">
        <w:t>restriksjonar</w:t>
      </w:r>
      <w:proofErr w:type="spellEnd"/>
      <w:r w:rsidRPr="001D3665">
        <w:t xml:space="preserve"> på høvet til å differensiere avgiftene på utslepp som er omfatta av innsatsfordelinga. Faren ved avgiftsvedtaka </w:t>
      </w:r>
      <w:proofErr w:type="spellStart"/>
      <w:r w:rsidRPr="001D3665">
        <w:t>frå</w:t>
      </w:r>
      <w:proofErr w:type="spellEnd"/>
      <w:r w:rsidRPr="001D3665">
        <w:t xml:space="preserve"> 26. mars er at </w:t>
      </w:r>
      <w:proofErr w:type="spellStart"/>
      <w:r w:rsidRPr="001D3665">
        <w:t>ein</w:t>
      </w:r>
      <w:proofErr w:type="spellEnd"/>
      <w:r w:rsidRPr="001D3665">
        <w:t xml:space="preserve"> </w:t>
      </w:r>
      <w:proofErr w:type="spellStart"/>
      <w:r w:rsidRPr="001D3665">
        <w:t>set</w:t>
      </w:r>
      <w:proofErr w:type="spellEnd"/>
      <w:r w:rsidRPr="001D3665">
        <w:t xml:space="preserve"> systemet i spel, med risiko for at </w:t>
      </w:r>
      <w:proofErr w:type="spellStart"/>
      <w:r w:rsidRPr="001D3665">
        <w:t>ein</w:t>
      </w:r>
      <w:proofErr w:type="spellEnd"/>
      <w:r w:rsidRPr="001D3665">
        <w:t xml:space="preserve"> kan </w:t>
      </w:r>
      <w:proofErr w:type="spellStart"/>
      <w:r w:rsidRPr="001D3665">
        <w:t>verte</w:t>
      </w:r>
      <w:proofErr w:type="spellEnd"/>
      <w:r w:rsidRPr="001D3665">
        <w:t xml:space="preserve"> </w:t>
      </w:r>
      <w:proofErr w:type="spellStart"/>
      <w:r w:rsidRPr="001D3665">
        <w:t>nøydd</w:t>
      </w:r>
      <w:proofErr w:type="spellEnd"/>
      <w:r w:rsidRPr="001D3665">
        <w:t xml:space="preserve"> å gå tilbake til systemet som </w:t>
      </w:r>
      <w:proofErr w:type="spellStart"/>
      <w:r w:rsidRPr="001D3665">
        <w:t>galdt</w:t>
      </w:r>
      <w:proofErr w:type="spellEnd"/>
      <w:r w:rsidRPr="001D3665">
        <w:t xml:space="preserve"> før 1. mars, der kvotepliktige </w:t>
      </w:r>
      <w:proofErr w:type="spellStart"/>
      <w:r w:rsidRPr="001D3665">
        <w:t>verksemder</w:t>
      </w:r>
      <w:proofErr w:type="spellEnd"/>
      <w:r w:rsidRPr="001D3665">
        <w:t xml:space="preserve"> måtte betale avgift i tillegg til kvoteplikt. At </w:t>
      </w:r>
      <w:proofErr w:type="spellStart"/>
      <w:r w:rsidRPr="001D3665">
        <w:t>avgiftsreduksjonane</w:t>
      </w:r>
      <w:proofErr w:type="spellEnd"/>
      <w:r w:rsidRPr="001D3665">
        <w:t xml:space="preserve"> er </w:t>
      </w:r>
      <w:proofErr w:type="spellStart"/>
      <w:r w:rsidRPr="001D3665">
        <w:t>mellombelse</w:t>
      </w:r>
      <w:proofErr w:type="spellEnd"/>
      <w:r w:rsidRPr="001D3665">
        <w:t xml:space="preserve"> og vert reverserte 1. september, er viktig for høvet til å </w:t>
      </w:r>
      <w:proofErr w:type="spellStart"/>
      <w:r w:rsidRPr="001D3665">
        <w:t>halde</w:t>
      </w:r>
      <w:proofErr w:type="spellEnd"/>
      <w:r w:rsidRPr="001D3665">
        <w:t xml:space="preserve"> fast ved det nye referansesystemet.</w:t>
      </w:r>
    </w:p>
    <w:p w14:paraId="0899814C" w14:textId="77777777" w:rsidR="00BC371A" w:rsidRPr="001D3665" w:rsidRDefault="00BC371A" w:rsidP="001D3665">
      <w:pPr>
        <w:pStyle w:val="Overskrift3"/>
      </w:pPr>
      <w:proofErr w:type="spellStart"/>
      <w:r w:rsidRPr="001D3665">
        <w:t>Konsekvensar</w:t>
      </w:r>
      <w:proofErr w:type="spellEnd"/>
      <w:r w:rsidRPr="001D3665">
        <w:t xml:space="preserve"> for norske utslepp av </w:t>
      </w:r>
      <w:proofErr w:type="spellStart"/>
      <w:r w:rsidRPr="001D3665">
        <w:t>klimagassar</w:t>
      </w:r>
      <w:proofErr w:type="spellEnd"/>
      <w:r w:rsidRPr="001D3665">
        <w:t xml:space="preserve"> som </w:t>
      </w:r>
      <w:proofErr w:type="spellStart"/>
      <w:r w:rsidRPr="001D3665">
        <w:t>følgje</w:t>
      </w:r>
      <w:proofErr w:type="spellEnd"/>
      <w:r w:rsidRPr="001D3665">
        <w:t xml:space="preserve"> av </w:t>
      </w:r>
      <w:proofErr w:type="spellStart"/>
      <w:r w:rsidRPr="001D3665">
        <w:t>auka</w:t>
      </w:r>
      <w:proofErr w:type="spellEnd"/>
      <w:r w:rsidRPr="001D3665">
        <w:t xml:space="preserve"> globale </w:t>
      </w:r>
      <w:proofErr w:type="spellStart"/>
      <w:r w:rsidRPr="001D3665">
        <w:t>oljeprisar</w:t>
      </w:r>
      <w:proofErr w:type="spellEnd"/>
      <w:r w:rsidRPr="001D3665">
        <w:t xml:space="preserve"> og </w:t>
      </w:r>
      <w:proofErr w:type="spellStart"/>
      <w:r w:rsidRPr="001D3665">
        <w:t>mellombelse</w:t>
      </w:r>
      <w:proofErr w:type="spellEnd"/>
      <w:r w:rsidRPr="001D3665">
        <w:t xml:space="preserve"> </w:t>
      </w:r>
      <w:proofErr w:type="spellStart"/>
      <w:r w:rsidRPr="001D3665">
        <w:t>avgiftsreduksjonar</w:t>
      </w:r>
      <w:proofErr w:type="spellEnd"/>
    </w:p>
    <w:p w14:paraId="0401E2EE" w14:textId="77777777" w:rsidR="00BC371A" w:rsidRPr="001D3665" w:rsidRDefault="00BC371A" w:rsidP="001D3665">
      <w:proofErr w:type="spellStart"/>
      <w:r w:rsidRPr="001D3665">
        <w:t>Ein</w:t>
      </w:r>
      <w:proofErr w:type="spellEnd"/>
      <w:r w:rsidRPr="001D3665">
        <w:t xml:space="preserve"> reduksjon i CO</w:t>
      </w:r>
      <w:r w:rsidRPr="001D3665">
        <w:rPr>
          <w:rStyle w:val="skrift-senket"/>
        </w:rPr>
        <w:t>2</w:t>
      </w:r>
      <w:r w:rsidRPr="001D3665">
        <w:t xml:space="preserve">-avgiftene (og </w:t>
      </w:r>
      <w:proofErr w:type="spellStart"/>
      <w:r w:rsidRPr="001D3665">
        <w:t>vegbruksavgifta</w:t>
      </w:r>
      <w:proofErr w:type="spellEnd"/>
      <w:r w:rsidRPr="001D3665">
        <w:t xml:space="preserve">) vil isolert sett føre til at norske utslepp av </w:t>
      </w:r>
      <w:proofErr w:type="spellStart"/>
      <w:r w:rsidRPr="001D3665">
        <w:t>klimagassar</w:t>
      </w:r>
      <w:proofErr w:type="spellEnd"/>
      <w:r w:rsidRPr="001D3665">
        <w:t xml:space="preserve"> </w:t>
      </w:r>
      <w:proofErr w:type="spellStart"/>
      <w:r w:rsidRPr="001D3665">
        <w:t>aukar</w:t>
      </w:r>
      <w:proofErr w:type="spellEnd"/>
      <w:r w:rsidRPr="001D3665">
        <w:t xml:space="preserve">. </w:t>
      </w:r>
      <w:proofErr w:type="spellStart"/>
      <w:r w:rsidRPr="001D3665">
        <w:t>Tilsvarande</w:t>
      </w:r>
      <w:proofErr w:type="spellEnd"/>
      <w:r w:rsidRPr="001D3665">
        <w:t xml:space="preserve"> vil </w:t>
      </w:r>
      <w:proofErr w:type="spellStart"/>
      <w:r w:rsidRPr="001D3665">
        <w:t>høgare</w:t>
      </w:r>
      <w:proofErr w:type="spellEnd"/>
      <w:r w:rsidRPr="001D3665">
        <w:t xml:space="preserve"> </w:t>
      </w:r>
      <w:proofErr w:type="spellStart"/>
      <w:r w:rsidRPr="001D3665">
        <w:t>drivstoffprisar</w:t>
      </w:r>
      <w:proofErr w:type="spellEnd"/>
      <w:r w:rsidRPr="001D3665">
        <w:t xml:space="preserve"> føre til mindre bruk av drivstoff og </w:t>
      </w:r>
      <w:proofErr w:type="spellStart"/>
      <w:r w:rsidRPr="001D3665">
        <w:t>lågare</w:t>
      </w:r>
      <w:proofErr w:type="spellEnd"/>
      <w:r w:rsidRPr="001D3665">
        <w:t xml:space="preserve"> utslepp. Når </w:t>
      </w:r>
      <w:proofErr w:type="spellStart"/>
      <w:r w:rsidRPr="001D3665">
        <w:t>lågare</w:t>
      </w:r>
      <w:proofErr w:type="spellEnd"/>
      <w:r w:rsidRPr="001D3665">
        <w:t xml:space="preserve"> avgifter </w:t>
      </w:r>
      <w:proofErr w:type="spellStart"/>
      <w:r w:rsidRPr="001D3665">
        <w:t>verkar</w:t>
      </w:r>
      <w:proofErr w:type="spellEnd"/>
      <w:r w:rsidRPr="001D3665">
        <w:t xml:space="preserve"> samstundes som </w:t>
      </w:r>
      <w:proofErr w:type="spellStart"/>
      <w:r w:rsidRPr="001D3665">
        <w:t>prisane</w:t>
      </w:r>
      <w:proofErr w:type="spellEnd"/>
      <w:r w:rsidRPr="001D3665">
        <w:t xml:space="preserve"> på drivstoff </w:t>
      </w:r>
      <w:proofErr w:type="spellStart"/>
      <w:r w:rsidRPr="001D3665">
        <w:t>aukar</w:t>
      </w:r>
      <w:proofErr w:type="spellEnd"/>
      <w:r w:rsidRPr="001D3665">
        <w:t xml:space="preserve">, vil </w:t>
      </w:r>
      <w:proofErr w:type="spellStart"/>
      <w:r w:rsidRPr="001D3665">
        <w:t>dei</w:t>
      </w:r>
      <w:proofErr w:type="spellEnd"/>
      <w:r w:rsidRPr="001D3665">
        <w:t xml:space="preserve"> to </w:t>
      </w:r>
      <w:proofErr w:type="spellStart"/>
      <w:r w:rsidRPr="001D3665">
        <w:t>effektane</w:t>
      </w:r>
      <w:proofErr w:type="spellEnd"/>
      <w:r w:rsidRPr="001D3665">
        <w:t xml:space="preserve"> delvis utlikne </w:t>
      </w:r>
      <w:proofErr w:type="spellStart"/>
      <w:r w:rsidRPr="001D3665">
        <w:t>kvarandre</w:t>
      </w:r>
      <w:proofErr w:type="spellEnd"/>
      <w:r w:rsidRPr="001D3665">
        <w:t xml:space="preserve">. Den samla utsleppseffekten vil avhenge av kor </w:t>
      </w:r>
      <w:proofErr w:type="spellStart"/>
      <w:r w:rsidRPr="001D3665">
        <w:t>mykje</w:t>
      </w:r>
      <w:proofErr w:type="spellEnd"/>
      <w:r w:rsidRPr="001D3665">
        <w:t xml:space="preserve"> </w:t>
      </w:r>
      <w:proofErr w:type="spellStart"/>
      <w:r w:rsidRPr="001D3665">
        <w:t>høgare</w:t>
      </w:r>
      <w:proofErr w:type="spellEnd"/>
      <w:r w:rsidRPr="001D3665">
        <w:t xml:space="preserve"> eller </w:t>
      </w:r>
      <w:proofErr w:type="spellStart"/>
      <w:r w:rsidRPr="001D3665">
        <w:t>lågare</w:t>
      </w:r>
      <w:proofErr w:type="spellEnd"/>
      <w:r w:rsidRPr="001D3665">
        <w:t xml:space="preserve"> pumpeprisen vert, og kor lenge </w:t>
      </w:r>
      <w:proofErr w:type="spellStart"/>
      <w:r w:rsidRPr="001D3665">
        <w:t>endringane</w:t>
      </w:r>
      <w:proofErr w:type="spellEnd"/>
      <w:r w:rsidRPr="001D3665">
        <w:t xml:space="preserve"> varer. I tillegg vert </w:t>
      </w:r>
      <w:proofErr w:type="spellStart"/>
      <w:r w:rsidRPr="001D3665">
        <w:t>effektane</w:t>
      </w:r>
      <w:proofErr w:type="spellEnd"/>
      <w:r w:rsidRPr="001D3665">
        <w:t xml:space="preserve"> bestemte av </w:t>
      </w:r>
      <w:proofErr w:type="spellStart"/>
      <w:r w:rsidRPr="001D3665">
        <w:t>forventningar</w:t>
      </w:r>
      <w:proofErr w:type="spellEnd"/>
      <w:r w:rsidRPr="001D3665">
        <w:t xml:space="preserve"> hos </w:t>
      </w:r>
      <w:proofErr w:type="spellStart"/>
      <w:r w:rsidRPr="001D3665">
        <w:t>aktørane</w:t>
      </w:r>
      <w:proofErr w:type="spellEnd"/>
      <w:r w:rsidRPr="001D3665">
        <w:t xml:space="preserve">, høvet </w:t>
      </w:r>
      <w:proofErr w:type="spellStart"/>
      <w:r w:rsidRPr="001D3665">
        <w:t>forbrukarane</w:t>
      </w:r>
      <w:proofErr w:type="spellEnd"/>
      <w:r w:rsidRPr="001D3665">
        <w:t xml:space="preserve"> har til å tilpasse seg, den generelle økonomiske utviklinga og andre tilhøve.</w:t>
      </w:r>
    </w:p>
    <w:p w14:paraId="576B7F47" w14:textId="77777777" w:rsidR="00BC371A" w:rsidRPr="001D3665" w:rsidRDefault="00BC371A" w:rsidP="001D3665">
      <w:r w:rsidRPr="001D3665">
        <w:t xml:space="preserve">Departementet har </w:t>
      </w:r>
      <w:proofErr w:type="spellStart"/>
      <w:r w:rsidRPr="001D3665">
        <w:t>ikkje</w:t>
      </w:r>
      <w:proofErr w:type="spellEnd"/>
      <w:r w:rsidRPr="001D3665">
        <w:t xml:space="preserve"> verktøy til å estimere isolerte og kortsiktige </w:t>
      </w:r>
      <w:proofErr w:type="spellStart"/>
      <w:r w:rsidRPr="001D3665">
        <w:t>utsleppseffektar</w:t>
      </w:r>
      <w:proofErr w:type="spellEnd"/>
      <w:r w:rsidRPr="001D3665">
        <w:t xml:space="preserve"> av </w:t>
      </w:r>
      <w:proofErr w:type="spellStart"/>
      <w:r w:rsidRPr="001D3665">
        <w:t>svingande</w:t>
      </w:r>
      <w:proofErr w:type="spellEnd"/>
      <w:r w:rsidRPr="001D3665">
        <w:t xml:space="preserve"> globale </w:t>
      </w:r>
      <w:proofErr w:type="spellStart"/>
      <w:r w:rsidRPr="001D3665">
        <w:t>oljeprisar</w:t>
      </w:r>
      <w:proofErr w:type="spellEnd"/>
      <w:r w:rsidRPr="001D3665">
        <w:t xml:space="preserve"> eller </w:t>
      </w:r>
      <w:proofErr w:type="spellStart"/>
      <w:r w:rsidRPr="001D3665">
        <w:t>mellombelse</w:t>
      </w:r>
      <w:proofErr w:type="spellEnd"/>
      <w:r w:rsidRPr="001D3665">
        <w:t xml:space="preserve"> </w:t>
      </w:r>
      <w:proofErr w:type="spellStart"/>
      <w:r w:rsidRPr="001D3665">
        <w:t>avgiftslettar</w:t>
      </w:r>
      <w:proofErr w:type="spellEnd"/>
      <w:r w:rsidRPr="001D3665">
        <w:t xml:space="preserve">. So lenge avgiftene går tilbake til </w:t>
      </w:r>
      <w:r w:rsidRPr="001D3665">
        <w:lastRenderedPageBreak/>
        <w:t xml:space="preserve">normale nivå i tråd med stortingsvedtaka, legg departementet til grunn at </w:t>
      </w:r>
      <w:proofErr w:type="spellStart"/>
      <w:r w:rsidRPr="001D3665">
        <w:t>utsleppseffektane</w:t>
      </w:r>
      <w:proofErr w:type="spellEnd"/>
      <w:r w:rsidRPr="001D3665">
        <w:t xml:space="preserve"> samla sett er avgrensa </w:t>
      </w:r>
      <w:proofErr w:type="spellStart"/>
      <w:r w:rsidRPr="001D3665">
        <w:t>samanlikna</w:t>
      </w:r>
      <w:proofErr w:type="spellEnd"/>
      <w:r w:rsidRPr="001D3665">
        <w:t xml:space="preserve"> med </w:t>
      </w:r>
      <w:proofErr w:type="spellStart"/>
      <w:r w:rsidRPr="001D3665">
        <w:t>utsleppsframskrivingane</w:t>
      </w:r>
      <w:proofErr w:type="spellEnd"/>
      <w:r w:rsidRPr="001D3665">
        <w:t xml:space="preserve"> i Nasjonalbudsjettet 2026. Departementet vil presentere nye </w:t>
      </w:r>
      <w:proofErr w:type="spellStart"/>
      <w:r w:rsidRPr="001D3665">
        <w:t>framskrivingar</w:t>
      </w:r>
      <w:proofErr w:type="spellEnd"/>
      <w:r w:rsidRPr="001D3665">
        <w:t xml:space="preserve"> i Nasjonalbudsjettet 2027.</w:t>
      </w:r>
    </w:p>
    <w:p w14:paraId="51FEB72F" w14:textId="77777777" w:rsidR="00BC371A" w:rsidRPr="001D3665" w:rsidRDefault="00BC371A" w:rsidP="001D3665">
      <w:r w:rsidRPr="001D3665">
        <w:t>CO</w:t>
      </w:r>
      <w:r w:rsidRPr="001D3665">
        <w:rPr>
          <w:rStyle w:val="skrift-senket"/>
        </w:rPr>
        <w:t>2</w:t>
      </w:r>
      <w:r w:rsidRPr="001D3665">
        <w:t xml:space="preserve">-avgifta er </w:t>
      </w:r>
      <w:proofErr w:type="spellStart"/>
      <w:r w:rsidRPr="001D3665">
        <w:t>eitt</w:t>
      </w:r>
      <w:proofErr w:type="spellEnd"/>
      <w:r w:rsidRPr="001D3665">
        <w:t xml:space="preserve"> av </w:t>
      </w:r>
      <w:proofErr w:type="spellStart"/>
      <w:r w:rsidRPr="001D3665">
        <w:t>dei</w:t>
      </w:r>
      <w:proofErr w:type="spellEnd"/>
      <w:r w:rsidRPr="001D3665">
        <w:t xml:space="preserve"> </w:t>
      </w:r>
      <w:proofErr w:type="spellStart"/>
      <w:r w:rsidRPr="001D3665">
        <w:t>viktigaste</w:t>
      </w:r>
      <w:proofErr w:type="spellEnd"/>
      <w:r w:rsidRPr="001D3665">
        <w:t xml:space="preserve"> </w:t>
      </w:r>
      <w:proofErr w:type="spellStart"/>
      <w:r w:rsidRPr="001D3665">
        <w:t>verkemidla</w:t>
      </w:r>
      <w:proofErr w:type="spellEnd"/>
      <w:r w:rsidRPr="001D3665">
        <w:t xml:space="preserve"> i norsk klimapolitikk. </w:t>
      </w:r>
      <w:proofErr w:type="spellStart"/>
      <w:r w:rsidRPr="001D3665">
        <w:t>Noreg</w:t>
      </w:r>
      <w:proofErr w:type="spellEnd"/>
      <w:r w:rsidRPr="001D3665">
        <w:t xml:space="preserve"> har </w:t>
      </w:r>
      <w:proofErr w:type="spellStart"/>
      <w:r w:rsidRPr="001D3665">
        <w:t>sidan</w:t>
      </w:r>
      <w:proofErr w:type="spellEnd"/>
      <w:r w:rsidRPr="001D3665">
        <w:t xml:space="preserve"> </w:t>
      </w:r>
      <w:proofErr w:type="spellStart"/>
      <w:r w:rsidRPr="001D3665">
        <w:t>tidleg</w:t>
      </w:r>
      <w:proofErr w:type="spellEnd"/>
      <w:r w:rsidRPr="001D3665">
        <w:t xml:space="preserve"> på 1990-talet </w:t>
      </w:r>
      <w:proofErr w:type="spellStart"/>
      <w:r w:rsidRPr="001D3665">
        <w:t>vore</w:t>
      </w:r>
      <w:proofErr w:type="spellEnd"/>
      <w:r w:rsidRPr="001D3665">
        <w:t xml:space="preserve"> </w:t>
      </w:r>
      <w:proofErr w:type="spellStart"/>
      <w:r w:rsidRPr="001D3665">
        <w:t>eit</w:t>
      </w:r>
      <w:proofErr w:type="spellEnd"/>
      <w:r w:rsidRPr="001D3665">
        <w:t xml:space="preserve"> </w:t>
      </w:r>
      <w:proofErr w:type="spellStart"/>
      <w:r w:rsidRPr="001D3665">
        <w:t>føregangsland</w:t>
      </w:r>
      <w:proofErr w:type="spellEnd"/>
      <w:r w:rsidRPr="001D3665">
        <w:t xml:space="preserve"> for prinsippet om at </w:t>
      </w:r>
      <w:proofErr w:type="spellStart"/>
      <w:r w:rsidRPr="001D3665">
        <w:t>forureinar</w:t>
      </w:r>
      <w:proofErr w:type="spellEnd"/>
      <w:r w:rsidRPr="001D3665">
        <w:t xml:space="preserve"> skal betale. Prising av utslepp </w:t>
      </w:r>
      <w:proofErr w:type="spellStart"/>
      <w:r w:rsidRPr="001D3665">
        <w:t>bidreg</w:t>
      </w:r>
      <w:proofErr w:type="spellEnd"/>
      <w:r w:rsidRPr="001D3665">
        <w:t xml:space="preserve"> til at utsleppa vert reduserte til </w:t>
      </w:r>
      <w:proofErr w:type="spellStart"/>
      <w:r w:rsidRPr="001D3665">
        <w:t>lågast</w:t>
      </w:r>
      <w:proofErr w:type="spellEnd"/>
      <w:r w:rsidRPr="001D3665">
        <w:t xml:space="preserve"> </w:t>
      </w:r>
      <w:proofErr w:type="spellStart"/>
      <w:r w:rsidRPr="001D3665">
        <w:t>mogleg</w:t>
      </w:r>
      <w:proofErr w:type="spellEnd"/>
      <w:r w:rsidRPr="001D3665">
        <w:t xml:space="preserve"> kostnad for samfunnet. Dei gode </w:t>
      </w:r>
      <w:proofErr w:type="spellStart"/>
      <w:r w:rsidRPr="001D3665">
        <w:t>eigenskapane</w:t>
      </w:r>
      <w:proofErr w:type="spellEnd"/>
      <w:r w:rsidRPr="001D3665">
        <w:t xml:space="preserve"> ved ei avgift er avhengige av at ho er </w:t>
      </w:r>
      <w:proofErr w:type="spellStart"/>
      <w:r w:rsidRPr="001D3665">
        <w:t>føreseieleg</w:t>
      </w:r>
      <w:proofErr w:type="spellEnd"/>
      <w:r w:rsidRPr="001D3665">
        <w:t xml:space="preserve">, slik at </w:t>
      </w:r>
      <w:proofErr w:type="spellStart"/>
      <w:r w:rsidRPr="001D3665">
        <w:t>aktørane</w:t>
      </w:r>
      <w:proofErr w:type="spellEnd"/>
      <w:r w:rsidRPr="001D3665">
        <w:t xml:space="preserve"> kan ta informerte avgjerder. Brå og/eller </w:t>
      </w:r>
      <w:proofErr w:type="spellStart"/>
      <w:r w:rsidRPr="001D3665">
        <w:t>mellombelse</w:t>
      </w:r>
      <w:proofErr w:type="spellEnd"/>
      <w:r w:rsidRPr="001D3665">
        <w:t xml:space="preserve"> </w:t>
      </w:r>
      <w:proofErr w:type="spellStart"/>
      <w:r w:rsidRPr="001D3665">
        <w:t>endringar</w:t>
      </w:r>
      <w:proofErr w:type="spellEnd"/>
      <w:r w:rsidRPr="001D3665">
        <w:t xml:space="preserve"> kan undergrave </w:t>
      </w:r>
      <w:proofErr w:type="spellStart"/>
      <w:r w:rsidRPr="001D3665">
        <w:t>truverdet</w:t>
      </w:r>
      <w:proofErr w:type="spellEnd"/>
      <w:r w:rsidRPr="001D3665">
        <w:t xml:space="preserve"> i klimapolitikken og redusere </w:t>
      </w:r>
      <w:proofErr w:type="spellStart"/>
      <w:r w:rsidRPr="001D3665">
        <w:t>utsleppseffektane</w:t>
      </w:r>
      <w:proofErr w:type="spellEnd"/>
      <w:r w:rsidRPr="001D3665">
        <w:t xml:space="preserve"> av klimaavgiftene. Dei langsiktige verknadene på utsleppa er </w:t>
      </w:r>
      <w:proofErr w:type="spellStart"/>
      <w:r w:rsidRPr="001D3665">
        <w:t>særleg</w:t>
      </w:r>
      <w:proofErr w:type="spellEnd"/>
      <w:r w:rsidRPr="001D3665">
        <w:t xml:space="preserve"> avhengige av </w:t>
      </w:r>
      <w:proofErr w:type="spellStart"/>
      <w:r w:rsidRPr="001D3665">
        <w:t>forventningane</w:t>
      </w:r>
      <w:proofErr w:type="spellEnd"/>
      <w:r w:rsidRPr="001D3665">
        <w:t xml:space="preserve"> til </w:t>
      </w:r>
      <w:proofErr w:type="spellStart"/>
      <w:r w:rsidRPr="001D3665">
        <w:t>aktørane</w:t>
      </w:r>
      <w:proofErr w:type="spellEnd"/>
      <w:r w:rsidRPr="001D3665">
        <w:t>.</w:t>
      </w:r>
    </w:p>
    <w:p w14:paraId="33C67199" w14:textId="77777777" w:rsidR="00BC371A" w:rsidRPr="001D3665" w:rsidRDefault="00BC371A" w:rsidP="001D3665">
      <w:r w:rsidRPr="001D3665">
        <w:t xml:space="preserve">Regjeringa sin ambisiøse opptrappingsplan for klimaavgiftene framover ligg fast og er </w:t>
      </w:r>
      <w:proofErr w:type="spellStart"/>
      <w:r w:rsidRPr="001D3665">
        <w:t>ein</w:t>
      </w:r>
      <w:proofErr w:type="spellEnd"/>
      <w:r w:rsidRPr="001D3665">
        <w:t xml:space="preserve"> viktig del av planen regjeringa har for å nå </w:t>
      </w:r>
      <w:proofErr w:type="spellStart"/>
      <w:r w:rsidRPr="001D3665">
        <w:t>Noregs</w:t>
      </w:r>
      <w:proofErr w:type="spellEnd"/>
      <w:r w:rsidRPr="001D3665">
        <w:t xml:space="preserve"> klimamål. Det </w:t>
      </w:r>
      <w:proofErr w:type="spellStart"/>
      <w:r w:rsidRPr="001D3665">
        <w:t>inneber</w:t>
      </w:r>
      <w:proofErr w:type="spellEnd"/>
      <w:r w:rsidRPr="001D3665">
        <w:t xml:space="preserve"> at klimaavgiftene skal </w:t>
      </w:r>
      <w:proofErr w:type="spellStart"/>
      <w:r w:rsidRPr="001D3665">
        <w:t>trappast</w:t>
      </w:r>
      <w:proofErr w:type="spellEnd"/>
      <w:r w:rsidRPr="001D3665">
        <w:t xml:space="preserve"> opp til 2 400 2025-kroner per tonn CO</w:t>
      </w:r>
      <w:r w:rsidRPr="001D3665">
        <w:rPr>
          <w:rStyle w:val="skrift-senket"/>
        </w:rPr>
        <w:t>2</w:t>
      </w:r>
      <w:r w:rsidRPr="001D3665">
        <w:t xml:space="preserve"> i 2030 og </w:t>
      </w:r>
      <w:proofErr w:type="spellStart"/>
      <w:r w:rsidRPr="001D3665">
        <w:t>vidare</w:t>
      </w:r>
      <w:proofErr w:type="spellEnd"/>
      <w:r w:rsidRPr="001D3665">
        <w:t xml:space="preserve"> til 3 400 2025-kroner i 2035.</w:t>
      </w:r>
    </w:p>
    <w:p w14:paraId="5F00C728" w14:textId="77777777" w:rsidR="00BC371A" w:rsidRPr="001D3665" w:rsidRDefault="00BC371A" w:rsidP="001D3665">
      <w:pPr>
        <w:pStyle w:val="Overskrift3"/>
      </w:pPr>
      <w:r w:rsidRPr="001D3665">
        <w:t>Verknadstidspunkt for redusert CO</w:t>
      </w:r>
      <w:r w:rsidRPr="001D3665">
        <w:rPr>
          <w:rStyle w:val="skrift-senket"/>
        </w:rPr>
        <w:t>2</w:t>
      </w:r>
      <w:r w:rsidRPr="001D3665">
        <w:t xml:space="preserve">-avgift for kvotepliktige </w:t>
      </w:r>
      <w:proofErr w:type="spellStart"/>
      <w:r w:rsidRPr="001D3665">
        <w:t>verksemder</w:t>
      </w:r>
      <w:proofErr w:type="spellEnd"/>
    </w:p>
    <w:p w14:paraId="3BE53BCC" w14:textId="77777777" w:rsidR="00BC371A" w:rsidRPr="001D3665" w:rsidRDefault="00BC371A" w:rsidP="001D3665">
      <w:r w:rsidRPr="001D3665">
        <w:t xml:space="preserve">Som omtalt i punkt 9.3.1 vart det i samband med budsjettet for 2026 </w:t>
      </w:r>
      <w:proofErr w:type="spellStart"/>
      <w:r w:rsidRPr="001D3665">
        <w:t>vedteke</w:t>
      </w:r>
      <w:proofErr w:type="spellEnd"/>
      <w:r w:rsidRPr="001D3665">
        <w:t xml:space="preserve"> </w:t>
      </w:r>
      <w:proofErr w:type="spellStart"/>
      <w:r w:rsidRPr="001D3665">
        <w:t>fleire</w:t>
      </w:r>
      <w:proofErr w:type="spellEnd"/>
      <w:r w:rsidRPr="001D3665">
        <w:t xml:space="preserve"> </w:t>
      </w:r>
      <w:proofErr w:type="spellStart"/>
      <w:r w:rsidRPr="001D3665">
        <w:t>endringar</w:t>
      </w:r>
      <w:proofErr w:type="spellEnd"/>
      <w:r w:rsidRPr="001D3665">
        <w:t xml:space="preserve"> i CO</w:t>
      </w:r>
      <w:r w:rsidRPr="001D3665">
        <w:rPr>
          <w:rStyle w:val="skrift-senket"/>
        </w:rPr>
        <w:t>2</w:t>
      </w:r>
      <w:r w:rsidRPr="001D3665">
        <w:t xml:space="preserve">-avgifta på mineralske produkt for å </w:t>
      </w:r>
      <w:proofErr w:type="spellStart"/>
      <w:r w:rsidRPr="001D3665">
        <w:t>gjere</w:t>
      </w:r>
      <w:proofErr w:type="spellEnd"/>
      <w:r w:rsidRPr="001D3665">
        <w:t xml:space="preserve"> systemet konsistent i høve til god klimapolitikk og statsstøtteregelverket i EØS-avtalen. </w:t>
      </w:r>
      <w:proofErr w:type="spellStart"/>
      <w:r w:rsidRPr="001D3665">
        <w:t>Endringane</w:t>
      </w:r>
      <w:proofErr w:type="spellEnd"/>
      <w:r w:rsidRPr="001D3665">
        <w:t xml:space="preserve"> vart gjorde </w:t>
      </w:r>
      <w:proofErr w:type="spellStart"/>
      <w:r w:rsidRPr="001D3665">
        <w:t>gjeldande</w:t>
      </w:r>
      <w:proofErr w:type="spellEnd"/>
      <w:r w:rsidRPr="001D3665">
        <w:t xml:space="preserve"> </w:t>
      </w:r>
      <w:proofErr w:type="spellStart"/>
      <w:r w:rsidRPr="001D3665">
        <w:t>frå</w:t>
      </w:r>
      <w:proofErr w:type="spellEnd"/>
      <w:r w:rsidRPr="001D3665">
        <w:t xml:space="preserve"> den tid departementet </w:t>
      </w:r>
      <w:proofErr w:type="spellStart"/>
      <w:r w:rsidRPr="001D3665">
        <w:t>fastset</w:t>
      </w:r>
      <w:proofErr w:type="spellEnd"/>
      <w:r w:rsidRPr="001D3665">
        <w:t>, sjå stortingsvedtak om CO</w:t>
      </w:r>
      <w:r w:rsidRPr="001D3665">
        <w:rPr>
          <w:rStyle w:val="skrift-senket"/>
        </w:rPr>
        <w:t>2</w:t>
      </w:r>
      <w:r w:rsidRPr="001D3665">
        <w:t xml:space="preserve">-avgift på mineralske produkt for 2026 </w:t>
      </w:r>
      <w:proofErr w:type="spellStart"/>
      <w:r w:rsidRPr="001D3665">
        <w:t>romartal</w:t>
      </w:r>
      <w:proofErr w:type="spellEnd"/>
      <w:r w:rsidRPr="001D3665">
        <w:t xml:space="preserve"> II og III.</w:t>
      </w:r>
      <w:r w:rsidRPr="001D3665">
        <w:rPr>
          <w:rStyle w:val="Fotnotereferanse"/>
        </w:rPr>
        <w:footnoteReference w:id="3"/>
      </w:r>
      <w:r w:rsidRPr="001D3665">
        <w:t xml:space="preserve"> Målet var å få systemet raskt </w:t>
      </w:r>
      <w:proofErr w:type="spellStart"/>
      <w:r w:rsidRPr="001D3665">
        <w:t>avklåra</w:t>
      </w:r>
      <w:proofErr w:type="spellEnd"/>
      <w:r w:rsidRPr="001D3665">
        <w:t xml:space="preserve"> med EFTA sitt </w:t>
      </w:r>
      <w:proofErr w:type="spellStart"/>
      <w:r w:rsidRPr="001D3665">
        <w:t>overvakingsorgan</w:t>
      </w:r>
      <w:proofErr w:type="spellEnd"/>
      <w:r w:rsidRPr="001D3665">
        <w:t xml:space="preserve"> (ESA), slik at </w:t>
      </w:r>
      <w:proofErr w:type="spellStart"/>
      <w:r w:rsidRPr="001D3665">
        <w:t>endringane</w:t>
      </w:r>
      <w:proofErr w:type="spellEnd"/>
      <w:r w:rsidRPr="001D3665">
        <w:t xml:space="preserve"> kunne ta til å gjelde </w:t>
      </w:r>
      <w:proofErr w:type="spellStart"/>
      <w:r w:rsidRPr="001D3665">
        <w:t>frå</w:t>
      </w:r>
      <w:proofErr w:type="spellEnd"/>
      <w:r w:rsidRPr="001D3665">
        <w:t xml:space="preserve"> 1. januar 2026.</w:t>
      </w:r>
    </w:p>
    <w:p w14:paraId="6433DB05" w14:textId="77777777" w:rsidR="00BC371A" w:rsidRPr="001D3665" w:rsidRDefault="00BC371A" w:rsidP="001D3665">
      <w:proofErr w:type="spellStart"/>
      <w:r w:rsidRPr="001D3665">
        <w:t>Avklåringa</w:t>
      </w:r>
      <w:proofErr w:type="spellEnd"/>
      <w:r w:rsidRPr="001D3665">
        <w:t xml:space="preserve"> kom i februar 2026. </w:t>
      </w:r>
      <w:proofErr w:type="spellStart"/>
      <w:r w:rsidRPr="001D3665">
        <w:t>Frå</w:t>
      </w:r>
      <w:proofErr w:type="spellEnd"/>
      <w:r w:rsidRPr="001D3665">
        <w:t xml:space="preserve"> 1. mars 2026 vart </w:t>
      </w:r>
      <w:proofErr w:type="spellStart"/>
      <w:r w:rsidRPr="001D3665">
        <w:t>difor</w:t>
      </w:r>
      <w:proofErr w:type="spellEnd"/>
      <w:r w:rsidRPr="001D3665">
        <w:t xml:space="preserve"> kvotepliktig luftfart og kvotepliktig fastlandsindustri </w:t>
      </w:r>
      <w:proofErr w:type="spellStart"/>
      <w:r w:rsidRPr="001D3665">
        <w:t>fritekne</w:t>
      </w:r>
      <w:proofErr w:type="spellEnd"/>
      <w:r w:rsidRPr="001D3665">
        <w:t xml:space="preserve"> for CO</w:t>
      </w:r>
      <w:r w:rsidRPr="001D3665">
        <w:rPr>
          <w:rStyle w:val="skrift-senket"/>
        </w:rPr>
        <w:t>2</w:t>
      </w:r>
      <w:r w:rsidRPr="001D3665">
        <w:t xml:space="preserve">-avgift, </w:t>
      </w:r>
      <w:proofErr w:type="spellStart"/>
      <w:r w:rsidRPr="001D3665">
        <w:t>medan</w:t>
      </w:r>
      <w:proofErr w:type="spellEnd"/>
      <w:r w:rsidRPr="001D3665">
        <w:t xml:space="preserve"> </w:t>
      </w:r>
      <w:proofErr w:type="spellStart"/>
      <w:r w:rsidRPr="001D3665">
        <w:t>innanriks</w:t>
      </w:r>
      <w:proofErr w:type="spellEnd"/>
      <w:r w:rsidRPr="001D3665">
        <w:t xml:space="preserve"> kvotepliktig sjøfart </w:t>
      </w:r>
      <w:proofErr w:type="spellStart"/>
      <w:r w:rsidRPr="001D3665">
        <w:t>fekk</w:t>
      </w:r>
      <w:proofErr w:type="spellEnd"/>
      <w:r w:rsidRPr="001D3665">
        <w:t xml:space="preserve"> redusert avgiftssats.</w:t>
      </w:r>
    </w:p>
    <w:p w14:paraId="34664DD2" w14:textId="77777777" w:rsidR="00BC371A" w:rsidRPr="001D3665" w:rsidRDefault="00BC371A" w:rsidP="001D3665">
      <w:proofErr w:type="spellStart"/>
      <w:r w:rsidRPr="001D3665">
        <w:t>Hovudregelen</w:t>
      </w:r>
      <w:proofErr w:type="spellEnd"/>
      <w:r w:rsidRPr="001D3665">
        <w:t xml:space="preserve"> er at </w:t>
      </w:r>
      <w:proofErr w:type="spellStart"/>
      <w:r w:rsidRPr="001D3665">
        <w:t>endringar</w:t>
      </w:r>
      <w:proofErr w:type="spellEnd"/>
      <w:r w:rsidRPr="001D3665">
        <w:t xml:space="preserve"> i </w:t>
      </w:r>
      <w:proofErr w:type="spellStart"/>
      <w:r w:rsidRPr="001D3665">
        <w:t>reglar</w:t>
      </w:r>
      <w:proofErr w:type="spellEnd"/>
      <w:r w:rsidRPr="001D3665">
        <w:t xml:space="preserve"> gjeld framover i tid. Dette </w:t>
      </w:r>
      <w:proofErr w:type="spellStart"/>
      <w:r w:rsidRPr="001D3665">
        <w:t>gjeld</w:t>
      </w:r>
      <w:proofErr w:type="spellEnd"/>
      <w:r w:rsidRPr="001D3665">
        <w:t xml:space="preserve"> òg for skatte- og </w:t>
      </w:r>
      <w:proofErr w:type="spellStart"/>
      <w:r w:rsidRPr="001D3665">
        <w:t>avgiftsendringar</w:t>
      </w:r>
      <w:proofErr w:type="spellEnd"/>
      <w:r w:rsidRPr="001D3665">
        <w:t xml:space="preserve">. Ved framlegginga av statsbudsjettet for 2026 var det som </w:t>
      </w:r>
      <w:proofErr w:type="spellStart"/>
      <w:r w:rsidRPr="001D3665">
        <w:t>nemnt</w:t>
      </w:r>
      <w:proofErr w:type="spellEnd"/>
      <w:r w:rsidRPr="001D3665">
        <w:t xml:space="preserve"> </w:t>
      </w:r>
      <w:proofErr w:type="spellStart"/>
      <w:r w:rsidRPr="001D3665">
        <w:t>eit</w:t>
      </w:r>
      <w:proofErr w:type="spellEnd"/>
      <w:r w:rsidRPr="001D3665">
        <w:t xml:space="preserve"> mål at </w:t>
      </w:r>
      <w:proofErr w:type="spellStart"/>
      <w:r w:rsidRPr="001D3665">
        <w:t>endringane</w:t>
      </w:r>
      <w:proofErr w:type="spellEnd"/>
      <w:r w:rsidRPr="001D3665">
        <w:t xml:space="preserve"> i CO</w:t>
      </w:r>
      <w:r w:rsidRPr="001D3665">
        <w:rPr>
          <w:rStyle w:val="skrift-senket"/>
        </w:rPr>
        <w:t>2</w:t>
      </w:r>
      <w:r w:rsidRPr="001D3665">
        <w:t xml:space="preserve">-avgifta skulle gjelde </w:t>
      </w:r>
      <w:proofErr w:type="spellStart"/>
      <w:r w:rsidRPr="001D3665">
        <w:t>frå</w:t>
      </w:r>
      <w:proofErr w:type="spellEnd"/>
      <w:r w:rsidRPr="001D3665">
        <w:t xml:space="preserve"> 1. januar 2026 og for heile året 2026. Dette var òg intensjonen i 2024, då regjeringa for fyrste gong gjorde framlegg om å redusere avgifta for </w:t>
      </w:r>
      <w:proofErr w:type="spellStart"/>
      <w:r w:rsidRPr="001D3665">
        <w:t>innanriks</w:t>
      </w:r>
      <w:proofErr w:type="spellEnd"/>
      <w:r w:rsidRPr="001D3665">
        <w:t xml:space="preserve"> kvotepliktig sjøfart. Der la </w:t>
      </w:r>
      <w:proofErr w:type="spellStart"/>
      <w:r w:rsidRPr="001D3665">
        <w:t>ein</w:t>
      </w:r>
      <w:proofErr w:type="spellEnd"/>
      <w:r w:rsidRPr="001D3665">
        <w:t xml:space="preserve"> opp til å </w:t>
      </w:r>
      <w:proofErr w:type="spellStart"/>
      <w:r w:rsidRPr="001D3665">
        <w:t>gje</w:t>
      </w:r>
      <w:proofErr w:type="spellEnd"/>
      <w:r w:rsidRPr="001D3665">
        <w:t xml:space="preserve"> redusert avgift for heile 2024, </w:t>
      </w:r>
      <w:proofErr w:type="spellStart"/>
      <w:r w:rsidRPr="001D3665">
        <w:t>sjølv</w:t>
      </w:r>
      <w:proofErr w:type="spellEnd"/>
      <w:r w:rsidRPr="001D3665">
        <w:t xml:space="preserve"> om godkjenning </w:t>
      </w:r>
      <w:proofErr w:type="spellStart"/>
      <w:r w:rsidRPr="001D3665">
        <w:t>frå</w:t>
      </w:r>
      <w:proofErr w:type="spellEnd"/>
      <w:r w:rsidRPr="001D3665">
        <w:t xml:space="preserve"> ESA fyrst skulle </w:t>
      </w:r>
      <w:proofErr w:type="spellStart"/>
      <w:r w:rsidRPr="001D3665">
        <w:t>kome</w:t>
      </w:r>
      <w:proofErr w:type="spellEnd"/>
      <w:r w:rsidRPr="001D3665">
        <w:t xml:space="preserve"> </w:t>
      </w:r>
      <w:proofErr w:type="spellStart"/>
      <w:r w:rsidRPr="001D3665">
        <w:t>seinare</w:t>
      </w:r>
      <w:proofErr w:type="spellEnd"/>
      <w:r w:rsidRPr="001D3665">
        <w:t xml:space="preserve"> same år. I påvente av </w:t>
      </w:r>
      <w:proofErr w:type="spellStart"/>
      <w:r w:rsidRPr="001D3665">
        <w:t>avklaringar</w:t>
      </w:r>
      <w:proofErr w:type="spellEnd"/>
      <w:r w:rsidRPr="001D3665">
        <w:t xml:space="preserve"> med ESA for </w:t>
      </w:r>
      <w:proofErr w:type="spellStart"/>
      <w:r w:rsidRPr="001D3665">
        <w:t>avgiftsåret</w:t>
      </w:r>
      <w:proofErr w:type="spellEnd"/>
      <w:r w:rsidRPr="001D3665">
        <w:t xml:space="preserve"> 2024 vart </w:t>
      </w:r>
      <w:proofErr w:type="spellStart"/>
      <w:r w:rsidRPr="001D3665">
        <w:t>aktørane</w:t>
      </w:r>
      <w:proofErr w:type="spellEnd"/>
      <w:r w:rsidRPr="001D3665">
        <w:t xml:space="preserve"> </w:t>
      </w:r>
      <w:proofErr w:type="spellStart"/>
      <w:r w:rsidRPr="001D3665">
        <w:t>førespegla</w:t>
      </w:r>
      <w:proofErr w:type="spellEnd"/>
      <w:r w:rsidRPr="001D3665">
        <w:t xml:space="preserve"> at «det vert gjeve refusjon for perioden 1. januar 2024 og fram til det direkte fritaket vert innført». Dette var </w:t>
      </w:r>
      <w:proofErr w:type="spellStart"/>
      <w:r w:rsidRPr="001D3665">
        <w:t>føresett</w:t>
      </w:r>
      <w:proofErr w:type="spellEnd"/>
      <w:r w:rsidRPr="001D3665">
        <w:t xml:space="preserve"> godkjenning </w:t>
      </w:r>
      <w:proofErr w:type="spellStart"/>
      <w:r w:rsidRPr="001D3665">
        <w:t>frå</w:t>
      </w:r>
      <w:proofErr w:type="spellEnd"/>
      <w:r w:rsidRPr="001D3665">
        <w:t xml:space="preserve"> ESA i </w:t>
      </w:r>
      <w:proofErr w:type="spellStart"/>
      <w:r w:rsidRPr="001D3665">
        <w:t>laupet</w:t>
      </w:r>
      <w:proofErr w:type="spellEnd"/>
      <w:r w:rsidRPr="001D3665">
        <w:t xml:space="preserve"> av </w:t>
      </w:r>
      <w:proofErr w:type="spellStart"/>
      <w:r w:rsidRPr="001D3665">
        <w:t>avgiftsåret</w:t>
      </w:r>
      <w:proofErr w:type="spellEnd"/>
      <w:r w:rsidRPr="001D3665">
        <w:t xml:space="preserve"> 2024. Då ESA si behandling </w:t>
      </w:r>
      <w:proofErr w:type="spellStart"/>
      <w:r w:rsidRPr="001D3665">
        <w:t>ikkje</w:t>
      </w:r>
      <w:proofErr w:type="spellEnd"/>
      <w:r w:rsidRPr="001D3665">
        <w:t xml:space="preserve"> vart klar i 2024, og </w:t>
      </w:r>
      <w:proofErr w:type="spellStart"/>
      <w:r w:rsidRPr="001D3665">
        <w:t>dei</w:t>
      </w:r>
      <w:proofErr w:type="spellEnd"/>
      <w:r w:rsidRPr="001D3665">
        <w:t xml:space="preserve"> </w:t>
      </w:r>
      <w:proofErr w:type="spellStart"/>
      <w:r w:rsidRPr="001D3665">
        <w:t>følgeleg</w:t>
      </w:r>
      <w:proofErr w:type="spellEnd"/>
      <w:r w:rsidRPr="001D3665">
        <w:t xml:space="preserve"> </w:t>
      </w:r>
      <w:proofErr w:type="spellStart"/>
      <w:r w:rsidRPr="001D3665">
        <w:t>ikkje</w:t>
      </w:r>
      <w:proofErr w:type="spellEnd"/>
      <w:r w:rsidRPr="001D3665">
        <w:t xml:space="preserve"> </w:t>
      </w:r>
      <w:proofErr w:type="spellStart"/>
      <w:r w:rsidRPr="001D3665">
        <w:t>godkjende</w:t>
      </w:r>
      <w:proofErr w:type="spellEnd"/>
      <w:r w:rsidRPr="001D3665">
        <w:t xml:space="preserve"> </w:t>
      </w:r>
      <w:proofErr w:type="spellStart"/>
      <w:r w:rsidRPr="001D3665">
        <w:t>endringane</w:t>
      </w:r>
      <w:proofErr w:type="spellEnd"/>
      <w:r w:rsidRPr="001D3665">
        <w:t xml:space="preserve"> i det </w:t>
      </w:r>
      <w:proofErr w:type="spellStart"/>
      <w:r w:rsidRPr="001D3665">
        <w:t>avgiftsåret</w:t>
      </w:r>
      <w:proofErr w:type="spellEnd"/>
      <w:r w:rsidRPr="001D3665">
        <w:t xml:space="preserve">, trådde </w:t>
      </w:r>
      <w:proofErr w:type="spellStart"/>
      <w:r w:rsidRPr="001D3665">
        <w:t>korkje</w:t>
      </w:r>
      <w:proofErr w:type="spellEnd"/>
      <w:r w:rsidRPr="001D3665">
        <w:t xml:space="preserve"> refusjon eller redusert avgift gjennom direkte fritak i kraft i 2024.</w:t>
      </w:r>
    </w:p>
    <w:p w14:paraId="53C4468E" w14:textId="77777777" w:rsidR="00BC371A" w:rsidRPr="001D3665" w:rsidRDefault="00BC371A" w:rsidP="001D3665">
      <w:r w:rsidRPr="001D3665">
        <w:t xml:space="preserve">For </w:t>
      </w:r>
      <w:proofErr w:type="spellStart"/>
      <w:r w:rsidRPr="001D3665">
        <w:t>avgiftsåret</w:t>
      </w:r>
      <w:proofErr w:type="spellEnd"/>
      <w:r w:rsidRPr="001D3665">
        <w:t xml:space="preserve"> 2026 vurderer departementet, på same måte som i 2024, at det er </w:t>
      </w:r>
      <w:proofErr w:type="spellStart"/>
      <w:r w:rsidRPr="001D3665">
        <w:t>rimeleg</w:t>
      </w:r>
      <w:proofErr w:type="spellEnd"/>
      <w:r w:rsidRPr="001D3665">
        <w:t xml:space="preserve"> at det vert gjeve refusjon for CO</w:t>
      </w:r>
      <w:r w:rsidRPr="001D3665">
        <w:rPr>
          <w:rStyle w:val="skrift-senket"/>
        </w:rPr>
        <w:t>2</w:t>
      </w:r>
      <w:r w:rsidRPr="001D3665">
        <w:t xml:space="preserve">-avgift for kvotepliktige </w:t>
      </w:r>
      <w:proofErr w:type="spellStart"/>
      <w:r w:rsidRPr="001D3665">
        <w:t>verksemder</w:t>
      </w:r>
      <w:proofErr w:type="spellEnd"/>
      <w:r w:rsidRPr="001D3665">
        <w:t xml:space="preserve"> for </w:t>
      </w:r>
      <w:proofErr w:type="spellStart"/>
      <w:r w:rsidRPr="001D3665">
        <w:t>månadene</w:t>
      </w:r>
      <w:proofErr w:type="spellEnd"/>
      <w:r w:rsidRPr="001D3665">
        <w:t xml:space="preserve"> som har gått </w:t>
      </w:r>
      <w:proofErr w:type="spellStart"/>
      <w:r w:rsidRPr="001D3665">
        <w:t>frå</w:t>
      </w:r>
      <w:proofErr w:type="spellEnd"/>
      <w:r w:rsidRPr="001D3665">
        <w:t xml:space="preserve"> årsskiftet til </w:t>
      </w:r>
      <w:proofErr w:type="spellStart"/>
      <w:r w:rsidRPr="001D3665">
        <w:t>endringane</w:t>
      </w:r>
      <w:proofErr w:type="spellEnd"/>
      <w:r w:rsidRPr="001D3665">
        <w:t xml:space="preserve"> </w:t>
      </w:r>
      <w:proofErr w:type="gramStart"/>
      <w:r w:rsidRPr="001D3665">
        <w:t>trådde</w:t>
      </w:r>
      <w:proofErr w:type="gramEnd"/>
      <w:r w:rsidRPr="001D3665">
        <w:t xml:space="preserve"> i kraft, for det </w:t>
      </w:r>
      <w:proofErr w:type="spellStart"/>
      <w:r w:rsidRPr="001D3665">
        <w:t>avgiftsåret</w:t>
      </w:r>
      <w:proofErr w:type="spellEnd"/>
      <w:r w:rsidRPr="001D3665">
        <w:t xml:space="preserve"> </w:t>
      </w:r>
      <w:proofErr w:type="spellStart"/>
      <w:r w:rsidRPr="001D3665">
        <w:t>endringane</w:t>
      </w:r>
      <w:proofErr w:type="spellEnd"/>
      <w:r w:rsidRPr="001D3665">
        <w:t xml:space="preserve"> trådde i kraft. Slik vil alle </w:t>
      </w:r>
      <w:proofErr w:type="spellStart"/>
      <w:r w:rsidRPr="001D3665">
        <w:lastRenderedPageBreak/>
        <w:t>anskaffingar</w:t>
      </w:r>
      <w:proofErr w:type="spellEnd"/>
      <w:r w:rsidRPr="001D3665">
        <w:t xml:space="preserve"> av drivstoff i kvotepliktige </w:t>
      </w:r>
      <w:proofErr w:type="spellStart"/>
      <w:r w:rsidRPr="001D3665">
        <w:t>verksemder</w:t>
      </w:r>
      <w:proofErr w:type="spellEnd"/>
      <w:r w:rsidRPr="001D3665">
        <w:t xml:space="preserve"> i 2026 reelt sett </w:t>
      </w:r>
      <w:proofErr w:type="spellStart"/>
      <w:r w:rsidRPr="001D3665">
        <w:t>verte</w:t>
      </w:r>
      <w:proofErr w:type="spellEnd"/>
      <w:r w:rsidRPr="001D3665">
        <w:t xml:space="preserve"> omfatta av den reduserte satsen. Dette vil samstundes </w:t>
      </w:r>
      <w:proofErr w:type="spellStart"/>
      <w:r w:rsidRPr="001D3665">
        <w:t>vere</w:t>
      </w:r>
      <w:proofErr w:type="spellEnd"/>
      <w:r w:rsidRPr="001D3665">
        <w:t xml:space="preserve"> i tråd med handteringa av fritaket for avgift på avfallsforbrenning for kvotepliktige forbrenningsanlegg, som </w:t>
      </w:r>
      <w:proofErr w:type="spellStart"/>
      <w:r w:rsidRPr="001D3665">
        <w:t>vart</w:t>
      </w:r>
      <w:proofErr w:type="spellEnd"/>
      <w:r w:rsidRPr="001D3665">
        <w:t xml:space="preserve"> innført 1. januar i år. Det er òg i samsvar med det </w:t>
      </w:r>
      <w:proofErr w:type="spellStart"/>
      <w:r w:rsidRPr="001D3665">
        <w:t>ein</w:t>
      </w:r>
      <w:proofErr w:type="spellEnd"/>
      <w:r w:rsidRPr="001D3665">
        <w:t xml:space="preserve"> </w:t>
      </w:r>
      <w:proofErr w:type="spellStart"/>
      <w:r w:rsidRPr="001D3665">
        <w:t>ynskte</w:t>
      </w:r>
      <w:proofErr w:type="spellEnd"/>
      <w:r w:rsidRPr="001D3665">
        <w:t xml:space="preserve"> å oppnå for kvotepliktig </w:t>
      </w:r>
      <w:proofErr w:type="spellStart"/>
      <w:r w:rsidRPr="001D3665">
        <w:t>innanriks</w:t>
      </w:r>
      <w:proofErr w:type="spellEnd"/>
      <w:r w:rsidRPr="001D3665">
        <w:t xml:space="preserve"> sjøfart i 2024 for det tilfellet at aksepten </w:t>
      </w:r>
      <w:proofErr w:type="spellStart"/>
      <w:r w:rsidRPr="001D3665">
        <w:t>frå</w:t>
      </w:r>
      <w:proofErr w:type="spellEnd"/>
      <w:r w:rsidRPr="001D3665">
        <w:t xml:space="preserve"> ESA hadde </w:t>
      </w:r>
      <w:proofErr w:type="spellStart"/>
      <w:r w:rsidRPr="001D3665">
        <w:t>kome</w:t>
      </w:r>
      <w:proofErr w:type="spellEnd"/>
      <w:r w:rsidRPr="001D3665">
        <w:t xml:space="preserve"> i det same året, og avgiftsreduksjonen hadde vorte innført i 2024, jf. omtalen i revidert nasjonalbudsjett for 2024.</w:t>
      </w:r>
    </w:p>
    <w:p w14:paraId="2BD3AA8D" w14:textId="77777777" w:rsidR="00BC371A" w:rsidRPr="001D3665" w:rsidRDefault="00BC371A" w:rsidP="001D3665">
      <w:r w:rsidRPr="001D3665">
        <w:t xml:space="preserve">Framlegget om at </w:t>
      </w:r>
      <w:proofErr w:type="spellStart"/>
      <w:r w:rsidRPr="001D3665">
        <w:t>endringane</w:t>
      </w:r>
      <w:proofErr w:type="spellEnd"/>
      <w:r w:rsidRPr="001D3665">
        <w:t xml:space="preserve"> i CO</w:t>
      </w:r>
      <w:r w:rsidRPr="001D3665">
        <w:rPr>
          <w:rStyle w:val="skrift-senket"/>
        </w:rPr>
        <w:t>2</w:t>
      </w:r>
      <w:r w:rsidRPr="001D3665">
        <w:t xml:space="preserve">-avgifta òg skal gjelde for januar og februar 2026, </w:t>
      </w:r>
      <w:proofErr w:type="spellStart"/>
      <w:r w:rsidRPr="001D3665">
        <w:t>omfattar</w:t>
      </w:r>
      <w:proofErr w:type="spellEnd"/>
      <w:r w:rsidRPr="001D3665">
        <w:t xml:space="preserve"> alle kvotepliktige </w:t>
      </w:r>
      <w:proofErr w:type="spellStart"/>
      <w:r w:rsidRPr="001D3665">
        <w:t>sektorar</w:t>
      </w:r>
      <w:proofErr w:type="spellEnd"/>
      <w:r w:rsidRPr="001D3665">
        <w:t xml:space="preserve">, det vil </w:t>
      </w:r>
      <w:proofErr w:type="spellStart"/>
      <w:r w:rsidRPr="001D3665">
        <w:t>seie</w:t>
      </w:r>
      <w:proofErr w:type="spellEnd"/>
      <w:r w:rsidRPr="001D3665">
        <w:t xml:space="preserve"> kvotepliktig luftfart, kvotepliktig fastlandsindustri og </w:t>
      </w:r>
      <w:proofErr w:type="spellStart"/>
      <w:r w:rsidRPr="001D3665">
        <w:t>innanriks</w:t>
      </w:r>
      <w:proofErr w:type="spellEnd"/>
      <w:r w:rsidRPr="001D3665">
        <w:t xml:space="preserve"> kvotepliktig sjøfart. Budsjettresultatet vert då det same som skatteopplegget for 2026 la til grunn. Skilnaden er administrativ ved at ordninga vert gjennomført ved refusjon </w:t>
      </w:r>
      <w:proofErr w:type="spellStart"/>
      <w:r w:rsidRPr="001D3665">
        <w:t>innanfor</w:t>
      </w:r>
      <w:proofErr w:type="spellEnd"/>
      <w:r w:rsidRPr="001D3665">
        <w:t xml:space="preserve"> skatteforvaltinga for </w:t>
      </w:r>
      <w:proofErr w:type="spellStart"/>
      <w:r w:rsidRPr="001D3665">
        <w:t>desse</w:t>
      </w:r>
      <w:proofErr w:type="spellEnd"/>
      <w:r w:rsidRPr="001D3665">
        <w:t xml:space="preserve"> to </w:t>
      </w:r>
      <w:proofErr w:type="spellStart"/>
      <w:r w:rsidRPr="001D3665">
        <w:t>månadene</w:t>
      </w:r>
      <w:proofErr w:type="spellEnd"/>
      <w:r w:rsidRPr="001D3665">
        <w:t xml:space="preserve">, i staden for å </w:t>
      </w:r>
      <w:proofErr w:type="spellStart"/>
      <w:r w:rsidRPr="001D3665">
        <w:t>verte</w:t>
      </w:r>
      <w:proofErr w:type="spellEnd"/>
      <w:r w:rsidRPr="001D3665">
        <w:t xml:space="preserve"> gjeve direkte ved fylling, slik det er for resten av året. </w:t>
      </w:r>
      <w:proofErr w:type="spellStart"/>
      <w:r w:rsidRPr="001D3665">
        <w:t>Utan</w:t>
      </w:r>
      <w:proofErr w:type="spellEnd"/>
      <w:r w:rsidRPr="001D3665">
        <w:t xml:space="preserve"> </w:t>
      </w:r>
      <w:proofErr w:type="spellStart"/>
      <w:r w:rsidRPr="001D3665">
        <w:t>ein</w:t>
      </w:r>
      <w:proofErr w:type="spellEnd"/>
      <w:r w:rsidRPr="001D3665">
        <w:t xml:space="preserve"> refusjon for januar og februar ville inntektene i 2026 </w:t>
      </w:r>
      <w:proofErr w:type="spellStart"/>
      <w:r w:rsidRPr="001D3665">
        <w:t>vore</w:t>
      </w:r>
      <w:proofErr w:type="spellEnd"/>
      <w:r w:rsidRPr="001D3665">
        <w:t xml:space="preserve"> om lag 230 mill. kroner </w:t>
      </w:r>
      <w:proofErr w:type="spellStart"/>
      <w:r w:rsidRPr="001D3665">
        <w:t>høgare</w:t>
      </w:r>
      <w:proofErr w:type="spellEnd"/>
      <w:r w:rsidRPr="001D3665">
        <w:t>.</w:t>
      </w:r>
    </w:p>
    <w:p w14:paraId="7242AB73" w14:textId="77777777" w:rsidR="00BC371A" w:rsidRPr="001D3665" w:rsidRDefault="00BC371A" w:rsidP="001D3665">
      <w:r w:rsidRPr="001D3665">
        <w:t xml:space="preserve">Teknisk vert dette gjennomført ved at departementet </w:t>
      </w:r>
      <w:proofErr w:type="spellStart"/>
      <w:r w:rsidRPr="001D3665">
        <w:t>endrar</w:t>
      </w:r>
      <w:proofErr w:type="spellEnd"/>
      <w:r w:rsidRPr="001D3665">
        <w:t xml:space="preserve"> sitt vedtak 27. februar 2026 om </w:t>
      </w:r>
      <w:proofErr w:type="spellStart"/>
      <w:r w:rsidRPr="001D3665">
        <w:t>ikraftsetjing</w:t>
      </w:r>
      <w:proofErr w:type="spellEnd"/>
      <w:r w:rsidRPr="001D3665">
        <w:t xml:space="preserve"> av </w:t>
      </w:r>
      <w:proofErr w:type="spellStart"/>
      <w:r w:rsidRPr="001D3665">
        <w:t>romartal</w:t>
      </w:r>
      <w:proofErr w:type="spellEnd"/>
      <w:r w:rsidRPr="001D3665">
        <w:t xml:space="preserve"> II og III i stortingsvedtak om CO</w:t>
      </w:r>
      <w:r w:rsidRPr="001D3665">
        <w:rPr>
          <w:rStyle w:val="skrift-senket"/>
        </w:rPr>
        <w:t>2</w:t>
      </w:r>
      <w:r w:rsidRPr="001D3665">
        <w:t>-avgift på mineralske produkter for 2026.</w:t>
      </w:r>
      <w:r w:rsidRPr="001D3665">
        <w:rPr>
          <w:rStyle w:val="Fotnotereferanse"/>
        </w:rPr>
        <w:footnoteReference w:id="4"/>
      </w:r>
      <w:r w:rsidRPr="001D3665">
        <w:t xml:space="preserve"> </w:t>
      </w:r>
      <w:proofErr w:type="spellStart"/>
      <w:r w:rsidRPr="001D3665">
        <w:t>Romartal</w:t>
      </w:r>
      <w:proofErr w:type="spellEnd"/>
      <w:r w:rsidRPr="001D3665">
        <w:t xml:space="preserve"> II og III vert etter dette </w:t>
      </w:r>
      <w:proofErr w:type="spellStart"/>
      <w:r w:rsidRPr="001D3665">
        <w:t>gjeldande</w:t>
      </w:r>
      <w:proofErr w:type="spellEnd"/>
      <w:r w:rsidRPr="001D3665">
        <w:t xml:space="preserve"> </w:t>
      </w:r>
      <w:proofErr w:type="spellStart"/>
      <w:r w:rsidRPr="001D3665">
        <w:t>frå</w:t>
      </w:r>
      <w:proofErr w:type="spellEnd"/>
      <w:r w:rsidRPr="001D3665">
        <w:t xml:space="preserve"> 1. januar 2026. </w:t>
      </w:r>
      <w:proofErr w:type="spellStart"/>
      <w:r w:rsidRPr="001D3665">
        <w:t>Utfyllande</w:t>
      </w:r>
      <w:proofErr w:type="spellEnd"/>
      <w:r w:rsidRPr="001D3665">
        <w:t xml:space="preserve"> </w:t>
      </w:r>
      <w:proofErr w:type="spellStart"/>
      <w:r w:rsidRPr="001D3665">
        <w:t>reglar</w:t>
      </w:r>
      <w:proofErr w:type="spellEnd"/>
      <w:r w:rsidRPr="001D3665">
        <w:t xml:space="preserve"> om refusjon til </w:t>
      </w:r>
      <w:proofErr w:type="spellStart"/>
      <w:r w:rsidRPr="001D3665">
        <w:t>verksemder</w:t>
      </w:r>
      <w:proofErr w:type="spellEnd"/>
      <w:r w:rsidRPr="001D3665">
        <w:t xml:space="preserve"> </w:t>
      </w:r>
      <w:proofErr w:type="spellStart"/>
      <w:r w:rsidRPr="001D3665">
        <w:t>innanfor</w:t>
      </w:r>
      <w:proofErr w:type="spellEnd"/>
      <w:r w:rsidRPr="001D3665">
        <w:t xml:space="preserve"> kvotepliktig luftfart, kvotepliktig fastlandsindustri og </w:t>
      </w:r>
      <w:proofErr w:type="spellStart"/>
      <w:r w:rsidRPr="001D3665">
        <w:t>innanriks</w:t>
      </w:r>
      <w:proofErr w:type="spellEnd"/>
      <w:r w:rsidRPr="001D3665">
        <w:t xml:space="preserve"> kvotepliktig sjøfart vil </w:t>
      </w:r>
      <w:proofErr w:type="spellStart"/>
      <w:r w:rsidRPr="001D3665">
        <w:t>verte</w:t>
      </w:r>
      <w:proofErr w:type="spellEnd"/>
      <w:r w:rsidRPr="001D3665">
        <w:t xml:space="preserve"> stadfesta i forskrift.</w:t>
      </w:r>
    </w:p>
    <w:p w14:paraId="02B85EE1" w14:textId="77777777" w:rsidR="00BC371A" w:rsidRPr="001D3665" w:rsidRDefault="00BC371A" w:rsidP="001D3665">
      <w:pPr>
        <w:pStyle w:val="Overskrift3"/>
      </w:pPr>
      <w:r w:rsidRPr="001D3665">
        <w:t>CO</w:t>
      </w:r>
      <w:r w:rsidRPr="001D3665">
        <w:rPr>
          <w:rStyle w:val="skrift-senket"/>
        </w:rPr>
        <w:t>2</w:t>
      </w:r>
      <w:r w:rsidRPr="001D3665">
        <w:t xml:space="preserve">-avgift for </w:t>
      </w:r>
      <w:proofErr w:type="spellStart"/>
      <w:r w:rsidRPr="001D3665">
        <w:t>verksemder</w:t>
      </w:r>
      <w:proofErr w:type="spellEnd"/>
      <w:r w:rsidRPr="001D3665">
        <w:t xml:space="preserve"> med kjemiske og metallurgiske </w:t>
      </w:r>
      <w:proofErr w:type="spellStart"/>
      <w:r w:rsidRPr="001D3665">
        <w:t>prosessar</w:t>
      </w:r>
      <w:proofErr w:type="spellEnd"/>
    </w:p>
    <w:p w14:paraId="761C9A34" w14:textId="77777777" w:rsidR="00BC371A" w:rsidRPr="001D3665" w:rsidRDefault="00BC371A" w:rsidP="001D3665">
      <w:pPr>
        <w:pStyle w:val="avsnitt-tittel"/>
      </w:pPr>
      <w:r w:rsidRPr="001D3665">
        <w:t>Innleiing</w:t>
      </w:r>
    </w:p>
    <w:p w14:paraId="4254AD23" w14:textId="7138AC51" w:rsidR="00BC371A" w:rsidRPr="001D3665" w:rsidRDefault="00BC371A" w:rsidP="001D3665">
      <w:r w:rsidRPr="001D3665">
        <w:t xml:space="preserve">Den 27. februar 2026 vedtok Finansdepartementet å </w:t>
      </w:r>
      <w:proofErr w:type="spellStart"/>
      <w:r w:rsidRPr="001D3665">
        <w:t>setje</w:t>
      </w:r>
      <w:proofErr w:type="spellEnd"/>
      <w:r w:rsidRPr="001D3665">
        <w:t xml:space="preserve"> i verk Stortinget sitt vedtak om å innføre CO</w:t>
      </w:r>
      <w:r w:rsidRPr="001D3665">
        <w:rPr>
          <w:rStyle w:val="skrift-senket"/>
        </w:rPr>
        <w:t>2</w:t>
      </w:r>
      <w:r w:rsidR="001D3665">
        <w:t>-</w:t>
      </w:r>
      <w:r w:rsidRPr="001D3665">
        <w:t xml:space="preserve">avgift på naturgass og LPG til </w:t>
      </w:r>
      <w:proofErr w:type="spellStart"/>
      <w:r w:rsidRPr="001D3665">
        <w:t>ikkje</w:t>
      </w:r>
      <w:proofErr w:type="spellEnd"/>
      <w:r w:rsidR="001D3665">
        <w:t>-</w:t>
      </w:r>
      <w:r w:rsidRPr="001D3665">
        <w:t xml:space="preserve">kvotepliktige </w:t>
      </w:r>
      <w:proofErr w:type="spellStart"/>
      <w:r w:rsidRPr="001D3665">
        <w:t>verksemder</w:t>
      </w:r>
      <w:proofErr w:type="spellEnd"/>
      <w:r w:rsidRPr="001D3665">
        <w:t xml:space="preserve"> med kjemiske og metallurgiske </w:t>
      </w:r>
      <w:proofErr w:type="spellStart"/>
      <w:r w:rsidRPr="001D3665">
        <w:t>prosessar</w:t>
      </w:r>
      <w:proofErr w:type="spellEnd"/>
      <w:r w:rsidRPr="001D3665">
        <w:t xml:space="preserve">, med verknad </w:t>
      </w:r>
      <w:proofErr w:type="spellStart"/>
      <w:r w:rsidRPr="001D3665">
        <w:t>frå</w:t>
      </w:r>
      <w:proofErr w:type="spellEnd"/>
      <w:r w:rsidRPr="001D3665">
        <w:t xml:space="preserve"> 1. mars. Avgiftssatsen var 0,82 kroner per Sm³ naturgass og 1,23 kroner per liter LPG, </w:t>
      </w:r>
      <w:proofErr w:type="spellStart"/>
      <w:r w:rsidRPr="001D3665">
        <w:t>noko</w:t>
      </w:r>
      <w:proofErr w:type="spellEnd"/>
      <w:r w:rsidRPr="001D3665">
        <w:t xml:space="preserve"> som svarer til 25 pst. av det generelle nivået for utslepp under innsatsfordelinga. Den 3. mars </w:t>
      </w:r>
      <w:proofErr w:type="spellStart"/>
      <w:r w:rsidRPr="001D3665">
        <w:t>vart</w:t>
      </w:r>
      <w:proofErr w:type="spellEnd"/>
      <w:r w:rsidRPr="001D3665">
        <w:t xml:space="preserve"> det </w:t>
      </w:r>
      <w:proofErr w:type="spellStart"/>
      <w:r w:rsidRPr="001D3665">
        <w:t>vedteke</w:t>
      </w:r>
      <w:proofErr w:type="spellEnd"/>
      <w:r w:rsidRPr="001D3665">
        <w:t xml:space="preserve"> å </w:t>
      </w:r>
      <w:proofErr w:type="spellStart"/>
      <w:r w:rsidRPr="001D3665">
        <w:t>utsetje</w:t>
      </w:r>
      <w:proofErr w:type="spellEnd"/>
      <w:r w:rsidRPr="001D3665">
        <w:t xml:space="preserve"> innføringa av avgifta til </w:t>
      </w:r>
      <w:proofErr w:type="spellStart"/>
      <w:r w:rsidRPr="001D3665">
        <w:t>tidlegast</w:t>
      </w:r>
      <w:proofErr w:type="spellEnd"/>
      <w:r w:rsidRPr="001D3665">
        <w:t xml:space="preserve"> 1. juli. Samstundes varsla regjeringa at </w:t>
      </w:r>
      <w:proofErr w:type="spellStart"/>
      <w:r w:rsidRPr="001D3665">
        <w:t>ho</w:t>
      </w:r>
      <w:proofErr w:type="spellEnd"/>
      <w:r w:rsidRPr="001D3665">
        <w:t xml:space="preserve"> vil </w:t>
      </w:r>
      <w:proofErr w:type="spellStart"/>
      <w:r w:rsidRPr="001D3665">
        <w:t>gjere</w:t>
      </w:r>
      <w:proofErr w:type="spellEnd"/>
      <w:r w:rsidRPr="001D3665">
        <w:t xml:space="preserve"> greie for </w:t>
      </w:r>
      <w:proofErr w:type="spellStart"/>
      <w:r w:rsidRPr="001D3665">
        <w:t>konsekvensane</w:t>
      </w:r>
      <w:proofErr w:type="spellEnd"/>
      <w:r w:rsidRPr="001D3665">
        <w:t xml:space="preserve"> av avgifta i revidert nasjonalbudsjett.</w:t>
      </w:r>
    </w:p>
    <w:p w14:paraId="4582E604" w14:textId="77777777" w:rsidR="00BC371A" w:rsidRPr="001D3665" w:rsidRDefault="00BC371A" w:rsidP="001D3665">
      <w:pPr>
        <w:pStyle w:val="avsnitt-tittel"/>
      </w:pPr>
      <w:proofErr w:type="spellStart"/>
      <w:r w:rsidRPr="001D3665">
        <w:t>Verksemdene</w:t>
      </w:r>
      <w:proofErr w:type="spellEnd"/>
      <w:r w:rsidRPr="001D3665">
        <w:t xml:space="preserve"> som vert omfatta av ei avgift</w:t>
      </w:r>
    </w:p>
    <w:p w14:paraId="49BEFA2C" w14:textId="3BBD9A39" w:rsidR="00BC371A" w:rsidRPr="001D3665" w:rsidRDefault="00BC371A" w:rsidP="001D3665">
      <w:r w:rsidRPr="001D3665">
        <w:t xml:space="preserve">I dag er det </w:t>
      </w:r>
      <w:proofErr w:type="spellStart"/>
      <w:r w:rsidRPr="001D3665">
        <w:t>eit</w:t>
      </w:r>
      <w:proofErr w:type="spellEnd"/>
      <w:r w:rsidRPr="001D3665">
        <w:t xml:space="preserve"> fritak i CO</w:t>
      </w:r>
      <w:r w:rsidRPr="001D3665">
        <w:rPr>
          <w:rStyle w:val="skrift-senket"/>
        </w:rPr>
        <w:t>2</w:t>
      </w:r>
      <w:r w:rsidRPr="001D3665">
        <w:t xml:space="preserve">-avgifta for </w:t>
      </w:r>
      <w:proofErr w:type="spellStart"/>
      <w:r w:rsidRPr="001D3665">
        <w:t>verksemder</w:t>
      </w:r>
      <w:proofErr w:type="spellEnd"/>
      <w:r w:rsidRPr="001D3665">
        <w:t xml:space="preserve"> med kjemiske og metallurgiske </w:t>
      </w:r>
      <w:proofErr w:type="spellStart"/>
      <w:r w:rsidRPr="001D3665">
        <w:t>prosessar</w:t>
      </w:r>
      <w:proofErr w:type="spellEnd"/>
      <w:r w:rsidRPr="001D3665">
        <w:t xml:space="preserve">. Fritaket er gjennomført ved at </w:t>
      </w:r>
      <w:proofErr w:type="spellStart"/>
      <w:r w:rsidRPr="001D3665">
        <w:t>verksemdene</w:t>
      </w:r>
      <w:proofErr w:type="spellEnd"/>
      <w:r w:rsidRPr="001D3665">
        <w:t xml:space="preserve"> </w:t>
      </w:r>
      <w:proofErr w:type="spellStart"/>
      <w:r w:rsidRPr="001D3665">
        <w:t>søkjer</w:t>
      </w:r>
      <w:proofErr w:type="spellEnd"/>
      <w:r w:rsidRPr="001D3665">
        <w:t xml:space="preserve"> Skatteetaten om refusjon av innbetalt CO</w:t>
      </w:r>
      <w:r w:rsidRPr="001D3665">
        <w:rPr>
          <w:rStyle w:val="skrift-senket"/>
        </w:rPr>
        <w:t>2</w:t>
      </w:r>
      <w:r w:rsidRPr="001D3665">
        <w:t xml:space="preserve">-avgift. På grunnlag av informasjonen </w:t>
      </w:r>
      <w:proofErr w:type="spellStart"/>
      <w:r w:rsidRPr="001D3665">
        <w:t>frå</w:t>
      </w:r>
      <w:proofErr w:type="spellEnd"/>
      <w:r w:rsidRPr="001D3665">
        <w:t xml:space="preserve"> refusjonssakene har departementet oversikt over </w:t>
      </w:r>
      <w:proofErr w:type="spellStart"/>
      <w:r w:rsidRPr="001D3665">
        <w:t>talet</w:t>
      </w:r>
      <w:proofErr w:type="spellEnd"/>
      <w:r w:rsidRPr="001D3665">
        <w:t xml:space="preserve"> på </w:t>
      </w:r>
      <w:proofErr w:type="spellStart"/>
      <w:r w:rsidRPr="001D3665">
        <w:t>ikkje</w:t>
      </w:r>
      <w:proofErr w:type="spellEnd"/>
      <w:r w:rsidR="001D3665">
        <w:t>-</w:t>
      </w:r>
      <w:r w:rsidRPr="001D3665">
        <w:t xml:space="preserve">kvotepliktige </w:t>
      </w:r>
      <w:proofErr w:type="spellStart"/>
      <w:r w:rsidRPr="001D3665">
        <w:t>verksemder</w:t>
      </w:r>
      <w:proofErr w:type="spellEnd"/>
      <w:r w:rsidRPr="001D3665">
        <w:t xml:space="preserve"> som vert omfatta av </w:t>
      </w:r>
      <w:proofErr w:type="spellStart"/>
      <w:r w:rsidRPr="001D3665">
        <w:t>ein</w:t>
      </w:r>
      <w:proofErr w:type="spellEnd"/>
      <w:r w:rsidRPr="001D3665">
        <w:t xml:space="preserve"> redusert avgiftssats, og </w:t>
      </w:r>
      <w:proofErr w:type="spellStart"/>
      <w:r w:rsidRPr="001D3665">
        <w:t>avgiftsbelastinga</w:t>
      </w:r>
      <w:proofErr w:type="spellEnd"/>
      <w:r w:rsidRPr="001D3665">
        <w:t xml:space="preserve"> for </w:t>
      </w:r>
      <w:proofErr w:type="spellStart"/>
      <w:r w:rsidRPr="001D3665">
        <w:t>dei</w:t>
      </w:r>
      <w:proofErr w:type="spellEnd"/>
      <w:r w:rsidRPr="001D3665">
        <w:t xml:space="preserve"> ulike </w:t>
      </w:r>
      <w:proofErr w:type="spellStart"/>
      <w:r w:rsidRPr="001D3665">
        <w:t>verksemdene</w:t>
      </w:r>
      <w:proofErr w:type="spellEnd"/>
      <w:r w:rsidRPr="001D3665">
        <w:t>.</w:t>
      </w:r>
    </w:p>
    <w:p w14:paraId="3E905834" w14:textId="66B0F1A4" w:rsidR="00BC371A" w:rsidRPr="001D3665" w:rsidRDefault="00BC371A" w:rsidP="001D3665">
      <w:r w:rsidRPr="001D3665">
        <w:t>CO</w:t>
      </w:r>
      <w:r w:rsidRPr="001D3665">
        <w:rPr>
          <w:rStyle w:val="skrift-senket"/>
        </w:rPr>
        <w:t>2</w:t>
      </w:r>
      <w:r w:rsidRPr="001D3665">
        <w:t xml:space="preserve">-avgifta på naturgass og LPG til </w:t>
      </w:r>
      <w:proofErr w:type="spellStart"/>
      <w:r w:rsidRPr="001D3665">
        <w:t>ikkje</w:t>
      </w:r>
      <w:proofErr w:type="spellEnd"/>
      <w:r w:rsidR="001D3665">
        <w:t>-</w:t>
      </w:r>
      <w:r w:rsidRPr="001D3665">
        <w:t xml:space="preserve">kvotepliktige </w:t>
      </w:r>
      <w:proofErr w:type="spellStart"/>
      <w:r w:rsidRPr="001D3665">
        <w:t>verksemder</w:t>
      </w:r>
      <w:proofErr w:type="spellEnd"/>
      <w:r w:rsidRPr="001D3665">
        <w:t xml:space="preserve"> med kjemiske og metallurgiske </w:t>
      </w:r>
      <w:proofErr w:type="spellStart"/>
      <w:r w:rsidRPr="001D3665">
        <w:t>prosessar</w:t>
      </w:r>
      <w:proofErr w:type="spellEnd"/>
      <w:r w:rsidRPr="001D3665">
        <w:t xml:space="preserve"> gjeld om lag 30 </w:t>
      </w:r>
      <w:proofErr w:type="spellStart"/>
      <w:r w:rsidRPr="001D3665">
        <w:t>verksemder</w:t>
      </w:r>
      <w:proofErr w:type="spellEnd"/>
      <w:r w:rsidRPr="001D3665">
        <w:t xml:space="preserve"> </w:t>
      </w:r>
      <w:proofErr w:type="spellStart"/>
      <w:r w:rsidRPr="001D3665">
        <w:t>innan</w:t>
      </w:r>
      <w:proofErr w:type="spellEnd"/>
      <w:r w:rsidRPr="001D3665">
        <w:t xml:space="preserve"> produksjon, omarbeiding og </w:t>
      </w:r>
      <w:r w:rsidRPr="001D3665">
        <w:lastRenderedPageBreak/>
        <w:t xml:space="preserve">overflatebehandling av materiale som glas, metall, asfalt og industriprodukt, i tillegg til mindre </w:t>
      </w:r>
      <w:proofErr w:type="spellStart"/>
      <w:r w:rsidRPr="001D3665">
        <w:t>handverksføretak</w:t>
      </w:r>
      <w:proofErr w:type="spellEnd"/>
      <w:r w:rsidRPr="001D3665">
        <w:t xml:space="preserve"> og spesialiserte </w:t>
      </w:r>
      <w:proofErr w:type="spellStart"/>
      <w:r w:rsidRPr="001D3665">
        <w:t>verksemder</w:t>
      </w:r>
      <w:proofErr w:type="spellEnd"/>
      <w:r w:rsidRPr="001D3665">
        <w:t>.</w:t>
      </w:r>
    </w:p>
    <w:p w14:paraId="4294A426" w14:textId="77777777" w:rsidR="00BC371A" w:rsidRPr="001D3665" w:rsidRDefault="00BC371A" w:rsidP="001D3665">
      <w:r w:rsidRPr="001D3665">
        <w:t xml:space="preserve">Naturgass og LPG vert nytta i direkte fyring, der flammen er i direkte kontakt med produktet, ofte med svært høge krav til effekt og temperatur. Sams for </w:t>
      </w:r>
      <w:proofErr w:type="spellStart"/>
      <w:r w:rsidRPr="001D3665">
        <w:t>desse</w:t>
      </w:r>
      <w:proofErr w:type="spellEnd"/>
      <w:r w:rsidRPr="001D3665">
        <w:t xml:space="preserve"> </w:t>
      </w:r>
      <w:proofErr w:type="spellStart"/>
      <w:r w:rsidRPr="001D3665">
        <w:t>verksemdene</w:t>
      </w:r>
      <w:proofErr w:type="spellEnd"/>
      <w:r w:rsidRPr="001D3665">
        <w:t xml:space="preserve"> er at produksjonen skjer i </w:t>
      </w:r>
      <w:proofErr w:type="spellStart"/>
      <w:r w:rsidRPr="001D3665">
        <w:t>noko</w:t>
      </w:r>
      <w:proofErr w:type="spellEnd"/>
      <w:r w:rsidRPr="001D3665">
        <w:t xml:space="preserve"> mindre skala.</w:t>
      </w:r>
    </w:p>
    <w:p w14:paraId="5B6A16CD" w14:textId="77777777" w:rsidR="00BC371A" w:rsidRPr="001D3665" w:rsidRDefault="00BC371A" w:rsidP="001D3665">
      <w:r w:rsidRPr="001D3665">
        <w:t xml:space="preserve">Storskalaproduksjon fell normalt inn under EUs kvotesystem (EU ETS) og er </w:t>
      </w:r>
      <w:proofErr w:type="spellStart"/>
      <w:r w:rsidRPr="001D3665">
        <w:t>dimed</w:t>
      </w:r>
      <w:proofErr w:type="spellEnd"/>
      <w:r w:rsidRPr="001D3665">
        <w:t xml:space="preserve"> </w:t>
      </w:r>
      <w:proofErr w:type="spellStart"/>
      <w:r w:rsidRPr="001D3665">
        <w:t>friteke</w:t>
      </w:r>
      <w:proofErr w:type="spellEnd"/>
      <w:r w:rsidRPr="001D3665">
        <w:t xml:space="preserve"> for avgift, men må betale for utsleppa sine gjennom kjøp av </w:t>
      </w:r>
      <w:proofErr w:type="spellStart"/>
      <w:r w:rsidRPr="001D3665">
        <w:t>kvotar</w:t>
      </w:r>
      <w:proofErr w:type="spellEnd"/>
      <w:r w:rsidRPr="001D3665">
        <w:t xml:space="preserve">. </w:t>
      </w:r>
      <w:proofErr w:type="spellStart"/>
      <w:r w:rsidRPr="001D3665">
        <w:t>Verksemder</w:t>
      </w:r>
      <w:proofErr w:type="spellEnd"/>
      <w:r w:rsidRPr="001D3665">
        <w:t xml:space="preserve"> som konkurrerer internasjonalt, vert likevel skjerma gjennom vederlagsfri tildeling av </w:t>
      </w:r>
      <w:proofErr w:type="spellStart"/>
      <w:r w:rsidRPr="001D3665">
        <w:t>kvotar</w:t>
      </w:r>
      <w:proofErr w:type="spellEnd"/>
      <w:r w:rsidRPr="001D3665">
        <w:t>.</w:t>
      </w:r>
    </w:p>
    <w:p w14:paraId="0FF99DE1" w14:textId="77777777" w:rsidR="00BC371A" w:rsidRPr="001D3665" w:rsidRDefault="00BC371A" w:rsidP="001D3665">
      <w:r w:rsidRPr="001D3665">
        <w:t xml:space="preserve">Det er stor variasjon i storleik og </w:t>
      </w:r>
      <w:proofErr w:type="spellStart"/>
      <w:r w:rsidRPr="001D3665">
        <w:t>omsetnad</w:t>
      </w:r>
      <w:proofErr w:type="spellEnd"/>
      <w:r w:rsidRPr="001D3665">
        <w:t xml:space="preserve"> mellom </w:t>
      </w:r>
      <w:proofErr w:type="spellStart"/>
      <w:r w:rsidRPr="001D3665">
        <w:t>verksemdene</w:t>
      </w:r>
      <w:proofErr w:type="spellEnd"/>
      <w:r w:rsidRPr="001D3665">
        <w:t xml:space="preserve">. Den samla </w:t>
      </w:r>
      <w:proofErr w:type="spellStart"/>
      <w:r w:rsidRPr="001D3665">
        <w:t>omsetnaden</w:t>
      </w:r>
      <w:proofErr w:type="spellEnd"/>
      <w:r w:rsidRPr="001D3665">
        <w:t xml:space="preserve"> var om lag 17 mrd. kroner i 2024, </w:t>
      </w:r>
      <w:proofErr w:type="spellStart"/>
      <w:r w:rsidRPr="001D3665">
        <w:t>medan</w:t>
      </w:r>
      <w:proofErr w:type="spellEnd"/>
      <w:r w:rsidRPr="001D3665">
        <w:t xml:space="preserve"> </w:t>
      </w:r>
      <w:proofErr w:type="spellStart"/>
      <w:r w:rsidRPr="001D3665">
        <w:t>medianomsetnaden</w:t>
      </w:r>
      <w:proofErr w:type="spellEnd"/>
      <w:r w:rsidRPr="001D3665">
        <w:t xml:space="preserve"> var 228 mill. kroner. </w:t>
      </w:r>
      <w:proofErr w:type="spellStart"/>
      <w:r w:rsidRPr="001D3665">
        <w:t>Verksemdene</w:t>
      </w:r>
      <w:proofErr w:type="spellEnd"/>
      <w:r w:rsidRPr="001D3665">
        <w:t xml:space="preserve"> </w:t>
      </w:r>
      <w:proofErr w:type="spellStart"/>
      <w:r w:rsidRPr="001D3665">
        <w:t>sysselset</w:t>
      </w:r>
      <w:proofErr w:type="spellEnd"/>
      <w:r w:rsidRPr="001D3665">
        <w:t xml:space="preserve"> til </w:t>
      </w:r>
      <w:proofErr w:type="spellStart"/>
      <w:r w:rsidRPr="001D3665">
        <w:t>saman</w:t>
      </w:r>
      <w:proofErr w:type="spellEnd"/>
      <w:r w:rsidRPr="001D3665">
        <w:t xml:space="preserve"> i overkant av 3 300 </w:t>
      </w:r>
      <w:proofErr w:type="spellStart"/>
      <w:r w:rsidRPr="001D3665">
        <w:t>personar</w:t>
      </w:r>
      <w:proofErr w:type="spellEnd"/>
      <w:r w:rsidRPr="001D3665">
        <w:t xml:space="preserve">. Dei minste </w:t>
      </w:r>
      <w:proofErr w:type="spellStart"/>
      <w:r w:rsidRPr="001D3665">
        <w:t>verksemdene</w:t>
      </w:r>
      <w:proofErr w:type="spellEnd"/>
      <w:r w:rsidRPr="001D3665">
        <w:t xml:space="preserve"> har </w:t>
      </w:r>
      <w:proofErr w:type="spellStart"/>
      <w:r w:rsidRPr="001D3665">
        <w:t>ein</w:t>
      </w:r>
      <w:proofErr w:type="spellEnd"/>
      <w:r w:rsidRPr="001D3665">
        <w:t xml:space="preserve"> til fire tilsette.</w:t>
      </w:r>
    </w:p>
    <w:p w14:paraId="762A6753" w14:textId="5A4B1879" w:rsidR="00BC371A" w:rsidRPr="001D3665" w:rsidRDefault="001D3665" w:rsidP="001D3665">
      <w:r w:rsidRPr="001D3665">
        <w:rPr>
          <w:noProof/>
        </w:rPr>
        <w:drawing>
          <wp:inline distT="0" distB="0" distL="0" distR="0" wp14:anchorId="077E605E" wp14:editId="5FDDC7E9">
            <wp:extent cx="6076950" cy="2762250"/>
            <wp:effectExtent l="0" t="0" r="0" b="0"/>
            <wp:docPr id="6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53CAC9E5" w14:textId="77777777" w:rsidR="00BC371A" w:rsidRPr="001D3665" w:rsidRDefault="00BC371A" w:rsidP="001D3665">
      <w:pPr>
        <w:pStyle w:val="figur-tittel"/>
      </w:pPr>
      <w:r w:rsidRPr="001D3665">
        <w:t xml:space="preserve">Estimert avgiftsbetaling som del av </w:t>
      </w:r>
      <w:proofErr w:type="spellStart"/>
      <w:r w:rsidRPr="001D3665">
        <w:t>omsetnaden</w:t>
      </w:r>
      <w:proofErr w:type="spellEnd"/>
      <w:r w:rsidRPr="001D3665">
        <w:t xml:space="preserve"> til </w:t>
      </w:r>
      <w:proofErr w:type="spellStart"/>
      <w:r w:rsidRPr="001D3665">
        <w:t>verksemdene</w:t>
      </w:r>
      <w:proofErr w:type="spellEnd"/>
      <w:r w:rsidRPr="001D3665">
        <w:t xml:space="preserve"> som vert omfatta av avgift, med foreslått sats for 2026. Kvar søyle representerer ei verksemd.</w:t>
      </w:r>
      <w:r w:rsidRPr="001D3665">
        <w:rPr>
          <w:rStyle w:val="skrift-hevet"/>
        </w:rPr>
        <w:t>1</w:t>
      </w:r>
      <w:r w:rsidRPr="001D3665">
        <w:t xml:space="preserve"> Prosent</w:t>
      </w:r>
    </w:p>
    <w:p w14:paraId="25B04204" w14:textId="77777777" w:rsidR="00BC371A" w:rsidRPr="001D3665" w:rsidRDefault="00BC371A" w:rsidP="001D3665">
      <w:pPr>
        <w:pStyle w:val="figur-noter"/>
        <w:rPr>
          <w:rStyle w:val="skrift-hevet"/>
        </w:rPr>
      </w:pPr>
      <w:r w:rsidRPr="001D3665">
        <w:rPr>
          <w:rStyle w:val="skrift-hevet"/>
        </w:rPr>
        <w:t>1</w:t>
      </w:r>
      <w:r w:rsidRPr="001D3665">
        <w:rPr>
          <w:rStyle w:val="skrift-hevet"/>
        </w:rPr>
        <w:tab/>
      </w:r>
      <w:r w:rsidRPr="001D3665">
        <w:t xml:space="preserve">Søylene representerer kvar </w:t>
      </w:r>
      <w:proofErr w:type="spellStart"/>
      <w:r w:rsidRPr="001D3665">
        <w:t>einskild</w:t>
      </w:r>
      <w:proofErr w:type="spellEnd"/>
      <w:r w:rsidRPr="001D3665">
        <w:t xml:space="preserve"> </w:t>
      </w:r>
      <w:proofErr w:type="spellStart"/>
      <w:r w:rsidRPr="001D3665">
        <w:t>verksemd</w:t>
      </w:r>
      <w:proofErr w:type="spellEnd"/>
      <w:r w:rsidRPr="001D3665">
        <w:t xml:space="preserve"> som har søkt om refusjon av CO</w:t>
      </w:r>
      <w:r w:rsidRPr="001D3665">
        <w:rPr>
          <w:rStyle w:val="skrift-senket"/>
        </w:rPr>
        <w:t>2</w:t>
      </w:r>
      <w:r w:rsidRPr="001D3665">
        <w:t xml:space="preserve">-avgift i 2024, og som </w:t>
      </w:r>
      <w:proofErr w:type="spellStart"/>
      <w:r w:rsidRPr="001D3665">
        <w:t>dimed</w:t>
      </w:r>
      <w:proofErr w:type="spellEnd"/>
      <w:r w:rsidRPr="001D3665">
        <w:t xml:space="preserve"> vert </w:t>
      </w:r>
      <w:proofErr w:type="spellStart"/>
      <w:r w:rsidRPr="001D3665">
        <w:t>rekna</w:t>
      </w:r>
      <w:proofErr w:type="spellEnd"/>
      <w:r w:rsidRPr="001D3665">
        <w:t xml:space="preserve"> for å </w:t>
      </w:r>
      <w:proofErr w:type="spellStart"/>
      <w:r w:rsidRPr="001D3665">
        <w:t>vere</w:t>
      </w:r>
      <w:proofErr w:type="spellEnd"/>
      <w:r w:rsidRPr="001D3665">
        <w:t xml:space="preserve"> omfatta av avgifta. Den </w:t>
      </w:r>
      <w:proofErr w:type="spellStart"/>
      <w:r w:rsidRPr="001D3665">
        <w:t>raude</w:t>
      </w:r>
      <w:proofErr w:type="spellEnd"/>
      <w:r w:rsidRPr="001D3665">
        <w:t xml:space="preserve"> streken syner medianbetalinga. </w:t>
      </w:r>
      <w:proofErr w:type="spellStart"/>
      <w:r w:rsidRPr="001D3665">
        <w:t>Omsetnads</w:t>
      </w:r>
      <w:proofErr w:type="spellEnd"/>
      <w:r w:rsidRPr="001D3665">
        <w:t xml:space="preserve">- og </w:t>
      </w:r>
      <w:proofErr w:type="spellStart"/>
      <w:r w:rsidRPr="001D3665">
        <w:t>forbrukstal</w:t>
      </w:r>
      <w:proofErr w:type="spellEnd"/>
      <w:r w:rsidRPr="001D3665">
        <w:t xml:space="preserve"> for naturgass og LPG er </w:t>
      </w:r>
      <w:proofErr w:type="spellStart"/>
      <w:r w:rsidRPr="001D3665">
        <w:t>frå</w:t>
      </w:r>
      <w:proofErr w:type="spellEnd"/>
      <w:r w:rsidRPr="001D3665">
        <w:t xml:space="preserve"> 2024.</w:t>
      </w:r>
    </w:p>
    <w:p w14:paraId="75E15589" w14:textId="77777777" w:rsidR="00BC371A" w:rsidRPr="001D3665" w:rsidRDefault="00BC371A" w:rsidP="001D3665">
      <w:pPr>
        <w:pStyle w:val="Kilde"/>
      </w:pPr>
      <w:r w:rsidRPr="001D3665">
        <w:t>Kjelder: Skatteetaten og Proff.no.</w:t>
      </w:r>
    </w:p>
    <w:p w14:paraId="609B70EA" w14:textId="77777777" w:rsidR="00BC371A" w:rsidRPr="001D3665" w:rsidRDefault="00BC371A" w:rsidP="001D3665">
      <w:r w:rsidRPr="001D3665">
        <w:t xml:space="preserve">Figur 9.13 syner avgiftsbetalinga for </w:t>
      </w:r>
      <w:proofErr w:type="spellStart"/>
      <w:r w:rsidRPr="001D3665">
        <w:t>dei</w:t>
      </w:r>
      <w:proofErr w:type="spellEnd"/>
      <w:r w:rsidRPr="001D3665">
        <w:t xml:space="preserve"> ulike </w:t>
      </w:r>
      <w:proofErr w:type="spellStart"/>
      <w:r w:rsidRPr="001D3665">
        <w:t>verksemdene</w:t>
      </w:r>
      <w:proofErr w:type="spellEnd"/>
      <w:r w:rsidRPr="001D3665">
        <w:t xml:space="preserve"> med foreslått sats for 2026, målt som del av </w:t>
      </w:r>
      <w:proofErr w:type="spellStart"/>
      <w:r w:rsidRPr="001D3665">
        <w:t>omsetnaden</w:t>
      </w:r>
      <w:proofErr w:type="spellEnd"/>
      <w:r w:rsidRPr="001D3665">
        <w:t xml:space="preserve">. Avgiftsbetalinga vil </w:t>
      </w:r>
      <w:proofErr w:type="spellStart"/>
      <w:r w:rsidRPr="001D3665">
        <w:t>utgjere</w:t>
      </w:r>
      <w:proofErr w:type="spellEnd"/>
      <w:r w:rsidRPr="001D3665">
        <w:t xml:space="preserve"> mellom 0 og 1 pst. av </w:t>
      </w:r>
      <w:proofErr w:type="spellStart"/>
      <w:r w:rsidRPr="001D3665">
        <w:t>verksemdene</w:t>
      </w:r>
      <w:proofErr w:type="spellEnd"/>
      <w:r w:rsidRPr="001D3665">
        <w:t xml:space="preserve"> sin </w:t>
      </w:r>
      <w:proofErr w:type="spellStart"/>
      <w:r w:rsidRPr="001D3665">
        <w:t>omsetnad</w:t>
      </w:r>
      <w:proofErr w:type="spellEnd"/>
      <w:r w:rsidRPr="001D3665">
        <w:t xml:space="preserve">, med </w:t>
      </w:r>
      <w:proofErr w:type="spellStart"/>
      <w:r w:rsidRPr="001D3665">
        <w:t>ein</w:t>
      </w:r>
      <w:proofErr w:type="spellEnd"/>
      <w:r w:rsidRPr="001D3665">
        <w:t xml:space="preserve"> median på 0,4 pst. av </w:t>
      </w:r>
      <w:proofErr w:type="spellStart"/>
      <w:r w:rsidRPr="001D3665">
        <w:t>omsetnaden</w:t>
      </w:r>
      <w:proofErr w:type="spellEnd"/>
      <w:r w:rsidRPr="001D3665">
        <w:t xml:space="preserve">. For ni </w:t>
      </w:r>
      <w:proofErr w:type="spellStart"/>
      <w:r w:rsidRPr="001D3665">
        <w:t>verksemder</w:t>
      </w:r>
      <w:proofErr w:type="spellEnd"/>
      <w:r w:rsidRPr="001D3665">
        <w:t xml:space="preserve"> er avgifta estimert å </w:t>
      </w:r>
      <w:proofErr w:type="spellStart"/>
      <w:r w:rsidRPr="001D3665">
        <w:t>utgjere</w:t>
      </w:r>
      <w:proofErr w:type="spellEnd"/>
      <w:r w:rsidRPr="001D3665">
        <w:t xml:space="preserve"> </w:t>
      </w:r>
      <w:proofErr w:type="spellStart"/>
      <w:r w:rsidRPr="001D3665">
        <w:t>meir</w:t>
      </w:r>
      <w:proofErr w:type="spellEnd"/>
      <w:r w:rsidRPr="001D3665">
        <w:t xml:space="preserve"> enn 0,5 pst. av </w:t>
      </w:r>
      <w:proofErr w:type="spellStart"/>
      <w:r w:rsidRPr="001D3665">
        <w:t>omsetnaden</w:t>
      </w:r>
      <w:proofErr w:type="spellEnd"/>
      <w:r w:rsidRPr="001D3665">
        <w:t>.</w:t>
      </w:r>
    </w:p>
    <w:p w14:paraId="46479C7F" w14:textId="77777777" w:rsidR="00BC371A" w:rsidRPr="001D3665" w:rsidRDefault="00BC371A" w:rsidP="001D3665">
      <w:r w:rsidRPr="001D3665">
        <w:t xml:space="preserve">Ei avgiftsbetaling på 0,5 pst. av </w:t>
      </w:r>
      <w:proofErr w:type="spellStart"/>
      <w:r w:rsidRPr="001D3665">
        <w:t>omsetnaden</w:t>
      </w:r>
      <w:proofErr w:type="spellEnd"/>
      <w:r w:rsidRPr="001D3665">
        <w:t xml:space="preserve"> </w:t>
      </w:r>
      <w:proofErr w:type="spellStart"/>
      <w:r w:rsidRPr="001D3665">
        <w:t>inneber</w:t>
      </w:r>
      <w:proofErr w:type="spellEnd"/>
      <w:r w:rsidRPr="001D3665">
        <w:t xml:space="preserve"> det same </w:t>
      </w:r>
      <w:proofErr w:type="spellStart"/>
      <w:r w:rsidRPr="001D3665">
        <w:t>overskotet</w:t>
      </w:r>
      <w:proofErr w:type="spellEnd"/>
      <w:r w:rsidRPr="001D3665">
        <w:t xml:space="preserve"> dersom </w:t>
      </w:r>
      <w:proofErr w:type="spellStart"/>
      <w:r w:rsidRPr="001D3665">
        <w:t>verksemda</w:t>
      </w:r>
      <w:proofErr w:type="spellEnd"/>
      <w:r w:rsidRPr="001D3665">
        <w:t xml:space="preserve"> </w:t>
      </w:r>
      <w:proofErr w:type="spellStart"/>
      <w:r w:rsidRPr="001D3665">
        <w:t>aukar</w:t>
      </w:r>
      <w:proofErr w:type="spellEnd"/>
      <w:r w:rsidRPr="001D3665">
        <w:t xml:space="preserve"> </w:t>
      </w:r>
      <w:proofErr w:type="spellStart"/>
      <w:r w:rsidRPr="001D3665">
        <w:t>prisane</w:t>
      </w:r>
      <w:proofErr w:type="spellEnd"/>
      <w:r w:rsidRPr="001D3665">
        <w:t xml:space="preserve"> med 0,5 pst. etter at avgifta vert innført (og salet </w:t>
      </w:r>
      <w:proofErr w:type="spellStart"/>
      <w:r w:rsidRPr="001D3665">
        <w:t>ikkje</w:t>
      </w:r>
      <w:proofErr w:type="spellEnd"/>
      <w:r w:rsidRPr="001D3665">
        <w:t xml:space="preserve"> fell). Dette svarer til 1 krone på ei vare som </w:t>
      </w:r>
      <w:proofErr w:type="spellStart"/>
      <w:r w:rsidRPr="001D3665">
        <w:t>kostar</w:t>
      </w:r>
      <w:proofErr w:type="spellEnd"/>
      <w:r w:rsidRPr="001D3665">
        <w:t xml:space="preserve"> 200 kroner.</w:t>
      </w:r>
    </w:p>
    <w:p w14:paraId="444B85A9" w14:textId="77777777" w:rsidR="00BC371A" w:rsidRPr="001D3665" w:rsidRDefault="00BC371A" w:rsidP="001D3665">
      <w:r w:rsidRPr="001D3665">
        <w:lastRenderedPageBreak/>
        <w:t xml:space="preserve">Oslo </w:t>
      </w:r>
      <w:proofErr w:type="spellStart"/>
      <w:r w:rsidRPr="001D3665">
        <w:t>Economics</w:t>
      </w:r>
      <w:proofErr w:type="spellEnd"/>
      <w:r w:rsidRPr="001D3665">
        <w:t xml:space="preserve"> og SINTEF Energi</w:t>
      </w:r>
      <w:r w:rsidRPr="001D3665">
        <w:rPr>
          <w:rStyle w:val="Fotnotereferanse"/>
        </w:rPr>
        <w:footnoteReference w:id="5"/>
      </w:r>
      <w:r w:rsidRPr="001D3665">
        <w:t xml:space="preserve"> har kartlagt alternativa industrien har for å fase ut fossile brensel. Dei mest aktuelle tiltaka er å erstatte fossile brensel med biobrensel, hydrogen eller elektrisitet. Biobrensel kan i </w:t>
      </w:r>
      <w:proofErr w:type="spellStart"/>
      <w:r w:rsidRPr="001D3665">
        <w:t>dei</w:t>
      </w:r>
      <w:proofErr w:type="spellEnd"/>
      <w:r w:rsidRPr="001D3665">
        <w:t xml:space="preserve"> aller fleste tilfelle erstatte fossile brensel </w:t>
      </w:r>
      <w:proofErr w:type="spellStart"/>
      <w:r w:rsidRPr="001D3665">
        <w:t>utan</w:t>
      </w:r>
      <w:proofErr w:type="spellEnd"/>
      <w:r w:rsidRPr="001D3665">
        <w:t xml:space="preserve"> større </w:t>
      </w:r>
      <w:proofErr w:type="spellStart"/>
      <w:r w:rsidRPr="001D3665">
        <w:t>tilpassingar</w:t>
      </w:r>
      <w:proofErr w:type="spellEnd"/>
      <w:r w:rsidRPr="001D3665">
        <w:t xml:space="preserve">, </w:t>
      </w:r>
      <w:proofErr w:type="spellStart"/>
      <w:r w:rsidRPr="001D3665">
        <w:t>medan</w:t>
      </w:r>
      <w:proofErr w:type="spellEnd"/>
      <w:r w:rsidRPr="001D3665">
        <w:t xml:space="preserve"> elektrisk oppvarming kan </w:t>
      </w:r>
      <w:proofErr w:type="spellStart"/>
      <w:r w:rsidRPr="001D3665">
        <w:t>vere</w:t>
      </w:r>
      <w:proofErr w:type="spellEnd"/>
      <w:r w:rsidRPr="001D3665">
        <w:t xml:space="preserve"> aktuelt der det </w:t>
      </w:r>
      <w:proofErr w:type="spellStart"/>
      <w:r w:rsidRPr="001D3665">
        <w:t>ikkje</w:t>
      </w:r>
      <w:proofErr w:type="spellEnd"/>
      <w:r w:rsidRPr="001D3665">
        <w:t xml:space="preserve"> er behov for svært høge </w:t>
      </w:r>
      <w:proofErr w:type="spellStart"/>
      <w:r w:rsidRPr="001D3665">
        <w:t>temperaturar</w:t>
      </w:r>
      <w:proofErr w:type="spellEnd"/>
      <w:r w:rsidRPr="001D3665">
        <w:t xml:space="preserve"> eller raske </w:t>
      </w:r>
      <w:proofErr w:type="spellStart"/>
      <w:r w:rsidRPr="001D3665">
        <w:t>temperaturaukar</w:t>
      </w:r>
      <w:proofErr w:type="spellEnd"/>
      <w:r w:rsidRPr="001D3665">
        <w:t xml:space="preserve">. Bruk av hydrogen har førebels svært høge </w:t>
      </w:r>
      <w:proofErr w:type="spellStart"/>
      <w:r w:rsidRPr="001D3665">
        <w:t>tiltakskostnadar</w:t>
      </w:r>
      <w:proofErr w:type="spellEnd"/>
      <w:r w:rsidRPr="001D3665">
        <w:t xml:space="preserve"> – opp mot 13 000–14 000 kroner per tonn CO</w:t>
      </w:r>
      <w:r w:rsidRPr="001D3665">
        <w:rPr>
          <w:rStyle w:val="skrift-senket"/>
        </w:rPr>
        <w:t>2</w:t>
      </w:r>
      <w:r w:rsidRPr="001D3665">
        <w:t xml:space="preserve">. Avgifta vil </w:t>
      </w:r>
      <w:proofErr w:type="spellStart"/>
      <w:r w:rsidRPr="001D3665">
        <w:t>gjere</w:t>
      </w:r>
      <w:proofErr w:type="spellEnd"/>
      <w:r w:rsidRPr="001D3665">
        <w:t xml:space="preserve"> det </w:t>
      </w:r>
      <w:proofErr w:type="spellStart"/>
      <w:r w:rsidRPr="001D3665">
        <w:t>meir</w:t>
      </w:r>
      <w:proofErr w:type="spellEnd"/>
      <w:r w:rsidRPr="001D3665">
        <w:t xml:space="preserve"> </w:t>
      </w:r>
      <w:proofErr w:type="spellStart"/>
      <w:r w:rsidRPr="001D3665">
        <w:t>lønsamt</w:t>
      </w:r>
      <w:proofErr w:type="spellEnd"/>
      <w:r w:rsidRPr="001D3665">
        <w:t xml:space="preserve"> å nytte alternativ til fossil fyring.</w:t>
      </w:r>
    </w:p>
    <w:p w14:paraId="20536FD9" w14:textId="77777777" w:rsidR="00BC371A" w:rsidRPr="001D3665" w:rsidRDefault="00BC371A" w:rsidP="001D3665">
      <w:pPr>
        <w:pStyle w:val="avsnitt-tittel"/>
      </w:pPr>
      <w:r w:rsidRPr="001D3665">
        <w:t>Det nye referansesystemet og ETS2</w:t>
      </w:r>
    </w:p>
    <w:p w14:paraId="3BF6AE4D" w14:textId="77777777" w:rsidR="00BC371A" w:rsidRPr="001D3665" w:rsidRDefault="00BC371A" w:rsidP="001D3665">
      <w:r w:rsidRPr="001D3665">
        <w:t xml:space="preserve">Statsstøtteregelverket har </w:t>
      </w:r>
      <w:proofErr w:type="spellStart"/>
      <w:r w:rsidRPr="001D3665">
        <w:t>tidlegare</w:t>
      </w:r>
      <w:proofErr w:type="spellEnd"/>
      <w:r w:rsidRPr="001D3665">
        <w:t xml:space="preserve"> gjort at det </w:t>
      </w:r>
      <w:proofErr w:type="spellStart"/>
      <w:r w:rsidRPr="001D3665">
        <w:t>ikkje</w:t>
      </w:r>
      <w:proofErr w:type="spellEnd"/>
      <w:r w:rsidRPr="001D3665">
        <w:t xml:space="preserve"> har </w:t>
      </w:r>
      <w:proofErr w:type="spellStart"/>
      <w:r w:rsidRPr="001D3665">
        <w:t>vore</w:t>
      </w:r>
      <w:proofErr w:type="spellEnd"/>
      <w:r w:rsidRPr="001D3665">
        <w:t xml:space="preserve"> </w:t>
      </w:r>
      <w:proofErr w:type="spellStart"/>
      <w:r w:rsidRPr="001D3665">
        <w:t>mogleg</w:t>
      </w:r>
      <w:proofErr w:type="spellEnd"/>
      <w:r w:rsidRPr="001D3665">
        <w:t xml:space="preserve"> å frita kvotepliktige </w:t>
      </w:r>
      <w:proofErr w:type="spellStart"/>
      <w:r w:rsidRPr="001D3665">
        <w:t>verksemder</w:t>
      </w:r>
      <w:proofErr w:type="spellEnd"/>
      <w:r w:rsidRPr="001D3665">
        <w:t xml:space="preserve"> </w:t>
      </w:r>
      <w:proofErr w:type="spellStart"/>
      <w:r w:rsidRPr="001D3665">
        <w:t>frå</w:t>
      </w:r>
      <w:proofErr w:type="spellEnd"/>
      <w:r w:rsidRPr="001D3665">
        <w:t xml:space="preserve"> avgiftsplikt. I samband med budsjettet for 2026 vart det </w:t>
      </w:r>
      <w:proofErr w:type="spellStart"/>
      <w:r w:rsidRPr="001D3665">
        <w:t>vedteke</w:t>
      </w:r>
      <w:proofErr w:type="spellEnd"/>
      <w:r w:rsidRPr="001D3665">
        <w:t xml:space="preserve"> </w:t>
      </w:r>
      <w:proofErr w:type="spellStart"/>
      <w:r w:rsidRPr="001D3665">
        <w:t>fleire</w:t>
      </w:r>
      <w:proofErr w:type="spellEnd"/>
      <w:r w:rsidRPr="001D3665">
        <w:t xml:space="preserve"> </w:t>
      </w:r>
      <w:proofErr w:type="spellStart"/>
      <w:r w:rsidRPr="001D3665">
        <w:t>endringar</w:t>
      </w:r>
      <w:proofErr w:type="spellEnd"/>
      <w:r w:rsidRPr="001D3665">
        <w:t xml:space="preserve"> i CO</w:t>
      </w:r>
      <w:r w:rsidRPr="001D3665">
        <w:rPr>
          <w:rStyle w:val="skrift-senket"/>
        </w:rPr>
        <w:t>2</w:t>
      </w:r>
      <w:r w:rsidRPr="001D3665">
        <w:t xml:space="preserve">-avgifta på mineralske produkt, sjå punkt 9.3.1 over. </w:t>
      </w:r>
      <w:proofErr w:type="spellStart"/>
      <w:r w:rsidRPr="001D3665">
        <w:t>Endringane</w:t>
      </w:r>
      <w:proofErr w:type="spellEnd"/>
      <w:r w:rsidRPr="001D3665">
        <w:t xml:space="preserve"> innebar </w:t>
      </w:r>
      <w:proofErr w:type="spellStart"/>
      <w:r w:rsidRPr="001D3665">
        <w:t>eit</w:t>
      </w:r>
      <w:proofErr w:type="spellEnd"/>
      <w:r w:rsidRPr="001D3665">
        <w:t xml:space="preserve"> konsistent system, der kvotepliktige utslepp vert prisa gjennom kvotesystemet og </w:t>
      </w:r>
      <w:proofErr w:type="spellStart"/>
      <w:r w:rsidRPr="001D3665">
        <w:t>ikkje</w:t>
      </w:r>
      <w:proofErr w:type="spellEnd"/>
      <w:r w:rsidRPr="001D3665">
        <w:t>-kvotepliktige utslepp gjennom avgift. I samsvar med dette systemet la regjeringa opp til å innføre CO</w:t>
      </w:r>
      <w:r w:rsidRPr="001D3665">
        <w:rPr>
          <w:rStyle w:val="skrift-senket"/>
        </w:rPr>
        <w:t>2</w:t>
      </w:r>
      <w:r w:rsidRPr="001D3665">
        <w:t xml:space="preserve">-avgift på utslepp </w:t>
      </w:r>
      <w:proofErr w:type="spellStart"/>
      <w:r w:rsidRPr="001D3665">
        <w:t>frå</w:t>
      </w:r>
      <w:proofErr w:type="spellEnd"/>
      <w:r w:rsidRPr="001D3665">
        <w:t xml:space="preserve"> bruk av naturgass og LPG nytta av </w:t>
      </w:r>
      <w:proofErr w:type="spellStart"/>
      <w:r w:rsidRPr="001D3665">
        <w:t>ikkje</w:t>
      </w:r>
      <w:proofErr w:type="spellEnd"/>
      <w:r w:rsidRPr="001D3665">
        <w:t xml:space="preserve">-kvotepliktige </w:t>
      </w:r>
      <w:proofErr w:type="spellStart"/>
      <w:r w:rsidRPr="001D3665">
        <w:t>verksemder</w:t>
      </w:r>
      <w:proofErr w:type="spellEnd"/>
      <w:r w:rsidRPr="001D3665">
        <w:t xml:space="preserve"> med kjemiske og metallurgiske </w:t>
      </w:r>
      <w:proofErr w:type="spellStart"/>
      <w:r w:rsidRPr="001D3665">
        <w:t>prosessar</w:t>
      </w:r>
      <w:proofErr w:type="spellEnd"/>
      <w:r w:rsidRPr="001D3665">
        <w:t>.</w:t>
      </w:r>
    </w:p>
    <w:p w14:paraId="01898AFB" w14:textId="77777777" w:rsidR="00BC371A" w:rsidRPr="001D3665" w:rsidRDefault="00BC371A" w:rsidP="001D3665">
      <w:r w:rsidRPr="001D3665">
        <w:t xml:space="preserve">Dersom </w:t>
      </w:r>
      <w:proofErr w:type="spellStart"/>
      <w:r w:rsidRPr="001D3665">
        <w:t>ikkje</w:t>
      </w:r>
      <w:proofErr w:type="spellEnd"/>
      <w:r w:rsidRPr="001D3665">
        <w:t xml:space="preserve">-kvotepliktige </w:t>
      </w:r>
      <w:proofErr w:type="spellStart"/>
      <w:r w:rsidRPr="001D3665">
        <w:t>verksemder</w:t>
      </w:r>
      <w:proofErr w:type="spellEnd"/>
      <w:r w:rsidRPr="001D3665">
        <w:t xml:space="preserve"> </w:t>
      </w:r>
      <w:proofErr w:type="spellStart"/>
      <w:r w:rsidRPr="001D3665">
        <w:t>ikkje</w:t>
      </w:r>
      <w:proofErr w:type="spellEnd"/>
      <w:r w:rsidRPr="001D3665">
        <w:t xml:space="preserve"> vert pålagde avgift, vil dette bryte med det nye systemet som </w:t>
      </w:r>
      <w:proofErr w:type="spellStart"/>
      <w:r w:rsidRPr="001D3665">
        <w:t>Noreg</w:t>
      </w:r>
      <w:proofErr w:type="spellEnd"/>
      <w:r w:rsidRPr="001D3665">
        <w:t xml:space="preserve"> har argumentert for og fått gjennomslag for hos EFTA sitt </w:t>
      </w:r>
      <w:proofErr w:type="spellStart"/>
      <w:r w:rsidRPr="001D3665">
        <w:t>overvakingsorgan</w:t>
      </w:r>
      <w:proofErr w:type="spellEnd"/>
      <w:r w:rsidRPr="001D3665">
        <w:t xml:space="preserve"> (ESA). Dei juridiske </w:t>
      </w:r>
      <w:proofErr w:type="spellStart"/>
      <w:r w:rsidRPr="001D3665">
        <w:t>implikasjonane</w:t>
      </w:r>
      <w:proofErr w:type="spellEnd"/>
      <w:r w:rsidRPr="001D3665">
        <w:t xml:space="preserve"> er usikre, men det er risiko for at kvotepliktige </w:t>
      </w:r>
      <w:proofErr w:type="spellStart"/>
      <w:r w:rsidRPr="001D3665">
        <w:t>verksemder</w:t>
      </w:r>
      <w:proofErr w:type="spellEnd"/>
      <w:r w:rsidRPr="001D3665">
        <w:t xml:space="preserve"> i same sektor kan klage fritaket inn for ESA, då det </w:t>
      </w:r>
      <w:proofErr w:type="spellStart"/>
      <w:r w:rsidRPr="001D3665">
        <w:t>inneber</w:t>
      </w:r>
      <w:proofErr w:type="spellEnd"/>
      <w:r w:rsidRPr="001D3665">
        <w:t xml:space="preserve"> forskjellsbehandling. Dei </w:t>
      </w:r>
      <w:proofErr w:type="spellStart"/>
      <w:r w:rsidRPr="001D3665">
        <w:t>ikkje</w:t>
      </w:r>
      <w:proofErr w:type="spellEnd"/>
      <w:r w:rsidRPr="001D3665">
        <w:t xml:space="preserve">-kvotepliktige </w:t>
      </w:r>
      <w:proofErr w:type="spellStart"/>
      <w:r w:rsidRPr="001D3665">
        <w:t>verksemdene</w:t>
      </w:r>
      <w:proofErr w:type="spellEnd"/>
      <w:r w:rsidRPr="001D3665">
        <w:t xml:space="preserve"> risikerer då krav om å betale avgift med </w:t>
      </w:r>
      <w:proofErr w:type="spellStart"/>
      <w:r w:rsidRPr="001D3665">
        <w:t>tilbakeverkande</w:t>
      </w:r>
      <w:proofErr w:type="spellEnd"/>
      <w:r w:rsidRPr="001D3665">
        <w:t xml:space="preserve"> kraft.</w:t>
      </w:r>
    </w:p>
    <w:p w14:paraId="14A56BD8" w14:textId="77777777" w:rsidR="00BC371A" w:rsidRPr="001D3665" w:rsidRDefault="00BC371A" w:rsidP="001D3665">
      <w:r w:rsidRPr="001D3665">
        <w:t xml:space="preserve">Utsleppa </w:t>
      </w:r>
      <w:proofErr w:type="spellStart"/>
      <w:r w:rsidRPr="001D3665">
        <w:t>frå</w:t>
      </w:r>
      <w:proofErr w:type="spellEnd"/>
      <w:r w:rsidRPr="001D3665">
        <w:t xml:space="preserve"> </w:t>
      </w:r>
      <w:proofErr w:type="spellStart"/>
      <w:r w:rsidRPr="001D3665">
        <w:t>desse</w:t>
      </w:r>
      <w:proofErr w:type="spellEnd"/>
      <w:r w:rsidRPr="001D3665">
        <w:t xml:space="preserve"> </w:t>
      </w:r>
      <w:proofErr w:type="spellStart"/>
      <w:r w:rsidRPr="001D3665">
        <w:t>verksemdene</w:t>
      </w:r>
      <w:proofErr w:type="spellEnd"/>
      <w:r w:rsidRPr="001D3665">
        <w:t xml:space="preserve"> vil i alle høve måtte </w:t>
      </w:r>
      <w:proofErr w:type="spellStart"/>
      <w:r w:rsidRPr="001D3665">
        <w:t>verte</w:t>
      </w:r>
      <w:proofErr w:type="spellEnd"/>
      <w:r w:rsidRPr="001D3665">
        <w:t xml:space="preserve"> pålagde </w:t>
      </w:r>
      <w:proofErr w:type="spellStart"/>
      <w:r w:rsidRPr="001D3665">
        <w:t>ein</w:t>
      </w:r>
      <w:proofErr w:type="spellEnd"/>
      <w:r w:rsidRPr="001D3665">
        <w:t xml:space="preserve"> utsleppspris </w:t>
      </w:r>
      <w:proofErr w:type="spellStart"/>
      <w:r w:rsidRPr="001D3665">
        <w:t>frå</w:t>
      </w:r>
      <w:proofErr w:type="spellEnd"/>
      <w:r w:rsidRPr="001D3665">
        <w:t xml:space="preserve"> 1. januar 2028. Dette følgjer av EUs nye kvotesystem (ETS2). ETS2 etablerer </w:t>
      </w:r>
      <w:proofErr w:type="spellStart"/>
      <w:r w:rsidRPr="001D3665">
        <w:t>ein</w:t>
      </w:r>
      <w:proofErr w:type="spellEnd"/>
      <w:r w:rsidRPr="001D3665">
        <w:t xml:space="preserve"> sams </w:t>
      </w:r>
      <w:proofErr w:type="spellStart"/>
      <w:r w:rsidRPr="001D3665">
        <w:t>klimakvotemarknad</w:t>
      </w:r>
      <w:proofErr w:type="spellEnd"/>
      <w:r w:rsidRPr="001D3665">
        <w:t xml:space="preserve"> for CO</w:t>
      </w:r>
      <w:r w:rsidRPr="001D3665">
        <w:rPr>
          <w:rStyle w:val="skrift-senket"/>
        </w:rPr>
        <w:t>2</w:t>
      </w:r>
      <w:r w:rsidRPr="001D3665">
        <w:t xml:space="preserve">-utslepp </w:t>
      </w:r>
      <w:proofErr w:type="spellStart"/>
      <w:r w:rsidRPr="001D3665">
        <w:t>frå</w:t>
      </w:r>
      <w:proofErr w:type="spellEnd"/>
      <w:r w:rsidRPr="001D3665">
        <w:t xml:space="preserve"> forbrenning av brensel i vegtransport, bygg og andre </w:t>
      </w:r>
      <w:proofErr w:type="spellStart"/>
      <w:r w:rsidRPr="001D3665">
        <w:t>utvalde</w:t>
      </w:r>
      <w:proofErr w:type="spellEnd"/>
      <w:r w:rsidRPr="001D3665">
        <w:t xml:space="preserve"> </w:t>
      </w:r>
      <w:proofErr w:type="spellStart"/>
      <w:r w:rsidRPr="001D3665">
        <w:t>sektorar</w:t>
      </w:r>
      <w:proofErr w:type="spellEnd"/>
      <w:r w:rsidRPr="001D3665">
        <w:t xml:space="preserve">, inkludert </w:t>
      </w:r>
      <w:proofErr w:type="spellStart"/>
      <w:r w:rsidRPr="001D3665">
        <w:t>verksemder</w:t>
      </w:r>
      <w:proofErr w:type="spellEnd"/>
      <w:r w:rsidRPr="001D3665">
        <w:t xml:space="preserve"> med kjemiske og metallurgiske </w:t>
      </w:r>
      <w:proofErr w:type="spellStart"/>
      <w:r w:rsidRPr="001D3665">
        <w:t>prosessar</w:t>
      </w:r>
      <w:proofErr w:type="spellEnd"/>
      <w:r w:rsidRPr="001D3665">
        <w:t xml:space="preserve"> </w:t>
      </w:r>
      <w:proofErr w:type="spellStart"/>
      <w:r w:rsidRPr="001D3665">
        <w:t>utanfor</w:t>
      </w:r>
      <w:proofErr w:type="spellEnd"/>
      <w:r w:rsidRPr="001D3665">
        <w:t xml:space="preserve"> EU ETS. Det </w:t>
      </w:r>
      <w:proofErr w:type="spellStart"/>
      <w:r w:rsidRPr="001D3665">
        <w:t>inneber</w:t>
      </w:r>
      <w:proofErr w:type="spellEnd"/>
      <w:r w:rsidRPr="001D3665">
        <w:t xml:space="preserve"> at òg </w:t>
      </w:r>
      <w:proofErr w:type="spellStart"/>
      <w:r w:rsidRPr="001D3665">
        <w:t>tilsvarande</w:t>
      </w:r>
      <w:proofErr w:type="spellEnd"/>
      <w:r w:rsidRPr="001D3665">
        <w:t xml:space="preserve"> industri i EU vert pålagd </w:t>
      </w:r>
      <w:proofErr w:type="spellStart"/>
      <w:r w:rsidRPr="001D3665">
        <w:t>ein</w:t>
      </w:r>
      <w:proofErr w:type="spellEnd"/>
      <w:r w:rsidRPr="001D3665">
        <w:t xml:space="preserve"> utsleppspris. Klimakvotedirektivet gjev </w:t>
      </w:r>
      <w:proofErr w:type="spellStart"/>
      <w:r w:rsidRPr="001D3665">
        <w:t>Noreg</w:t>
      </w:r>
      <w:proofErr w:type="spellEnd"/>
      <w:r w:rsidRPr="001D3665">
        <w:t xml:space="preserve"> høve til å mellombels frita </w:t>
      </w:r>
      <w:proofErr w:type="spellStart"/>
      <w:r w:rsidRPr="001D3665">
        <w:t>brenselsoperatørar</w:t>
      </w:r>
      <w:proofErr w:type="spellEnd"/>
      <w:r w:rsidRPr="001D3665">
        <w:t xml:space="preserve"> </w:t>
      </w:r>
      <w:proofErr w:type="spellStart"/>
      <w:r w:rsidRPr="001D3665">
        <w:t>frå</w:t>
      </w:r>
      <w:proofErr w:type="spellEnd"/>
      <w:r w:rsidRPr="001D3665">
        <w:t xml:space="preserve"> plikta til å svare </w:t>
      </w:r>
      <w:proofErr w:type="spellStart"/>
      <w:r w:rsidRPr="001D3665">
        <w:t>kvotar</w:t>
      </w:r>
      <w:proofErr w:type="spellEnd"/>
      <w:r w:rsidRPr="001D3665">
        <w:t xml:space="preserve"> under ETS2 for perioden 2028–2030. Regjeringa har </w:t>
      </w:r>
      <w:proofErr w:type="spellStart"/>
      <w:r w:rsidRPr="001D3665">
        <w:t>enno</w:t>
      </w:r>
      <w:proofErr w:type="spellEnd"/>
      <w:r w:rsidRPr="001D3665">
        <w:t xml:space="preserve"> </w:t>
      </w:r>
      <w:proofErr w:type="spellStart"/>
      <w:r w:rsidRPr="001D3665">
        <w:t>ikkje</w:t>
      </w:r>
      <w:proofErr w:type="spellEnd"/>
      <w:r w:rsidRPr="001D3665">
        <w:t xml:space="preserve"> </w:t>
      </w:r>
      <w:proofErr w:type="spellStart"/>
      <w:r w:rsidRPr="001D3665">
        <w:t>teke</w:t>
      </w:r>
      <w:proofErr w:type="spellEnd"/>
      <w:r w:rsidRPr="001D3665">
        <w:t xml:space="preserve"> stilling til om </w:t>
      </w:r>
      <w:proofErr w:type="spellStart"/>
      <w:r w:rsidRPr="001D3665">
        <w:t>eit</w:t>
      </w:r>
      <w:proofErr w:type="spellEnd"/>
      <w:r w:rsidRPr="001D3665">
        <w:t xml:space="preserve"> slikt unntak skal </w:t>
      </w:r>
      <w:proofErr w:type="spellStart"/>
      <w:r w:rsidRPr="001D3665">
        <w:t>nyttast</w:t>
      </w:r>
      <w:proofErr w:type="spellEnd"/>
      <w:r w:rsidRPr="001D3665">
        <w:t xml:space="preserve">. </w:t>
      </w:r>
      <w:proofErr w:type="spellStart"/>
      <w:r w:rsidRPr="001D3665">
        <w:t>Ein</w:t>
      </w:r>
      <w:proofErr w:type="spellEnd"/>
      <w:r w:rsidRPr="001D3665">
        <w:t xml:space="preserve"> </w:t>
      </w:r>
      <w:proofErr w:type="spellStart"/>
      <w:r w:rsidRPr="001D3665">
        <w:t>føresetnad</w:t>
      </w:r>
      <w:proofErr w:type="spellEnd"/>
      <w:r w:rsidRPr="001D3665">
        <w:t xml:space="preserve"> for å få unntak </w:t>
      </w:r>
      <w:proofErr w:type="spellStart"/>
      <w:r w:rsidRPr="001D3665">
        <w:t>frå</w:t>
      </w:r>
      <w:proofErr w:type="spellEnd"/>
      <w:r w:rsidRPr="001D3665">
        <w:t xml:space="preserve"> kvoteplikt er at alle utslepp som er omfatta av ETS2, </w:t>
      </w:r>
      <w:proofErr w:type="spellStart"/>
      <w:r w:rsidRPr="001D3665">
        <w:t>allereie</w:t>
      </w:r>
      <w:proofErr w:type="spellEnd"/>
      <w:r w:rsidRPr="001D3665">
        <w:t xml:space="preserve"> er pålagde ei avgift på sine CO</w:t>
      </w:r>
      <w:r w:rsidRPr="001D3665">
        <w:rPr>
          <w:rStyle w:val="skrift-senket"/>
        </w:rPr>
        <w:t>2</w:t>
      </w:r>
      <w:r w:rsidRPr="001D3665">
        <w:t xml:space="preserve">-utslepp som overstig ETS2-prisen. Dette </w:t>
      </w:r>
      <w:proofErr w:type="spellStart"/>
      <w:r w:rsidRPr="001D3665">
        <w:t>inneber</w:t>
      </w:r>
      <w:proofErr w:type="spellEnd"/>
      <w:r w:rsidRPr="001D3665">
        <w:t xml:space="preserve"> at dersom </w:t>
      </w:r>
      <w:proofErr w:type="spellStart"/>
      <w:r w:rsidRPr="001D3665">
        <w:t>Noreg</w:t>
      </w:r>
      <w:proofErr w:type="spellEnd"/>
      <w:r w:rsidRPr="001D3665">
        <w:t xml:space="preserve"> skal ha høve til å innføre </w:t>
      </w:r>
      <w:proofErr w:type="spellStart"/>
      <w:r w:rsidRPr="001D3665">
        <w:t>mellombelse</w:t>
      </w:r>
      <w:proofErr w:type="spellEnd"/>
      <w:r w:rsidRPr="001D3665">
        <w:t xml:space="preserve"> unntak, må utsleppa </w:t>
      </w:r>
      <w:proofErr w:type="spellStart"/>
      <w:r w:rsidRPr="001D3665">
        <w:t>frå</w:t>
      </w:r>
      <w:proofErr w:type="spellEnd"/>
      <w:r w:rsidRPr="001D3665">
        <w:t xml:space="preserve"> forbrenning av naturgass og LPG til </w:t>
      </w:r>
      <w:proofErr w:type="spellStart"/>
      <w:r w:rsidRPr="001D3665">
        <w:t>ikkje</w:t>
      </w:r>
      <w:proofErr w:type="spellEnd"/>
      <w:r w:rsidRPr="001D3665">
        <w:t xml:space="preserve">-kvotepliktige </w:t>
      </w:r>
      <w:proofErr w:type="spellStart"/>
      <w:r w:rsidRPr="001D3665">
        <w:t>verksemder</w:t>
      </w:r>
      <w:proofErr w:type="spellEnd"/>
      <w:r w:rsidRPr="001D3665">
        <w:t xml:space="preserve"> med kjemiske og metallurgiske </w:t>
      </w:r>
      <w:proofErr w:type="spellStart"/>
      <w:r w:rsidRPr="001D3665">
        <w:t>prosessar</w:t>
      </w:r>
      <w:proofErr w:type="spellEnd"/>
      <w:r w:rsidRPr="001D3665">
        <w:t xml:space="preserve"> </w:t>
      </w:r>
      <w:proofErr w:type="spellStart"/>
      <w:r w:rsidRPr="001D3665">
        <w:t>vere</w:t>
      </w:r>
      <w:proofErr w:type="spellEnd"/>
      <w:r w:rsidRPr="001D3665">
        <w:t xml:space="preserve"> pålagde CO</w:t>
      </w:r>
      <w:r w:rsidRPr="001D3665">
        <w:rPr>
          <w:rStyle w:val="skrift-senket"/>
        </w:rPr>
        <w:t>2</w:t>
      </w:r>
      <w:r w:rsidRPr="001D3665">
        <w:t xml:space="preserve">-avgift </w:t>
      </w:r>
      <w:proofErr w:type="spellStart"/>
      <w:r w:rsidRPr="001D3665">
        <w:t>innan</w:t>
      </w:r>
      <w:proofErr w:type="spellEnd"/>
      <w:r w:rsidRPr="001D3665">
        <w:t xml:space="preserve"> ETS2 vert sett i verk 1. januar 2028.</w:t>
      </w:r>
    </w:p>
    <w:p w14:paraId="2926FAD7" w14:textId="77777777" w:rsidR="00BC371A" w:rsidRPr="001D3665" w:rsidRDefault="00BC371A" w:rsidP="001D3665">
      <w:pPr>
        <w:pStyle w:val="avsnitt-tittel"/>
      </w:pPr>
      <w:proofErr w:type="spellStart"/>
      <w:r w:rsidRPr="001D3665">
        <w:t>Vurderingar</w:t>
      </w:r>
      <w:proofErr w:type="spellEnd"/>
    </w:p>
    <w:p w14:paraId="5771C004" w14:textId="77777777" w:rsidR="00BC371A" w:rsidRPr="001D3665" w:rsidRDefault="00BC371A" w:rsidP="001D3665">
      <w:proofErr w:type="spellStart"/>
      <w:r w:rsidRPr="001D3665">
        <w:t>Sidan</w:t>
      </w:r>
      <w:proofErr w:type="spellEnd"/>
      <w:r w:rsidRPr="001D3665">
        <w:t xml:space="preserve"> 2019 har </w:t>
      </w:r>
      <w:proofErr w:type="spellStart"/>
      <w:r w:rsidRPr="001D3665">
        <w:t>fleire</w:t>
      </w:r>
      <w:proofErr w:type="spellEnd"/>
      <w:r w:rsidRPr="001D3665">
        <w:t xml:space="preserve"> </w:t>
      </w:r>
      <w:proofErr w:type="spellStart"/>
      <w:r w:rsidRPr="001D3665">
        <w:t>regjeringar</w:t>
      </w:r>
      <w:proofErr w:type="spellEnd"/>
      <w:r w:rsidRPr="001D3665">
        <w:t xml:space="preserve"> foreslått at </w:t>
      </w:r>
      <w:proofErr w:type="spellStart"/>
      <w:r w:rsidRPr="001D3665">
        <w:t>dei</w:t>
      </w:r>
      <w:proofErr w:type="spellEnd"/>
      <w:r w:rsidRPr="001D3665">
        <w:t xml:space="preserve"> </w:t>
      </w:r>
      <w:proofErr w:type="spellStart"/>
      <w:r w:rsidRPr="001D3665">
        <w:t>ikkje</w:t>
      </w:r>
      <w:proofErr w:type="spellEnd"/>
      <w:r w:rsidRPr="001D3665">
        <w:t xml:space="preserve">-kvotepliktige </w:t>
      </w:r>
      <w:proofErr w:type="spellStart"/>
      <w:r w:rsidRPr="001D3665">
        <w:t>verksemdene</w:t>
      </w:r>
      <w:proofErr w:type="spellEnd"/>
      <w:r w:rsidRPr="001D3665">
        <w:t xml:space="preserve"> i </w:t>
      </w:r>
      <w:proofErr w:type="spellStart"/>
      <w:r w:rsidRPr="001D3665">
        <w:t>desse</w:t>
      </w:r>
      <w:proofErr w:type="spellEnd"/>
      <w:r w:rsidRPr="001D3665">
        <w:t xml:space="preserve"> </w:t>
      </w:r>
      <w:proofErr w:type="spellStart"/>
      <w:r w:rsidRPr="001D3665">
        <w:t>bransjane</w:t>
      </w:r>
      <w:proofErr w:type="spellEnd"/>
      <w:r w:rsidRPr="001D3665">
        <w:t xml:space="preserve"> skal </w:t>
      </w:r>
      <w:proofErr w:type="spellStart"/>
      <w:r w:rsidRPr="001D3665">
        <w:t>verte</w:t>
      </w:r>
      <w:proofErr w:type="spellEnd"/>
      <w:r w:rsidRPr="001D3665">
        <w:t xml:space="preserve"> pålagde CO</w:t>
      </w:r>
      <w:r w:rsidRPr="001D3665">
        <w:rPr>
          <w:rStyle w:val="skrift-senket"/>
        </w:rPr>
        <w:t>2</w:t>
      </w:r>
      <w:r w:rsidRPr="001D3665">
        <w:t xml:space="preserve">-avgift, </w:t>
      </w:r>
      <w:proofErr w:type="spellStart"/>
      <w:r w:rsidRPr="001D3665">
        <w:t>føresett</w:t>
      </w:r>
      <w:proofErr w:type="spellEnd"/>
      <w:r w:rsidRPr="001D3665">
        <w:t xml:space="preserve"> at </w:t>
      </w:r>
      <w:proofErr w:type="spellStart"/>
      <w:r w:rsidRPr="001D3665">
        <w:t>dei</w:t>
      </w:r>
      <w:proofErr w:type="spellEnd"/>
      <w:r w:rsidRPr="001D3665">
        <w:t xml:space="preserve"> kvotepliktige </w:t>
      </w:r>
      <w:proofErr w:type="spellStart"/>
      <w:r w:rsidRPr="001D3665">
        <w:t>verksemdene</w:t>
      </w:r>
      <w:proofErr w:type="spellEnd"/>
      <w:r w:rsidRPr="001D3665">
        <w:t xml:space="preserve"> vert </w:t>
      </w:r>
      <w:proofErr w:type="spellStart"/>
      <w:r w:rsidRPr="001D3665">
        <w:t>fritekne</w:t>
      </w:r>
      <w:proofErr w:type="spellEnd"/>
      <w:r w:rsidRPr="001D3665">
        <w:t xml:space="preserve"> </w:t>
      </w:r>
      <w:r w:rsidRPr="001D3665">
        <w:lastRenderedPageBreak/>
        <w:t xml:space="preserve">for avgift. ESA har </w:t>
      </w:r>
      <w:proofErr w:type="spellStart"/>
      <w:r w:rsidRPr="001D3665">
        <w:t>no</w:t>
      </w:r>
      <w:proofErr w:type="spellEnd"/>
      <w:r w:rsidRPr="001D3665">
        <w:t xml:space="preserve"> gjeve aksept for å frita kvotepliktige </w:t>
      </w:r>
      <w:proofErr w:type="spellStart"/>
      <w:r w:rsidRPr="001D3665">
        <w:t>verksemder</w:t>
      </w:r>
      <w:proofErr w:type="spellEnd"/>
      <w:r w:rsidRPr="001D3665">
        <w:t xml:space="preserve"> for avgift, som </w:t>
      </w:r>
      <w:proofErr w:type="spellStart"/>
      <w:r w:rsidRPr="001D3665">
        <w:t>gjer</w:t>
      </w:r>
      <w:proofErr w:type="spellEnd"/>
      <w:r w:rsidRPr="001D3665">
        <w:t xml:space="preserve"> det </w:t>
      </w:r>
      <w:proofErr w:type="spellStart"/>
      <w:r w:rsidRPr="001D3665">
        <w:t>mogleg</w:t>
      </w:r>
      <w:proofErr w:type="spellEnd"/>
      <w:r w:rsidRPr="001D3665">
        <w:t xml:space="preserve"> å </w:t>
      </w:r>
      <w:proofErr w:type="spellStart"/>
      <w:r w:rsidRPr="001D3665">
        <w:t>følgje</w:t>
      </w:r>
      <w:proofErr w:type="spellEnd"/>
      <w:r w:rsidRPr="001D3665">
        <w:t xml:space="preserve"> opp </w:t>
      </w:r>
      <w:proofErr w:type="spellStart"/>
      <w:r w:rsidRPr="001D3665">
        <w:t>vekslande</w:t>
      </w:r>
      <w:proofErr w:type="spellEnd"/>
      <w:r w:rsidRPr="001D3665">
        <w:t xml:space="preserve"> </w:t>
      </w:r>
      <w:proofErr w:type="spellStart"/>
      <w:r w:rsidRPr="001D3665">
        <w:t>regjeringar</w:t>
      </w:r>
      <w:proofErr w:type="spellEnd"/>
      <w:r w:rsidRPr="001D3665">
        <w:t xml:space="preserve"> sine framlegg </w:t>
      </w:r>
      <w:proofErr w:type="spellStart"/>
      <w:r w:rsidRPr="001D3665">
        <w:t>sidan</w:t>
      </w:r>
      <w:proofErr w:type="spellEnd"/>
      <w:r w:rsidRPr="001D3665">
        <w:t xml:space="preserve"> 2019.</w:t>
      </w:r>
    </w:p>
    <w:p w14:paraId="41E03A99" w14:textId="77777777" w:rsidR="00BC371A" w:rsidRPr="001D3665" w:rsidRDefault="00BC371A" w:rsidP="001D3665">
      <w:r w:rsidRPr="001D3665">
        <w:t xml:space="preserve">I same periode har EU utarbeidd og </w:t>
      </w:r>
      <w:proofErr w:type="spellStart"/>
      <w:r w:rsidRPr="001D3665">
        <w:t>vedteke</w:t>
      </w:r>
      <w:proofErr w:type="spellEnd"/>
      <w:r w:rsidRPr="001D3665">
        <w:t xml:space="preserve"> </w:t>
      </w:r>
      <w:proofErr w:type="spellStart"/>
      <w:r w:rsidRPr="001D3665">
        <w:t>eit</w:t>
      </w:r>
      <w:proofErr w:type="spellEnd"/>
      <w:r w:rsidRPr="001D3665">
        <w:t xml:space="preserve"> nytt kvotesystem, ETS2, som vil omfatte </w:t>
      </w:r>
      <w:proofErr w:type="spellStart"/>
      <w:r w:rsidRPr="001D3665">
        <w:t>dei</w:t>
      </w:r>
      <w:proofErr w:type="spellEnd"/>
      <w:r w:rsidRPr="001D3665">
        <w:t xml:space="preserve"> same utsleppa. Det nye kvotesystemet vil ta til å gjelde </w:t>
      </w:r>
      <w:proofErr w:type="spellStart"/>
      <w:r w:rsidRPr="001D3665">
        <w:t>frå</w:t>
      </w:r>
      <w:proofErr w:type="spellEnd"/>
      <w:r w:rsidRPr="001D3665">
        <w:t xml:space="preserve"> 2028. Til den tid må regjeringa og Stortinget ta stilling til utsleppspolitikken på dette området. Det må </w:t>
      </w:r>
      <w:proofErr w:type="spellStart"/>
      <w:r w:rsidRPr="001D3665">
        <w:t>takast</w:t>
      </w:r>
      <w:proofErr w:type="spellEnd"/>
      <w:r w:rsidRPr="001D3665">
        <w:t xml:space="preserve"> stilling til om norske </w:t>
      </w:r>
      <w:proofErr w:type="spellStart"/>
      <w:r w:rsidRPr="001D3665">
        <w:t>brenselsaktørar</w:t>
      </w:r>
      <w:proofErr w:type="spellEnd"/>
      <w:r w:rsidRPr="001D3665">
        <w:t xml:space="preserve"> skal delta i systemet på ordinært grunnlag med plikt om å levere </w:t>
      </w:r>
      <w:proofErr w:type="spellStart"/>
      <w:r w:rsidRPr="001D3665">
        <w:t>kvotar</w:t>
      </w:r>
      <w:proofErr w:type="spellEnd"/>
      <w:r w:rsidRPr="001D3665">
        <w:t xml:space="preserve"> for fossilt brensel som vert </w:t>
      </w:r>
      <w:proofErr w:type="spellStart"/>
      <w:r w:rsidRPr="001D3665">
        <w:t>selde</w:t>
      </w:r>
      <w:proofErr w:type="spellEnd"/>
      <w:r w:rsidRPr="001D3665">
        <w:t xml:space="preserve"> til </w:t>
      </w:r>
      <w:proofErr w:type="spellStart"/>
      <w:r w:rsidRPr="001D3665">
        <w:t>sektorar</w:t>
      </w:r>
      <w:proofErr w:type="spellEnd"/>
      <w:r w:rsidRPr="001D3665">
        <w:t xml:space="preserve"> som er omfatta av ETS2, eller om </w:t>
      </w:r>
      <w:proofErr w:type="spellStart"/>
      <w:r w:rsidRPr="001D3665">
        <w:t>Noreg</w:t>
      </w:r>
      <w:proofErr w:type="spellEnd"/>
      <w:r w:rsidRPr="001D3665">
        <w:t xml:space="preserve"> skal nytte høve i klimakvotedirektivet til å mellombels frita </w:t>
      </w:r>
      <w:proofErr w:type="spellStart"/>
      <w:r w:rsidRPr="001D3665">
        <w:t>brenselsoperatørar</w:t>
      </w:r>
      <w:proofErr w:type="spellEnd"/>
      <w:r w:rsidRPr="001D3665">
        <w:t xml:space="preserve"> </w:t>
      </w:r>
      <w:proofErr w:type="spellStart"/>
      <w:r w:rsidRPr="001D3665">
        <w:t>frå</w:t>
      </w:r>
      <w:proofErr w:type="spellEnd"/>
      <w:r w:rsidRPr="001D3665">
        <w:t xml:space="preserve"> kvoteplikta. Dersom </w:t>
      </w:r>
      <w:proofErr w:type="spellStart"/>
      <w:r w:rsidRPr="001D3665">
        <w:t>Noreg</w:t>
      </w:r>
      <w:proofErr w:type="spellEnd"/>
      <w:r w:rsidRPr="001D3665">
        <w:t xml:space="preserve"> skal ha høve til å innføre </w:t>
      </w:r>
      <w:proofErr w:type="spellStart"/>
      <w:r w:rsidRPr="001D3665">
        <w:t>mellombelse</w:t>
      </w:r>
      <w:proofErr w:type="spellEnd"/>
      <w:r w:rsidRPr="001D3665">
        <w:t xml:space="preserve"> unntak, er </w:t>
      </w:r>
      <w:proofErr w:type="spellStart"/>
      <w:r w:rsidRPr="001D3665">
        <w:t>eitt</w:t>
      </w:r>
      <w:proofErr w:type="spellEnd"/>
      <w:r w:rsidRPr="001D3665">
        <w:t xml:space="preserve"> av </w:t>
      </w:r>
      <w:proofErr w:type="spellStart"/>
      <w:r w:rsidRPr="001D3665">
        <w:t>fleire</w:t>
      </w:r>
      <w:proofErr w:type="spellEnd"/>
      <w:r w:rsidRPr="001D3665">
        <w:t xml:space="preserve"> vilkår at det vert lagt CO</w:t>
      </w:r>
      <w:r w:rsidRPr="001D3665">
        <w:rPr>
          <w:rStyle w:val="skrift-senket"/>
        </w:rPr>
        <w:t>2</w:t>
      </w:r>
      <w:r w:rsidRPr="001D3665">
        <w:t xml:space="preserve">-avgift på naturgass og LPG til </w:t>
      </w:r>
      <w:proofErr w:type="spellStart"/>
      <w:r w:rsidRPr="001D3665">
        <w:t>ikkje</w:t>
      </w:r>
      <w:proofErr w:type="spellEnd"/>
      <w:r w:rsidRPr="001D3665">
        <w:t xml:space="preserve">-kvotepliktige </w:t>
      </w:r>
      <w:proofErr w:type="spellStart"/>
      <w:r w:rsidRPr="001D3665">
        <w:t>verksemder</w:t>
      </w:r>
      <w:proofErr w:type="spellEnd"/>
      <w:r w:rsidRPr="001D3665">
        <w:t xml:space="preserve"> med kjemiske og metallurgiske </w:t>
      </w:r>
      <w:proofErr w:type="spellStart"/>
      <w:r w:rsidRPr="001D3665">
        <w:t>prosessar</w:t>
      </w:r>
      <w:proofErr w:type="spellEnd"/>
      <w:r w:rsidRPr="001D3665">
        <w:t>. I båe tilfella vert utsleppa prisa.</w:t>
      </w:r>
    </w:p>
    <w:p w14:paraId="5234D958" w14:textId="77777777" w:rsidR="00BC371A" w:rsidRPr="001D3665" w:rsidRDefault="00BC371A" w:rsidP="001D3665">
      <w:r w:rsidRPr="001D3665">
        <w:t xml:space="preserve">Det er </w:t>
      </w:r>
      <w:proofErr w:type="spellStart"/>
      <w:r w:rsidRPr="001D3665">
        <w:t>fleire</w:t>
      </w:r>
      <w:proofErr w:type="spellEnd"/>
      <w:r w:rsidRPr="001D3665">
        <w:t xml:space="preserve"> gode </w:t>
      </w:r>
      <w:proofErr w:type="spellStart"/>
      <w:r w:rsidRPr="001D3665">
        <w:t>grunnar</w:t>
      </w:r>
      <w:proofErr w:type="spellEnd"/>
      <w:r w:rsidRPr="001D3665">
        <w:t xml:space="preserve"> for å innføre avgift. For det fyrste ville det </w:t>
      </w:r>
      <w:proofErr w:type="spellStart"/>
      <w:r w:rsidRPr="001D3665">
        <w:t>styrkje</w:t>
      </w:r>
      <w:proofErr w:type="spellEnd"/>
      <w:r w:rsidRPr="001D3665">
        <w:t xml:space="preserve"> insentiva til </w:t>
      </w:r>
      <w:proofErr w:type="spellStart"/>
      <w:r w:rsidRPr="001D3665">
        <w:t>utsleppsreduksjonar</w:t>
      </w:r>
      <w:proofErr w:type="spellEnd"/>
      <w:r w:rsidRPr="001D3665">
        <w:t xml:space="preserve"> i denne sektoren, som er den </w:t>
      </w:r>
      <w:proofErr w:type="spellStart"/>
      <w:r w:rsidRPr="001D3665">
        <w:t>einaste</w:t>
      </w:r>
      <w:proofErr w:type="spellEnd"/>
      <w:r w:rsidRPr="001D3665">
        <w:t xml:space="preserve"> </w:t>
      </w:r>
      <w:proofErr w:type="spellStart"/>
      <w:r w:rsidRPr="001D3665">
        <w:t>attverande</w:t>
      </w:r>
      <w:proofErr w:type="spellEnd"/>
      <w:r w:rsidRPr="001D3665">
        <w:t xml:space="preserve"> sektoren som </w:t>
      </w:r>
      <w:proofErr w:type="spellStart"/>
      <w:r w:rsidRPr="001D3665">
        <w:t>ikkje</w:t>
      </w:r>
      <w:proofErr w:type="spellEnd"/>
      <w:r w:rsidRPr="001D3665">
        <w:t xml:space="preserve"> betaler for utsleppa sine </w:t>
      </w:r>
      <w:proofErr w:type="spellStart"/>
      <w:r w:rsidRPr="001D3665">
        <w:t>frå</w:t>
      </w:r>
      <w:proofErr w:type="spellEnd"/>
      <w:r w:rsidRPr="001D3665">
        <w:t xml:space="preserve"> forbrenning av mineralske produkt. For det andre er innføringa av avgift sentralt for å støtte opp om den inndelinga i CO</w:t>
      </w:r>
      <w:r w:rsidRPr="001D3665">
        <w:rPr>
          <w:rStyle w:val="skrift-senket"/>
        </w:rPr>
        <w:t>2</w:t>
      </w:r>
      <w:r w:rsidRPr="001D3665">
        <w:t xml:space="preserve">-avgifta som ESA gav aksept for i vinter. Denne inndelinga gjorde det </w:t>
      </w:r>
      <w:proofErr w:type="spellStart"/>
      <w:r w:rsidRPr="001D3665">
        <w:t>mogleg</w:t>
      </w:r>
      <w:proofErr w:type="spellEnd"/>
      <w:r w:rsidRPr="001D3665">
        <w:t xml:space="preserve"> for kvotepliktige </w:t>
      </w:r>
      <w:proofErr w:type="spellStart"/>
      <w:r w:rsidRPr="001D3665">
        <w:t>verksemder</w:t>
      </w:r>
      <w:proofErr w:type="spellEnd"/>
      <w:r w:rsidRPr="001D3665">
        <w:t xml:space="preserve"> å sleppe å betale CO</w:t>
      </w:r>
      <w:r w:rsidRPr="001D3665">
        <w:rPr>
          <w:rStyle w:val="skrift-senket"/>
        </w:rPr>
        <w:t>2</w:t>
      </w:r>
      <w:r w:rsidRPr="001D3665">
        <w:t xml:space="preserve">-avgift i tillegg til kvoteplikt, </w:t>
      </w:r>
      <w:proofErr w:type="spellStart"/>
      <w:r w:rsidRPr="001D3665">
        <w:t>noko</w:t>
      </w:r>
      <w:proofErr w:type="spellEnd"/>
      <w:r w:rsidRPr="001D3665">
        <w:t xml:space="preserve"> som er viktig for effektiviteten i klimapolitikken og vert </w:t>
      </w:r>
      <w:proofErr w:type="spellStart"/>
      <w:r w:rsidRPr="001D3665">
        <w:t>rekna</w:t>
      </w:r>
      <w:proofErr w:type="spellEnd"/>
      <w:r w:rsidRPr="001D3665">
        <w:t xml:space="preserve"> som viktig for norsk næringsliv. Det gjev </w:t>
      </w:r>
      <w:proofErr w:type="spellStart"/>
      <w:r w:rsidRPr="001D3665">
        <w:t>ein</w:t>
      </w:r>
      <w:proofErr w:type="spellEnd"/>
      <w:r w:rsidRPr="001D3665">
        <w:t xml:space="preserve"> EØS-risiko å </w:t>
      </w:r>
      <w:proofErr w:type="spellStart"/>
      <w:r w:rsidRPr="001D3665">
        <w:t>ikkje</w:t>
      </w:r>
      <w:proofErr w:type="spellEnd"/>
      <w:r w:rsidRPr="001D3665">
        <w:t xml:space="preserve"> innføre avgift no. Til slutt vil innføringa av avgift </w:t>
      </w:r>
      <w:proofErr w:type="spellStart"/>
      <w:r w:rsidRPr="001D3665">
        <w:t>vere</w:t>
      </w:r>
      <w:proofErr w:type="spellEnd"/>
      <w:r w:rsidRPr="001D3665">
        <w:t xml:space="preserve"> </w:t>
      </w:r>
      <w:proofErr w:type="spellStart"/>
      <w:r w:rsidRPr="001D3665">
        <w:t>ein</w:t>
      </w:r>
      <w:proofErr w:type="spellEnd"/>
      <w:r w:rsidRPr="001D3665">
        <w:t xml:space="preserve"> </w:t>
      </w:r>
      <w:proofErr w:type="spellStart"/>
      <w:r w:rsidRPr="001D3665">
        <w:t>føresetnad</w:t>
      </w:r>
      <w:proofErr w:type="spellEnd"/>
      <w:r w:rsidRPr="001D3665">
        <w:t xml:space="preserve"> dersom </w:t>
      </w:r>
      <w:proofErr w:type="spellStart"/>
      <w:r w:rsidRPr="001D3665">
        <w:t>Noreg</w:t>
      </w:r>
      <w:proofErr w:type="spellEnd"/>
      <w:r w:rsidRPr="001D3665">
        <w:t xml:space="preserve"> skal ha høve til å innføre mellombels unntak </w:t>
      </w:r>
      <w:proofErr w:type="spellStart"/>
      <w:r w:rsidRPr="001D3665">
        <w:t>frå</w:t>
      </w:r>
      <w:proofErr w:type="spellEnd"/>
      <w:r w:rsidRPr="001D3665">
        <w:t xml:space="preserve"> plikta til å svare </w:t>
      </w:r>
      <w:proofErr w:type="spellStart"/>
      <w:r w:rsidRPr="001D3665">
        <w:t>kvotar</w:t>
      </w:r>
      <w:proofErr w:type="spellEnd"/>
      <w:r w:rsidRPr="001D3665">
        <w:t xml:space="preserve"> under ETS2.</w:t>
      </w:r>
    </w:p>
    <w:p w14:paraId="5082F609" w14:textId="77777777" w:rsidR="00BC371A" w:rsidRPr="001D3665" w:rsidRDefault="00BC371A" w:rsidP="001D3665">
      <w:r w:rsidRPr="001D3665">
        <w:t xml:space="preserve">For å </w:t>
      </w:r>
      <w:proofErr w:type="spellStart"/>
      <w:r w:rsidRPr="001D3665">
        <w:t>gje</w:t>
      </w:r>
      <w:proofErr w:type="spellEnd"/>
      <w:r w:rsidRPr="001D3665">
        <w:t xml:space="preserve"> </w:t>
      </w:r>
      <w:proofErr w:type="spellStart"/>
      <w:r w:rsidRPr="001D3665">
        <w:t>verksemdene</w:t>
      </w:r>
      <w:proofErr w:type="spellEnd"/>
      <w:r w:rsidRPr="001D3665">
        <w:t xml:space="preserve"> </w:t>
      </w:r>
      <w:proofErr w:type="spellStart"/>
      <w:r w:rsidRPr="001D3665">
        <w:t>noko</w:t>
      </w:r>
      <w:proofErr w:type="spellEnd"/>
      <w:r w:rsidRPr="001D3665">
        <w:t xml:space="preserve"> </w:t>
      </w:r>
      <w:proofErr w:type="spellStart"/>
      <w:r w:rsidRPr="001D3665">
        <w:t>meir</w:t>
      </w:r>
      <w:proofErr w:type="spellEnd"/>
      <w:r w:rsidRPr="001D3665">
        <w:t xml:space="preserve"> tid til å førebu seg på avgifta foreslår regjeringa at den reduserte avgifta vert innført 1. januar 2027. Det er òg </w:t>
      </w:r>
      <w:proofErr w:type="spellStart"/>
      <w:r w:rsidRPr="001D3665">
        <w:t>ein</w:t>
      </w:r>
      <w:proofErr w:type="spellEnd"/>
      <w:r w:rsidRPr="001D3665">
        <w:t xml:space="preserve"> fordel at </w:t>
      </w:r>
      <w:proofErr w:type="spellStart"/>
      <w:r w:rsidRPr="001D3665">
        <w:t>endringar</w:t>
      </w:r>
      <w:proofErr w:type="spellEnd"/>
      <w:r w:rsidRPr="001D3665">
        <w:t xml:space="preserve"> i avgifter </w:t>
      </w:r>
      <w:proofErr w:type="gramStart"/>
      <w:r w:rsidRPr="001D3665">
        <w:t>trår</w:t>
      </w:r>
      <w:proofErr w:type="gramEnd"/>
      <w:r w:rsidRPr="001D3665">
        <w:t xml:space="preserve"> i kraft </w:t>
      </w:r>
      <w:proofErr w:type="spellStart"/>
      <w:r w:rsidRPr="001D3665">
        <w:t>frå</w:t>
      </w:r>
      <w:proofErr w:type="spellEnd"/>
      <w:r w:rsidRPr="001D3665">
        <w:t xml:space="preserve"> årsskiftet. Regjeringa kjem </w:t>
      </w:r>
      <w:proofErr w:type="spellStart"/>
      <w:r w:rsidRPr="001D3665">
        <w:t>difor</w:t>
      </w:r>
      <w:proofErr w:type="spellEnd"/>
      <w:r w:rsidRPr="001D3665">
        <w:t xml:space="preserve"> tilbake til saka i statsbudsjettet for 2027.</w:t>
      </w:r>
    </w:p>
    <w:p w14:paraId="4B2594C8" w14:textId="77777777" w:rsidR="00BC371A" w:rsidRPr="001D3665" w:rsidRDefault="00BC371A" w:rsidP="001D3665">
      <w:pPr>
        <w:pStyle w:val="Overskrift2"/>
      </w:pPr>
      <w:r w:rsidRPr="001D3665">
        <w:t>Grunnrenteskatt og naturressursskatt for vasskraft – nedre grense – oppmoding nr. 523 (2025–2026)</w:t>
      </w:r>
    </w:p>
    <w:p w14:paraId="7BC98A81" w14:textId="77777777" w:rsidR="00BC371A" w:rsidRPr="001D3665" w:rsidRDefault="00BC371A" w:rsidP="001D3665">
      <w:r w:rsidRPr="001D3665">
        <w:t xml:space="preserve">I oktober 2025 sende Finansdepartementet på </w:t>
      </w:r>
      <w:proofErr w:type="spellStart"/>
      <w:r w:rsidRPr="001D3665">
        <w:t>høyring</w:t>
      </w:r>
      <w:proofErr w:type="spellEnd"/>
      <w:r w:rsidRPr="001D3665">
        <w:t xml:space="preserve"> framlegg om redusert nedre grense i grunnrenteskatten for vasskraft </w:t>
      </w:r>
      <w:proofErr w:type="spellStart"/>
      <w:r w:rsidRPr="001D3665">
        <w:t>frå</w:t>
      </w:r>
      <w:proofErr w:type="spellEnd"/>
      <w:r w:rsidRPr="001D3665">
        <w:t xml:space="preserve"> 10 000 til 1 500 kVA. Bakgrunnen for </w:t>
      </w:r>
      <w:proofErr w:type="spellStart"/>
      <w:r w:rsidRPr="001D3665">
        <w:t>høyringsframlegget</w:t>
      </w:r>
      <w:proofErr w:type="spellEnd"/>
      <w:r w:rsidRPr="001D3665">
        <w:t xml:space="preserve"> var at den nedre grensa i grunnrenteskatten gjev </w:t>
      </w:r>
      <w:proofErr w:type="spellStart"/>
      <w:r w:rsidRPr="001D3665">
        <w:t>føretaka</w:t>
      </w:r>
      <w:proofErr w:type="spellEnd"/>
      <w:r w:rsidRPr="001D3665">
        <w:t xml:space="preserve"> insentiv til å nedjustere effekten i kraftverk for å unngå grunnrenteskatt. På denne måten går samfunnet glipp av verdfull fornybar kraftproduksjon, samstundes som </w:t>
      </w:r>
      <w:proofErr w:type="spellStart"/>
      <w:r w:rsidRPr="001D3665">
        <w:t>miljøkonsekvensane</w:t>
      </w:r>
      <w:proofErr w:type="spellEnd"/>
      <w:r w:rsidRPr="001D3665">
        <w:t xml:space="preserve"> kan </w:t>
      </w:r>
      <w:proofErr w:type="spellStart"/>
      <w:r w:rsidRPr="001D3665">
        <w:t>verte</w:t>
      </w:r>
      <w:proofErr w:type="spellEnd"/>
      <w:r w:rsidRPr="001D3665">
        <w:t xml:space="preserve"> større enn </w:t>
      </w:r>
      <w:proofErr w:type="spellStart"/>
      <w:r w:rsidRPr="001D3665">
        <w:t>naudsynt</w:t>
      </w:r>
      <w:proofErr w:type="spellEnd"/>
      <w:r w:rsidRPr="001D3665">
        <w:t xml:space="preserve">. Nedre grense er ei </w:t>
      </w:r>
      <w:proofErr w:type="spellStart"/>
      <w:r w:rsidRPr="001D3665">
        <w:t>kjend</w:t>
      </w:r>
      <w:proofErr w:type="spellEnd"/>
      <w:r w:rsidRPr="001D3665">
        <w:t xml:space="preserve"> </w:t>
      </w:r>
      <w:proofErr w:type="spellStart"/>
      <w:r w:rsidRPr="001D3665">
        <w:t>svakheit</w:t>
      </w:r>
      <w:proofErr w:type="spellEnd"/>
      <w:r w:rsidRPr="001D3665">
        <w:t xml:space="preserve"> ved den elles investeringsnøytrale grunnrenteskatten for vasskraft. </w:t>
      </w:r>
      <w:proofErr w:type="spellStart"/>
      <w:r w:rsidRPr="001D3665">
        <w:t>Offentlege</w:t>
      </w:r>
      <w:proofErr w:type="spellEnd"/>
      <w:r w:rsidRPr="001D3665">
        <w:t xml:space="preserve"> </w:t>
      </w:r>
      <w:proofErr w:type="spellStart"/>
      <w:r w:rsidRPr="001D3665">
        <w:t>utval</w:t>
      </w:r>
      <w:proofErr w:type="spellEnd"/>
      <w:r w:rsidRPr="001D3665">
        <w:t xml:space="preserve"> har </w:t>
      </w:r>
      <w:proofErr w:type="spellStart"/>
      <w:r w:rsidRPr="001D3665">
        <w:t>tidlegare</w:t>
      </w:r>
      <w:proofErr w:type="spellEnd"/>
      <w:r w:rsidRPr="001D3665">
        <w:t xml:space="preserve"> foreslått å gå tilbake til den opphavlege nedre grensa i grunnrenteskatten på 1 500 kVA. I </w:t>
      </w:r>
      <w:proofErr w:type="spellStart"/>
      <w:r w:rsidRPr="001D3665">
        <w:t>høyringsnotatet</w:t>
      </w:r>
      <w:proofErr w:type="spellEnd"/>
      <w:r w:rsidRPr="001D3665">
        <w:t xml:space="preserve"> foreslo departementet òg ei </w:t>
      </w:r>
      <w:proofErr w:type="spellStart"/>
      <w:r w:rsidRPr="001D3665">
        <w:t>tilsvarande</w:t>
      </w:r>
      <w:proofErr w:type="spellEnd"/>
      <w:r w:rsidRPr="001D3665">
        <w:t xml:space="preserve"> nedjustering av nedre grense for naturressursskatten. Ei ordinær </w:t>
      </w:r>
      <w:proofErr w:type="spellStart"/>
      <w:r w:rsidRPr="001D3665">
        <w:t>høyring</w:t>
      </w:r>
      <w:proofErr w:type="spellEnd"/>
      <w:r w:rsidRPr="001D3665">
        <w:t xml:space="preserve"> ville sikra regjeringa </w:t>
      </w:r>
      <w:proofErr w:type="spellStart"/>
      <w:r w:rsidRPr="001D3665">
        <w:t>eit</w:t>
      </w:r>
      <w:proofErr w:type="spellEnd"/>
      <w:r w:rsidRPr="001D3665">
        <w:t xml:space="preserve"> godt grunnlag for å vurdere om framlegget burde </w:t>
      </w:r>
      <w:proofErr w:type="spellStart"/>
      <w:r w:rsidRPr="001D3665">
        <w:t>fremjast</w:t>
      </w:r>
      <w:proofErr w:type="spellEnd"/>
      <w:r w:rsidRPr="001D3665">
        <w:t xml:space="preserve"> for Stortinget.</w:t>
      </w:r>
    </w:p>
    <w:p w14:paraId="7DD36C7F" w14:textId="77777777" w:rsidR="00BC371A" w:rsidRPr="001D3665" w:rsidRDefault="00BC371A" w:rsidP="001D3665">
      <w:r w:rsidRPr="001D3665">
        <w:t xml:space="preserve">Stortinget vedtok 12. mars 2026 </w:t>
      </w:r>
      <w:proofErr w:type="spellStart"/>
      <w:r w:rsidRPr="001D3665">
        <w:t>følgjande</w:t>
      </w:r>
      <w:proofErr w:type="spellEnd"/>
      <w:r w:rsidRPr="001D3665">
        <w:t xml:space="preserve"> oppmoding (nr. 523 (2025–2026)):</w:t>
      </w:r>
    </w:p>
    <w:p w14:paraId="32F64B3C" w14:textId="77777777" w:rsidR="00BC371A" w:rsidRPr="001D3665" w:rsidRDefault="00BC371A" w:rsidP="001D3665">
      <w:pPr>
        <w:pStyle w:val="blokksit"/>
      </w:pPr>
      <w:r w:rsidRPr="001D3665">
        <w:t>«Stortinget ber regjeringen sikre at innslagspunktet for grunnrenteskatt og naturressursskatt på vannkraft ikke senkes fra dagens nivå i inneværende stortingsperiode.»</w:t>
      </w:r>
    </w:p>
    <w:p w14:paraId="2DB10375" w14:textId="77777777" w:rsidR="00BC371A" w:rsidRPr="001D3665" w:rsidRDefault="00BC371A" w:rsidP="001D3665">
      <w:r w:rsidRPr="001D3665">
        <w:lastRenderedPageBreak/>
        <w:t xml:space="preserve">Regjeringa </w:t>
      </w:r>
      <w:proofErr w:type="spellStart"/>
      <w:r w:rsidRPr="001D3665">
        <w:t>rettar</w:t>
      </w:r>
      <w:proofErr w:type="spellEnd"/>
      <w:r w:rsidRPr="001D3665">
        <w:t xml:space="preserve"> seg etter oppmodinga </w:t>
      </w:r>
      <w:proofErr w:type="spellStart"/>
      <w:r w:rsidRPr="001D3665">
        <w:t>frå</w:t>
      </w:r>
      <w:proofErr w:type="spellEnd"/>
      <w:r w:rsidRPr="001D3665">
        <w:t xml:space="preserve"> Stortinget og vil </w:t>
      </w:r>
      <w:proofErr w:type="spellStart"/>
      <w:r w:rsidRPr="001D3665">
        <w:t>ikkje</w:t>
      </w:r>
      <w:proofErr w:type="spellEnd"/>
      <w:r w:rsidRPr="001D3665">
        <w:t xml:space="preserve"> </w:t>
      </w:r>
      <w:proofErr w:type="spellStart"/>
      <w:r w:rsidRPr="001D3665">
        <w:t>gjere</w:t>
      </w:r>
      <w:proofErr w:type="spellEnd"/>
      <w:r w:rsidRPr="001D3665">
        <w:t xml:space="preserve"> lovframlegg om redusert nedre grense i grunnrenteskatten og naturressursskatten for vasskraft. Det vil òg </w:t>
      </w:r>
      <w:proofErr w:type="spellStart"/>
      <w:r w:rsidRPr="001D3665">
        <w:t>gje</w:t>
      </w:r>
      <w:proofErr w:type="spellEnd"/>
      <w:r w:rsidRPr="001D3665">
        <w:t xml:space="preserve"> selskapa </w:t>
      </w:r>
      <w:proofErr w:type="spellStart"/>
      <w:r w:rsidRPr="001D3665">
        <w:t>føreseielege</w:t>
      </w:r>
      <w:proofErr w:type="spellEnd"/>
      <w:r w:rsidRPr="001D3665">
        <w:t xml:space="preserve"> vilkår framover.</w:t>
      </w:r>
    </w:p>
    <w:p w14:paraId="7ADE5DFE" w14:textId="77777777" w:rsidR="00BC371A" w:rsidRPr="001D3665" w:rsidRDefault="00BC371A" w:rsidP="001D3665">
      <w:r w:rsidRPr="001D3665">
        <w:t xml:space="preserve">Oppmoding nr. 523 (2025–2026) vert med dette </w:t>
      </w:r>
      <w:proofErr w:type="spellStart"/>
      <w:r w:rsidRPr="001D3665">
        <w:t>rekna</w:t>
      </w:r>
      <w:proofErr w:type="spellEnd"/>
      <w:r w:rsidRPr="001D3665">
        <w:t xml:space="preserve"> som </w:t>
      </w:r>
      <w:proofErr w:type="spellStart"/>
      <w:r w:rsidRPr="001D3665">
        <w:t>følgt</w:t>
      </w:r>
      <w:proofErr w:type="spellEnd"/>
      <w:r w:rsidRPr="001D3665">
        <w:t xml:space="preserve"> opp.</w:t>
      </w:r>
    </w:p>
    <w:p w14:paraId="3FC8C5D8" w14:textId="77777777" w:rsidR="00BC371A" w:rsidRPr="001D3665" w:rsidRDefault="00BC371A" w:rsidP="001D3665">
      <w:pPr>
        <w:pStyle w:val="Overskrift2"/>
      </w:pPr>
      <w:r w:rsidRPr="001D3665">
        <w:t>Avgift på mineralgjødsel – oppmoding nr. 59 (2025–2026)</w:t>
      </w:r>
    </w:p>
    <w:p w14:paraId="145AD0F4" w14:textId="77777777" w:rsidR="00BC371A" w:rsidRPr="001D3665" w:rsidRDefault="00BC371A" w:rsidP="001D3665">
      <w:r w:rsidRPr="001D3665">
        <w:t xml:space="preserve">I samband med </w:t>
      </w:r>
      <w:proofErr w:type="spellStart"/>
      <w:r w:rsidRPr="001D3665">
        <w:t>behandlinga</w:t>
      </w:r>
      <w:proofErr w:type="spellEnd"/>
      <w:r w:rsidRPr="001D3665">
        <w:t xml:space="preserve"> av nasjonalbudsjettet for 2026 vedtok Stortinget 5. desember </w:t>
      </w:r>
      <w:proofErr w:type="spellStart"/>
      <w:r w:rsidRPr="001D3665">
        <w:t>følgjande</w:t>
      </w:r>
      <w:proofErr w:type="spellEnd"/>
      <w:r w:rsidRPr="001D3665">
        <w:t xml:space="preserve"> oppmoding (nr. 59 (2025–2026)):</w:t>
      </w:r>
    </w:p>
    <w:p w14:paraId="7B0EE02D" w14:textId="77777777" w:rsidR="00BC371A" w:rsidRPr="001D3665" w:rsidRDefault="00BC371A" w:rsidP="001D3665">
      <w:pPr>
        <w:pStyle w:val="blokksit"/>
      </w:pPr>
      <w:r w:rsidRPr="001D3665">
        <w:t>«Stortinget ber regjeringen ikke sende forslag om mineralgjødselavgift på høring, og skal avslutte prosessen med å innføre en slik avgift.»</w:t>
      </w:r>
    </w:p>
    <w:p w14:paraId="04BB1FC1" w14:textId="77777777" w:rsidR="00BC371A" w:rsidRPr="001D3665" w:rsidRDefault="00BC371A" w:rsidP="001D3665">
      <w:r w:rsidRPr="001D3665">
        <w:t xml:space="preserve">Bakgrunnen for vedtaket var at regjeringa i klimastatus og -plan for 2026 varsla at ho tok sikte på å sende framlegg til forskrift om klima- og miljøavgift på mineralgjødsel på </w:t>
      </w:r>
      <w:proofErr w:type="spellStart"/>
      <w:r w:rsidRPr="001D3665">
        <w:t>høyring</w:t>
      </w:r>
      <w:proofErr w:type="spellEnd"/>
      <w:r w:rsidRPr="001D3665">
        <w:t xml:space="preserve"> i </w:t>
      </w:r>
      <w:proofErr w:type="spellStart"/>
      <w:r w:rsidRPr="001D3665">
        <w:t>laupet</w:t>
      </w:r>
      <w:proofErr w:type="spellEnd"/>
      <w:r w:rsidRPr="001D3665">
        <w:t xml:space="preserve"> av </w:t>
      </w:r>
      <w:proofErr w:type="spellStart"/>
      <w:r w:rsidRPr="001D3665">
        <w:t>hausten</w:t>
      </w:r>
      <w:proofErr w:type="spellEnd"/>
      <w:r w:rsidRPr="001D3665">
        <w:t xml:space="preserve"> 2025, med mål om å innføre avgift </w:t>
      </w:r>
      <w:proofErr w:type="spellStart"/>
      <w:r w:rsidRPr="001D3665">
        <w:t>frå</w:t>
      </w:r>
      <w:proofErr w:type="spellEnd"/>
      <w:r w:rsidRPr="001D3665">
        <w:t xml:space="preserve"> 1. januar 2027.</w:t>
      </w:r>
    </w:p>
    <w:p w14:paraId="19BDD6E7" w14:textId="77777777" w:rsidR="00BC371A" w:rsidRPr="001D3665" w:rsidRDefault="00BC371A" w:rsidP="001D3665">
      <w:r w:rsidRPr="001D3665">
        <w:t xml:space="preserve">Bruk av </w:t>
      </w:r>
      <w:proofErr w:type="spellStart"/>
      <w:r w:rsidRPr="001D3665">
        <w:t>nitrogenhaldig</w:t>
      </w:r>
      <w:proofErr w:type="spellEnd"/>
      <w:r w:rsidRPr="001D3665">
        <w:t xml:space="preserve"> mineralgjødsel er </w:t>
      </w:r>
      <w:proofErr w:type="gramStart"/>
      <w:r w:rsidRPr="001D3665">
        <w:t>ei kjelde</w:t>
      </w:r>
      <w:proofErr w:type="gramEnd"/>
      <w:r w:rsidRPr="001D3665">
        <w:t xml:space="preserve"> til utslepp av klimagassen lystgass, som er </w:t>
      </w:r>
      <w:proofErr w:type="spellStart"/>
      <w:r w:rsidRPr="001D3665">
        <w:t>ein</w:t>
      </w:r>
      <w:proofErr w:type="spellEnd"/>
      <w:r w:rsidRPr="001D3665">
        <w:t xml:space="preserve"> svært kraftig klimagass med lang levetid i atmosfæren. I 2024 utgjorde lystgassutslepp </w:t>
      </w:r>
      <w:proofErr w:type="spellStart"/>
      <w:r w:rsidRPr="001D3665">
        <w:t>frå</w:t>
      </w:r>
      <w:proofErr w:type="spellEnd"/>
      <w:r w:rsidRPr="001D3665">
        <w:t xml:space="preserve"> bruk av mineralgjødsel 1,3 pst. av </w:t>
      </w:r>
      <w:proofErr w:type="spellStart"/>
      <w:r w:rsidRPr="001D3665">
        <w:t>dei</w:t>
      </w:r>
      <w:proofErr w:type="spellEnd"/>
      <w:r w:rsidRPr="001D3665">
        <w:t xml:space="preserve"> samla klimagassutsleppa i </w:t>
      </w:r>
      <w:proofErr w:type="spellStart"/>
      <w:r w:rsidRPr="001D3665">
        <w:t>Noreg</w:t>
      </w:r>
      <w:proofErr w:type="spellEnd"/>
      <w:r w:rsidRPr="001D3665">
        <w:t xml:space="preserve"> og om lag 8 pst. av </w:t>
      </w:r>
      <w:proofErr w:type="spellStart"/>
      <w:r w:rsidRPr="001D3665">
        <w:t>dei</w:t>
      </w:r>
      <w:proofErr w:type="spellEnd"/>
      <w:r w:rsidRPr="001D3665">
        <w:t xml:space="preserve"> </w:t>
      </w:r>
      <w:proofErr w:type="spellStart"/>
      <w:r w:rsidRPr="001D3665">
        <w:t>ikkje-prissette</w:t>
      </w:r>
      <w:proofErr w:type="spellEnd"/>
      <w:r w:rsidRPr="001D3665">
        <w:t xml:space="preserve"> utsleppa. Avrenning av nitrogen og fosfor </w:t>
      </w:r>
      <w:proofErr w:type="spellStart"/>
      <w:r w:rsidRPr="001D3665">
        <w:t>frå</w:t>
      </w:r>
      <w:proofErr w:type="spellEnd"/>
      <w:r w:rsidRPr="001D3665">
        <w:t xml:space="preserve"> jordbruket </w:t>
      </w:r>
      <w:proofErr w:type="spellStart"/>
      <w:r w:rsidRPr="001D3665">
        <w:t>bidreg</w:t>
      </w:r>
      <w:proofErr w:type="spellEnd"/>
      <w:r w:rsidRPr="001D3665">
        <w:t xml:space="preserve"> i tillegg til </w:t>
      </w:r>
      <w:proofErr w:type="spellStart"/>
      <w:r w:rsidRPr="001D3665">
        <w:t>forureining</w:t>
      </w:r>
      <w:proofErr w:type="spellEnd"/>
      <w:r w:rsidRPr="001D3665">
        <w:t xml:space="preserve"> av </w:t>
      </w:r>
      <w:proofErr w:type="spellStart"/>
      <w:r w:rsidRPr="001D3665">
        <w:t>innsjøar</w:t>
      </w:r>
      <w:proofErr w:type="spellEnd"/>
      <w:r w:rsidRPr="001D3665">
        <w:t xml:space="preserve"> og kystnære område (eutrofiering). Overgjødsling gjev tap av biologisk </w:t>
      </w:r>
      <w:proofErr w:type="spellStart"/>
      <w:r w:rsidRPr="001D3665">
        <w:t>mangfald</w:t>
      </w:r>
      <w:proofErr w:type="spellEnd"/>
      <w:r w:rsidRPr="001D3665">
        <w:t xml:space="preserve"> og kan versne kvaliteten på bade- og drikkevatn.</w:t>
      </w:r>
    </w:p>
    <w:p w14:paraId="22EA20B4" w14:textId="77777777" w:rsidR="00BC371A" w:rsidRPr="001D3665" w:rsidRDefault="00BC371A" w:rsidP="001D3665">
      <w:r w:rsidRPr="001D3665">
        <w:t xml:space="preserve">Ei mineralgjødselavgift gjev økonomiske insentiv til å ta omsyn til klima- og </w:t>
      </w:r>
      <w:proofErr w:type="spellStart"/>
      <w:r w:rsidRPr="001D3665">
        <w:t>miljøskadane</w:t>
      </w:r>
      <w:proofErr w:type="spellEnd"/>
      <w:r w:rsidRPr="001D3665">
        <w:t xml:space="preserve"> som gjødselbruken fører med seg.</w:t>
      </w:r>
    </w:p>
    <w:p w14:paraId="0AF5697E" w14:textId="77777777" w:rsidR="00BC371A" w:rsidRPr="001D3665" w:rsidRDefault="00BC371A" w:rsidP="001D3665">
      <w:r w:rsidRPr="001D3665">
        <w:t xml:space="preserve">Regjeringa vil </w:t>
      </w:r>
      <w:proofErr w:type="spellStart"/>
      <w:r w:rsidRPr="001D3665">
        <w:t>ikkje</w:t>
      </w:r>
      <w:proofErr w:type="spellEnd"/>
      <w:r w:rsidRPr="001D3665">
        <w:t xml:space="preserve"> sende framlegg til forskrift om klima- og miljøavgift på mineralgjødsel på </w:t>
      </w:r>
      <w:proofErr w:type="spellStart"/>
      <w:r w:rsidRPr="001D3665">
        <w:t>høyring</w:t>
      </w:r>
      <w:proofErr w:type="spellEnd"/>
      <w:r w:rsidRPr="001D3665">
        <w:t xml:space="preserve">. Oppmoding nr. 59 (2025–2026) vert med dette </w:t>
      </w:r>
      <w:proofErr w:type="spellStart"/>
      <w:r w:rsidRPr="001D3665">
        <w:t>rekna</w:t>
      </w:r>
      <w:proofErr w:type="spellEnd"/>
      <w:r w:rsidRPr="001D3665">
        <w:t xml:space="preserve"> som </w:t>
      </w:r>
      <w:proofErr w:type="spellStart"/>
      <w:r w:rsidRPr="001D3665">
        <w:t>følgt</w:t>
      </w:r>
      <w:proofErr w:type="spellEnd"/>
      <w:r w:rsidRPr="001D3665">
        <w:t xml:space="preserve"> opp.</w:t>
      </w:r>
    </w:p>
    <w:p w14:paraId="03DCC0EC" w14:textId="77777777" w:rsidR="00BC371A" w:rsidRPr="001D3665" w:rsidRDefault="00BC371A" w:rsidP="001D3665">
      <w:pPr>
        <w:pStyle w:val="Overskrift1"/>
      </w:pPr>
      <w:proofErr w:type="spellStart"/>
      <w:r w:rsidRPr="001D3665">
        <w:t>Opprettingar</w:t>
      </w:r>
      <w:proofErr w:type="spellEnd"/>
      <w:r w:rsidRPr="001D3665">
        <w:t xml:space="preserve"> og </w:t>
      </w:r>
      <w:proofErr w:type="spellStart"/>
      <w:r w:rsidRPr="001D3665">
        <w:t>presiseringar</w:t>
      </w:r>
      <w:proofErr w:type="spellEnd"/>
      <w:r w:rsidRPr="001D3665">
        <w:t xml:space="preserve"> m.m.</w:t>
      </w:r>
    </w:p>
    <w:p w14:paraId="46E1CF69" w14:textId="77777777" w:rsidR="00BC371A" w:rsidRPr="001D3665" w:rsidRDefault="00BC371A" w:rsidP="001D3665">
      <w:pPr>
        <w:pStyle w:val="Overskrift2"/>
      </w:pPr>
      <w:r w:rsidRPr="001D3665">
        <w:t>Skatteloven § 2-37 fyrste ledd</w:t>
      </w:r>
    </w:p>
    <w:p w14:paraId="5FDED964" w14:textId="77777777" w:rsidR="00BC371A" w:rsidRPr="001D3665" w:rsidRDefault="00BC371A" w:rsidP="001D3665">
      <w:r w:rsidRPr="001D3665">
        <w:t xml:space="preserve">Skatteloven § 2-37 fyrste ledd </w:t>
      </w:r>
      <w:proofErr w:type="spellStart"/>
      <w:r w:rsidRPr="001D3665">
        <w:t>seier</w:t>
      </w:r>
      <w:proofErr w:type="spellEnd"/>
      <w:r w:rsidRPr="001D3665">
        <w:t xml:space="preserve"> at skatteplikt etter lova «kan begrenses i </w:t>
      </w:r>
      <w:proofErr w:type="gramStart"/>
      <w:r w:rsidRPr="001D3665">
        <w:t>medhold av</w:t>
      </w:r>
      <w:proofErr w:type="gramEnd"/>
      <w:r w:rsidRPr="001D3665">
        <w:t xml:space="preserve"> lov om adgang for Kongen til [å] inngå overenskomst med fremmede stater til forebyggelse av dobbeltbeskatning mv.». Her </w:t>
      </w:r>
      <w:proofErr w:type="spellStart"/>
      <w:r w:rsidRPr="001D3665">
        <w:t>manglar</w:t>
      </w:r>
      <w:proofErr w:type="spellEnd"/>
      <w:r w:rsidRPr="001D3665">
        <w:t xml:space="preserve"> </w:t>
      </w:r>
      <w:proofErr w:type="spellStart"/>
      <w:r w:rsidRPr="001D3665">
        <w:t>ein</w:t>
      </w:r>
      <w:proofErr w:type="spellEnd"/>
      <w:r w:rsidRPr="001D3665">
        <w:t xml:space="preserve"> «å».</w:t>
      </w:r>
    </w:p>
    <w:p w14:paraId="0346C0E6" w14:textId="77777777" w:rsidR="00BC371A" w:rsidRPr="001D3665" w:rsidRDefault="00BC371A" w:rsidP="001D3665">
      <w:r w:rsidRPr="001D3665">
        <w:t xml:space="preserve">Departementet foreslår at </w:t>
      </w:r>
      <w:proofErr w:type="spellStart"/>
      <w:r w:rsidRPr="001D3665">
        <w:t>ein</w:t>
      </w:r>
      <w:proofErr w:type="spellEnd"/>
      <w:r w:rsidRPr="001D3665">
        <w:t xml:space="preserve"> </w:t>
      </w:r>
      <w:proofErr w:type="spellStart"/>
      <w:r w:rsidRPr="001D3665">
        <w:t>rettar</w:t>
      </w:r>
      <w:proofErr w:type="spellEnd"/>
      <w:r w:rsidRPr="001D3665">
        <w:t xml:space="preserve"> opp i skrivefeilen, og at endringa tek til å gjelde straks.</w:t>
      </w:r>
    </w:p>
    <w:p w14:paraId="4C62FCCA" w14:textId="77777777" w:rsidR="00BC371A" w:rsidRPr="001D3665" w:rsidRDefault="00BC371A" w:rsidP="001D3665">
      <w:pPr>
        <w:pStyle w:val="Overskrift2"/>
      </w:pPr>
      <w:r w:rsidRPr="001D3665">
        <w:t>Skatteloven § 5-15 fyrste ledd bokstav m</w:t>
      </w:r>
    </w:p>
    <w:p w14:paraId="0C88A4EF" w14:textId="77777777" w:rsidR="00BC371A" w:rsidRPr="001D3665" w:rsidRDefault="00BC371A" w:rsidP="001D3665">
      <w:r w:rsidRPr="001D3665">
        <w:t xml:space="preserve">Skatteloven § 5-15 fyrste ledd bokstav m </w:t>
      </w:r>
      <w:proofErr w:type="gramStart"/>
      <w:r w:rsidRPr="001D3665">
        <w:t>gjev skattefritak</w:t>
      </w:r>
      <w:proofErr w:type="gramEnd"/>
      <w:r w:rsidRPr="001D3665">
        <w:t xml:space="preserve"> for «utbetalinger fra statens kompensasjons- og oppreisningsordning for pionerdykkere».</w:t>
      </w:r>
    </w:p>
    <w:p w14:paraId="712C1D3E" w14:textId="77777777" w:rsidR="00BC371A" w:rsidRPr="001D3665" w:rsidRDefault="00BC371A" w:rsidP="001D3665">
      <w:r w:rsidRPr="001D3665">
        <w:t xml:space="preserve">I desember 2025 </w:t>
      </w:r>
      <w:proofErr w:type="spellStart"/>
      <w:r w:rsidRPr="001D3665">
        <w:t>vart</w:t>
      </w:r>
      <w:proofErr w:type="spellEnd"/>
      <w:r w:rsidRPr="001D3665">
        <w:t xml:space="preserve"> det innført ei kompensasjonsordning for kjemikalieskadde </w:t>
      </w:r>
      <w:proofErr w:type="spellStart"/>
      <w:r w:rsidRPr="001D3665">
        <w:t>oljepionerar</w:t>
      </w:r>
      <w:proofErr w:type="spellEnd"/>
      <w:r w:rsidRPr="001D3665">
        <w:t xml:space="preserve">, jf. lov om kompensasjonsordning for kjemikalieskadde </w:t>
      </w:r>
      <w:proofErr w:type="spellStart"/>
      <w:r w:rsidRPr="001D3665">
        <w:t>oljepionerar</w:t>
      </w:r>
      <w:proofErr w:type="spellEnd"/>
      <w:r w:rsidRPr="001D3665">
        <w:t xml:space="preserve">. Det følgjer av § 5 tredje ledd at kompensasjonen </w:t>
      </w:r>
      <w:proofErr w:type="spellStart"/>
      <w:r w:rsidRPr="001D3665">
        <w:t>ikkje</w:t>
      </w:r>
      <w:proofErr w:type="spellEnd"/>
      <w:r w:rsidRPr="001D3665">
        <w:t xml:space="preserve"> skal </w:t>
      </w:r>
      <w:proofErr w:type="spellStart"/>
      <w:r w:rsidRPr="001D3665">
        <w:t>vere</w:t>
      </w:r>
      <w:proofErr w:type="spellEnd"/>
      <w:r w:rsidRPr="001D3665">
        <w:t xml:space="preserve"> skattepliktig.</w:t>
      </w:r>
    </w:p>
    <w:p w14:paraId="446ACB1C" w14:textId="77777777" w:rsidR="00BC371A" w:rsidRPr="001D3665" w:rsidRDefault="00BC371A" w:rsidP="001D3665">
      <w:r w:rsidRPr="001D3665">
        <w:lastRenderedPageBreak/>
        <w:t xml:space="preserve">Departementet foreslår at </w:t>
      </w:r>
      <w:proofErr w:type="spellStart"/>
      <w:r w:rsidRPr="001D3665">
        <w:t>ein</w:t>
      </w:r>
      <w:proofErr w:type="spellEnd"/>
      <w:r w:rsidRPr="001D3665">
        <w:t xml:space="preserve"> presiserer dette i skatteloven § 5-15 fyrste ledd bokstav m ved å </w:t>
      </w:r>
      <w:proofErr w:type="spellStart"/>
      <w:r w:rsidRPr="001D3665">
        <w:t>leggje</w:t>
      </w:r>
      <w:proofErr w:type="spellEnd"/>
      <w:r w:rsidRPr="001D3665">
        <w:t xml:space="preserve"> til «utbetalinger fra kompensasjonsordningen for kjemikalieskadde </w:t>
      </w:r>
      <w:proofErr w:type="spellStart"/>
      <w:r w:rsidRPr="001D3665">
        <w:t>oljepionerer</w:t>
      </w:r>
      <w:proofErr w:type="spellEnd"/>
      <w:r w:rsidRPr="001D3665">
        <w:t xml:space="preserve">» i ordlyden. Departementet foreslår at </w:t>
      </w:r>
      <w:proofErr w:type="spellStart"/>
      <w:r w:rsidRPr="001D3665">
        <w:t>endringane</w:t>
      </w:r>
      <w:proofErr w:type="spellEnd"/>
      <w:r w:rsidRPr="001D3665">
        <w:t xml:space="preserve"> </w:t>
      </w:r>
      <w:proofErr w:type="spellStart"/>
      <w:r w:rsidRPr="001D3665">
        <w:t>tek</w:t>
      </w:r>
      <w:proofErr w:type="spellEnd"/>
      <w:r w:rsidRPr="001D3665">
        <w:t xml:space="preserve"> til å gjelde straks.</w:t>
      </w:r>
    </w:p>
    <w:p w14:paraId="4FFEC71D" w14:textId="77777777" w:rsidR="00BC371A" w:rsidRPr="001D3665" w:rsidRDefault="00BC371A" w:rsidP="001D3665">
      <w:pPr>
        <w:pStyle w:val="Overskrift2"/>
      </w:pPr>
      <w:r w:rsidRPr="001D3665">
        <w:t>Skatteloven § 19-5 fyrste ledd bokstav c</w:t>
      </w:r>
    </w:p>
    <w:p w14:paraId="7C298A7C" w14:textId="77777777" w:rsidR="00BC371A" w:rsidRPr="001D3665" w:rsidRDefault="00BC371A" w:rsidP="001D3665">
      <w:r w:rsidRPr="001D3665">
        <w:t xml:space="preserve">Skatteloven § 19-5 fyrste ledd bokstav c andre punktum </w:t>
      </w:r>
      <w:proofErr w:type="spellStart"/>
      <w:r w:rsidRPr="001D3665">
        <w:t>seier</w:t>
      </w:r>
      <w:proofErr w:type="spellEnd"/>
      <w:r w:rsidRPr="001D3665">
        <w:t xml:space="preserve"> at «For driftsmidler som nevnt i § 19-6 bokstav c inntektsføres gevinsten i realisasjonsåret.». Tilvisinga angir </w:t>
      </w:r>
      <w:proofErr w:type="spellStart"/>
      <w:r w:rsidRPr="001D3665">
        <w:t>ikkje</w:t>
      </w:r>
      <w:proofErr w:type="spellEnd"/>
      <w:r w:rsidRPr="001D3665">
        <w:t xml:space="preserve"> det rette leddet i § 19-6. Det er </w:t>
      </w:r>
      <w:proofErr w:type="spellStart"/>
      <w:r w:rsidRPr="001D3665">
        <w:t>berre</w:t>
      </w:r>
      <w:proofErr w:type="spellEnd"/>
      <w:r w:rsidRPr="001D3665">
        <w:t xml:space="preserve"> bokstav c i fyrste ledd i § 19-6 som </w:t>
      </w:r>
      <w:proofErr w:type="spellStart"/>
      <w:r w:rsidRPr="001D3665">
        <w:t>inneheld</w:t>
      </w:r>
      <w:proofErr w:type="spellEnd"/>
      <w:r w:rsidRPr="001D3665">
        <w:t xml:space="preserve"> driftsmiddel som kan passe for tilvisinga i § 19-5 fyrste ledd bokstav c andre punktum. Rett tilvising må </w:t>
      </w:r>
      <w:proofErr w:type="spellStart"/>
      <w:r w:rsidRPr="001D3665">
        <w:t>difor</w:t>
      </w:r>
      <w:proofErr w:type="spellEnd"/>
      <w:r w:rsidRPr="001D3665">
        <w:t xml:space="preserve"> </w:t>
      </w:r>
      <w:proofErr w:type="spellStart"/>
      <w:r w:rsidRPr="001D3665">
        <w:t>vere</w:t>
      </w:r>
      <w:proofErr w:type="spellEnd"/>
      <w:r w:rsidRPr="001D3665">
        <w:t xml:space="preserve"> § 19-6 </w:t>
      </w:r>
      <w:r w:rsidRPr="001D3665">
        <w:rPr>
          <w:rStyle w:val="kursiv"/>
        </w:rPr>
        <w:t>fyrste ledd</w:t>
      </w:r>
      <w:r w:rsidRPr="001D3665">
        <w:t xml:space="preserve"> bokstav c.</w:t>
      </w:r>
    </w:p>
    <w:p w14:paraId="60B2A6EA" w14:textId="77777777" w:rsidR="00BC371A" w:rsidRPr="001D3665" w:rsidRDefault="00BC371A" w:rsidP="001D3665">
      <w:r w:rsidRPr="001D3665">
        <w:t xml:space="preserve">Departementet foreslår at tilvising til rett ledd vert </w:t>
      </w:r>
      <w:proofErr w:type="spellStart"/>
      <w:r w:rsidRPr="001D3665">
        <w:t>teke</w:t>
      </w:r>
      <w:proofErr w:type="spellEnd"/>
      <w:r w:rsidRPr="001D3665">
        <w:t xml:space="preserve"> inn, og at </w:t>
      </w:r>
      <w:proofErr w:type="spellStart"/>
      <w:r w:rsidRPr="001D3665">
        <w:t>endringane</w:t>
      </w:r>
      <w:proofErr w:type="spellEnd"/>
      <w:r w:rsidRPr="001D3665">
        <w:t xml:space="preserve"> </w:t>
      </w:r>
      <w:proofErr w:type="spellStart"/>
      <w:r w:rsidRPr="001D3665">
        <w:t>tek</w:t>
      </w:r>
      <w:proofErr w:type="spellEnd"/>
      <w:r w:rsidRPr="001D3665">
        <w:t xml:space="preserve"> til å gjelde straks.</w:t>
      </w:r>
    </w:p>
    <w:p w14:paraId="40BA4031" w14:textId="77777777" w:rsidR="00BC371A" w:rsidRPr="001D3665" w:rsidRDefault="00BC371A" w:rsidP="001D3665">
      <w:pPr>
        <w:pStyle w:val="Overskrift2"/>
      </w:pPr>
      <w:r w:rsidRPr="001D3665">
        <w:t>Innkrevingsloven § 23 femte ledd</w:t>
      </w:r>
    </w:p>
    <w:p w14:paraId="443D61D4" w14:textId="77777777" w:rsidR="00BC371A" w:rsidRPr="001D3665" w:rsidRDefault="00BC371A" w:rsidP="001D3665">
      <w:r w:rsidRPr="001D3665">
        <w:t xml:space="preserve">Innkrevingsloven § 23 femte ledd </w:t>
      </w:r>
      <w:proofErr w:type="spellStart"/>
      <w:r w:rsidRPr="001D3665">
        <w:t>seier</w:t>
      </w:r>
      <w:proofErr w:type="spellEnd"/>
      <w:r w:rsidRPr="001D3665">
        <w:t xml:space="preserve"> at departementet i forskrift kan </w:t>
      </w:r>
      <w:proofErr w:type="spellStart"/>
      <w:r w:rsidRPr="001D3665">
        <w:t>fastsetje</w:t>
      </w:r>
      <w:proofErr w:type="spellEnd"/>
      <w:r w:rsidRPr="001D3665">
        <w:t xml:space="preserve"> gebyr som </w:t>
      </w:r>
      <w:proofErr w:type="spellStart"/>
      <w:r w:rsidRPr="001D3665">
        <w:t>Innkrevjingsmyndigheita</w:t>
      </w:r>
      <w:proofErr w:type="spellEnd"/>
      <w:r w:rsidRPr="001D3665">
        <w:t xml:space="preserve"> i Skatteetaten kan </w:t>
      </w:r>
      <w:proofErr w:type="spellStart"/>
      <w:r w:rsidRPr="001D3665">
        <w:t>krevje</w:t>
      </w:r>
      <w:proofErr w:type="spellEnd"/>
      <w:r w:rsidRPr="001D3665">
        <w:t xml:space="preserve"> av </w:t>
      </w:r>
      <w:proofErr w:type="spellStart"/>
      <w:r w:rsidRPr="001D3665">
        <w:t>skyldnaren</w:t>
      </w:r>
      <w:proofErr w:type="spellEnd"/>
      <w:r w:rsidRPr="001D3665">
        <w:t xml:space="preserve"> når </w:t>
      </w:r>
      <w:proofErr w:type="spellStart"/>
      <w:r w:rsidRPr="001D3665">
        <w:t>myndigheita</w:t>
      </w:r>
      <w:proofErr w:type="spellEnd"/>
      <w:r w:rsidRPr="001D3665">
        <w:t xml:space="preserve"> sender varsel eller treff avgjerd om utlegg. Slike </w:t>
      </w:r>
      <w:proofErr w:type="spellStart"/>
      <w:r w:rsidRPr="001D3665">
        <w:t>reglar</w:t>
      </w:r>
      <w:proofErr w:type="spellEnd"/>
      <w:r w:rsidRPr="001D3665">
        <w:t xml:space="preserve"> er fastsette i forskrift, med </w:t>
      </w:r>
      <w:proofErr w:type="spellStart"/>
      <w:r w:rsidRPr="001D3665">
        <w:t>ikraftsetjing</w:t>
      </w:r>
      <w:proofErr w:type="spellEnd"/>
      <w:r w:rsidRPr="001D3665">
        <w:t xml:space="preserve"> </w:t>
      </w:r>
      <w:proofErr w:type="spellStart"/>
      <w:r w:rsidRPr="001D3665">
        <w:t>frå</w:t>
      </w:r>
      <w:proofErr w:type="spellEnd"/>
      <w:r w:rsidRPr="001D3665">
        <w:t xml:space="preserve"> 1. januar 2027.</w:t>
      </w:r>
    </w:p>
    <w:p w14:paraId="01DEED8B" w14:textId="77777777" w:rsidR="00BC371A" w:rsidRPr="001D3665" w:rsidRDefault="00BC371A" w:rsidP="001D3665">
      <w:r w:rsidRPr="001D3665">
        <w:t xml:space="preserve">Føresegna i § 23 femte ledd slår fast at gebyret </w:t>
      </w:r>
      <w:proofErr w:type="spellStart"/>
      <w:r w:rsidRPr="001D3665">
        <w:t>utgjer</w:t>
      </w:r>
      <w:proofErr w:type="spellEnd"/>
      <w:r w:rsidRPr="001D3665">
        <w:t xml:space="preserve"> tvangsgrunnlag for utlegg, og at det skal </w:t>
      </w:r>
      <w:proofErr w:type="spellStart"/>
      <w:r w:rsidRPr="001D3665">
        <w:t>leggjast</w:t>
      </w:r>
      <w:proofErr w:type="spellEnd"/>
      <w:r w:rsidRPr="001D3665">
        <w:t xml:space="preserve"> til kravet ved </w:t>
      </w:r>
      <w:proofErr w:type="spellStart"/>
      <w:r w:rsidRPr="001D3665">
        <w:t>innkrevjing</w:t>
      </w:r>
      <w:proofErr w:type="spellEnd"/>
      <w:r w:rsidRPr="001D3665">
        <w:t xml:space="preserve">. Då lovframlegget var på </w:t>
      </w:r>
      <w:proofErr w:type="spellStart"/>
      <w:r w:rsidRPr="001D3665">
        <w:t>høyring</w:t>
      </w:r>
      <w:proofErr w:type="spellEnd"/>
      <w:r w:rsidRPr="001D3665">
        <w:t xml:space="preserve">, var gebyrføresegna plassert i innkrevingsloven § 5, med </w:t>
      </w:r>
      <w:proofErr w:type="spellStart"/>
      <w:r w:rsidRPr="001D3665">
        <w:t>eit</w:t>
      </w:r>
      <w:proofErr w:type="spellEnd"/>
      <w:r w:rsidRPr="001D3665">
        <w:t xml:space="preserve"> tillegg om at «avgjørelse av kostnadsansvaret har tvangskraft». Dette </w:t>
      </w:r>
      <w:proofErr w:type="spellStart"/>
      <w:r w:rsidRPr="001D3665">
        <w:t>inneber</w:t>
      </w:r>
      <w:proofErr w:type="spellEnd"/>
      <w:r w:rsidRPr="001D3665">
        <w:t xml:space="preserve"> at det </w:t>
      </w:r>
      <w:proofErr w:type="spellStart"/>
      <w:r w:rsidRPr="001D3665">
        <w:t>ikkje</w:t>
      </w:r>
      <w:proofErr w:type="spellEnd"/>
      <w:r w:rsidRPr="001D3665">
        <w:t xml:space="preserve"> er krav om særskilt varsel før gebyret kan </w:t>
      </w:r>
      <w:proofErr w:type="spellStart"/>
      <w:r w:rsidRPr="001D3665">
        <w:t>tvangsinndrivast</w:t>
      </w:r>
      <w:proofErr w:type="spellEnd"/>
      <w:r w:rsidRPr="001D3665">
        <w:t xml:space="preserve"> </w:t>
      </w:r>
      <w:proofErr w:type="spellStart"/>
      <w:r w:rsidRPr="001D3665">
        <w:t>saman</w:t>
      </w:r>
      <w:proofErr w:type="spellEnd"/>
      <w:r w:rsidRPr="001D3665">
        <w:t xml:space="preserve"> med </w:t>
      </w:r>
      <w:proofErr w:type="spellStart"/>
      <w:r w:rsidRPr="001D3665">
        <w:t>hovudkravet</w:t>
      </w:r>
      <w:proofErr w:type="spellEnd"/>
      <w:r w:rsidRPr="001D3665">
        <w:t xml:space="preserve">. Ordlyden i </w:t>
      </w:r>
      <w:proofErr w:type="spellStart"/>
      <w:r w:rsidRPr="001D3665">
        <w:t>høyringsframlegget</w:t>
      </w:r>
      <w:proofErr w:type="spellEnd"/>
      <w:r w:rsidRPr="001D3665">
        <w:t xml:space="preserve"> samsvarer med </w:t>
      </w:r>
      <w:proofErr w:type="spellStart"/>
      <w:r w:rsidRPr="001D3665">
        <w:t>dei</w:t>
      </w:r>
      <w:proofErr w:type="spellEnd"/>
      <w:r w:rsidRPr="001D3665">
        <w:t xml:space="preserve"> </w:t>
      </w:r>
      <w:proofErr w:type="spellStart"/>
      <w:r w:rsidRPr="001D3665">
        <w:t>tidlegare</w:t>
      </w:r>
      <w:proofErr w:type="spellEnd"/>
      <w:r w:rsidRPr="001D3665">
        <w:t xml:space="preserve"> </w:t>
      </w:r>
      <w:proofErr w:type="spellStart"/>
      <w:r w:rsidRPr="001D3665">
        <w:t>reglane</w:t>
      </w:r>
      <w:proofErr w:type="spellEnd"/>
      <w:r w:rsidRPr="001D3665">
        <w:t xml:space="preserve"> for Skatteetaten sine </w:t>
      </w:r>
      <w:proofErr w:type="spellStart"/>
      <w:r w:rsidRPr="001D3665">
        <w:t>innkrevjingsmyndigheiter</w:t>
      </w:r>
      <w:proofErr w:type="spellEnd"/>
      <w:r w:rsidRPr="001D3665">
        <w:t xml:space="preserve">, og </w:t>
      </w:r>
      <w:proofErr w:type="spellStart"/>
      <w:r w:rsidRPr="001D3665">
        <w:t>reglane</w:t>
      </w:r>
      <w:proofErr w:type="spellEnd"/>
      <w:r w:rsidRPr="001D3665">
        <w:t xml:space="preserve"> som </w:t>
      </w:r>
      <w:proofErr w:type="spellStart"/>
      <w:r w:rsidRPr="001D3665">
        <w:t>gjeld</w:t>
      </w:r>
      <w:proofErr w:type="spellEnd"/>
      <w:r w:rsidRPr="001D3665">
        <w:t xml:space="preserve"> for </w:t>
      </w:r>
      <w:proofErr w:type="spellStart"/>
      <w:r w:rsidRPr="001D3665">
        <w:t>alminnelege</w:t>
      </w:r>
      <w:proofErr w:type="spellEnd"/>
      <w:r w:rsidRPr="001D3665">
        <w:t xml:space="preserve"> og kommunale namsstyresmakter, jf. tvangsfullbyrdelsesloven § 3-1 fyrste ledd, jf. § 2-15 tredje ledd.</w:t>
      </w:r>
    </w:p>
    <w:p w14:paraId="604B93B5" w14:textId="77777777" w:rsidR="00BC371A" w:rsidRPr="001D3665" w:rsidRDefault="00BC371A" w:rsidP="001D3665">
      <w:r w:rsidRPr="001D3665">
        <w:t xml:space="preserve">I innkrevingsloven § 23 femte ledd kjem det </w:t>
      </w:r>
      <w:proofErr w:type="spellStart"/>
      <w:r w:rsidRPr="001D3665">
        <w:t>ikkje</w:t>
      </w:r>
      <w:proofErr w:type="spellEnd"/>
      <w:r w:rsidRPr="001D3665">
        <w:t xml:space="preserve"> </w:t>
      </w:r>
      <w:proofErr w:type="spellStart"/>
      <w:r w:rsidRPr="001D3665">
        <w:t>uttrykkjeleg</w:t>
      </w:r>
      <w:proofErr w:type="spellEnd"/>
      <w:r w:rsidRPr="001D3665">
        <w:t xml:space="preserve"> fram at gebyrkravet har tvangskraft. Plasseringa av gebyrføresegna var </w:t>
      </w:r>
      <w:proofErr w:type="spellStart"/>
      <w:r w:rsidRPr="001D3665">
        <w:t>ikkje</w:t>
      </w:r>
      <w:proofErr w:type="spellEnd"/>
      <w:r w:rsidRPr="001D3665">
        <w:t xml:space="preserve"> meint å føre til </w:t>
      </w:r>
      <w:proofErr w:type="spellStart"/>
      <w:r w:rsidRPr="001D3665">
        <w:t>nokon</w:t>
      </w:r>
      <w:proofErr w:type="spellEnd"/>
      <w:r w:rsidRPr="001D3665">
        <w:t xml:space="preserve"> materiell endring. For å unngå </w:t>
      </w:r>
      <w:proofErr w:type="spellStart"/>
      <w:r w:rsidRPr="001D3665">
        <w:t>tolkingstvil</w:t>
      </w:r>
      <w:proofErr w:type="spellEnd"/>
      <w:r w:rsidRPr="001D3665">
        <w:t xml:space="preserve"> </w:t>
      </w:r>
      <w:proofErr w:type="spellStart"/>
      <w:r w:rsidRPr="001D3665">
        <w:t>gjer</w:t>
      </w:r>
      <w:proofErr w:type="spellEnd"/>
      <w:r w:rsidRPr="001D3665">
        <w:t xml:space="preserve"> departementet </w:t>
      </w:r>
      <w:proofErr w:type="spellStart"/>
      <w:r w:rsidRPr="001D3665">
        <w:t>difor</w:t>
      </w:r>
      <w:proofErr w:type="spellEnd"/>
      <w:r w:rsidRPr="001D3665">
        <w:t xml:space="preserve"> framlegg om å </w:t>
      </w:r>
      <w:proofErr w:type="spellStart"/>
      <w:r w:rsidRPr="001D3665">
        <w:t>vidareføre</w:t>
      </w:r>
      <w:proofErr w:type="spellEnd"/>
      <w:r w:rsidRPr="001D3665">
        <w:t xml:space="preserve"> </w:t>
      </w:r>
      <w:proofErr w:type="spellStart"/>
      <w:r w:rsidRPr="001D3665">
        <w:t>høyringsframlegget</w:t>
      </w:r>
      <w:proofErr w:type="spellEnd"/>
      <w:r w:rsidRPr="001D3665">
        <w:t xml:space="preserve">, slik at det </w:t>
      </w:r>
      <w:proofErr w:type="spellStart"/>
      <w:r w:rsidRPr="001D3665">
        <w:t>uttrykkjeleg</w:t>
      </w:r>
      <w:proofErr w:type="spellEnd"/>
      <w:r w:rsidRPr="001D3665">
        <w:t xml:space="preserve"> kjem fram at ei avgjerd om gebyr har tvangskraft.</w:t>
      </w:r>
    </w:p>
    <w:p w14:paraId="4E6E7905" w14:textId="77777777" w:rsidR="00BC371A" w:rsidRPr="001D3665" w:rsidRDefault="00BC371A" w:rsidP="001D3665">
      <w:pPr>
        <w:pStyle w:val="Overskrift2"/>
      </w:pPr>
      <w:r w:rsidRPr="001D3665">
        <w:t>Stortingsvedtaka om fastsetting av finansskatt på lønn og om fastsetting av avgifter mv. til folketrygden for 2026</w:t>
      </w:r>
    </w:p>
    <w:p w14:paraId="7F25A5BB" w14:textId="77777777" w:rsidR="00BC371A" w:rsidRPr="001D3665" w:rsidRDefault="00BC371A" w:rsidP="001D3665">
      <w:r w:rsidRPr="001D3665">
        <w:t xml:space="preserve">I § 1 stortingsvedtaket om fastsetting av finansskatt på lønn for 2026 er det ei tilvising til </w:t>
      </w:r>
      <w:proofErr w:type="spellStart"/>
      <w:r w:rsidRPr="001D3665">
        <w:t>næringshovudområde</w:t>
      </w:r>
      <w:proofErr w:type="spellEnd"/>
      <w:r w:rsidRPr="001D3665">
        <w:t xml:space="preserve"> K «Finansierings- og forsikringsvirksomhet» i Statistisk sentralbyrås standard for næringsgruppering. </w:t>
      </w:r>
      <w:proofErr w:type="spellStart"/>
      <w:r w:rsidRPr="001D3665">
        <w:t>Tilsvarande</w:t>
      </w:r>
      <w:proofErr w:type="spellEnd"/>
      <w:r w:rsidRPr="001D3665">
        <w:t xml:space="preserve"> tilvising </w:t>
      </w:r>
      <w:proofErr w:type="spellStart"/>
      <w:r w:rsidRPr="001D3665">
        <w:t>finst</w:t>
      </w:r>
      <w:proofErr w:type="spellEnd"/>
      <w:r w:rsidRPr="001D3665">
        <w:t xml:space="preserve"> i Stortingets vedtak om fastsetting av avgifter mv. til folketrygden for 2026 § 4 tredje ledd fyrste strekpunkt. Standarden vart endra i september 2025. Finansierings- og </w:t>
      </w:r>
      <w:proofErr w:type="spellStart"/>
      <w:r w:rsidRPr="001D3665">
        <w:t>forsikringsverksemd</w:t>
      </w:r>
      <w:proofErr w:type="spellEnd"/>
      <w:r w:rsidRPr="001D3665">
        <w:t xml:space="preserve"> vart då flytta til </w:t>
      </w:r>
      <w:proofErr w:type="spellStart"/>
      <w:r w:rsidRPr="001D3665">
        <w:t>næringshovudområde</w:t>
      </w:r>
      <w:proofErr w:type="spellEnd"/>
      <w:r w:rsidRPr="001D3665">
        <w:t xml:space="preserve"> L «Finansiell tjenesteyting». Det vert gjort framlegg om å endre </w:t>
      </w:r>
      <w:proofErr w:type="spellStart"/>
      <w:r w:rsidRPr="001D3665">
        <w:t>høvesvis</w:t>
      </w:r>
      <w:proofErr w:type="spellEnd"/>
      <w:r w:rsidRPr="001D3665">
        <w:t xml:space="preserve"> § 1 og § 4 i vedtaka, slik at </w:t>
      </w:r>
      <w:proofErr w:type="spellStart"/>
      <w:r w:rsidRPr="001D3665">
        <w:t>tilvisingane</w:t>
      </w:r>
      <w:proofErr w:type="spellEnd"/>
      <w:r w:rsidRPr="001D3665">
        <w:t xml:space="preserve"> vert korrekte. </w:t>
      </w:r>
      <w:proofErr w:type="spellStart"/>
      <w:r w:rsidRPr="001D3665">
        <w:t>Endringane</w:t>
      </w:r>
      <w:proofErr w:type="spellEnd"/>
      <w:r w:rsidRPr="001D3665">
        <w:t xml:space="preserve"> har ingen materiell verknad og vert foreslått å ta til å gjelde straks. Sjå framlegg til stortingsvedtak om </w:t>
      </w:r>
      <w:proofErr w:type="spellStart"/>
      <w:r w:rsidRPr="001D3665">
        <w:t>endringar</w:t>
      </w:r>
      <w:proofErr w:type="spellEnd"/>
      <w:r w:rsidRPr="001D3665">
        <w:t xml:space="preserve"> i Stortingets vedtak om </w:t>
      </w:r>
      <w:r w:rsidRPr="001D3665">
        <w:lastRenderedPageBreak/>
        <w:t xml:space="preserve">fastsetting av finansskatt på lønn for 2026 § 1 og stortingsvedtak om </w:t>
      </w:r>
      <w:proofErr w:type="spellStart"/>
      <w:r w:rsidRPr="001D3665">
        <w:t>endringar</w:t>
      </w:r>
      <w:proofErr w:type="spellEnd"/>
      <w:r w:rsidRPr="001D3665">
        <w:t xml:space="preserve"> i Stortingets vedtak om fastsetting av avgifter mv. til folketrygden for 2026 § 4.</w:t>
      </w:r>
    </w:p>
    <w:p w14:paraId="6253ECDE" w14:textId="77777777" w:rsidR="00BC371A" w:rsidRPr="001D3665" w:rsidRDefault="00BC371A" w:rsidP="001D3665">
      <w:pPr>
        <w:pStyle w:val="a-tilraar-dep"/>
      </w:pPr>
      <w:r w:rsidRPr="001D3665">
        <w:t>Finansdepartementet</w:t>
      </w:r>
    </w:p>
    <w:p w14:paraId="48B2FD41" w14:textId="77777777" w:rsidR="00BC371A" w:rsidRPr="001D3665" w:rsidRDefault="00BC371A" w:rsidP="001D3665">
      <w:pPr>
        <w:pStyle w:val="a-tilraar-tit"/>
      </w:pPr>
      <w:r w:rsidRPr="001D3665">
        <w:t>tilrår:</w:t>
      </w:r>
    </w:p>
    <w:p w14:paraId="15AA8314" w14:textId="77777777" w:rsidR="00BC371A" w:rsidRPr="001D3665" w:rsidRDefault="00BC371A" w:rsidP="001D3665">
      <w:r w:rsidRPr="001D3665">
        <w:t xml:space="preserve">At </w:t>
      </w:r>
      <w:proofErr w:type="spellStart"/>
      <w:r w:rsidRPr="001D3665">
        <w:t>Dykkar</w:t>
      </w:r>
      <w:proofErr w:type="spellEnd"/>
      <w:r w:rsidRPr="001D3665">
        <w:t xml:space="preserve"> Majestet godkjenner og skriv under </w:t>
      </w:r>
      <w:proofErr w:type="spellStart"/>
      <w:r w:rsidRPr="001D3665">
        <w:t>eit</w:t>
      </w:r>
      <w:proofErr w:type="spellEnd"/>
      <w:r w:rsidRPr="001D3665">
        <w:t xml:space="preserve"> framlagt forslag til proposisjon til Stortinget om</w:t>
      </w:r>
    </w:p>
    <w:p w14:paraId="49734F49"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folketrygdloven</w:t>
      </w:r>
    </w:p>
    <w:p w14:paraId="67B58620"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skatteloven</w:t>
      </w:r>
    </w:p>
    <w:p w14:paraId="39E754F7"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vareførselsloven</w:t>
      </w:r>
    </w:p>
    <w:p w14:paraId="7AB34B50"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innkrevingsloven</w:t>
      </w:r>
    </w:p>
    <w:p w14:paraId="4B5D361F"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lov om kompensasjonsordning for kjemikalieskadde </w:t>
      </w:r>
      <w:proofErr w:type="spellStart"/>
      <w:r w:rsidRPr="001D3665">
        <w:t>oljepionerar</w:t>
      </w:r>
      <w:proofErr w:type="spellEnd"/>
    </w:p>
    <w:p w14:paraId="51F2190E"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lov om endringer i merverdiavgiftsloven</w:t>
      </w:r>
    </w:p>
    <w:p w14:paraId="4FB8071A" w14:textId="77777777" w:rsidR="00BC371A" w:rsidRPr="001D3665" w:rsidRDefault="00BC371A" w:rsidP="001D3665">
      <w:r w:rsidRPr="001D3665">
        <w:t>og</w:t>
      </w:r>
    </w:p>
    <w:p w14:paraId="61F54231" w14:textId="77777777" w:rsidR="00BC371A" w:rsidRPr="001D3665" w:rsidRDefault="00BC371A" w:rsidP="001D3665">
      <w:pPr>
        <w:pStyle w:val="Liste"/>
      </w:pPr>
      <w:r w:rsidRPr="001D3665">
        <w:t xml:space="preserve">vedtak om </w:t>
      </w:r>
      <w:proofErr w:type="spellStart"/>
      <w:r w:rsidRPr="001D3665">
        <w:t>endringar</w:t>
      </w:r>
      <w:proofErr w:type="spellEnd"/>
      <w:r w:rsidRPr="001D3665">
        <w:t xml:space="preserve"> i stortingsvedtak om skatt av inntekt og formue mv. for inntektsåret 2026 (Stortingets skattevedtak)</w:t>
      </w:r>
    </w:p>
    <w:p w14:paraId="18F93229" w14:textId="77777777" w:rsidR="00BC371A" w:rsidRPr="001D3665" w:rsidRDefault="00BC371A" w:rsidP="001D3665">
      <w:pPr>
        <w:pStyle w:val="Liste"/>
      </w:pPr>
      <w:r w:rsidRPr="001D3665">
        <w:t xml:space="preserve">vedtak om </w:t>
      </w:r>
      <w:proofErr w:type="spellStart"/>
      <w:r w:rsidRPr="001D3665">
        <w:t>endringar</w:t>
      </w:r>
      <w:proofErr w:type="spellEnd"/>
      <w:r w:rsidRPr="001D3665">
        <w:t xml:space="preserve"> i stortingsvedtak om fastsetting av avgifter mv. til folketrygden for 2026</w:t>
      </w:r>
    </w:p>
    <w:p w14:paraId="2B061900" w14:textId="77777777" w:rsidR="00BC371A" w:rsidRPr="001D3665" w:rsidRDefault="00BC371A" w:rsidP="001D3665">
      <w:pPr>
        <w:pStyle w:val="Liste"/>
      </w:pPr>
      <w:r w:rsidRPr="001D3665">
        <w:t xml:space="preserve">vedtak om </w:t>
      </w:r>
      <w:proofErr w:type="spellStart"/>
      <w:r w:rsidRPr="001D3665">
        <w:t>endringar</w:t>
      </w:r>
      <w:proofErr w:type="spellEnd"/>
      <w:r w:rsidRPr="001D3665">
        <w:t xml:space="preserve"> i stortingsvedtak om fastsetting av finansskatt på lønn for 2026</w:t>
      </w:r>
    </w:p>
    <w:p w14:paraId="23F9E121" w14:textId="77777777" w:rsidR="00BC371A" w:rsidRPr="001D3665" w:rsidRDefault="00BC371A" w:rsidP="001D3665">
      <w:pPr>
        <w:pStyle w:val="a-konge-tekst"/>
        <w:rPr>
          <w:rStyle w:val="halvfet0"/>
        </w:rPr>
      </w:pPr>
      <w:r w:rsidRPr="001D3665">
        <w:rPr>
          <w:rStyle w:val="halvfet0"/>
        </w:rPr>
        <w:t xml:space="preserve">Vi HARALD, </w:t>
      </w:r>
      <w:proofErr w:type="spellStart"/>
      <w:r w:rsidRPr="001D3665">
        <w:t>Noregs</w:t>
      </w:r>
      <w:proofErr w:type="spellEnd"/>
      <w:r w:rsidRPr="001D3665">
        <w:t xml:space="preserve"> Konge,</w:t>
      </w:r>
    </w:p>
    <w:p w14:paraId="443E7772" w14:textId="77777777" w:rsidR="00BC371A" w:rsidRPr="001D3665" w:rsidRDefault="00BC371A" w:rsidP="001D3665">
      <w:pPr>
        <w:pStyle w:val="a-konge-tit"/>
      </w:pPr>
      <w:r w:rsidRPr="001D3665">
        <w:t>stadfester:</w:t>
      </w:r>
    </w:p>
    <w:p w14:paraId="2B791CB1" w14:textId="77777777" w:rsidR="00BC371A" w:rsidRPr="001D3665" w:rsidRDefault="00BC371A" w:rsidP="001D3665">
      <w:r w:rsidRPr="001D3665">
        <w:t xml:space="preserve">Stortinget vert bedt om å </w:t>
      </w:r>
      <w:proofErr w:type="spellStart"/>
      <w:r w:rsidRPr="001D3665">
        <w:t>gjere</w:t>
      </w:r>
      <w:proofErr w:type="spellEnd"/>
      <w:r w:rsidRPr="001D3665">
        <w:t xml:space="preserve"> vedtak til</w:t>
      </w:r>
    </w:p>
    <w:p w14:paraId="604E88B1"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folketrygdloven</w:t>
      </w:r>
    </w:p>
    <w:p w14:paraId="3FDED8B3"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skatteloven</w:t>
      </w:r>
    </w:p>
    <w:p w14:paraId="632C222B"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vareførselsloven</w:t>
      </w:r>
    </w:p>
    <w:p w14:paraId="2F27AEFA"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innkrevingsloven</w:t>
      </w:r>
    </w:p>
    <w:p w14:paraId="2070811E"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lov om kompensasjonsordning for kjemikalieskadde </w:t>
      </w:r>
      <w:proofErr w:type="spellStart"/>
      <w:r w:rsidRPr="001D3665">
        <w:t>oljepionerar</w:t>
      </w:r>
      <w:proofErr w:type="spellEnd"/>
    </w:p>
    <w:p w14:paraId="17161CA4" w14:textId="77777777" w:rsidR="00BC371A" w:rsidRPr="001D3665" w:rsidRDefault="00BC371A" w:rsidP="001D3665">
      <w:pPr>
        <w:pStyle w:val="Liste"/>
      </w:pPr>
      <w:r w:rsidRPr="001D3665">
        <w:t xml:space="preserve">lov om </w:t>
      </w:r>
      <w:proofErr w:type="spellStart"/>
      <w:r w:rsidRPr="001D3665">
        <w:t>endringar</w:t>
      </w:r>
      <w:proofErr w:type="spellEnd"/>
      <w:r w:rsidRPr="001D3665">
        <w:t xml:space="preserve"> i lov om endringer i merverdiavgiftsloven</w:t>
      </w:r>
    </w:p>
    <w:p w14:paraId="465570A8" w14:textId="77777777" w:rsidR="00BC371A" w:rsidRPr="001D3665" w:rsidRDefault="00BC371A" w:rsidP="001D3665">
      <w:r w:rsidRPr="001D3665">
        <w:t>og</w:t>
      </w:r>
    </w:p>
    <w:p w14:paraId="56CFB5E5" w14:textId="77777777" w:rsidR="00BC371A" w:rsidRPr="001D3665" w:rsidRDefault="00BC371A" w:rsidP="001D3665">
      <w:pPr>
        <w:pStyle w:val="Liste"/>
      </w:pPr>
      <w:r w:rsidRPr="001D3665">
        <w:t xml:space="preserve">vedtak om </w:t>
      </w:r>
      <w:proofErr w:type="spellStart"/>
      <w:r w:rsidRPr="001D3665">
        <w:t>endringar</w:t>
      </w:r>
      <w:proofErr w:type="spellEnd"/>
      <w:r w:rsidRPr="001D3665">
        <w:t xml:space="preserve"> i stortingsvedtak om skatt av inntekt og formue mv. for inntektsåret 2026 (Stortingets skattevedtak)</w:t>
      </w:r>
    </w:p>
    <w:p w14:paraId="7981FC5D" w14:textId="77777777" w:rsidR="00BC371A" w:rsidRPr="001D3665" w:rsidRDefault="00BC371A" w:rsidP="001D3665">
      <w:pPr>
        <w:pStyle w:val="Liste"/>
      </w:pPr>
      <w:r w:rsidRPr="001D3665">
        <w:t xml:space="preserve">vedtak om </w:t>
      </w:r>
      <w:proofErr w:type="spellStart"/>
      <w:r w:rsidRPr="001D3665">
        <w:t>endringar</w:t>
      </w:r>
      <w:proofErr w:type="spellEnd"/>
      <w:r w:rsidRPr="001D3665">
        <w:t xml:space="preserve"> i stortingsvedtak om fastsetting av avgifter mv. til folketrygden for 2026</w:t>
      </w:r>
    </w:p>
    <w:p w14:paraId="0ABB6463" w14:textId="77777777" w:rsidR="00BC371A" w:rsidRPr="001D3665" w:rsidRDefault="00BC371A" w:rsidP="001D3665">
      <w:pPr>
        <w:pStyle w:val="Liste"/>
      </w:pPr>
      <w:r w:rsidRPr="001D3665">
        <w:t xml:space="preserve">vedtak om </w:t>
      </w:r>
      <w:proofErr w:type="spellStart"/>
      <w:r w:rsidRPr="001D3665">
        <w:t>endringar</w:t>
      </w:r>
      <w:proofErr w:type="spellEnd"/>
      <w:r w:rsidRPr="001D3665">
        <w:t xml:space="preserve"> i stortingsvedtak om fastsetting av finansskatt på lønn for 2026</w:t>
      </w:r>
    </w:p>
    <w:p w14:paraId="5206F352" w14:textId="77777777" w:rsidR="00BC371A" w:rsidRPr="001D3665" w:rsidRDefault="00BC371A" w:rsidP="001D3665">
      <w:r w:rsidRPr="001D3665">
        <w:t xml:space="preserve">i samsvar med </w:t>
      </w:r>
      <w:proofErr w:type="spellStart"/>
      <w:r w:rsidRPr="001D3665">
        <w:t>eit</w:t>
      </w:r>
      <w:proofErr w:type="spellEnd"/>
      <w:r w:rsidRPr="001D3665">
        <w:t xml:space="preserve"> vedlagt forslag.</w:t>
      </w:r>
    </w:p>
    <w:p w14:paraId="6FB163F5" w14:textId="77777777" w:rsidR="00BC371A" w:rsidRPr="001D3665" w:rsidRDefault="00BC371A" w:rsidP="001D3665">
      <w:pPr>
        <w:pStyle w:val="a-vedtak-tit"/>
      </w:pPr>
      <w:r w:rsidRPr="001D3665">
        <w:lastRenderedPageBreak/>
        <w:t>A – Forslag til lovvedtak</w:t>
      </w:r>
    </w:p>
    <w:p w14:paraId="607E5217" w14:textId="77777777" w:rsidR="00BC371A" w:rsidRPr="001D3665" w:rsidRDefault="00BC371A" w:rsidP="001D3665">
      <w:pPr>
        <w:pStyle w:val="a-vedtak-tit"/>
      </w:pPr>
      <w:r w:rsidRPr="001D3665">
        <w:t xml:space="preserve">Forslag </w:t>
      </w:r>
    </w:p>
    <w:p w14:paraId="69201692" w14:textId="77777777" w:rsidR="00BC371A" w:rsidRPr="001D3665" w:rsidRDefault="00BC371A" w:rsidP="001D3665">
      <w:pPr>
        <w:pStyle w:val="a-vedtak-tit"/>
      </w:pPr>
      <w:r w:rsidRPr="001D3665">
        <w:t xml:space="preserve">til lov om </w:t>
      </w:r>
      <w:proofErr w:type="spellStart"/>
      <w:r w:rsidRPr="001D3665">
        <w:t>endringar</w:t>
      </w:r>
      <w:proofErr w:type="spellEnd"/>
      <w:r w:rsidRPr="001D3665">
        <w:t xml:space="preserve"> i folketrygdloven</w:t>
      </w:r>
    </w:p>
    <w:p w14:paraId="0F0EC432" w14:textId="77777777" w:rsidR="00BC371A" w:rsidRPr="001D3665" w:rsidRDefault="00BC371A" w:rsidP="001D3665">
      <w:pPr>
        <w:pStyle w:val="a-vedtak-del"/>
      </w:pPr>
      <w:r w:rsidRPr="001D3665">
        <w:t>I</w:t>
      </w:r>
    </w:p>
    <w:p w14:paraId="44896DE2" w14:textId="77777777" w:rsidR="00BC371A" w:rsidRPr="001D3665" w:rsidRDefault="00BC371A" w:rsidP="001D3665">
      <w:pPr>
        <w:pStyle w:val="l-tit-endr-lov"/>
      </w:pPr>
      <w:r w:rsidRPr="001D3665">
        <w:t>I lov 28. februar 1997 nr. 19 vert det gjort følgjande endringar:</w:t>
      </w:r>
    </w:p>
    <w:p w14:paraId="67494806" w14:textId="77777777" w:rsidR="00BC371A" w:rsidRPr="001D3665" w:rsidRDefault="00BC371A" w:rsidP="001D3665">
      <w:pPr>
        <w:pStyle w:val="l-tit-endr-ledd"/>
      </w:pPr>
      <w:r w:rsidRPr="001D3665">
        <w:t>§ 23-3 andre ledd nr. 2 bokstav b skal lyde:</w:t>
      </w:r>
    </w:p>
    <w:p w14:paraId="015CEE9E" w14:textId="77777777" w:rsidR="00BC371A" w:rsidRPr="001D3665" w:rsidRDefault="00BC371A" w:rsidP="001D3665">
      <w:pPr>
        <w:pStyle w:val="friliste"/>
      </w:pPr>
      <w:r w:rsidRPr="001D3665">
        <w:t>b.</w:t>
      </w:r>
      <w:r w:rsidRPr="001D3665">
        <w:tab/>
        <w:t xml:space="preserve">arbeidsavklaringspenger etter folketrygdloven kapittel 11, ungdomsprogramytelse, </w:t>
      </w:r>
      <w:r w:rsidRPr="001D3665">
        <w:rPr>
          <w:rStyle w:val="l-endring"/>
        </w:rPr>
        <w:t>aktivitetspenger for unge,</w:t>
      </w:r>
      <w:r w:rsidRPr="001D3665">
        <w:t xml:space="preserve"> uføretrygd etter kapittel 12 og uføreytelser fra andre ordninger,</w:t>
      </w:r>
    </w:p>
    <w:p w14:paraId="653ACE1B" w14:textId="77777777" w:rsidR="00BC371A" w:rsidRPr="001D3665" w:rsidRDefault="00BC371A" w:rsidP="001D3665">
      <w:pPr>
        <w:pStyle w:val="a-vedtak-del"/>
      </w:pPr>
      <w:r w:rsidRPr="001D3665">
        <w:t>II</w:t>
      </w:r>
    </w:p>
    <w:p w14:paraId="1C01D02F" w14:textId="77777777" w:rsidR="00BC371A" w:rsidRPr="001D3665" w:rsidRDefault="00BC371A" w:rsidP="001D3665">
      <w:proofErr w:type="spellStart"/>
      <w:r w:rsidRPr="001D3665">
        <w:t>Endringane</w:t>
      </w:r>
      <w:proofErr w:type="spellEnd"/>
      <w:r w:rsidRPr="001D3665">
        <w:t xml:space="preserve"> under I tek til å gjelde straks med verknad </w:t>
      </w:r>
      <w:proofErr w:type="spellStart"/>
      <w:r w:rsidRPr="001D3665">
        <w:t>frå</w:t>
      </w:r>
      <w:proofErr w:type="spellEnd"/>
      <w:r w:rsidRPr="001D3665">
        <w:t xml:space="preserve"> 1. juli 2026.</w:t>
      </w:r>
    </w:p>
    <w:p w14:paraId="62A99276" w14:textId="77777777" w:rsidR="00BC371A" w:rsidRPr="001D3665" w:rsidRDefault="00BC371A" w:rsidP="001D3665">
      <w:pPr>
        <w:pStyle w:val="a-vedtak-tit"/>
      </w:pPr>
      <w:r w:rsidRPr="001D3665">
        <w:t xml:space="preserve">Forslag </w:t>
      </w:r>
    </w:p>
    <w:p w14:paraId="1E64B6AD" w14:textId="77777777" w:rsidR="00BC371A" w:rsidRPr="001D3665" w:rsidRDefault="00BC371A" w:rsidP="001D3665">
      <w:pPr>
        <w:pStyle w:val="a-vedtak-tit"/>
      </w:pPr>
      <w:r w:rsidRPr="001D3665">
        <w:t xml:space="preserve">til lov om </w:t>
      </w:r>
      <w:proofErr w:type="spellStart"/>
      <w:r w:rsidRPr="001D3665">
        <w:t>endringar</w:t>
      </w:r>
      <w:proofErr w:type="spellEnd"/>
      <w:r w:rsidRPr="001D3665">
        <w:t xml:space="preserve"> i skatteloven</w:t>
      </w:r>
    </w:p>
    <w:p w14:paraId="18C0BD5A" w14:textId="77777777" w:rsidR="00BC371A" w:rsidRPr="001D3665" w:rsidRDefault="00BC371A" w:rsidP="001D3665">
      <w:pPr>
        <w:pStyle w:val="a-vedtak-del"/>
      </w:pPr>
      <w:r w:rsidRPr="001D3665">
        <w:t>I</w:t>
      </w:r>
    </w:p>
    <w:p w14:paraId="352CE982" w14:textId="77777777" w:rsidR="00BC371A" w:rsidRPr="001D3665" w:rsidRDefault="00BC371A" w:rsidP="001D3665">
      <w:pPr>
        <w:pStyle w:val="l-tit-endr-lov"/>
      </w:pPr>
      <w:r w:rsidRPr="001D3665">
        <w:t>I lov 26. mars 1999 nr. 14 om skatt av formue og inntekt vert det gjort følgjande endringar:</w:t>
      </w:r>
    </w:p>
    <w:p w14:paraId="1706E277" w14:textId="77777777" w:rsidR="00BC371A" w:rsidRPr="001D3665" w:rsidRDefault="00BC371A" w:rsidP="001D3665">
      <w:pPr>
        <w:pStyle w:val="l-tit-endr-ledd"/>
      </w:pPr>
      <w:r w:rsidRPr="001D3665">
        <w:t>§ 2-37 fyrste ledd skal lyde:</w:t>
      </w:r>
    </w:p>
    <w:p w14:paraId="7E2AB895" w14:textId="77777777" w:rsidR="00BC371A" w:rsidRPr="001D3665" w:rsidRDefault="00BC371A" w:rsidP="001D3665">
      <w:pPr>
        <w:pStyle w:val="l-ledd"/>
      </w:pPr>
      <w:r w:rsidRPr="001D3665">
        <w:t xml:space="preserve">(1) Skatteplikt etter denne lov kan begrenses ved bestemmelse i avtale inngått i </w:t>
      </w:r>
      <w:proofErr w:type="gramStart"/>
      <w:r w:rsidRPr="001D3665">
        <w:t>medhold av</w:t>
      </w:r>
      <w:proofErr w:type="gramEnd"/>
      <w:r w:rsidRPr="001D3665">
        <w:t xml:space="preserve"> lov om adgang for Kongen til </w:t>
      </w:r>
      <w:r w:rsidRPr="001D3665">
        <w:rPr>
          <w:rStyle w:val="l-endring"/>
        </w:rPr>
        <w:t>å</w:t>
      </w:r>
      <w:r w:rsidRPr="001D3665">
        <w:t xml:space="preserve"> inngå overenskomst med fremmede stater til forebyggelse av dobbeltbeskatning mv.</w:t>
      </w:r>
    </w:p>
    <w:p w14:paraId="47F825AA" w14:textId="77777777" w:rsidR="00BC371A" w:rsidRPr="001D3665" w:rsidRDefault="00BC371A" w:rsidP="001D3665">
      <w:pPr>
        <w:pStyle w:val="l-tit-endr-ledd"/>
      </w:pPr>
      <w:r w:rsidRPr="001D3665">
        <w:t>§ 5-15 fyrste ledd bokstav m skal lyde:</w:t>
      </w:r>
    </w:p>
    <w:p w14:paraId="15C9B637" w14:textId="77777777" w:rsidR="00BC371A" w:rsidRPr="001D3665" w:rsidRDefault="00BC371A" w:rsidP="001D3665">
      <w:pPr>
        <w:pStyle w:val="friliste"/>
      </w:pPr>
      <w:r w:rsidRPr="001D3665">
        <w:t>m.</w:t>
      </w:r>
      <w:r w:rsidRPr="001D3665">
        <w:tab/>
        <w:t xml:space="preserve">utbetalinger fra statens kompensasjons- og oppreisningsordning for pionerdykkere </w:t>
      </w:r>
      <w:r w:rsidRPr="001D3665">
        <w:rPr>
          <w:rStyle w:val="l-endring"/>
        </w:rPr>
        <w:t xml:space="preserve">og utbetalinger fra kompensasjonsordningen for kjemikalieskadde </w:t>
      </w:r>
      <w:proofErr w:type="spellStart"/>
      <w:r w:rsidRPr="001D3665">
        <w:rPr>
          <w:rStyle w:val="l-endring"/>
        </w:rPr>
        <w:t>oljepionerer</w:t>
      </w:r>
      <w:proofErr w:type="spellEnd"/>
      <w:r w:rsidRPr="001D3665">
        <w:t>.</w:t>
      </w:r>
    </w:p>
    <w:p w14:paraId="76600C15" w14:textId="77777777" w:rsidR="00BC371A" w:rsidRPr="001D3665" w:rsidRDefault="00BC371A" w:rsidP="001D3665">
      <w:pPr>
        <w:pStyle w:val="l-tit-endr-ledd"/>
      </w:pPr>
      <w:r w:rsidRPr="001D3665">
        <w:t>§ 16-1 tredje ledd tredje punktum skal lyde:</w:t>
      </w:r>
    </w:p>
    <w:p w14:paraId="5DBC72FE" w14:textId="77777777" w:rsidR="00BC371A" w:rsidRPr="001D3665" w:rsidRDefault="00BC371A" w:rsidP="001D3665">
      <w:pPr>
        <w:pStyle w:val="l-punktum"/>
      </w:pPr>
      <w:r w:rsidRPr="001D3665">
        <w:t xml:space="preserve">Fradraget nedtrappes med </w:t>
      </w:r>
      <w:r w:rsidRPr="001D3665">
        <w:rPr>
          <w:rStyle w:val="l-endring"/>
        </w:rPr>
        <w:t>17,4</w:t>
      </w:r>
      <w:r w:rsidRPr="001D3665">
        <w:t xml:space="preserve"> prosent av pensjonsinntekt mv. som overstiger beløpsgrensen i trinn 1, og med 6 prosent av pensjonsinntekt mv. som overstiger beløpsgrensen i trinn 2.</w:t>
      </w:r>
    </w:p>
    <w:p w14:paraId="219473BC" w14:textId="77777777" w:rsidR="00BC371A" w:rsidRPr="001D3665" w:rsidRDefault="00BC371A" w:rsidP="001D3665">
      <w:pPr>
        <w:pStyle w:val="l-tit-endr-ledd"/>
      </w:pPr>
      <w:r w:rsidRPr="001D3665">
        <w:t>§ 19-5 fyrste ledd bokstav c andre punktum skal lyde:</w:t>
      </w:r>
    </w:p>
    <w:p w14:paraId="5728B7A1" w14:textId="77777777" w:rsidR="00BC371A" w:rsidRPr="001D3665" w:rsidRDefault="00BC371A" w:rsidP="001D3665">
      <w:pPr>
        <w:pStyle w:val="l-punktum"/>
      </w:pPr>
      <w:r w:rsidRPr="001D3665">
        <w:t xml:space="preserve">For driftsmidler som nevnt i § 19-6 </w:t>
      </w:r>
      <w:r w:rsidRPr="001D3665">
        <w:rPr>
          <w:rStyle w:val="l-endring"/>
        </w:rPr>
        <w:t xml:space="preserve">første ledd </w:t>
      </w:r>
      <w:r w:rsidRPr="001D3665">
        <w:t>bokstav c inntektsføres gevinsten i realisasjonsåret.</w:t>
      </w:r>
    </w:p>
    <w:p w14:paraId="50198E81" w14:textId="77777777" w:rsidR="00BC371A" w:rsidRPr="001D3665" w:rsidRDefault="00BC371A" w:rsidP="001D3665">
      <w:pPr>
        <w:pStyle w:val="a-vedtak-del"/>
      </w:pPr>
      <w:r w:rsidRPr="001D3665">
        <w:lastRenderedPageBreak/>
        <w:t>II</w:t>
      </w:r>
    </w:p>
    <w:p w14:paraId="7F7CBDBB" w14:textId="77777777" w:rsidR="00BC371A" w:rsidRPr="001D3665" w:rsidRDefault="00BC371A" w:rsidP="001D3665">
      <w:pPr>
        <w:pStyle w:val="l-tit-endr-lov"/>
      </w:pPr>
      <w:r w:rsidRPr="001D3665">
        <w:t>I lov 26. mars 1999 nr. 14 om skatt av formue og inntekt vert det gjort følgjande endring:</w:t>
      </w:r>
    </w:p>
    <w:p w14:paraId="6F87AB16" w14:textId="77777777" w:rsidR="00BC371A" w:rsidRPr="001D3665" w:rsidRDefault="00BC371A" w:rsidP="001D3665">
      <w:pPr>
        <w:pStyle w:val="l-tit-endr-ledd"/>
      </w:pPr>
      <w:r w:rsidRPr="001D3665">
        <w:t>§ 4-10 andre ledd tredje punktum skal lyde:</w:t>
      </w:r>
    </w:p>
    <w:p w14:paraId="42BB6A72" w14:textId="77777777" w:rsidR="00BC371A" w:rsidRPr="001D3665" w:rsidRDefault="00BC371A" w:rsidP="001D3665">
      <w:pPr>
        <w:pStyle w:val="l-punktum"/>
      </w:pPr>
      <w:r w:rsidRPr="001D3665">
        <w:t xml:space="preserve">Prosentandelen skal likevel være 70 for den delen av den beregnede eller dokumenterte omsetningsverdien som overstiger </w:t>
      </w:r>
      <w:r w:rsidRPr="001D3665">
        <w:rPr>
          <w:rStyle w:val="l-endring"/>
        </w:rPr>
        <w:t>14 000 000</w:t>
      </w:r>
      <w:r w:rsidRPr="001D3665">
        <w:t xml:space="preserve"> kroner.</w:t>
      </w:r>
    </w:p>
    <w:p w14:paraId="2AEF7035" w14:textId="77777777" w:rsidR="00BC371A" w:rsidRPr="001D3665" w:rsidRDefault="00BC371A" w:rsidP="001D3665">
      <w:pPr>
        <w:pStyle w:val="a-vedtak-del"/>
      </w:pPr>
      <w:r w:rsidRPr="001D3665">
        <w:t>III</w:t>
      </w:r>
    </w:p>
    <w:p w14:paraId="3EB05E19" w14:textId="77777777" w:rsidR="00BC371A" w:rsidRPr="001D3665" w:rsidRDefault="00BC371A" w:rsidP="001D3665">
      <w:pPr>
        <w:pStyle w:val="l-tit-endr-lov"/>
      </w:pPr>
      <w:r w:rsidRPr="001D3665">
        <w:t>I lov 26. mars 1999 nr. 14 om skatt av formue og inntekt vert det gjort følgjande endringar:</w:t>
      </w:r>
    </w:p>
    <w:p w14:paraId="0F16AB71" w14:textId="77777777" w:rsidR="00BC371A" w:rsidRPr="001D3665" w:rsidRDefault="00BC371A" w:rsidP="001D3665">
      <w:pPr>
        <w:pStyle w:val="l-tit-endr-ledd"/>
      </w:pPr>
      <w:r w:rsidRPr="001D3665">
        <w:t>§ 5-42 bokstav a skal lyde:</w:t>
      </w:r>
    </w:p>
    <w:p w14:paraId="73BBD707" w14:textId="77777777" w:rsidR="00BC371A" w:rsidRPr="001D3665" w:rsidRDefault="00BC371A" w:rsidP="001D3665">
      <w:pPr>
        <w:pStyle w:val="friliste"/>
      </w:pPr>
      <w:r w:rsidRPr="001D3665">
        <w:t>a.</w:t>
      </w:r>
      <w:r w:rsidRPr="001D3665">
        <w:tab/>
        <w:t xml:space="preserve">stønad, omsorgspenger og annen utbetaling fra omsorgs- og trygdeinnretning, herunder arbeidsavklaringspenger etter folketrygdloven kapittel 11, uføretrygd etter folketrygdloven kapittel 12, ungdomsprogramytelse, </w:t>
      </w:r>
      <w:r w:rsidRPr="001D3665">
        <w:rPr>
          <w:rStyle w:val="l-endring"/>
        </w:rPr>
        <w:t>aktivitetspenger for unge,</w:t>
      </w:r>
      <w:r w:rsidRPr="001D3665">
        <w:t xml:space="preserve"> uføreytelser fra andre ordninger, overgangsstønad etter folketrygdloven § 15-5 og kapittel 17 A og omstillingsstønad etter folketrygdloven kapittel 17.</w:t>
      </w:r>
    </w:p>
    <w:p w14:paraId="0835249A" w14:textId="77777777" w:rsidR="00BC371A" w:rsidRPr="001D3665" w:rsidRDefault="00BC371A" w:rsidP="001D3665">
      <w:pPr>
        <w:pStyle w:val="l-tit-endr-ledd"/>
      </w:pPr>
      <w:r w:rsidRPr="001D3665">
        <w:t>§ 6-32 fyrste ledd bokstav a skal lyde:</w:t>
      </w:r>
    </w:p>
    <w:p w14:paraId="79C9E190" w14:textId="77777777" w:rsidR="00BC371A" w:rsidRPr="001D3665" w:rsidRDefault="00BC371A" w:rsidP="001D3665">
      <w:pPr>
        <w:pStyle w:val="friliste"/>
      </w:pPr>
      <w:r w:rsidRPr="001D3665">
        <w:t>a.</w:t>
      </w:r>
      <w:r w:rsidRPr="001D3665">
        <w:tab/>
        <w:t xml:space="preserve">Minstefradrag i lønnsinntekt, jf. skatteloven § 6-31 første ledd bokstav a, c, d og annet ledd, gis med 46 prosent av summen av slik inntekt. Tilsvarende gjelder for minstefradrag i arbeidsavklaringspenger, ungdomsprogramytelse, </w:t>
      </w:r>
      <w:r w:rsidRPr="001D3665">
        <w:rPr>
          <w:rStyle w:val="l-endring"/>
        </w:rPr>
        <w:t>aktivitetspenger for unge,</w:t>
      </w:r>
      <w:r w:rsidRPr="001D3665">
        <w:t xml:space="preserve"> uføretrygd etter folketrygdloven kapittel 12 og uføreytelser fra andre ordninger samt minstefradrag i overgangsstønad etter folketrygdloven § 15-5, omstillingsstønad etter folketrygdloven kapittel 17, kvalifiseringsstønad etter sosialtjenesteloven og introduksjonsstønad etter integreringsloven kapittel 5.</w:t>
      </w:r>
    </w:p>
    <w:p w14:paraId="50DF454D" w14:textId="77777777" w:rsidR="00BC371A" w:rsidRPr="001D3665" w:rsidRDefault="00BC371A" w:rsidP="001D3665">
      <w:pPr>
        <w:pStyle w:val="l-tit-endr-ledd"/>
      </w:pPr>
      <w:r w:rsidRPr="001D3665">
        <w:t>§ 12-2 fyrste ledd bokstav c skal lyde:</w:t>
      </w:r>
    </w:p>
    <w:p w14:paraId="20727BB5" w14:textId="77777777" w:rsidR="00BC371A" w:rsidRPr="001D3665" w:rsidRDefault="00BC371A" w:rsidP="001D3665">
      <w:pPr>
        <w:pStyle w:val="friliste"/>
      </w:pPr>
      <w:r w:rsidRPr="001D3665">
        <w:t>c.</w:t>
      </w:r>
      <w:r w:rsidRPr="001D3665">
        <w:tab/>
        <w:t>arbeidsavklaringspenger etter folketrygdloven kapittel 11, ungdomsprogramytelse</w:t>
      </w:r>
      <w:r w:rsidRPr="001D3665">
        <w:rPr>
          <w:rStyle w:val="l-endring"/>
        </w:rPr>
        <w:t>, aktivitetspenger for unge</w:t>
      </w:r>
      <w:r w:rsidRPr="001D3665">
        <w:t xml:space="preserve"> og overgangsstønad etter folketrygdloven § 15-5 og kapittel 17 A.</w:t>
      </w:r>
    </w:p>
    <w:p w14:paraId="63009556" w14:textId="77777777" w:rsidR="00BC371A" w:rsidRPr="001D3665" w:rsidRDefault="00BC371A" w:rsidP="001D3665">
      <w:pPr>
        <w:pStyle w:val="a-vedtak-del"/>
      </w:pPr>
      <w:r w:rsidRPr="001D3665">
        <w:t>IV</w:t>
      </w:r>
    </w:p>
    <w:p w14:paraId="286DE221" w14:textId="77777777" w:rsidR="00BC371A" w:rsidRPr="001D3665" w:rsidRDefault="00BC371A" w:rsidP="001D3665">
      <w:proofErr w:type="spellStart"/>
      <w:r w:rsidRPr="001D3665">
        <w:t>Endringane</w:t>
      </w:r>
      <w:proofErr w:type="spellEnd"/>
      <w:r w:rsidRPr="001D3665">
        <w:t xml:space="preserve"> under I tek til å gjelde straks.</w:t>
      </w:r>
    </w:p>
    <w:p w14:paraId="1A88D652" w14:textId="77777777" w:rsidR="00BC371A" w:rsidRPr="001D3665" w:rsidRDefault="00BC371A" w:rsidP="001D3665">
      <w:r w:rsidRPr="001D3665">
        <w:t xml:space="preserve">Endringa under II tek til å gjelde straks med verknad </w:t>
      </w:r>
      <w:proofErr w:type="spellStart"/>
      <w:r w:rsidRPr="001D3665">
        <w:t>frå</w:t>
      </w:r>
      <w:proofErr w:type="spellEnd"/>
      <w:r w:rsidRPr="001D3665">
        <w:t xml:space="preserve"> og med inntektsåret 2026.</w:t>
      </w:r>
    </w:p>
    <w:p w14:paraId="0E92C276" w14:textId="77777777" w:rsidR="00BC371A" w:rsidRPr="001D3665" w:rsidRDefault="00BC371A" w:rsidP="001D3665">
      <w:proofErr w:type="spellStart"/>
      <w:r w:rsidRPr="001D3665">
        <w:t>Endringane</w:t>
      </w:r>
      <w:proofErr w:type="spellEnd"/>
      <w:r w:rsidRPr="001D3665">
        <w:t xml:space="preserve"> under III tek til å gjelde straks med verknad </w:t>
      </w:r>
      <w:proofErr w:type="spellStart"/>
      <w:r w:rsidRPr="001D3665">
        <w:t>frå</w:t>
      </w:r>
      <w:proofErr w:type="spellEnd"/>
      <w:r w:rsidRPr="001D3665">
        <w:t xml:space="preserve"> 1. juli 2026.</w:t>
      </w:r>
    </w:p>
    <w:p w14:paraId="016E7EC6" w14:textId="77777777" w:rsidR="00BC371A" w:rsidRPr="001D3665" w:rsidRDefault="00BC371A" w:rsidP="001D3665">
      <w:pPr>
        <w:pStyle w:val="a-vedtak-tit"/>
      </w:pPr>
      <w:r w:rsidRPr="001D3665">
        <w:lastRenderedPageBreak/>
        <w:t>Forslag</w:t>
      </w:r>
    </w:p>
    <w:p w14:paraId="07021766" w14:textId="77777777" w:rsidR="00BC371A" w:rsidRPr="001D3665" w:rsidRDefault="00BC371A" w:rsidP="001D3665">
      <w:pPr>
        <w:pStyle w:val="a-vedtak-tit"/>
      </w:pPr>
      <w:r w:rsidRPr="001D3665">
        <w:t xml:space="preserve">til lov om </w:t>
      </w:r>
      <w:proofErr w:type="spellStart"/>
      <w:r w:rsidRPr="001D3665">
        <w:t>endringar</w:t>
      </w:r>
      <w:proofErr w:type="spellEnd"/>
      <w:r w:rsidRPr="001D3665">
        <w:t xml:space="preserve"> i vareførselsloven</w:t>
      </w:r>
    </w:p>
    <w:p w14:paraId="764850A3" w14:textId="77777777" w:rsidR="00BC371A" w:rsidRPr="001D3665" w:rsidRDefault="00BC371A" w:rsidP="001D3665">
      <w:pPr>
        <w:pStyle w:val="a-vedtak-del"/>
      </w:pPr>
      <w:r w:rsidRPr="001D3665">
        <w:t>I</w:t>
      </w:r>
    </w:p>
    <w:p w14:paraId="4F4A657A" w14:textId="77777777" w:rsidR="00BC371A" w:rsidRPr="001D3665" w:rsidRDefault="00BC371A" w:rsidP="001D3665">
      <w:pPr>
        <w:pStyle w:val="l-tit-endr-lov"/>
      </w:pPr>
      <w:r w:rsidRPr="001D3665">
        <w:t>I lov 11. mars 2022 nr. 9 om inn- og utførsel av varer vert det gjort følgjande endringar:</w:t>
      </w:r>
    </w:p>
    <w:p w14:paraId="7423DCE6" w14:textId="77777777" w:rsidR="00BC371A" w:rsidRPr="001D3665" w:rsidRDefault="00BC371A" w:rsidP="001D3665">
      <w:pPr>
        <w:pStyle w:val="l-tit-endr-ledd"/>
      </w:pPr>
      <w:r w:rsidRPr="001D3665">
        <w:t>§ 2-3 fyrste ledd andre punktum skal lyde:</w:t>
      </w:r>
    </w:p>
    <w:p w14:paraId="1EDE4CC2" w14:textId="77777777" w:rsidR="00BC371A" w:rsidRPr="001D3665" w:rsidRDefault="00BC371A" w:rsidP="001D3665">
      <w:pPr>
        <w:pStyle w:val="l-punktum"/>
      </w:pPr>
      <w:r w:rsidRPr="001D3665">
        <w:t xml:space="preserve">I meldingen skal det gis opplysninger om transportmiddelet, </w:t>
      </w:r>
      <w:r w:rsidRPr="001D3665">
        <w:rPr>
          <w:rStyle w:val="l-endring"/>
        </w:rPr>
        <w:t>besetningen</w:t>
      </w:r>
      <w:r w:rsidRPr="001D3665">
        <w:t xml:space="preserve">, </w:t>
      </w:r>
      <w:r w:rsidRPr="001D3665">
        <w:rPr>
          <w:rStyle w:val="l-endring"/>
        </w:rPr>
        <w:t xml:space="preserve">varer </w:t>
      </w:r>
      <w:r w:rsidRPr="001D3665">
        <w:t>som bringes med som last</w:t>
      </w:r>
      <w:r w:rsidRPr="001D3665">
        <w:rPr>
          <w:rStyle w:val="l-endring"/>
        </w:rPr>
        <w:t>, og referanse til deklarasjonen for varene.</w:t>
      </w:r>
    </w:p>
    <w:p w14:paraId="513362DA" w14:textId="77777777" w:rsidR="00BC371A" w:rsidRPr="001D3665" w:rsidRDefault="00BC371A" w:rsidP="001D3665">
      <w:pPr>
        <w:pStyle w:val="a-vedtak-del"/>
      </w:pPr>
      <w:r w:rsidRPr="001D3665">
        <w:t>II</w:t>
      </w:r>
    </w:p>
    <w:p w14:paraId="3B641DC3" w14:textId="77777777" w:rsidR="00BC371A" w:rsidRPr="001D3665" w:rsidRDefault="00BC371A" w:rsidP="001D3665">
      <w:pPr>
        <w:pStyle w:val="l-tit-endr-lov"/>
      </w:pPr>
      <w:r w:rsidRPr="001D3665">
        <w:t>I lov 11. mars 2022 nr. 9 om inn- og utførsel av varer vert det gjort følgjande endringar:</w:t>
      </w:r>
    </w:p>
    <w:p w14:paraId="0AD69025" w14:textId="77777777" w:rsidR="00BC371A" w:rsidRPr="001D3665" w:rsidRDefault="00BC371A" w:rsidP="001D3665">
      <w:pPr>
        <w:pStyle w:val="l-tit-endr-paragraf"/>
      </w:pPr>
      <w:r w:rsidRPr="001D3665">
        <w:t>Ny § 7-22 skal lyde:</w:t>
      </w:r>
    </w:p>
    <w:p w14:paraId="646487CC" w14:textId="77777777" w:rsidR="00BC371A" w:rsidRPr="001D3665" w:rsidRDefault="00BC371A" w:rsidP="001D3665">
      <w:pPr>
        <w:pStyle w:val="l-paragraf"/>
      </w:pPr>
      <w:r w:rsidRPr="001D3665">
        <w:rPr>
          <w:rStyle w:val="regular"/>
        </w:rPr>
        <w:t>§ 7-22</w:t>
      </w:r>
      <w:r w:rsidRPr="001D3665">
        <w:t xml:space="preserve"> Registrering av aktører</w:t>
      </w:r>
    </w:p>
    <w:p w14:paraId="7FBA8B53" w14:textId="77777777" w:rsidR="00BC371A" w:rsidRPr="001D3665" w:rsidRDefault="00BC371A" w:rsidP="001D3665">
      <w:pPr>
        <w:pStyle w:val="l-ledd"/>
      </w:pPr>
      <w:r w:rsidRPr="001D3665">
        <w:t>(1) Aktører i Norge som må ha et identifikasjonsnummer som følge av bruk av EORI-nummer i EU-rettsakter som er innlemmet i EØS-avtalen og gjennomført i norsk rett, må registrere seg hos tollmyndighetene.</w:t>
      </w:r>
    </w:p>
    <w:p w14:paraId="327FF6C6" w14:textId="77777777" w:rsidR="00BC371A" w:rsidRPr="001D3665" w:rsidRDefault="00BC371A" w:rsidP="001D3665">
      <w:pPr>
        <w:pStyle w:val="l-ledd"/>
      </w:pPr>
      <w:r w:rsidRPr="001D3665">
        <w:t>(2) Følgende opplysninger registreres:</w:t>
      </w:r>
    </w:p>
    <w:p w14:paraId="722ADB13" w14:textId="77777777" w:rsidR="00BC371A" w:rsidRPr="001D3665" w:rsidRDefault="00BC371A" w:rsidP="001D3665">
      <w:pPr>
        <w:pStyle w:val="friliste"/>
      </w:pPr>
      <w:r w:rsidRPr="001D3665">
        <w:t>a.</w:t>
      </w:r>
      <w:r w:rsidRPr="001D3665">
        <w:tab/>
        <w:t>organisasjonsnummer med prefikset NO</w:t>
      </w:r>
    </w:p>
    <w:p w14:paraId="71235D3D" w14:textId="77777777" w:rsidR="00BC371A" w:rsidRPr="001D3665" w:rsidRDefault="00BC371A" w:rsidP="001D3665">
      <w:pPr>
        <w:pStyle w:val="friliste"/>
      </w:pPr>
      <w:r w:rsidRPr="001D3665">
        <w:t>b.</w:t>
      </w:r>
      <w:r w:rsidRPr="001D3665">
        <w:tab/>
        <w:t>aktørens navn</w:t>
      </w:r>
    </w:p>
    <w:p w14:paraId="74BCD861" w14:textId="77777777" w:rsidR="00BC371A" w:rsidRPr="001D3665" w:rsidRDefault="00BC371A" w:rsidP="001D3665">
      <w:pPr>
        <w:pStyle w:val="friliste"/>
      </w:pPr>
      <w:r w:rsidRPr="001D3665">
        <w:t>c.</w:t>
      </w:r>
      <w:r w:rsidRPr="001D3665">
        <w:tab/>
        <w:t>organisasjonsform</w:t>
      </w:r>
    </w:p>
    <w:p w14:paraId="0BC5FEBF" w14:textId="77777777" w:rsidR="00BC371A" w:rsidRPr="001D3665" w:rsidRDefault="00BC371A" w:rsidP="001D3665">
      <w:pPr>
        <w:pStyle w:val="friliste"/>
      </w:pPr>
      <w:r w:rsidRPr="001D3665">
        <w:t>d.</w:t>
      </w:r>
      <w:r w:rsidRPr="001D3665">
        <w:tab/>
        <w:t>adresse</w:t>
      </w:r>
    </w:p>
    <w:p w14:paraId="45CAA274" w14:textId="77777777" w:rsidR="00BC371A" w:rsidRPr="001D3665" w:rsidRDefault="00BC371A" w:rsidP="001D3665">
      <w:pPr>
        <w:pStyle w:val="friliste"/>
      </w:pPr>
      <w:r w:rsidRPr="001D3665">
        <w:t>e.</w:t>
      </w:r>
      <w:r w:rsidRPr="001D3665">
        <w:tab/>
        <w:t>næringskode.</w:t>
      </w:r>
    </w:p>
    <w:p w14:paraId="09C71768" w14:textId="77777777" w:rsidR="00BC371A" w:rsidRPr="001D3665" w:rsidRDefault="00BC371A" w:rsidP="001D3665">
      <w:pPr>
        <w:pStyle w:val="l-punktum"/>
      </w:pPr>
      <w:r w:rsidRPr="001D3665">
        <w:t>Telefonnummer og andre elektroniske adresser kan registreres hvis opplysningene er registrert i Enhetsregisteret.</w:t>
      </w:r>
    </w:p>
    <w:p w14:paraId="35D9AD66" w14:textId="77777777" w:rsidR="00BC371A" w:rsidRPr="001D3665" w:rsidRDefault="00BC371A" w:rsidP="001D3665">
      <w:pPr>
        <w:pStyle w:val="l-ledd"/>
      </w:pPr>
      <w:r w:rsidRPr="001D3665">
        <w:t>(3) Ved registreringen tildeler tollmyndighetene identifikasjonsnummeret.</w:t>
      </w:r>
    </w:p>
    <w:p w14:paraId="7ADDF9DE" w14:textId="77777777" w:rsidR="00BC371A" w:rsidRPr="001D3665" w:rsidRDefault="00BC371A" w:rsidP="001D3665">
      <w:pPr>
        <w:pStyle w:val="l-ledd"/>
      </w:pPr>
      <w:r w:rsidRPr="001D3665">
        <w:t>(4) Tollmyndighetene kan dele de registrerte opplysningene med EU.</w:t>
      </w:r>
    </w:p>
    <w:p w14:paraId="30C7B55B" w14:textId="77777777" w:rsidR="00BC371A" w:rsidRPr="001D3665" w:rsidRDefault="00BC371A" w:rsidP="001D3665">
      <w:pPr>
        <w:pStyle w:val="a-vedtak-del"/>
      </w:pPr>
      <w:r w:rsidRPr="001D3665">
        <w:t>III</w:t>
      </w:r>
    </w:p>
    <w:p w14:paraId="788539B3" w14:textId="77777777" w:rsidR="00BC371A" w:rsidRPr="001D3665" w:rsidRDefault="00BC371A" w:rsidP="001D3665">
      <w:proofErr w:type="spellStart"/>
      <w:r w:rsidRPr="001D3665">
        <w:t>Endringane</w:t>
      </w:r>
      <w:proofErr w:type="spellEnd"/>
      <w:r w:rsidRPr="001D3665">
        <w:t xml:space="preserve"> under I tek til å gjelde </w:t>
      </w:r>
      <w:proofErr w:type="spellStart"/>
      <w:r w:rsidRPr="001D3665">
        <w:t>frå</w:t>
      </w:r>
      <w:proofErr w:type="spellEnd"/>
      <w:r w:rsidRPr="001D3665">
        <w:t xml:space="preserve"> den tid Kongen </w:t>
      </w:r>
      <w:proofErr w:type="spellStart"/>
      <w:r w:rsidRPr="001D3665">
        <w:t>fastset</w:t>
      </w:r>
      <w:proofErr w:type="spellEnd"/>
      <w:r w:rsidRPr="001D3665">
        <w:t>.</w:t>
      </w:r>
    </w:p>
    <w:p w14:paraId="2A037978" w14:textId="77777777" w:rsidR="00BC371A" w:rsidRPr="001D3665" w:rsidRDefault="00BC371A" w:rsidP="001D3665">
      <w:proofErr w:type="spellStart"/>
      <w:r w:rsidRPr="001D3665">
        <w:t>Endringane</w:t>
      </w:r>
      <w:proofErr w:type="spellEnd"/>
      <w:r w:rsidRPr="001D3665">
        <w:t xml:space="preserve"> under II tek til å gjelde 1. juli 2026.</w:t>
      </w:r>
    </w:p>
    <w:p w14:paraId="5D09557A" w14:textId="77777777" w:rsidR="00BC371A" w:rsidRPr="001D3665" w:rsidRDefault="00BC371A" w:rsidP="001D3665">
      <w:pPr>
        <w:pStyle w:val="a-vedtak-tit"/>
      </w:pPr>
      <w:r w:rsidRPr="001D3665">
        <w:lastRenderedPageBreak/>
        <w:t xml:space="preserve">Forslag </w:t>
      </w:r>
    </w:p>
    <w:p w14:paraId="4A211897" w14:textId="77777777" w:rsidR="00BC371A" w:rsidRPr="001D3665" w:rsidRDefault="00BC371A" w:rsidP="001D3665">
      <w:pPr>
        <w:pStyle w:val="a-vedtak-tit"/>
      </w:pPr>
      <w:r w:rsidRPr="001D3665">
        <w:t xml:space="preserve">til lov om </w:t>
      </w:r>
      <w:proofErr w:type="spellStart"/>
      <w:r w:rsidRPr="001D3665">
        <w:t>endringar</w:t>
      </w:r>
      <w:proofErr w:type="spellEnd"/>
      <w:r w:rsidRPr="001D3665">
        <w:t xml:space="preserve"> i innkrevingsloven</w:t>
      </w:r>
    </w:p>
    <w:p w14:paraId="72B92894" w14:textId="77777777" w:rsidR="00BC371A" w:rsidRPr="001D3665" w:rsidRDefault="00BC371A" w:rsidP="001D3665">
      <w:pPr>
        <w:pStyle w:val="a-vedtak-del"/>
      </w:pPr>
      <w:r w:rsidRPr="001D3665">
        <w:t>I</w:t>
      </w:r>
    </w:p>
    <w:p w14:paraId="445699CC" w14:textId="77777777" w:rsidR="00BC371A" w:rsidRPr="001D3665" w:rsidRDefault="00BC371A" w:rsidP="001D3665">
      <w:pPr>
        <w:pStyle w:val="l-tit-endr-lov"/>
      </w:pPr>
      <w:r w:rsidRPr="001D3665">
        <w:t>I lov 25. april 2025 nr. 12 om innkreving av statlige krav mv. vert det gjort følgjande endringar:</w:t>
      </w:r>
    </w:p>
    <w:p w14:paraId="4956ED78" w14:textId="77777777" w:rsidR="00BC371A" w:rsidRPr="001D3665" w:rsidRDefault="00BC371A" w:rsidP="001D3665">
      <w:pPr>
        <w:pStyle w:val="l-tit-endr-ledd"/>
      </w:pPr>
      <w:r w:rsidRPr="001D3665">
        <w:t>§ 23 femte ledd tredje punktum skal lyde:</w:t>
      </w:r>
    </w:p>
    <w:p w14:paraId="26E0DD93" w14:textId="77777777" w:rsidR="00BC371A" w:rsidRPr="001D3665" w:rsidRDefault="00BC371A" w:rsidP="001D3665">
      <w:pPr>
        <w:pStyle w:val="l-punktum"/>
      </w:pPr>
      <w:r w:rsidRPr="001D3665">
        <w:rPr>
          <w:rStyle w:val="l-endring"/>
        </w:rPr>
        <w:t>Avgjørelse om gebyr har tvangskraft.</w:t>
      </w:r>
    </w:p>
    <w:p w14:paraId="1BA12719" w14:textId="77777777" w:rsidR="00BC371A" w:rsidRPr="001D3665" w:rsidRDefault="00BC371A" w:rsidP="001D3665">
      <w:pPr>
        <w:pStyle w:val="l-tit-endr-ledd"/>
      </w:pPr>
      <w:r w:rsidRPr="001D3665">
        <w:t xml:space="preserve">Nåværende tredje punktum blir nytt fjerde punktum. </w:t>
      </w:r>
    </w:p>
    <w:p w14:paraId="1065A3A1" w14:textId="77777777" w:rsidR="00BC371A" w:rsidRPr="001D3665" w:rsidRDefault="00BC371A" w:rsidP="001D3665">
      <w:pPr>
        <w:pStyle w:val="a-vedtak-del"/>
      </w:pPr>
      <w:r w:rsidRPr="001D3665">
        <w:t>II</w:t>
      </w:r>
    </w:p>
    <w:p w14:paraId="26431E26" w14:textId="77777777" w:rsidR="00BC371A" w:rsidRPr="001D3665" w:rsidRDefault="00BC371A" w:rsidP="001D3665">
      <w:proofErr w:type="spellStart"/>
      <w:r w:rsidRPr="001D3665">
        <w:t>Endringane</w:t>
      </w:r>
      <w:proofErr w:type="spellEnd"/>
      <w:r w:rsidRPr="001D3665">
        <w:t xml:space="preserve"> under I tek til å gjelde straks.</w:t>
      </w:r>
    </w:p>
    <w:p w14:paraId="274367D2" w14:textId="77777777" w:rsidR="00BC371A" w:rsidRPr="001D3665" w:rsidRDefault="00BC371A" w:rsidP="001D3665">
      <w:pPr>
        <w:pStyle w:val="a-vedtak-tit"/>
      </w:pPr>
      <w:r w:rsidRPr="001D3665">
        <w:t xml:space="preserve">Forslag </w:t>
      </w:r>
    </w:p>
    <w:p w14:paraId="5FF29E68" w14:textId="77777777" w:rsidR="00BC371A" w:rsidRPr="001D3665" w:rsidRDefault="00BC371A" w:rsidP="001D3665">
      <w:pPr>
        <w:pStyle w:val="a-vedtak-tit"/>
      </w:pPr>
      <w:r w:rsidRPr="001D3665">
        <w:t xml:space="preserve">til lov om </w:t>
      </w:r>
      <w:proofErr w:type="spellStart"/>
      <w:r w:rsidRPr="001D3665">
        <w:t>endringar</w:t>
      </w:r>
      <w:proofErr w:type="spellEnd"/>
      <w:r w:rsidRPr="001D3665">
        <w:t xml:space="preserve"> i lov om kompensasjonsordning for kjemikalieskadde </w:t>
      </w:r>
      <w:proofErr w:type="spellStart"/>
      <w:r w:rsidRPr="001D3665">
        <w:t>oljepionerar</w:t>
      </w:r>
      <w:proofErr w:type="spellEnd"/>
    </w:p>
    <w:p w14:paraId="79B3E1AE" w14:textId="77777777" w:rsidR="00BC371A" w:rsidRPr="001D3665" w:rsidRDefault="00BC371A" w:rsidP="001D3665">
      <w:pPr>
        <w:pStyle w:val="a-vedtak-del"/>
      </w:pPr>
      <w:r w:rsidRPr="001D3665">
        <w:t>I</w:t>
      </w:r>
    </w:p>
    <w:p w14:paraId="04E5D19E" w14:textId="77777777" w:rsidR="00BC371A" w:rsidRPr="001D3665" w:rsidRDefault="00BC371A" w:rsidP="001D3665">
      <w:pPr>
        <w:pStyle w:val="l-tit-endr-lov"/>
      </w:pPr>
      <w:r w:rsidRPr="001D3665">
        <w:t>I lov 22. desember 2025 nr. 116 om kompensasjonsordning for kjemikalieskadde oljepionerar vert det gjort følgjande endringar:</w:t>
      </w:r>
    </w:p>
    <w:p w14:paraId="7FA7422F" w14:textId="77777777" w:rsidR="00BC371A" w:rsidRPr="001D3665" w:rsidRDefault="00BC371A" w:rsidP="001D3665">
      <w:pPr>
        <w:pStyle w:val="l-tit-endr-ledd"/>
      </w:pPr>
      <w:r w:rsidRPr="001D3665">
        <w:t>§ 3 bokstav d skal lyde:</w:t>
      </w:r>
    </w:p>
    <w:p w14:paraId="4EA2F039" w14:textId="77777777" w:rsidR="00BC371A" w:rsidRPr="001D3665" w:rsidRDefault="00BC371A" w:rsidP="001D3665">
      <w:pPr>
        <w:pStyle w:val="friliste"/>
      </w:pPr>
      <w:r w:rsidRPr="001D3665">
        <w:t>d.</w:t>
      </w:r>
      <w:r w:rsidRPr="001D3665">
        <w:tab/>
      </w:r>
      <w:r w:rsidRPr="001D3665">
        <w:rPr>
          <w:rStyle w:val="l-endring"/>
        </w:rPr>
        <w:t>non-</w:t>
      </w:r>
      <w:proofErr w:type="spellStart"/>
      <w:r w:rsidRPr="001D3665">
        <w:rPr>
          <w:rStyle w:val="l-endring"/>
        </w:rPr>
        <w:t>Hodgkin</w:t>
      </w:r>
      <w:proofErr w:type="spellEnd"/>
      <w:r w:rsidRPr="001D3665">
        <w:rPr>
          <w:rStyle w:val="l-endring"/>
        </w:rPr>
        <w:t xml:space="preserve"> </w:t>
      </w:r>
      <w:proofErr w:type="spellStart"/>
      <w:r w:rsidRPr="001D3665">
        <w:rPr>
          <w:rStyle w:val="l-endring"/>
        </w:rPr>
        <w:t>lymfom</w:t>
      </w:r>
      <w:proofErr w:type="spellEnd"/>
    </w:p>
    <w:p w14:paraId="5BE68AF4" w14:textId="77777777" w:rsidR="00BC371A" w:rsidRPr="001D3665" w:rsidRDefault="00BC371A" w:rsidP="001D3665">
      <w:pPr>
        <w:pStyle w:val="a-vedtak-del"/>
      </w:pPr>
      <w:r w:rsidRPr="001D3665">
        <w:t>II</w:t>
      </w:r>
    </w:p>
    <w:p w14:paraId="366DA116" w14:textId="77777777" w:rsidR="00BC371A" w:rsidRPr="001D3665" w:rsidRDefault="00BC371A" w:rsidP="001D3665">
      <w:proofErr w:type="spellStart"/>
      <w:r w:rsidRPr="001D3665">
        <w:t>Endringane</w:t>
      </w:r>
      <w:proofErr w:type="spellEnd"/>
      <w:r w:rsidRPr="001D3665">
        <w:t xml:space="preserve"> under I tek til å gjelde straks.</w:t>
      </w:r>
    </w:p>
    <w:p w14:paraId="1EF76862" w14:textId="77777777" w:rsidR="00BC371A" w:rsidRPr="001D3665" w:rsidRDefault="00BC371A" w:rsidP="001D3665">
      <w:pPr>
        <w:pStyle w:val="a-vedtak-tit"/>
      </w:pPr>
      <w:r w:rsidRPr="001D3665">
        <w:t xml:space="preserve">Forslag </w:t>
      </w:r>
    </w:p>
    <w:p w14:paraId="146C39C4" w14:textId="77777777" w:rsidR="00BC371A" w:rsidRPr="001D3665" w:rsidRDefault="00BC371A" w:rsidP="001D3665">
      <w:pPr>
        <w:pStyle w:val="a-vedtak-tit"/>
      </w:pPr>
      <w:r w:rsidRPr="001D3665">
        <w:t xml:space="preserve">til lov om </w:t>
      </w:r>
      <w:proofErr w:type="spellStart"/>
      <w:r w:rsidRPr="001D3665">
        <w:t>endringar</w:t>
      </w:r>
      <w:proofErr w:type="spellEnd"/>
      <w:r w:rsidRPr="001D3665">
        <w:t xml:space="preserve"> i lov om endringer i merverdiavgiftsloven</w:t>
      </w:r>
    </w:p>
    <w:p w14:paraId="16F0D698" w14:textId="77777777" w:rsidR="00BC371A" w:rsidRPr="001D3665" w:rsidRDefault="00BC371A" w:rsidP="001D3665">
      <w:pPr>
        <w:pStyle w:val="a-vedtak-del"/>
      </w:pPr>
      <w:r w:rsidRPr="001D3665">
        <w:t>I</w:t>
      </w:r>
    </w:p>
    <w:p w14:paraId="30653626" w14:textId="77777777" w:rsidR="00BC371A" w:rsidRPr="001D3665" w:rsidRDefault="00BC371A" w:rsidP="001D3665">
      <w:pPr>
        <w:pStyle w:val="l-tit-endr-lov"/>
      </w:pPr>
      <w:r w:rsidRPr="001D3665">
        <w:t>I lov 22. desember 2025 nr. 121 om endringer i merverdiavgiftsloven vert det gjort følgjande endringar:</w:t>
      </w:r>
    </w:p>
    <w:p w14:paraId="35DB1ABC" w14:textId="77777777" w:rsidR="00BC371A" w:rsidRPr="001D3665" w:rsidRDefault="00BC371A" w:rsidP="001D3665">
      <w:pPr>
        <w:pStyle w:val="l-tit-endr-ledd"/>
      </w:pPr>
      <w:r w:rsidRPr="001D3665">
        <w:t>I del II skal § 3-30 tredje ledd andre punktum lyde:</w:t>
      </w:r>
    </w:p>
    <w:p w14:paraId="319D6A5A" w14:textId="77777777" w:rsidR="00BC371A" w:rsidRPr="001D3665" w:rsidRDefault="00BC371A" w:rsidP="001D3665">
      <w:pPr>
        <w:pStyle w:val="l-punktum"/>
      </w:pPr>
      <w:r w:rsidRPr="001D3665">
        <w:t xml:space="preserve">Det samme gjelder dersom virksomheten kan dokumentere at det er beregnet merverdiavgift av tjenesten utenfor merverdiavgiftsområdet, og sannsynliggjøre at denne merverdiavgiften ikke kan fradragsføres </w:t>
      </w:r>
      <w:r w:rsidRPr="001D3665">
        <w:rPr>
          <w:rStyle w:val="l-endring"/>
        </w:rPr>
        <w:t>eller refunderes</w:t>
      </w:r>
      <w:r w:rsidRPr="001D3665">
        <w:t>.</w:t>
      </w:r>
    </w:p>
    <w:p w14:paraId="7F05C02E" w14:textId="77777777" w:rsidR="00BC371A" w:rsidRPr="001D3665" w:rsidRDefault="00BC371A" w:rsidP="001D3665">
      <w:pPr>
        <w:pStyle w:val="a-vedtak-del"/>
      </w:pPr>
      <w:r w:rsidRPr="001D3665">
        <w:lastRenderedPageBreak/>
        <w:t>II</w:t>
      </w:r>
    </w:p>
    <w:p w14:paraId="1AAA9B7A" w14:textId="77777777" w:rsidR="00BC371A" w:rsidRPr="001D3665" w:rsidRDefault="00BC371A" w:rsidP="001D3665">
      <w:proofErr w:type="spellStart"/>
      <w:r w:rsidRPr="001D3665">
        <w:t>Endringane</w:t>
      </w:r>
      <w:proofErr w:type="spellEnd"/>
      <w:r w:rsidRPr="001D3665">
        <w:t xml:space="preserve"> under I tek til å gjelde 1. juli 2026.</w:t>
      </w:r>
    </w:p>
    <w:p w14:paraId="17818C40" w14:textId="77777777" w:rsidR="00BC371A" w:rsidRPr="001D3665" w:rsidRDefault="00BC371A" w:rsidP="001D3665">
      <w:pPr>
        <w:pStyle w:val="a-vedtak-tit"/>
      </w:pPr>
      <w:r w:rsidRPr="001D3665">
        <w:t>B – Forslag til stortingsvedtak</w:t>
      </w:r>
    </w:p>
    <w:p w14:paraId="50616772" w14:textId="77777777" w:rsidR="00BC371A" w:rsidRPr="001D3665" w:rsidRDefault="00BC371A" w:rsidP="001D3665">
      <w:pPr>
        <w:pStyle w:val="a-vedtak-tit"/>
      </w:pPr>
      <w:r w:rsidRPr="001D3665">
        <w:t>Forslag</w:t>
      </w:r>
    </w:p>
    <w:p w14:paraId="43CA62CC" w14:textId="77777777" w:rsidR="00BC371A" w:rsidRPr="001D3665" w:rsidRDefault="00BC371A" w:rsidP="001D3665">
      <w:pPr>
        <w:pStyle w:val="a-vedtak-tit"/>
      </w:pPr>
      <w:r w:rsidRPr="001D3665">
        <w:t xml:space="preserve">til vedtak om </w:t>
      </w:r>
      <w:proofErr w:type="spellStart"/>
      <w:r w:rsidRPr="001D3665">
        <w:t>endringar</w:t>
      </w:r>
      <w:proofErr w:type="spellEnd"/>
      <w:r w:rsidRPr="001D3665">
        <w:t xml:space="preserve"> i stortingsvedtak om skatt av inntekt og formue mv. for inntektsåret 2026 (Stortingets skattevedtak)</w:t>
      </w:r>
    </w:p>
    <w:p w14:paraId="463CF28B" w14:textId="77777777" w:rsidR="00BC371A" w:rsidRPr="001D3665" w:rsidRDefault="00BC371A" w:rsidP="001D3665">
      <w:pPr>
        <w:pStyle w:val="a-vedtak-del"/>
      </w:pPr>
      <w:r w:rsidRPr="001D3665">
        <w:t>I</w:t>
      </w:r>
    </w:p>
    <w:p w14:paraId="2B318E72" w14:textId="77777777" w:rsidR="00BC371A" w:rsidRPr="001D3665" w:rsidRDefault="00BC371A" w:rsidP="001D3665">
      <w:pPr>
        <w:pStyle w:val="l-tit-endr-lov"/>
      </w:pPr>
      <w:r w:rsidRPr="001D3665">
        <w:t>I stortingsvedtak 18. desember 2025 nr. 2747 om skatt av inntekt og formue mv. for inntektsåret 2026 (Stortingets skattevedtak) vert det gjort følgjande endringar:</w:t>
      </w:r>
    </w:p>
    <w:p w14:paraId="27327DFD" w14:textId="77777777" w:rsidR="00BC371A" w:rsidRPr="001D3665" w:rsidRDefault="00BC371A" w:rsidP="001D3665">
      <w:pPr>
        <w:pStyle w:val="l-tit-endr-ledd"/>
      </w:pPr>
      <w:r w:rsidRPr="001D3665">
        <w:t>§ 6-5 skal lyde:</w:t>
      </w:r>
    </w:p>
    <w:p w14:paraId="57180CD4" w14:textId="77777777" w:rsidR="00BC371A" w:rsidRPr="001D3665" w:rsidRDefault="00BC371A" w:rsidP="001D3665">
      <w:pPr>
        <w:pStyle w:val="l-ledd"/>
      </w:pPr>
      <w:r w:rsidRPr="001D3665">
        <w:t xml:space="preserve">Fradraget som nevnt i skatteloven § 16-1 første ledd skal være </w:t>
      </w:r>
      <w:r w:rsidRPr="001D3665">
        <w:rPr>
          <w:rStyle w:val="l-endring"/>
        </w:rPr>
        <w:t>37 600</w:t>
      </w:r>
      <w:r w:rsidRPr="001D3665">
        <w:t xml:space="preserve"> kroner.</w:t>
      </w:r>
    </w:p>
    <w:p w14:paraId="50B10A84" w14:textId="77777777" w:rsidR="00BC371A" w:rsidRPr="001D3665" w:rsidRDefault="00BC371A" w:rsidP="001D3665">
      <w:pPr>
        <w:pStyle w:val="l-ledd"/>
      </w:pPr>
      <w:r w:rsidRPr="001D3665">
        <w:t xml:space="preserve">Beløpsgrensene som nevnt i skatteloven § 16-1 tredje ledd skal være </w:t>
      </w:r>
      <w:r w:rsidRPr="001D3665">
        <w:rPr>
          <w:rStyle w:val="l-endring"/>
        </w:rPr>
        <w:t>288 700</w:t>
      </w:r>
      <w:r w:rsidRPr="001D3665">
        <w:t xml:space="preserve"> kroner i trinn 1 og </w:t>
      </w:r>
      <w:r w:rsidRPr="001D3665">
        <w:rPr>
          <w:rStyle w:val="l-endring"/>
        </w:rPr>
        <w:t>436 850</w:t>
      </w:r>
      <w:r w:rsidRPr="001D3665">
        <w:t xml:space="preserve"> kroner i trinn 2.</w:t>
      </w:r>
    </w:p>
    <w:p w14:paraId="32ED3A34" w14:textId="77777777" w:rsidR="00BC371A" w:rsidRPr="001D3665" w:rsidRDefault="00BC371A" w:rsidP="001D3665">
      <w:pPr>
        <w:pStyle w:val="a-vedtak-del"/>
      </w:pPr>
      <w:r w:rsidRPr="001D3665">
        <w:t>II</w:t>
      </w:r>
    </w:p>
    <w:p w14:paraId="51DEA4F9" w14:textId="77777777" w:rsidR="00BC371A" w:rsidRPr="001D3665" w:rsidRDefault="00BC371A" w:rsidP="001D3665">
      <w:r w:rsidRPr="001D3665">
        <w:t>Vedtaket tek til å gjelde 1. januar 2026.</w:t>
      </w:r>
    </w:p>
    <w:p w14:paraId="6FEF0C9C" w14:textId="77777777" w:rsidR="00BC371A" w:rsidRPr="001D3665" w:rsidRDefault="00BC371A" w:rsidP="001D3665">
      <w:pPr>
        <w:pStyle w:val="a-vedtak-tit"/>
      </w:pPr>
      <w:r w:rsidRPr="001D3665">
        <w:t xml:space="preserve">Forslag </w:t>
      </w:r>
    </w:p>
    <w:p w14:paraId="40C3A532" w14:textId="77777777" w:rsidR="00BC371A" w:rsidRPr="001D3665" w:rsidRDefault="00BC371A" w:rsidP="001D3665">
      <w:pPr>
        <w:pStyle w:val="a-vedtak-tit"/>
      </w:pPr>
      <w:r w:rsidRPr="001D3665">
        <w:t xml:space="preserve">til vedtak om </w:t>
      </w:r>
      <w:proofErr w:type="spellStart"/>
      <w:r w:rsidRPr="001D3665">
        <w:t>endringar</w:t>
      </w:r>
      <w:proofErr w:type="spellEnd"/>
      <w:r w:rsidRPr="001D3665">
        <w:t xml:space="preserve"> i stortingsvedtak om fastsetting av avgifter mv. til folketrygden for 2026</w:t>
      </w:r>
    </w:p>
    <w:p w14:paraId="2CA557FE" w14:textId="77777777" w:rsidR="00BC371A" w:rsidRPr="001D3665" w:rsidRDefault="00BC371A" w:rsidP="001D3665">
      <w:pPr>
        <w:pStyle w:val="a-vedtak-del"/>
      </w:pPr>
      <w:r w:rsidRPr="001D3665">
        <w:t>I</w:t>
      </w:r>
    </w:p>
    <w:p w14:paraId="5E2D632B" w14:textId="77777777" w:rsidR="00BC371A" w:rsidRPr="001D3665" w:rsidRDefault="00BC371A" w:rsidP="001D3665">
      <w:pPr>
        <w:pStyle w:val="l-tit-endr-lov"/>
      </w:pPr>
      <w:r w:rsidRPr="001D3665">
        <w:t>I stortingsvedtak 18. desember 2025 nr. 2748 om fastsetting av avgifter mv. til folketrygden for 2026 vert det gjort følgjande endringar:</w:t>
      </w:r>
    </w:p>
    <w:p w14:paraId="0E4255CC" w14:textId="77777777" w:rsidR="00BC371A" w:rsidRPr="001D3665" w:rsidRDefault="00BC371A" w:rsidP="001D3665">
      <w:pPr>
        <w:pStyle w:val="l-tit-endr-ledd"/>
      </w:pPr>
      <w:r w:rsidRPr="001D3665">
        <w:t>§ 4 tredje ledd fyrste strekpunkt skal lyde:</w:t>
      </w:r>
    </w:p>
    <w:p w14:paraId="21E2192D" w14:textId="77777777" w:rsidR="00BC371A" w:rsidRPr="001D3665" w:rsidRDefault="00BC371A" w:rsidP="001D3665">
      <w:pPr>
        <w:pStyle w:val="Liste"/>
      </w:pPr>
      <w:r w:rsidRPr="001D3665">
        <w:t>Aktiviteter omfattet av Næringshovedområde</w:t>
      </w:r>
      <w:r w:rsidRPr="001D3665">
        <w:rPr>
          <w:rStyle w:val="l-endring"/>
        </w:rPr>
        <w:t xml:space="preserve"> L – Finansiell tjenesteyting</w:t>
      </w:r>
    </w:p>
    <w:p w14:paraId="79EC914F" w14:textId="77777777" w:rsidR="00BC371A" w:rsidRPr="001D3665" w:rsidRDefault="00BC371A" w:rsidP="001D3665">
      <w:pPr>
        <w:pStyle w:val="a-vedtak-del"/>
      </w:pPr>
      <w:r w:rsidRPr="001D3665">
        <w:t>II</w:t>
      </w:r>
    </w:p>
    <w:p w14:paraId="038F8C39" w14:textId="77777777" w:rsidR="00BC371A" w:rsidRPr="001D3665" w:rsidRDefault="00BC371A" w:rsidP="001D3665">
      <w:proofErr w:type="spellStart"/>
      <w:r w:rsidRPr="001D3665">
        <w:t>Endringane</w:t>
      </w:r>
      <w:proofErr w:type="spellEnd"/>
      <w:r w:rsidRPr="001D3665">
        <w:t xml:space="preserve"> under I tek til å gjelde straks.</w:t>
      </w:r>
    </w:p>
    <w:p w14:paraId="52CB51D9" w14:textId="77777777" w:rsidR="00BC371A" w:rsidRPr="001D3665" w:rsidRDefault="00BC371A" w:rsidP="001D3665">
      <w:pPr>
        <w:pStyle w:val="a-vedtak-tit"/>
      </w:pPr>
      <w:r w:rsidRPr="001D3665">
        <w:lastRenderedPageBreak/>
        <w:t xml:space="preserve">Forslag </w:t>
      </w:r>
    </w:p>
    <w:p w14:paraId="5D0FE166" w14:textId="77777777" w:rsidR="00BC371A" w:rsidRPr="001D3665" w:rsidRDefault="00BC371A" w:rsidP="001D3665">
      <w:pPr>
        <w:pStyle w:val="a-vedtak-tit"/>
      </w:pPr>
      <w:r w:rsidRPr="001D3665">
        <w:t xml:space="preserve">til vedtak om </w:t>
      </w:r>
      <w:proofErr w:type="spellStart"/>
      <w:r w:rsidRPr="001D3665">
        <w:t>endringar</w:t>
      </w:r>
      <w:proofErr w:type="spellEnd"/>
      <w:r w:rsidRPr="001D3665">
        <w:t xml:space="preserve"> i stortingsvedtak om fastsetting av finansskatt på lønn for 2026</w:t>
      </w:r>
    </w:p>
    <w:p w14:paraId="4546F1A7" w14:textId="77777777" w:rsidR="00BC371A" w:rsidRPr="001D3665" w:rsidRDefault="00BC371A" w:rsidP="001D3665">
      <w:pPr>
        <w:pStyle w:val="a-vedtak-del"/>
      </w:pPr>
      <w:r w:rsidRPr="001D3665">
        <w:t>I</w:t>
      </w:r>
    </w:p>
    <w:p w14:paraId="4DB16736" w14:textId="77777777" w:rsidR="00BC371A" w:rsidRPr="001D3665" w:rsidRDefault="00BC371A" w:rsidP="001D3665">
      <w:pPr>
        <w:pStyle w:val="l-tit-endr-lov"/>
      </w:pPr>
      <w:r w:rsidRPr="001D3665">
        <w:t>I stortingsvedtak 18. desember 2025 nr. 2749 om fastsetting av finansskatt på lønn for 2026 vert det gjort følgjande endringar:</w:t>
      </w:r>
    </w:p>
    <w:p w14:paraId="29D170C3" w14:textId="77777777" w:rsidR="00BC371A" w:rsidRPr="001D3665" w:rsidRDefault="00BC371A" w:rsidP="001D3665">
      <w:pPr>
        <w:pStyle w:val="l-tit-endr-paragraf"/>
      </w:pPr>
      <w:r w:rsidRPr="001D3665">
        <w:t>§ 1 skal lyde:</w:t>
      </w:r>
    </w:p>
    <w:p w14:paraId="62DFC320" w14:textId="77777777" w:rsidR="00BC371A" w:rsidRPr="001D3665" w:rsidRDefault="00BC371A" w:rsidP="001D3665">
      <w:pPr>
        <w:pStyle w:val="l-paragraf"/>
        <w:rPr>
          <w:rStyle w:val="regular"/>
        </w:rPr>
      </w:pPr>
      <w:r w:rsidRPr="001D3665">
        <w:rPr>
          <w:rStyle w:val="regular"/>
        </w:rPr>
        <w:t xml:space="preserve">§ 1. </w:t>
      </w:r>
      <w:r w:rsidRPr="001D3665">
        <w:t>Finansielle aktiviteter</w:t>
      </w:r>
    </w:p>
    <w:p w14:paraId="3D4D9E1B" w14:textId="77777777" w:rsidR="00BC371A" w:rsidRPr="001D3665" w:rsidRDefault="00BC371A" w:rsidP="001D3665">
      <w:pPr>
        <w:pStyle w:val="l-ledd"/>
      </w:pPr>
      <w:r w:rsidRPr="001D3665">
        <w:rPr>
          <w:rStyle w:val="l-endring"/>
        </w:rPr>
        <w:t>Arbeidsgivere som utøver aktiviteter omfattet av næringshovedområde L «Finansiell tjenesteyting» i Statistisk sentralbyrås standard for næringsgruppering anses å utøve finansielle aktiviteter.</w:t>
      </w:r>
    </w:p>
    <w:p w14:paraId="65B758D5" w14:textId="77777777" w:rsidR="00BC371A" w:rsidRPr="001D3665" w:rsidRDefault="00BC371A" w:rsidP="001D3665">
      <w:pPr>
        <w:pStyle w:val="a-vedtak-del"/>
      </w:pPr>
      <w:r w:rsidRPr="001D3665">
        <w:t>II</w:t>
      </w:r>
    </w:p>
    <w:p w14:paraId="45D7DA37" w14:textId="77777777" w:rsidR="00BC371A" w:rsidRPr="001D3665" w:rsidRDefault="00BC371A" w:rsidP="001D3665">
      <w:proofErr w:type="spellStart"/>
      <w:r w:rsidRPr="001D3665">
        <w:t>Endringane</w:t>
      </w:r>
      <w:proofErr w:type="spellEnd"/>
      <w:r w:rsidRPr="001D3665">
        <w:t xml:space="preserve"> under I tek til å gjelde straks.</w:t>
      </w:r>
    </w:p>
    <w:sectPr w:rsidR="00BC371A" w:rsidRPr="001D3665">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F727" w14:textId="77777777" w:rsidR="00BC371A" w:rsidRDefault="00BC371A">
      <w:pPr>
        <w:spacing w:after="0" w:line="240" w:lineRule="auto"/>
      </w:pPr>
      <w:r>
        <w:separator/>
      </w:r>
    </w:p>
  </w:endnote>
  <w:endnote w:type="continuationSeparator" w:id="0">
    <w:p w14:paraId="48CF4697" w14:textId="77777777" w:rsidR="00BC371A" w:rsidRDefault="00BC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17FB" w14:textId="77777777" w:rsidR="00BC371A" w:rsidRDefault="00BC371A">
      <w:pPr>
        <w:spacing w:after="0" w:line="240" w:lineRule="auto"/>
      </w:pPr>
      <w:r>
        <w:separator/>
      </w:r>
    </w:p>
  </w:footnote>
  <w:footnote w:type="continuationSeparator" w:id="0">
    <w:p w14:paraId="5AA336BA" w14:textId="77777777" w:rsidR="00BC371A" w:rsidRDefault="00BC371A">
      <w:pPr>
        <w:spacing w:after="0" w:line="240" w:lineRule="auto"/>
      </w:pPr>
      <w:r>
        <w:continuationSeparator/>
      </w:r>
    </w:p>
  </w:footnote>
  <w:footnote w:id="1">
    <w:p w14:paraId="184E0806" w14:textId="2D331CE3" w:rsidR="00BC371A" w:rsidRDefault="00BC371A">
      <w:pPr>
        <w:pStyle w:val="Fotnotetekst"/>
      </w:pPr>
      <w:r>
        <w:rPr>
          <w:vertAlign w:val="superscript"/>
        </w:rPr>
        <w:footnoteRef/>
      </w:r>
      <w:r w:rsidRPr="001D3665">
        <w:t>Statistisk sentralbyrå syner at Noreg i 2025 importerte drivstoff frå Belgia, Danmark, Finland, Frankrike, Nederland, Spania, Storbritannia, Sverige og Tyskland.</w:t>
      </w:r>
    </w:p>
  </w:footnote>
  <w:footnote w:id="2">
    <w:p w14:paraId="1C076692" w14:textId="1CE7F10E" w:rsidR="00BC371A" w:rsidRDefault="00BC371A">
      <w:pPr>
        <w:pStyle w:val="Fotnotetekst"/>
      </w:pPr>
      <w:r>
        <w:rPr>
          <w:vertAlign w:val="superscript"/>
        </w:rPr>
        <w:footnoteRef/>
      </w:r>
      <w:r w:rsidRPr="001D3665">
        <w:t xml:space="preserve">Stortinget – Møte torsdag den 26. mars 2026. </w:t>
      </w:r>
      <w:r w:rsidRPr="001D3665">
        <w:rPr>
          <w:rStyle w:val="Hyperkobling"/>
        </w:rPr>
        <w:t>https://stortinget.no/no/Saker-og-publikasjoner/Publikasjoner/Referater/Stortinget/2025-2026/refs-202526-03-26?all=true</w:t>
      </w:r>
      <w:r w:rsidRPr="001D3665">
        <w:t xml:space="preserve"> </w:t>
      </w:r>
    </w:p>
  </w:footnote>
  <w:footnote w:id="3">
    <w:p w14:paraId="2AD6B2DA" w14:textId="09176F98" w:rsidR="00BC371A" w:rsidRDefault="00BC371A">
      <w:pPr>
        <w:pStyle w:val="Fotnotetekst"/>
      </w:pPr>
      <w:r>
        <w:rPr>
          <w:vertAlign w:val="superscript"/>
        </w:rPr>
        <w:footnoteRef/>
      </w:r>
      <w:r w:rsidRPr="001D3665">
        <w:t>Stortingsvedtak om CO</w:t>
      </w:r>
      <w:r w:rsidRPr="001D3665">
        <w:rPr>
          <w:rStyle w:val="skrift-senket"/>
        </w:rPr>
        <w:t>2</w:t>
      </w:r>
      <w:r w:rsidRPr="001D3665">
        <w:t xml:space="preserve">-avgift på mineralske produkt for 2026. Lovdata. </w:t>
      </w:r>
      <w:r w:rsidRPr="001D3665">
        <w:rPr>
          <w:rStyle w:val="Hyperkobling"/>
        </w:rPr>
        <w:t>https://lovdata.no/dokument/STV/forskrift/2025-12-18-2763/KAPITTEL_2#KAPITTEL_2</w:t>
      </w:r>
      <w:r w:rsidRPr="001D3665">
        <w:t xml:space="preserve"> </w:t>
      </w:r>
    </w:p>
  </w:footnote>
  <w:footnote w:id="4">
    <w:p w14:paraId="2A8B6966" w14:textId="6320D4F6" w:rsidR="00BC371A" w:rsidRDefault="00BC371A">
      <w:pPr>
        <w:pStyle w:val="Fotnotetekst"/>
      </w:pPr>
      <w:r>
        <w:rPr>
          <w:vertAlign w:val="superscript"/>
        </w:rPr>
        <w:footnoteRef/>
      </w:r>
      <w:r w:rsidRPr="001D3665">
        <w:t xml:space="preserve">Vedtak 27. februar 2026 om </w:t>
      </w:r>
      <w:r w:rsidRPr="001D3665">
        <w:t>ikraftsetjing av romartal II og III i stortingsvedtak om CO</w:t>
      </w:r>
      <w:r w:rsidRPr="001D3665">
        <w:rPr>
          <w:rStyle w:val="skrift-senket"/>
        </w:rPr>
        <w:t>2</w:t>
      </w:r>
      <w:r w:rsidRPr="001D3665">
        <w:t xml:space="preserve">-avgift på mineralske produkter for 2026. Lovdata. </w:t>
      </w:r>
      <w:r w:rsidRPr="001D3665">
        <w:rPr>
          <w:rStyle w:val="Hyperkobling"/>
        </w:rPr>
        <w:t>https://lovdata.no/dokument/LTI/forskrift/2026-02-27-300</w:t>
      </w:r>
      <w:r w:rsidRPr="001D3665">
        <w:t xml:space="preserve"> </w:t>
      </w:r>
    </w:p>
  </w:footnote>
  <w:footnote w:id="5">
    <w:p w14:paraId="4726EAA5" w14:textId="7D96CACA" w:rsidR="00BC371A" w:rsidRDefault="00BC371A">
      <w:pPr>
        <w:pStyle w:val="Fotnotetekst"/>
      </w:pPr>
      <w:r>
        <w:rPr>
          <w:vertAlign w:val="superscript"/>
        </w:rPr>
        <w:footnoteRef/>
      </w:r>
      <w:r w:rsidRPr="001D3665">
        <w:t xml:space="preserve">Oslo </w:t>
      </w:r>
      <w:r w:rsidRPr="001D3665">
        <w:t xml:space="preserve">Economics. (2025). </w:t>
      </w:r>
      <w:r w:rsidRPr="001D3665">
        <w:rPr>
          <w:rStyle w:val="kursiv"/>
        </w:rPr>
        <w:t>Utslipp og utslippsreduserende tiltak for fossil stasjonær fyring i industrien</w:t>
      </w:r>
      <w:r w:rsidRPr="001D3665">
        <w:t xml:space="preserve">. Miljødirektoratet. </w:t>
      </w:r>
      <w:r w:rsidRPr="001D3665">
        <w:rPr>
          <w:rStyle w:val="Hyperkobling"/>
        </w:rPr>
        <w:t>https://www.miljodirektoratet.no/publikasjoner/2025/oktober-2025/utslipp-og-utslippsreduserende-tiltak-for-fossil-stasjonar-fyring-i-industrien/</w:t>
      </w:r>
      <w:r w:rsidRPr="001D366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635990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5566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3340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6838649">
    <w:abstractNumId w:val="4"/>
  </w:num>
  <w:num w:numId="24" w16cid:durableId="74438032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E29EF"/>
    <w:rsid w:val="001B58A2"/>
    <w:rsid w:val="001D3665"/>
    <w:rsid w:val="003E199E"/>
    <w:rsid w:val="005E29EF"/>
    <w:rsid w:val="00775DC1"/>
    <w:rsid w:val="007E56BA"/>
    <w:rsid w:val="00A92247"/>
    <w:rsid w:val="00AE78E9"/>
    <w:rsid w:val="00B33301"/>
    <w:rsid w:val="00BC371A"/>
    <w:rsid w:val="00CF0C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CD9FC"/>
  <w14:defaultImageDpi w14:val="96"/>
  <w15:docId w15:val="{9E7F8799-96CE-4F7E-8115-9B1EC9D4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8E9"/>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AE78E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E78E9"/>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AE78E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E78E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E78E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E78E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E78E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E78E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E78E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E78E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E78E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AE78E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E78E9"/>
    <w:pPr>
      <w:keepNext/>
      <w:spacing w:before="360" w:after="60"/>
      <w:jc w:val="center"/>
    </w:pPr>
    <w:rPr>
      <w:b/>
    </w:rPr>
  </w:style>
  <w:style w:type="paragraph" w:customStyle="1" w:styleId="a-vedtak-tekst">
    <w:name w:val="a-vedtak-tekst"/>
    <w:basedOn w:val="Normal"/>
    <w:next w:val="Normal"/>
    <w:rsid w:val="00AE78E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E78E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AE78E9"/>
    <w:pPr>
      <w:tabs>
        <w:tab w:val="left" w:pos="284"/>
      </w:tabs>
      <w:spacing w:before="120" w:line="240" w:lineRule="auto"/>
      <w:contextualSpacing/>
    </w:pPr>
    <w:rPr>
      <w:rFonts w:eastAsia="Batang"/>
      <w:spacing w:val="0"/>
      <w:sz w:val="20"/>
      <w:szCs w:val="20"/>
    </w:rPr>
  </w:style>
  <w:style w:type="paragraph" w:customStyle="1" w:styleId="Kilde">
    <w:name w:val="Kilde"/>
    <w:basedOn w:val="Normal"/>
    <w:next w:val="Normal"/>
    <w:rsid w:val="00AE78E9"/>
    <w:pPr>
      <w:spacing w:after="240"/>
    </w:pPr>
    <w:rPr>
      <w:sz w:val="20"/>
    </w:rPr>
  </w:style>
  <w:style w:type="paragraph" w:customStyle="1" w:styleId="opplisting">
    <w:name w:val="opplisting"/>
    <w:basedOn w:val="Normal"/>
    <w:rsid w:val="00AE78E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E78E9"/>
    <w:pPr>
      <w:spacing w:before="120" w:line="240" w:lineRule="auto"/>
    </w:pPr>
    <w:rPr>
      <w:rFonts w:ascii="Arial" w:eastAsia="Batang" w:hAnsi="Arial" w:cs="Times New Roman"/>
      <w:b w:val="0"/>
      <w:spacing w:val="0"/>
      <w:sz w:val="24"/>
      <w:szCs w:val="2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alfaliste">
    <w:name w:val="alfaliste"/>
    <w:basedOn w:val="Normal"/>
    <w:rsid w:val="00AE78E9"/>
    <w:pPr>
      <w:numPr>
        <w:numId w:val="3"/>
      </w:numPr>
      <w:spacing w:after="0"/>
    </w:pPr>
  </w:style>
  <w:style w:type="paragraph" w:customStyle="1" w:styleId="alfaliste2">
    <w:name w:val="alfaliste 2"/>
    <w:basedOn w:val="Liste2"/>
    <w:rsid w:val="00AE78E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E78E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E78E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E78E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E78E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E78E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E78E9"/>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AE78E9"/>
    <w:rPr>
      <w:sz w:val="20"/>
    </w:rPr>
  </w:style>
  <w:style w:type="character" w:customStyle="1" w:styleId="FotnotetekstTegn">
    <w:name w:val="Fotnotetekst Tegn"/>
    <w:basedOn w:val="Standardskriftforavsnitt"/>
    <w:link w:val="Fotnotetekst"/>
    <w:rsid w:val="00AE78E9"/>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E78E9"/>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AE78E9"/>
    <w:rPr>
      <w:rFonts w:ascii="Arial" w:eastAsia="Times New Roman" w:hAnsi="Arial"/>
      <w:b/>
      <w:spacing w:val="4"/>
      <w:kern w:val="0"/>
      <w:sz w:val="28"/>
      <w:szCs w:val="22"/>
      <w14:ligatures w14:val="none"/>
    </w:rPr>
  </w:style>
  <w:style w:type="paragraph" w:customStyle="1" w:styleId="b-post">
    <w:name w:val="b-post"/>
    <w:basedOn w:val="Normal"/>
    <w:next w:val="Normal"/>
    <w:rsid w:val="00AE78E9"/>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E78E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E78E9"/>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AE78E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E78E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E78E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E78E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E78E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E78E9"/>
  </w:style>
  <w:style w:type="paragraph" w:customStyle="1" w:styleId="Def">
    <w:name w:val="Def"/>
    <w:basedOn w:val="hengende-innrykk"/>
    <w:rsid w:val="00AE78E9"/>
    <w:pPr>
      <w:spacing w:line="240" w:lineRule="auto"/>
      <w:ind w:left="0" w:firstLine="0"/>
    </w:pPr>
    <w:rPr>
      <w:rFonts w:eastAsia="Batang"/>
      <w:spacing w:val="0"/>
      <w:szCs w:val="20"/>
    </w:rPr>
  </w:style>
  <w:style w:type="paragraph" w:customStyle="1" w:styleId="del-nr">
    <w:name w:val="del-nr"/>
    <w:basedOn w:val="Normal"/>
    <w:qFormat/>
    <w:rsid w:val="00AE78E9"/>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Listeavsnitt2">
    <w:name w:val="Listeavsnitt 2"/>
    <w:basedOn w:val="Normal"/>
    <w:qFormat/>
    <w:rsid w:val="00AE78E9"/>
    <w:pPr>
      <w:spacing w:before="60" w:after="0"/>
      <w:ind w:left="794"/>
    </w:pPr>
    <w:rPr>
      <w:spacing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E78E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E78E9"/>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AE78E9"/>
    <w:pPr>
      <w:tabs>
        <w:tab w:val="left" w:pos="397"/>
      </w:tabs>
      <w:spacing w:after="0"/>
      <w:ind w:left="397" w:hanging="397"/>
    </w:pPr>
    <w:rPr>
      <w:spacing w:val="0"/>
    </w:rPr>
  </w:style>
  <w:style w:type="paragraph" w:customStyle="1" w:styleId="friliste2">
    <w:name w:val="friliste 2"/>
    <w:basedOn w:val="Normal"/>
    <w:qFormat/>
    <w:rsid w:val="00AE78E9"/>
    <w:pPr>
      <w:tabs>
        <w:tab w:val="left" w:pos="794"/>
      </w:tabs>
      <w:spacing w:after="0"/>
      <w:ind w:left="794" w:hanging="397"/>
    </w:pPr>
    <w:rPr>
      <w:spacing w:val="0"/>
    </w:rPr>
  </w:style>
  <w:style w:type="paragraph" w:customStyle="1" w:styleId="friliste3">
    <w:name w:val="friliste 3"/>
    <w:basedOn w:val="Normal"/>
    <w:qFormat/>
    <w:rsid w:val="00AE78E9"/>
    <w:pPr>
      <w:tabs>
        <w:tab w:val="left" w:pos="1191"/>
      </w:tabs>
      <w:spacing w:after="0"/>
      <w:ind w:left="1191" w:hanging="397"/>
    </w:pPr>
    <w:rPr>
      <w:spacing w:val="0"/>
    </w:rPr>
  </w:style>
  <w:style w:type="paragraph" w:customStyle="1" w:styleId="friliste4">
    <w:name w:val="friliste 4"/>
    <w:basedOn w:val="Normal"/>
    <w:qFormat/>
    <w:rsid w:val="00AE78E9"/>
    <w:pPr>
      <w:tabs>
        <w:tab w:val="left" w:pos="1588"/>
      </w:tabs>
      <w:spacing w:after="0"/>
      <w:ind w:left="1588" w:hanging="397"/>
    </w:pPr>
    <w:rPr>
      <w:spacing w:val="0"/>
    </w:rPr>
  </w:style>
  <w:style w:type="paragraph" w:customStyle="1" w:styleId="friliste5">
    <w:name w:val="friliste 5"/>
    <w:basedOn w:val="Normal"/>
    <w:qFormat/>
    <w:rsid w:val="00AE78E9"/>
    <w:pPr>
      <w:tabs>
        <w:tab w:val="left" w:pos="1985"/>
      </w:tabs>
      <w:spacing w:after="0"/>
      <w:ind w:left="1985" w:hanging="397"/>
    </w:pPr>
    <w:rPr>
      <w:spacing w:val="0"/>
    </w:rPr>
  </w:style>
  <w:style w:type="paragraph" w:customStyle="1" w:styleId="Fullmakttit">
    <w:name w:val="Fullmakttit"/>
    <w:basedOn w:val="Normal"/>
    <w:next w:val="Normal"/>
    <w:rsid w:val="00AE78E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basedOn w:val="Normal"/>
    <w:next w:val="Normal"/>
    <w:rsid w:val="00AE78E9"/>
    <w:pPr>
      <w:jc w:val="right"/>
    </w:pPr>
    <w:rPr>
      <w:b/>
      <w:noProof/>
    </w:rPr>
  </w:style>
  <w:style w:type="paragraph" w:customStyle="1" w:styleId="i-dep">
    <w:name w:val="i-dep"/>
    <w:basedOn w:val="Normal"/>
    <w:next w:val="Normal"/>
    <w:rsid w:val="00AE78E9"/>
    <w:pPr>
      <w:keepNext/>
      <w:keepLines/>
      <w:spacing w:line="240" w:lineRule="auto"/>
      <w:jc w:val="right"/>
    </w:pPr>
    <w:rPr>
      <w:b/>
      <w:noProof/>
      <w:szCs w:val="20"/>
      <w:u w:val="single"/>
    </w:rPr>
  </w:style>
  <w:style w:type="paragraph" w:customStyle="1" w:styleId="i-hode">
    <w:name w:val="i-hode"/>
    <w:basedOn w:val="Normal"/>
    <w:next w:val="Normal"/>
    <w:rsid w:val="00AE78E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E78E9"/>
    <w:pPr>
      <w:keepNext/>
      <w:keepLines/>
      <w:jc w:val="center"/>
    </w:pPr>
    <w:rPr>
      <w:rFonts w:eastAsia="Batang"/>
      <w:b/>
      <w:sz w:val="28"/>
    </w:rPr>
  </w:style>
  <w:style w:type="paragraph" w:customStyle="1" w:styleId="i-mtit">
    <w:name w:val="i-mtit"/>
    <w:basedOn w:val="Normal"/>
    <w:next w:val="Normal"/>
    <w:rsid w:val="00AE78E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AE78E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E78E9"/>
    <w:pPr>
      <w:spacing w:after="0"/>
      <w:jc w:val="center"/>
    </w:pPr>
    <w:rPr>
      <w:i/>
      <w:noProof/>
    </w:rPr>
  </w:style>
  <w:style w:type="paragraph" w:customStyle="1" w:styleId="i-termin">
    <w:name w:val="i-termin"/>
    <w:basedOn w:val="Normal"/>
    <w:next w:val="Normal"/>
    <w:rsid w:val="00AE78E9"/>
    <w:pPr>
      <w:spacing w:before="360"/>
      <w:jc w:val="center"/>
    </w:pPr>
    <w:rPr>
      <w:b/>
      <w:noProof/>
      <w:sz w:val="28"/>
    </w:rPr>
  </w:style>
  <w:style w:type="paragraph" w:customStyle="1" w:styleId="i-tit">
    <w:name w:val="i-tit"/>
    <w:basedOn w:val="Normal"/>
    <w:next w:val="i-statsrdato"/>
    <w:rsid w:val="00AE78E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E78E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E78E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AE78E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E78E9"/>
    <w:pPr>
      <w:numPr>
        <w:numId w:val="12"/>
      </w:numPr>
    </w:pPr>
    <w:rPr>
      <w:rFonts w:eastAsiaTheme="minorEastAsia"/>
    </w:rPr>
  </w:style>
  <w:style w:type="paragraph" w:customStyle="1" w:styleId="l-alfaliste2">
    <w:name w:val="l-alfaliste 2"/>
    <w:basedOn w:val="alfaliste2"/>
    <w:qFormat/>
    <w:rsid w:val="00AE78E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E78E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E78E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E78E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AE78E9"/>
    <w:pPr>
      <w:spacing w:after="0"/>
      <w:ind w:firstLine="397"/>
    </w:pPr>
  </w:style>
  <w:style w:type="paragraph" w:customStyle="1" w:styleId="figur-beskr">
    <w:name w:val="figur-beskr"/>
    <w:basedOn w:val="Normal"/>
    <w:next w:val="Normal"/>
    <w:rsid w:val="00AE78E9"/>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AE78E9"/>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abell-noter">
    <w:name w:val="tabell-noter"/>
    <w:basedOn w:val="Normal"/>
    <w:next w:val="Normal"/>
    <w:rsid w:val="00AE78E9"/>
    <w:pPr>
      <w:tabs>
        <w:tab w:val="left" w:pos="284"/>
      </w:tabs>
      <w:spacing w:before="120"/>
      <w:ind w:left="284" w:hanging="284"/>
      <w:contextualSpacing/>
    </w:pPr>
    <w:rPr>
      <w:rFonts w:eastAsia="Batang"/>
      <w:spacing w:val="0"/>
      <w:sz w:val="20"/>
      <w:szCs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AE78E9"/>
    <w:pPr>
      <w:keepNext/>
      <w:spacing w:before="240" w:after="0" w:line="240" w:lineRule="auto"/>
    </w:pPr>
    <w:rPr>
      <w:noProof/>
      <w:lang w:val="nn-NO"/>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E78E9"/>
    <w:pPr>
      <w:numPr>
        <w:numId w:val="6"/>
      </w:numPr>
      <w:spacing w:after="0"/>
      <w:contextualSpacing/>
    </w:pPr>
  </w:style>
  <w:style w:type="paragraph" w:styleId="Liste2">
    <w:name w:val="List 2"/>
    <w:basedOn w:val="Normal"/>
    <w:rsid w:val="00AE78E9"/>
    <w:pPr>
      <w:numPr>
        <w:ilvl w:val="1"/>
        <w:numId w:val="6"/>
      </w:numPr>
      <w:spacing w:after="0"/>
    </w:pPr>
  </w:style>
  <w:style w:type="paragraph" w:styleId="Liste3">
    <w:name w:val="List 3"/>
    <w:basedOn w:val="Normal"/>
    <w:rsid w:val="00AE78E9"/>
    <w:pPr>
      <w:numPr>
        <w:ilvl w:val="2"/>
        <w:numId w:val="6"/>
      </w:numPr>
      <w:spacing w:after="0"/>
    </w:pPr>
    <w:rPr>
      <w:spacing w:val="0"/>
    </w:rPr>
  </w:style>
  <w:style w:type="paragraph" w:styleId="Liste4">
    <w:name w:val="List 4"/>
    <w:basedOn w:val="Normal"/>
    <w:rsid w:val="00AE78E9"/>
    <w:pPr>
      <w:numPr>
        <w:ilvl w:val="3"/>
        <w:numId w:val="6"/>
      </w:numPr>
      <w:spacing w:after="0"/>
    </w:pPr>
    <w:rPr>
      <w:spacing w:val="0"/>
    </w:rPr>
  </w:style>
  <w:style w:type="paragraph" w:styleId="Liste5">
    <w:name w:val="List 5"/>
    <w:basedOn w:val="Normal"/>
    <w:rsid w:val="00AE78E9"/>
    <w:pPr>
      <w:numPr>
        <w:ilvl w:val="4"/>
        <w:numId w:val="6"/>
      </w:numPr>
      <w:spacing w:after="0"/>
    </w:pPr>
    <w:rPr>
      <w:spacing w:val="0"/>
    </w:rPr>
  </w:style>
  <w:style w:type="paragraph" w:customStyle="1" w:styleId="Listebombe">
    <w:name w:val="Liste bombe"/>
    <w:basedOn w:val="Liste"/>
    <w:qFormat/>
    <w:rsid w:val="00AE78E9"/>
    <w:pPr>
      <w:numPr>
        <w:numId w:val="14"/>
      </w:numPr>
      <w:tabs>
        <w:tab w:val="left" w:pos="397"/>
      </w:tabs>
      <w:ind w:left="397" w:hanging="397"/>
    </w:pPr>
  </w:style>
  <w:style w:type="paragraph" w:customStyle="1" w:styleId="Listebombe2">
    <w:name w:val="Liste bombe 2"/>
    <w:basedOn w:val="Liste2"/>
    <w:qFormat/>
    <w:rsid w:val="00AE78E9"/>
    <w:pPr>
      <w:numPr>
        <w:ilvl w:val="0"/>
        <w:numId w:val="15"/>
      </w:numPr>
      <w:ind w:left="794" w:hanging="397"/>
    </w:pPr>
  </w:style>
  <w:style w:type="paragraph" w:customStyle="1" w:styleId="Listebombe3">
    <w:name w:val="Liste bombe 3"/>
    <w:basedOn w:val="Liste3"/>
    <w:qFormat/>
    <w:rsid w:val="00AE78E9"/>
    <w:pPr>
      <w:numPr>
        <w:ilvl w:val="0"/>
        <w:numId w:val="16"/>
      </w:numPr>
      <w:ind w:left="1191" w:hanging="397"/>
    </w:pPr>
  </w:style>
  <w:style w:type="paragraph" w:customStyle="1" w:styleId="Listebombe4">
    <w:name w:val="Liste bombe 4"/>
    <w:basedOn w:val="Liste4"/>
    <w:qFormat/>
    <w:rsid w:val="00AE78E9"/>
    <w:pPr>
      <w:numPr>
        <w:ilvl w:val="0"/>
        <w:numId w:val="17"/>
      </w:numPr>
      <w:ind w:left="1588" w:hanging="397"/>
    </w:pPr>
  </w:style>
  <w:style w:type="paragraph" w:customStyle="1" w:styleId="Listebombe5">
    <w:name w:val="Liste bombe 5"/>
    <w:basedOn w:val="Liste5"/>
    <w:qFormat/>
    <w:rsid w:val="00AE78E9"/>
    <w:pPr>
      <w:numPr>
        <w:ilvl w:val="0"/>
        <w:numId w:val="18"/>
      </w:numPr>
      <w:ind w:left="1985" w:hanging="397"/>
    </w:pPr>
  </w:style>
  <w:style w:type="paragraph" w:customStyle="1" w:styleId="Normalref">
    <w:name w:val="Normalref"/>
    <w:basedOn w:val="Normal"/>
    <w:qFormat/>
    <w:rsid w:val="00AE78E9"/>
    <w:pPr>
      <w:spacing w:after="0"/>
      <w:ind w:left="397" w:hanging="397"/>
    </w:pPr>
    <w:rPr>
      <w:spacing w:val="0"/>
    </w:rPr>
  </w:style>
  <w:style w:type="paragraph" w:customStyle="1" w:styleId="tittel-ramme">
    <w:name w:val="tittel-ramme"/>
    <w:basedOn w:val="Normal"/>
    <w:next w:val="Normal"/>
    <w:rsid w:val="00AE78E9"/>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AE78E9"/>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E78E9"/>
    <w:pPr>
      <w:numPr>
        <w:numId w:val="4"/>
      </w:numPr>
      <w:spacing w:after="0"/>
    </w:pPr>
    <w:rPr>
      <w:rFonts w:eastAsia="Batang"/>
      <w:spacing w:val="0"/>
      <w:szCs w:val="20"/>
    </w:rPr>
  </w:style>
  <w:style w:type="paragraph" w:styleId="Nummerertliste2">
    <w:name w:val="List Number 2"/>
    <w:basedOn w:val="Normal"/>
    <w:rsid w:val="00AE78E9"/>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E78E9"/>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E78E9"/>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E78E9"/>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E78E9"/>
    <w:pPr>
      <w:spacing w:after="0"/>
      <w:ind w:left="397"/>
    </w:pPr>
    <w:rPr>
      <w:spacing w:val="0"/>
      <w:lang w:val="en-US"/>
    </w:rPr>
  </w:style>
  <w:style w:type="paragraph" w:customStyle="1" w:styleId="opplisting3">
    <w:name w:val="opplisting 3"/>
    <w:basedOn w:val="Normal"/>
    <w:qFormat/>
    <w:rsid w:val="00AE78E9"/>
    <w:pPr>
      <w:spacing w:after="0"/>
      <w:ind w:left="794"/>
    </w:pPr>
    <w:rPr>
      <w:spacing w:val="0"/>
    </w:rPr>
  </w:style>
  <w:style w:type="paragraph" w:customStyle="1" w:styleId="opplisting4">
    <w:name w:val="opplisting 4"/>
    <w:basedOn w:val="Normal"/>
    <w:qFormat/>
    <w:rsid w:val="00AE78E9"/>
    <w:pPr>
      <w:spacing w:after="0"/>
      <w:ind w:left="1191"/>
    </w:pPr>
    <w:rPr>
      <w:spacing w:val="0"/>
    </w:rPr>
  </w:style>
  <w:style w:type="paragraph" w:customStyle="1" w:styleId="opplisting5">
    <w:name w:val="opplisting 5"/>
    <w:basedOn w:val="Normal"/>
    <w:qFormat/>
    <w:rsid w:val="00AE78E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AE78E9"/>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E78E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E78E9"/>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AE78E9"/>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b-postf2">
    <w:name w:val="b-post f 2"/>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AE78E9"/>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AE78E9"/>
    <w:pPr>
      <w:keepNext/>
      <w:keepLines/>
      <w:spacing w:before="240"/>
      <w:jc w:val="center"/>
    </w:pPr>
    <w:rPr>
      <w:spacing w:val="30"/>
    </w:rPr>
  </w:style>
  <w:style w:type="character" w:customStyle="1" w:styleId="Overskrift4Tegn">
    <w:name w:val="Overskrift 4 Tegn"/>
    <w:basedOn w:val="Standardskriftforavsnitt"/>
    <w:link w:val="Overskrift4"/>
    <w:rsid w:val="00AE78E9"/>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AE78E9"/>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E78E9"/>
    <w:rPr>
      <w:spacing w:val="6"/>
      <w:sz w:val="19"/>
    </w:rPr>
  </w:style>
  <w:style w:type="paragraph" w:customStyle="1" w:styleId="ramme-noter">
    <w:name w:val="ramme-noter"/>
    <w:basedOn w:val="Normal"/>
    <w:next w:val="Normal"/>
    <w:rsid w:val="00AE78E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E78E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E78E9"/>
    <w:pPr>
      <w:numPr>
        <w:numId w:val="13"/>
      </w:numPr>
      <w:spacing w:after="0"/>
    </w:pPr>
    <w:rPr>
      <w:rFonts w:eastAsia="Batang"/>
      <w:spacing w:val="0"/>
      <w:szCs w:val="20"/>
    </w:rPr>
  </w:style>
  <w:style w:type="paragraph" w:customStyle="1" w:styleId="romertallliste2">
    <w:name w:val="romertall liste 2"/>
    <w:basedOn w:val="Normal"/>
    <w:rsid w:val="00AE78E9"/>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E78E9"/>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E78E9"/>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E78E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E78E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AE78E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E78E9"/>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E78E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E78E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E78E9"/>
    <w:pPr>
      <w:keepNext/>
      <w:keepLines/>
      <w:spacing w:before="360" w:after="240"/>
      <w:jc w:val="center"/>
    </w:pPr>
    <w:rPr>
      <w:rFonts w:ascii="Arial" w:hAnsi="Arial"/>
      <w:b/>
      <w:sz w:val="28"/>
    </w:rPr>
  </w:style>
  <w:style w:type="paragraph" w:customStyle="1" w:styleId="tittel-ordforkl">
    <w:name w:val="tittel-ordforkl"/>
    <w:basedOn w:val="Normal"/>
    <w:next w:val="Normal"/>
    <w:rsid w:val="00AE78E9"/>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E78E9"/>
    <w:pPr>
      <w:keepNext/>
      <w:keepLines/>
      <w:spacing w:before="360"/>
    </w:pPr>
    <w:rPr>
      <w:rFonts w:ascii="Arial" w:hAnsi="Arial"/>
      <w:b/>
      <w:sz w:val="28"/>
    </w:rPr>
  </w:style>
  <w:style w:type="character" w:customStyle="1" w:styleId="UndertittelTegn">
    <w:name w:val="Undertittel Tegn"/>
    <w:basedOn w:val="Standardskriftforavsnitt"/>
    <w:link w:val="Undertittel"/>
    <w:rsid w:val="00AE78E9"/>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E78E9"/>
    <w:pPr>
      <w:numPr>
        <w:numId w:val="0"/>
      </w:numPr>
    </w:pPr>
    <w:rPr>
      <w:b w:val="0"/>
      <w:i/>
    </w:rPr>
  </w:style>
  <w:style w:type="paragraph" w:customStyle="1" w:styleId="Undervedl-tittel">
    <w:name w:val="Undervedl-tittel"/>
    <w:basedOn w:val="Normal"/>
    <w:next w:val="Normal"/>
    <w:rsid w:val="00AE78E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E78E9"/>
    <w:pPr>
      <w:numPr>
        <w:numId w:val="0"/>
      </w:numPr>
      <w:outlineLvl w:val="9"/>
    </w:pPr>
  </w:style>
  <w:style w:type="paragraph" w:customStyle="1" w:styleId="v-Overskrift2">
    <w:name w:val="v-Overskrift 2"/>
    <w:basedOn w:val="Overskrift2"/>
    <w:next w:val="Normal"/>
    <w:rsid w:val="00AE78E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E78E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E78E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AE78E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AE78E9"/>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E78E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E78E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AE78E9"/>
    <w:pPr>
      <w:spacing w:before="180" w:after="0"/>
    </w:pPr>
    <w:rPr>
      <w:i/>
    </w:rPr>
  </w:style>
  <w:style w:type="paragraph" w:customStyle="1" w:styleId="avsnitt-tittelfmutit">
    <w:name w:val="avsnitt-tittel f mutit"/>
    <w:uiPriority w:val="99"/>
    <w:pPr>
      <w:keepNext/>
      <w:pBdr>
        <w:top w:val="single" w:sz="8" w:space="0" w:color="auto"/>
      </w:pBdr>
      <w:autoSpaceDE w:val="0"/>
      <w:autoSpaceDN w:val="0"/>
      <w:adjustRightInd w:val="0"/>
      <w:spacing w:before="160" w:after="80" w:line="240" w:lineRule="atLeast"/>
    </w:pPr>
    <w:rPr>
      <w:rFonts w:ascii="Myriad Pro" w:hAnsi="Myriad Pro" w:cs="Myriad Pro"/>
      <w:color w:val="000000"/>
      <w:w w:val="0"/>
      <w:kern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E78E9"/>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E78E9"/>
    <w:pPr>
      <w:keepNext/>
      <w:spacing w:before="240" w:after="0" w:line="240" w:lineRule="auto"/>
    </w:pPr>
    <w:rPr>
      <w:noProof/>
      <w:lang w:val="nn-NO"/>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AE78E9"/>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AE78E9"/>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lovkap">
    <w:name w:val="l-tit-endr-lovkap"/>
    <w:basedOn w:val="Normal"/>
    <w:qFormat/>
    <w:rsid w:val="00AE78E9"/>
    <w:pPr>
      <w:keepNext/>
      <w:spacing w:before="240" w:after="0" w:line="240" w:lineRule="auto"/>
    </w:pPr>
    <w:rPr>
      <w:noProof/>
      <w:lang w:val="nn-NO"/>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
    <w:name w:val="l-lovkap"/>
    <w:basedOn w:val="Normal"/>
    <w:next w:val="Normal"/>
    <w:rsid w:val="00AE78E9"/>
    <w:pPr>
      <w:keepNext/>
      <w:spacing w:before="240" w:after="40"/>
    </w:pPr>
    <w:rPr>
      <w:b/>
    </w:rPr>
  </w:style>
  <w:style w:type="paragraph" w:customStyle="1" w:styleId="a-vedtakkap-tit">
    <w:name w:val="a-vedtakkap-tit"/>
    <w:basedOn w:val="a-vedtak-tit"/>
    <w:qFormat/>
    <w:rsid w:val="00AE78E9"/>
    <w:pPr>
      <w:spacing w:before="120" w:line="240" w:lineRule="auto"/>
    </w:pPr>
    <w:rPr>
      <w:rFonts w:ascii="Arial" w:eastAsia="Batang" w:hAnsi="Arial" w:cs="Times New Roman"/>
      <w:spacing w:val="0"/>
      <w:sz w:val="24"/>
      <w:szCs w:val="2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l-tit-endr-ledd">
    <w:name w:val="l-tit-endr-ledd"/>
    <w:basedOn w:val="Normal"/>
    <w:qFormat/>
    <w:rsid w:val="00AE78E9"/>
    <w:pPr>
      <w:keepNext/>
      <w:spacing w:before="240" w:after="0" w:line="240" w:lineRule="auto"/>
    </w:pPr>
    <w:rPr>
      <w:noProof/>
      <w:lang w:val="nn-NO"/>
    </w:rPr>
  </w:style>
  <w:style w:type="paragraph" w:customStyle="1" w:styleId="l-tit-endr-lov">
    <w:name w:val="l-tit-endr-lov"/>
    <w:basedOn w:val="Normal"/>
    <w:qFormat/>
    <w:rsid w:val="00AE78E9"/>
    <w:pPr>
      <w:keepNext/>
      <w:spacing w:before="240" w:after="0" w:line="240" w:lineRule="auto"/>
    </w:pPr>
    <w:rPr>
      <w:noProof/>
      <w:lang w:val="nn-NO"/>
    </w:rPr>
  </w:style>
  <w:style w:type="paragraph" w:customStyle="1" w:styleId="figur-tittel">
    <w:name w:val="figur-tittel"/>
    <w:basedOn w:val="Normal"/>
    <w:next w:val="Normal"/>
    <w:rsid w:val="00AE78E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tit-endr-avsnitt">
    <w:name w:val="l-tit-endr-avsnitt"/>
    <w:basedOn w:val="l-tit-endr-lovkap"/>
    <w:qFormat/>
    <w:rsid w:val="00AE78E9"/>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lovavsnitt-m-endr">
    <w:name w:val="l-lovavsnit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E78E9"/>
    <w:pPr>
      <w:keepNext/>
      <w:keepLines/>
      <w:numPr>
        <w:numId w:val="2"/>
      </w:numPr>
      <w:ind w:left="357" w:hanging="357"/>
      <w:outlineLvl w:val="0"/>
    </w:pPr>
    <w:rPr>
      <w:rFonts w:ascii="Arial" w:hAnsi="Arial"/>
      <w:b/>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AE78E9"/>
    <w:rPr>
      <w:color w:val="467886" w:themeColor="hyperlink"/>
      <w:u w:val="single"/>
    </w:rPr>
  </w:style>
  <w:style w:type="character" w:customStyle="1" w:styleId="BunntekstTegn">
    <w:name w:val="Bunntekst Tegn"/>
    <w:basedOn w:val="Standardskriftforavsnitt"/>
    <w:link w:val="Bunntekst"/>
    <w:rsid w:val="00AE78E9"/>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E78E9"/>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AE78E9"/>
    <w:rPr>
      <w:vertAlign w:val="superscript"/>
    </w:rPr>
  </w:style>
  <w:style w:type="character" w:customStyle="1" w:styleId="gjennomstreket">
    <w:name w:val="gjennomstreket"/>
    <w:uiPriority w:val="1"/>
    <w:rsid w:val="00AE78E9"/>
    <w:rPr>
      <w:strike/>
      <w:dstrike w:val="0"/>
    </w:rPr>
  </w:style>
  <w:style w:type="character" w:customStyle="1" w:styleId="halvfet0">
    <w:name w:val="halvfet"/>
    <w:basedOn w:val="Standardskriftforavsnitt"/>
    <w:rsid w:val="00AE78E9"/>
    <w:rPr>
      <w:b/>
    </w:rPr>
  </w:style>
  <w:style w:type="character" w:customStyle="1" w:styleId="kursiv">
    <w:name w:val="kursiv"/>
    <w:basedOn w:val="Standardskriftforavsnitt"/>
    <w:rsid w:val="00AE78E9"/>
    <w:rPr>
      <w:i/>
    </w:rPr>
  </w:style>
  <w:style w:type="character" w:customStyle="1" w:styleId="l-endring">
    <w:name w:val="l-endring"/>
    <w:basedOn w:val="Standardskriftforavsnitt"/>
    <w:rsid w:val="00AE78E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E78E9"/>
  </w:style>
  <w:style w:type="character" w:styleId="Plassholdertekst">
    <w:name w:val="Placeholder Text"/>
    <w:basedOn w:val="Standardskriftforavsnitt"/>
    <w:uiPriority w:val="99"/>
    <w:rsid w:val="00AE78E9"/>
    <w:rPr>
      <w:color w:val="808080"/>
    </w:rPr>
  </w:style>
  <w:style w:type="character" w:customStyle="1" w:styleId="regular">
    <w:name w:val="regular"/>
    <w:basedOn w:val="Standardskriftforavsnitt"/>
    <w:uiPriority w:val="1"/>
    <w:qFormat/>
    <w:rsid w:val="00AE78E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E78E9"/>
    <w:rPr>
      <w:vertAlign w:val="superscript"/>
    </w:rPr>
  </w:style>
  <w:style w:type="character" w:customStyle="1" w:styleId="skrift-senket">
    <w:name w:val="skrift-senket"/>
    <w:basedOn w:val="Standardskriftforavsnitt"/>
    <w:rsid w:val="00AE78E9"/>
    <w:rPr>
      <w:vertAlign w:val="subscript"/>
    </w:rPr>
  </w:style>
  <w:style w:type="character" w:customStyle="1" w:styleId="SluttnotetekstTegn">
    <w:name w:val="Sluttnotetekst Tegn"/>
    <w:basedOn w:val="Standardskriftforavsnitt"/>
    <w:link w:val="Sluttnotetekst"/>
    <w:uiPriority w:val="99"/>
    <w:semiHidden/>
    <w:rsid w:val="00AE78E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AE78E9"/>
    <w:rPr>
      <w:spacing w:val="30"/>
    </w:rPr>
  </w:style>
  <w:style w:type="character" w:customStyle="1" w:styleId="SterktsitatTegn">
    <w:name w:val="Sterkt sitat Tegn"/>
    <w:basedOn w:val="Standardskriftforavsnitt"/>
    <w:link w:val="Sterktsitat"/>
    <w:uiPriority w:val="30"/>
    <w:rsid w:val="00AE78E9"/>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AE78E9"/>
    <w:rPr>
      <w:color w:val="0000FF"/>
    </w:rPr>
  </w:style>
  <w:style w:type="character" w:customStyle="1" w:styleId="stikkord0">
    <w:name w:val="stikkord"/>
    <w:uiPriority w:val="99"/>
  </w:style>
  <w:style w:type="character" w:styleId="Sterk">
    <w:name w:val="Strong"/>
    <w:basedOn w:val="Standardskriftforavsnitt"/>
    <w:uiPriority w:val="22"/>
    <w:qFormat/>
    <w:rsid w:val="00AE78E9"/>
    <w:rPr>
      <w:b/>
      <w:bCs/>
    </w:rPr>
  </w:style>
  <w:style w:type="character" w:customStyle="1" w:styleId="TopptekstTegn">
    <w:name w:val="Topptekst Tegn"/>
    <w:basedOn w:val="Standardskriftforavsnitt"/>
    <w:link w:val="Topptekst"/>
    <w:rsid w:val="00AE78E9"/>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AE78E9"/>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AE78E9"/>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AE78E9"/>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AE78E9"/>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AE78E9"/>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AE78E9"/>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AE78E9"/>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E78E9"/>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AE78E9"/>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E78E9"/>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AE78E9"/>
    <w:pPr>
      <w:tabs>
        <w:tab w:val="center" w:pos="4153"/>
        <w:tab w:val="right" w:pos="8306"/>
      </w:tabs>
    </w:pPr>
    <w:rPr>
      <w:sz w:val="20"/>
    </w:rPr>
  </w:style>
  <w:style w:type="character" w:customStyle="1" w:styleId="BunntekstTegn1">
    <w:name w:val="Bunntekst Tegn1"/>
    <w:basedOn w:val="Standardskriftforavsnitt"/>
    <w:uiPriority w:val="99"/>
    <w:semiHidden/>
    <w:rsid w:val="001B58A2"/>
    <w:rPr>
      <w:rFonts w:ascii="Times New Roman" w:eastAsia="Times New Roman" w:hAnsi="Times New Roman"/>
      <w:spacing w:val="4"/>
      <w:kern w:val="0"/>
      <w:szCs w:val="22"/>
      <w14:ligatures w14:val="none"/>
    </w:rPr>
  </w:style>
  <w:style w:type="paragraph" w:styleId="INNH1">
    <w:name w:val="toc 1"/>
    <w:basedOn w:val="Normal"/>
    <w:next w:val="Normal"/>
    <w:uiPriority w:val="39"/>
    <w:rsid w:val="00AE78E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E78E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E78E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E78E9"/>
    <w:pPr>
      <w:tabs>
        <w:tab w:val="right" w:leader="dot" w:pos="8306"/>
      </w:tabs>
      <w:ind w:left="600"/>
    </w:pPr>
    <w:rPr>
      <w:spacing w:val="0"/>
    </w:rPr>
  </w:style>
  <w:style w:type="paragraph" w:styleId="INNH5">
    <w:name w:val="toc 5"/>
    <w:basedOn w:val="Normal"/>
    <w:next w:val="Normal"/>
    <w:rsid w:val="00AE78E9"/>
    <w:pPr>
      <w:tabs>
        <w:tab w:val="right" w:leader="dot" w:pos="8306"/>
      </w:tabs>
      <w:ind w:left="800"/>
    </w:pPr>
    <w:rPr>
      <w:spacing w:val="0"/>
    </w:rPr>
  </w:style>
  <w:style w:type="character" w:styleId="Merknadsreferanse">
    <w:name w:val="annotation reference"/>
    <w:basedOn w:val="Standardskriftforavsnitt"/>
    <w:rsid w:val="00AE78E9"/>
    <w:rPr>
      <w:sz w:val="16"/>
    </w:rPr>
  </w:style>
  <w:style w:type="paragraph" w:styleId="Merknadstekst">
    <w:name w:val="annotation text"/>
    <w:basedOn w:val="Normal"/>
    <w:link w:val="MerknadstekstTegn"/>
    <w:rsid w:val="00AE78E9"/>
    <w:rPr>
      <w:spacing w:val="0"/>
      <w:sz w:val="20"/>
    </w:rPr>
  </w:style>
  <w:style w:type="character" w:customStyle="1" w:styleId="MerknadstekstTegn">
    <w:name w:val="Merknadstekst Tegn"/>
    <w:basedOn w:val="Standardskriftforavsnitt"/>
    <w:link w:val="Merknadstekst"/>
    <w:rsid w:val="00AE78E9"/>
    <w:rPr>
      <w:rFonts w:ascii="Times New Roman" w:eastAsia="Times New Roman" w:hAnsi="Times New Roman"/>
      <w:kern w:val="0"/>
      <w:sz w:val="20"/>
      <w:szCs w:val="22"/>
      <w14:ligatures w14:val="none"/>
    </w:rPr>
  </w:style>
  <w:style w:type="paragraph" w:styleId="Punktliste">
    <w:name w:val="List Bullet"/>
    <w:basedOn w:val="Normal"/>
    <w:rsid w:val="00AE78E9"/>
    <w:pPr>
      <w:spacing w:after="0"/>
      <w:ind w:left="284" w:hanging="284"/>
    </w:pPr>
  </w:style>
  <w:style w:type="paragraph" w:styleId="Punktliste2">
    <w:name w:val="List Bullet 2"/>
    <w:basedOn w:val="Normal"/>
    <w:rsid w:val="00AE78E9"/>
    <w:pPr>
      <w:spacing w:after="0"/>
      <w:ind w:left="568" w:hanging="284"/>
    </w:pPr>
  </w:style>
  <w:style w:type="paragraph" w:styleId="Punktliste3">
    <w:name w:val="List Bullet 3"/>
    <w:basedOn w:val="Normal"/>
    <w:rsid w:val="00AE78E9"/>
    <w:pPr>
      <w:spacing w:after="0"/>
      <w:ind w:left="851" w:hanging="284"/>
    </w:pPr>
  </w:style>
  <w:style w:type="paragraph" w:styleId="Punktliste4">
    <w:name w:val="List Bullet 4"/>
    <w:basedOn w:val="Normal"/>
    <w:rsid w:val="00AE78E9"/>
    <w:pPr>
      <w:spacing w:after="0"/>
      <w:ind w:left="1135" w:hanging="284"/>
    </w:pPr>
    <w:rPr>
      <w:spacing w:val="0"/>
    </w:rPr>
  </w:style>
  <w:style w:type="paragraph" w:styleId="Punktliste5">
    <w:name w:val="List Bullet 5"/>
    <w:basedOn w:val="Normal"/>
    <w:rsid w:val="00AE78E9"/>
    <w:pPr>
      <w:spacing w:after="0"/>
      <w:ind w:left="1418" w:hanging="284"/>
    </w:pPr>
    <w:rPr>
      <w:spacing w:val="0"/>
    </w:rPr>
  </w:style>
  <w:style w:type="paragraph" w:styleId="Topptekst">
    <w:name w:val="header"/>
    <w:basedOn w:val="Normal"/>
    <w:link w:val="TopptekstTegn"/>
    <w:rsid w:val="00AE78E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B58A2"/>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AE78E9"/>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E78E9"/>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E78E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E78E9"/>
    <w:pPr>
      <w:spacing w:after="0" w:line="240" w:lineRule="auto"/>
      <w:ind w:left="240" w:hanging="240"/>
    </w:pPr>
  </w:style>
  <w:style w:type="paragraph" w:styleId="Indeks2">
    <w:name w:val="index 2"/>
    <w:basedOn w:val="Normal"/>
    <w:next w:val="Normal"/>
    <w:autoRedefine/>
    <w:uiPriority w:val="99"/>
    <w:semiHidden/>
    <w:unhideWhenUsed/>
    <w:rsid w:val="00AE78E9"/>
    <w:pPr>
      <w:spacing w:after="0" w:line="240" w:lineRule="auto"/>
      <w:ind w:left="480" w:hanging="240"/>
    </w:pPr>
  </w:style>
  <w:style w:type="paragraph" w:styleId="Indeks3">
    <w:name w:val="index 3"/>
    <w:basedOn w:val="Normal"/>
    <w:next w:val="Normal"/>
    <w:autoRedefine/>
    <w:uiPriority w:val="99"/>
    <w:semiHidden/>
    <w:unhideWhenUsed/>
    <w:rsid w:val="00AE78E9"/>
    <w:pPr>
      <w:spacing w:after="0" w:line="240" w:lineRule="auto"/>
      <w:ind w:left="720" w:hanging="240"/>
    </w:pPr>
  </w:style>
  <w:style w:type="paragraph" w:styleId="Indeks4">
    <w:name w:val="index 4"/>
    <w:basedOn w:val="Normal"/>
    <w:next w:val="Normal"/>
    <w:autoRedefine/>
    <w:uiPriority w:val="99"/>
    <w:semiHidden/>
    <w:unhideWhenUsed/>
    <w:rsid w:val="00AE78E9"/>
    <w:pPr>
      <w:spacing w:after="0" w:line="240" w:lineRule="auto"/>
      <w:ind w:left="960" w:hanging="240"/>
    </w:pPr>
  </w:style>
  <w:style w:type="paragraph" w:styleId="Indeks5">
    <w:name w:val="index 5"/>
    <w:basedOn w:val="Normal"/>
    <w:next w:val="Normal"/>
    <w:autoRedefine/>
    <w:uiPriority w:val="99"/>
    <w:semiHidden/>
    <w:unhideWhenUsed/>
    <w:rsid w:val="00AE78E9"/>
    <w:pPr>
      <w:spacing w:after="0" w:line="240" w:lineRule="auto"/>
      <w:ind w:left="1200" w:hanging="240"/>
    </w:pPr>
  </w:style>
  <w:style w:type="paragraph" w:styleId="Indeks6">
    <w:name w:val="index 6"/>
    <w:basedOn w:val="Normal"/>
    <w:next w:val="Normal"/>
    <w:autoRedefine/>
    <w:uiPriority w:val="99"/>
    <w:semiHidden/>
    <w:unhideWhenUsed/>
    <w:rsid w:val="00AE78E9"/>
    <w:pPr>
      <w:spacing w:after="0" w:line="240" w:lineRule="auto"/>
      <w:ind w:left="1440" w:hanging="240"/>
    </w:pPr>
  </w:style>
  <w:style w:type="paragraph" w:styleId="Indeks7">
    <w:name w:val="index 7"/>
    <w:basedOn w:val="Normal"/>
    <w:next w:val="Normal"/>
    <w:autoRedefine/>
    <w:uiPriority w:val="99"/>
    <w:semiHidden/>
    <w:unhideWhenUsed/>
    <w:rsid w:val="00AE78E9"/>
    <w:pPr>
      <w:spacing w:after="0" w:line="240" w:lineRule="auto"/>
      <w:ind w:left="1680" w:hanging="240"/>
    </w:pPr>
  </w:style>
  <w:style w:type="paragraph" w:styleId="Indeks8">
    <w:name w:val="index 8"/>
    <w:basedOn w:val="Normal"/>
    <w:next w:val="Normal"/>
    <w:autoRedefine/>
    <w:uiPriority w:val="99"/>
    <w:semiHidden/>
    <w:unhideWhenUsed/>
    <w:rsid w:val="00AE78E9"/>
    <w:pPr>
      <w:spacing w:after="0" w:line="240" w:lineRule="auto"/>
      <w:ind w:left="1920" w:hanging="240"/>
    </w:pPr>
  </w:style>
  <w:style w:type="paragraph" w:styleId="Indeks9">
    <w:name w:val="index 9"/>
    <w:basedOn w:val="Normal"/>
    <w:next w:val="Normal"/>
    <w:autoRedefine/>
    <w:uiPriority w:val="99"/>
    <w:semiHidden/>
    <w:unhideWhenUsed/>
    <w:rsid w:val="00AE78E9"/>
    <w:pPr>
      <w:spacing w:after="0" w:line="240" w:lineRule="auto"/>
      <w:ind w:left="2160" w:hanging="240"/>
    </w:pPr>
  </w:style>
  <w:style w:type="paragraph" w:styleId="INNH6">
    <w:name w:val="toc 6"/>
    <w:basedOn w:val="Normal"/>
    <w:next w:val="Normal"/>
    <w:autoRedefine/>
    <w:uiPriority w:val="39"/>
    <w:semiHidden/>
    <w:unhideWhenUsed/>
    <w:rsid w:val="00AE78E9"/>
    <w:pPr>
      <w:spacing w:after="100"/>
      <w:ind w:left="1200"/>
    </w:pPr>
  </w:style>
  <w:style w:type="paragraph" w:styleId="INNH7">
    <w:name w:val="toc 7"/>
    <w:basedOn w:val="Normal"/>
    <w:next w:val="Normal"/>
    <w:autoRedefine/>
    <w:uiPriority w:val="39"/>
    <w:semiHidden/>
    <w:unhideWhenUsed/>
    <w:rsid w:val="00AE78E9"/>
    <w:pPr>
      <w:spacing w:after="100"/>
      <w:ind w:left="1440"/>
    </w:pPr>
  </w:style>
  <w:style w:type="paragraph" w:styleId="INNH8">
    <w:name w:val="toc 8"/>
    <w:basedOn w:val="Normal"/>
    <w:next w:val="Normal"/>
    <w:autoRedefine/>
    <w:uiPriority w:val="39"/>
    <w:semiHidden/>
    <w:unhideWhenUsed/>
    <w:rsid w:val="00AE78E9"/>
    <w:pPr>
      <w:spacing w:after="100"/>
      <w:ind w:left="1680"/>
    </w:pPr>
  </w:style>
  <w:style w:type="paragraph" w:styleId="INNH9">
    <w:name w:val="toc 9"/>
    <w:basedOn w:val="Normal"/>
    <w:next w:val="Normal"/>
    <w:autoRedefine/>
    <w:uiPriority w:val="39"/>
    <w:semiHidden/>
    <w:unhideWhenUsed/>
    <w:rsid w:val="00AE78E9"/>
    <w:pPr>
      <w:spacing w:after="100"/>
      <w:ind w:left="1920"/>
    </w:pPr>
  </w:style>
  <w:style w:type="paragraph" w:styleId="Vanliginnrykk">
    <w:name w:val="Normal Indent"/>
    <w:basedOn w:val="Normal"/>
    <w:uiPriority w:val="99"/>
    <w:semiHidden/>
    <w:unhideWhenUsed/>
    <w:rsid w:val="00AE78E9"/>
    <w:pPr>
      <w:ind w:left="708"/>
    </w:pPr>
  </w:style>
  <w:style w:type="paragraph" w:styleId="Stikkordregisteroverskrift">
    <w:name w:val="index heading"/>
    <w:basedOn w:val="Normal"/>
    <w:next w:val="Indeks1"/>
    <w:uiPriority w:val="99"/>
    <w:semiHidden/>
    <w:unhideWhenUsed/>
    <w:rsid w:val="00AE78E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E78E9"/>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AE78E9"/>
    <w:pPr>
      <w:spacing w:after="0"/>
    </w:pPr>
  </w:style>
  <w:style w:type="paragraph" w:styleId="Konvoluttadresse">
    <w:name w:val="envelope address"/>
    <w:basedOn w:val="Normal"/>
    <w:uiPriority w:val="99"/>
    <w:semiHidden/>
    <w:unhideWhenUsed/>
    <w:rsid w:val="00AE78E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E78E9"/>
  </w:style>
  <w:style w:type="character" w:styleId="Sluttnotereferanse">
    <w:name w:val="endnote reference"/>
    <w:basedOn w:val="Standardskriftforavsnitt"/>
    <w:uiPriority w:val="99"/>
    <w:semiHidden/>
    <w:unhideWhenUsed/>
    <w:rsid w:val="00AE78E9"/>
    <w:rPr>
      <w:vertAlign w:val="superscript"/>
    </w:rPr>
  </w:style>
  <w:style w:type="paragraph" w:styleId="Sluttnotetekst">
    <w:name w:val="endnote text"/>
    <w:basedOn w:val="Normal"/>
    <w:link w:val="SluttnotetekstTegn"/>
    <w:uiPriority w:val="99"/>
    <w:semiHidden/>
    <w:unhideWhenUsed/>
    <w:rsid w:val="00AE78E9"/>
    <w:pPr>
      <w:spacing w:after="0" w:line="240" w:lineRule="auto"/>
    </w:pPr>
    <w:rPr>
      <w:sz w:val="20"/>
      <w:szCs w:val="20"/>
    </w:rPr>
  </w:style>
  <w:style w:type="character" w:customStyle="1" w:styleId="SluttnotetekstTegn1">
    <w:name w:val="Sluttnotetekst Tegn1"/>
    <w:basedOn w:val="Standardskriftforavsnitt"/>
    <w:uiPriority w:val="99"/>
    <w:semiHidden/>
    <w:rsid w:val="001B58A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E78E9"/>
    <w:pPr>
      <w:spacing w:after="0"/>
      <w:ind w:left="240" w:hanging="240"/>
    </w:pPr>
  </w:style>
  <w:style w:type="paragraph" w:styleId="Makrotekst">
    <w:name w:val="macro"/>
    <w:link w:val="MakrotekstTegn"/>
    <w:uiPriority w:val="99"/>
    <w:semiHidden/>
    <w:unhideWhenUsed/>
    <w:rsid w:val="00AE78E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AE78E9"/>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AE78E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E78E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AE78E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AE78E9"/>
    <w:pPr>
      <w:spacing w:after="0" w:line="240" w:lineRule="auto"/>
      <w:ind w:left="4252"/>
    </w:pPr>
  </w:style>
  <w:style w:type="character" w:customStyle="1" w:styleId="HilsenTegn">
    <w:name w:val="Hilsen Tegn"/>
    <w:basedOn w:val="Standardskriftforavsnitt"/>
    <w:link w:val="Hilsen"/>
    <w:uiPriority w:val="99"/>
    <w:semiHidden/>
    <w:rsid w:val="00AE78E9"/>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AE78E9"/>
    <w:pPr>
      <w:spacing w:after="0" w:line="240" w:lineRule="auto"/>
      <w:ind w:left="4252"/>
    </w:pPr>
  </w:style>
  <w:style w:type="character" w:customStyle="1" w:styleId="UnderskriftTegn1">
    <w:name w:val="Underskrift Tegn1"/>
    <w:basedOn w:val="Standardskriftforavsnitt"/>
    <w:uiPriority w:val="99"/>
    <w:semiHidden/>
    <w:rsid w:val="001B58A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E78E9"/>
    <w:pPr>
      <w:ind w:left="283"/>
      <w:contextualSpacing/>
    </w:pPr>
  </w:style>
  <w:style w:type="paragraph" w:styleId="Liste-forts2">
    <w:name w:val="List Continue 2"/>
    <w:basedOn w:val="Normal"/>
    <w:uiPriority w:val="99"/>
    <w:semiHidden/>
    <w:unhideWhenUsed/>
    <w:rsid w:val="00AE78E9"/>
    <w:pPr>
      <w:ind w:left="566"/>
      <w:contextualSpacing/>
    </w:pPr>
  </w:style>
  <w:style w:type="paragraph" w:styleId="Liste-forts3">
    <w:name w:val="List Continue 3"/>
    <w:basedOn w:val="Normal"/>
    <w:uiPriority w:val="99"/>
    <w:semiHidden/>
    <w:unhideWhenUsed/>
    <w:rsid w:val="00AE78E9"/>
    <w:pPr>
      <w:ind w:left="849"/>
      <w:contextualSpacing/>
    </w:pPr>
  </w:style>
  <w:style w:type="paragraph" w:styleId="Liste-forts4">
    <w:name w:val="List Continue 4"/>
    <w:basedOn w:val="Normal"/>
    <w:uiPriority w:val="99"/>
    <w:semiHidden/>
    <w:unhideWhenUsed/>
    <w:rsid w:val="00AE78E9"/>
    <w:pPr>
      <w:ind w:left="1132"/>
      <w:contextualSpacing/>
    </w:pPr>
  </w:style>
  <w:style w:type="paragraph" w:styleId="Liste-forts5">
    <w:name w:val="List Continue 5"/>
    <w:basedOn w:val="Normal"/>
    <w:uiPriority w:val="99"/>
    <w:semiHidden/>
    <w:unhideWhenUsed/>
    <w:rsid w:val="00AE78E9"/>
    <w:pPr>
      <w:ind w:left="1415"/>
      <w:contextualSpacing/>
    </w:pPr>
  </w:style>
  <w:style w:type="paragraph" w:styleId="Meldingshode">
    <w:name w:val="Message Header"/>
    <w:basedOn w:val="Normal"/>
    <w:link w:val="MeldingshodeTegn"/>
    <w:uiPriority w:val="99"/>
    <w:semiHidden/>
    <w:unhideWhenUsed/>
    <w:rsid w:val="00AE78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E78E9"/>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AE78E9"/>
  </w:style>
  <w:style w:type="character" w:customStyle="1" w:styleId="InnledendehilsenTegn">
    <w:name w:val="Innledende hilsen Tegn"/>
    <w:basedOn w:val="Standardskriftforavsnitt"/>
    <w:link w:val="Innledendehilsen"/>
    <w:uiPriority w:val="99"/>
    <w:semiHidden/>
    <w:rsid w:val="00AE78E9"/>
    <w:rPr>
      <w:rFonts w:ascii="Times New Roman" w:eastAsia="Times New Roman" w:hAnsi="Times New Roman"/>
      <w:spacing w:val="4"/>
      <w:kern w:val="0"/>
      <w:szCs w:val="22"/>
      <w14:ligatures w14:val="none"/>
    </w:rPr>
  </w:style>
  <w:style w:type="paragraph" w:styleId="Dato0">
    <w:name w:val="Date"/>
    <w:basedOn w:val="Normal"/>
    <w:next w:val="Normal"/>
    <w:link w:val="DatoTegn"/>
    <w:rsid w:val="00AE78E9"/>
  </w:style>
  <w:style w:type="character" w:customStyle="1" w:styleId="DatoTegn1">
    <w:name w:val="Dato Tegn1"/>
    <w:basedOn w:val="Standardskriftforavsnitt"/>
    <w:uiPriority w:val="99"/>
    <w:semiHidden/>
    <w:rsid w:val="001B58A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E78E9"/>
    <w:pPr>
      <w:spacing w:after="0" w:line="240" w:lineRule="auto"/>
    </w:pPr>
  </w:style>
  <w:style w:type="character" w:customStyle="1" w:styleId="NotatoverskriftTegn">
    <w:name w:val="Notatoverskrift Tegn"/>
    <w:basedOn w:val="Standardskriftforavsnitt"/>
    <w:link w:val="Notatoverskrift"/>
    <w:uiPriority w:val="99"/>
    <w:semiHidden/>
    <w:rsid w:val="00AE78E9"/>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AE78E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AE78E9"/>
    <w:rPr>
      <w:color w:val="96607D" w:themeColor="followedHyperlink"/>
      <w:u w:val="single"/>
    </w:rPr>
  </w:style>
  <w:style w:type="character" w:styleId="Utheving">
    <w:name w:val="Emphasis"/>
    <w:basedOn w:val="Standardskriftforavsnitt"/>
    <w:uiPriority w:val="20"/>
    <w:qFormat/>
    <w:rsid w:val="00AE78E9"/>
    <w:rPr>
      <w:i/>
      <w:iCs/>
    </w:rPr>
  </w:style>
  <w:style w:type="paragraph" w:styleId="Dokumentkart">
    <w:name w:val="Document Map"/>
    <w:basedOn w:val="Normal"/>
    <w:link w:val="DokumentkartTegn"/>
    <w:uiPriority w:val="99"/>
    <w:semiHidden/>
    <w:rsid w:val="00AE78E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E78E9"/>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AE78E9"/>
    <w:rPr>
      <w:rFonts w:ascii="Courier New" w:hAnsi="Courier New" w:cs="Courier New"/>
      <w:sz w:val="20"/>
    </w:rPr>
  </w:style>
  <w:style w:type="character" w:customStyle="1" w:styleId="RentekstTegn">
    <w:name w:val="Ren tekst Tegn"/>
    <w:basedOn w:val="Standardskriftforavsnitt"/>
    <w:link w:val="Rentekst"/>
    <w:uiPriority w:val="99"/>
    <w:semiHidden/>
    <w:rsid w:val="00AE78E9"/>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AE78E9"/>
    <w:pPr>
      <w:spacing w:after="0" w:line="240" w:lineRule="auto"/>
    </w:pPr>
  </w:style>
  <w:style w:type="character" w:customStyle="1" w:styleId="E-postsignaturTegn">
    <w:name w:val="E-postsignatur Tegn"/>
    <w:basedOn w:val="Standardskriftforavsnitt"/>
    <w:link w:val="E-postsignatur"/>
    <w:uiPriority w:val="99"/>
    <w:semiHidden/>
    <w:rsid w:val="00AE78E9"/>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AE78E9"/>
    <w:rPr>
      <w:szCs w:val="24"/>
    </w:rPr>
  </w:style>
  <w:style w:type="character" w:styleId="HTML-akronym">
    <w:name w:val="HTML Acronym"/>
    <w:basedOn w:val="Standardskriftforavsnitt"/>
    <w:uiPriority w:val="99"/>
    <w:semiHidden/>
    <w:unhideWhenUsed/>
    <w:rsid w:val="00AE78E9"/>
  </w:style>
  <w:style w:type="paragraph" w:styleId="HTML-adresse">
    <w:name w:val="HTML Address"/>
    <w:basedOn w:val="Normal"/>
    <w:link w:val="HTML-adresseTegn"/>
    <w:uiPriority w:val="99"/>
    <w:semiHidden/>
    <w:unhideWhenUsed/>
    <w:rsid w:val="00AE78E9"/>
    <w:pPr>
      <w:spacing w:after="0" w:line="240" w:lineRule="auto"/>
    </w:pPr>
    <w:rPr>
      <w:i/>
      <w:iCs/>
    </w:rPr>
  </w:style>
  <w:style w:type="character" w:customStyle="1" w:styleId="HTML-adresseTegn">
    <w:name w:val="HTML-adresse Tegn"/>
    <w:basedOn w:val="Standardskriftforavsnitt"/>
    <w:link w:val="HTML-adresse"/>
    <w:uiPriority w:val="99"/>
    <w:semiHidden/>
    <w:rsid w:val="00AE78E9"/>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AE78E9"/>
    <w:rPr>
      <w:i/>
      <w:iCs/>
    </w:rPr>
  </w:style>
  <w:style w:type="character" w:styleId="HTML-kode">
    <w:name w:val="HTML Code"/>
    <w:basedOn w:val="Standardskriftforavsnitt"/>
    <w:uiPriority w:val="99"/>
    <w:semiHidden/>
    <w:unhideWhenUsed/>
    <w:rsid w:val="00AE78E9"/>
    <w:rPr>
      <w:rFonts w:ascii="Consolas" w:hAnsi="Consolas"/>
      <w:sz w:val="20"/>
      <w:szCs w:val="20"/>
    </w:rPr>
  </w:style>
  <w:style w:type="character" w:styleId="HTML-definisjon">
    <w:name w:val="HTML Definition"/>
    <w:basedOn w:val="Standardskriftforavsnitt"/>
    <w:uiPriority w:val="99"/>
    <w:semiHidden/>
    <w:unhideWhenUsed/>
    <w:rsid w:val="00AE78E9"/>
    <w:rPr>
      <w:i/>
      <w:iCs/>
    </w:rPr>
  </w:style>
  <w:style w:type="character" w:styleId="HTML-tastatur">
    <w:name w:val="HTML Keyboard"/>
    <w:basedOn w:val="Standardskriftforavsnitt"/>
    <w:uiPriority w:val="99"/>
    <w:semiHidden/>
    <w:unhideWhenUsed/>
    <w:rsid w:val="00AE78E9"/>
    <w:rPr>
      <w:rFonts w:ascii="Consolas" w:hAnsi="Consolas"/>
      <w:sz w:val="20"/>
      <w:szCs w:val="20"/>
    </w:rPr>
  </w:style>
  <w:style w:type="paragraph" w:styleId="HTML-forhndsformatert">
    <w:name w:val="HTML Preformatted"/>
    <w:basedOn w:val="Normal"/>
    <w:link w:val="HTML-forhndsformatertTegn"/>
    <w:uiPriority w:val="99"/>
    <w:semiHidden/>
    <w:unhideWhenUsed/>
    <w:rsid w:val="00AE78E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E78E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AE78E9"/>
    <w:rPr>
      <w:rFonts w:ascii="Consolas" w:hAnsi="Consolas"/>
      <w:sz w:val="24"/>
      <w:szCs w:val="24"/>
    </w:rPr>
  </w:style>
  <w:style w:type="character" w:styleId="HTML-skrivemaskin">
    <w:name w:val="HTML Typewriter"/>
    <w:basedOn w:val="Standardskriftforavsnitt"/>
    <w:uiPriority w:val="99"/>
    <w:semiHidden/>
    <w:unhideWhenUsed/>
    <w:rsid w:val="00AE78E9"/>
    <w:rPr>
      <w:rFonts w:ascii="Consolas" w:hAnsi="Consolas"/>
      <w:sz w:val="20"/>
      <w:szCs w:val="20"/>
    </w:rPr>
  </w:style>
  <w:style w:type="character" w:styleId="HTML-variabel">
    <w:name w:val="HTML Variable"/>
    <w:basedOn w:val="Standardskriftforavsnitt"/>
    <w:uiPriority w:val="99"/>
    <w:semiHidden/>
    <w:unhideWhenUsed/>
    <w:rsid w:val="00AE78E9"/>
    <w:rPr>
      <w:i/>
      <w:iCs/>
    </w:rPr>
  </w:style>
  <w:style w:type="paragraph" w:styleId="Kommentaremne">
    <w:name w:val="annotation subject"/>
    <w:basedOn w:val="Merknadstekst"/>
    <w:next w:val="Merknadstekst"/>
    <w:link w:val="KommentaremneTegn"/>
    <w:uiPriority w:val="99"/>
    <w:semiHidden/>
    <w:unhideWhenUsed/>
    <w:rsid w:val="00AE78E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E78E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AE78E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E78E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AE78E9"/>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E78E9"/>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AE78E9"/>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1B58A2"/>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AE78E9"/>
    <w:rPr>
      <w:i/>
      <w:iCs/>
      <w:color w:val="808080" w:themeColor="text1" w:themeTint="7F"/>
    </w:rPr>
  </w:style>
  <w:style w:type="character" w:styleId="Sterkutheving">
    <w:name w:val="Intense Emphasis"/>
    <w:basedOn w:val="Standardskriftforavsnitt"/>
    <w:uiPriority w:val="21"/>
    <w:qFormat/>
    <w:rsid w:val="00AE78E9"/>
    <w:rPr>
      <w:b/>
      <w:bCs/>
      <w:i/>
      <w:iCs/>
      <w:color w:val="156082" w:themeColor="accent1"/>
    </w:rPr>
  </w:style>
  <w:style w:type="character" w:styleId="Svakreferanse">
    <w:name w:val="Subtle Reference"/>
    <w:basedOn w:val="Standardskriftforavsnitt"/>
    <w:uiPriority w:val="31"/>
    <w:qFormat/>
    <w:rsid w:val="00AE78E9"/>
    <w:rPr>
      <w:smallCaps/>
      <w:color w:val="E97132" w:themeColor="accent2"/>
      <w:u w:val="single"/>
    </w:rPr>
  </w:style>
  <w:style w:type="character" w:styleId="Sterkreferanse">
    <w:name w:val="Intense Reference"/>
    <w:basedOn w:val="Standardskriftforavsnitt"/>
    <w:uiPriority w:val="32"/>
    <w:qFormat/>
    <w:rsid w:val="00AE78E9"/>
    <w:rPr>
      <w:b/>
      <w:bCs/>
      <w:smallCaps/>
      <w:color w:val="E97132" w:themeColor="accent2"/>
      <w:spacing w:val="5"/>
      <w:u w:val="single"/>
    </w:rPr>
  </w:style>
  <w:style w:type="character" w:styleId="Boktittel">
    <w:name w:val="Book Title"/>
    <w:basedOn w:val="Standardskriftforavsnitt"/>
    <w:uiPriority w:val="33"/>
    <w:qFormat/>
    <w:rsid w:val="00AE78E9"/>
    <w:rPr>
      <w:b/>
      <w:bCs/>
      <w:smallCaps/>
      <w:spacing w:val="5"/>
    </w:rPr>
  </w:style>
  <w:style w:type="paragraph" w:styleId="Bibliografi">
    <w:name w:val="Bibliography"/>
    <w:basedOn w:val="Normal"/>
    <w:next w:val="Normal"/>
    <w:uiPriority w:val="37"/>
    <w:semiHidden/>
    <w:unhideWhenUsed/>
    <w:rsid w:val="00AE78E9"/>
  </w:style>
  <w:style w:type="paragraph" w:styleId="Overskriftforinnholdsfortegnelse">
    <w:name w:val="TOC Heading"/>
    <w:basedOn w:val="Overskrift1"/>
    <w:next w:val="Normal"/>
    <w:uiPriority w:val="39"/>
    <w:unhideWhenUsed/>
    <w:qFormat/>
    <w:rsid w:val="00AE78E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AE78E9"/>
    <w:pPr>
      <w:numPr>
        <w:numId w:val="3"/>
      </w:numPr>
    </w:pPr>
  </w:style>
  <w:style w:type="numbering" w:customStyle="1" w:styleId="NrListeStil">
    <w:name w:val="NrListeStil"/>
    <w:uiPriority w:val="99"/>
    <w:rsid w:val="00AE78E9"/>
    <w:pPr>
      <w:numPr>
        <w:numId w:val="4"/>
      </w:numPr>
    </w:pPr>
  </w:style>
  <w:style w:type="numbering" w:customStyle="1" w:styleId="RomListeStil">
    <w:name w:val="RomListeStil"/>
    <w:uiPriority w:val="99"/>
    <w:rsid w:val="00AE78E9"/>
    <w:pPr>
      <w:numPr>
        <w:numId w:val="5"/>
      </w:numPr>
    </w:pPr>
  </w:style>
  <w:style w:type="numbering" w:customStyle="1" w:styleId="StrekListeStil">
    <w:name w:val="StrekListeStil"/>
    <w:uiPriority w:val="99"/>
    <w:rsid w:val="00AE78E9"/>
    <w:pPr>
      <w:numPr>
        <w:numId w:val="6"/>
      </w:numPr>
    </w:pPr>
  </w:style>
  <w:style w:type="numbering" w:customStyle="1" w:styleId="OpplistingListeStil">
    <w:name w:val="OpplistingListeStil"/>
    <w:uiPriority w:val="99"/>
    <w:rsid w:val="00AE78E9"/>
    <w:pPr>
      <w:numPr>
        <w:numId w:val="7"/>
      </w:numPr>
    </w:pPr>
  </w:style>
  <w:style w:type="numbering" w:customStyle="1" w:styleId="l-NummerertListeStil">
    <w:name w:val="l-NummerertListeStil"/>
    <w:uiPriority w:val="99"/>
    <w:rsid w:val="00AE78E9"/>
    <w:pPr>
      <w:numPr>
        <w:numId w:val="8"/>
      </w:numPr>
    </w:pPr>
  </w:style>
  <w:style w:type="numbering" w:customStyle="1" w:styleId="l-AlfaListeStil">
    <w:name w:val="l-AlfaListeStil"/>
    <w:uiPriority w:val="99"/>
    <w:rsid w:val="00AE78E9"/>
    <w:pPr>
      <w:numPr>
        <w:numId w:val="9"/>
      </w:numPr>
    </w:pPr>
  </w:style>
  <w:style w:type="numbering" w:customStyle="1" w:styleId="OverskrifterListeStil">
    <w:name w:val="OverskrifterListeStil"/>
    <w:uiPriority w:val="99"/>
    <w:rsid w:val="00AE78E9"/>
    <w:pPr>
      <w:numPr>
        <w:numId w:val="10"/>
      </w:numPr>
    </w:pPr>
  </w:style>
  <w:style w:type="numbering" w:customStyle="1" w:styleId="l-ListeStilMal">
    <w:name w:val="l-ListeStilMal"/>
    <w:uiPriority w:val="99"/>
    <w:rsid w:val="00AE78E9"/>
    <w:pPr>
      <w:numPr>
        <w:numId w:val="11"/>
      </w:numPr>
    </w:pPr>
  </w:style>
  <w:style w:type="paragraph" w:styleId="Avsenderadresse">
    <w:name w:val="envelope return"/>
    <w:basedOn w:val="Normal"/>
    <w:uiPriority w:val="99"/>
    <w:semiHidden/>
    <w:unhideWhenUsed/>
    <w:rsid w:val="00AE78E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E78E9"/>
  </w:style>
  <w:style w:type="character" w:customStyle="1" w:styleId="BrdtekstTegn">
    <w:name w:val="Brødtekst Tegn"/>
    <w:basedOn w:val="Standardskriftforavsnitt"/>
    <w:link w:val="Brdtekst"/>
    <w:semiHidden/>
    <w:rsid w:val="00AE78E9"/>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AE78E9"/>
    <w:pPr>
      <w:ind w:firstLine="360"/>
    </w:pPr>
  </w:style>
  <w:style w:type="character" w:customStyle="1" w:styleId="Brdtekst-frsteinnrykkTegn">
    <w:name w:val="Brødtekst - første innrykk Tegn"/>
    <w:basedOn w:val="BrdtekstTegn"/>
    <w:link w:val="Brdtekst-frsteinnrykk"/>
    <w:uiPriority w:val="99"/>
    <w:semiHidden/>
    <w:rsid w:val="00AE78E9"/>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AE78E9"/>
    <w:pPr>
      <w:ind w:left="283"/>
    </w:pPr>
  </w:style>
  <w:style w:type="character" w:customStyle="1" w:styleId="BrdtekstinnrykkTegn">
    <w:name w:val="Brødtekstinnrykk Tegn"/>
    <w:basedOn w:val="Standardskriftforavsnitt"/>
    <w:link w:val="Brdtekstinnrykk"/>
    <w:uiPriority w:val="99"/>
    <w:semiHidden/>
    <w:rsid w:val="00AE78E9"/>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AE78E9"/>
    <w:pPr>
      <w:ind w:left="360" w:firstLine="360"/>
    </w:pPr>
  </w:style>
  <w:style w:type="character" w:customStyle="1" w:styleId="Brdtekst-frsteinnrykk2Tegn">
    <w:name w:val="Brødtekst - første innrykk 2 Tegn"/>
    <w:basedOn w:val="BrdtekstinnrykkTegn"/>
    <w:link w:val="Brdtekst-frsteinnrykk2"/>
    <w:uiPriority w:val="99"/>
    <w:semiHidden/>
    <w:rsid w:val="00AE78E9"/>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AE78E9"/>
    <w:pPr>
      <w:spacing w:line="480" w:lineRule="auto"/>
    </w:pPr>
  </w:style>
  <w:style w:type="character" w:customStyle="1" w:styleId="Brdtekst2Tegn">
    <w:name w:val="Brødtekst 2 Tegn"/>
    <w:basedOn w:val="Standardskriftforavsnitt"/>
    <w:link w:val="Brdtekst2"/>
    <w:uiPriority w:val="99"/>
    <w:semiHidden/>
    <w:rsid w:val="00AE78E9"/>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AE78E9"/>
    <w:rPr>
      <w:sz w:val="16"/>
      <w:szCs w:val="16"/>
    </w:rPr>
  </w:style>
  <w:style w:type="character" w:customStyle="1" w:styleId="Brdtekst3Tegn">
    <w:name w:val="Brødtekst 3 Tegn"/>
    <w:basedOn w:val="Standardskriftforavsnitt"/>
    <w:link w:val="Brdtekst3"/>
    <w:uiPriority w:val="99"/>
    <w:semiHidden/>
    <w:rsid w:val="00AE78E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AE78E9"/>
    <w:pPr>
      <w:spacing w:line="480" w:lineRule="auto"/>
      <w:ind w:left="283"/>
    </w:pPr>
  </w:style>
  <w:style w:type="character" w:customStyle="1" w:styleId="Brdtekstinnrykk2Tegn">
    <w:name w:val="Brødtekstinnrykk 2 Tegn"/>
    <w:basedOn w:val="Standardskriftforavsnitt"/>
    <w:link w:val="Brdtekstinnrykk2"/>
    <w:uiPriority w:val="99"/>
    <w:semiHidden/>
    <w:rsid w:val="00AE78E9"/>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AE78E9"/>
    <w:pPr>
      <w:ind w:left="283"/>
    </w:pPr>
    <w:rPr>
      <w:sz w:val="16"/>
      <w:szCs w:val="16"/>
    </w:rPr>
  </w:style>
  <w:style w:type="character" w:customStyle="1" w:styleId="Brdtekstinnrykk3Tegn">
    <w:name w:val="Brødtekstinnrykk 3 Tegn"/>
    <w:basedOn w:val="Standardskriftforavsnitt"/>
    <w:link w:val="Brdtekstinnrykk3"/>
    <w:uiPriority w:val="99"/>
    <w:semiHidden/>
    <w:rsid w:val="00AE78E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AE78E9"/>
    <w:pPr>
      <w:numPr>
        <w:numId w:val="0"/>
      </w:numPr>
    </w:pPr>
  </w:style>
  <w:style w:type="paragraph" w:customStyle="1" w:styleId="TrykkeriMerknad">
    <w:name w:val="TrykkeriMerknad"/>
    <w:basedOn w:val="Normal"/>
    <w:qFormat/>
    <w:rsid w:val="00AE78E9"/>
    <w:pPr>
      <w:spacing w:before="60"/>
    </w:pPr>
    <w:rPr>
      <w:rFonts w:ascii="Arial" w:hAnsi="Arial"/>
      <w:color w:val="BF4E14" w:themeColor="accent2" w:themeShade="BF"/>
      <w:sz w:val="26"/>
    </w:rPr>
  </w:style>
  <w:style w:type="paragraph" w:customStyle="1" w:styleId="ForfatterMerknad">
    <w:name w:val="ForfatterMerknad"/>
    <w:basedOn w:val="TrykkeriMerknad"/>
    <w:qFormat/>
    <w:rsid w:val="00AE78E9"/>
    <w:pPr>
      <w:shd w:val="clear" w:color="auto" w:fill="FFFF99"/>
      <w:spacing w:line="240" w:lineRule="auto"/>
    </w:pPr>
    <w:rPr>
      <w:color w:val="80340D" w:themeColor="accent2" w:themeShade="80"/>
    </w:rPr>
  </w:style>
  <w:style w:type="paragraph" w:customStyle="1" w:styleId="tblRad">
    <w:name w:val="tblRad"/>
    <w:rsid w:val="00AE78E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E78E9"/>
  </w:style>
  <w:style w:type="paragraph" w:customStyle="1" w:styleId="tbl2LinjeSumBold">
    <w:name w:val="tbl2LinjeSumBold"/>
    <w:basedOn w:val="tblRad"/>
    <w:rsid w:val="00AE78E9"/>
  </w:style>
  <w:style w:type="paragraph" w:customStyle="1" w:styleId="tblDelsum1">
    <w:name w:val="tblDelsum1"/>
    <w:basedOn w:val="tblRad"/>
    <w:rsid w:val="00AE78E9"/>
  </w:style>
  <w:style w:type="paragraph" w:customStyle="1" w:styleId="tblDelsum1-Kapittel">
    <w:name w:val="tblDelsum1 - Kapittel"/>
    <w:basedOn w:val="tblDelsum1"/>
    <w:rsid w:val="00AE78E9"/>
    <w:pPr>
      <w:keepNext w:val="0"/>
    </w:pPr>
  </w:style>
  <w:style w:type="paragraph" w:customStyle="1" w:styleId="tblDelsum2">
    <w:name w:val="tblDelsum2"/>
    <w:basedOn w:val="tblRad"/>
    <w:rsid w:val="00AE78E9"/>
  </w:style>
  <w:style w:type="paragraph" w:customStyle="1" w:styleId="tblDelsum2-Kapittel">
    <w:name w:val="tblDelsum2 - Kapittel"/>
    <w:basedOn w:val="tblDelsum2"/>
    <w:rsid w:val="00AE78E9"/>
    <w:pPr>
      <w:keepNext w:val="0"/>
    </w:pPr>
  </w:style>
  <w:style w:type="paragraph" w:customStyle="1" w:styleId="tblTabelloverskrift">
    <w:name w:val="tblTabelloverskrift"/>
    <w:rsid w:val="00AE78E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E78E9"/>
    <w:pPr>
      <w:spacing w:after="0"/>
      <w:jc w:val="right"/>
    </w:pPr>
    <w:rPr>
      <w:b w:val="0"/>
      <w:caps w:val="0"/>
      <w:sz w:val="16"/>
    </w:rPr>
  </w:style>
  <w:style w:type="paragraph" w:customStyle="1" w:styleId="tblKategoriOverskrift">
    <w:name w:val="tblKategoriOverskrift"/>
    <w:basedOn w:val="tblRad"/>
    <w:rsid w:val="00AE78E9"/>
    <w:pPr>
      <w:spacing w:before="120"/>
    </w:pPr>
  </w:style>
  <w:style w:type="paragraph" w:customStyle="1" w:styleId="tblKolonneoverskrift">
    <w:name w:val="tblKolonneoverskrift"/>
    <w:basedOn w:val="Normal"/>
    <w:rsid w:val="00AE78E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E78E9"/>
    <w:pPr>
      <w:spacing w:after="360"/>
      <w:jc w:val="center"/>
    </w:pPr>
    <w:rPr>
      <w:b w:val="0"/>
      <w:caps w:val="0"/>
    </w:rPr>
  </w:style>
  <w:style w:type="paragraph" w:customStyle="1" w:styleId="tblKolonneoverskrift-Vedtak">
    <w:name w:val="tblKolonneoverskrift - Vedtak"/>
    <w:basedOn w:val="tblTabelloverskrift-Vedtak"/>
    <w:rsid w:val="00AE78E9"/>
    <w:pPr>
      <w:spacing w:after="0"/>
    </w:pPr>
  </w:style>
  <w:style w:type="paragraph" w:customStyle="1" w:styleId="tblOverskrift-Vedtak">
    <w:name w:val="tblOverskrift - Vedtak"/>
    <w:basedOn w:val="tblRad"/>
    <w:rsid w:val="00AE78E9"/>
    <w:pPr>
      <w:spacing w:before="360"/>
      <w:jc w:val="center"/>
    </w:pPr>
  </w:style>
  <w:style w:type="paragraph" w:customStyle="1" w:styleId="tblRadBold">
    <w:name w:val="tblRadBold"/>
    <w:basedOn w:val="tblRad"/>
    <w:rsid w:val="00AE78E9"/>
  </w:style>
  <w:style w:type="paragraph" w:customStyle="1" w:styleId="tblRadItalic">
    <w:name w:val="tblRadItalic"/>
    <w:basedOn w:val="tblRad"/>
    <w:rsid w:val="00AE78E9"/>
  </w:style>
  <w:style w:type="paragraph" w:customStyle="1" w:styleId="tblRadItalicSiste">
    <w:name w:val="tblRadItalicSiste"/>
    <w:basedOn w:val="tblRadItalic"/>
    <w:rsid w:val="00AE78E9"/>
  </w:style>
  <w:style w:type="paragraph" w:customStyle="1" w:styleId="tblRadMedLuft">
    <w:name w:val="tblRadMedLuft"/>
    <w:basedOn w:val="tblRad"/>
    <w:rsid w:val="00AE78E9"/>
    <w:pPr>
      <w:spacing w:before="120"/>
    </w:pPr>
  </w:style>
  <w:style w:type="paragraph" w:customStyle="1" w:styleId="tblRadMedLuftSiste">
    <w:name w:val="tblRadMedLuftSiste"/>
    <w:basedOn w:val="tblRadMedLuft"/>
    <w:rsid w:val="00AE78E9"/>
    <w:pPr>
      <w:spacing w:after="120"/>
    </w:pPr>
  </w:style>
  <w:style w:type="paragraph" w:customStyle="1" w:styleId="tblRadMedLuftSiste-Vedtak">
    <w:name w:val="tblRadMedLuftSiste - Vedtak"/>
    <w:basedOn w:val="tblRadMedLuftSiste"/>
    <w:rsid w:val="00AE78E9"/>
    <w:pPr>
      <w:keepNext w:val="0"/>
    </w:pPr>
  </w:style>
  <w:style w:type="paragraph" w:customStyle="1" w:styleId="tblRadSiste">
    <w:name w:val="tblRadSiste"/>
    <w:basedOn w:val="tblRad"/>
    <w:rsid w:val="00AE78E9"/>
  </w:style>
  <w:style w:type="paragraph" w:customStyle="1" w:styleId="tblSluttsum">
    <w:name w:val="tblSluttsum"/>
    <w:basedOn w:val="tblRad"/>
    <w:rsid w:val="00AE78E9"/>
    <w:pPr>
      <w:spacing w:before="120"/>
    </w:pPr>
  </w:style>
  <w:style w:type="table" w:customStyle="1" w:styleId="MetadataTabell">
    <w:name w:val="MetadataTabell"/>
    <w:basedOn w:val="Rutenettabelllys"/>
    <w:uiPriority w:val="99"/>
    <w:rsid w:val="00AE78E9"/>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AE78E9"/>
    <w:pPr>
      <w:spacing w:before="60" w:after="60"/>
    </w:pPr>
    <w:rPr>
      <w:rFonts w:ascii="Consolas" w:hAnsi="Consolas"/>
      <w:color w:val="E97132" w:themeColor="accent2"/>
      <w:sz w:val="26"/>
    </w:rPr>
  </w:style>
  <w:style w:type="table" w:styleId="Rutenettabelllys">
    <w:name w:val="Grid Table Light"/>
    <w:basedOn w:val="Vanligtabell"/>
    <w:uiPriority w:val="40"/>
    <w:rsid w:val="00AE78E9"/>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E78E9"/>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AE78E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E78E9"/>
    <w:rPr>
      <w:sz w:val="24"/>
    </w:rPr>
  </w:style>
  <w:style w:type="paragraph" w:customStyle="1" w:styleId="avsnitt-tittel-tabell">
    <w:name w:val="avsnitt-tittel-tabell"/>
    <w:basedOn w:val="avsnitt-tittel"/>
    <w:qFormat/>
    <w:rsid w:val="00AE78E9"/>
  </w:style>
  <w:style w:type="paragraph" w:customStyle="1" w:styleId="b-budkaptit-tabell">
    <w:name w:val="b-budkaptit-tabell"/>
    <w:basedOn w:val="b-budkaptit"/>
    <w:qFormat/>
    <w:rsid w:val="00AE78E9"/>
  </w:style>
  <w:style w:type="character" w:styleId="Emneknagg">
    <w:name w:val="Hashtag"/>
    <w:basedOn w:val="Standardskriftforavsnitt"/>
    <w:uiPriority w:val="99"/>
    <w:semiHidden/>
    <w:unhideWhenUsed/>
    <w:rsid w:val="001D3665"/>
    <w:rPr>
      <w:color w:val="2B579A"/>
      <w:shd w:val="clear" w:color="auto" w:fill="E1DFDD"/>
    </w:rPr>
  </w:style>
  <w:style w:type="character" w:styleId="Omtale">
    <w:name w:val="Mention"/>
    <w:basedOn w:val="Standardskriftforavsnitt"/>
    <w:uiPriority w:val="99"/>
    <w:semiHidden/>
    <w:unhideWhenUsed/>
    <w:rsid w:val="001D3665"/>
    <w:rPr>
      <w:color w:val="2B579A"/>
      <w:shd w:val="clear" w:color="auto" w:fill="E1DFDD"/>
    </w:rPr>
  </w:style>
  <w:style w:type="paragraph" w:styleId="Sitat0">
    <w:name w:val="Quote"/>
    <w:basedOn w:val="Normal"/>
    <w:next w:val="Normal"/>
    <w:link w:val="SitatTegn1"/>
    <w:uiPriority w:val="29"/>
    <w:qFormat/>
    <w:rsid w:val="001D366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D3665"/>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1D3665"/>
    <w:rPr>
      <w:u w:val="dotted"/>
    </w:rPr>
  </w:style>
  <w:style w:type="character" w:styleId="Smartkobling">
    <w:name w:val="Smart Link"/>
    <w:basedOn w:val="Standardskriftforavsnitt"/>
    <w:uiPriority w:val="99"/>
    <w:semiHidden/>
    <w:unhideWhenUsed/>
    <w:rsid w:val="001D3665"/>
    <w:rPr>
      <w:color w:val="0000FF"/>
      <w:u w:val="single"/>
      <w:shd w:val="clear" w:color="auto" w:fill="F3F2F1"/>
    </w:rPr>
  </w:style>
  <w:style w:type="character" w:styleId="Ulstomtale">
    <w:name w:val="Unresolved Mention"/>
    <w:basedOn w:val="Standardskriftforavsnitt"/>
    <w:uiPriority w:val="99"/>
    <w:semiHidden/>
    <w:unhideWhenUsed/>
    <w:rsid w:val="001D3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28</TotalTime>
  <Pages>3</Pages>
  <Words>21843</Words>
  <Characters>118829</Characters>
  <Application>Microsoft Office Word</Application>
  <DocSecurity>0</DocSecurity>
  <Lines>3960</Lines>
  <Paragraphs>2870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2026-06-10T09:02:00Z</dcterms:created>
  <dcterms:modified xsi:type="dcterms:W3CDTF">2026-06-11T08:46:00Z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2026-06-10T09:02:43Z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d3ba47f8-44c2-4224-abd2-40df0cc9a416</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