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7CC" w14:textId="57036913" w:rsidR="0039518E" w:rsidRPr="0039518E" w:rsidRDefault="0039518E" w:rsidP="0039518E">
      <w:pPr>
        <w:pStyle w:val="i-dep"/>
      </w:pPr>
      <w:r w:rsidRPr="0039518E">
        <w:t>Nærings- og fiskeridepartementet</w:t>
      </w:r>
    </w:p>
    <w:p w14:paraId="6511948B" w14:textId="77777777" w:rsidR="0039518E" w:rsidRPr="0039518E" w:rsidRDefault="0039518E" w:rsidP="0039518E">
      <w:pPr>
        <w:pStyle w:val="i-hode"/>
      </w:pPr>
      <w:proofErr w:type="spellStart"/>
      <w:r w:rsidRPr="0039518E">
        <w:t>Prop</w:t>
      </w:r>
      <w:proofErr w:type="spellEnd"/>
      <w:r w:rsidRPr="0039518E">
        <w:t>. 91 L</w:t>
      </w:r>
    </w:p>
    <w:p w14:paraId="6E7C8703" w14:textId="77777777" w:rsidR="0039518E" w:rsidRPr="0039518E" w:rsidRDefault="0039518E" w:rsidP="0039518E">
      <w:pPr>
        <w:pStyle w:val="i-sesjon"/>
      </w:pPr>
      <w:r w:rsidRPr="0039518E">
        <w:t>(2025–2026)</w:t>
      </w:r>
    </w:p>
    <w:p w14:paraId="3A547B39" w14:textId="77777777" w:rsidR="0039518E" w:rsidRPr="0039518E" w:rsidRDefault="0039518E" w:rsidP="0039518E">
      <w:pPr>
        <w:pStyle w:val="i-hode-tit"/>
      </w:pPr>
      <w:r w:rsidRPr="0039518E">
        <w:t>Proposisjon til Stortinget (forslag til lovvedtak)</w:t>
      </w:r>
    </w:p>
    <w:p w14:paraId="5607FA5E" w14:textId="77777777" w:rsidR="0039518E" w:rsidRPr="0039518E" w:rsidRDefault="0039518E" w:rsidP="0039518E">
      <w:pPr>
        <w:pStyle w:val="i-tit"/>
      </w:pPr>
      <w:r w:rsidRPr="0039518E">
        <w:t>Endringer i støtteprosessloven (registreringsplikt)</w:t>
      </w:r>
    </w:p>
    <w:p w14:paraId="0B1CDEFD" w14:textId="706EA1BF" w:rsidR="0039518E" w:rsidRPr="0039518E" w:rsidRDefault="0039518E" w:rsidP="0039518E">
      <w:pPr>
        <w:pStyle w:val="i-dep"/>
      </w:pPr>
      <w:r w:rsidRPr="0039518E">
        <w:t>Nærings- og fiskeridepartementet</w:t>
      </w:r>
    </w:p>
    <w:p w14:paraId="6DA34688" w14:textId="77777777" w:rsidR="0039518E" w:rsidRPr="0039518E" w:rsidRDefault="0039518E" w:rsidP="0039518E">
      <w:pPr>
        <w:pStyle w:val="i-hode"/>
      </w:pPr>
      <w:r w:rsidRPr="0039518E">
        <w:t>Prop. 91 L</w:t>
      </w:r>
    </w:p>
    <w:p w14:paraId="2BD5B935" w14:textId="77777777" w:rsidR="0039518E" w:rsidRPr="0039518E" w:rsidRDefault="0039518E" w:rsidP="0039518E">
      <w:pPr>
        <w:pStyle w:val="i-sesjon"/>
      </w:pPr>
      <w:r w:rsidRPr="0039518E">
        <w:t>(2025–2026)</w:t>
      </w:r>
    </w:p>
    <w:p w14:paraId="412EEC03" w14:textId="77777777" w:rsidR="0039518E" w:rsidRPr="0039518E" w:rsidRDefault="0039518E" w:rsidP="0039518E">
      <w:pPr>
        <w:pStyle w:val="i-hode-tit"/>
      </w:pPr>
      <w:r w:rsidRPr="0039518E">
        <w:t>Proposisjon til Stortinget (forslag til lovvedtak)</w:t>
      </w:r>
    </w:p>
    <w:p w14:paraId="40210D0D" w14:textId="1BB1FA1C" w:rsidR="0039518E" w:rsidRPr="0039518E" w:rsidRDefault="0039518E" w:rsidP="0039518E">
      <w:pPr>
        <w:pStyle w:val="i-tit"/>
      </w:pPr>
      <w:r w:rsidRPr="0039518E">
        <w:t xml:space="preserve">Endringer i støtteprosessloven </w:t>
      </w:r>
      <w:r w:rsidRPr="0039518E">
        <w:t>(registreringsplikt)</w:t>
      </w:r>
    </w:p>
    <w:p w14:paraId="4EFE7D05" w14:textId="77777777" w:rsidR="0039518E" w:rsidRPr="0039518E" w:rsidRDefault="0039518E" w:rsidP="0039518E">
      <w:pPr>
        <w:pStyle w:val="i-statsrdato"/>
      </w:pPr>
      <w:r w:rsidRPr="0039518E">
        <w:t xml:space="preserve">Tilråding fra Nærings- og fiskeridepartementet 24. april 2026, </w:t>
      </w:r>
      <w:r w:rsidRPr="0039518E">
        <w:br/>
        <w:t xml:space="preserve">godkjent i statsråd samme dag. </w:t>
      </w:r>
      <w:r w:rsidRPr="0039518E">
        <w:br/>
        <w:t>(Regjeringen Støre)</w:t>
      </w:r>
    </w:p>
    <w:p w14:paraId="140F05BB" w14:textId="77777777" w:rsidR="0039518E" w:rsidRPr="0039518E" w:rsidRDefault="0039518E" w:rsidP="0039518E">
      <w:pPr>
        <w:pStyle w:val="Overskrift1"/>
      </w:pPr>
      <w:r w:rsidRPr="0039518E">
        <w:lastRenderedPageBreak/>
        <w:t>Proposisjonens hovedinnhold</w:t>
      </w:r>
    </w:p>
    <w:p w14:paraId="1F5B9367" w14:textId="77777777" w:rsidR="0039518E" w:rsidRPr="0039518E" w:rsidRDefault="0039518E" w:rsidP="0039518E">
      <w:r w:rsidRPr="0039518E">
        <w:t>Nær</w:t>
      </w:r>
      <w:r w:rsidRPr="0039518E">
        <w:t>ings- og fiskeridepartementet legger i denne proposisjonen frem forslag til endringer i lov 4. mars 2022 nr. 7 om nasjonale saksbehandlingsregler i saker om offentlig støtte (støtteprosessloven) § 7. Departementet foreslår bestemmelser som legger til rette for at departementet kan beslutte å utvide plikten til å registrere offentlig støtte i Støtteregisteret.</w:t>
      </w:r>
    </w:p>
    <w:p w14:paraId="1732A04D" w14:textId="77777777" w:rsidR="0039518E" w:rsidRPr="0039518E" w:rsidRDefault="0039518E" w:rsidP="0039518E">
      <w:r w:rsidRPr="0039518E">
        <w:t>Dette innebærer for det første en angivelse av at Støtteregisteret skal være et offentlig tilgjengelig register, slik at taushetsplikt ikke er til hin</w:t>
      </w:r>
      <w:r w:rsidRPr="0039518E">
        <w:t xml:space="preserve">der for at aktuelle opplysninger </w:t>
      </w:r>
      <w:proofErr w:type="gramStart"/>
      <w:r w:rsidRPr="0039518E">
        <w:t>fremgår</w:t>
      </w:r>
      <w:proofErr w:type="gramEnd"/>
      <w:r w:rsidRPr="0039518E">
        <w:t xml:space="preserve"> av Støtteregisteret.</w:t>
      </w:r>
    </w:p>
    <w:p w14:paraId="0C3C6133" w14:textId="77777777" w:rsidR="0039518E" w:rsidRPr="0039518E" w:rsidRDefault="0039518E" w:rsidP="0039518E">
      <w:r w:rsidRPr="0039518E">
        <w:t>For det andre foreslår departementet å utvide forskriftshjemmelen i støtteprosessloven § 7. Bestemmelsen gir i dag departementet hjemmel for å gi forskrift om plikt til å registrere opplysninger om tildelt offentlig støtte i Støtteregisteret. Forslaget innebærer at departementet i forskrift ikke bare kan pålegge støttegiver å gi informasjon om tildelt offentlig støtte, men også å registrere opplysninger om utbetalt offentlig støtte og om støtteor</w:t>
      </w:r>
      <w:r w:rsidRPr="0039518E">
        <w:t>dninger.</w:t>
      </w:r>
    </w:p>
    <w:p w14:paraId="03698FFD" w14:textId="77777777" w:rsidR="0039518E" w:rsidRPr="0039518E" w:rsidRDefault="0039518E" w:rsidP="0039518E">
      <w:r w:rsidRPr="0039518E">
        <w:t>Forslagene i denne proposisjonen pålegger hverken støttegivere eller støttemottakere nye materielle plikter, men innebærer at departementet gis adgang til å vedta utvidelser i registreringsplikten.</w:t>
      </w:r>
    </w:p>
    <w:p w14:paraId="03C581B4" w14:textId="77777777" w:rsidR="0039518E" w:rsidRPr="0039518E" w:rsidRDefault="0039518E" w:rsidP="0039518E">
      <w:pPr>
        <w:pStyle w:val="Overskrift1"/>
      </w:pPr>
      <w:r w:rsidRPr="0039518E">
        <w:t>Bakgrunnen for lovforslaget</w:t>
      </w:r>
    </w:p>
    <w:p w14:paraId="4B0D90FC" w14:textId="77777777" w:rsidR="0039518E" w:rsidRPr="0039518E" w:rsidRDefault="0039518E" w:rsidP="0039518E">
      <w:pPr>
        <w:pStyle w:val="Overskrift2"/>
      </w:pPr>
      <w:r w:rsidRPr="0039518E">
        <w:t>Innledning</w:t>
      </w:r>
    </w:p>
    <w:p w14:paraId="627FEF08" w14:textId="77777777" w:rsidR="0039518E" w:rsidRPr="0039518E" w:rsidRDefault="0039518E" w:rsidP="0039518E">
      <w:r w:rsidRPr="0039518E">
        <w:t xml:space="preserve">Reglene om offentlig støtte i EØS-avtalen setter rammer for norske myndigheters adgang til å gi støtte til foretak som utøver økonomisk aktivitet. Tildelinger av offentlig støtte kan skje i form av tilskudd, lån, garantier, skatte- og </w:t>
      </w:r>
      <w:proofErr w:type="spellStart"/>
      <w:r w:rsidRPr="0039518E">
        <w:t>avgiftsfordeler</w:t>
      </w:r>
      <w:proofErr w:type="spellEnd"/>
      <w:r w:rsidRPr="0039518E">
        <w:t xml:space="preserve"> eller for eksempel ved salg av eiendom til underpris.</w:t>
      </w:r>
    </w:p>
    <w:p w14:paraId="6101FDCA" w14:textId="77777777" w:rsidR="0039518E" w:rsidRPr="0039518E" w:rsidRDefault="0039518E" w:rsidP="0039518E">
      <w:r w:rsidRPr="0039518E">
        <w:t>EØS-avtalen pålegger EØS-landene en plikt til å registrere offentlig støtte over visse terskler i et sentralt register. I dag pålegger støtteprosessloven § 7 med tilhørende forskrift støttegiverne en plikt til å registrere tildelinger over visse terskler i Støtteregisteret. Støtteregisteret er et offentlig tilgjengelig register som forvaltes av Brønnøysundregistrene.</w:t>
      </w:r>
    </w:p>
    <w:p w14:paraId="24722033" w14:textId="77777777" w:rsidR="0039518E" w:rsidRPr="0039518E" w:rsidRDefault="0039518E" w:rsidP="0039518E">
      <w:r w:rsidRPr="0039518E">
        <w:t xml:space="preserve">I 2023 utbetalte det offentlige omtrent 60,5 milliarder kroner i offentlig støtte ifølge den årlige rapporteringen til ESA. Av dette beløpet er omtrent 42,2 milliarder kroner tildelt i form av skatte- og </w:t>
      </w:r>
      <w:proofErr w:type="spellStart"/>
      <w:r w:rsidRPr="0039518E">
        <w:t>avgiftsfordeler</w:t>
      </w:r>
      <w:proofErr w:type="spellEnd"/>
      <w:r w:rsidRPr="0039518E">
        <w:t>. Dette tilsvarer omtrent 70 prosent av all tildelt offentlig støtte.</w:t>
      </w:r>
    </w:p>
    <w:p w14:paraId="494A1AFF" w14:textId="77777777" w:rsidR="0039518E" w:rsidRPr="0039518E" w:rsidRDefault="0039518E" w:rsidP="0039518E">
      <w:r w:rsidRPr="0039518E">
        <w:t xml:space="preserve">Støttetildelinger i form av skatte- og </w:t>
      </w:r>
      <w:proofErr w:type="spellStart"/>
      <w:r w:rsidRPr="0039518E">
        <w:t>avgiftsfordeler</w:t>
      </w:r>
      <w:proofErr w:type="spellEnd"/>
      <w:r w:rsidRPr="0039518E">
        <w:t xml:space="preserve"> innebærer typisk fritak fra skatt eller avgift, redusert skattesats eller fordelaktige regler om fradrag i inntekt. Eksempler på skatteordninger som utgjør offentlig støtte, er </w:t>
      </w:r>
      <w:proofErr w:type="spellStart"/>
      <w:r w:rsidRPr="0039518E">
        <w:t>SkatteFUNN</w:t>
      </w:r>
      <w:proofErr w:type="spellEnd"/>
      <w:r w:rsidRPr="0039518E">
        <w:t>, redusert el-avgift og ordningen om regionalt differensiert arbeidsgiveravgift.</w:t>
      </w:r>
    </w:p>
    <w:p w14:paraId="3AFA73A4" w14:textId="77777777" w:rsidR="0039518E" w:rsidRPr="0039518E" w:rsidRDefault="0039518E" w:rsidP="0039518E">
      <w:r w:rsidRPr="0039518E">
        <w:t xml:space="preserve">Skatte- og </w:t>
      </w:r>
      <w:proofErr w:type="spellStart"/>
      <w:r w:rsidRPr="0039518E">
        <w:t>avgiftsfordeler</w:t>
      </w:r>
      <w:proofErr w:type="spellEnd"/>
      <w:r w:rsidRPr="0039518E">
        <w:t xml:space="preserve"> er i dag angitt i vide intervaller i Støtteregisteret, fremfor i eksakte tall. Dette medfører at det ikke er mulig å hente ut eksakte tall om hvor mye hvert enkelt foretak mottar i offentlig støtte i form av skatte- og </w:t>
      </w:r>
      <w:proofErr w:type="spellStart"/>
      <w:r w:rsidRPr="0039518E">
        <w:t>avgiftsfordeler</w:t>
      </w:r>
      <w:proofErr w:type="spellEnd"/>
      <w:r w:rsidRPr="0039518E">
        <w:t>.</w:t>
      </w:r>
    </w:p>
    <w:p w14:paraId="35332D9A" w14:textId="77777777" w:rsidR="0039518E" w:rsidRPr="0039518E" w:rsidRDefault="0039518E" w:rsidP="0039518E">
      <w:r w:rsidRPr="0039518E">
        <w:t xml:space="preserve">I tillegg til de nevnte skatte- og </w:t>
      </w:r>
      <w:proofErr w:type="spellStart"/>
      <w:r w:rsidRPr="0039518E">
        <w:t>avgiftsfordelene</w:t>
      </w:r>
      <w:proofErr w:type="spellEnd"/>
      <w:r w:rsidRPr="0039518E">
        <w:t>, ble det gitt omtrent 18,3 milliarder kroner i andre former for offentlig støtte, herunder tilskudd, garantier og lån. Disse typene offentlig støtte gis typisk av virkemiddelapparatet, kommuner og fylkeskommuner. På grunn av blant annet terskelen for registreringsplikt, er omtrent 2,5 milliarder kroner av de utbetalte 18,3 milliarder kronene ikke registrert i Støtteregisteret.</w:t>
      </w:r>
    </w:p>
    <w:p w14:paraId="07692A51" w14:textId="77777777" w:rsidR="0039518E" w:rsidRPr="0039518E" w:rsidRDefault="0039518E" w:rsidP="0039518E">
      <w:r w:rsidRPr="0039518E">
        <w:t>Til sammen medfører dette at omtrent 74 prosent av all offentlig støtte enten ikke er registrert i Støtteregisteret</w:t>
      </w:r>
      <w:r w:rsidRPr="0039518E">
        <w:t xml:space="preserve"> eller ikke inneholder konkret informasjon om hvilke beløp som er gitt til det enkelte foretak.</w:t>
      </w:r>
    </w:p>
    <w:p w14:paraId="68890FD5" w14:textId="77777777" w:rsidR="0039518E" w:rsidRPr="0039518E" w:rsidRDefault="0039518E" w:rsidP="0039518E">
      <w:r w:rsidRPr="0039518E">
        <w:t>I dag gjelder registreringsplikten kun for tildelinger som overstiger 100 000 euro, med unntak for bagatellmessig støtte og særskilte tildelinger under koronapandemien, jf. forskrift 2. januar 2023 nr. 4 om registrering av offentlig støtte § 1a andre og tredje ledd. For bagatellmessig støtte og støtte gitt under koronapandemien, skal alle tildelinger registreres fra første krone. Disse kravene trådte i kraft 1. j</w:t>
      </w:r>
      <w:r w:rsidRPr="0039518E">
        <w:t>anuar 2026.</w:t>
      </w:r>
    </w:p>
    <w:p w14:paraId="6D31573C" w14:textId="77777777" w:rsidR="0039518E" w:rsidRPr="0039518E" w:rsidRDefault="0039518E" w:rsidP="0039518E">
      <w:r w:rsidRPr="0039518E">
        <w:lastRenderedPageBreak/>
        <w:t>I dag inneholder Støtteregisteret imidlertid kun informasjon om tildelt støtte, og ikke informasjon om hvor mye støtte som faktisk er utbetalt.</w:t>
      </w:r>
    </w:p>
    <w:p w14:paraId="18EC987A" w14:textId="77777777" w:rsidR="0039518E" w:rsidRPr="0039518E" w:rsidRDefault="0039518E" w:rsidP="0039518E">
      <w:r w:rsidRPr="0039518E">
        <w:t>Åpenhet om hvordan offentlige midler brukes er viktig ut fra demokrati- og kontrollhensyn. En lærdom fra koronapandemien er at nødvendige støtteordninger må etableres raskt i en krisesituasjon. Når mengden offentlig støtte til næringslivet øker raskt, er det samtidig generelt høyere risiko for at den løpende kontrollen reduseres. Mulighetene for å misbruke støtteordningene vil da kunne øke tilsvarende.</w:t>
      </w:r>
    </w:p>
    <w:p w14:paraId="47A24794" w14:textId="15D4BF4B" w:rsidR="0039518E" w:rsidRPr="0039518E" w:rsidRDefault="0039518E" w:rsidP="0039518E">
      <w:r w:rsidRPr="0039518E">
        <w:t>Stortinget bevilget på bakgrunn av dette i 2022 midler til utvikling av et modernisert støtteregister. Innstilling 119 S (2021–2022</w:t>
      </w:r>
      <w:r w:rsidRPr="0039518E">
        <w:rPr>
          <w:rStyle w:val="kursiv"/>
        </w:rPr>
        <w:t xml:space="preserve">) Innstilling fra finanskomiteen om Endringer i statsbudsjettet 2022 under Kunnskapsdepartementet, Kultur- og likestillingsdepartementet, Justis- og beredskapsdepartementet, Kommunal- og </w:t>
      </w:r>
      <w:proofErr w:type="spellStart"/>
      <w:r w:rsidRPr="0039518E">
        <w:rPr>
          <w:rStyle w:val="kursiv"/>
        </w:rPr>
        <w:t>distriktsdepartementet</w:t>
      </w:r>
      <w:proofErr w:type="spellEnd"/>
      <w:r w:rsidRPr="0039518E">
        <w:rPr>
          <w:rStyle w:val="kursiv"/>
        </w:rPr>
        <w:t xml:space="preserve">, Arbeids- og inkluderingsdepartementet, Helse- </w:t>
      </w:r>
      <w:r w:rsidRPr="0039518E">
        <w:rPr>
          <w:rStyle w:val="kursiv"/>
        </w:rPr>
        <w:t xml:space="preserve">og omsorgsdepartementet, Barne- og familiedepartementet, Nærings- og fiskeridepartementet, Samferdselsdepartementet, Finansdepartementet og Olje- og energidepartementet (økonomiske tiltak i møte med pandemien og ekstraordinære strømutgifter) </w:t>
      </w:r>
      <w:r w:rsidRPr="0039518E">
        <w:t>post 27 viser til at åpenhet om offentlig støtte til næringslivet og kulturlivet bidrar til god etterlevelse av regelverk og til å avdekke misbruk av fellesskapets midler. Stortinget pekte på at et premiss for forventet nytteverdi er at Støtteregisteret er oppdatert og komplett.</w:t>
      </w:r>
    </w:p>
    <w:p w14:paraId="37A0C8A4" w14:textId="77777777" w:rsidR="0039518E" w:rsidRPr="0039518E" w:rsidRDefault="0039518E" w:rsidP="0039518E">
      <w:r w:rsidRPr="0039518E">
        <w:t>God og representativ informasjon om offentlig støtte vil kunne gi bedre grunnlag for støttegivere til å vurdere om det er hensiktsmessig å gi støtte, eksempelvis om det bør etableres en ny støtteordning eller om en eksisterende støt</w:t>
      </w:r>
      <w:r w:rsidRPr="0039518E">
        <w:t>teordning bør utvides. Mer utfyllende informasjon om offentlig støtte legger også bedre til rette for at støttegiver kan vurdere om det er anledning til å gi støtte, eller om begrensninger i regelverket er overskredet (kumulasjonskontroll). Åpenhet om offentlig støtte bidrar også til at pressen kan bruke Støtteregisteret i sitt samfunnsoppdrag. Et mer komplett Støtteregister vil også kunne gjøre det lettere å hente ut relevant statistikk og rapportering.</w:t>
      </w:r>
    </w:p>
    <w:p w14:paraId="2E3E072F" w14:textId="77777777" w:rsidR="0039518E" w:rsidRPr="0039518E" w:rsidRDefault="0039518E" w:rsidP="0039518E">
      <w:r w:rsidRPr="0039518E">
        <w:t>Revisjon av regelverket for registrering av offentlig</w:t>
      </w:r>
      <w:r w:rsidRPr="0039518E">
        <w:t xml:space="preserve"> støtte i Støtteregisteret må også ses i sammenheng med utviklingen i EU. Terskelen for registreringsplikt for tildelinger av notifisert og gruppeunntatt støtte ble redusert fra 500 000 euro til 100 000 euro i 2023. Videre har det fra 1. januar 2026 vært et krav om at alle tildelinger av bagatellmessig støtte registreres i et sentralt register. Reglene er tatt inn i norsk rett, jf. støtteprosessloven § 2 første ledd bokstav b.</w:t>
      </w:r>
    </w:p>
    <w:p w14:paraId="1CA6541E" w14:textId="77777777" w:rsidR="0039518E" w:rsidRPr="0039518E" w:rsidRDefault="0039518E" w:rsidP="0039518E">
      <w:r w:rsidRPr="0039518E">
        <w:t>I tillegg har Europakommisjonen nylig foreslått å revidere kommisjonsbeslutning 2</w:t>
      </w:r>
      <w:r w:rsidRPr="0039518E">
        <w:t>012/21/EU om offentlig støtte til foretak som utfører tjenester av allmenn økonomisk betydning (det såkalte gruppeunntaket for tjenester av allmenn økonomisk betydning). I utkast til revidert beslutning, som ble sendt på høring 3. oktober 2025, foreslår Europakommisjonen å utvide registreringsplikter til å omfatte tjenester av allmenn økonomisk betydning for tildelinger over 1 million euro fra 2028, jf. utkastet til revidert beslutning artikkel 8. Den gjeldende kommisjonsbeslutningen er tatt inn i EØS-avtal</w:t>
      </w:r>
      <w:r w:rsidRPr="0039518E">
        <w:t>en og gjennomført i norsk rett i forskrift 2. januar 2023 nr. 2 om unntak fra notifikasjonsplikt for offentlig støtte § 3.</w:t>
      </w:r>
    </w:p>
    <w:p w14:paraId="33F5C5A9" w14:textId="77777777" w:rsidR="0039518E" w:rsidRPr="0039518E" w:rsidRDefault="0039518E" w:rsidP="0039518E">
      <w:r w:rsidRPr="0039518E">
        <w:t>På bakgrunn av dette er det behov for endringer i reglene om Støtteregisteret.</w:t>
      </w:r>
    </w:p>
    <w:p w14:paraId="76ACB829" w14:textId="77777777" w:rsidR="0039518E" w:rsidRPr="0039518E" w:rsidRDefault="0039518E" w:rsidP="0039518E">
      <w:pPr>
        <w:pStyle w:val="Overskrift2"/>
      </w:pPr>
      <w:r w:rsidRPr="0039518E">
        <w:t>Høringen</w:t>
      </w:r>
    </w:p>
    <w:p w14:paraId="5B21FFF1" w14:textId="77777777" w:rsidR="0039518E" w:rsidRPr="0039518E" w:rsidRDefault="0039518E" w:rsidP="0039518E">
      <w:r w:rsidRPr="0039518E">
        <w:t>Departementet sendte hør</w:t>
      </w:r>
      <w:r w:rsidRPr="0039518E">
        <w:t>ingsnotat om forslag til endringer i registerplikten for offentlig støtte på høring 13. juni 2025, med høringsfrist 15. september 2025. Høringen ble sendt til følgende instanser:</w:t>
      </w:r>
    </w:p>
    <w:p w14:paraId="4264B4EA" w14:textId="77777777" w:rsidR="0039518E" w:rsidRPr="0039518E" w:rsidRDefault="0039518E" w:rsidP="0039518E"/>
    <w:p w14:paraId="2C7D5238" w14:textId="77777777" w:rsidR="0039518E" w:rsidRPr="0039518E" w:rsidRDefault="0039518E" w:rsidP="0039518E">
      <w:pPr>
        <w:pStyle w:val="opplisting"/>
      </w:pPr>
      <w:r w:rsidRPr="0039518E">
        <w:t>Departementene</w:t>
      </w:r>
    </w:p>
    <w:p w14:paraId="5EC806AF" w14:textId="77777777" w:rsidR="0039518E" w:rsidRPr="0039518E" w:rsidRDefault="0039518E" w:rsidP="0039518E">
      <w:pPr>
        <w:pStyle w:val="opplisting"/>
      </w:pPr>
      <w:r w:rsidRPr="0039518E">
        <w:t>Statsministerens kontor</w:t>
      </w:r>
    </w:p>
    <w:p w14:paraId="3AB54755" w14:textId="77777777" w:rsidR="0039518E" w:rsidRPr="0039518E" w:rsidRDefault="0039518E" w:rsidP="0039518E"/>
    <w:p w14:paraId="577E66F6" w14:textId="77777777" w:rsidR="0039518E" w:rsidRPr="0039518E" w:rsidRDefault="0039518E" w:rsidP="0039518E">
      <w:pPr>
        <w:pStyle w:val="opplisting"/>
      </w:pPr>
      <w:r w:rsidRPr="0039518E">
        <w:t>Arbeids- og velferdsetaten</w:t>
      </w:r>
    </w:p>
    <w:p w14:paraId="2740D877" w14:textId="77777777" w:rsidR="0039518E" w:rsidRPr="0039518E" w:rsidRDefault="0039518E" w:rsidP="0039518E">
      <w:pPr>
        <w:pStyle w:val="opplisting"/>
      </w:pPr>
      <w:r w:rsidRPr="0039518E">
        <w:t>Arkivverket</w:t>
      </w:r>
    </w:p>
    <w:p w14:paraId="7DBD12B0" w14:textId="77777777" w:rsidR="0039518E" w:rsidRPr="0039518E" w:rsidRDefault="0039518E" w:rsidP="0039518E">
      <w:pPr>
        <w:pStyle w:val="opplisting"/>
      </w:pPr>
      <w:r w:rsidRPr="0039518E">
        <w:t>Brønnøysundregistrene</w:t>
      </w:r>
    </w:p>
    <w:p w14:paraId="5982D263" w14:textId="77777777" w:rsidR="0039518E" w:rsidRPr="0039518E" w:rsidRDefault="0039518E" w:rsidP="0039518E">
      <w:pPr>
        <w:pStyle w:val="opplisting"/>
      </w:pPr>
      <w:r w:rsidRPr="0039518E">
        <w:t>Datatilsynet</w:t>
      </w:r>
    </w:p>
    <w:p w14:paraId="0ACE01E6" w14:textId="77777777" w:rsidR="0039518E" w:rsidRPr="0039518E" w:rsidRDefault="0039518E" w:rsidP="0039518E">
      <w:pPr>
        <w:pStyle w:val="opplisting"/>
      </w:pPr>
      <w:r w:rsidRPr="0039518E">
        <w:lastRenderedPageBreak/>
        <w:t>Digitaliseringsdirektoratet</w:t>
      </w:r>
    </w:p>
    <w:p w14:paraId="1C2B978B" w14:textId="77777777" w:rsidR="0039518E" w:rsidRPr="0039518E" w:rsidRDefault="0039518E" w:rsidP="0039518E">
      <w:pPr>
        <w:pStyle w:val="opplisting"/>
      </w:pPr>
      <w:r w:rsidRPr="0039518E">
        <w:t>Direktoratet for forvaltning og økonomistyring</w:t>
      </w:r>
    </w:p>
    <w:p w14:paraId="4F6171CF" w14:textId="77777777" w:rsidR="0039518E" w:rsidRPr="0039518E" w:rsidRDefault="0039518E" w:rsidP="0039518E">
      <w:pPr>
        <w:pStyle w:val="opplisting"/>
      </w:pPr>
      <w:r w:rsidRPr="0039518E">
        <w:t>Domstolene i Norge</w:t>
      </w:r>
    </w:p>
    <w:p w14:paraId="6857E285" w14:textId="77777777" w:rsidR="0039518E" w:rsidRPr="0039518E" w:rsidRDefault="0039518E" w:rsidP="0039518E">
      <w:pPr>
        <w:pStyle w:val="opplisting"/>
      </w:pPr>
      <w:r w:rsidRPr="0039518E">
        <w:t>Finanstilsynet</w:t>
      </w:r>
    </w:p>
    <w:p w14:paraId="0E99FDBB" w14:textId="77777777" w:rsidR="0039518E" w:rsidRPr="0039518E" w:rsidRDefault="0039518E" w:rsidP="0039518E">
      <w:pPr>
        <w:pStyle w:val="opplisting"/>
      </w:pPr>
      <w:r w:rsidRPr="0039518E">
        <w:t>Folketrygdfondet</w:t>
      </w:r>
    </w:p>
    <w:p w14:paraId="44A7BA9C" w14:textId="77777777" w:rsidR="0039518E" w:rsidRPr="0039518E" w:rsidRDefault="0039518E" w:rsidP="0039518E">
      <w:pPr>
        <w:pStyle w:val="opplisting"/>
      </w:pPr>
      <w:r w:rsidRPr="0039518E">
        <w:t>Husbanken</w:t>
      </w:r>
    </w:p>
    <w:p w14:paraId="71AEDE0B" w14:textId="77777777" w:rsidR="0039518E" w:rsidRPr="0039518E" w:rsidRDefault="0039518E" w:rsidP="0039518E">
      <w:pPr>
        <w:pStyle w:val="opplisting"/>
      </w:pPr>
      <w:r w:rsidRPr="0039518E">
        <w:t>Kommunalbanken</w:t>
      </w:r>
    </w:p>
    <w:p w14:paraId="5C8930FF" w14:textId="77777777" w:rsidR="0039518E" w:rsidRPr="0039518E" w:rsidRDefault="0039518E" w:rsidP="0039518E">
      <w:pPr>
        <w:pStyle w:val="opplisting"/>
      </w:pPr>
      <w:r w:rsidRPr="0039518E">
        <w:t>Konkurransetilsynet</w:t>
      </w:r>
    </w:p>
    <w:p w14:paraId="1629A126" w14:textId="77777777" w:rsidR="0039518E" w:rsidRPr="0039518E" w:rsidRDefault="0039518E" w:rsidP="0039518E">
      <w:pPr>
        <w:pStyle w:val="opplisting"/>
      </w:pPr>
      <w:r w:rsidRPr="0039518E">
        <w:t>KORO</w:t>
      </w:r>
    </w:p>
    <w:p w14:paraId="5617E19B" w14:textId="77777777" w:rsidR="0039518E" w:rsidRPr="0039518E" w:rsidRDefault="0039518E" w:rsidP="0039518E">
      <w:pPr>
        <w:pStyle w:val="opplisting"/>
      </w:pPr>
      <w:r w:rsidRPr="0039518E">
        <w:t>Kulturdirektoratet</w:t>
      </w:r>
    </w:p>
    <w:p w14:paraId="6D36D6FD" w14:textId="77777777" w:rsidR="0039518E" w:rsidRPr="0039518E" w:rsidRDefault="0039518E" w:rsidP="0039518E">
      <w:pPr>
        <w:pStyle w:val="opplisting"/>
      </w:pPr>
      <w:r w:rsidRPr="0039518E">
        <w:t>Kulturtanken</w:t>
      </w:r>
    </w:p>
    <w:p w14:paraId="6BE2A663" w14:textId="77777777" w:rsidR="0039518E" w:rsidRPr="0039518E" w:rsidRDefault="0039518E" w:rsidP="0039518E">
      <w:pPr>
        <w:pStyle w:val="opplisting"/>
      </w:pPr>
      <w:r w:rsidRPr="0039518E">
        <w:t>Lotteri- og stiftelsestilsynet</w:t>
      </w:r>
    </w:p>
    <w:p w14:paraId="7116152E" w14:textId="77777777" w:rsidR="0039518E" w:rsidRPr="0039518E" w:rsidRDefault="0039518E" w:rsidP="0039518E">
      <w:pPr>
        <w:pStyle w:val="opplisting"/>
      </w:pPr>
      <w:r w:rsidRPr="0039518E">
        <w:t>Medietilsynet</w:t>
      </w:r>
    </w:p>
    <w:p w14:paraId="7737713B" w14:textId="77777777" w:rsidR="0039518E" w:rsidRPr="0039518E" w:rsidRDefault="0039518E" w:rsidP="0039518E">
      <w:pPr>
        <w:pStyle w:val="opplisting"/>
      </w:pPr>
      <w:r w:rsidRPr="0039518E">
        <w:t>Nasjonalbiblioteket</w:t>
      </w:r>
    </w:p>
    <w:p w14:paraId="24FFD773" w14:textId="77777777" w:rsidR="0039518E" w:rsidRPr="0039518E" w:rsidRDefault="0039518E" w:rsidP="0039518E">
      <w:pPr>
        <w:pStyle w:val="opplisting"/>
      </w:pPr>
      <w:r w:rsidRPr="0039518E">
        <w:t>Nidaros domkirkes restaureringsarbeider</w:t>
      </w:r>
    </w:p>
    <w:p w14:paraId="05F929BA" w14:textId="77777777" w:rsidR="0039518E" w:rsidRPr="0039518E" w:rsidRDefault="0039518E" w:rsidP="0039518E">
      <w:pPr>
        <w:pStyle w:val="opplisting"/>
      </w:pPr>
      <w:r w:rsidRPr="0039518E">
        <w:t>Norges Bank</w:t>
      </w:r>
    </w:p>
    <w:p w14:paraId="42C27AF8" w14:textId="1DBB5FCA" w:rsidR="0039518E" w:rsidRPr="0039518E" w:rsidRDefault="0039518E" w:rsidP="0039518E">
      <w:pPr>
        <w:pStyle w:val="opplisting"/>
      </w:pPr>
      <w:r w:rsidRPr="0039518E">
        <w:t xml:space="preserve">Norges Idrettsforbund og Olympiske og </w:t>
      </w:r>
      <w:r w:rsidRPr="0039518E">
        <w:t>Paralympiske Komité</w:t>
      </w:r>
    </w:p>
    <w:p w14:paraId="39F450FD" w14:textId="77777777" w:rsidR="0039518E" w:rsidRPr="0039518E" w:rsidRDefault="0039518E" w:rsidP="0039518E">
      <w:pPr>
        <w:pStyle w:val="opplisting"/>
      </w:pPr>
      <w:r w:rsidRPr="0039518E">
        <w:t>Norsk filminstitutt</w:t>
      </w:r>
    </w:p>
    <w:p w14:paraId="6CD3CC07" w14:textId="77777777" w:rsidR="0039518E" w:rsidRPr="0039518E" w:rsidRDefault="0039518E" w:rsidP="0039518E">
      <w:pPr>
        <w:pStyle w:val="opplisting"/>
      </w:pPr>
      <w:r w:rsidRPr="0039518E">
        <w:t>Regelrådet</w:t>
      </w:r>
    </w:p>
    <w:p w14:paraId="14472BBF" w14:textId="77777777" w:rsidR="0039518E" w:rsidRPr="0039518E" w:rsidRDefault="0039518E" w:rsidP="0039518E">
      <w:pPr>
        <w:pStyle w:val="opplisting"/>
      </w:pPr>
      <w:r w:rsidRPr="0039518E">
        <w:t>Regjeringsadvokaten</w:t>
      </w:r>
    </w:p>
    <w:p w14:paraId="0965F3F7" w14:textId="77777777" w:rsidR="0039518E" w:rsidRPr="0039518E" w:rsidRDefault="0039518E" w:rsidP="0039518E">
      <w:pPr>
        <w:pStyle w:val="opplisting"/>
      </w:pPr>
      <w:r w:rsidRPr="0039518E">
        <w:t>Skatteetaten</w:t>
      </w:r>
    </w:p>
    <w:p w14:paraId="274CF956" w14:textId="77777777" w:rsidR="0039518E" w:rsidRPr="0039518E" w:rsidRDefault="0039518E" w:rsidP="0039518E">
      <w:pPr>
        <w:pStyle w:val="opplisting"/>
      </w:pPr>
      <w:r w:rsidRPr="0039518E">
        <w:t>Skattedirektoratet</w:t>
      </w:r>
    </w:p>
    <w:p w14:paraId="4F063155" w14:textId="77777777" w:rsidR="0039518E" w:rsidRPr="0039518E" w:rsidRDefault="0039518E" w:rsidP="0039518E">
      <w:pPr>
        <w:pStyle w:val="opplisting"/>
      </w:pPr>
      <w:r w:rsidRPr="0039518E">
        <w:t>Språkrådet</w:t>
      </w:r>
    </w:p>
    <w:p w14:paraId="3B9F6298" w14:textId="77777777" w:rsidR="0039518E" w:rsidRPr="0039518E" w:rsidRDefault="0039518E" w:rsidP="0039518E">
      <w:pPr>
        <w:pStyle w:val="opplisting"/>
      </w:pPr>
      <w:r w:rsidRPr="0039518E">
        <w:t>Statistisk Sentralbyrå</w:t>
      </w:r>
    </w:p>
    <w:p w14:paraId="6C963D74" w14:textId="77777777" w:rsidR="0039518E" w:rsidRPr="0039518E" w:rsidRDefault="0039518E" w:rsidP="0039518E">
      <w:pPr>
        <w:pStyle w:val="opplisting"/>
      </w:pPr>
      <w:r w:rsidRPr="0039518E">
        <w:t>Statnett</w:t>
      </w:r>
    </w:p>
    <w:p w14:paraId="5AC07BFB" w14:textId="77777777" w:rsidR="0039518E" w:rsidRPr="0039518E" w:rsidRDefault="0039518E" w:rsidP="0039518E">
      <w:pPr>
        <w:pStyle w:val="opplisting"/>
      </w:pPr>
      <w:r w:rsidRPr="0039518E">
        <w:t>Statsforvalterne</w:t>
      </w:r>
    </w:p>
    <w:p w14:paraId="25613B4E" w14:textId="77777777" w:rsidR="0039518E" w:rsidRPr="0039518E" w:rsidRDefault="0039518E" w:rsidP="0039518E">
      <w:pPr>
        <w:pStyle w:val="opplisting"/>
      </w:pPr>
      <w:r w:rsidRPr="0039518E">
        <w:t>Tolletaten</w:t>
      </w:r>
    </w:p>
    <w:p w14:paraId="1E2CE120" w14:textId="77777777" w:rsidR="0039518E" w:rsidRPr="0039518E" w:rsidRDefault="0039518E" w:rsidP="0039518E">
      <w:pPr>
        <w:pStyle w:val="opplisting"/>
      </w:pPr>
      <w:r w:rsidRPr="0039518E">
        <w:t>Økokrim</w:t>
      </w:r>
    </w:p>
    <w:p w14:paraId="3AC54E89" w14:textId="5F401A57" w:rsidR="0039518E" w:rsidRPr="0039518E" w:rsidRDefault="0039518E" w:rsidP="0039518E"/>
    <w:p w14:paraId="3E62A34E" w14:textId="77777777" w:rsidR="0039518E" w:rsidRPr="0039518E" w:rsidRDefault="0039518E" w:rsidP="0039518E">
      <w:pPr>
        <w:pStyle w:val="opplisting"/>
      </w:pPr>
      <w:r w:rsidRPr="0039518E">
        <w:t>Riksrevisjonen</w:t>
      </w:r>
    </w:p>
    <w:p w14:paraId="691FB064" w14:textId="77777777" w:rsidR="0039518E" w:rsidRPr="0039518E" w:rsidRDefault="0039518E" w:rsidP="0039518E">
      <w:pPr>
        <w:pStyle w:val="opplisting"/>
      </w:pPr>
      <w:r w:rsidRPr="0039518E">
        <w:t>Sametinget</w:t>
      </w:r>
    </w:p>
    <w:p w14:paraId="7FBEC9FC" w14:textId="77777777" w:rsidR="0039518E" w:rsidRPr="0039518E" w:rsidRDefault="0039518E" w:rsidP="0039518E">
      <w:pPr>
        <w:pStyle w:val="opplisting"/>
      </w:pPr>
      <w:r w:rsidRPr="0039518E">
        <w:t>Sivilombudet</w:t>
      </w:r>
    </w:p>
    <w:p w14:paraId="5557CAB2" w14:textId="393F627C" w:rsidR="0039518E" w:rsidRPr="0039518E" w:rsidRDefault="0039518E" w:rsidP="0039518E"/>
    <w:p w14:paraId="2407FC23" w14:textId="77777777" w:rsidR="0039518E" w:rsidRPr="0039518E" w:rsidRDefault="0039518E" w:rsidP="0039518E">
      <w:pPr>
        <w:pStyle w:val="opplisting"/>
      </w:pPr>
      <w:r w:rsidRPr="0039518E">
        <w:t>Fylkeskommunene</w:t>
      </w:r>
    </w:p>
    <w:p w14:paraId="61608CA6" w14:textId="77777777" w:rsidR="0039518E" w:rsidRPr="0039518E" w:rsidRDefault="0039518E" w:rsidP="0039518E">
      <w:pPr>
        <w:pStyle w:val="opplisting"/>
      </w:pPr>
      <w:r w:rsidRPr="0039518E">
        <w:t>Kommunene</w:t>
      </w:r>
    </w:p>
    <w:p w14:paraId="5000B683" w14:textId="4FB1F195" w:rsidR="0039518E" w:rsidRPr="0039518E" w:rsidRDefault="0039518E" w:rsidP="0039518E"/>
    <w:p w14:paraId="4666A33F" w14:textId="77777777" w:rsidR="0039518E" w:rsidRPr="0039518E" w:rsidRDefault="0039518E" w:rsidP="0039518E">
      <w:pPr>
        <w:pStyle w:val="opplisting"/>
      </w:pPr>
      <w:proofErr w:type="spellStart"/>
      <w:r w:rsidRPr="0039518E">
        <w:t>Enova</w:t>
      </w:r>
      <w:proofErr w:type="spellEnd"/>
      <w:r w:rsidRPr="0039518E">
        <w:t xml:space="preserve"> SF</w:t>
      </w:r>
    </w:p>
    <w:p w14:paraId="6A9171B0" w14:textId="77777777" w:rsidR="0039518E" w:rsidRPr="0039518E" w:rsidRDefault="0039518E" w:rsidP="0039518E">
      <w:pPr>
        <w:pStyle w:val="opplisting"/>
      </w:pPr>
      <w:r w:rsidRPr="0039518E">
        <w:t>Innovasjon Norge</w:t>
      </w:r>
    </w:p>
    <w:p w14:paraId="68C369EA" w14:textId="77777777" w:rsidR="0039518E" w:rsidRPr="0039518E" w:rsidRDefault="0039518E" w:rsidP="0039518E">
      <w:pPr>
        <w:pStyle w:val="opplisting"/>
      </w:pPr>
      <w:r w:rsidRPr="0039518E">
        <w:t>Norges forskningsråd</w:t>
      </w:r>
    </w:p>
    <w:p w14:paraId="2BC33550" w14:textId="77777777" w:rsidR="0039518E" w:rsidRPr="0039518E" w:rsidRDefault="0039518E" w:rsidP="0039518E">
      <w:pPr>
        <w:pStyle w:val="opplisting"/>
      </w:pPr>
      <w:r w:rsidRPr="0039518E">
        <w:t>Siva – selskapet for industrivekst SF</w:t>
      </w:r>
    </w:p>
    <w:p w14:paraId="7AE108D6" w14:textId="788DC65B" w:rsidR="0039518E" w:rsidRPr="0039518E" w:rsidRDefault="0039518E" w:rsidP="0039518E"/>
    <w:p w14:paraId="261D0496" w14:textId="77777777" w:rsidR="0039518E" w:rsidRPr="0039518E" w:rsidRDefault="0039518E" w:rsidP="0039518E">
      <w:pPr>
        <w:pStyle w:val="opplisting"/>
      </w:pPr>
      <w:r w:rsidRPr="0039518E">
        <w:t>Handelshøyskolen BI</w:t>
      </w:r>
    </w:p>
    <w:p w14:paraId="4245B84C" w14:textId="77777777" w:rsidR="0039518E" w:rsidRPr="0039518E" w:rsidRDefault="0039518E" w:rsidP="0039518E">
      <w:pPr>
        <w:pStyle w:val="opplisting"/>
      </w:pPr>
      <w:r w:rsidRPr="0039518E">
        <w:t>Nord Universitet</w:t>
      </w:r>
    </w:p>
    <w:p w14:paraId="07BC123B" w14:textId="77777777" w:rsidR="0039518E" w:rsidRPr="0039518E" w:rsidRDefault="0039518E" w:rsidP="0039518E">
      <w:pPr>
        <w:pStyle w:val="opplisting"/>
      </w:pPr>
      <w:r w:rsidRPr="0039518E">
        <w:t>Norges Handelshøyskole</w:t>
      </w:r>
    </w:p>
    <w:p w14:paraId="55141402" w14:textId="77777777" w:rsidR="0039518E" w:rsidRPr="0039518E" w:rsidRDefault="0039518E" w:rsidP="0039518E">
      <w:pPr>
        <w:pStyle w:val="opplisting"/>
      </w:pPr>
      <w:r w:rsidRPr="0039518E">
        <w:t>Norges miljø- og biovitenskapelige universitet</w:t>
      </w:r>
    </w:p>
    <w:p w14:paraId="7E5081DD" w14:textId="77777777" w:rsidR="0039518E" w:rsidRPr="0039518E" w:rsidRDefault="0039518E" w:rsidP="0039518E">
      <w:pPr>
        <w:pStyle w:val="opplisting"/>
      </w:pPr>
      <w:r w:rsidRPr="0039518E">
        <w:t>Norges teknisk-naturvitenskapelige universitet</w:t>
      </w:r>
    </w:p>
    <w:p w14:paraId="71930620" w14:textId="77777777" w:rsidR="0039518E" w:rsidRPr="0039518E" w:rsidRDefault="0039518E" w:rsidP="0039518E">
      <w:pPr>
        <w:pStyle w:val="opplisting"/>
      </w:pPr>
      <w:proofErr w:type="spellStart"/>
      <w:r w:rsidRPr="0039518E">
        <w:t>OsloMet</w:t>
      </w:r>
      <w:proofErr w:type="spellEnd"/>
      <w:r w:rsidRPr="0039518E">
        <w:t xml:space="preserve"> – Storbyuniversitetet</w:t>
      </w:r>
    </w:p>
    <w:p w14:paraId="305EE9CB" w14:textId="77777777" w:rsidR="0039518E" w:rsidRPr="0039518E" w:rsidRDefault="0039518E" w:rsidP="0039518E">
      <w:pPr>
        <w:pStyle w:val="opplisting"/>
      </w:pPr>
      <w:r w:rsidRPr="0039518E">
        <w:t>Universitetet i Agder</w:t>
      </w:r>
    </w:p>
    <w:p w14:paraId="443BE770" w14:textId="77777777" w:rsidR="0039518E" w:rsidRPr="0039518E" w:rsidRDefault="0039518E" w:rsidP="0039518E">
      <w:pPr>
        <w:pStyle w:val="opplisting"/>
      </w:pPr>
      <w:r w:rsidRPr="0039518E">
        <w:t>Universitetet i Bergen</w:t>
      </w:r>
    </w:p>
    <w:p w14:paraId="492A9398" w14:textId="77777777" w:rsidR="0039518E" w:rsidRPr="0039518E" w:rsidRDefault="0039518E" w:rsidP="0039518E">
      <w:pPr>
        <w:pStyle w:val="opplisting"/>
      </w:pPr>
      <w:r w:rsidRPr="0039518E">
        <w:t>Universitetet i Oslo</w:t>
      </w:r>
    </w:p>
    <w:p w14:paraId="016D1B3E" w14:textId="77777777" w:rsidR="0039518E" w:rsidRPr="0039518E" w:rsidRDefault="0039518E" w:rsidP="0039518E">
      <w:pPr>
        <w:pStyle w:val="opplisting"/>
      </w:pPr>
      <w:r w:rsidRPr="0039518E">
        <w:lastRenderedPageBreak/>
        <w:t>Universitetet i Stavanger</w:t>
      </w:r>
    </w:p>
    <w:p w14:paraId="51BAD803" w14:textId="77777777" w:rsidR="0039518E" w:rsidRPr="0039518E" w:rsidRDefault="0039518E" w:rsidP="0039518E">
      <w:pPr>
        <w:pStyle w:val="opplisting"/>
      </w:pPr>
      <w:r w:rsidRPr="0039518E">
        <w:t>Universitetet i Tromsø</w:t>
      </w:r>
    </w:p>
    <w:p w14:paraId="07FDD7AA" w14:textId="71FF7A1B" w:rsidR="0039518E" w:rsidRPr="0039518E" w:rsidRDefault="0039518E" w:rsidP="0039518E"/>
    <w:p w14:paraId="30475B44" w14:textId="77777777" w:rsidR="0039518E" w:rsidRPr="0039518E" w:rsidRDefault="0039518E" w:rsidP="0039518E">
      <w:pPr>
        <w:pStyle w:val="opplisting"/>
      </w:pPr>
      <w:r w:rsidRPr="0039518E">
        <w:t>Advokatforeningen</w:t>
      </w:r>
    </w:p>
    <w:p w14:paraId="3C85169F" w14:textId="77777777" w:rsidR="0039518E" w:rsidRPr="0039518E" w:rsidRDefault="0039518E" w:rsidP="0039518E">
      <w:pPr>
        <w:pStyle w:val="opplisting"/>
      </w:pPr>
      <w:r w:rsidRPr="0039518E">
        <w:t>Akademikerne</w:t>
      </w:r>
    </w:p>
    <w:p w14:paraId="58C1A036" w14:textId="77777777" w:rsidR="0039518E" w:rsidRPr="0039518E" w:rsidRDefault="0039518E" w:rsidP="0039518E">
      <w:pPr>
        <w:pStyle w:val="opplisting"/>
      </w:pPr>
      <w:r w:rsidRPr="0039518E">
        <w:t>Delta</w:t>
      </w:r>
    </w:p>
    <w:p w14:paraId="172C1847" w14:textId="77777777" w:rsidR="0039518E" w:rsidRPr="0039518E" w:rsidRDefault="0039518E" w:rsidP="0039518E">
      <w:pPr>
        <w:pStyle w:val="opplisting"/>
      </w:pPr>
      <w:r w:rsidRPr="0039518E">
        <w:t>Dommerforeningen</w:t>
      </w:r>
    </w:p>
    <w:p w14:paraId="11AC1B69" w14:textId="77777777" w:rsidR="0039518E" w:rsidRPr="0039518E" w:rsidRDefault="0039518E" w:rsidP="0039518E">
      <w:pPr>
        <w:pStyle w:val="opplisting"/>
      </w:pPr>
      <w:r w:rsidRPr="0039518E">
        <w:t>Drivkraft Norge</w:t>
      </w:r>
    </w:p>
    <w:p w14:paraId="12A446CA" w14:textId="77777777" w:rsidR="0039518E" w:rsidRPr="0039518E" w:rsidRDefault="0039518E" w:rsidP="0039518E">
      <w:pPr>
        <w:pStyle w:val="opplisting"/>
      </w:pPr>
      <w:r w:rsidRPr="0039518E">
        <w:t>Finans Norge</w:t>
      </w:r>
    </w:p>
    <w:p w14:paraId="433C7D56" w14:textId="77777777" w:rsidR="0039518E" w:rsidRPr="0039518E" w:rsidRDefault="0039518E" w:rsidP="0039518E">
      <w:pPr>
        <w:pStyle w:val="opplisting"/>
      </w:pPr>
      <w:r w:rsidRPr="0039518E">
        <w:t>Finansieringsselskapenes Forening</w:t>
      </w:r>
    </w:p>
    <w:p w14:paraId="02A130CD" w14:textId="77777777" w:rsidR="0039518E" w:rsidRPr="0039518E" w:rsidRDefault="0039518E" w:rsidP="0039518E">
      <w:pPr>
        <w:pStyle w:val="opplisting"/>
      </w:pPr>
      <w:r w:rsidRPr="0039518E">
        <w:t>Fornybar Norge</w:t>
      </w:r>
    </w:p>
    <w:p w14:paraId="7CD9D2CE" w14:textId="38567D0F" w:rsidR="0039518E" w:rsidRPr="0039518E" w:rsidRDefault="0039518E" w:rsidP="0039518E">
      <w:pPr>
        <w:pStyle w:val="opplisting"/>
      </w:pPr>
      <w:r w:rsidRPr="0039518E">
        <w:t xml:space="preserve">Hovedorganisasjonen for universitets- og </w:t>
      </w:r>
      <w:r w:rsidRPr="0039518E">
        <w:t>høyskoleutdannede</w:t>
      </w:r>
    </w:p>
    <w:p w14:paraId="4B791ABB" w14:textId="77777777" w:rsidR="0039518E" w:rsidRPr="0039518E" w:rsidRDefault="0039518E" w:rsidP="0039518E">
      <w:pPr>
        <w:pStyle w:val="opplisting"/>
      </w:pPr>
      <w:r w:rsidRPr="0039518E">
        <w:t>Hovedorganisasjonen Virke</w:t>
      </w:r>
    </w:p>
    <w:p w14:paraId="00034617" w14:textId="77777777" w:rsidR="0039518E" w:rsidRPr="0039518E" w:rsidRDefault="0039518E" w:rsidP="0039518E">
      <w:pPr>
        <w:pStyle w:val="opplisting"/>
      </w:pPr>
      <w:r w:rsidRPr="0039518E">
        <w:t>KS – Kommunesektorens organisasjon</w:t>
      </w:r>
    </w:p>
    <w:p w14:paraId="18A47EC7" w14:textId="77777777" w:rsidR="0039518E" w:rsidRPr="0039518E" w:rsidRDefault="0039518E" w:rsidP="0039518E">
      <w:pPr>
        <w:pStyle w:val="opplisting"/>
      </w:pPr>
      <w:r w:rsidRPr="0039518E">
        <w:t>Kystrederiene</w:t>
      </w:r>
    </w:p>
    <w:p w14:paraId="79A06864" w14:textId="77777777" w:rsidR="0039518E" w:rsidRPr="0039518E" w:rsidRDefault="0039518E" w:rsidP="0039518E">
      <w:pPr>
        <w:pStyle w:val="opplisting"/>
      </w:pPr>
      <w:r w:rsidRPr="0039518E">
        <w:t>Landsrådet for barne- og ungdomsorganisasjoner</w:t>
      </w:r>
    </w:p>
    <w:p w14:paraId="19D1B2AA" w14:textId="77777777" w:rsidR="0039518E" w:rsidRPr="0039518E" w:rsidRDefault="0039518E" w:rsidP="0039518E">
      <w:pPr>
        <w:pStyle w:val="opplisting"/>
      </w:pPr>
      <w:r w:rsidRPr="0039518E">
        <w:t>Landsorganisasjonen i Norge</w:t>
      </w:r>
    </w:p>
    <w:p w14:paraId="1CBFD60A" w14:textId="77777777" w:rsidR="0039518E" w:rsidRPr="0039518E" w:rsidRDefault="0039518E" w:rsidP="0039518E">
      <w:pPr>
        <w:pStyle w:val="opplisting"/>
      </w:pPr>
      <w:r w:rsidRPr="0039518E">
        <w:t>Miljøstiftelsen Bellona</w:t>
      </w:r>
    </w:p>
    <w:p w14:paraId="0682EC8B" w14:textId="77777777" w:rsidR="0039518E" w:rsidRPr="0039518E" w:rsidRDefault="0039518E" w:rsidP="0039518E">
      <w:pPr>
        <w:pStyle w:val="opplisting"/>
      </w:pPr>
      <w:r w:rsidRPr="0039518E">
        <w:t>Miljøstiftelsen Zero</w:t>
      </w:r>
    </w:p>
    <w:p w14:paraId="67B938BB" w14:textId="77777777" w:rsidR="0039518E" w:rsidRPr="0039518E" w:rsidRDefault="0039518E" w:rsidP="0039518E">
      <w:pPr>
        <w:pStyle w:val="opplisting"/>
      </w:pPr>
      <w:r w:rsidRPr="0039518E">
        <w:t>Norges ingeniør- og teknologiorganisasjon</w:t>
      </w:r>
    </w:p>
    <w:p w14:paraId="47C24C87" w14:textId="77777777" w:rsidR="0039518E" w:rsidRPr="0039518E" w:rsidRDefault="0039518E" w:rsidP="0039518E">
      <w:pPr>
        <w:pStyle w:val="opplisting"/>
      </w:pPr>
      <w:r w:rsidRPr="0039518E">
        <w:t>Norges kommunerevisorforbund</w:t>
      </w:r>
    </w:p>
    <w:p w14:paraId="03FEB4C8" w14:textId="77777777" w:rsidR="0039518E" w:rsidRPr="0039518E" w:rsidRDefault="0039518E" w:rsidP="0039518E">
      <w:pPr>
        <w:pStyle w:val="opplisting"/>
      </w:pPr>
      <w:r w:rsidRPr="0039518E">
        <w:t>Norges Rederiforbund</w:t>
      </w:r>
    </w:p>
    <w:p w14:paraId="5D6A190C" w14:textId="77777777" w:rsidR="0039518E" w:rsidRPr="0039518E" w:rsidRDefault="0039518E" w:rsidP="0039518E">
      <w:pPr>
        <w:pStyle w:val="opplisting"/>
      </w:pPr>
      <w:r w:rsidRPr="0039518E">
        <w:t>Norsk elbilforening</w:t>
      </w:r>
    </w:p>
    <w:p w14:paraId="4A4FCAA2" w14:textId="77777777" w:rsidR="0039518E" w:rsidRPr="0039518E" w:rsidRDefault="0039518E" w:rsidP="0039518E">
      <w:pPr>
        <w:pStyle w:val="opplisting"/>
      </w:pPr>
      <w:r w:rsidRPr="0039518E">
        <w:t>Norsk Journalistlag</w:t>
      </w:r>
    </w:p>
    <w:p w14:paraId="721D8A8E" w14:textId="77777777" w:rsidR="0039518E" w:rsidRPr="0039518E" w:rsidRDefault="0039518E" w:rsidP="0039518E">
      <w:pPr>
        <w:pStyle w:val="opplisting"/>
      </w:pPr>
      <w:r w:rsidRPr="0039518E">
        <w:t>Norske kredittopplysningsbyråers forening</w:t>
      </w:r>
    </w:p>
    <w:p w14:paraId="72596464" w14:textId="77777777" w:rsidR="0039518E" w:rsidRPr="0039518E" w:rsidRDefault="0039518E" w:rsidP="0039518E">
      <w:pPr>
        <w:pStyle w:val="opplisting"/>
      </w:pPr>
      <w:r w:rsidRPr="0039518E">
        <w:t>Næringslivets Hovedorganisasjon</w:t>
      </w:r>
    </w:p>
    <w:p w14:paraId="6A6D4570" w14:textId="77777777" w:rsidR="0039518E" w:rsidRPr="0039518E" w:rsidRDefault="0039518E" w:rsidP="0039518E">
      <w:pPr>
        <w:pStyle w:val="opplisting"/>
      </w:pPr>
      <w:r w:rsidRPr="0039518E">
        <w:t>Næringslivets NOx-fond</w:t>
      </w:r>
    </w:p>
    <w:p w14:paraId="7D0DD64A" w14:textId="77777777" w:rsidR="0039518E" w:rsidRPr="0039518E" w:rsidRDefault="0039518E" w:rsidP="0039518E">
      <w:pPr>
        <w:pStyle w:val="opplisting"/>
      </w:pPr>
      <w:r w:rsidRPr="0039518E">
        <w:t>Offshore Norge</w:t>
      </w:r>
    </w:p>
    <w:p w14:paraId="16E2D7B6" w14:textId="77777777" w:rsidR="0039518E" w:rsidRPr="0039518E" w:rsidRDefault="0039518E" w:rsidP="0039518E">
      <w:pPr>
        <w:pStyle w:val="opplisting"/>
      </w:pPr>
      <w:r w:rsidRPr="0039518E">
        <w:t>Regnskap Norge</w:t>
      </w:r>
    </w:p>
    <w:p w14:paraId="177A1A4A" w14:textId="77777777" w:rsidR="0039518E" w:rsidRPr="0039518E" w:rsidRDefault="0039518E" w:rsidP="0039518E">
      <w:pPr>
        <w:pStyle w:val="opplisting"/>
      </w:pPr>
      <w:r w:rsidRPr="0039518E">
        <w:t>Revisorforeningen</w:t>
      </w:r>
    </w:p>
    <w:p w14:paraId="424F5310" w14:textId="77777777" w:rsidR="0039518E" w:rsidRPr="0039518E" w:rsidRDefault="0039518E" w:rsidP="0039518E">
      <w:pPr>
        <w:pStyle w:val="opplisting"/>
      </w:pPr>
      <w:r w:rsidRPr="0039518E">
        <w:t>Samfunnsbedriftene</w:t>
      </w:r>
    </w:p>
    <w:p w14:paraId="78325FE8" w14:textId="77777777" w:rsidR="0039518E" w:rsidRPr="0039518E" w:rsidRDefault="0039518E" w:rsidP="0039518E">
      <w:pPr>
        <w:pStyle w:val="opplisting"/>
      </w:pPr>
      <w:r w:rsidRPr="0039518E">
        <w:t>Skattebetalerforeningen</w:t>
      </w:r>
    </w:p>
    <w:p w14:paraId="3F9631FB" w14:textId="77777777" w:rsidR="0039518E" w:rsidRPr="0039518E" w:rsidRDefault="0039518E" w:rsidP="0039518E">
      <w:pPr>
        <w:pStyle w:val="opplisting"/>
      </w:pPr>
      <w:r w:rsidRPr="0039518E">
        <w:t>SMB Norge</w:t>
      </w:r>
    </w:p>
    <w:p w14:paraId="000836D7" w14:textId="77777777" w:rsidR="0039518E" w:rsidRPr="0039518E" w:rsidRDefault="0039518E" w:rsidP="0039518E">
      <w:pPr>
        <w:pStyle w:val="opplisting"/>
      </w:pPr>
      <w:r w:rsidRPr="0039518E">
        <w:t>Sparebankforeningen</w:t>
      </w:r>
    </w:p>
    <w:p w14:paraId="562C829D" w14:textId="77777777" w:rsidR="0039518E" w:rsidRPr="0039518E" w:rsidRDefault="0039518E" w:rsidP="0039518E">
      <w:pPr>
        <w:pStyle w:val="opplisting"/>
      </w:pPr>
      <w:r w:rsidRPr="0039518E">
        <w:t>Spekter</w:t>
      </w:r>
    </w:p>
    <w:p w14:paraId="049B96D5" w14:textId="77777777" w:rsidR="0039518E" w:rsidRPr="0039518E" w:rsidRDefault="0039518E" w:rsidP="0039518E">
      <w:pPr>
        <w:pStyle w:val="opplisting"/>
      </w:pPr>
      <w:r w:rsidRPr="0039518E">
        <w:t>Yrkesorganisasjonenes Sentralforbund</w:t>
      </w:r>
    </w:p>
    <w:p w14:paraId="5FF629AA" w14:textId="77777777" w:rsidR="0039518E" w:rsidRPr="0039518E" w:rsidRDefault="0039518E" w:rsidP="0039518E">
      <w:pPr>
        <w:pStyle w:val="opplisting"/>
      </w:pPr>
      <w:r w:rsidRPr="0039518E">
        <w:t>Økonomiforbundet</w:t>
      </w:r>
    </w:p>
    <w:p w14:paraId="01A9591F" w14:textId="70FC511F" w:rsidR="0039518E" w:rsidRPr="0039518E" w:rsidRDefault="0039518E" w:rsidP="0039518E"/>
    <w:p w14:paraId="58CC9F20" w14:textId="77777777" w:rsidR="0039518E" w:rsidRPr="0039518E" w:rsidRDefault="0039518E" w:rsidP="0039518E">
      <w:pPr>
        <w:pStyle w:val="opplisting"/>
      </w:pPr>
      <w:r w:rsidRPr="0039518E">
        <w:t>Arntzen De Besche Advokatfirma AS</w:t>
      </w:r>
    </w:p>
    <w:p w14:paraId="3D01768D" w14:textId="77777777" w:rsidR="0039518E" w:rsidRPr="0039518E" w:rsidRDefault="0039518E" w:rsidP="0039518E">
      <w:pPr>
        <w:pStyle w:val="opplisting"/>
      </w:pPr>
      <w:r w:rsidRPr="0039518E">
        <w:t>Advokatfirmaet BA-HR DA</w:t>
      </w:r>
    </w:p>
    <w:p w14:paraId="7C2DE20D" w14:textId="77777777" w:rsidR="0039518E" w:rsidRPr="0039518E" w:rsidRDefault="0039518E" w:rsidP="0039518E">
      <w:pPr>
        <w:pStyle w:val="opplisting"/>
      </w:pPr>
      <w:r w:rsidRPr="0039518E">
        <w:t>Advokatfirma DLA Piper Norway DA</w:t>
      </w:r>
    </w:p>
    <w:p w14:paraId="0745FCF8" w14:textId="77777777" w:rsidR="0039518E" w:rsidRPr="0039518E" w:rsidRDefault="0039518E" w:rsidP="0039518E">
      <w:pPr>
        <w:pStyle w:val="opplisting"/>
      </w:pPr>
      <w:r w:rsidRPr="0039518E">
        <w:t>Advokatfirmaet Grette DA</w:t>
      </w:r>
    </w:p>
    <w:p w14:paraId="23066D78" w14:textId="77777777" w:rsidR="0039518E" w:rsidRPr="0039518E" w:rsidRDefault="0039518E" w:rsidP="0039518E">
      <w:pPr>
        <w:pStyle w:val="opplisting"/>
      </w:pPr>
      <w:r w:rsidRPr="0039518E">
        <w:t>Advokatfirmaet Haavind AS</w:t>
      </w:r>
    </w:p>
    <w:p w14:paraId="48A250FC" w14:textId="77777777" w:rsidR="0039518E" w:rsidRPr="0039518E" w:rsidRDefault="0039518E" w:rsidP="0039518E">
      <w:pPr>
        <w:pStyle w:val="opplisting"/>
      </w:pPr>
      <w:r w:rsidRPr="0039518E">
        <w:t>Advokatfirmaet Hjort DA</w:t>
      </w:r>
    </w:p>
    <w:p w14:paraId="1609BCD3" w14:textId="77777777" w:rsidR="0039518E" w:rsidRPr="0039518E" w:rsidRDefault="0039518E" w:rsidP="0039518E">
      <w:pPr>
        <w:pStyle w:val="opplisting"/>
      </w:pPr>
      <w:r w:rsidRPr="0039518E">
        <w:t xml:space="preserve">Advokatfirmaet </w:t>
      </w:r>
      <w:proofErr w:type="spellStart"/>
      <w:r w:rsidRPr="0039518E">
        <w:t>Pricewaterhousecoopers</w:t>
      </w:r>
      <w:proofErr w:type="spellEnd"/>
      <w:r w:rsidRPr="0039518E">
        <w:t xml:space="preserve"> AS</w:t>
      </w:r>
    </w:p>
    <w:p w14:paraId="0E9DA600" w14:textId="77777777" w:rsidR="0039518E" w:rsidRPr="0039518E" w:rsidRDefault="0039518E" w:rsidP="0039518E">
      <w:pPr>
        <w:pStyle w:val="opplisting"/>
      </w:pPr>
      <w:r w:rsidRPr="0039518E">
        <w:t>Advokatfirmaet Selmer DA</w:t>
      </w:r>
    </w:p>
    <w:p w14:paraId="50F5FC15" w14:textId="77777777" w:rsidR="0039518E" w:rsidRPr="0039518E" w:rsidRDefault="0039518E" w:rsidP="0039518E">
      <w:pPr>
        <w:pStyle w:val="opplisting"/>
      </w:pPr>
      <w:r w:rsidRPr="0039518E">
        <w:t>Advokatfirmaet Simonsen Vogt Wiig AS</w:t>
      </w:r>
    </w:p>
    <w:p w14:paraId="07D4804F" w14:textId="77777777" w:rsidR="0039518E" w:rsidRPr="0039518E" w:rsidRDefault="0039518E" w:rsidP="0039518E">
      <w:pPr>
        <w:pStyle w:val="opplisting"/>
      </w:pPr>
      <w:r w:rsidRPr="0039518E">
        <w:t>Advokatfirmaet SANDS DA</w:t>
      </w:r>
    </w:p>
    <w:p w14:paraId="7E4AFF88" w14:textId="77777777" w:rsidR="0039518E" w:rsidRPr="0039518E" w:rsidRDefault="0039518E" w:rsidP="0039518E">
      <w:pPr>
        <w:pStyle w:val="opplisting"/>
      </w:pPr>
      <w:r w:rsidRPr="0039518E">
        <w:t>Advokatfirmaet Thommessen AS</w:t>
      </w:r>
    </w:p>
    <w:p w14:paraId="1E3A0463" w14:textId="77777777" w:rsidR="0039518E" w:rsidRPr="0039518E" w:rsidRDefault="0039518E" w:rsidP="0039518E">
      <w:pPr>
        <w:pStyle w:val="opplisting"/>
      </w:pPr>
      <w:r w:rsidRPr="0039518E">
        <w:lastRenderedPageBreak/>
        <w:t>Advokatfirmaet Wiersholm AS</w:t>
      </w:r>
    </w:p>
    <w:p w14:paraId="32C706BC" w14:textId="77777777" w:rsidR="0039518E" w:rsidRPr="0039518E" w:rsidRDefault="0039518E" w:rsidP="0039518E">
      <w:pPr>
        <w:pStyle w:val="opplisting"/>
      </w:pPr>
      <w:r w:rsidRPr="0039518E">
        <w:t>Brækhus Advokatfirma DA</w:t>
      </w:r>
    </w:p>
    <w:p w14:paraId="185A19B0" w14:textId="77777777" w:rsidR="0039518E" w:rsidRPr="0039518E" w:rsidRDefault="0039518E" w:rsidP="0039518E">
      <w:pPr>
        <w:pStyle w:val="opplisting"/>
      </w:pPr>
      <w:r w:rsidRPr="0039518E">
        <w:t xml:space="preserve">Bull &amp; Co </w:t>
      </w:r>
      <w:proofErr w:type="spellStart"/>
      <w:r w:rsidRPr="0039518E">
        <w:t>Advokatfirma</w:t>
      </w:r>
      <w:proofErr w:type="spellEnd"/>
      <w:r w:rsidRPr="0039518E">
        <w:t xml:space="preserve"> AS</w:t>
      </w:r>
    </w:p>
    <w:p w14:paraId="5398420A" w14:textId="77777777" w:rsidR="0039518E" w:rsidRPr="0039518E" w:rsidRDefault="0039518E" w:rsidP="0039518E">
      <w:pPr>
        <w:pStyle w:val="opplisting"/>
      </w:pPr>
      <w:r w:rsidRPr="0039518E">
        <w:t xml:space="preserve">CMS Kluge </w:t>
      </w:r>
      <w:proofErr w:type="spellStart"/>
      <w:r w:rsidRPr="0039518E">
        <w:t>Advokatfirma</w:t>
      </w:r>
      <w:proofErr w:type="spellEnd"/>
      <w:r w:rsidRPr="0039518E">
        <w:t xml:space="preserve"> AS</w:t>
      </w:r>
    </w:p>
    <w:p w14:paraId="132A4FF4" w14:textId="77777777" w:rsidR="0039518E" w:rsidRPr="0039518E" w:rsidRDefault="0039518E" w:rsidP="0039518E">
      <w:pPr>
        <w:pStyle w:val="opplisting"/>
      </w:pPr>
      <w:proofErr w:type="spellStart"/>
      <w:r w:rsidRPr="0039518E">
        <w:t>Deloitte</w:t>
      </w:r>
      <w:proofErr w:type="spellEnd"/>
      <w:r w:rsidRPr="0039518E">
        <w:t xml:space="preserve"> Advokatfirma AS</w:t>
      </w:r>
    </w:p>
    <w:p w14:paraId="594A00B5" w14:textId="77777777" w:rsidR="0039518E" w:rsidRPr="0039518E" w:rsidRDefault="0039518E" w:rsidP="0039518E">
      <w:pPr>
        <w:pStyle w:val="opplisting"/>
      </w:pPr>
      <w:r w:rsidRPr="0039518E">
        <w:t>Dun &amp; Bradstreet</w:t>
      </w:r>
    </w:p>
    <w:p w14:paraId="0709FB05" w14:textId="77777777" w:rsidR="0039518E" w:rsidRPr="0039518E" w:rsidRDefault="0039518E" w:rsidP="0039518E">
      <w:pPr>
        <w:pStyle w:val="opplisting"/>
      </w:pPr>
      <w:r w:rsidRPr="0039518E">
        <w:t>Føyen Advokatfirma DA</w:t>
      </w:r>
    </w:p>
    <w:p w14:paraId="24EFAB6F" w14:textId="77777777" w:rsidR="0039518E" w:rsidRPr="0039518E" w:rsidRDefault="0039518E" w:rsidP="0039518E">
      <w:pPr>
        <w:pStyle w:val="opplisting"/>
      </w:pPr>
      <w:r w:rsidRPr="0039518E">
        <w:t>KPMG Law Advokatfirma DA</w:t>
      </w:r>
    </w:p>
    <w:p w14:paraId="19909925" w14:textId="77777777" w:rsidR="0039518E" w:rsidRPr="0039518E" w:rsidRDefault="0039518E" w:rsidP="0039518E">
      <w:pPr>
        <w:pStyle w:val="opplisting"/>
      </w:pPr>
      <w:r w:rsidRPr="0039518E">
        <w:t>Kvale Advokatfirma DA</w:t>
      </w:r>
    </w:p>
    <w:p w14:paraId="5B4FCF6C" w14:textId="77777777" w:rsidR="0039518E" w:rsidRPr="0039518E" w:rsidRDefault="0039518E" w:rsidP="0039518E">
      <w:pPr>
        <w:pStyle w:val="opplisting"/>
      </w:pPr>
      <w:r w:rsidRPr="0039518E">
        <w:t>Oslo Economics</w:t>
      </w:r>
    </w:p>
    <w:p w14:paraId="1FD537CE" w14:textId="77777777" w:rsidR="0039518E" w:rsidRPr="0039518E" w:rsidRDefault="0039518E" w:rsidP="0039518E">
      <w:pPr>
        <w:pStyle w:val="opplisting"/>
      </w:pPr>
      <w:r w:rsidRPr="0039518E">
        <w:t>Schjødt AS</w:t>
      </w:r>
    </w:p>
    <w:p w14:paraId="51CA9DF2" w14:textId="77777777" w:rsidR="0039518E" w:rsidRPr="0039518E" w:rsidRDefault="0039518E" w:rsidP="0039518E">
      <w:pPr>
        <w:pStyle w:val="opplisting"/>
      </w:pPr>
      <w:r w:rsidRPr="0039518E">
        <w:t xml:space="preserve">Wikborg Rein </w:t>
      </w:r>
      <w:proofErr w:type="spellStart"/>
      <w:r w:rsidRPr="0039518E">
        <w:t>Advokatfirma</w:t>
      </w:r>
      <w:proofErr w:type="spellEnd"/>
      <w:r w:rsidRPr="0039518E">
        <w:t xml:space="preserve"> AS</w:t>
      </w:r>
    </w:p>
    <w:p w14:paraId="651A2B06" w14:textId="77777777" w:rsidR="0039518E" w:rsidRPr="0039518E" w:rsidRDefault="0039518E" w:rsidP="0039518E"/>
    <w:p w14:paraId="37F1646A" w14:textId="77777777" w:rsidR="0039518E" w:rsidRPr="0039518E" w:rsidRDefault="0039518E" w:rsidP="0039518E">
      <w:proofErr w:type="spellStart"/>
      <w:r w:rsidRPr="0039518E">
        <w:t>Følgende</w:t>
      </w:r>
      <w:proofErr w:type="spellEnd"/>
      <w:r w:rsidRPr="0039518E">
        <w:t xml:space="preserve"> </w:t>
      </w:r>
      <w:proofErr w:type="spellStart"/>
      <w:r w:rsidRPr="0039518E">
        <w:t>instanser</w:t>
      </w:r>
      <w:proofErr w:type="spellEnd"/>
      <w:r w:rsidRPr="0039518E">
        <w:t xml:space="preserve"> </w:t>
      </w:r>
      <w:proofErr w:type="spellStart"/>
      <w:r w:rsidRPr="0039518E">
        <w:t>kom</w:t>
      </w:r>
      <w:proofErr w:type="spellEnd"/>
      <w:r w:rsidRPr="0039518E">
        <w:t xml:space="preserve"> med </w:t>
      </w:r>
      <w:proofErr w:type="spellStart"/>
      <w:r w:rsidRPr="0039518E">
        <w:t>realitetsmerknader</w:t>
      </w:r>
      <w:proofErr w:type="spellEnd"/>
      <w:r w:rsidRPr="0039518E">
        <w:t xml:space="preserve"> </w:t>
      </w:r>
      <w:proofErr w:type="spellStart"/>
      <w:r w:rsidRPr="0039518E">
        <w:t>til</w:t>
      </w:r>
      <w:proofErr w:type="spellEnd"/>
      <w:r w:rsidRPr="0039518E">
        <w:t xml:space="preserve"> </w:t>
      </w:r>
      <w:proofErr w:type="spellStart"/>
      <w:r w:rsidRPr="0039518E">
        <w:t>forslagene</w:t>
      </w:r>
      <w:proofErr w:type="spellEnd"/>
      <w:r w:rsidRPr="0039518E">
        <w:t xml:space="preserve"> </w:t>
      </w:r>
      <w:proofErr w:type="spellStart"/>
      <w:r w:rsidRPr="0039518E">
        <w:t>i</w:t>
      </w:r>
      <w:proofErr w:type="spellEnd"/>
      <w:r w:rsidRPr="0039518E">
        <w:t xml:space="preserve"> </w:t>
      </w:r>
      <w:proofErr w:type="spellStart"/>
      <w:r w:rsidRPr="0039518E">
        <w:t>høringen</w:t>
      </w:r>
      <w:proofErr w:type="spellEnd"/>
      <w:r w:rsidRPr="0039518E">
        <w:t>:</w:t>
      </w:r>
    </w:p>
    <w:p w14:paraId="42A60B2D" w14:textId="77777777" w:rsidR="0039518E" w:rsidRPr="0039518E" w:rsidRDefault="0039518E" w:rsidP="0039518E"/>
    <w:p w14:paraId="7707A0ED" w14:textId="77777777" w:rsidR="0039518E" w:rsidRPr="0039518E" w:rsidRDefault="0039518E" w:rsidP="0039518E">
      <w:pPr>
        <w:pStyle w:val="opplisting"/>
      </w:pPr>
      <w:proofErr w:type="spellStart"/>
      <w:r w:rsidRPr="0039518E">
        <w:t>Finansdepartementet</w:t>
      </w:r>
      <w:proofErr w:type="spellEnd"/>
    </w:p>
    <w:p w14:paraId="7AB58D4B" w14:textId="77777777" w:rsidR="0039518E" w:rsidRPr="0039518E" w:rsidRDefault="0039518E" w:rsidP="0039518E">
      <w:pPr>
        <w:pStyle w:val="opplisting"/>
      </w:pPr>
      <w:r w:rsidRPr="0039518E">
        <w:t xml:space="preserve">Justis- </w:t>
      </w:r>
      <w:proofErr w:type="spellStart"/>
      <w:r w:rsidRPr="0039518E">
        <w:t>og</w:t>
      </w:r>
      <w:proofErr w:type="spellEnd"/>
      <w:r w:rsidRPr="0039518E">
        <w:t xml:space="preserve"> </w:t>
      </w:r>
      <w:proofErr w:type="spellStart"/>
      <w:r w:rsidRPr="0039518E">
        <w:t>beredskapsdepartementet</w:t>
      </w:r>
      <w:proofErr w:type="spellEnd"/>
    </w:p>
    <w:p w14:paraId="21FA775A" w14:textId="1AC10115" w:rsidR="0039518E" w:rsidRPr="0039518E" w:rsidRDefault="0039518E" w:rsidP="0039518E"/>
    <w:p w14:paraId="20C169F9" w14:textId="77777777" w:rsidR="0039518E" w:rsidRPr="0039518E" w:rsidRDefault="0039518E" w:rsidP="0039518E">
      <w:pPr>
        <w:pStyle w:val="opplisting"/>
      </w:pPr>
      <w:proofErr w:type="spellStart"/>
      <w:r w:rsidRPr="0039518E">
        <w:t>Brønnøysundregistrene</w:t>
      </w:r>
      <w:proofErr w:type="spellEnd"/>
    </w:p>
    <w:p w14:paraId="370B4ABA" w14:textId="77777777" w:rsidR="0039518E" w:rsidRPr="0039518E" w:rsidRDefault="0039518E" w:rsidP="0039518E">
      <w:pPr>
        <w:pStyle w:val="opplisting"/>
      </w:pPr>
      <w:proofErr w:type="spellStart"/>
      <w:r w:rsidRPr="0039518E">
        <w:t>Kulturdirektoratet</w:t>
      </w:r>
      <w:proofErr w:type="spellEnd"/>
    </w:p>
    <w:p w14:paraId="473E902C" w14:textId="77777777" w:rsidR="0039518E" w:rsidRPr="0039518E" w:rsidRDefault="0039518E" w:rsidP="0039518E">
      <w:pPr>
        <w:pStyle w:val="opplisting"/>
      </w:pPr>
      <w:proofErr w:type="spellStart"/>
      <w:r w:rsidRPr="0039518E">
        <w:t>Landbruksdirektoratet</w:t>
      </w:r>
      <w:proofErr w:type="spellEnd"/>
    </w:p>
    <w:p w14:paraId="462DB037" w14:textId="77777777" w:rsidR="0039518E" w:rsidRPr="0039518E" w:rsidRDefault="0039518E" w:rsidP="0039518E">
      <w:pPr>
        <w:pStyle w:val="opplisting"/>
      </w:pPr>
      <w:proofErr w:type="spellStart"/>
      <w:r w:rsidRPr="0039518E">
        <w:t>Lotteri</w:t>
      </w:r>
      <w:proofErr w:type="spellEnd"/>
      <w:r w:rsidRPr="0039518E">
        <w:t xml:space="preserve">- </w:t>
      </w:r>
      <w:proofErr w:type="spellStart"/>
      <w:r w:rsidRPr="0039518E">
        <w:t>og</w:t>
      </w:r>
      <w:proofErr w:type="spellEnd"/>
      <w:r w:rsidRPr="0039518E">
        <w:t xml:space="preserve"> </w:t>
      </w:r>
      <w:proofErr w:type="spellStart"/>
      <w:r w:rsidRPr="0039518E">
        <w:t>stiftelsestilsynet</w:t>
      </w:r>
      <w:proofErr w:type="spellEnd"/>
    </w:p>
    <w:p w14:paraId="61CE0BB7" w14:textId="77777777" w:rsidR="0039518E" w:rsidRPr="0039518E" w:rsidRDefault="0039518E" w:rsidP="0039518E">
      <w:pPr>
        <w:pStyle w:val="opplisting"/>
      </w:pPr>
      <w:proofErr w:type="spellStart"/>
      <w:r w:rsidRPr="0039518E">
        <w:t>Medietilsynet</w:t>
      </w:r>
      <w:proofErr w:type="spellEnd"/>
    </w:p>
    <w:p w14:paraId="38A44E3D" w14:textId="77777777" w:rsidR="0039518E" w:rsidRPr="0039518E" w:rsidRDefault="0039518E" w:rsidP="0039518E">
      <w:pPr>
        <w:pStyle w:val="opplisting"/>
      </w:pPr>
      <w:proofErr w:type="spellStart"/>
      <w:r w:rsidRPr="0039518E">
        <w:t>Skattedirektoratet</w:t>
      </w:r>
      <w:proofErr w:type="spellEnd"/>
    </w:p>
    <w:p w14:paraId="125A3D13" w14:textId="77777777" w:rsidR="0039518E" w:rsidRPr="0039518E" w:rsidRDefault="0039518E" w:rsidP="0039518E">
      <w:pPr>
        <w:pStyle w:val="opplisting"/>
      </w:pPr>
      <w:r w:rsidRPr="0039518E">
        <w:t>Statistisk sentralbyrå</w:t>
      </w:r>
    </w:p>
    <w:p w14:paraId="2AE5BD3F" w14:textId="77777777" w:rsidR="0039518E" w:rsidRPr="0039518E" w:rsidRDefault="0039518E" w:rsidP="0039518E">
      <w:pPr>
        <w:pStyle w:val="opplisting"/>
      </w:pPr>
      <w:r w:rsidRPr="0039518E">
        <w:t>Økokrim</w:t>
      </w:r>
    </w:p>
    <w:p w14:paraId="4A99EE55" w14:textId="79534EFA" w:rsidR="0039518E" w:rsidRPr="0039518E" w:rsidRDefault="0039518E" w:rsidP="0039518E"/>
    <w:p w14:paraId="0E59018F" w14:textId="77777777" w:rsidR="0039518E" w:rsidRPr="0039518E" w:rsidRDefault="0039518E" w:rsidP="0039518E">
      <w:pPr>
        <w:pStyle w:val="opplisting"/>
      </w:pPr>
      <w:r w:rsidRPr="0039518E">
        <w:t>Innovasjon Norge</w:t>
      </w:r>
    </w:p>
    <w:p w14:paraId="079D73CA" w14:textId="77777777" w:rsidR="0039518E" w:rsidRPr="0039518E" w:rsidRDefault="0039518E" w:rsidP="0039518E">
      <w:pPr>
        <w:pStyle w:val="opplisting"/>
      </w:pPr>
      <w:r w:rsidRPr="0039518E">
        <w:t>Norges forskningsråd</w:t>
      </w:r>
    </w:p>
    <w:p w14:paraId="3E6FBFA2" w14:textId="77777777" w:rsidR="0039518E" w:rsidRPr="0039518E" w:rsidRDefault="0039518E" w:rsidP="0039518E">
      <w:pPr>
        <w:pStyle w:val="opplisting"/>
      </w:pPr>
      <w:r w:rsidRPr="0039518E">
        <w:t>Norsk filminstitutt</w:t>
      </w:r>
    </w:p>
    <w:p w14:paraId="60178CFB" w14:textId="0C09D08C" w:rsidR="0039518E" w:rsidRPr="0039518E" w:rsidRDefault="0039518E" w:rsidP="0039518E"/>
    <w:p w14:paraId="02885EF1" w14:textId="77777777" w:rsidR="0039518E" w:rsidRPr="0039518E" w:rsidRDefault="0039518E" w:rsidP="0039518E">
      <w:pPr>
        <w:pStyle w:val="opplisting"/>
      </w:pPr>
      <w:r w:rsidRPr="0039518E">
        <w:t>Aurskog og Høland kommune</w:t>
      </w:r>
    </w:p>
    <w:p w14:paraId="44AEEA4A" w14:textId="77777777" w:rsidR="0039518E" w:rsidRPr="0039518E" w:rsidRDefault="0039518E" w:rsidP="0039518E">
      <w:pPr>
        <w:pStyle w:val="opplisting"/>
      </w:pPr>
      <w:r w:rsidRPr="0039518E">
        <w:t>Bindal kommune</w:t>
      </w:r>
    </w:p>
    <w:p w14:paraId="055EEF35" w14:textId="77777777" w:rsidR="0039518E" w:rsidRPr="0039518E" w:rsidRDefault="0039518E" w:rsidP="0039518E">
      <w:pPr>
        <w:pStyle w:val="opplisting"/>
      </w:pPr>
      <w:r w:rsidRPr="0039518E">
        <w:t>Bærum kommune</w:t>
      </w:r>
    </w:p>
    <w:p w14:paraId="260B71F6" w14:textId="77777777" w:rsidR="0039518E" w:rsidRPr="0039518E" w:rsidRDefault="0039518E" w:rsidP="0039518E">
      <w:pPr>
        <w:pStyle w:val="opplisting"/>
      </w:pPr>
      <w:r w:rsidRPr="0039518E">
        <w:t>Evje og Hornnes kommune</w:t>
      </w:r>
    </w:p>
    <w:p w14:paraId="201FBC91" w14:textId="77777777" w:rsidR="0039518E" w:rsidRPr="0039518E" w:rsidRDefault="0039518E" w:rsidP="0039518E">
      <w:pPr>
        <w:pStyle w:val="opplisting"/>
      </w:pPr>
      <w:r w:rsidRPr="0039518E">
        <w:t>Fredrikstad kommune</w:t>
      </w:r>
    </w:p>
    <w:p w14:paraId="7C91C41D" w14:textId="77777777" w:rsidR="0039518E" w:rsidRPr="0039518E" w:rsidRDefault="0039518E" w:rsidP="0039518E">
      <w:pPr>
        <w:pStyle w:val="opplisting"/>
      </w:pPr>
      <w:r w:rsidRPr="0039518E">
        <w:t>Gjøvik kommune</w:t>
      </w:r>
    </w:p>
    <w:p w14:paraId="7F1D8AA3" w14:textId="77777777" w:rsidR="0039518E" w:rsidRPr="0039518E" w:rsidRDefault="0039518E" w:rsidP="0039518E">
      <w:pPr>
        <w:pStyle w:val="opplisting"/>
      </w:pPr>
      <w:r w:rsidRPr="0039518E">
        <w:t>Halden kommune</w:t>
      </w:r>
    </w:p>
    <w:p w14:paraId="2B5C8408" w14:textId="77777777" w:rsidR="0039518E" w:rsidRPr="0039518E" w:rsidRDefault="0039518E" w:rsidP="0039518E">
      <w:pPr>
        <w:pStyle w:val="opplisting"/>
      </w:pPr>
      <w:r w:rsidRPr="0039518E">
        <w:t>Hitra kommune</w:t>
      </w:r>
    </w:p>
    <w:p w14:paraId="1741E147" w14:textId="77777777" w:rsidR="0039518E" w:rsidRPr="0039518E" w:rsidRDefault="0039518E" w:rsidP="0039518E">
      <w:pPr>
        <w:pStyle w:val="opplisting"/>
      </w:pPr>
      <w:r w:rsidRPr="0039518E">
        <w:t>Interkommunalt politisk råd</w:t>
      </w:r>
      <w:r w:rsidRPr="0039518E">
        <w:t xml:space="preserve"> Nord-Gudbrandsdal</w:t>
      </w:r>
    </w:p>
    <w:p w14:paraId="556C2760" w14:textId="77777777" w:rsidR="0039518E" w:rsidRPr="0039518E" w:rsidRDefault="0039518E" w:rsidP="0039518E">
      <w:pPr>
        <w:pStyle w:val="opplisting"/>
      </w:pPr>
      <w:r w:rsidRPr="0039518E">
        <w:t>Nord-Fron kommune</w:t>
      </w:r>
    </w:p>
    <w:p w14:paraId="312F6BC3" w14:textId="77777777" w:rsidR="0039518E" w:rsidRPr="0039518E" w:rsidRDefault="0039518E" w:rsidP="0039518E">
      <w:pPr>
        <w:pStyle w:val="opplisting"/>
      </w:pPr>
      <w:r w:rsidRPr="0039518E">
        <w:t>Nærøysund kommune</w:t>
      </w:r>
    </w:p>
    <w:p w14:paraId="0345E22C" w14:textId="77777777" w:rsidR="0039518E" w:rsidRPr="0039518E" w:rsidRDefault="0039518E" w:rsidP="0039518E">
      <w:pPr>
        <w:pStyle w:val="opplisting"/>
      </w:pPr>
      <w:r w:rsidRPr="0039518E">
        <w:t>Oslo kommune</w:t>
      </w:r>
    </w:p>
    <w:p w14:paraId="2B026CA8" w14:textId="77777777" w:rsidR="0039518E" w:rsidRPr="0039518E" w:rsidRDefault="0039518E" w:rsidP="0039518E">
      <w:pPr>
        <w:pStyle w:val="opplisting"/>
      </w:pPr>
      <w:r w:rsidRPr="0039518E">
        <w:t>Sandnes kommune</w:t>
      </w:r>
    </w:p>
    <w:p w14:paraId="170F2521" w14:textId="77777777" w:rsidR="0039518E" w:rsidRPr="0039518E" w:rsidRDefault="0039518E" w:rsidP="0039518E">
      <w:pPr>
        <w:pStyle w:val="opplisting"/>
      </w:pPr>
      <w:r w:rsidRPr="0039518E">
        <w:t>Sarpsborg kommune</w:t>
      </w:r>
    </w:p>
    <w:p w14:paraId="3B102108" w14:textId="77777777" w:rsidR="0039518E" w:rsidRPr="0039518E" w:rsidRDefault="0039518E" w:rsidP="0039518E">
      <w:pPr>
        <w:pStyle w:val="opplisting"/>
      </w:pPr>
      <w:r w:rsidRPr="0039518E">
        <w:t>Trondheim kommune</w:t>
      </w:r>
    </w:p>
    <w:p w14:paraId="74CFF2AA" w14:textId="6F924AEC" w:rsidR="0039518E" w:rsidRPr="0039518E" w:rsidRDefault="0039518E" w:rsidP="0039518E"/>
    <w:p w14:paraId="689D5DE4" w14:textId="77777777" w:rsidR="0039518E" w:rsidRPr="0039518E" w:rsidRDefault="0039518E" w:rsidP="0039518E">
      <w:pPr>
        <w:pStyle w:val="opplisting"/>
      </w:pPr>
      <w:r w:rsidRPr="0039518E">
        <w:t>Agder fylkeskommune</w:t>
      </w:r>
    </w:p>
    <w:p w14:paraId="7827D0A9" w14:textId="77777777" w:rsidR="0039518E" w:rsidRPr="0039518E" w:rsidRDefault="0039518E" w:rsidP="0039518E">
      <w:pPr>
        <w:pStyle w:val="opplisting"/>
      </w:pPr>
      <w:r w:rsidRPr="0039518E">
        <w:t>Akershus fylkeskommune</w:t>
      </w:r>
    </w:p>
    <w:p w14:paraId="2A7CE59F" w14:textId="77777777" w:rsidR="0039518E" w:rsidRPr="0039518E" w:rsidRDefault="0039518E" w:rsidP="0039518E">
      <w:pPr>
        <w:pStyle w:val="opplisting"/>
      </w:pPr>
      <w:r w:rsidRPr="0039518E">
        <w:t>Buskerud fylkeskommune</w:t>
      </w:r>
    </w:p>
    <w:p w14:paraId="1481D2EA" w14:textId="77777777" w:rsidR="0039518E" w:rsidRPr="0039518E" w:rsidRDefault="0039518E" w:rsidP="0039518E">
      <w:pPr>
        <w:pStyle w:val="opplisting"/>
      </w:pPr>
      <w:r w:rsidRPr="0039518E">
        <w:lastRenderedPageBreak/>
        <w:t>Telemark fylkeskommune</w:t>
      </w:r>
    </w:p>
    <w:p w14:paraId="53851FCB" w14:textId="77777777" w:rsidR="0039518E" w:rsidRPr="0039518E" w:rsidRDefault="0039518E" w:rsidP="0039518E">
      <w:pPr>
        <w:pStyle w:val="opplisting"/>
      </w:pPr>
      <w:r w:rsidRPr="0039518E">
        <w:t>Trøndelag fylkeskommune</w:t>
      </w:r>
    </w:p>
    <w:p w14:paraId="35217ED8" w14:textId="77777777" w:rsidR="0039518E" w:rsidRPr="0039518E" w:rsidRDefault="0039518E" w:rsidP="0039518E">
      <w:pPr>
        <w:pStyle w:val="opplisting"/>
      </w:pPr>
      <w:r w:rsidRPr="0039518E">
        <w:t>Østfold fylkeskommune</w:t>
      </w:r>
    </w:p>
    <w:p w14:paraId="610C04FA" w14:textId="77777777" w:rsidR="0039518E" w:rsidRPr="0039518E" w:rsidRDefault="0039518E" w:rsidP="0039518E"/>
    <w:p w14:paraId="2527C2DD" w14:textId="77777777" w:rsidR="0039518E" w:rsidRPr="0039518E" w:rsidRDefault="0039518E" w:rsidP="0039518E">
      <w:pPr>
        <w:pStyle w:val="opplisting"/>
      </w:pPr>
      <w:r w:rsidRPr="0039518E">
        <w:t>KS – Kommunesektorens organisasjon</w:t>
      </w:r>
    </w:p>
    <w:p w14:paraId="016B5C2D" w14:textId="77777777" w:rsidR="0039518E" w:rsidRPr="0039518E" w:rsidRDefault="0039518E" w:rsidP="0039518E">
      <w:pPr>
        <w:pStyle w:val="opplisting"/>
      </w:pPr>
      <w:proofErr w:type="spellStart"/>
      <w:r w:rsidRPr="0039518E">
        <w:t>FilmReg</w:t>
      </w:r>
      <w:proofErr w:type="spellEnd"/>
    </w:p>
    <w:p w14:paraId="0EBBCD31" w14:textId="77777777" w:rsidR="0039518E" w:rsidRPr="0039518E" w:rsidRDefault="0039518E" w:rsidP="0039518E">
      <w:pPr>
        <w:pStyle w:val="opplisting"/>
      </w:pPr>
      <w:r w:rsidRPr="0039518E">
        <w:t>Næringslivets Hovedorganisasjon</w:t>
      </w:r>
    </w:p>
    <w:p w14:paraId="55BB9609" w14:textId="77777777" w:rsidR="0039518E" w:rsidRPr="0039518E" w:rsidRDefault="0039518E" w:rsidP="0039518E">
      <w:pPr>
        <w:pStyle w:val="opplisting"/>
      </w:pPr>
      <w:r w:rsidRPr="0039518E">
        <w:t>Norges Rederiforbund</w:t>
      </w:r>
    </w:p>
    <w:p w14:paraId="1877B652" w14:textId="77777777" w:rsidR="0039518E" w:rsidRPr="0039518E" w:rsidRDefault="0039518E" w:rsidP="0039518E">
      <w:pPr>
        <w:pStyle w:val="opplisting"/>
      </w:pPr>
      <w:r w:rsidRPr="0039518E">
        <w:t>Norsk Industri</w:t>
      </w:r>
    </w:p>
    <w:p w14:paraId="439A17E5" w14:textId="77777777" w:rsidR="0039518E" w:rsidRPr="0039518E" w:rsidRDefault="0039518E" w:rsidP="0039518E">
      <w:pPr>
        <w:pStyle w:val="opplisting"/>
      </w:pPr>
      <w:r w:rsidRPr="0039518E">
        <w:t>Regnskap Norge</w:t>
      </w:r>
    </w:p>
    <w:p w14:paraId="09937733" w14:textId="77777777" w:rsidR="0039518E" w:rsidRPr="0039518E" w:rsidRDefault="0039518E" w:rsidP="0039518E">
      <w:pPr>
        <w:pStyle w:val="opplisting"/>
      </w:pPr>
      <w:r w:rsidRPr="0039518E">
        <w:t>Revisorforeningen</w:t>
      </w:r>
    </w:p>
    <w:p w14:paraId="79508C2E" w14:textId="77777777" w:rsidR="0039518E" w:rsidRPr="0039518E" w:rsidRDefault="0039518E" w:rsidP="0039518E">
      <w:pPr>
        <w:pStyle w:val="opplisting"/>
      </w:pPr>
      <w:r w:rsidRPr="0039518E">
        <w:t>SMB Norge</w:t>
      </w:r>
    </w:p>
    <w:p w14:paraId="221ECACE" w14:textId="5A512530" w:rsidR="0039518E" w:rsidRPr="0039518E" w:rsidRDefault="0039518E" w:rsidP="0039518E"/>
    <w:p w14:paraId="125711B0" w14:textId="77777777" w:rsidR="0039518E" w:rsidRPr="0039518E" w:rsidRDefault="0039518E" w:rsidP="0039518E">
      <w:pPr>
        <w:pStyle w:val="opplisting"/>
      </w:pPr>
      <w:r w:rsidRPr="0039518E">
        <w:t>Advokatfirmaet Arntzen AS</w:t>
      </w:r>
    </w:p>
    <w:p w14:paraId="314E400A" w14:textId="77777777" w:rsidR="0039518E" w:rsidRPr="0039518E" w:rsidRDefault="0039518E" w:rsidP="0039518E">
      <w:pPr>
        <w:pStyle w:val="opplisting"/>
      </w:pPr>
      <w:r w:rsidRPr="0039518E">
        <w:t>Arktisk Film Norge AS</w:t>
      </w:r>
    </w:p>
    <w:p w14:paraId="21FB94D4" w14:textId="77777777" w:rsidR="0039518E" w:rsidRPr="0039518E" w:rsidRDefault="0039518E" w:rsidP="0039518E">
      <w:pPr>
        <w:pStyle w:val="opplisting"/>
      </w:pPr>
      <w:r w:rsidRPr="0039518E">
        <w:t xml:space="preserve">Victor </w:t>
      </w:r>
      <w:proofErr w:type="spellStart"/>
      <w:r w:rsidRPr="0039518E">
        <w:t>Guminski</w:t>
      </w:r>
      <w:proofErr w:type="spellEnd"/>
    </w:p>
    <w:p w14:paraId="4B8950A6" w14:textId="77777777" w:rsidR="0039518E" w:rsidRPr="0039518E" w:rsidRDefault="0039518E" w:rsidP="0039518E">
      <w:pPr>
        <w:pStyle w:val="opplisting"/>
      </w:pPr>
      <w:r w:rsidRPr="0039518E">
        <w:t>Viken filmsenter AS</w:t>
      </w:r>
    </w:p>
    <w:p w14:paraId="6DE7BCA7" w14:textId="77777777" w:rsidR="0039518E" w:rsidRPr="0039518E" w:rsidRDefault="0039518E" w:rsidP="0039518E"/>
    <w:p w14:paraId="6E3D5664" w14:textId="77777777" w:rsidR="0039518E" w:rsidRPr="0039518E" w:rsidRDefault="0039518E" w:rsidP="0039518E">
      <w:r w:rsidRPr="0039518E">
        <w:t>Følgende instanser har svart at de ikke avgir uttalelse i saken, eller at de ikke har merknader til forslaget:</w:t>
      </w:r>
    </w:p>
    <w:p w14:paraId="422820C1" w14:textId="77777777" w:rsidR="0039518E" w:rsidRPr="0039518E" w:rsidRDefault="0039518E" w:rsidP="0039518E"/>
    <w:p w14:paraId="187D71A5" w14:textId="77777777" w:rsidR="0039518E" w:rsidRPr="0039518E" w:rsidRDefault="0039518E" w:rsidP="0039518E">
      <w:pPr>
        <w:pStyle w:val="opplisting"/>
      </w:pPr>
      <w:r w:rsidRPr="0039518E">
        <w:t>Domstolsadministrasjonen</w:t>
      </w:r>
    </w:p>
    <w:p w14:paraId="1F7D7F24" w14:textId="77777777" w:rsidR="0039518E" w:rsidRPr="0039518E" w:rsidRDefault="0039518E" w:rsidP="0039518E">
      <w:pPr>
        <w:pStyle w:val="opplisting"/>
      </w:pPr>
      <w:r w:rsidRPr="0039518E">
        <w:t>Språkrådet</w:t>
      </w:r>
    </w:p>
    <w:p w14:paraId="2C834466" w14:textId="77777777" w:rsidR="0039518E" w:rsidRPr="0039518E" w:rsidRDefault="0039518E" w:rsidP="0039518E">
      <w:r w:rsidRPr="0039518E">
        <w:t>Høringsinstansenes synspunkter behandles nedenfor i tilknytning til de ulike forslagene.</w:t>
      </w:r>
    </w:p>
    <w:p w14:paraId="42E3B8FF" w14:textId="77777777" w:rsidR="0039518E" w:rsidRPr="0039518E" w:rsidRDefault="0039518E" w:rsidP="0039518E">
      <w:pPr>
        <w:pStyle w:val="Overskrift1"/>
      </w:pPr>
      <w:r w:rsidRPr="0039518E">
        <w:t>Offentlig tilgjengelig register</w:t>
      </w:r>
    </w:p>
    <w:p w14:paraId="353CF477" w14:textId="77777777" w:rsidR="0039518E" w:rsidRPr="0039518E" w:rsidRDefault="0039518E" w:rsidP="0039518E">
      <w:pPr>
        <w:pStyle w:val="Overskrift2"/>
      </w:pPr>
      <w:r w:rsidRPr="0039518E">
        <w:t>Gjeldende rett</w:t>
      </w:r>
    </w:p>
    <w:p w14:paraId="7E7B4D4C" w14:textId="77777777" w:rsidR="0039518E" w:rsidRPr="0039518E" w:rsidRDefault="0039518E" w:rsidP="0039518E">
      <w:r w:rsidRPr="0039518E">
        <w:t xml:space="preserve">Støttegivere kan være underlagt taushetsplikt i </w:t>
      </w:r>
      <w:proofErr w:type="gramStart"/>
      <w:r w:rsidRPr="0039518E">
        <w:t>medhold av</w:t>
      </w:r>
      <w:proofErr w:type="gramEnd"/>
      <w:r w:rsidRPr="0039518E">
        <w:t xml:space="preserve"> lov 10. februar 1967 om behandlingsmåten i forvaltningssaker (forvaltningsloven) § 13.</w:t>
      </w:r>
    </w:p>
    <w:p w14:paraId="5B51552B" w14:textId="77777777" w:rsidR="0039518E" w:rsidRPr="0039518E" w:rsidRDefault="0039518E" w:rsidP="0039518E">
      <w:r w:rsidRPr="0039518E">
        <w:t xml:space="preserve">Videre angir lov 27. mai 2016 nr. 14 om skatteforvaltning (skatteforvaltningsloven) § 3-1 første ledd at enhver som har eller har hatt verv, stilling eller oppdrag knyttet til skattemyndighetene, skal hindre at uvedkommende får adgang eller kjennskap til det vedkommende i sitt arbeid har fått vite om noens formues- eller inntektsforhold eller andre økonomiske, </w:t>
      </w:r>
      <w:proofErr w:type="spellStart"/>
      <w:r w:rsidRPr="0039518E">
        <w:t>bedriftsmessige</w:t>
      </w:r>
      <w:proofErr w:type="spellEnd"/>
      <w:r w:rsidRPr="0039518E">
        <w:t xml:space="preserve"> eller personlige forhold. Det er imidlertid gjort unntak i skatteforvaltningsloven § 3-1 andre ledd bokstav c for registreringspliktig statsstøtte etter støtteprosessloven § 7 første ledd. Kun offentlig støtte tildelt i form av skatte- og </w:t>
      </w:r>
      <w:proofErr w:type="spellStart"/>
      <w:r w:rsidRPr="0039518E">
        <w:t>avgiftsfordeler</w:t>
      </w:r>
      <w:proofErr w:type="spellEnd"/>
      <w:r w:rsidRPr="0039518E">
        <w:t xml:space="preserve"> vil falle inn under dette unntaket.</w:t>
      </w:r>
    </w:p>
    <w:p w14:paraId="5A3D3680" w14:textId="77777777" w:rsidR="0039518E" w:rsidRPr="0039518E" w:rsidRDefault="0039518E" w:rsidP="0039518E">
      <w:r w:rsidRPr="0039518E">
        <w:t xml:space="preserve">Dagens </w:t>
      </w:r>
      <w:proofErr w:type="spellStart"/>
      <w:r w:rsidRPr="0039518E">
        <w:t>støtteprosesslov</w:t>
      </w:r>
      <w:proofErr w:type="spellEnd"/>
      <w:r w:rsidRPr="0039518E">
        <w:t xml:space="preserve"> inneholder ingen bestemmelse som uttrykkelig angir at registeret er offentlig tilgjengelig, og at opplysninger som gis til Støtteregisteret ikke er underlagt taushetsplikt. Etter departementets vurdering er det uklart om dette kan innfortolkes i støtteprosessloven § 7, som pålegger støttegivere plikt til å registrere opplysninger om tildelt offentlig støtte i Støtteregisteret.</w:t>
      </w:r>
    </w:p>
    <w:p w14:paraId="7960AB35" w14:textId="77777777" w:rsidR="0039518E" w:rsidRPr="0039518E" w:rsidRDefault="0039518E" w:rsidP="0039518E">
      <w:r w:rsidRPr="0039518E">
        <w:t>Forskrift om registrering av offentlig støtte § 6 angir mer direkte at registeret er offentlig, ved at enhver gjennom Brønnøysundregistrenes elektroniske tilgjengeliggjøringsløsning har rett til innsyn i registrerte opplysninger i Støtteregisteret, utenom fødselsnummer og d-nummer.</w:t>
      </w:r>
    </w:p>
    <w:p w14:paraId="0C9500E0" w14:textId="77777777" w:rsidR="0039518E" w:rsidRPr="0039518E" w:rsidRDefault="0039518E" w:rsidP="0039518E">
      <w:pPr>
        <w:pStyle w:val="Overskrift2"/>
      </w:pPr>
      <w:r w:rsidRPr="0039518E">
        <w:lastRenderedPageBreak/>
        <w:t>Forslaget i høringsnotatet</w:t>
      </w:r>
    </w:p>
    <w:p w14:paraId="4B4F4526" w14:textId="77777777" w:rsidR="0039518E" w:rsidRPr="0039518E" w:rsidRDefault="0039518E" w:rsidP="0039518E">
      <w:r w:rsidRPr="0039518E">
        <w:t>Departementet foreslo ikke i høringsnotatet en egen bestemmelse om at Støtteregisteret skal være et offentlig tilgjengelig register.</w:t>
      </w:r>
    </w:p>
    <w:p w14:paraId="3B1CB05A" w14:textId="57B80516" w:rsidR="0039518E" w:rsidRPr="0039518E" w:rsidRDefault="0039518E" w:rsidP="0039518E">
      <w:r w:rsidRPr="0039518E">
        <w:t xml:space="preserve">Departementet foreslo imidlertid endringer i forskrift om registrering av offentlig støtte om å registrere tildelinger gitt i form av skatte- og </w:t>
      </w:r>
      <w:proofErr w:type="spellStart"/>
      <w:r w:rsidRPr="0039518E">
        <w:t>avgiftsfordeler</w:t>
      </w:r>
      <w:proofErr w:type="spellEnd"/>
      <w:r w:rsidRPr="0039518E">
        <w:t xml:space="preserve"> i eksakte tall, fremfor i intervaller. Departementet vurderte at forslaget i få tilfeller kunne innebære publisering av personopplysninger. Videre viste departementet til at tildelinger gitt i form av skatte- og </w:t>
      </w:r>
      <w:proofErr w:type="spellStart"/>
      <w:r w:rsidRPr="0039518E">
        <w:t>avgiftsfordeler</w:t>
      </w:r>
      <w:proofErr w:type="spellEnd"/>
      <w:r w:rsidRPr="0039518E">
        <w:t xml:space="preserve"> i dag registreres i intervaller fordi informasjon om eksakte beløp kan tenkes å gi opplysninger som er underlagt taushetsplikt i henhold til skatteforvaltningsloven § 3-1 første ledd. Skatteforvaltningsloven § 3-1</w:t>
      </w:r>
      <w:r>
        <w:t xml:space="preserve"> </w:t>
      </w:r>
      <w:r w:rsidRPr="0039518E">
        <w:t>andre ledd bokstav c gir samtidig unntak fra taushetsplikt for opplysninger som skal registreres i Støtteregisteret.</w:t>
      </w:r>
    </w:p>
    <w:p w14:paraId="56A63599" w14:textId="77777777" w:rsidR="0039518E" w:rsidRPr="0039518E" w:rsidRDefault="0039518E" w:rsidP="0039518E">
      <w:pPr>
        <w:pStyle w:val="Overskrift2"/>
      </w:pPr>
      <w:r w:rsidRPr="0039518E">
        <w:t>Høringsinstansenes syn</w:t>
      </w:r>
    </w:p>
    <w:p w14:paraId="416324AB" w14:textId="77777777" w:rsidR="0039518E" w:rsidRPr="0039518E" w:rsidRDefault="0039518E" w:rsidP="0039518E">
      <w:r w:rsidRPr="0039518E">
        <w:t>Ettersom departementet ikke foreslo en lovbestemmelse om at Støtteregisteret skal være et offentlig tilgjengelig register, kom det ingen høringsinnspill som direkte omhandler dette spørsmålet.</w:t>
      </w:r>
    </w:p>
    <w:p w14:paraId="13829827" w14:textId="77777777" w:rsidR="0039518E" w:rsidRPr="0039518E" w:rsidRDefault="0039518E" w:rsidP="0039518E">
      <w:r w:rsidRPr="0039518E">
        <w:t xml:space="preserve">Flere høringsinstanser har imidlertid uttrykt et behov for grundige vurderinger av personvernlovgivningen og forholdet til taushetsplikt før departementet foreslår en plikt i forskrift til å registrere og publisere skatte- og </w:t>
      </w:r>
      <w:proofErr w:type="spellStart"/>
      <w:r w:rsidRPr="0039518E">
        <w:t>avgiftsfordeler</w:t>
      </w:r>
      <w:proofErr w:type="spellEnd"/>
      <w:r w:rsidRPr="0039518E">
        <w:t xml:space="preserve"> i eksakte beløp.</w:t>
      </w:r>
    </w:p>
    <w:p w14:paraId="1413D674" w14:textId="77777777" w:rsidR="0039518E" w:rsidRPr="0039518E" w:rsidRDefault="0039518E" w:rsidP="0039518E">
      <w:pPr>
        <w:rPr>
          <w:rStyle w:val="kursiv"/>
        </w:rPr>
      </w:pPr>
      <w:r w:rsidRPr="0039518E">
        <w:rPr>
          <w:rStyle w:val="kursiv"/>
        </w:rPr>
        <w:t>SMB Norge</w:t>
      </w:r>
      <w:r w:rsidRPr="0039518E">
        <w:t xml:space="preserve"> ber om en grundig vurdering av konsekvensene av å publisere personopplysninger.</w:t>
      </w:r>
    </w:p>
    <w:p w14:paraId="5816E227" w14:textId="77777777" w:rsidR="0039518E" w:rsidRPr="0039518E" w:rsidRDefault="0039518E" w:rsidP="0039518E">
      <w:pPr>
        <w:rPr>
          <w:rStyle w:val="kursiv"/>
        </w:rPr>
      </w:pPr>
      <w:r w:rsidRPr="0039518E">
        <w:rPr>
          <w:rStyle w:val="kursiv"/>
        </w:rPr>
        <w:t>Skattedirektoratet</w:t>
      </w:r>
      <w:r w:rsidRPr="0039518E">
        <w:t xml:space="preserve"> uttaler at publisering av skattetildelinger i gitte tilfeller kan innebær</w:t>
      </w:r>
      <w:r w:rsidRPr="0039518E">
        <w:t xml:space="preserve">e publisering av personopplysninger. Skattedirektoratet viser til at EU-regelverket angir at offentlig støtte tildelt i form av skatte- og </w:t>
      </w:r>
      <w:proofErr w:type="spellStart"/>
      <w:r w:rsidRPr="0039518E">
        <w:t>avgiftsfordeler</w:t>
      </w:r>
      <w:proofErr w:type="spellEnd"/>
      <w:r w:rsidRPr="0039518E">
        <w:t xml:space="preserve"> kan publiseres i intervaller, og viser til at dette er begrunnet i hensynet til taushetsplikt om forretningssensitive opplysninger.</w:t>
      </w:r>
    </w:p>
    <w:p w14:paraId="00EECCFC" w14:textId="77777777" w:rsidR="0039518E" w:rsidRPr="0039518E" w:rsidRDefault="0039518E" w:rsidP="0039518E">
      <w:pPr>
        <w:rPr>
          <w:rStyle w:val="kursiv"/>
        </w:rPr>
      </w:pPr>
      <w:r w:rsidRPr="0039518E">
        <w:rPr>
          <w:rStyle w:val="kursiv"/>
        </w:rPr>
        <w:t>Norges forskningsråd</w:t>
      </w:r>
      <w:r w:rsidRPr="0039518E">
        <w:t xml:space="preserve"> angir følgende:</w:t>
      </w:r>
    </w:p>
    <w:p w14:paraId="643A98B7" w14:textId="77777777" w:rsidR="0039518E" w:rsidRPr="0039518E" w:rsidRDefault="0039518E" w:rsidP="0039518E">
      <w:pPr>
        <w:pStyle w:val="blokksit"/>
      </w:pPr>
      <w:r w:rsidRPr="0039518E">
        <w:t xml:space="preserve">«Vi kjenner ikke til tilfeller der eksakt støttebeløp bør unntas offentlighet. Når det gjelder </w:t>
      </w:r>
      <w:proofErr w:type="spellStart"/>
      <w:r w:rsidRPr="0039518E">
        <w:t>SkatteFUNN</w:t>
      </w:r>
      <w:proofErr w:type="spellEnd"/>
      <w:r w:rsidRPr="0039518E">
        <w:t xml:space="preserve">-støtte, kunne det stilles spørsmål ved om støttebeløpet kan røpe forretningshemmeligheter, gjennom å røpe noe om den aktuelle bedriftens strategi. En bedrift kan ha mange </w:t>
      </w:r>
      <w:proofErr w:type="spellStart"/>
      <w:r w:rsidRPr="0039518E">
        <w:t>SkatteFUNN</w:t>
      </w:r>
      <w:proofErr w:type="spellEnd"/>
      <w:r w:rsidRPr="0039518E">
        <w:t>-prosjekter pågående samtidig, og størrelsen på ett prosjekt sett opp mot andre kan røpe noe om hva bedriften satser mest på. Så lenge prosjekttittel ikke vil komme frem av registeret, ser vi imidlertid ikke at dette skal bli en utfordring her.»</w:t>
      </w:r>
    </w:p>
    <w:p w14:paraId="37019506" w14:textId="77777777" w:rsidR="0039518E" w:rsidRPr="0039518E" w:rsidRDefault="0039518E" w:rsidP="0039518E">
      <w:pPr>
        <w:pStyle w:val="Overskrift2"/>
      </w:pPr>
      <w:r w:rsidRPr="0039518E">
        <w:t>Departementets vurdering</w:t>
      </w:r>
    </w:p>
    <w:p w14:paraId="52BEE5BD" w14:textId="77777777" w:rsidR="0039518E" w:rsidRPr="0039518E" w:rsidRDefault="0039518E" w:rsidP="0039518E">
      <w:pPr>
        <w:pStyle w:val="Overskrift3"/>
      </w:pPr>
      <w:r w:rsidRPr="0039518E">
        <w:t>Om behovet for en lovhjemmel</w:t>
      </w:r>
    </w:p>
    <w:p w14:paraId="00806658" w14:textId="77777777" w:rsidR="0039518E" w:rsidRPr="0039518E" w:rsidRDefault="0039518E" w:rsidP="0039518E">
      <w:r w:rsidRPr="0039518E">
        <w:t>I etterkant av høringen har departementet kommet frem til at det er behov for en lovbestemmelse som gir klart uttrykk for at Støtteregisteret skal være et offentlig tilgjengelig register. En slik bestemmelse vil medføre at taushetsplikten etter forvaltningsloven § 13 første ledd ikke kommer til anvendelse.</w:t>
      </w:r>
    </w:p>
    <w:p w14:paraId="58E2F9E9" w14:textId="77777777" w:rsidR="0039518E" w:rsidRPr="0039518E" w:rsidRDefault="0039518E" w:rsidP="0039518E">
      <w:r w:rsidRPr="0039518E">
        <w:t>Som nevnt i punkt 3.1, følger det av skatteforvaltningsloven § 3-1 andre ledd bokstav c at skattemyndighetenes taushetsplikt ikke omfatter registreringspliktig offentlig støtte etter støtteprosessloven § 7 første ledd. Unntaket retter seg mot Skatteetaten, som gir opplysninger om støtte til Brønnøysundregistrene. Brønnøysundregistrene administrerer Støtteregisteret. Brønnøysundregistrene kan imidlertid ikke benytte hjemmelen som grunnlag for publisering i Støtteregisteret, ettersom de ikke har «verv, still</w:t>
      </w:r>
      <w:r w:rsidRPr="0039518E">
        <w:t xml:space="preserve">ing eller oppdrag knyttet til skattemyndighetene» etter skatteforvaltningsloven § 3-1 første ledd. Unntaket vil videre ikke gjelde for tildelinger av annen offentlig støtte enn skatte- og </w:t>
      </w:r>
      <w:proofErr w:type="spellStart"/>
      <w:r w:rsidRPr="0039518E">
        <w:t>avgiftsfordeler</w:t>
      </w:r>
      <w:proofErr w:type="spellEnd"/>
      <w:r w:rsidRPr="0039518E">
        <w:t>. Det er derfor behov for en videre hjemmel enn unntaket som angis i skatteforvaltningsloven § 3-1 andre ledd bokstav c.</w:t>
      </w:r>
    </w:p>
    <w:p w14:paraId="169A457A" w14:textId="77777777" w:rsidR="0039518E" w:rsidRPr="0039518E" w:rsidRDefault="0039518E" w:rsidP="0039518E">
      <w:r w:rsidRPr="0039518E">
        <w:lastRenderedPageBreak/>
        <w:t>Forskrift om registrering av offentlig støtte § 6 fastsetter at opplysninger i Støtteregisteret er offentlige. Unntak fra taushetsplikten etter forvaltningsloven § 13 første ledd krever im</w:t>
      </w:r>
      <w:r w:rsidRPr="0039518E">
        <w:t>idlertid hjemmel i lov.</w:t>
      </w:r>
    </w:p>
    <w:p w14:paraId="3768127E" w14:textId="77777777" w:rsidR="0039518E" w:rsidRPr="0039518E" w:rsidRDefault="0039518E" w:rsidP="0039518E">
      <w:r w:rsidRPr="0039518E">
        <w:t>En lovbestemmelse vil medføre at støttegiverne og Brønnøysundregistrene ikke trenger å foreta konkrete vurderinger av om opplysningene som skal registreres og publiseres inneholder taushetsbelagte opplysninger. Dette er nødvendig for å unngå den administrative byrden som en vurdering av om gitte opplysninger er taushetsbelagte kan medføre. Slike vurderinger vil ofte kreve at støttegiver setter seg inn i hver enkelt bedrifts prosesser for å vurdere karakteren av de mottatte opplysningene etter reglene om tau</w:t>
      </w:r>
      <w:r w:rsidRPr="0039518E">
        <w:t>shetsplikt.</w:t>
      </w:r>
    </w:p>
    <w:p w14:paraId="2E9A35F4" w14:textId="77777777" w:rsidR="0039518E" w:rsidRPr="0039518E" w:rsidRDefault="0039518E" w:rsidP="0039518E">
      <w:r w:rsidRPr="0039518E">
        <w:t>En lovhjemmel vil videre kunne gjøre støttemottakere klar over at det å motta offentlig støtte i mange tilfeller krever at de aktuelle opplysningene gjøres offentlig tilgjengelige.</w:t>
      </w:r>
    </w:p>
    <w:p w14:paraId="6D14A4BC" w14:textId="77777777" w:rsidR="0039518E" w:rsidRPr="0039518E" w:rsidRDefault="0039518E" w:rsidP="0039518E">
      <w:r w:rsidRPr="0039518E">
        <w:t xml:space="preserve">Som det fremgår nedenfor, har departementet ikke funnet at utvidelsen av registreringsplikten vil innebære at det vil </w:t>
      </w:r>
      <w:proofErr w:type="gramStart"/>
      <w:r w:rsidRPr="0039518E">
        <w:t>fremgå</w:t>
      </w:r>
      <w:proofErr w:type="gramEnd"/>
      <w:r w:rsidRPr="0039518E">
        <w:t xml:space="preserve"> informasjon i Støtteregisteret som vil kunne være underlagt taushetsplikt. Etter departementets vurdering vil derfor den foreslåtte lovhjemmelen generelt være lite inngripende overfor støttemottakerne. Dette inkluderer både opplysninger som det er plikt til å registrere i dag, og opplysninger som departementet i den offentlige høringen foreslo registreringsplikt for i forskrift om registrering av offentlig støtte.</w:t>
      </w:r>
    </w:p>
    <w:p w14:paraId="4C00AAFF" w14:textId="77777777" w:rsidR="0039518E" w:rsidRPr="0039518E" w:rsidRDefault="0039518E" w:rsidP="0039518E">
      <w:r w:rsidRPr="0039518E">
        <w:t>Departementet har i høringen og i etterkant av høringen mottatt innspill fra ulike aktø</w:t>
      </w:r>
      <w:r w:rsidRPr="0039518E">
        <w:t xml:space="preserve">rer om forhold som aktørene vurderer at vil kunne være underlagt taushetsplikt. Vurdering av disse forholdene </w:t>
      </w:r>
      <w:proofErr w:type="gramStart"/>
      <w:r w:rsidRPr="0039518E">
        <w:t>fremgår</w:t>
      </w:r>
      <w:proofErr w:type="gramEnd"/>
      <w:r w:rsidRPr="0039518E">
        <w:t xml:space="preserve"> i det følgende.</w:t>
      </w:r>
    </w:p>
    <w:p w14:paraId="50ACC54A" w14:textId="77777777" w:rsidR="0039518E" w:rsidRPr="0039518E" w:rsidRDefault="0039518E" w:rsidP="0039518E">
      <w:pPr>
        <w:pStyle w:val="Overskrift3"/>
      </w:pPr>
      <w:r w:rsidRPr="0039518E">
        <w:t>Personlige forhold</w:t>
      </w:r>
    </w:p>
    <w:p w14:paraId="0F197AC2" w14:textId="77777777" w:rsidR="0039518E" w:rsidRPr="0039518E" w:rsidRDefault="0039518E" w:rsidP="0039518E">
      <w:r w:rsidRPr="0039518E">
        <w:t>Forvaltningsloven § 13 før</w:t>
      </w:r>
      <w:r w:rsidRPr="0039518E">
        <w:t>ste ledd nr. 1 pålegger enhver som utfører tjeneste eller arbeid for et forvaltningsorgan plikt til å hindre at andre får adgang eller kjennskap til det han i forbindelse med tjenesten eller arbeidet får vite om noens personlige forhold.</w:t>
      </w:r>
    </w:p>
    <w:p w14:paraId="5F8713E8" w14:textId="77777777" w:rsidR="0039518E" w:rsidRPr="0039518E" w:rsidRDefault="0039518E" w:rsidP="0039518E">
      <w:r w:rsidRPr="0039518E">
        <w:t xml:space="preserve">Opplysninger om økonomiske forhold knyttet til enkeltpersoners næringsvirksomhet regnes normalt ikke som personlige forhold etter forvaltningsloven § 13 første ledd nr. 1. Dette gjelder for eksempel opplysninger i en søknad om tilskudd til næringsdrift. I tvilstilfeller er </w:t>
      </w:r>
      <w:r w:rsidRPr="0039518E">
        <w:t xml:space="preserve">det relevant å vurdere om det aktuelle forholdet også kunne oppstått for et selskap. Dette taler i så tilfelle for at forholdet ikke er underlagt taushetsplikt. Se Justis- og beredskapsdepartementets </w:t>
      </w:r>
      <w:proofErr w:type="spellStart"/>
      <w:r w:rsidRPr="0039518E">
        <w:rPr>
          <w:rStyle w:val="kursiv"/>
        </w:rPr>
        <w:t>Rettleiar</w:t>
      </w:r>
      <w:proofErr w:type="spellEnd"/>
      <w:r w:rsidRPr="0039518E">
        <w:rPr>
          <w:rStyle w:val="kursiv"/>
        </w:rPr>
        <w:t xml:space="preserve"> til </w:t>
      </w:r>
      <w:proofErr w:type="spellStart"/>
      <w:r w:rsidRPr="0039518E">
        <w:rPr>
          <w:rStyle w:val="kursiv"/>
        </w:rPr>
        <w:t>offentleglova</w:t>
      </w:r>
      <w:proofErr w:type="spellEnd"/>
      <w:r w:rsidRPr="0039518E">
        <w:t xml:space="preserve"> punkt 6.2.3.1.</w:t>
      </w:r>
    </w:p>
    <w:p w14:paraId="5C13844B" w14:textId="77777777" w:rsidR="0039518E" w:rsidRPr="0039518E" w:rsidRDefault="0039518E" w:rsidP="0039518E">
      <w:r w:rsidRPr="0039518E">
        <w:t>Departementet vurderer derfor at hverken nåværende eller foreslåtte plikter til å registrere informasjon om offentlig støtte i Støtteregisteret vil inneholde personlige forhold etter forvaltningsloven § 13 første ledd nr. 1.</w:t>
      </w:r>
    </w:p>
    <w:p w14:paraId="73C7295A" w14:textId="77777777" w:rsidR="0039518E" w:rsidRPr="0039518E" w:rsidRDefault="0039518E" w:rsidP="0039518E">
      <w:pPr>
        <w:pStyle w:val="avsnitt-undertittel"/>
      </w:pPr>
      <w:r w:rsidRPr="0039518E">
        <w:t>Forretningshemmeligheter</w:t>
      </w:r>
    </w:p>
    <w:p w14:paraId="3A8A686B" w14:textId="77777777" w:rsidR="0039518E" w:rsidRPr="0039518E" w:rsidRDefault="0039518E" w:rsidP="0039518E">
      <w:r w:rsidRPr="0039518E">
        <w:t>Etter forvaltningsloven § 13 første ledd nr. 2 plikter oppdragsgiver å sørge for at andre ikke får tilgang til «opplysninger om tekniske innretninger og fremgangsmåter eller drifts- og forretningsforhold som det vil være av konkurransemessig betydning å hemmeligholde».</w:t>
      </w:r>
    </w:p>
    <w:p w14:paraId="6AD49B1F" w14:textId="77777777" w:rsidR="0039518E" w:rsidRPr="0039518E" w:rsidRDefault="0039518E" w:rsidP="0039518E">
      <w:r w:rsidRPr="0039518E">
        <w:t xml:space="preserve">For at opplysninger skal anses å være av en slik karakter at det er av konkurransemessig betydning å hemmeligholde dem, må offentlighet om opplysningene kunne føre til økonomisk tap eller redusert gevinst for virksomheten, enten direkte eller ved at konkurrenter kan utnytte opplysningene, jf. </w:t>
      </w:r>
      <w:proofErr w:type="spellStart"/>
      <w:r w:rsidRPr="0039518E">
        <w:t>Rt</w:t>
      </w:r>
      <w:proofErr w:type="spellEnd"/>
      <w:r w:rsidRPr="0039518E">
        <w:t>. 2010 side 385 avsnitt 50.</w:t>
      </w:r>
    </w:p>
    <w:p w14:paraId="794FF4B0" w14:textId="77777777" w:rsidR="0039518E" w:rsidRPr="0039518E" w:rsidRDefault="0039518E" w:rsidP="0039518E">
      <w:r w:rsidRPr="0039518E">
        <w:t xml:space="preserve">Ikke enhver opplysning om en bedrifts interne forhold er underlagt taushetsplikt. For eksempel er opplysninger i en bedrifts årsregnskap offentlig tilgjengelig informasjon for de bedriftene som er omfattet av regnskapsloven, jf. lov 17. juli 1998 nr. 56 om årsregnskap </w:t>
      </w:r>
      <w:proofErr w:type="spellStart"/>
      <w:r w:rsidRPr="0039518E">
        <w:t>m.v</w:t>
      </w:r>
      <w:proofErr w:type="spellEnd"/>
      <w:r w:rsidRPr="0039518E">
        <w:t>. (regnskapsloven) § 8-1.</w:t>
      </w:r>
    </w:p>
    <w:p w14:paraId="0B6AEAAB" w14:textId="77777777" w:rsidR="0039518E" w:rsidRPr="0039518E" w:rsidRDefault="0039518E" w:rsidP="0039518E">
      <w:pPr>
        <w:rPr>
          <w:rStyle w:val="kursiv"/>
        </w:rPr>
      </w:pPr>
      <w:r w:rsidRPr="0039518E">
        <w:rPr>
          <w:rStyle w:val="kursiv"/>
        </w:rPr>
        <w:t xml:space="preserve">Norges forskningsråd </w:t>
      </w:r>
      <w:r w:rsidRPr="0039518E">
        <w:t xml:space="preserve">har spilt inn at publisering av støttebeløp kan røpe den aktuelle bedriftens strategi dersom bedriften har mange </w:t>
      </w:r>
      <w:proofErr w:type="spellStart"/>
      <w:r w:rsidRPr="0039518E">
        <w:t>SkatteFUNN</w:t>
      </w:r>
      <w:proofErr w:type="spellEnd"/>
      <w:r w:rsidRPr="0039518E">
        <w:t xml:space="preserve">-prosjekter pågående samtidig, ved at størrelsen på ett prosjekt sett opp mot andre prosjekter kan røpe noe om hva bedriften satser mest på. Etter departementets vurdering er </w:t>
      </w:r>
      <w:r w:rsidRPr="0039518E">
        <w:lastRenderedPageBreak/>
        <w:t xml:space="preserve">det vanskelig å se at en bedrift skulle kunne </w:t>
      </w:r>
      <w:proofErr w:type="spellStart"/>
      <w:r w:rsidRPr="0039518E">
        <w:t>lidet</w:t>
      </w:r>
      <w:proofErr w:type="spellEnd"/>
      <w:r w:rsidRPr="0039518E">
        <w:t xml:space="preserve"> et økonomisk tap eller få en redusert gevinst ved å se hva som satses på, uten at det foreligger øvrige detaljerte opplysninger om satsningen. Dette gjelder etter</w:t>
      </w:r>
      <w:r w:rsidRPr="0039518E">
        <w:t xml:space="preserve"> departementets vurdering selv om prosjekttittelen måtte </w:t>
      </w:r>
      <w:proofErr w:type="gramStart"/>
      <w:r w:rsidRPr="0039518E">
        <w:t>fremgå</w:t>
      </w:r>
      <w:proofErr w:type="gramEnd"/>
      <w:r w:rsidRPr="0039518E">
        <w:t xml:space="preserve"> av registreringen.</w:t>
      </w:r>
    </w:p>
    <w:p w14:paraId="1FB956CC" w14:textId="77777777" w:rsidR="0039518E" w:rsidRPr="0039518E" w:rsidRDefault="0039518E" w:rsidP="0039518E">
      <w:r w:rsidRPr="0039518E">
        <w:t xml:space="preserve">Tilsvarende har departementet i etterkant av høringen mottatt innspill fra </w:t>
      </w:r>
      <w:r w:rsidRPr="0039518E">
        <w:rPr>
          <w:rStyle w:val="kursiv"/>
        </w:rPr>
        <w:t>Norsk Industri</w:t>
      </w:r>
      <w:r w:rsidRPr="0039518E">
        <w:t xml:space="preserve"> om at det kan være problematisk å pålegge en plikt til å registrere eksakt beløp om avgiftsfritak dersom fritaket er knyttet til bedriftens årlige kraftforbruk. Dersom denne informasjonen ses i sammenheng med ellers offentlig informasjon om produksjonsvolum, kan dette ifølge Norsk Industri indikere hvor effektive bedriftens produksjonsprosesser er, eller om bedriften har skalert produksjonen. Departementets vurdering er at informasjon som beskrevet ovenfor gir for lite håndfaste opplysninger til at en konk</w:t>
      </w:r>
      <w:r w:rsidRPr="0039518E">
        <w:t>urrent kan dra nytte av dem i et slikt omfang at det kan føre til et økonomisk tap eller en redusert gevinst for den aktuelle bedriften.</w:t>
      </w:r>
    </w:p>
    <w:p w14:paraId="24439E30" w14:textId="77777777" w:rsidR="0039518E" w:rsidRPr="0039518E" w:rsidRDefault="0039518E" w:rsidP="0039518E">
      <w:r w:rsidRPr="0039518E">
        <w:t xml:space="preserve">Departementet har i etterkant av høringen mottatt innspill fra </w:t>
      </w:r>
      <w:r w:rsidRPr="0039518E">
        <w:rPr>
          <w:rStyle w:val="kursiv"/>
        </w:rPr>
        <w:t>Klima- og miljødepartementet</w:t>
      </w:r>
      <w:r w:rsidRPr="0039518E">
        <w:t xml:space="preserve"> om at registrering av utbetalt offentlig støtte, sett i sammenheng med annen informasjon i registeret, kan gi informasjon om at en bedrift er forsinket i et aktuelt prosjekt. Slike opplysninger vil kunne gjøre det mindre attraktivt å investere i den aktuelle bedriften. Departementet viser til at det ikke er uvanlig at et prosjekt er forsinket. Etter departementets vurdering er opplysninger om forsinkelser av en slik art at konkurrenter neppe kan utnytte dette slik at den aktuelle bedriften lider et økonomi</w:t>
      </w:r>
      <w:r w:rsidRPr="0039518E">
        <w:t>sk tap eller en redusert gevinst.</w:t>
      </w:r>
    </w:p>
    <w:p w14:paraId="51185541" w14:textId="77777777" w:rsidR="0039518E" w:rsidRPr="0039518E" w:rsidRDefault="0039518E" w:rsidP="0039518E">
      <w:r w:rsidRPr="0039518E">
        <w:t xml:space="preserve">Hverken i høringen eller i dialog med aktører i etterkant av høringen, er det </w:t>
      </w:r>
      <w:proofErr w:type="gramStart"/>
      <w:r w:rsidRPr="0039518E">
        <w:t>fremkommet</w:t>
      </w:r>
      <w:proofErr w:type="gramEnd"/>
      <w:r w:rsidRPr="0039518E">
        <w:t xml:space="preserve"> opplysninger som indikerer at publisering av informasjon om skatte- og </w:t>
      </w:r>
      <w:proofErr w:type="spellStart"/>
      <w:r w:rsidRPr="0039518E">
        <w:t>avgiftsfordeler</w:t>
      </w:r>
      <w:proofErr w:type="spellEnd"/>
      <w:r w:rsidRPr="0039518E">
        <w:t xml:space="preserve"> angitt i eksakte beløp vil innebære offentliggjøring av forretningshemmeligheter i forvaltningslovens forstand.</w:t>
      </w:r>
    </w:p>
    <w:p w14:paraId="2D8B72D6" w14:textId="77777777" w:rsidR="0039518E" w:rsidRPr="0039518E" w:rsidRDefault="0039518E" w:rsidP="0039518E">
      <w:r w:rsidRPr="0039518E">
        <w:t>En lovfesting av at Støtteregisteret er offentlig tilgjengelig vil innebære at taushetsplikten etter forvaltningsloven uansett ikke er til hinder for åpenhet om opplysninger om offentlig støtte, jf. forvaltningsloven § 13 a nr. 3 og forvaltningsloven 2025 § 31 andre ledd andre punktum. Bestemmelsen un</w:t>
      </w:r>
      <w:r w:rsidRPr="0039518E">
        <w:t>derstøtter departementets målsetting om økt åpenhet om bruken av offentlige midler.</w:t>
      </w:r>
    </w:p>
    <w:p w14:paraId="59C13583" w14:textId="77777777" w:rsidR="0039518E" w:rsidRPr="0039518E" w:rsidRDefault="0039518E" w:rsidP="0039518E">
      <w:r w:rsidRPr="0039518E">
        <w:t>Departementet foreslår etter dette å ta inn en uttrykkelig bestemmelse i nytt andre punktum i støtteprosessloven § 7 første ledd om at Støtteregisteret er offentlig tilgjengelig.</w:t>
      </w:r>
    </w:p>
    <w:p w14:paraId="642EBE26" w14:textId="77777777" w:rsidR="0039518E" w:rsidRPr="0039518E" w:rsidRDefault="0039518E" w:rsidP="0039518E">
      <w:pPr>
        <w:pStyle w:val="Overskrift3"/>
      </w:pPr>
      <w:r w:rsidRPr="0039518E">
        <w:t>Forholdet til forretningshemmelighetsloven</w:t>
      </w:r>
    </w:p>
    <w:p w14:paraId="7041B6A8" w14:textId="77777777" w:rsidR="0039518E" w:rsidRPr="0039518E" w:rsidRDefault="0039518E" w:rsidP="0039518E">
      <w:r w:rsidRPr="0039518E">
        <w:t xml:space="preserve">Departementet bemerker at en hjemmel for å offentliggjøre opplysninger som ellers ville kunne vært underlagt taushetsplikt, ikke vil stride mot lov 27. mars 2020 nr. 15 om vern av forretningshemmeligheter (forretningshemmelighetsloven). Tilegnelse, bruk eller formidling av en forretningshemmelighet er lovlig i den utstrekning det kreves eller tillates i henhold til EØS-retten eller nasjonal rett, jf. sak E-11/23 </w:t>
      </w:r>
      <w:r w:rsidRPr="0039518E">
        <w:rPr>
          <w:rStyle w:val="kursiv"/>
        </w:rPr>
        <w:t xml:space="preserve">Låssenteret </w:t>
      </w:r>
      <w:r w:rsidRPr="0039518E">
        <w:t>avsnitt 37, som viser til artikkel 3 nr. 2 i direktiv 2016/943/EU av 8. juni 2016 om beskyttelse av fortrolig knowhow og fortrolige forretningsopplysninger mot ulovlig tilegnelse, bruk og utlevering (forretningshemmelighetsdirektivet) artikkel 3 nr. 2, gjennomført i norsk rett gjennom forretningshemmelighetsloven § 3.</w:t>
      </w:r>
    </w:p>
    <w:p w14:paraId="240938BA" w14:textId="77777777" w:rsidR="0039518E" w:rsidRPr="0039518E" w:rsidRDefault="0039518E" w:rsidP="0039518E">
      <w:pPr>
        <w:pStyle w:val="Overskrift3"/>
      </w:pPr>
      <w:r w:rsidRPr="0039518E">
        <w:t>Personopplysninger (personvernforordningen)</w:t>
      </w:r>
    </w:p>
    <w:p w14:paraId="10D20E6A" w14:textId="69087686" w:rsidR="0039518E" w:rsidRPr="0039518E" w:rsidRDefault="0039518E" w:rsidP="0039518E">
      <w:r w:rsidRPr="0039518E">
        <w:t>Båd</w:t>
      </w:r>
      <w:r w:rsidRPr="0039518E">
        <w:t xml:space="preserve">e gjeldende regler og forslag til nye bestemmelser gjelder i all hovedsak registrering og publisering av opplysninger knyttet til virksomheter, og inneholder dermed ikke personopplysninger. Offentlig støtte kan imidlertid også tildeles fysiske personer som driver økonomisk aktivitet. I slike tilfeller registreres organisasjonsnummer for enkeltpersonforetak, og navn og fødselsdato for fysiske personer som ikke er registrert med organisasjonsnummer. For sistnevnte vil støttegiver også samle inn fødselsnummer </w:t>
      </w:r>
      <w:r w:rsidRPr="0039518E">
        <w:t xml:space="preserve">eller </w:t>
      </w:r>
      <w:r w:rsidRPr="0039518E">
        <w:t xml:space="preserve">d-nummer. Fødselsnummer og d-nummer vil imidlertid ikke </w:t>
      </w:r>
      <w:proofErr w:type="gramStart"/>
      <w:r w:rsidRPr="0039518E">
        <w:t>fremgå</w:t>
      </w:r>
      <w:proofErr w:type="gramEnd"/>
      <w:r w:rsidRPr="0039518E">
        <w:t xml:space="preserve"> av Brønnøysundregistrenes elektroniske tilgjengeliggjøringsløsning, jf. forskrift om registrering av offentlig støtte § 6 første ledd andre punktum.</w:t>
      </w:r>
    </w:p>
    <w:p w14:paraId="657FBFFD" w14:textId="77777777" w:rsidR="0039518E" w:rsidRPr="0039518E" w:rsidRDefault="0039518E" w:rsidP="0039518E">
      <w:r w:rsidRPr="0039518E">
        <w:t>Støtteprosessloven § 7 første ledd og forskrift om registrering av offentlig støtte gir i dag det nødvendige grunnlaget i nasjonal rett for behandling av personopplysninger som mottas i forbindelse med registrering av offentlig støtte, jf. personvernforordningen artikkel 6 nr. 3 bokstav b. Forskrift</w:t>
      </w:r>
      <w:r w:rsidRPr="0039518E">
        <w:t>en § 6 gir grunnlag for publi</w:t>
      </w:r>
      <w:r w:rsidRPr="0039518E">
        <w:lastRenderedPageBreak/>
        <w:t xml:space="preserve">sering av opplysningene. En ny bestemmelse om at Støtteregisteret skal være et offentlig tilgjengelig register vil også utgjøre grunnlaget for eventuelle personopplysninger som publiseres i dag, og for publisering av personopplysninger som kan følge av </w:t>
      </w:r>
      <w:proofErr w:type="spellStart"/>
      <w:r w:rsidRPr="0039518E">
        <w:t>av</w:t>
      </w:r>
      <w:proofErr w:type="spellEnd"/>
      <w:r w:rsidRPr="0039518E">
        <w:t xml:space="preserve"> nye forskriftsbestemmelser.</w:t>
      </w:r>
    </w:p>
    <w:p w14:paraId="70F531B0" w14:textId="77777777" w:rsidR="0039518E" w:rsidRPr="0039518E" w:rsidRDefault="0039518E" w:rsidP="0039518E">
      <w:r w:rsidRPr="0039518E">
        <w:t>Behandlingen av personopplysninger er lovlig dersom den er nødvendig for å oppfylle en rettslig forpliktelse som påhviler den behandlingsansvarlige, jf. personvernforordningen artikkel 6 nr. 1 boksta</w:t>
      </w:r>
      <w:r w:rsidRPr="0039518E">
        <w:t>v c, jf. lov 15. juni 2018 nr. 38 om behandling av personopplysninger (personopplysningsloven) § 1. Dagens plikter til å registrere og publisere opplysninger om tildelt støtte i Støtteregisteret utgjør slike rettslige forpliktelser.</w:t>
      </w:r>
    </w:p>
    <w:p w14:paraId="0980128B" w14:textId="77777777" w:rsidR="0039518E" w:rsidRPr="0039518E" w:rsidRDefault="0039518E" w:rsidP="0039518E">
      <w:r w:rsidRPr="0039518E">
        <w:t>Videre er behandlingen av personopplysninger lovlig dersom den er nødvendig for å utføre en oppgave i allmennhetens interesse, jf. personvernforordningen artikkel 6 nr. 1 bokstav e. Etter departementets vurdering vil plikten til å registrere og publisere opplysninger i Støttereg</w:t>
      </w:r>
      <w:r w:rsidRPr="0039518E">
        <w:t>isteret være en oppgave i allmennhetens interesse, ettersom slike opplysninger danner grunnlag for kontroll av offentlige midler.</w:t>
      </w:r>
    </w:p>
    <w:p w14:paraId="11541DAA" w14:textId="77777777" w:rsidR="0039518E" w:rsidRPr="0039518E" w:rsidRDefault="0039518E" w:rsidP="0039518E">
      <w:r w:rsidRPr="0039518E">
        <w:t>Det følger av både bokstav c og e at behandlingen må være «nødvendig». Registrering av navn og fødselsdato er etter departementets vurdering nødvendig for å kunne entydig identifisere hvem som mottar offentlig støtte i de tilfellene hvor støttemottaker ikke er registrert med noe enhets- eller organisasjonsnummer.</w:t>
      </w:r>
    </w:p>
    <w:p w14:paraId="6302BAF4" w14:textId="77777777" w:rsidR="0039518E" w:rsidRPr="0039518E" w:rsidRDefault="0039518E" w:rsidP="0039518E">
      <w:r w:rsidRPr="0039518E">
        <w:t>Departementet kan ikke se at en eventuell utvidelse av registreringsplikten til å omfatte utbetalt støtte og støtteordninger vil innebære offentliggjøring av andre personopplysninger enn hva som allerede følger av dagens regelverk.</w:t>
      </w:r>
    </w:p>
    <w:p w14:paraId="7ACB0551" w14:textId="77777777" w:rsidR="0039518E" w:rsidRPr="0039518E" w:rsidRDefault="0039518E" w:rsidP="0039518E">
      <w:pPr>
        <w:pStyle w:val="Overskrift1"/>
      </w:pPr>
      <w:r w:rsidRPr="0039518E">
        <w:t>Forskriftshjemmel for utvidet registreringsplikt</w:t>
      </w:r>
    </w:p>
    <w:p w14:paraId="5997FD18" w14:textId="77777777" w:rsidR="0039518E" w:rsidRPr="0039518E" w:rsidRDefault="0039518E" w:rsidP="0039518E">
      <w:pPr>
        <w:pStyle w:val="Overskrift2"/>
      </w:pPr>
      <w:r w:rsidRPr="0039518E">
        <w:t>Gjeldende rett</w:t>
      </w:r>
    </w:p>
    <w:p w14:paraId="36D5678C" w14:textId="77777777" w:rsidR="0039518E" w:rsidRPr="0039518E" w:rsidRDefault="0039518E" w:rsidP="0039518E">
      <w:r w:rsidRPr="0039518E">
        <w:t>Støtteprosessloven § 7 første ledd angir at støttegiveren skal registrere opplysninger om tildelt offentlig støtte i Registeret for offentlig støtte. Videre oppstiller støtteprosessloven § 7 andre ledd hjemmel for å gi forskrift om omfanget av og innholdet i registreringsplikten, om på hvilket tidspunkt registreringsplikten inntrer, og om plikten til å registrere opplysninger om bagatellmessig støtte.</w:t>
      </w:r>
    </w:p>
    <w:p w14:paraId="33F239EE" w14:textId="77777777" w:rsidR="0039518E" w:rsidRPr="0039518E" w:rsidRDefault="0039518E" w:rsidP="0039518E">
      <w:pPr>
        <w:rPr>
          <w:rStyle w:val="kursiv"/>
        </w:rPr>
      </w:pPr>
      <w:r w:rsidRPr="0039518E">
        <w:rPr>
          <w:rStyle w:val="kursiv"/>
        </w:rPr>
        <w:t>Tildelt</w:t>
      </w:r>
      <w:r w:rsidRPr="0039518E">
        <w:t xml:space="preserve"> </w:t>
      </w:r>
      <w:r w:rsidRPr="0039518E">
        <w:rPr>
          <w:rStyle w:val="kursiv"/>
        </w:rPr>
        <w:t>offentlig støtte</w:t>
      </w:r>
      <w:r w:rsidRPr="0039518E">
        <w:t xml:space="preserve"> foreligger etter EØS-retten på det tidspunktet støttemottakeren får et rettslig krav på den offentlige støtten, jf. blant annet forordning (EU) nr. 651/2014 (gruppeunntaksforordningen) artikkel 2 nr. 28 og forordning (EU) 2023/2831 (bagatellstøtteforordningen) artikkel 3 nr. 3, jf. forskrift 2. januar 2023 nr. 2 om unntak fra notifikasjonsplikt for offentlig støtte §§ 1 og 2.</w:t>
      </w:r>
    </w:p>
    <w:p w14:paraId="6EA531A8" w14:textId="77777777" w:rsidR="0039518E" w:rsidRPr="0039518E" w:rsidRDefault="0039518E" w:rsidP="0039518E">
      <w:pPr>
        <w:rPr>
          <w:rStyle w:val="kursiv"/>
        </w:rPr>
      </w:pPr>
      <w:r w:rsidRPr="0039518E">
        <w:rPr>
          <w:rStyle w:val="kursiv"/>
        </w:rPr>
        <w:t>Utbetalt offentlig støtte</w:t>
      </w:r>
      <w:r w:rsidRPr="0039518E">
        <w:t xml:space="preserve"> er den støtten som faktisk ble utbetalt til støttemottakeren. Beløpet kan avvike fra hva som opprinnelig ble tildelt, for eksempel dersom vilkår for utbetaling av den offentlige støtten ikke oppfylles fra støttemottakers side.</w:t>
      </w:r>
    </w:p>
    <w:p w14:paraId="526EDDD6" w14:textId="77777777" w:rsidR="0039518E" w:rsidRPr="0039518E" w:rsidRDefault="0039518E" w:rsidP="0039518E">
      <w:r w:rsidRPr="0039518E">
        <w:t>Dagens bestemmelse i støtteprosessloven § 7 gir ikke hjemmel for å pålegge støttegiveren en plikt til å registrere utbetalt støtte.</w:t>
      </w:r>
    </w:p>
    <w:p w14:paraId="0241327D" w14:textId="77777777" w:rsidR="0039518E" w:rsidRPr="0039518E" w:rsidRDefault="0039518E" w:rsidP="0039518E">
      <w:r w:rsidRPr="0039518E">
        <w:t xml:space="preserve">En </w:t>
      </w:r>
      <w:r w:rsidRPr="0039518E">
        <w:rPr>
          <w:rStyle w:val="kursiv"/>
        </w:rPr>
        <w:t>støtteordning</w:t>
      </w:r>
      <w:r w:rsidRPr="0039518E">
        <w:t xml:space="preserve"> kan beskrives som et rammeverk som inneholder vilkår for at støttegiver kan tildele offentlig støtte til foretak. Se fullstendig definisjon i artikkel 1 bokstav d i Avtale mellom EFTA-statene om opprettelse av et overvåkningsorgan og en domstol (ODA) protokoll 3 del II, jf. forskrift 2. januar 2023 nr. 3 om EØS-prosedyreregler for offentlig støtte § 1.</w:t>
      </w:r>
    </w:p>
    <w:p w14:paraId="1A3A8D6D" w14:textId="77777777" w:rsidR="0039518E" w:rsidRPr="0039518E" w:rsidRDefault="0039518E" w:rsidP="0039518E">
      <w:r w:rsidRPr="0039518E">
        <w:t xml:space="preserve">En støtteordning skal som hovedregel notifiseres til og godkjennes av ESA før den iverksettes. Eventuelt kan en støtteordning meldes til ESA i henhold til den alminnelige gruppeunntaksforordningen. De aller fleste tildelinger av offentlig støtte til foretak i Norge skjer på grunnlag av en etablert støtteordning. Støtteordningen vil angi hvilke foretak som kan få støtte, hva de kan få støtte til, hvor mye støtte som kan tildeles og andre vilkår for støtten. Et eksempel på en støtteordning er støtteordningen </w:t>
      </w:r>
      <w:r w:rsidRPr="0039518E">
        <w:t>for grønne industriprosjekter i Norge, som er forvaltet av Innovasjon Norge.</w:t>
      </w:r>
    </w:p>
    <w:p w14:paraId="535041ED" w14:textId="77777777" w:rsidR="0039518E" w:rsidRPr="0039518E" w:rsidRDefault="0039518E" w:rsidP="0039518E">
      <w:r w:rsidRPr="0039518E">
        <w:lastRenderedPageBreak/>
        <w:t>EØS-regelverket krever at norske myndigheter skal sikre offentliggjøring av den fullstendige teksten til hvert enkelt støttetiltak på et sentralt nettsted, eller en lenke som gir tilgang til den, jf. blant annet gruppeunntaksforordningen artikkel 9 nr. 1 bokstav b. Se også ESAs retningslinjer for regionalstøtte, jf. ESAs vedtak nr. 269/21/COL punkt 5.7 avsnitt 136. Det spesifiseres ikke at det er støttegiver som må oppfylle denne plikten. I dag oppfylles plikten i hovedsak ved at Nærings- og fiskeridepartem</w:t>
      </w:r>
      <w:r w:rsidRPr="0039518E">
        <w:t>entet registrerer informasjon om støtteordninger i Støtteregisteret.</w:t>
      </w:r>
    </w:p>
    <w:p w14:paraId="48FDFBD6" w14:textId="77777777" w:rsidR="0039518E" w:rsidRPr="0039518E" w:rsidRDefault="0039518E" w:rsidP="0039518E">
      <w:r w:rsidRPr="0039518E">
        <w:t>Norske myndigheter er forpliktet til å oversende en årlig rapport om utbetalt støtte til ESA. Rapporteringsplikten følger av flere rettsgrunnlag, jf. blant annet artikkel 21 i ODA protokoll 3 del II og artikkel 5 nr. 1 og artikkel 6 nr. 1 i ESAs vedtak nr. 195/04/COL, jf. forskrift om EØS-prosedyreregler for offentlig støtte § 2. Rapporteringen gjennomføres ved at støttegiverne rapporterer til Nærings- og fiskeridepartementet, som sammenst</w:t>
      </w:r>
      <w:r w:rsidRPr="0039518E">
        <w:t>iller og videreformidler informasjonen til ESA. Rapporteringen har frist 30. juni i året etter at den offentlige støtten ble tildelt.</w:t>
      </w:r>
    </w:p>
    <w:p w14:paraId="52B3194E" w14:textId="77777777" w:rsidR="0039518E" w:rsidRPr="0039518E" w:rsidRDefault="0039518E" w:rsidP="0039518E">
      <w:r w:rsidRPr="0039518E">
        <w:t>Det er etter departementets vurdering ikke klart at ordlyden i støtteprosessloven § 7 gir hjemmel for å pålegge støttegivere å registrere utbetalt støtte, ettersom ordlyden kun refererer til «tildelt» offentlig støtte.</w:t>
      </w:r>
    </w:p>
    <w:p w14:paraId="3BDEBA00" w14:textId="77777777" w:rsidR="0039518E" w:rsidRPr="0039518E" w:rsidRDefault="0039518E" w:rsidP="0039518E">
      <w:pPr>
        <w:pStyle w:val="Overskrift2"/>
      </w:pPr>
      <w:r w:rsidRPr="0039518E">
        <w:t>Forslaget i høringsnotatet</w:t>
      </w:r>
    </w:p>
    <w:p w14:paraId="6A9264B8" w14:textId="77777777" w:rsidR="0039518E" w:rsidRPr="0039518E" w:rsidRDefault="0039518E" w:rsidP="0039518E">
      <w:r w:rsidRPr="0039518E">
        <w:t xml:space="preserve">Departementets høringsnotat inneholdt ikke forslag om å endre loven til også å omfatte en hjemmel for å pålegge støttegivere en plikt til å registrere opplysninger om utbetalt offentlig støtte. Det ble imidlertid foreslått en forskriftsbestemmelse om dette. Departementets forslag til forskriftsbestemmelse var begrunnet i et ønske om å pålegge støttegiverne en plikt til å rapportere utbetalt støtte i løpet av et kalenderår direkte til Støtteregisteret, fremfor til departementet. Bakgrunnen for forslaget var </w:t>
      </w:r>
      <w:r w:rsidRPr="0039518E">
        <w:t xml:space="preserve">at endringen kan bidra til å forenkle den omfattende </w:t>
      </w:r>
      <w:proofErr w:type="spellStart"/>
      <w:r w:rsidRPr="0039518E">
        <w:t>årsrapporteringen</w:t>
      </w:r>
      <w:proofErr w:type="spellEnd"/>
      <w:r w:rsidRPr="0039518E">
        <w:t xml:space="preserve"> til ESA.</w:t>
      </w:r>
    </w:p>
    <w:p w14:paraId="0D2ED511" w14:textId="77777777" w:rsidR="0039518E" w:rsidRPr="0039518E" w:rsidRDefault="0039518E" w:rsidP="0039518E">
      <w:r w:rsidRPr="0039518E">
        <w:t>Videre foreslo departementet å endre støtteprosessloven § 7 første ledd ved å tilføye at registreringsplikten også gjelder informasjon om støtteordninger. I høringsnotatet ble det vist til at det har vært usikkert om § 7 gir hjemmel for at departementet kan pålegge støttegiver en slik plikt. Departementet vurderte at en plikt til å registrere informasjon om støtteordninger gir bedre oversikt og tilgang til utfyllende informasjon</w:t>
      </w:r>
      <w:r w:rsidRPr="0039518E">
        <w:t xml:space="preserve"> om hvordan en støtteordning er utformet og vilkårene for å få offentlig støtte etter støtteordningen. Informasjon om støtteordninger vil etter departementets vurdering øke åpenhet om bruken av offentlige midler.</w:t>
      </w:r>
    </w:p>
    <w:p w14:paraId="58B0A811" w14:textId="77777777" w:rsidR="0039518E" w:rsidRPr="0039518E" w:rsidRDefault="0039518E" w:rsidP="0039518E">
      <w:r w:rsidRPr="0039518E">
        <w:t>Det ble videre foreslått enkelte mindre pedagogiske endringer av utformingen av lovbestemmelsen.</w:t>
      </w:r>
    </w:p>
    <w:p w14:paraId="0C2C8B8A" w14:textId="77777777" w:rsidR="0039518E" w:rsidRPr="0039518E" w:rsidRDefault="0039518E" w:rsidP="0039518E">
      <w:pPr>
        <w:pStyle w:val="Overskrift2"/>
      </w:pPr>
      <w:r w:rsidRPr="0039518E">
        <w:t>Høringsinstansenes syn</w:t>
      </w:r>
    </w:p>
    <w:p w14:paraId="23F1EE2C" w14:textId="77777777" w:rsidR="0039518E" w:rsidRPr="0039518E" w:rsidRDefault="0039518E" w:rsidP="0039518E">
      <w:r w:rsidRPr="0039518E">
        <w:t>De fleste av forslagene i høringsnotatet gjaldt konkrete utvidelser av registreringsplikten i forskrift, og ikke endringer i støtteprosessloven. Høringsinstansene har derfor hovedsakelig kommentert de konkrete forskriftsforslagene, fremfor lovforslagene.</w:t>
      </w:r>
    </w:p>
    <w:p w14:paraId="134ADAF0" w14:textId="77777777" w:rsidR="0039518E" w:rsidRPr="0039518E" w:rsidRDefault="0039518E" w:rsidP="0039518E">
      <w:r w:rsidRPr="0039518E">
        <w:t xml:space="preserve">Et generelt innspill til både lovforslaget og forskriftsforslagene var at mange høringsinstanser støtter formålet om mer åpenhet, men samtidig ikke ønsker en utvidelse av registreringsplikter ut over det som følger av EØS-rettens krav. Dette gjelder blant annet </w:t>
      </w:r>
      <w:r w:rsidRPr="0039518E">
        <w:rPr>
          <w:rStyle w:val="kursiv"/>
        </w:rPr>
        <w:t xml:space="preserve">Aurskog-Høland kommune, Buskerud fylkeskommune, Evje og Hornnes kommune, Gjøvik kommune, Kommunesektorens organisasjon (KS), Næringslivets hovedorganisasjon (NHO), Oslo kommune, Sandnes kommune, Sarpsborg kommune </w:t>
      </w:r>
      <w:r w:rsidRPr="0039518E">
        <w:t>og</w:t>
      </w:r>
      <w:r w:rsidRPr="0039518E">
        <w:rPr>
          <w:rStyle w:val="kursiv"/>
        </w:rPr>
        <w:t xml:space="preserve"> Viken filmsenter AS. </w:t>
      </w:r>
      <w:r w:rsidRPr="0039518E">
        <w:t>NHO uttaler at departementet bør gå varsomt frem, og ikke innføre rapporteringskrav som på et senere tidspunkt kan vise seg å være unødvendige eller i strid med kommende forenklingskrav.</w:t>
      </w:r>
    </w:p>
    <w:p w14:paraId="39BDF192" w14:textId="77777777" w:rsidR="0039518E" w:rsidRPr="0039518E" w:rsidRDefault="0039518E" w:rsidP="0039518E">
      <w:r w:rsidRPr="0039518E">
        <w:t xml:space="preserve">Andre høringsinstanser støtter i hovedsak at all offentlig støtte skal registreres. Dette gjelder </w:t>
      </w:r>
      <w:r w:rsidRPr="0039518E">
        <w:rPr>
          <w:rStyle w:val="kursiv"/>
        </w:rPr>
        <w:t>Finansdepartementet, Fredrikstad kommune</w:t>
      </w:r>
      <w:r w:rsidRPr="0039518E">
        <w:t>,</w:t>
      </w:r>
      <w:r w:rsidRPr="0039518E">
        <w:rPr>
          <w:rStyle w:val="kursiv"/>
        </w:rPr>
        <w:t xml:space="preserve"> Kulturdirektoratet, Medietilsynet, Norges forskningsråd,</w:t>
      </w:r>
      <w:r w:rsidRPr="0039518E">
        <w:t xml:space="preserve"> </w:t>
      </w:r>
      <w:r w:rsidRPr="0039518E">
        <w:rPr>
          <w:rStyle w:val="kursiv"/>
        </w:rPr>
        <w:t xml:space="preserve">Statistisk sentralbyrå (SSB), Telemark fylkeskommune </w:t>
      </w:r>
      <w:r w:rsidRPr="0039518E">
        <w:t>og</w:t>
      </w:r>
      <w:r w:rsidRPr="0039518E">
        <w:rPr>
          <w:rStyle w:val="kursiv"/>
        </w:rPr>
        <w:t xml:space="preserve"> Økokrim. </w:t>
      </w:r>
      <w:r w:rsidRPr="0039518E">
        <w:t>Økokrim vurderer at det bør være registreringsplikt for all relevant informasjon om støtteordninger. Økokrim uttaler seg ikke om de enkelte kravene, men viser til at registreringsplikten ikke bør vurderes kun ut fra forvaltningsmessige eller økonomiske hensyn, men også som et verktøy for kriminalitetsbekjempelse og styrking av samfunnets tillit til offentlige ordninger.</w:t>
      </w:r>
    </w:p>
    <w:p w14:paraId="46E93359" w14:textId="77777777" w:rsidR="0039518E" w:rsidRPr="0039518E" w:rsidRDefault="0039518E" w:rsidP="0039518E">
      <w:r w:rsidRPr="0039518E">
        <w:lastRenderedPageBreak/>
        <w:t xml:space="preserve">Når det gjelder forskriftsforslaget om å pålegge en plikt for støttegivere til å rapportere utbetalinger på støtteordninger, uttaler </w:t>
      </w:r>
      <w:r w:rsidRPr="0039518E">
        <w:rPr>
          <w:rStyle w:val="kursiv"/>
        </w:rPr>
        <w:t>Innovasjon Norge</w:t>
      </w:r>
      <w:r w:rsidRPr="0039518E">
        <w:t xml:space="preserve"> at det er uklart om departementet har foreslått at </w:t>
      </w:r>
      <w:proofErr w:type="spellStart"/>
      <w:r w:rsidRPr="0039518E">
        <w:t>årsrapporteringen</w:t>
      </w:r>
      <w:proofErr w:type="spellEnd"/>
      <w:r w:rsidRPr="0039518E">
        <w:t xml:space="preserve"> skal skje på en annen måte enn i dag. Innovasjon Norge viser til at rapportering på selskapsnivå vil innebære vesentlig merarbeid og stille høye krav til den tekniske løsningen. De fraråder derfor en slik løsning.</w:t>
      </w:r>
    </w:p>
    <w:p w14:paraId="7B63B7D8" w14:textId="77777777" w:rsidR="0039518E" w:rsidRPr="0039518E" w:rsidRDefault="0039518E" w:rsidP="0039518E">
      <w:pPr>
        <w:rPr>
          <w:rStyle w:val="kursiv"/>
        </w:rPr>
      </w:pPr>
      <w:r w:rsidRPr="0039518E">
        <w:rPr>
          <w:rStyle w:val="kursiv"/>
        </w:rPr>
        <w:t xml:space="preserve">Akershus fylkeskommune </w:t>
      </w:r>
      <w:r w:rsidRPr="0039518E">
        <w:t>og KS uttaler at det ikke bør innføres en plikt til å registrere informasjon om støtteordninger. Akershus fylkeskommune viser til at det først og fremst er de konkrete tildelingene som er relevante. Både Akershus fylkeskommune og KS trekker frem at registreringsplikter bør begrenses til det som følger av EØS-retten.</w:t>
      </w:r>
    </w:p>
    <w:p w14:paraId="3B90C37E" w14:textId="77777777" w:rsidR="0039518E" w:rsidRPr="0039518E" w:rsidRDefault="0039518E" w:rsidP="0039518E">
      <w:pPr>
        <w:rPr>
          <w:rStyle w:val="kursiv"/>
        </w:rPr>
      </w:pPr>
      <w:r w:rsidRPr="0039518E">
        <w:t>Fredrikstad kommune, Innovasjon Norge, Norges forskningsråd, SSB og Telemark fylkeskommune er positive til å registrere støtteordninger.</w:t>
      </w:r>
    </w:p>
    <w:p w14:paraId="3BA89383" w14:textId="77777777" w:rsidR="0039518E" w:rsidRPr="0039518E" w:rsidRDefault="0039518E" w:rsidP="0039518E">
      <w:r w:rsidRPr="0039518E">
        <w:rPr>
          <w:rStyle w:val="kursiv"/>
        </w:rPr>
        <w:t>SMB Norge</w:t>
      </w:r>
      <w:r w:rsidRPr="0039518E">
        <w:t xml:space="preserve"> støtter at det innføres en registreringsplikt for støtteordninger, men uttaler at systemene må gjøres enkle for små aktører.</w:t>
      </w:r>
    </w:p>
    <w:p w14:paraId="4D2FE128" w14:textId="77777777" w:rsidR="0039518E" w:rsidRPr="0039518E" w:rsidRDefault="0039518E" w:rsidP="0039518E">
      <w:pPr>
        <w:pStyle w:val="Overskrift2"/>
      </w:pPr>
      <w:r w:rsidRPr="0039518E">
        <w:t>Departementets vurdering</w:t>
      </w:r>
    </w:p>
    <w:p w14:paraId="40DD89D5" w14:textId="77777777" w:rsidR="0039518E" w:rsidRPr="0039518E" w:rsidRDefault="0039518E" w:rsidP="0039518E">
      <w:r w:rsidRPr="0039518E">
        <w:t>Departementet foreslår å utvide dagens forskriftshjemmel ved å inkludere en mulighet for departementet til å pålegge støttegiveren en plikt til å registrere utbetalt offentlig støtte og informasjon om støtteordninger. Dette innebærer at departementet i forskrift kan beslutte at støttegivere skal registrere utbetalt støtte og informasjon om støtteordninger for alle former for offentlig støtte. Det at Støtteregisteret vil inneholde informasjon om hvor mye støtte som faktisk er utbetalt og utfyllende informasj</w:t>
      </w:r>
      <w:r w:rsidRPr="0039518E">
        <w:t>on om støtteordninger, gir åpenhet om den faktiske bruken av offentlige midler og på hvilke vilkår offentlig støtte gis. Det vil videre kunne danne grunnlag for analyser av hvor mye offentlig støtte som gis til ulike formål og sektorer i norsk næringsliv. Videre vil det gi grunnlag for å vurdere om de konkrete tildelingene er i tråd med intensjonen bak tildelingene, og oppfyller vilkårene for tildelingen.</w:t>
      </w:r>
    </w:p>
    <w:p w14:paraId="0DFD831A" w14:textId="77777777" w:rsidR="0039518E" w:rsidRPr="0039518E" w:rsidRDefault="0039518E" w:rsidP="0039518E">
      <w:r w:rsidRPr="0039518E">
        <w:t>Departementet har i etterkant av høringen vurdert at det er behov for en hjemmel i støtteprosessloven f</w:t>
      </w:r>
      <w:r w:rsidRPr="0039518E">
        <w:t>or å kunne gi nærmere regler i forskrift om plikten til å rapportere utbetalinger av offentlig støtte. Dagens bestemmelse hjemler kun en plikt til å registrere</w:t>
      </w:r>
      <w:r w:rsidRPr="0039518E">
        <w:rPr>
          <w:rStyle w:val="kursiv"/>
        </w:rPr>
        <w:t xml:space="preserve"> tildelt</w:t>
      </w:r>
      <w:r w:rsidRPr="0039518E">
        <w:t xml:space="preserve"> offentlig støtte, som ikke nødvendigvis er det samme som hva som faktisk utbetales til støttemottaker.</w:t>
      </w:r>
    </w:p>
    <w:p w14:paraId="519B444D" w14:textId="77777777" w:rsidR="0039518E" w:rsidRPr="0039518E" w:rsidRDefault="0039518E" w:rsidP="0039518E">
      <w:r w:rsidRPr="0039518E">
        <w:t>Det ble som nevnt i punkt 4.2 i høringsnotatet ikke foreslått å endre loven til å omfatte en hjemmel for å pålegge støttegivere en plikt til å registrere opplysninger om utbetalt offentlig støtte. Det ble imidlertid foreslått en forskriftsbestemmelse om dette. Flere høringsinstanser har generelt pekt på at registreringsplikter bør begrenses til et minimum for å overholde EØS-rettens krav, for å unngå økte</w:t>
      </w:r>
      <w:r w:rsidRPr="0039518E">
        <w:t xml:space="preserve"> administrative kostnader.</w:t>
      </w:r>
    </w:p>
    <w:p w14:paraId="4C981F3B" w14:textId="6CDA75C2" w:rsidR="0039518E" w:rsidRPr="0039518E" w:rsidRDefault="0039518E" w:rsidP="0039518E">
      <w:r w:rsidRPr="0039518E">
        <w:t>Etter departementets vurdering er det hensiktsmessig at den enkelte offentlige støttegiver registrerer informasjon om utbetalt offentlig støtte direkte i Støtteregisteret, slik at informasjonen kan benyttes som grunnlag for den årlige rapporteringen til ESA. I dag innhenter Nærings- og fiskeridepartementet informasjon fra støttegiverne gjennom bruk av regneark. Disse regnearkene må den enkelte støttegiver redigere og fylle ut manuelt,</w:t>
      </w:r>
      <w:r>
        <w:t xml:space="preserve"> </w:t>
      </w:r>
      <w:r w:rsidRPr="0039518E">
        <w:t>og oversende departementet. Deretter må departementet sammenstille informasjonen, og oversende den til ESA. Basert på en utvidet hjemmel vil departementet kunne forskriftsfeste at den enkelte støttegiver skal registrere informasjonen direkte i Støtteregisteret. Departementet vil legge til rette for samarbeid med Brønnøysundregistrene om å lage en effektiv og brukervennlig løsning for</w:t>
      </w:r>
      <w:r>
        <w:t xml:space="preserve"> </w:t>
      </w:r>
      <w:r w:rsidRPr="0039518E">
        <w:t>dette.</w:t>
      </w:r>
    </w:p>
    <w:p w14:paraId="02F2EB6F" w14:textId="77777777" w:rsidR="0039518E" w:rsidRPr="0039518E" w:rsidRDefault="0039518E" w:rsidP="0039518E">
      <w:r w:rsidRPr="0039518E">
        <w:t xml:space="preserve">Når det gjelder høringsinnspillet fra Innovasjon Norge om at </w:t>
      </w:r>
      <w:proofErr w:type="spellStart"/>
      <w:r w:rsidRPr="0039518E">
        <w:t>årsrapporteringen</w:t>
      </w:r>
      <w:proofErr w:type="spellEnd"/>
      <w:r w:rsidRPr="0039518E">
        <w:t xml:space="preserve"> skal endres fra å rapportere på et aggregert nivå til å rapportere om utbetalt støtte under ordningen som sådan, bemerker departementet at dette ikke er tilfellet. Hensikten med forslaget er ikke å endre på hvilket nivå </w:t>
      </w:r>
      <w:proofErr w:type="spellStart"/>
      <w:r w:rsidRPr="0039518E">
        <w:t>årsrapporteringen</w:t>
      </w:r>
      <w:proofErr w:type="spellEnd"/>
      <w:r w:rsidRPr="0039518E">
        <w:t xml:space="preserve"> skal skje, men at Nærings- og fiskeridepartementet kan benytte Støtteregisteret som grunnlag for </w:t>
      </w:r>
      <w:proofErr w:type="spellStart"/>
      <w:r w:rsidRPr="0039518E">
        <w:t>årsrapporteringen</w:t>
      </w:r>
      <w:proofErr w:type="spellEnd"/>
      <w:r w:rsidRPr="0039518E">
        <w:t xml:space="preserve"> til ESA fremfor å sammenstille dataene manuelt ved bruk av regneark.</w:t>
      </w:r>
    </w:p>
    <w:p w14:paraId="3C3EC25D" w14:textId="77777777" w:rsidR="0039518E" w:rsidRPr="0039518E" w:rsidRDefault="0039518E" w:rsidP="0039518E">
      <w:r w:rsidRPr="0039518E">
        <w:t>Departementet bemerker at en forskriftshjemmel for å pålegge støttegiver</w:t>
      </w:r>
      <w:r w:rsidRPr="0039518E">
        <w:t xml:space="preserve">e en plikt til å rapportere utbetalt offentlig støtte i Støtteregisteret i fremtiden også vil kunne brukes til å forskriftsfeste bestemmelser om å rapportere på en mer detaljert måte enn det som er nødvendig for å oppfylle plikten til den årlige </w:t>
      </w:r>
      <w:proofErr w:type="spellStart"/>
      <w:r w:rsidRPr="0039518E">
        <w:t>årsrappor</w:t>
      </w:r>
      <w:r w:rsidRPr="0039518E">
        <w:lastRenderedPageBreak/>
        <w:t>teringen</w:t>
      </w:r>
      <w:proofErr w:type="spellEnd"/>
      <w:r w:rsidRPr="0039518E">
        <w:t xml:space="preserve"> til ESA. Departementet har foreløpig ikke vurdert behovet for dette. Departementet vil i forbindelse med eventuelle forslag vurdere økonomiske og administrative konsekvenser nærmere.</w:t>
      </w:r>
    </w:p>
    <w:p w14:paraId="4EB336BD" w14:textId="77777777" w:rsidR="0039518E" w:rsidRPr="0039518E" w:rsidRDefault="0039518E" w:rsidP="0039518E">
      <w:r w:rsidRPr="0039518E">
        <w:t xml:space="preserve">Departementet foreslår på bakgrunn av dette at departementet gis </w:t>
      </w:r>
      <w:r w:rsidRPr="0039518E">
        <w:t>hjemmel for å fastsette forskrift om at støttegiver skal registrere opplysninger om utbetalt offentlig støtte i Støtteregisteret.</w:t>
      </w:r>
    </w:p>
    <w:p w14:paraId="4C47D00B" w14:textId="77777777" w:rsidR="0039518E" w:rsidRPr="0039518E" w:rsidRDefault="0039518E" w:rsidP="0039518E">
      <w:r w:rsidRPr="0039518E">
        <w:t>Når det gjelder forslaget om støttegivers ansvar for å registrere informasjon om støtteordninger, merker departementet seg at flere av høringsinstansene er skeptiske til å innføre en slik plikt. Departementet viser til at det allerede i dag er nødvendig å registrere informasjon om støtteordninger for å få registrert de enkelte støttetildelingene i Støtteregisteret. Forslaget inne</w:t>
      </w:r>
      <w:r w:rsidRPr="0039518E">
        <w:t>bærer at det vil være støttegiver som er ansvarlig for registreringen, i stedet for departementet. Å pålegge støttegiverne å registrere egne støtteordninger kan bidra til å redusere den samlede tidsbruken for støttegiverne, departementet og Støtteregisteret. Støttegiverne kjenner egne støtteordninger best, og er derfor best plassert til å registrere opplysningene. En slik løsning vil også legge til rette for at informasjonen som legges inn i Støtteregisteret er mest mulig korrekt og at støtteordningene regi</w:t>
      </w:r>
      <w:r w:rsidRPr="0039518E">
        <w:t>streres raskere enn i dag. Rask registrering av støtteordningen vil normalt være en forutsetning for å kunne oppfylle plikten til å registrere tildelinger innen oppstilte frister.</w:t>
      </w:r>
    </w:p>
    <w:p w14:paraId="7A051899" w14:textId="77777777" w:rsidR="0039518E" w:rsidRPr="0039518E" w:rsidRDefault="0039518E" w:rsidP="0039518E">
      <w:r w:rsidRPr="0039518E">
        <w:t>Departementet vil legge til rette for at Brønnøysundregistrene vil utarbeide veiledning på området, som vil gjøre det enklere for støttegiverne å etterkomme registreringsplikten.</w:t>
      </w:r>
    </w:p>
    <w:p w14:paraId="308DA749" w14:textId="77777777" w:rsidR="0039518E" w:rsidRPr="0039518E" w:rsidRDefault="0039518E" w:rsidP="0039518E">
      <w:r w:rsidRPr="0039518E">
        <w:t>På bakgrunn av dette foreslår departementet å utvide forskriftshjemmelen slik at departementet kan gi forskrift om at støttegiver skal registrere opplysninger om støtteordninger i Støtteregisteret.</w:t>
      </w:r>
    </w:p>
    <w:p w14:paraId="45575F2E" w14:textId="77777777" w:rsidR="0039518E" w:rsidRPr="0039518E" w:rsidRDefault="0039518E" w:rsidP="0039518E">
      <w:r w:rsidRPr="0039518E">
        <w:t>Departementet foreslår videre at støtteprosessloven § 7 første ledd om støttegivers plikt til å registrere opplysninger om tildelt offentlig støtte i Støtteregisteret justeres slik at presiseringen om «tildelt» støtte slettes. Det at § 7 første ledd justeres, medfører at registreringsplikten får en mer generell utforming, men endrer ikke i seg selv den gjeldende plikten å registrere opplysninger om offentlig støtte. De konkrete forpliktelsene, inkludert hvilke typer offentlig støtte som skal registreres, f</w:t>
      </w:r>
      <w:r w:rsidRPr="0039518E">
        <w:t>ølger av forskrift om registrering av offentlig støtte, og forblir uendret inntil departementet eventuelt vedtar endringer i forskriften.</w:t>
      </w:r>
    </w:p>
    <w:p w14:paraId="43EB4260" w14:textId="77777777" w:rsidR="0039518E" w:rsidRPr="0039518E" w:rsidRDefault="0039518E" w:rsidP="0039518E">
      <w:r w:rsidRPr="0039518E">
        <w:t>Nåværende § 7 første ledd i støtteprosessloven viser til Registeret for offentlig støtte (ROFS). I januar 2025 ble ROFS erstattet av Støtteregisteret, som forvaltes av Brønnøysundregistrene. Det er derfor behov for å endre ordlyden i bestemmelsens første ledd og i forslaget til endret forskriftshjemmel i andre ledd til å vise til «Støtteregisteret».</w:t>
      </w:r>
    </w:p>
    <w:p w14:paraId="335E2E79" w14:textId="77777777" w:rsidR="0039518E" w:rsidRPr="0039518E" w:rsidRDefault="0039518E" w:rsidP="0039518E">
      <w:r w:rsidRPr="0039518E">
        <w:t>Departementet foreslår også å fjerne formuleringen om at departementet har adgang til å regulere plikten til å registrere opplysninger om bagatellmessig støtte, da dette etter departementets vurdering allerede følger av støtteprosesslovens virkeområde som er fastsatt i støtteprosessloven § 2.</w:t>
      </w:r>
    </w:p>
    <w:p w14:paraId="3F29AA61" w14:textId="77777777" w:rsidR="0039518E" w:rsidRPr="0039518E" w:rsidRDefault="0039518E" w:rsidP="0039518E">
      <w:pPr>
        <w:pStyle w:val="Overskrift1"/>
      </w:pPr>
      <w:r w:rsidRPr="0039518E">
        <w:t>Økonomiske og administrative konsekvenser</w:t>
      </w:r>
    </w:p>
    <w:p w14:paraId="3C7A1D96" w14:textId="77777777" w:rsidR="0039518E" w:rsidRPr="0039518E" w:rsidRDefault="0039518E" w:rsidP="0039518E">
      <w:r w:rsidRPr="0039518E">
        <w:t>I Norge tildeles hvert år betydelige beløp i offentlig støtte. I 2023 tildelte det offentlige omtrent 60,5 milliarder kroner i offentlig støtte. Et velfungerende, oppdatert og utfyllende støtteregister er viktig ut fra både demokrati- og kontrollhensyn. Et oppdatert og utfyllende register kan for eksempel gi grunnlag for å undersøke hvilke foretak som har fått støtte, hva slags støtte foretaket er tildelt og hvor mye foretaket har mottatt. Åpenhet om slik informasjon er av vesentlig betydning for å kunne av</w:t>
      </w:r>
      <w:r w:rsidRPr="0039518E">
        <w:t xml:space="preserve">verge bedrageri og misbruk av offentlige midler. En utvidelse av registreringsplikten til å omfatte informasjon om støtteordninger vil bidra til økt åpenhet og tillitt om bruken av offentlige midler, og redusere risikoen for at offentlig støtte blir bevilget i strid med statsstøtteregelverket. </w:t>
      </w:r>
    </w:p>
    <w:p w14:paraId="33CDCEDF" w14:textId="77777777" w:rsidR="0039518E" w:rsidRPr="0039518E" w:rsidRDefault="0039518E" w:rsidP="0039518E">
      <w:r w:rsidRPr="0039518E">
        <w:t xml:space="preserve">Departementet bemerker at de fleste av forslagene til nye forskriftsbestemmelser som ble sendt på offentlig høring, og som etter høringsinstansenes vurdering medfører økte administrative kostnader, ligger innenfor rammene av den gjeldende forskriftshjemmelen i støtteprosessloven § 7. Disse forslagene ligger følgelig innenfor det departementet i henhold til gjeldende rett kan vedta i forskrift, og har ingen økonomiske eller </w:t>
      </w:r>
      <w:r w:rsidRPr="0039518E">
        <w:lastRenderedPageBreak/>
        <w:t>administrative konsekvenser som krever Stortingets involvering. De økonomiske og administrative konsekvensene av disse forslagene vil derfor ikke behandles nærmere her.</w:t>
      </w:r>
    </w:p>
    <w:p w14:paraId="79861082" w14:textId="77777777" w:rsidR="0039518E" w:rsidRPr="0039518E" w:rsidRDefault="0039518E" w:rsidP="0039518E">
      <w:r w:rsidRPr="0039518E">
        <w:t>Når det gjelder forslaget til nytt andre punktum i støtteprosessloven § 7 første ledd om et offentlig tilgjengelig register, kan ikke departementet se at dette får noen økonomiske eller administrative konsekvenser.</w:t>
      </w:r>
    </w:p>
    <w:p w14:paraId="273440B7" w14:textId="77777777" w:rsidR="0039518E" w:rsidRPr="0039518E" w:rsidRDefault="0039518E" w:rsidP="0039518E">
      <w:r w:rsidRPr="0039518E">
        <w:t>Departementet foreslår ikke i denne proposisjonen å pålegge nye, konkrete plikter, men kun en hjemmel for å regulere registreringspliktene nærmere i forskrift. Departementet vil vurdere høringsinstansenes innvendinger inngående i forbindelse med utarbeidelse av en ny forskrift. Departementet vil blant annet vurdere mulighetene for en trinnvis innføring av utvidede plikter, slik at støttegiverne får tid til å omstille seg.</w:t>
      </w:r>
    </w:p>
    <w:p w14:paraId="1AA37F21" w14:textId="77777777" w:rsidR="0039518E" w:rsidRPr="0039518E" w:rsidRDefault="0039518E" w:rsidP="0039518E">
      <w:r w:rsidRPr="0039518E">
        <w:t>Departementet vil i det videre likevel gi overordnede vurderinger av hvilke økonomiske og administrative virkninger en utvidelse av registreringsforpliktelsene vil kunne få.</w:t>
      </w:r>
    </w:p>
    <w:p w14:paraId="0D50D5E1" w14:textId="77777777" w:rsidR="0039518E" w:rsidRPr="0039518E" w:rsidRDefault="0039518E" w:rsidP="0039518E">
      <w:r w:rsidRPr="0039518E">
        <w:t>For forslaget om utvidet forskriftshjemmel for å pålegge støttegiverne en plikt til å registrere utbetalt offentlig støtte, vurderer departementet at dette vil bidra til å redusere de totale administrative kostnadene. Norge er gjennom EØS-avtalen forpliktet til å rapportere årlig til ESA om utbetalingen av offentlig støtte som omfattes av avtalen. I dag skjer rapporteringen ved at departementet innhenter informasjon fra støttegiverne gjennom bruk av regneark som den enkelte støttegiver må redigere og fylle</w:t>
      </w:r>
      <w:r w:rsidRPr="0039518E">
        <w:t xml:space="preserve"> ut manuelt, og oversende til departementet. Deretter må departementet sammenstille informasjonen og oversende den til ESA. Med den foreslåtte utvidelsen av hjemmelen vil departementet kunne forskriftsfeste at den enkelte støttegiver registrerer informasjon direkte inn i Støtteregisteret for å kunne foreta utbetalinger under den gjeldende ordningen, slik at departementet kan hente informasjon derfra. Departementet vil legge til rette for at Brønnøysundregistrene kan lage en effektiv og brukervennlig løsning</w:t>
      </w:r>
      <w:r w:rsidRPr="0039518E">
        <w:t xml:space="preserve"> for å legge inn informasjon i Støtteregisteret.</w:t>
      </w:r>
    </w:p>
    <w:p w14:paraId="7129D7C0" w14:textId="77777777" w:rsidR="0039518E" w:rsidRPr="0039518E" w:rsidRDefault="0039518E" w:rsidP="0039518E">
      <w:r w:rsidRPr="0039518E">
        <w:t>Departementet vurderer at et krav om at støttegivere skal registrere informasjon om støtteordninger i Støtteregisteret vil medføre noe økte administrative kostnader for støttegiverne ved at de selv må registrere den aktuelle informasjonen. Flere av høringsinstansene er derfor skeptiske til å innføre en slik plikt. Departementet bemerker at det allerede i dag er nødvendig å registrere informasjon om støtteordninger i Støtteregisteret, og at Nærings- og fiskeri</w:t>
      </w:r>
      <w:r w:rsidRPr="0039518E">
        <w:t>departementet i dag utfører denne oppgaven. Departementet er av den oppfatning at det ikke er naturlig at en slik operativ oppgave ligger i et departement. Praksis viser også at støttegiverne ofte må kontrollere at departementet har registrert korrekt informasjon, og bruke tid på å korrigere eventuelle feil gjennom kontakt med Brønnøysundregistrene.</w:t>
      </w:r>
    </w:p>
    <w:p w14:paraId="6D46D7BC" w14:textId="77777777" w:rsidR="0039518E" w:rsidRPr="0039518E" w:rsidRDefault="0039518E" w:rsidP="0039518E">
      <w:r w:rsidRPr="0039518E">
        <w:t xml:space="preserve">Det </w:t>
      </w:r>
      <w:proofErr w:type="gramStart"/>
      <w:r w:rsidRPr="0039518E">
        <w:t>fremgår</w:t>
      </w:r>
      <w:proofErr w:type="gramEnd"/>
      <w:r w:rsidRPr="0039518E">
        <w:t xml:space="preserve"> av </w:t>
      </w:r>
      <w:proofErr w:type="spellStart"/>
      <w:r w:rsidRPr="0039518E">
        <w:t>årsrapporteringen</w:t>
      </w:r>
      <w:proofErr w:type="spellEnd"/>
      <w:r w:rsidRPr="0039518E">
        <w:t xml:space="preserve"> til ESA at den enkelte støttegiver forvalter et begrenset antall støtteordninger som vil omfattes av en registreringsplikt. Dette innebærer at de økonomiske og administrative konsekvensene vil være begrensede. Nye tekniske løsninger kan også bidra til å redusere kostnader ved registrering av støtteordninger og tildelt offentlig støtte. Det nye Støtteregisteret tilbyr løsninger for å rapportere mer effektivt, både gjennom API-registrering og </w:t>
      </w:r>
      <w:proofErr w:type="spellStart"/>
      <w:r w:rsidRPr="0039518E">
        <w:t>Altinn</w:t>
      </w:r>
      <w:proofErr w:type="spellEnd"/>
      <w:r w:rsidRPr="0039518E">
        <w:t>. API-registrering er en systeml</w:t>
      </w:r>
      <w:r w:rsidRPr="0039518E">
        <w:t>øsning der to saksbehandlingssystemer er koblet sammen, slik at data utveksles mellom systemene automatisk. Opprettelsen av en API vil medføre en engangskostnad for de støttegiverne som ikke har det i dag. På sikt vil registreringen med et slikt system bli vesentlig lettere.</w:t>
      </w:r>
    </w:p>
    <w:p w14:paraId="51CF3238" w14:textId="77777777" w:rsidR="0039518E" w:rsidRPr="0039518E" w:rsidRDefault="0039518E" w:rsidP="0039518E">
      <w:r w:rsidRPr="0039518E">
        <w:t xml:space="preserve">Kommunal- og </w:t>
      </w:r>
      <w:proofErr w:type="spellStart"/>
      <w:r w:rsidRPr="0039518E">
        <w:t>distriktsdepartementet</w:t>
      </w:r>
      <w:proofErr w:type="spellEnd"/>
      <w:r w:rsidRPr="0039518E">
        <w:t xml:space="preserve"> har inngått en samarbeidsavtale med KS og KS Digital om å videreutvikle regionalforvaltning.no til et felles digitalt system for offentlig tilskuddsforvaltning. Det nye systemet skal eies, driftes og vedlikeholdes av kommunal sektor. Målet med plattformen er å gi både støttegivere og støttemottakere en bedre og sømløs plattform for tilskuddsforvaltning gjennom standardisering, effektivisering, integrasjoner og automatisering. Gitt at kommunene tar i bruk den nye løsningen, vil de økon</w:t>
      </w:r>
      <w:r w:rsidRPr="0039518E">
        <w:t>omiske og administrative konsekvensene av den nye registreringsplikten begrenses.</w:t>
      </w:r>
    </w:p>
    <w:p w14:paraId="14C66FFA" w14:textId="77777777" w:rsidR="0039518E" w:rsidRPr="0039518E" w:rsidRDefault="0039518E" w:rsidP="0039518E">
      <w:r w:rsidRPr="0039518E">
        <w:t>De samlede økonomiske og administrative konsekvensene vil kunne endre seg dersom departementet vedtar nye forskriftsendringer innenfor rammene av gjeldende rett. Dersom terskelen for registrering av tildelinger av offentlig støtte senkes, vil flere utbetalinger og støtteordninger måtte registreres. Departementet vil i et slikt tilfelle vurdere de samlede konsekvensene i forbindelse med de konkrete forslagene.</w:t>
      </w:r>
    </w:p>
    <w:p w14:paraId="1BC2974C" w14:textId="77777777" w:rsidR="0039518E" w:rsidRPr="0039518E" w:rsidRDefault="0039518E" w:rsidP="0039518E">
      <w:pPr>
        <w:pStyle w:val="Overskrift1"/>
      </w:pPr>
      <w:r w:rsidRPr="0039518E">
        <w:lastRenderedPageBreak/>
        <w:t>Merknader til lovbestemmelsen</w:t>
      </w:r>
    </w:p>
    <w:p w14:paraId="13331168" w14:textId="77777777" w:rsidR="0039518E" w:rsidRPr="0039518E" w:rsidRDefault="0039518E" w:rsidP="0039518E">
      <w:pPr>
        <w:pStyle w:val="avsnitt-undertittel"/>
      </w:pPr>
      <w:r w:rsidRPr="0039518E">
        <w:t>Til § 7</w:t>
      </w:r>
    </w:p>
    <w:p w14:paraId="292F919C" w14:textId="77777777" w:rsidR="0039518E" w:rsidRPr="0039518E" w:rsidRDefault="0039518E" w:rsidP="0039518E">
      <w:pPr>
        <w:rPr>
          <w:rStyle w:val="kursiv"/>
        </w:rPr>
      </w:pPr>
      <w:r w:rsidRPr="0039518E">
        <w:rPr>
          <w:rStyle w:val="kursiv"/>
        </w:rPr>
        <w:t>Første ledd</w:t>
      </w:r>
      <w:r w:rsidRPr="0039518E">
        <w:t xml:space="preserve"> </w:t>
      </w:r>
      <w:r w:rsidRPr="0039518E">
        <w:rPr>
          <w:rStyle w:val="kursiv"/>
        </w:rPr>
        <w:t>første punktum</w:t>
      </w:r>
      <w:r w:rsidRPr="0039518E">
        <w:t xml:space="preserve"> endres for å reflektere at Støtteregisteret er innført som nytt navn på registeret. Bestemmelsen endres også ved at presiseringen om «tildelt» støtte tas ut, slik at plikten til å registrere opplysninger blir mer generell, og åpner for registrering av annen informasjon om offentlig støtte, inkludert om støtteordninger som ligger til grunn for enkelttildelinger av støtte. Endringen i seg selv har ingen materiell betydning i form av nye eller endrede plikter, men åpner for at det kan gjøres endringer i de ko</w:t>
      </w:r>
      <w:r w:rsidRPr="0039518E">
        <w:t>nkrete registreringsforpliktelsene som følger av forskrift vedtatt med hjemmel i § 7 andre ledd.</w:t>
      </w:r>
    </w:p>
    <w:p w14:paraId="20F1C472" w14:textId="77777777" w:rsidR="0039518E" w:rsidRPr="0039518E" w:rsidRDefault="0039518E" w:rsidP="0039518E">
      <w:pPr>
        <w:rPr>
          <w:rStyle w:val="kursiv"/>
        </w:rPr>
      </w:pPr>
      <w:r w:rsidRPr="0039518E">
        <w:rPr>
          <w:rStyle w:val="kursiv"/>
        </w:rPr>
        <w:t>Første ledd andre punktum</w:t>
      </w:r>
      <w:r w:rsidRPr="0039518E">
        <w:t xml:space="preserve"> er nytt og slår fast at Støtteregisteret skal være et offentlig tilgjengelig register. Forslaget innebærer at det fremgår klart av loven at allmennheten har tilgang til alle opplysninger i Støtteregisteret. Bestemmelsen gir hjemmel for å publisere tildelinger av offentlig støtte, uavhengig av om de inneholder opplysninger som ellers er taushetsbelagte etter forvaltningsloven § 13 første ledd.</w:t>
      </w:r>
    </w:p>
    <w:p w14:paraId="760A1AC9" w14:textId="77777777" w:rsidR="0039518E" w:rsidRPr="0039518E" w:rsidRDefault="0039518E" w:rsidP="0039518E">
      <w:r w:rsidRPr="0039518E">
        <w:rPr>
          <w:rStyle w:val="kursiv"/>
        </w:rPr>
        <w:t xml:space="preserve">Andre ledd </w:t>
      </w:r>
      <w:r w:rsidRPr="0039518E">
        <w:t xml:space="preserve">foreslås endret slik at forskriftshjemmelen utvides til å gi departementet hjemmel for i forskrift å pålegge støttegivere registreringsplikt i Støtteregisteret om tildelt og utbetalt offentlig støtte, og om støtteordninger som ligger til grunn for slik støtte. Hvilke former for offentlig støtte som omfattes av hjemmelen, </w:t>
      </w:r>
      <w:proofErr w:type="gramStart"/>
      <w:r w:rsidRPr="0039518E">
        <w:t>fremgår</w:t>
      </w:r>
      <w:proofErr w:type="gramEnd"/>
      <w:r w:rsidRPr="0039518E">
        <w:t xml:space="preserve"> av lovens virkeområde. Endringen i forskriftshjemmelen er ikke ment å innebære en endring i de registreringspliktene som følger av forskrift i dag, men gir departementet adgang til </w:t>
      </w:r>
      <w:r w:rsidRPr="0039518E">
        <w:t>å utvide registreringsplikten til også å gjelde annen type informasjon enn etter gjeldende rett, og til å pålegge støttegivere til i større grad å måtte legge inn opplysninger selv i Støtteregisteret.</w:t>
      </w:r>
    </w:p>
    <w:p w14:paraId="7CB274E5" w14:textId="77777777" w:rsidR="0039518E" w:rsidRPr="0039518E" w:rsidRDefault="0039518E" w:rsidP="0039518E">
      <w:pPr>
        <w:pStyle w:val="a-tilraar-dep"/>
      </w:pPr>
      <w:r w:rsidRPr="0039518E">
        <w:t>Nærings- og fiskeridepartementet</w:t>
      </w:r>
    </w:p>
    <w:p w14:paraId="653B7A56" w14:textId="77777777" w:rsidR="0039518E" w:rsidRPr="0039518E" w:rsidRDefault="0039518E" w:rsidP="0039518E">
      <w:pPr>
        <w:pStyle w:val="a-tilraar-tit"/>
      </w:pPr>
      <w:r w:rsidRPr="0039518E">
        <w:t>tilrår:</w:t>
      </w:r>
    </w:p>
    <w:p w14:paraId="35D12CE7" w14:textId="77777777" w:rsidR="0039518E" w:rsidRPr="0039518E" w:rsidRDefault="0039518E" w:rsidP="0039518E">
      <w:r w:rsidRPr="0039518E">
        <w:t>At Deres Majestet godkjenner og skriver under et framlagt forslag til proposisjon til Stortinget om endringer i støtteprosessloven (registreringsplikt).</w:t>
      </w:r>
    </w:p>
    <w:p w14:paraId="34B476D4" w14:textId="77777777" w:rsidR="0039518E" w:rsidRPr="0039518E" w:rsidRDefault="0039518E" w:rsidP="0039518E">
      <w:pPr>
        <w:pStyle w:val="a-konge-tekst"/>
        <w:rPr>
          <w:rStyle w:val="halvfet0"/>
        </w:rPr>
      </w:pPr>
      <w:r w:rsidRPr="0039518E">
        <w:rPr>
          <w:rStyle w:val="halvfet0"/>
        </w:rPr>
        <w:t xml:space="preserve">Vi HARALD, </w:t>
      </w:r>
      <w:r w:rsidRPr="0039518E">
        <w:t>Norges Konge,</w:t>
      </w:r>
    </w:p>
    <w:p w14:paraId="0A3F85DA" w14:textId="77777777" w:rsidR="0039518E" w:rsidRPr="0039518E" w:rsidRDefault="0039518E" w:rsidP="0039518E">
      <w:pPr>
        <w:pStyle w:val="a-konge-tit"/>
      </w:pPr>
      <w:r w:rsidRPr="0039518E">
        <w:t>stadfester:</w:t>
      </w:r>
    </w:p>
    <w:p w14:paraId="41FE9FB6" w14:textId="77777777" w:rsidR="0039518E" w:rsidRPr="0039518E" w:rsidRDefault="0039518E" w:rsidP="0039518E">
      <w:r w:rsidRPr="0039518E">
        <w:t>Stortinget blir bedt om å gjøre vedtak til lov om endringer i støtteprosessloven (registreringsplikt) i samsvar med et vedlagt forslag.</w:t>
      </w:r>
    </w:p>
    <w:p w14:paraId="6041E6B3" w14:textId="77777777" w:rsidR="0039518E" w:rsidRPr="0039518E" w:rsidRDefault="0039518E" w:rsidP="0039518E">
      <w:pPr>
        <w:pStyle w:val="a-vedtak-tit"/>
      </w:pPr>
      <w:r w:rsidRPr="0039518E">
        <w:lastRenderedPageBreak/>
        <w:t>Forslag</w:t>
      </w:r>
    </w:p>
    <w:p w14:paraId="5B3C5C35" w14:textId="77777777" w:rsidR="0039518E" w:rsidRPr="0039518E" w:rsidRDefault="0039518E" w:rsidP="0039518E">
      <w:pPr>
        <w:pStyle w:val="a-vedtak-tit"/>
      </w:pPr>
      <w:r w:rsidRPr="0039518E">
        <w:t xml:space="preserve"> til lov om endringer i støtteprosessloven (registreringsplikt)</w:t>
      </w:r>
    </w:p>
    <w:p w14:paraId="35AA4EC5" w14:textId="77777777" w:rsidR="0039518E" w:rsidRPr="0039518E" w:rsidRDefault="0039518E" w:rsidP="0039518E">
      <w:pPr>
        <w:pStyle w:val="a-vedtak-del"/>
      </w:pPr>
      <w:r w:rsidRPr="0039518E">
        <w:t>I</w:t>
      </w:r>
    </w:p>
    <w:p w14:paraId="619CBC86" w14:textId="77777777" w:rsidR="0039518E" w:rsidRPr="0039518E" w:rsidRDefault="0039518E" w:rsidP="0039518E">
      <w:pPr>
        <w:pStyle w:val="l-tit-endr-lov"/>
      </w:pPr>
      <w:r w:rsidRPr="0039518E">
        <w:t>I lov 4. mars 2022 nr. 7 om nasjonale saksbehandlingsregler i saker om offentlig støtte skal § 7 lyde:</w:t>
      </w:r>
    </w:p>
    <w:p w14:paraId="54F93C2B" w14:textId="77777777" w:rsidR="0039518E" w:rsidRPr="0039518E" w:rsidRDefault="0039518E" w:rsidP="0039518E">
      <w:pPr>
        <w:pStyle w:val="l-paragraf"/>
        <w:rPr>
          <w:rStyle w:val="regular"/>
        </w:rPr>
      </w:pPr>
      <w:r w:rsidRPr="0039518E">
        <w:rPr>
          <w:rStyle w:val="regular"/>
        </w:rPr>
        <w:t xml:space="preserve">§ 7 </w:t>
      </w:r>
      <w:r w:rsidRPr="0039518E">
        <w:t>Registreringsplikt</w:t>
      </w:r>
    </w:p>
    <w:p w14:paraId="78860F24" w14:textId="77777777" w:rsidR="0039518E" w:rsidRPr="0039518E" w:rsidRDefault="0039518E" w:rsidP="0039518E">
      <w:pPr>
        <w:pStyle w:val="l-ledd"/>
      </w:pPr>
      <w:r w:rsidRPr="0039518E">
        <w:t xml:space="preserve">Støttegiveren skal registrere opplysninger </w:t>
      </w:r>
      <w:r w:rsidRPr="0039518E">
        <w:rPr>
          <w:rStyle w:val="l-endring"/>
        </w:rPr>
        <w:t xml:space="preserve">om offentlig støtte </w:t>
      </w:r>
      <w:r w:rsidRPr="0039518E">
        <w:t xml:space="preserve">i </w:t>
      </w:r>
      <w:r w:rsidRPr="0039518E">
        <w:rPr>
          <w:rStyle w:val="l-endring"/>
        </w:rPr>
        <w:t>Støtteregisteret</w:t>
      </w:r>
      <w:r w:rsidRPr="0039518E">
        <w:t xml:space="preserve">. </w:t>
      </w:r>
      <w:r w:rsidRPr="0039518E">
        <w:rPr>
          <w:rStyle w:val="l-endring"/>
        </w:rPr>
        <w:t>Støtteregisteret skal være et offentlig tilgjengelig register.</w:t>
      </w:r>
    </w:p>
    <w:p w14:paraId="49FFC9E5" w14:textId="77777777" w:rsidR="0039518E" w:rsidRPr="0039518E" w:rsidRDefault="0039518E" w:rsidP="0039518E">
      <w:pPr>
        <w:pStyle w:val="l-ledd"/>
      </w:pPr>
      <w:r w:rsidRPr="0039518E">
        <w:t>Departementet kan gi forskrift om</w:t>
      </w:r>
      <w:r w:rsidRPr="0039518E">
        <w:rPr>
          <w:rStyle w:val="l-endring"/>
        </w:rPr>
        <w:t xml:space="preserve"> at støttegiveren skal registrere opplysninger i Støtteregisteret om tildelt og utbetalt offentlig støtte, om støtteordninger som ligger til grunn for støtten, og om omfanget av, innholdet i og tidspunktet for registreringsplikten.</w:t>
      </w:r>
    </w:p>
    <w:p w14:paraId="74F12CBB" w14:textId="77777777" w:rsidR="0039518E" w:rsidRPr="0039518E" w:rsidRDefault="0039518E" w:rsidP="0039518E">
      <w:pPr>
        <w:pStyle w:val="a-vedtak-del"/>
      </w:pPr>
      <w:r w:rsidRPr="0039518E">
        <w:t>II</w:t>
      </w:r>
    </w:p>
    <w:p w14:paraId="634DFA44" w14:textId="77777777" w:rsidR="0039518E" w:rsidRPr="0039518E" w:rsidRDefault="0039518E" w:rsidP="0039518E">
      <w:pPr>
        <w:pStyle w:val="friliste"/>
      </w:pPr>
      <w:r w:rsidRPr="0039518E">
        <w:t xml:space="preserve">1. </w:t>
      </w:r>
      <w:r w:rsidRPr="0039518E">
        <w:tab/>
        <w:t>Loven gjelder fra den tiden Kongen bestemmer.</w:t>
      </w:r>
    </w:p>
    <w:p w14:paraId="4186F81E" w14:textId="77777777" w:rsidR="0039518E" w:rsidRPr="0039518E" w:rsidRDefault="0039518E" w:rsidP="0039518E">
      <w:pPr>
        <w:pStyle w:val="friliste"/>
      </w:pPr>
      <w:r w:rsidRPr="0039518E">
        <w:t xml:space="preserve">2. </w:t>
      </w:r>
      <w:r w:rsidRPr="0039518E">
        <w:tab/>
        <w:t>Departementet kan gi nærmere overgangsbestemmelser.</w:t>
      </w:r>
    </w:p>
    <w:p w14:paraId="71E96293" w14:textId="77777777" w:rsidR="0039518E" w:rsidRPr="0039518E" w:rsidRDefault="0039518E" w:rsidP="0039518E"/>
    <w:sectPr w:rsidR="00000000" w:rsidRPr="0039518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9677" w14:textId="77777777" w:rsidR="0039518E" w:rsidRDefault="0039518E">
      <w:pPr>
        <w:spacing w:after="0" w:line="240" w:lineRule="auto"/>
      </w:pPr>
      <w:r>
        <w:separator/>
      </w:r>
    </w:p>
  </w:endnote>
  <w:endnote w:type="continuationSeparator" w:id="0">
    <w:p w14:paraId="6EAB1C60" w14:textId="77777777" w:rsidR="0039518E" w:rsidRDefault="0039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E445" w14:textId="77777777" w:rsidR="0039518E" w:rsidRPr="0039518E" w:rsidRDefault="0039518E" w:rsidP="0039518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91C5" w14:textId="77777777" w:rsidR="0039518E" w:rsidRPr="0039518E" w:rsidRDefault="0039518E" w:rsidP="0039518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2A0D" w14:textId="77777777" w:rsidR="0039518E" w:rsidRPr="0039518E" w:rsidRDefault="0039518E" w:rsidP="0039518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21DD" w14:textId="77777777" w:rsidR="0039518E" w:rsidRDefault="0039518E">
      <w:pPr>
        <w:spacing w:after="0" w:line="240" w:lineRule="auto"/>
      </w:pPr>
      <w:r>
        <w:separator/>
      </w:r>
    </w:p>
  </w:footnote>
  <w:footnote w:type="continuationSeparator" w:id="0">
    <w:p w14:paraId="7BA554C8" w14:textId="77777777" w:rsidR="0039518E" w:rsidRDefault="00395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EA38" w14:textId="77777777" w:rsidR="0039518E" w:rsidRPr="0039518E" w:rsidRDefault="0039518E" w:rsidP="0039518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D819" w14:textId="77777777" w:rsidR="0039518E" w:rsidRPr="0039518E" w:rsidRDefault="0039518E" w:rsidP="0039518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7C6A" w14:textId="77777777" w:rsidR="0039518E" w:rsidRPr="0039518E" w:rsidRDefault="0039518E" w:rsidP="0039518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18B1B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F6A34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2CCB94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13C539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EB64C5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ADA8CA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448238785">
    <w:abstractNumId w:val="4"/>
  </w:num>
  <w:num w:numId="2" w16cid:durableId="1250385943">
    <w:abstractNumId w:val="3"/>
  </w:num>
  <w:num w:numId="3" w16cid:durableId="1302229990">
    <w:abstractNumId w:val="2"/>
  </w:num>
  <w:num w:numId="4" w16cid:durableId="1469593596">
    <w:abstractNumId w:val="1"/>
  </w:num>
  <w:num w:numId="5" w16cid:durableId="715273969">
    <w:abstractNumId w:val="0"/>
  </w:num>
  <w:num w:numId="6" w16cid:durableId="156579673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78481174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60592617">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981855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925193697">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690444189">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822044501">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995253656">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772550545">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058969053">
    <w:abstractNumId w:val="5"/>
    <w:lvlOverride w:ilvl="0">
      <w:lvl w:ilvl="0">
        <w:start w:val="1"/>
        <w:numFmt w:val="bullet"/>
        <w:lvlText w:val="3.4.1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2048753001">
    <w:abstractNumId w:val="5"/>
    <w:lvlOverride w:ilvl="0">
      <w:lvl w:ilvl="0">
        <w:start w:val="1"/>
        <w:numFmt w:val="bullet"/>
        <w:lvlText w:val="3.4.2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2032800751">
    <w:abstractNumId w:val="5"/>
    <w:lvlOverride w:ilvl="0">
      <w:lvl w:ilvl="0">
        <w:start w:val="1"/>
        <w:numFmt w:val="bullet"/>
        <w:lvlText w:val="3.4.3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1808548942">
    <w:abstractNumId w:val="5"/>
    <w:lvlOverride w:ilvl="0">
      <w:lvl w:ilvl="0">
        <w:start w:val="1"/>
        <w:numFmt w:val="bullet"/>
        <w:lvlText w:val="3.4.4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46381471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303316944">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063943271">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072120198">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635528369">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99545355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1804734076">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2116443689">
    <w:abstractNumId w:val="22"/>
  </w:num>
  <w:num w:numId="27" w16cid:durableId="127940421">
    <w:abstractNumId w:val="6"/>
  </w:num>
  <w:num w:numId="28" w16cid:durableId="453059794">
    <w:abstractNumId w:val="20"/>
  </w:num>
  <w:num w:numId="29" w16cid:durableId="1310746066">
    <w:abstractNumId w:val="13"/>
  </w:num>
  <w:num w:numId="30" w16cid:durableId="486016021">
    <w:abstractNumId w:val="18"/>
  </w:num>
  <w:num w:numId="31" w16cid:durableId="521095899">
    <w:abstractNumId w:val="23"/>
  </w:num>
  <w:num w:numId="32" w16cid:durableId="1424374986">
    <w:abstractNumId w:val="8"/>
  </w:num>
  <w:num w:numId="33" w16cid:durableId="835999048">
    <w:abstractNumId w:val="7"/>
  </w:num>
  <w:num w:numId="34" w16cid:durableId="42796712">
    <w:abstractNumId w:val="19"/>
  </w:num>
  <w:num w:numId="35" w16cid:durableId="55470480">
    <w:abstractNumId w:val="9"/>
  </w:num>
  <w:num w:numId="36" w16cid:durableId="1617639866">
    <w:abstractNumId w:val="17"/>
  </w:num>
  <w:num w:numId="37" w16cid:durableId="1105350713">
    <w:abstractNumId w:val="14"/>
  </w:num>
  <w:num w:numId="38" w16cid:durableId="681277441">
    <w:abstractNumId w:val="24"/>
  </w:num>
  <w:num w:numId="39" w16cid:durableId="276255248">
    <w:abstractNumId w:val="11"/>
  </w:num>
  <w:num w:numId="40" w16cid:durableId="1570073908">
    <w:abstractNumId w:val="21"/>
  </w:num>
  <w:num w:numId="41" w16cid:durableId="930360091">
    <w:abstractNumId w:val="25"/>
  </w:num>
  <w:num w:numId="42" w16cid:durableId="862792257">
    <w:abstractNumId w:val="15"/>
  </w:num>
  <w:num w:numId="43" w16cid:durableId="1815902072">
    <w:abstractNumId w:val="16"/>
  </w:num>
  <w:num w:numId="44" w16cid:durableId="1906838649">
    <w:abstractNumId w:val="10"/>
  </w:num>
  <w:num w:numId="45" w16cid:durableId="744380320">
    <w:abstractNumId w:val="12"/>
  </w:num>
  <w:num w:numId="46"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E3334"/>
    <w:rsid w:val="002B53F4"/>
    <w:rsid w:val="0039518E"/>
    <w:rsid w:val="00DE33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D6A7A"/>
  <w14:defaultImageDpi w14:val="0"/>
  <w15:docId w15:val="{7174A91C-102F-46D4-B825-B42F4AED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8E"/>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39518E"/>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9518E"/>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39518E"/>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39518E"/>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39518E"/>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39518E"/>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39518E"/>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39518E"/>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39518E"/>
    <w:pPr>
      <w:numPr>
        <w:ilvl w:val="8"/>
        <w:numId w:val="26"/>
      </w:numPr>
      <w:spacing w:before="240" w:after="60"/>
      <w:outlineLvl w:val="8"/>
    </w:pPr>
    <w:rPr>
      <w:rFonts w:ascii="Arial" w:hAnsi="Arial"/>
      <w:i/>
      <w:sz w:val="18"/>
    </w:rPr>
  </w:style>
  <w:style w:type="character" w:default="1" w:styleId="Standardskriftforavsnitt">
    <w:name w:val="Default Paragraph Font"/>
    <w:uiPriority w:val="1"/>
    <w:unhideWhenUsed/>
    <w:rsid w:val="003951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9518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39518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9518E"/>
    <w:pPr>
      <w:keepNext/>
      <w:spacing w:before="360" w:after="60"/>
      <w:jc w:val="center"/>
    </w:pPr>
    <w:rPr>
      <w:b/>
    </w:rPr>
  </w:style>
  <w:style w:type="paragraph" w:customStyle="1" w:styleId="a-vedtak-tekst">
    <w:name w:val="a-vedtak-tekst"/>
    <w:basedOn w:val="Normal"/>
    <w:next w:val="Normal"/>
    <w:rsid w:val="0039518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9518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9518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39518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9518E"/>
    <w:pPr>
      <w:numPr>
        <w:numId w:val="28"/>
      </w:numPr>
      <w:spacing w:after="0"/>
    </w:pPr>
  </w:style>
  <w:style w:type="paragraph" w:customStyle="1" w:styleId="alfaliste2">
    <w:name w:val="alfaliste 2"/>
    <w:basedOn w:val="Liste2"/>
    <w:rsid w:val="0039518E"/>
    <w:pPr>
      <w:numPr>
        <w:numId w:val="2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9518E"/>
    <w:pPr>
      <w:numPr>
        <w:ilvl w:val="2"/>
        <w:numId w:val="2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9518E"/>
    <w:pPr>
      <w:numPr>
        <w:ilvl w:val="3"/>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9518E"/>
    <w:pPr>
      <w:numPr>
        <w:ilvl w:val="4"/>
        <w:numId w:val="2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9518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9518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9518E"/>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39518E"/>
    <w:rPr>
      <w:sz w:val="20"/>
    </w:rPr>
  </w:style>
  <w:style w:type="character" w:customStyle="1" w:styleId="FotnotetekstTegn">
    <w:name w:val="Fotnotetekst Tegn"/>
    <w:link w:val="Fotnotetekst"/>
    <w:rsid w:val="0039518E"/>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9518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9518E"/>
    <w:rPr>
      <w:rFonts w:ascii="Arial" w:eastAsia="Times New Roman" w:hAnsi="Arial"/>
      <w:b/>
      <w:spacing w:val="4"/>
      <w:kern w:val="0"/>
      <w:sz w:val="28"/>
      <w:szCs w:val="22"/>
    </w:rPr>
  </w:style>
  <w:style w:type="paragraph" w:customStyle="1" w:styleId="b-post">
    <w:name w:val="b-post"/>
    <w:basedOn w:val="Normal"/>
    <w:next w:val="Normal"/>
    <w:rsid w:val="0039518E"/>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9518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9518E"/>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9518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9518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9518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9518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9518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9518E"/>
  </w:style>
  <w:style w:type="paragraph" w:customStyle="1" w:styleId="Def">
    <w:name w:val="Def"/>
    <w:basedOn w:val="hengende-innrykk"/>
    <w:rsid w:val="0039518E"/>
    <w:pPr>
      <w:spacing w:line="240" w:lineRule="auto"/>
      <w:ind w:left="0" w:firstLine="0"/>
    </w:pPr>
    <w:rPr>
      <w:rFonts w:ascii="Times" w:eastAsia="Batang" w:hAnsi="Times"/>
      <w:spacing w:val="0"/>
      <w:szCs w:val="20"/>
    </w:rPr>
  </w:style>
  <w:style w:type="paragraph" w:customStyle="1" w:styleId="del-nr">
    <w:name w:val="del-nr"/>
    <w:basedOn w:val="Normal"/>
    <w:qFormat/>
    <w:rsid w:val="0039518E"/>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9518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9518E"/>
  </w:style>
  <w:style w:type="paragraph" w:customStyle="1" w:styleId="figur-noter">
    <w:name w:val="figur-noter"/>
    <w:basedOn w:val="Normal"/>
    <w:next w:val="Normal"/>
    <w:rsid w:val="0039518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9518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9518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9518E"/>
    <w:pPr>
      <w:keepNext/>
      <w:spacing w:before="360" w:after="60" w:line="240" w:lineRule="auto"/>
      <w:jc w:val="center"/>
    </w:pPr>
    <w:rPr>
      <w:rFonts w:ascii="Times" w:eastAsia="Batang" w:hAnsi="Times"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39518E"/>
    <w:pPr>
      <w:tabs>
        <w:tab w:val="left" w:pos="397"/>
      </w:tabs>
      <w:spacing w:after="0"/>
      <w:ind w:left="397" w:hanging="397"/>
    </w:pPr>
    <w:rPr>
      <w:spacing w:val="0"/>
    </w:rPr>
  </w:style>
  <w:style w:type="paragraph" w:customStyle="1" w:styleId="friliste2">
    <w:name w:val="friliste 2"/>
    <w:basedOn w:val="Normal"/>
    <w:qFormat/>
    <w:rsid w:val="0039518E"/>
    <w:pPr>
      <w:tabs>
        <w:tab w:val="left" w:pos="794"/>
      </w:tabs>
      <w:spacing w:after="0"/>
      <w:ind w:left="794" w:hanging="397"/>
    </w:pPr>
    <w:rPr>
      <w:spacing w:val="0"/>
    </w:rPr>
  </w:style>
  <w:style w:type="paragraph" w:customStyle="1" w:styleId="friliste3">
    <w:name w:val="friliste 3"/>
    <w:basedOn w:val="Normal"/>
    <w:qFormat/>
    <w:rsid w:val="0039518E"/>
    <w:pPr>
      <w:tabs>
        <w:tab w:val="left" w:pos="1191"/>
      </w:tabs>
      <w:spacing w:after="0"/>
      <w:ind w:left="1191" w:hanging="397"/>
    </w:pPr>
    <w:rPr>
      <w:spacing w:val="0"/>
    </w:rPr>
  </w:style>
  <w:style w:type="paragraph" w:customStyle="1" w:styleId="friliste4">
    <w:name w:val="friliste 4"/>
    <w:basedOn w:val="Normal"/>
    <w:qFormat/>
    <w:rsid w:val="0039518E"/>
    <w:pPr>
      <w:tabs>
        <w:tab w:val="left" w:pos="1588"/>
      </w:tabs>
      <w:spacing w:after="0"/>
      <w:ind w:left="1588" w:hanging="397"/>
    </w:pPr>
    <w:rPr>
      <w:spacing w:val="0"/>
    </w:rPr>
  </w:style>
  <w:style w:type="paragraph" w:customStyle="1" w:styleId="friliste5">
    <w:name w:val="friliste 5"/>
    <w:basedOn w:val="Normal"/>
    <w:qFormat/>
    <w:rsid w:val="0039518E"/>
    <w:pPr>
      <w:tabs>
        <w:tab w:val="left" w:pos="1985"/>
      </w:tabs>
      <w:spacing w:after="0"/>
      <w:ind w:left="1985" w:hanging="397"/>
    </w:pPr>
    <w:rPr>
      <w:spacing w:val="0"/>
    </w:rPr>
  </w:style>
  <w:style w:type="paragraph" w:customStyle="1" w:styleId="Fullmakttit">
    <w:name w:val="Fullmakttit"/>
    <w:basedOn w:val="Normal"/>
    <w:next w:val="Normal"/>
    <w:rsid w:val="0039518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39518E"/>
    <w:pPr>
      <w:jc w:val="right"/>
    </w:pPr>
    <w:rPr>
      <w:rFonts w:ascii="Times" w:hAnsi="Times"/>
      <w:b/>
      <w:noProof/>
    </w:rPr>
  </w:style>
  <w:style w:type="paragraph" w:customStyle="1" w:styleId="i-dep">
    <w:name w:val="i-dep"/>
    <w:basedOn w:val="Normal"/>
    <w:next w:val="Normal"/>
    <w:rsid w:val="0039518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9518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9518E"/>
    <w:pPr>
      <w:keepNext/>
      <w:keepLines/>
      <w:jc w:val="center"/>
    </w:pPr>
    <w:rPr>
      <w:rFonts w:eastAsia="Batang"/>
      <w:b/>
      <w:sz w:val="28"/>
    </w:rPr>
  </w:style>
  <w:style w:type="paragraph" w:customStyle="1" w:styleId="i-mtit">
    <w:name w:val="i-mtit"/>
    <w:basedOn w:val="Normal"/>
    <w:next w:val="Normal"/>
    <w:rsid w:val="0039518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39518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9518E"/>
    <w:pPr>
      <w:spacing w:after="0"/>
      <w:jc w:val="center"/>
    </w:pPr>
    <w:rPr>
      <w:rFonts w:ascii="Times" w:hAnsi="Times"/>
      <w:i/>
      <w:noProof/>
    </w:rPr>
  </w:style>
  <w:style w:type="paragraph" w:customStyle="1" w:styleId="i-termin">
    <w:name w:val="i-termin"/>
    <w:basedOn w:val="Normal"/>
    <w:next w:val="Normal"/>
    <w:rsid w:val="0039518E"/>
    <w:pPr>
      <w:spacing w:before="360"/>
      <w:jc w:val="center"/>
    </w:pPr>
    <w:rPr>
      <w:b/>
      <w:noProof/>
      <w:sz w:val="28"/>
    </w:rPr>
  </w:style>
  <w:style w:type="paragraph" w:customStyle="1" w:styleId="i-tit">
    <w:name w:val="i-tit"/>
    <w:basedOn w:val="Normal"/>
    <w:next w:val="i-statsrdato"/>
    <w:rsid w:val="0039518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9518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9518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39518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9518E"/>
    <w:pPr>
      <w:numPr>
        <w:numId w:val="37"/>
      </w:numPr>
    </w:pPr>
  </w:style>
  <w:style w:type="paragraph" w:customStyle="1" w:styleId="l-alfaliste2">
    <w:name w:val="l-alfaliste 2"/>
    <w:basedOn w:val="alfaliste2"/>
    <w:qFormat/>
    <w:rsid w:val="0039518E"/>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9518E"/>
    <w:pPr>
      <w:numPr>
        <w:numId w:val="3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9518E"/>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9518E"/>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39518E"/>
    <w:pPr>
      <w:spacing w:after="0"/>
      <w:ind w:firstLine="397"/>
    </w:pPr>
    <w:rPr>
      <w:rFonts w:ascii="Times" w:hAnsi="Times"/>
    </w:rPr>
  </w:style>
  <w:style w:type="paragraph" w:customStyle="1" w:styleId="tabell-noter">
    <w:name w:val="tabell-noter"/>
    <w:basedOn w:val="Normal"/>
    <w:next w:val="Normal"/>
    <w:rsid w:val="0039518E"/>
    <w:pPr>
      <w:tabs>
        <w:tab w:val="left" w:pos="284"/>
      </w:tabs>
      <w:spacing w:before="120" w:line="240" w:lineRule="auto"/>
      <w:contextualSpacing/>
    </w:pPr>
    <w:rPr>
      <w:rFonts w:ascii="Times" w:eastAsia="Batang" w:hAnsi="Times"/>
      <w:spacing w:val="0"/>
      <w:sz w:val="20"/>
      <w:szCs w:val="20"/>
    </w:rPr>
  </w:style>
  <w:style w:type="paragraph" w:customStyle="1" w:styleId="l-tit-endr-paragraf">
    <w:name w:val="l-tit-endr-paragraf"/>
    <w:basedOn w:val="Normal"/>
    <w:qFormat/>
    <w:rsid w:val="0039518E"/>
    <w:pPr>
      <w:keepNext/>
      <w:spacing w:before="240" w:after="0" w:line="240" w:lineRule="auto"/>
    </w:pPr>
    <w:rPr>
      <w:rFonts w:ascii="Times" w:hAnsi="Times"/>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9518E"/>
    <w:pPr>
      <w:numPr>
        <w:numId w:val="31"/>
      </w:numPr>
      <w:spacing w:line="240" w:lineRule="auto"/>
      <w:contextualSpacing/>
    </w:pPr>
  </w:style>
  <w:style w:type="paragraph" w:styleId="Liste2">
    <w:name w:val="List 2"/>
    <w:basedOn w:val="Normal"/>
    <w:rsid w:val="0039518E"/>
    <w:pPr>
      <w:numPr>
        <w:ilvl w:val="1"/>
        <w:numId w:val="31"/>
      </w:numPr>
      <w:spacing w:after="0"/>
    </w:pPr>
  </w:style>
  <w:style w:type="paragraph" w:styleId="Liste3">
    <w:name w:val="List 3"/>
    <w:basedOn w:val="Normal"/>
    <w:rsid w:val="0039518E"/>
    <w:pPr>
      <w:numPr>
        <w:ilvl w:val="2"/>
        <w:numId w:val="31"/>
      </w:numPr>
      <w:spacing w:after="0"/>
    </w:pPr>
    <w:rPr>
      <w:spacing w:val="0"/>
    </w:rPr>
  </w:style>
  <w:style w:type="paragraph" w:styleId="Liste4">
    <w:name w:val="List 4"/>
    <w:basedOn w:val="Normal"/>
    <w:rsid w:val="0039518E"/>
    <w:pPr>
      <w:numPr>
        <w:ilvl w:val="3"/>
        <w:numId w:val="31"/>
      </w:numPr>
      <w:spacing w:after="0"/>
    </w:pPr>
    <w:rPr>
      <w:spacing w:val="0"/>
    </w:rPr>
  </w:style>
  <w:style w:type="paragraph" w:styleId="Liste5">
    <w:name w:val="List 5"/>
    <w:basedOn w:val="Normal"/>
    <w:rsid w:val="0039518E"/>
    <w:pPr>
      <w:numPr>
        <w:ilvl w:val="4"/>
        <w:numId w:val="31"/>
      </w:numPr>
      <w:spacing w:after="0"/>
    </w:pPr>
    <w:rPr>
      <w:spacing w:val="0"/>
    </w:rPr>
  </w:style>
  <w:style w:type="paragraph" w:customStyle="1" w:styleId="Listebombe">
    <w:name w:val="Liste bombe"/>
    <w:basedOn w:val="Liste"/>
    <w:qFormat/>
    <w:rsid w:val="0039518E"/>
    <w:pPr>
      <w:numPr>
        <w:numId w:val="39"/>
      </w:numPr>
      <w:tabs>
        <w:tab w:val="left" w:pos="397"/>
      </w:tabs>
      <w:ind w:left="397" w:hanging="397"/>
    </w:pPr>
  </w:style>
  <w:style w:type="paragraph" w:customStyle="1" w:styleId="Listebombe2">
    <w:name w:val="Liste bombe 2"/>
    <w:basedOn w:val="Liste2"/>
    <w:qFormat/>
    <w:rsid w:val="0039518E"/>
    <w:pPr>
      <w:numPr>
        <w:ilvl w:val="0"/>
        <w:numId w:val="40"/>
      </w:numPr>
      <w:ind w:left="794" w:hanging="397"/>
    </w:pPr>
  </w:style>
  <w:style w:type="paragraph" w:customStyle="1" w:styleId="Listebombe3">
    <w:name w:val="Liste bombe 3"/>
    <w:basedOn w:val="Liste3"/>
    <w:qFormat/>
    <w:rsid w:val="0039518E"/>
    <w:pPr>
      <w:numPr>
        <w:ilvl w:val="0"/>
        <w:numId w:val="41"/>
      </w:numPr>
      <w:ind w:left="1191" w:hanging="397"/>
    </w:pPr>
  </w:style>
  <w:style w:type="paragraph" w:customStyle="1" w:styleId="Listebombe4">
    <w:name w:val="Liste bombe 4"/>
    <w:basedOn w:val="Liste4"/>
    <w:qFormat/>
    <w:rsid w:val="0039518E"/>
    <w:pPr>
      <w:numPr>
        <w:ilvl w:val="0"/>
        <w:numId w:val="42"/>
      </w:numPr>
      <w:ind w:left="1588" w:hanging="397"/>
    </w:pPr>
  </w:style>
  <w:style w:type="paragraph" w:customStyle="1" w:styleId="Listebombe5">
    <w:name w:val="Liste bombe 5"/>
    <w:basedOn w:val="Liste5"/>
    <w:qFormat/>
    <w:rsid w:val="0039518E"/>
    <w:pPr>
      <w:numPr>
        <w:ilvl w:val="0"/>
        <w:numId w:val="43"/>
      </w:numPr>
      <w:ind w:left="1985" w:hanging="397"/>
    </w:pPr>
  </w:style>
  <w:style w:type="paragraph" w:customStyle="1" w:styleId="Normalref">
    <w:name w:val="Normalref"/>
    <w:basedOn w:val="Normal"/>
    <w:qFormat/>
    <w:rsid w:val="0039518E"/>
    <w:pPr>
      <w:spacing w:after="0"/>
      <w:ind w:left="397" w:hanging="397"/>
    </w:pPr>
    <w:rPr>
      <w:spacing w:val="0"/>
    </w:rPr>
  </w:style>
  <w:style w:type="paragraph" w:customStyle="1" w:styleId="tittel-ramme">
    <w:name w:val="tittel-ramme"/>
    <w:basedOn w:val="Normal"/>
    <w:next w:val="Normal"/>
    <w:rsid w:val="0039518E"/>
    <w:pPr>
      <w:keepNext/>
      <w:keepLines/>
      <w:numPr>
        <w:ilvl w:val="7"/>
        <w:numId w:val="46"/>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39518E"/>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9518E"/>
    <w:pPr>
      <w:numPr>
        <w:numId w:val="29"/>
      </w:numPr>
      <w:spacing w:after="0"/>
    </w:pPr>
    <w:rPr>
      <w:rFonts w:ascii="Times" w:eastAsia="Batang" w:hAnsi="Times"/>
      <w:spacing w:val="0"/>
      <w:szCs w:val="20"/>
    </w:rPr>
  </w:style>
  <w:style w:type="paragraph" w:styleId="Nummerertliste2">
    <w:name w:val="List Number 2"/>
    <w:basedOn w:val="Normal"/>
    <w:rsid w:val="0039518E"/>
    <w:pPr>
      <w:numPr>
        <w:ilvl w:val="1"/>
        <w:numId w:val="2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9518E"/>
    <w:pPr>
      <w:numPr>
        <w:ilvl w:val="2"/>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9518E"/>
    <w:pPr>
      <w:numPr>
        <w:ilvl w:val="3"/>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9518E"/>
    <w:pPr>
      <w:numPr>
        <w:ilvl w:val="4"/>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9518E"/>
    <w:pPr>
      <w:spacing w:after="0"/>
      <w:ind w:left="397"/>
    </w:pPr>
    <w:rPr>
      <w:spacing w:val="0"/>
      <w:lang w:val="en-US"/>
    </w:rPr>
  </w:style>
  <w:style w:type="paragraph" w:customStyle="1" w:styleId="opplisting3">
    <w:name w:val="opplisting 3"/>
    <w:basedOn w:val="Normal"/>
    <w:qFormat/>
    <w:rsid w:val="0039518E"/>
    <w:pPr>
      <w:spacing w:after="0"/>
      <w:ind w:left="794"/>
    </w:pPr>
    <w:rPr>
      <w:spacing w:val="0"/>
    </w:rPr>
  </w:style>
  <w:style w:type="paragraph" w:customStyle="1" w:styleId="opplisting4">
    <w:name w:val="opplisting 4"/>
    <w:basedOn w:val="Normal"/>
    <w:qFormat/>
    <w:rsid w:val="0039518E"/>
    <w:pPr>
      <w:spacing w:after="0"/>
      <w:ind w:left="1191"/>
    </w:pPr>
    <w:rPr>
      <w:spacing w:val="0"/>
    </w:rPr>
  </w:style>
  <w:style w:type="paragraph" w:customStyle="1" w:styleId="opplisting5">
    <w:name w:val="opplisting 5"/>
    <w:basedOn w:val="Normal"/>
    <w:qFormat/>
    <w:rsid w:val="0039518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39518E"/>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9518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9518E"/>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39518E"/>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9518E"/>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9518E"/>
    <w:pPr>
      <w:keepNext/>
      <w:keepLines/>
      <w:spacing w:before="240"/>
      <w:jc w:val="center"/>
    </w:pPr>
    <w:rPr>
      <w:spacing w:val="30"/>
    </w:rPr>
  </w:style>
  <w:style w:type="character" w:customStyle="1" w:styleId="Overskrift4Tegn">
    <w:name w:val="Overskrift 4 Tegn"/>
    <w:link w:val="Overskrift4"/>
    <w:rsid w:val="0039518E"/>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39518E"/>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9518E"/>
    <w:rPr>
      <w:spacing w:val="6"/>
      <w:sz w:val="19"/>
    </w:rPr>
  </w:style>
  <w:style w:type="paragraph" w:customStyle="1" w:styleId="ramme-noter">
    <w:name w:val="ramme-noter"/>
    <w:basedOn w:val="Normal"/>
    <w:next w:val="Normal"/>
    <w:rsid w:val="0039518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9518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9518E"/>
    <w:pPr>
      <w:numPr>
        <w:numId w:val="38"/>
      </w:numPr>
      <w:spacing w:after="0" w:line="240" w:lineRule="auto"/>
    </w:pPr>
    <w:rPr>
      <w:rFonts w:ascii="Times" w:eastAsia="Batang" w:hAnsi="Times"/>
      <w:spacing w:val="0"/>
      <w:szCs w:val="20"/>
    </w:rPr>
  </w:style>
  <w:style w:type="paragraph" w:customStyle="1" w:styleId="romertallliste2">
    <w:name w:val="romertall liste 2"/>
    <w:basedOn w:val="Normal"/>
    <w:rsid w:val="0039518E"/>
    <w:pPr>
      <w:numPr>
        <w:ilvl w:val="1"/>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9518E"/>
    <w:pPr>
      <w:numPr>
        <w:ilvl w:val="2"/>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9518E"/>
    <w:pPr>
      <w:numPr>
        <w:ilvl w:val="3"/>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9518E"/>
    <w:pPr>
      <w:numPr>
        <w:ilvl w:val="4"/>
        <w:numId w:val="3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9518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9518E"/>
    <w:pPr>
      <w:keepNext/>
      <w:keepLines/>
      <w:numPr>
        <w:ilvl w:val="6"/>
        <w:numId w:val="4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9518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9518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9518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9518E"/>
    <w:pPr>
      <w:keepNext/>
      <w:keepLines/>
      <w:spacing w:before="360" w:after="240"/>
      <w:jc w:val="center"/>
    </w:pPr>
    <w:rPr>
      <w:rFonts w:ascii="Arial" w:hAnsi="Arial"/>
      <w:b/>
      <w:sz w:val="28"/>
    </w:rPr>
  </w:style>
  <w:style w:type="paragraph" w:customStyle="1" w:styleId="tittel-ordforkl">
    <w:name w:val="tittel-ordforkl"/>
    <w:basedOn w:val="Normal"/>
    <w:next w:val="Normal"/>
    <w:rsid w:val="0039518E"/>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9518E"/>
    <w:pPr>
      <w:keepNext/>
      <w:keepLines/>
      <w:spacing w:before="360"/>
    </w:pPr>
    <w:rPr>
      <w:rFonts w:ascii="Arial" w:hAnsi="Arial"/>
      <w:b/>
      <w:sz w:val="28"/>
    </w:rPr>
  </w:style>
  <w:style w:type="character" w:customStyle="1" w:styleId="UndertittelTegn">
    <w:name w:val="Undertittel Tegn"/>
    <w:link w:val="Undertittel"/>
    <w:rsid w:val="0039518E"/>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9518E"/>
    <w:pPr>
      <w:numPr>
        <w:numId w:val="0"/>
      </w:numPr>
    </w:pPr>
    <w:rPr>
      <w:b w:val="0"/>
      <w:i/>
    </w:rPr>
  </w:style>
  <w:style w:type="paragraph" w:customStyle="1" w:styleId="Undervedl-tittel">
    <w:name w:val="Undervedl-tittel"/>
    <w:basedOn w:val="Normal"/>
    <w:next w:val="Normal"/>
    <w:rsid w:val="0039518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9518E"/>
    <w:pPr>
      <w:numPr>
        <w:numId w:val="0"/>
      </w:numPr>
      <w:outlineLvl w:val="9"/>
    </w:pPr>
  </w:style>
  <w:style w:type="paragraph" w:customStyle="1" w:styleId="v-Overskrift2">
    <w:name w:val="v-Overskrift 2"/>
    <w:basedOn w:val="Overskrift2"/>
    <w:next w:val="Normal"/>
    <w:rsid w:val="0039518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9518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9518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9518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39518E"/>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9518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9518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9518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9518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9518E"/>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39518E"/>
  </w:style>
  <w:style w:type="paragraph" w:customStyle="1" w:styleId="l-tit-endr-ledd">
    <w:name w:val="l-tit-endr-ledd"/>
    <w:basedOn w:val="Normal"/>
    <w:qFormat/>
    <w:rsid w:val="0039518E"/>
    <w:pPr>
      <w:keepNext/>
      <w:spacing w:before="240" w:after="0" w:line="240" w:lineRule="auto"/>
    </w:pPr>
    <w:rPr>
      <w:rFonts w:ascii="Times" w:hAnsi="Times"/>
      <w:noProof/>
      <w:lang w:val="nn-NO"/>
    </w:rPr>
  </w:style>
  <w:style w:type="paragraph" w:customStyle="1" w:styleId="l-tit-endr-lov">
    <w:name w:val="l-tit-endr-lov"/>
    <w:basedOn w:val="Normal"/>
    <w:qFormat/>
    <w:rsid w:val="0039518E"/>
    <w:pPr>
      <w:keepNext/>
      <w:spacing w:before="240" w:after="0" w:line="240" w:lineRule="auto"/>
    </w:pPr>
    <w:rPr>
      <w:rFonts w:ascii="Times" w:hAnsi="Times"/>
      <w:noProof/>
      <w:lang w:val="nn-NO"/>
    </w:rPr>
  </w:style>
  <w:style w:type="paragraph" w:customStyle="1" w:styleId="l-tit-endr-lovdel">
    <w:name w:val="l-tit-endr-lovdel"/>
    <w:basedOn w:val="Normal"/>
    <w:qFormat/>
    <w:rsid w:val="0039518E"/>
    <w:pPr>
      <w:keepNext/>
      <w:spacing w:before="240" w:after="0" w:line="240" w:lineRule="auto"/>
    </w:pPr>
    <w:rPr>
      <w:rFonts w:ascii="Times" w:hAnsi="Times"/>
      <w:noProof/>
      <w:lang w:val="nn-NO"/>
    </w:rPr>
  </w:style>
  <w:style w:type="paragraph" w:customStyle="1" w:styleId="l-tit-endr-lovkap">
    <w:name w:val="l-tit-endr-lovkap"/>
    <w:basedOn w:val="Normal"/>
    <w:qFormat/>
    <w:rsid w:val="0039518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39518E"/>
  </w:style>
  <w:style w:type="paragraph" w:customStyle="1" w:styleId="a-tilraar-dep">
    <w:name w:val="a-tilraar-dep"/>
    <w:basedOn w:val="Normal"/>
    <w:next w:val="Normal"/>
    <w:rsid w:val="0039518E"/>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9518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9518E"/>
    <w:pPr>
      <w:numPr>
        <w:ilvl w:val="5"/>
        <w:numId w:val="4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9518E"/>
    <w:pPr>
      <w:keepNext/>
      <w:keepLines/>
      <w:numPr>
        <w:numId w:val="27"/>
      </w:numPr>
      <w:ind w:left="357" w:hanging="357"/>
      <w:outlineLvl w:val="0"/>
    </w:pPr>
    <w:rPr>
      <w:rFonts w:ascii="Arial" w:hAnsi="Arial"/>
      <w:b/>
      <w:u w:val="single"/>
    </w:rPr>
  </w:style>
  <w:style w:type="paragraph" w:customStyle="1" w:styleId="Kilde">
    <w:name w:val="Kilde"/>
    <w:basedOn w:val="Normal"/>
    <w:next w:val="Normal"/>
    <w:rsid w:val="0039518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39518E"/>
    <w:rPr>
      <w:color w:val="0000FF"/>
      <w:u w:val="single"/>
    </w:rPr>
  </w:style>
  <w:style w:type="character" w:customStyle="1" w:styleId="BunntekstTegn">
    <w:name w:val="Bunntekst Tegn"/>
    <w:link w:val="Bunntekst"/>
    <w:rsid w:val="0039518E"/>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9518E"/>
    <w:rPr>
      <w:rFonts w:ascii="Times New Roman" w:eastAsia="Times New Roman" w:hAnsi="Times New Roman"/>
      <w:spacing w:val="4"/>
      <w:kern w:val="0"/>
      <w:szCs w:val="22"/>
    </w:rPr>
  </w:style>
  <w:style w:type="character" w:styleId="Fotnotereferanse">
    <w:name w:val="footnote reference"/>
    <w:rsid w:val="0039518E"/>
    <w:rPr>
      <w:vertAlign w:val="superscript"/>
    </w:rPr>
  </w:style>
  <w:style w:type="character" w:customStyle="1" w:styleId="gjennomstreket">
    <w:name w:val="gjennomstreket"/>
    <w:uiPriority w:val="1"/>
    <w:rsid w:val="0039518E"/>
    <w:rPr>
      <w:strike/>
      <w:dstrike w:val="0"/>
    </w:rPr>
  </w:style>
  <w:style w:type="character" w:customStyle="1" w:styleId="halvfet0">
    <w:name w:val="halvfet"/>
    <w:rsid w:val="0039518E"/>
    <w:rPr>
      <w:b/>
    </w:rPr>
  </w:style>
  <w:style w:type="character" w:customStyle="1" w:styleId="kursiv">
    <w:name w:val="kursiv"/>
    <w:rsid w:val="0039518E"/>
    <w:rPr>
      <w:i/>
    </w:rPr>
  </w:style>
  <w:style w:type="character" w:customStyle="1" w:styleId="l-endring">
    <w:name w:val="l-endring"/>
    <w:rsid w:val="003951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9518E"/>
  </w:style>
  <w:style w:type="character" w:styleId="Plassholdertekst">
    <w:name w:val="Placeholder Text"/>
    <w:uiPriority w:val="99"/>
    <w:rsid w:val="0039518E"/>
    <w:rPr>
      <w:color w:val="808080"/>
    </w:rPr>
  </w:style>
  <w:style w:type="character" w:customStyle="1" w:styleId="regular">
    <w:name w:val="regular"/>
    <w:uiPriority w:val="1"/>
    <w:qFormat/>
    <w:rsid w:val="0039518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9518E"/>
    <w:rPr>
      <w:vertAlign w:val="superscript"/>
    </w:rPr>
  </w:style>
  <w:style w:type="character" w:customStyle="1" w:styleId="skrift-senket">
    <w:name w:val="skrift-senket"/>
    <w:rsid w:val="0039518E"/>
    <w:rPr>
      <w:vertAlign w:val="subscript"/>
    </w:rPr>
  </w:style>
  <w:style w:type="character" w:customStyle="1" w:styleId="SluttnotetekstTegn">
    <w:name w:val="Sluttnotetekst Tegn"/>
    <w:link w:val="Sluttnotetekst"/>
    <w:uiPriority w:val="99"/>
    <w:semiHidden/>
    <w:rsid w:val="0039518E"/>
    <w:rPr>
      <w:rFonts w:ascii="Times New Roman" w:eastAsia="Times New Roman" w:hAnsi="Times New Roman"/>
      <w:spacing w:val="4"/>
      <w:kern w:val="0"/>
      <w:sz w:val="20"/>
      <w:szCs w:val="20"/>
    </w:rPr>
  </w:style>
  <w:style w:type="character" w:customStyle="1" w:styleId="sperret0">
    <w:name w:val="sperret"/>
    <w:rsid w:val="0039518E"/>
    <w:rPr>
      <w:spacing w:val="30"/>
    </w:rPr>
  </w:style>
  <w:style w:type="character" w:customStyle="1" w:styleId="SterktsitatTegn">
    <w:name w:val="Sterkt sitat Tegn"/>
    <w:link w:val="Sterktsitat"/>
    <w:uiPriority w:val="30"/>
    <w:rsid w:val="0039518E"/>
    <w:rPr>
      <w:rFonts w:ascii="Times New Roman" w:eastAsia="Times New Roman" w:hAnsi="Times New Roman"/>
      <w:b/>
      <w:bCs/>
      <w:i/>
      <w:iCs/>
      <w:color w:val="4F81BD"/>
      <w:spacing w:val="4"/>
      <w:kern w:val="0"/>
      <w:szCs w:val="22"/>
    </w:rPr>
  </w:style>
  <w:style w:type="character" w:customStyle="1" w:styleId="Stikkord">
    <w:name w:val="Stikkord"/>
    <w:rsid w:val="0039518E"/>
    <w:rPr>
      <w:color w:val="0000FF"/>
    </w:rPr>
  </w:style>
  <w:style w:type="character" w:customStyle="1" w:styleId="stikkord0">
    <w:name w:val="stikkord"/>
    <w:uiPriority w:val="99"/>
  </w:style>
  <w:style w:type="character" w:styleId="Sterk">
    <w:name w:val="Strong"/>
    <w:uiPriority w:val="22"/>
    <w:qFormat/>
    <w:rsid w:val="0039518E"/>
    <w:rPr>
      <w:b/>
      <w:bCs/>
    </w:rPr>
  </w:style>
  <w:style w:type="character" w:customStyle="1" w:styleId="TopptekstTegn">
    <w:name w:val="Topptekst Tegn"/>
    <w:link w:val="Topptekst"/>
    <w:rsid w:val="0039518E"/>
    <w:rPr>
      <w:rFonts w:ascii="Times New Roman" w:eastAsia="Times New Roman" w:hAnsi="Times New Roman"/>
      <w:kern w:val="0"/>
      <w:sz w:val="20"/>
      <w:szCs w:val="22"/>
    </w:rPr>
  </w:style>
  <w:style w:type="character" w:customStyle="1" w:styleId="UnderskriftTegn">
    <w:name w:val="Underskrift Tegn"/>
    <w:link w:val="Underskrift"/>
    <w:uiPriority w:val="99"/>
    <w:rsid w:val="0039518E"/>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39518E"/>
    <w:rPr>
      <w:rFonts w:ascii="Arial" w:eastAsia="Times New Roman" w:hAnsi="Arial"/>
      <w:i/>
      <w:spacing w:val="4"/>
      <w:kern w:val="0"/>
      <w:sz w:val="22"/>
      <w:szCs w:val="22"/>
    </w:rPr>
  </w:style>
  <w:style w:type="character" w:customStyle="1" w:styleId="Overskrift7Tegn">
    <w:name w:val="Overskrift 7 Tegn"/>
    <w:link w:val="Overskrift7"/>
    <w:rsid w:val="0039518E"/>
    <w:rPr>
      <w:rFonts w:ascii="Arial" w:eastAsia="Times New Roman" w:hAnsi="Arial"/>
      <w:spacing w:val="4"/>
      <w:kern w:val="0"/>
      <w:szCs w:val="22"/>
    </w:rPr>
  </w:style>
  <w:style w:type="character" w:customStyle="1" w:styleId="Overskrift8Tegn">
    <w:name w:val="Overskrift 8 Tegn"/>
    <w:link w:val="Overskrift8"/>
    <w:rsid w:val="0039518E"/>
    <w:rPr>
      <w:rFonts w:ascii="Arial" w:eastAsia="Times New Roman" w:hAnsi="Arial"/>
      <w:i/>
      <w:spacing w:val="4"/>
      <w:kern w:val="0"/>
      <w:szCs w:val="22"/>
    </w:rPr>
  </w:style>
  <w:style w:type="character" w:customStyle="1" w:styleId="Overskrift9Tegn">
    <w:name w:val="Overskrift 9 Tegn"/>
    <w:link w:val="Overskrift9"/>
    <w:rsid w:val="0039518E"/>
    <w:rPr>
      <w:rFonts w:ascii="Arial" w:eastAsia="Times New Roman" w:hAnsi="Arial"/>
      <w:i/>
      <w:spacing w:val="4"/>
      <w:kern w:val="0"/>
      <w:sz w:val="18"/>
      <w:szCs w:val="22"/>
    </w:rPr>
  </w:style>
  <w:style w:type="table" w:customStyle="1" w:styleId="Tabell-VM">
    <w:name w:val="Tabell-VM"/>
    <w:basedOn w:val="Tabelltemaer"/>
    <w:uiPriority w:val="99"/>
    <w:qFormat/>
    <w:rsid w:val="0039518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9518E"/>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9518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9518E"/>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9518E"/>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39518E"/>
    <w:pPr>
      <w:tabs>
        <w:tab w:val="center" w:pos="4153"/>
        <w:tab w:val="right" w:pos="8306"/>
      </w:tabs>
    </w:pPr>
    <w:rPr>
      <w:sz w:val="20"/>
    </w:rPr>
  </w:style>
  <w:style w:type="character" w:customStyle="1" w:styleId="BunntekstTegn1">
    <w:name w:val="Bunntekst Tegn1"/>
    <w:basedOn w:val="Standardskriftforavsnitt"/>
    <w:uiPriority w:val="99"/>
    <w:semiHidden/>
    <w:rsid w:val="0039518E"/>
    <w:rPr>
      <w:rFonts w:ascii="Times New Roman" w:eastAsia="Times New Roman" w:hAnsi="Times New Roman"/>
      <w:spacing w:val="4"/>
      <w:kern w:val="0"/>
      <w:szCs w:val="22"/>
      <w14:ligatures w14:val="none"/>
    </w:rPr>
  </w:style>
  <w:style w:type="paragraph" w:styleId="INNH1">
    <w:name w:val="toc 1"/>
    <w:basedOn w:val="Normal"/>
    <w:next w:val="Normal"/>
    <w:uiPriority w:val="39"/>
    <w:rsid w:val="0039518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9518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9518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9518E"/>
    <w:pPr>
      <w:tabs>
        <w:tab w:val="right" w:leader="dot" w:pos="8306"/>
      </w:tabs>
      <w:ind w:left="600"/>
    </w:pPr>
    <w:rPr>
      <w:spacing w:val="0"/>
    </w:rPr>
  </w:style>
  <w:style w:type="paragraph" w:styleId="INNH5">
    <w:name w:val="toc 5"/>
    <w:basedOn w:val="Normal"/>
    <w:next w:val="Normal"/>
    <w:rsid w:val="0039518E"/>
    <w:pPr>
      <w:tabs>
        <w:tab w:val="right" w:leader="dot" w:pos="8306"/>
      </w:tabs>
      <w:ind w:left="800"/>
    </w:pPr>
    <w:rPr>
      <w:spacing w:val="0"/>
    </w:rPr>
  </w:style>
  <w:style w:type="character" w:styleId="Merknadsreferanse">
    <w:name w:val="annotation reference"/>
    <w:rsid w:val="0039518E"/>
    <w:rPr>
      <w:sz w:val="16"/>
    </w:rPr>
  </w:style>
  <w:style w:type="paragraph" w:styleId="Merknadstekst">
    <w:name w:val="annotation text"/>
    <w:basedOn w:val="Normal"/>
    <w:link w:val="MerknadstekstTegn"/>
    <w:rsid w:val="0039518E"/>
    <w:rPr>
      <w:spacing w:val="0"/>
      <w:sz w:val="20"/>
    </w:rPr>
  </w:style>
  <w:style w:type="character" w:customStyle="1" w:styleId="MerknadstekstTegn">
    <w:name w:val="Merknadstekst Tegn"/>
    <w:link w:val="Merknadstekst"/>
    <w:rsid w:val="0039518E"/>
    <w:rPr>
      <w:rFonts w:ascii="Times New Roman" w:eastAsia="Times New Roman" w:hAnsi="Times New Roman"/>
      <w:kern w:val="0"/>
      <w:sz w:val="20"/>
      <w:szCs w:val="22"/>
    </w:rPr>
  </w:style>
  <w:style w:type="paragraph" w:styleId="Punktliste">
    <w:name w:val="List Bullet"/>
    <w:basedOn w:val="Normal"/>
    <w:rsid w:val="0039518E"/>
    <w:pPr>
      <w:spacing w:after="0"/>
      <w:ind w:left="284" w:hanging="284"/>
    </w:pPr>
  </w:style>
  <w:style w:type="paragraph" w:styleId="Punktliste2">
    <w:name w:val="List Bullet 2"/>
    <w:basedOn w:val="Normal"/>
    <w:rsid w:val="0039518E"/>
    <w:pPr>
      <w:spacing w:after="0"/>
      <w:ind w:left="568" w:hanging="284"/>
    </w:pPr>
  </w:style>
  <w:style w:type="paragraph" w:styleId="Punktliste3">
    <w:name w:val="List Bullet 3"/>
    <w:basedOn w:val="Normal"/>
    <w:rsid w:val="0039518E"/>
    <w:pPr>
      <w:spacing w:after="0"/>
      <w:ind w:left="851" w:hanging="284"/>
    </w:pPr>
  </w:style>
  <w:style w:type="paragraph" w:styleId="Punktliste4">
    <w:name w:val="List Bullet 4"/>
    <w:basedOn w:val="Normal"/>
    <w:rsid w:val="0039518E"/>
    <w:pPr>
      <w:spacing w:after="0"/>
      <w:ind w:left="1135" w:hanging="284"/>
    </w:pPr>
    <w:rPr>
      <w:spacing w:val="0"/>
    </w:rPr>
  </w:style>
  <w:style w:type="paragraph" w:styleId="Punktliste5">
    <w:name w:val="List Bullet 5"/>
    <w:basedOn w:val="Normal"/>
    <w:rsid w:val="0039518E"/>
    <w:pPr>
      <w:spacing w:after="0"/>
      <w:ind w:left="1418" w:hanging="284"/>
    </w:pPr>
    <w:rPr>
      <w:spacing w:val="0"/>
    </w:rPr>
  </w:style>
  <w:style w:type="paragraph" w:styleId="Topptekst">
    <w:name w:val="header"/>
    <w:basedOn w:val="Normal"/>
    <w:link w:val="TopptekstTegn"/>
    <w:rsid w:val="0039518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9518E"/>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39518E"/>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9518E"/>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9518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9518E"/>
    <w:pPr>
      <w:spacing w:after="0" w:line="240" w:lineRule="auto"/>
      <w:ind w:left="240" w:hanging="240"/>
    </w:pPr>
  </w:style>
  <w:style w:type="paragraph" w:styleId="Indeks2">
    <w:name w:val="index 2"/>
    <w:basedOn w:val="Normal"/>
    <w:next w:val="Normal"/>
    <w:autoRedefine/>
    <w:uiPriority w:val="99"/>
    <w:semiHidden/>
    <w:unhideWhenUsed/>
    <w:rsid w:val="0039518E"/>
    <w:pPr>
      <w:spacing w:after="0" w:line="240" w:lineRule="auto"/>
      <w:ind w:left="480" w:hanging="240"/>
    </w:pPr>
  </w:style>
  <w:style w:type="paragraph" w:styleId="Indeks3">
    <w:name w:val="index 3"/>
    <w:basedOn w:val="Normal"/>
    <w:next w:val="Normal"/>
    <w:autoRedefine/>
    <w:uiPriority w:val="99"/>
    <w:semiHidden/>
    <w:unhideWhenUsed/>
    <w:rsid w:val="0039518E"/>
    <w:pPr>
      <w:spacing w:after="0" w:line="240" w:lineRule="auto"/>
      <w:ind w:left="720" w:hanging="240"/>
    </w:pPr>
  </w:style>
  <w:style w:type="paragraph" w:styleId="Indeks4">
    <w:name w:val="index 4"/>
    <w:basedOn w:val="Normal"/>
    <w:next w:val="Normal"/>
    <w:autoRedefine/>
    <w:uiPriority w:val="99"/>
    <w:semiHidden/>
    <w:unhideWhenUsed/>
    <w:rsid w:val="0039518E"/>
    <w:pPr>
      <w:spacing w:after="0" w:line="240" w:lineRule="auto"/>
      <w:ind w:left="960" w:hanging="240"/>
    </w:pPr>
  </w:style>
  <w:style w:type="paragraph" w:styleId="Indeks5">
    <w:name w:val="index 5"/>
    <w:basedOn w:val="Normal"/>
    <w:next w:val="Normal"/>
    <w:autoRedefine/>
    <w:uiPriority w:val="99"/>
    <w:semiHidden/>
    <w:unhideWhenUsed/>
    <w:rsid w:val="0039518E"/>
    <w:pPr>
      <w:spacing w:after="0" w:line="240" w:lineRule="auto"/>
      <w:ind w:left="1200" w:hanging="240"/>
    </w:pPr>
  </w:style>
  <w:style w:type="paragraph" w:styleId="Indeks6">
    <w:name w:val="index 6"/>
    <w:basedOn w:val="Normal"/>
    <w:next w:val="Normal"/>
    <w:autoRedefine/>
    <w:uiPriority w:val="99"/>
    <w:semiHidden/>
    <w:unhideWhenUsed/>
    <w:rsid w:val="0039518E"/>
    <w:pPr>
      <w:spacing w:after="0" w:line="240" w:lineRule="auto"/>
      <w:ind w:left="1440" w:hanging="240"/>
    </w:pPr>
  </w:style>
  <w:style w:type="paragraph" w:styleId="Indeks7">
    <w:name w:val="index 7"/>
    <w:basedOn w:val="Normal"/>
    <w:next w:val="Normal"/>
    <w:autoRedefine/>
    <w:uiPriority w:val="99"/>
    <w:semiHidden/>
    <w:unhideWhenUsed/>
    <w:rsid w:val="0039518E"/>
    <w:pPr>
      <w:spacing w:after="0" w:line="240" w:lineRule="auto"/>
      <w:ind w:left="1680" w:hanging="240"/>
    </w:pPr>
  </w:style>
  <w:style w:type="paragraph" w:styleId="Indeks8">
    <w:name w:val="index 8"/>
    <w:basedOn w:val="Normal"/>
    <w:next w:val="Normal"/>
    <w:autoRedefine/>
    <w:uiPriority w:val="99"/>
    <w:semiHidden/>
    <w:unhideWhenUsed/>
    <w:rsid w:val="0039518E"/>
    <w:pPr>
      <w:spacing w:after="0" w:line="240" w:lineRule="auto"/>
      <w:ind w:left="1920" w:hanging="240"/>
    </w:pPr>
  </w:style>
  <w:style w:type="paragraph" w:styleId="Indeks9">
    <w:name w:val="index 9"/>
    <w:basedOn w:val="Normal"/>
    <w:next w:val="Normal"/>
    <w:autoRedefine/>
    <w:uiPriority w:val="99"/>
    <w:semiHidden/>
    <w:unhideWhenUsed/>
    <w:rsid w:val="0039518E"/>
    <w:pPr>
      <w:spacing w:after="0" w:line="240" w:lineRule="auto"/>
      <w:ind w:left="2160" w:hanging="240"/>
    </w:pPr>
  </w:style>
  <w:style w:type="paragraph" w:styleId="INNH6">
    <w:name w:val="toc 6"/>
    <w:basedOn w:val="Normal"/>
    <w:next w:val="Normal"/>
    <w:autoRedefine/>
    <w:uiPriority w:val="39"/>
    <w:semiHidden/>
    <w:unhideWhenUsed/>
    <w:rsid w:val="0039518E"/>
    <w:pPr>
      <w:spacing w:after="100"/>
      <w:ind w:left="1200"/>
    </w:pPr>
  </w:style>
  <w:style w:type="paragraph" w:styleId="INNH7">
    <w:name w:val="toc 7"/>
    <w:basedOn w:val="Normal"/>
    <w:next w:val="Normal"/>
    <w:autoRedefine/>
    <w:uiPriority w:val="39"/>
    <w:semiHidden/>
    <w:unhideWhenUsed/>
    <w:rsid w:val="0039518E"/>
    <w:pPr>
      <w:spacing w:after="100"/>
      <w:ind w:left="1440"/>
    </w:pPr>
  </w:style>
  <w:style w:type="paragraph" w:styleId="INNH8">
    <w:name w:val="toc 8"/>
    <w:basedOn w:val="Normal"/>
    <w:next w:val="Normal"/>
    <w:autoRedefine/>
    <w:uiPriority w:val="39"/>
    <w:semiHidden/>
    <w:unhideWhenUsed/>
    <w:rsid w:val="0039518E"/>
    <w:pPr>
      <w:spacing w:after="100"/>
      <w:ind w:left="1680"/>
    </w:pPr>
  </w:style>
  <w:style w:type="paragraph" w:styleId="INNH9">
    <w:name w:val="toc 9"/>
    <w:basedOn w:val="Normal"/>
    <w:next w:val="Normal"/>
    <w:autoRedefine/>
    <w:uiPriority w:val="39"/>
    <w:semiHidden/>
    <w:unhideWhenUsed/>
    <w:rsid w:val="0039518E"/>
    <w:pPr>
      <w:spacing w:after="100"/>
      <w:ind w:left="1920"/>
    </w:pPr>
  </w:style>
  <w:style w:type="paragraph" w:styleId="Vanliginnrykk">
    <w:name w:val="Normal Indent"/>
    <w:basedOn w:val="Normal"/>
    <w:uiPriority w:val="99"/>
    <w:semiHidden/>
    <w:unhideWhenUsed/>
    <w:rsid w:val="0039518E"/>
    <w:pPr>
      <w:ind w:left="708"/>
    </w:pPr>
  </w:style>
  <w:style w:type="paragraph" w:styleId="Stikkordregisteroverskrift">
    <w:name w:val="index heading"/>
    <w:basedOn w:val="Normal"/>
    <w:next w:val="Indeks1"/>
    <w:uiPriority w:val="99"/>
    <w:semiHidden/>
    <w:unhideWhenUsed/>
    <w:rsid w:val="0039518E"/>
    <w:rPr>
      <w:rFonts w:ascii="Cambria" w:hAnsi="Cambria" w:cs="Times New Roman"/>
      <w:b/>
      <w:bCs/>
    </w:rPr>
  </w:style>
  <w:style w:type="paragraph" w:styleId="Bildetekst">
    <w:name w:val="caption"/>
    <w:basedOn w:val="Normal"/>
    <w:next w:val="Normal"/>
    <w:uiPriority w:val="35"/>
    <w:semiHidden/>
    <w:unhideWhenUsed/>
    <w:qFormat/>
    <w:rsid w:val="0039518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9518E"/>
    <w:pPr>
      <w:spacing w:after="0"/>
    </w:pPr>
  </w:style>
  <w:style w:type="paragraph" w:styleId="Konvoluttadresse">
    <w:name w:val="envelope address"/>
    <w:basedOn w:val="Normal"/>
    <w:uiPriority w:val="99"/>
    <w:semiHidden/>
    <w:unhideWhenUsed/>
    <w:rsid w:val="0039518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9518E"/>
  </w:style>
  <w:style w:type="character" w:styleId="Sluttnotereferanse">
    <w:name w:val="endnote reference"/>
    <w:uiPriority w:val="99"/>
    <w:semiHidden/>
    <w:unhideWhenUsed/>
    <w:rsid w:val="0039518E"/>
    <w:rPr>
      <w:vertAlign w:val="superscript"/>
    </w:rPr>
  </w:style>
  <w:style w:type="paragraph" w:styleId="Sluttnotetekst">
    <w:name w:val="endnote text"/>
    <w:basedOn w:val="Normal"/>
    <w:link w:val="SluttnotetekstTegn"/>
    <w:uiPriority w:val="99"/>
    <w:semiHidden/>
    <w:unhideWhenUsed/>
    <w:rsid w:val="0039518E"/>
    <w:pPr>
      <w:spacing w:after="0" w:line="240" w:lineRule="auto"/>
    </w:pPr>
    <w:rPr>
      <w:sz w:val="20"/>
      <w:szCs w:val="20"/>
    </w:rPr>
  </w:style>
  <w:style w:type="character" w:customStyle="1" w:styleId="SluttnotetekstTegn1">
    <w:name w:val="Sluttnotetekst Tegn1"/>
    <w:basedOn w:val="Standardskriftforavsnitt"/>
    <w:uiPriority w:val="99"/>
    <w:semiHidden/>
    <w:rsid w:val="0039518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9518E"/>
    <w:pPr>
      <w:spacing w:after="0"/>
      <w:ind w:left="240" w:hanging="240"/>
    </w:pPr>
  </w:style>
  <w:style w:type="paragraph" w:styleId="Makrotekst">
    <w:name w:val="macro"/>
    <w:link w:val="MakrotekstTegn"/>
    <w:uiPriority w:val="99"/>
    <w:semiHidden/>
    <w:unhideWhenUsed/>
    <w:rsid w:val="0039518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39518E"/>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39518E"/>
    <w:pPr>
      <w:spacing w:before="120"/>
    </w:pPr>
    <w:rPr>
      <w:rFonts w:ascii="Cambria" w:hAnsi="Cambria" w:cs="Times New Roman"/>
      <w:b/>
      <w:bCs/>
      <w:szCs w:val="24"/>
    </w:rPr>
  </w:style>
  <w:style w:type="paragraph" w:styleId="Tittel">
    <w:name w:val="Title"/>
    <w:basedOn w:val="Normal"/>
    <w:next w:val="Normal"/>
    <w:link w:val="TittelTegn"/>
    <w:uiPriority w:val="10"/>
    <w:qFormat/>
    <w:rsid w:val="0039518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9518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9518E"/>
    <w:pPr>
      <w:spacing w:after="0" w:line="240" w:lineRule="auto"/>
      <w:ind w:left="4252"/>
    </w:pPr>
  </w:style>
  <w:style w:type="character" w:customStyle="1" w:styleId="HilsenTegn">
    <w:name w:val="Hilsen Tegn"/>
    <w:link w:val="Hilsen"/>
    <w:uiPriority w:val="99"/>
    <w:semiHidden/>
    <w:rsid w:val="0039518E"/>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39518E"/>
    <w:pPr>
      <w:spacing w:after="0" w:line="240" w:lineRule="auto"/>
      <w:ind w:left="4252"/>
    </w:pPr>
  </w:style>
  <w:style w:type="character" w:customStyle="1" w:styleId="UnderskriftTegn1">
    <w:name w:val="Underskrift Tegn1"/>
    <w:basedOn w:val="Standardskriftforavsnitt"/>
    <w:uiPriority w:val="99"/>
    <w:semiHidden/>
    <w:rsid w:val="0039518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9518E"/>
    <w:pPr>
      <w:ind w:left="283"/>
      <w:contextualSpacing/>
    </w:pPr>
  </w:style>
  <w:style w:type="paragraph" w:styleId="Liste-forts2">
    <w:name w:val="List Continue 2"/>
    <w:basedOn w:val="Normal"/>
    <w:uiPriority w:val="99"/>
    <w:semiHidden/>
    <w:unhideWhenUsed/>
    <w:rsid w:val="0039518E"/>
    <w:pPr>
      <w:ind w:left="566"/>
      <w:contextualSpacing/>
    </w:pPr>
  </w:style>
  <w:style w:type="paragraph" w:styleId="Liste-forts3">
    <w:name w:val="List Continue 3"/>
    <w:basedOn w:val="Normal"/>
    <w:uiPriority w:val="99"/>
    <w:semiHidden/>
    <w:unhideWhenUsed/>
    <w:rsid w:val="0039518E"/>
    <w:pPr>
      <w:ind w:left="849"/>
      <w:contextualSpacing/>
    </w:pPr>
  </w:style>
  <w:style w:type="paragraph" w:styleId="Liste-forts4">
    <w:name w:val="List Continue 4"/>
    <w:basedOn w:val="Normal"/>
    <w:uiPriority w:val="99"/>
    <w:semiHidden/>
    <w:unhideWhenUsed/>
    <w:rsid w:val="0039518E"/>
    <w:pPr>
      <w:ind w:left="1132"/>
      <w:contextualSpacing/>
    </w:pPr>
  </w:style>
  <w:style w:type="paragraph" w:styleId="Liste-forts5">
    <w:name w:val="List Continue 5"/>
    <w:basedOn w:val="Normal"/>
    <w:uiPriority w:val="99"/>
    <w:semiHidden/>
    <w:unhideWhenUsed/>
    <w:rsid w:val="0039518E"/>
    <w:pPr>
      <w:ind w:left="1415"/>
      <w:contextualSpacing/>
    </w:pPr>
  </w:style>
  <w:style w:type="paragraph" w:styleId="Meldingshode">
    <w:name w:val="Message Header"/>
    <w:basedOn w:val="Normal"/>
    <w:link w:val="MeldingshodeTegn"/>
    <w:uiPriority w:val="99"/>
    <w:semiHidden/>
    <w:unhideWhenUsed/>
    <w:rsid w:val="003951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9518E"/>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39518E"/>
  </w:style>
  <w:style w:type="character" w:customStyle="1" w:styleId="InnledendehilsenTegn">
    <w:name w:val="Innledende hilsen Tegn"/>
    <w:link w:val="Innledendehilsen"/>
    <w:uiPriority w:val="99"/>
    <w:semiHidden/>
    <w:rsid w:val="0039518E"/>
    <w:rPr>
      <w:rFonts w:ascii="Times New Roman" w:eastAsia="Times New Roman" w:hAnsi="Times New Roman"/>
      <w:spacing w:val="4"/>
      <w:kern w:val="0"/>
      <w:szCs w:val="22"/>
    </w:rPr>
  </w:style>
  <w:style w:type="paragraph" w:styleId="Dato0">
    <w:name w:val="Date"/>
    <w:basedOn w:val="Normal"/>
    <w:next w:val="Normal"/>
    <w:link w:val="DatoTegn"/>
    <w:rsid w:val="0039518E"/>
  </w:style>
  <w:style w:type="character" w:customStyle="1" w:styleId="DatoTegn1">
    <w:name w:val="Dato Tegn1"/>
    <w:basedOn w:val="Standardskriftforavsnitt"/>
    <w:uiPriority w:val="99"/>
    <w:semiHidden/>
    <w:rsid w:val="0039518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9518E"/>
    <w:pPr>
      <w:spacing w:after="0" w:line="240" w:lineRule="auto"/>
    </w:pPr>
  </w:style>
  <w:style w:type="character" w:customStyle="1" w:styleId="NotatoverskriftTegn">
    <w:name w:val="Notatoverskrift Tegn"/>
    <w:link w:val="Notatoverskrift"/>
    <w:uiPriority w:val="99"/>
    <w:semiHidden/>
    <w:rsid w:val="0039518E"/>
    <w:rPr>
      <w:rFonts w:ascii="Times New Roman" w:eastAsia="Times New Roman" w:hAnsi="Times New Roman"/>
      <w:spacing w:val="4"/>
      <w:kern w:val="0"/>
      <w:szCs w:val="22"/>
    </w:rPr>
  </w:style>
  <w:style w:type="paragraph" w:styleId="Blokktekst">
    <w:name w:val="Block Text"/>
    <w:basedOn w:val="Normal"/>
    <w:uiPriority w:val="99"/>
    <w:semiHidden/>
    <w:unhideWhenUsed/>
    <w:rsid w:val="0039518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9518E"/>
    <w:rPr>
      <w:color w:val="800080"/>
      <w:u w:val="single"/>
    </w:rPr>
  </w:style>
  <w:style w:type="character" w:styleId="Utheving">
    <w:name w:val="Emphasis"/>
    <w:uiPriority w:val="20"/>
    <w:qFormat/>
    <w:rsid w:val="0039518E"/>
    <w:rPr>
      <w:i/>
      <w:iCs/>
    </w:rPr>
  </w:style>
  <w:style w:type="paragraph" w:styleId="Dokumentkart">
    <w:name w:val="Document Map"/>
    <w:basedOn w:val="Normal"/>
    <w:link w:val="DokumentkartTegn"/>
    <w:uiPriority w:val="99"/>
    <w:semiHidden/>
    <w:rsid w:val="0039518E"/>
    <w:pPr>
      <w:shd w:val="clear" w:color="auto" w:fill="000080"/>
    </w:pPr>
    <w:rPr>
      <w:rFonts w:ascii="Tahoma" w:hAnsi="Tahoma" w:cs="Tahoma"/>
    </w:rPr>
  </w:style>
  <w:style w:type="character" w:customStyle="1" w:styleId="DokumentkartTegn">
    <w:name w:val="Dokumentkart Tegn"/>
    <w:link w:val="Dokumentkart"/>
    <w:uiPriority w:val="99"/>
    <w:semiHidden/>
    <w:rsid w:val="0039518E"/>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39518E"/>
    <w:rPr>
      <w:rFonts w:ascii="Courier New" w:hAnsi="Courier New" w:cs="Courier New"/>
      <w:sz w:val="20"/>
    </w:rPr>
  </w:style>
  <w:style w:type="character" w:customStyle="1" w:styleId="RentekstTegn">
    <w:name w:val="Ren tekst Tegn"/>
    <w:link w:val="Rentekst"/>
    <w:uiPriority w:val="99"/>
    <w:semiHidden/>
    <w:rsid w:val="0039518E"/>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39518E"/>
    <w:pPr>
      <w:spacing w:after="0" w:line="240" w:lineRule="auto"/>
    </w:pPr>
  </w:style>
  <w:style w:type="character" w:customStyle="1" w:styleId="E-postsignaturTegn">
    <w:name w:val="E-postsignatur Tegn"/>
    <w:link w:val="E-postsignatur"/>
    <w:uiPriority w:val="99"/>
    <w:semiHidden/>
    <w:rsid w:val="0039518E"/>
    <w:rPr>
      <w:rFonts w:ascii="Times New Roman" w:eastAsia="Times New Roman" w:hAnsi="Times New Roman"/>
      <w:spacing w:val="4"/>
      <w:kern w:val="0"/>
      <w:szCs w:val="22"/>
    </w:rPr>
  </w:style>
  <w:style w:type="paragraph" w:styleId="NormalWeb">
    <w:name w:val="Normal (Web)"/>
    <w:basedOn w:val="Normal"/>
    <w:uiPriority w:val="99"/>
    <w:semiHidden/>
    <w:unhideWhenUsed/>
    <w:rsid w:val="0039518E"/>
    <w:rPr>
      <w:szCs w:val="24"/>
    </w:rPr>
  </w:style>
  <w:style w:type="character" w:styleId="HTML-akronym">
    <w:name w:val="HTML Acronym"/>
    <w:basedOn w:val="Standardskriftforavsnitt"/>
    <w:uiPriority w:val="99"/>
    <w:semiHidden/>
    <w:unhideWhenUsed/>
    <w:rsid w:val="0039518E"/>
  </w:style>
  <w:style w:type="paragraph" w:styleId="HTML-adresse">
    <w:name w:val="HTML Address"/>
    <w:basedOn w:val="Normal"/>
    <w:link w:val="HTML-adresseTegn"/>
    <w:uiPriority w:val="99"/>
    <w:semiHidden/>
    <w:unhideWhenUsed/>
    <w:rsid w:val="0039518E"/>
    <w:pPr>
      <w:spacing w:after="0" w:line="240" w:lineRule="auto"/>
    </w:pPr>
    <w:rPr>
      <w:i/>
      <w:iCs/>
    </w:rPr>
  </w:style>
  <w:style w:type="character" w:customStyle="1" w:styleId="HTML-adresseTegn">
    <w:name w:val="HTML-adresse Tegn"/>
    <w:link w:val="HTML-adresse"/>
    <w:uiPriority w:val="99"/>
    <w:semiHidden/>
    <w:rsid w:val="0039518E"/>
    <w:rPr>
      <w:rFonts w:ascii="Times New Roman" w:eastAsia="Times New Roman" w:hAnsi="Times New Roman"/>
      <w:i/>
      <w:iCs/>
      <w:spacing w:val="4"/>
      <w:kern w:val="0"/>
      <w:szCs w:val="22"/>
    </w:rPr>
  </w:style>
  <w:style w:type="character" w:styleId="HTML-sitat">
    <w:name w:val="HTML Cite"/>
    <w:uiPriority w:val="99"/>
    <w:semiHidden/>
    <w:unhideWhenUsed/>
    <w:rsid w:val="0039518E"/>
    <w:rPr>
      <w:i/>
      <w:iCs/>
    </w:rPr>
  </w:style>
  <w:style w:type="character" w:styleId="HTML-kode">
    <w:name w:val="HTML Code"/>
    <w:uiPriority w:val="99"/>
    <w:semiHidden/>
    <w:unhideWhenUsed/>
    <w:rsid w:val="0039518E"/>
    <w:rPr>
      <w:rFonts w:ascii="Consolas" w:hAnsi="Consolas"/>
      <w:sz w:val="20"/>
      <w:szCs w:val="20"/>
    </w:rPr>
  </w:style>
  <w:style w:type="character" w:styleId="HTML-definisjon">
    <w:name w:val="HTML Definition"/>
    <w:uiPriority w:val="99"/>
    <w:semiHidden/>
    <w:unhideWhenUsed/>
    <w:rsid w:val="0039518E"/>
    <w:rPr>
      <w:i/>
      <w:iCs/>
    </w:rPr>
  </w:style>
  <w:style w:type="character" w:styleId="HTML-tastatur">
    <w:name w:val="HTML Keyboard"/>
    <w:uiPriority w:val="99"/>
    <w:semiHidden/>
    <w:unhideWhenUsed/>
    <w:rsid w:val="0039518E"/>
    <w:rPr>
      <w:rFonts w:ascii="Consolas" w:hAnsi="Consolas"/>
      <w:sz w:val="20"/>
      <w:szCs w:val="20"/>
    </w:rPr>
  </w:style>
  <w:style w:type="paragraph" w:styleId="HTML-forhndsformatert">
    <w:name w:val="HTML Preformatted"/>
    <w:basedOn w:val="Normal"/>
    <w:link w:val="HTML-forhndsformatertTegn"/>
    <w:uiPriority w:val="99"/>
    <w:semiHidden/>
    <w:unhideWhenUsed/>
    <w:rsid w:val="0039518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9518E"/>
    <w:rPr>
      <w:rFonts w:ascii="Consolas" w:eastAsia="Times New Roman" w:hAnsi="Consolas"/>
      <w:spacing w:val="4"/>
      <w:kern w:val="0"/>
      <w:sz w:val="20"/>
      <w:szCs w:val="20"/>
    </w:rPr>
  </w:style>
  <w:style w:type="character" w:styleId="HTML-eksempel">
    <w:name w:val="HTML Sample"/>
    <w:uiPriority w:val="99"/>
    <w:semiHidden/>
    <w:unhideWhenUsed/>
    <w:rsid w:val="0039518E"/>
    <w:rPr>
      <w:rFonts w:ascii="Consolas" w:hAnsi="Consolas"/>
      <w:sz w:val="24"/>
      <w:szCs w:val="24"/>
    </w:rPr>
  </w:style>
  <w:style w:type="character" w:styleId="HTML-skrivemaskin">
    <w:name w:val="HTML Typewriter"/>
    <w:uiPriority w:val="99"/>
    <w:semiHidden/>
    <w:unhideWhenUsed/>
    <w:rsid w:val="0039518E"/>
    <w:rPr>
      <w:rFonts w:ascii="Consolas" w:hAnsi="Consolas"/>
      <w:sz w:val="20"/>
      <w:szCs w:val="20"/>
    </w:rPr>
  </w:style>
  <w:style w:type="character" w:styleId="HTML-variabel">
    <w:name w:val="HTML Variable"/>
    <w:uiPriority w:val="99"/>
    <w:semiHidden/>
    <w:unhideWhenUsed/>
    <w:rsid w:val="0039518E"/>
    <w:rPr>
      <w:i/>
      <w:iCs/>
    </w:rPr>
  </w:style>
  <w:style w:type="paragraph" w:styleId="Kommentaremne">
    <w:name w:val="annotation subject"/>
    <w:basedOn w:val="Merknadstekst"/>
    <w:next w:val="Merknadstekst"/>
    <w:link w:val="KommentaremneTegn"/>
    <w:uiPriority w:val="99"/>
    <w:semiHidden/>
    <w:unhideWhenUsed/>
    <w:rsid w:val="0039518E"/>
    <w:pPr>
      <w:spacing w:line="240" w:lineRule="auto"/>
    </w:pPr>
    <w:rPr>
      <w:b/>
      <w:bCs/>
      <w:spacing w:val="4"/>
      <w:szCs w:val="20"/>
    </w:rPr>
  </w:style>
  <w:style w:type="character" w:customStyle="1" w:styleId="KommentaremneTegn">
    <w:name w:val="Kommentaremne Tegn"/>
    <w:link w:val="Kommentaremne"/>
    <w:uiPriority w:val="99"/>
    <w:semiHidden/>
    <w:rsid w:val="0039518E"/>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9518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9518E"/>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9518E"/>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9518E"/>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39518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9518E"/>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39518E"/>
    <w:rPr>
      <w:i/>
      <w:iCs/>
      <w:color w:val="808080"/>
    </w:rPr>
  </w:style>
  <w:style w:type="character" w:styleId="Sterkutheving">
    <w:name w:val="Intense Emphasis"/>
    <w:uiPriority w:val="21"/>
    <w:qFormat/>
    <w:rsid w:val="0039518E"/>
    <w:rPr>
      <w:b/>
      <w:bCs/>
      <w:i/>
      <w:iCs/>
      <w:color w:val="4F81BD"/>
    </w:rPr>
  </w:style>
  <w:style w:type="character" w:styleId="Svakreferanse">
    <w:name w:val="Subtle Reference"/>
    <w:uiPriority w:val="31"/>
    <w:qFormat/>
    <w:rsid w:val="0039518E"/>
    <w:rPr>
      <w:smallCaps/>
      <w:color w:val="C0504D"/>
      <w:u w:val="single"/>
    </w:rPr>
  </w:style>
  <w:style w:type="character" w:styleId="Sterkreferanse">
    <w:name w:val="Intense Reference"/>
    <w:uiPriority w:val="32"/>
    <w:qFormat/>
    <w:rsid w:val="0039518E"/>
    <w:rPr>
      <w:b/>
      <w:bCs/>
      <w:smallCaps/>
      <w:color w:val="C0504D"/>
      <w:spacing w:val="5"/>
      <w:u w:val="single"/>
    </w:rPr>
  </w:style>
  <w:style w:type="character" w:styleId="Boktittel">
    <w:name w:val="Book Title"/>
    <w:uiPriority w:val="33"/>
    <w:qFormat/>
    <w:rsid w:val="0039518E"/>
    <w:rPr>
      <w:b/>
      <w:bCs/>
      <w:smallCaps/>
      <w:spacing w:val="5"/>
    </w:rPr>
  </w:style>
  <w:style w:type="paragraph" w:styleId="Bibliografi">
    <w:name w:val="Bibliography"/>
    <w:basedOn w:val="Normal"/>
    <w:next w:val="Normal"/>
    <w:uiPriority w:val="37"/>
    <w:semiHidden/>
    <w:unhideWhenUsed/>
    <w:rsid w:val="0039518E"/>
  </w:style>
  <w:style w:type="paragraph" w:styleId="Overskriftforinnholdsfortegnelse">
    <w:name w:val="TOC Heading"/>
    <w:basedOn w:val="Overskrift1"/>
    <w:next w:val="Normal"/>
    <w:uiPriority w:val="39"/>
    <w:unhideWhenUsed/>
    <w:qFormat/>
    <w:rsid w:val="0039518E"/>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9518E"/>
    <w:pPr>
      <w:numPr>
        <w:numId w:val="28"/>
      </w:numPr>
    </w:pPr>
  </w:style>
  <w:style w:type="numbering" w:customStyle="1" w:styleId="NrListeStil">
    <w:name w:val="NrListeStil"/>
    <w:uiPriority w:val="99"/>
    <w:rsid w:val="0039518E"/>
    <w:pPr>
      <w:numPr>
        <w:numId w:val="29"/>
      </w:numPr>
    </w:pPr>
  </w:style>
  <w:style w:type="numbering" w:customStyle="1" w:styleId="RomListeStil">
    <w:name w:val="RomListeStil"/>
    <w:uiPriority w:val="99"/>
    <w:rsid w:val="0039518E"/>
    <w:pPr>
      <w:numPr>
        <w:numId w:val="30"/>
      </w:numPr>
    </w:pPr>
  </w:style>
  <w:style w:type="numbering" w:customStyle="1" w:styleId="StrekListeStil">
    <w:name w:val="StrekListeStil"/>
    <w:uiPriority w:val="99"/>
    <w:rsid w:val="0039518E"/>
    <w:pPr>
      <w:numPr>
        <w:numId w:val="31"/>
      </w:numPr>
    </w:pPr>
  </w:style>
  <w:style w:type="numbering" w:customStyle="1" w:styleId="OpplistingListeStil">
    <w:name w:val="OpplistingListeStil"/>
    <w:uiPriority w:val="99"/>
    <w:rsid w:val="0039518E"/>
    <w:pPr>
      <w:numPr>
        <w:numId w:val="32"/>
      </w:numPr>
    </w:pPr>
  </w:style>
  <w:style w:type="numbering" w:customStyle="1" w:styleId="l-NummerertListeStil">
    <w:name w:val="l-NummerertListeStil"/>
    <w:uiPriority w:val="99"/>
    <w:rsid w:val="0039518E"/>
    <w:pPr>
      <w:numPr>
        <w:numId w:val="33"/>
      </w:numPr>
    </w:pPr>
  </w:style>
  <w:style w:type="numbering" w:customStyle="1" w:styleId="l-AlfaListeStil">
    <w:name w:val="l-AlfaListeStil"/>
    <w:uiPriority w:val="99"/>
    <w:rsid w:val="0039518E"/>
    <w:pPr>
      <w:numPr>
        <w:numId w:val="34"/>
      </w:numPr>
    </w:pPr>
  </w:style>
  <w:style w:type="numbering" w:customStyle="1" w:styleId="OverskrifterListeStil">
    <w:name w:val="OverskrifterListeStil"/>
    <w:uiPriority w:val="99"/>
    <w:rsid w:val="0039518E"/>
    <w:pPr>
      <w:numPr>
        <w:numId w:val="35"/>
      </w:numPr>
    </w:pPr>
  </w:style>
  <w:style w:type="numbering" w:customStyle="1" w:styleId="l-ListeStilMal">
    <w:name w:val="l-ListeStilMal"/>
    <w:uiPriority w:val="99"/>
    <w:rsid w:val="0039518E"/>
    <w:pPr>
      <w:numPr>
        <w:numId w:val="36"/>
      </w:numPr>
    </w:pPr>
  </w:style>
  <w:style w:type="paragraph" w:styleId="Avsenderadresse">
    <w:name w:val="envelope return"/>
    <w:basedOn w:val="Normal"/>
    <w:uiPriority w:val="99"/>
    <w:semiHidden/>
    <w:unhideWhenUsed/>
    <w:rsid w:val="0039518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9518E"/>
  </w:style>
  <w:style w:type="character" w:customStyle="1" w:styleId="BrdtekstTegn">
    <w:name w:val="Brødtekst Tegn"/>
    <w:link w:val="Brdtekst"/>
    <w:semiHidden/>
    <w:rsid w:val="0039518E"/>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39518E"/>
    <w:pPr>
      <w:ind w:firstLine="360"/>
    </w:pPr>
  </w:style>
  <w:style w:type="character" w:customStyle="1" w:styleId="Brdtekst-frsteinnrykkTegn">
    <w:name w:val="Brødtekst - første innrykk Tegn"/>
    <w:link w:val="Brdtekst-frsteinnrykk"/>
    <w:uiPriority w:val="99"/>
    <w:semiHidden/>
    <w:rsid w:val="0039518E"/>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39518E"/>
    <w:pPr>
      <w:ind w:left="283"/>
    </w:pPr>
  </w:style>
  <w:style w:type="character" w:customStyle="1" w:styleId="BrdtekstinnrykkTegn">
    <w:name w:val="Brødtekstinnrykk Tegn"/>
    <w:link w:val="Brdtekstinnrykk"/>
    <w:uiPriority w:val="99"/>
    <w:semiHidden/>
    <w:rsid w:val="0039518E"/>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39518E"/>
    <w:pPr>
      <w:ind w:left="360" w:firstLine="360"/>
    </w:pPr>
  </w:style>
  <w:style w:type="character" w:customStyle="1" w:styleId="Brdtekst-frsteinnrykk2Tegn">
    <w:name w:val="Brødtekst - første innrykk 2 Tegn"/>
    <w:link w:val="Brdtekst-frsteinnrykk2"/>
    <w:uiPriority w:val="99"/>
    <w:semiHidden/>
    <w:rsid w:val="0039518E"/>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39518E"/>
    <w:pPr>
      <w:spacing w:line="480" w:lineRule="auto"/>
    </w:pPr>
  </w:style>
  <w:style w:type="character" w:customStyle="1" w:styleId="Brdtekst2Tegn">
    <w:name w:val="Brødtekst 2 Tegn"/>
    <w:link w:val="Brdtekst2"/>
    <w:uiPriority w:val="99"/>
    <w:semiHidden/>
    <w:rsid w:val="0039518E"/>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39518E"/>
    <w:rPr>
      <w:sz w:val="16"/>
      <w:szCs w:val="16"/>
    </w:rPr>
  </w:style>
  <w:style w:type="character" w:customStyle="1" w:styleId="Brdtekst3Tegn">
    <w:name w:val="Brødtekst 3 Tegn"/>
    <w:link w:val="Brdtekst3"/>
    <w:uiPriority w:val="99"/>
    <w:semiHidden/>
    <w:rsid w:val="0039518E"/>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9518E"/>
    <w:pPr>
      <w:spacing w:line="480" w:lineRule="auto"/>
      <w:ind w:left="283"/>
    </w:pPr>
  </w:style>
  <w:style w:type="character" w:customStyle="1" w:styleId="Brdtekstinnrykk2Tegn">
    <w:name w:val="Brødtekstinnrykk 2 Tegn"/>
    <w:link w:val="Brdtekstinnrykk2"/>
    <w:uiPriority w:val="99"/>
    <w:semiHidden/>
    <w:rsid w:val="0039518E"/>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39518E"/>
    <w:pPr>
      <w:ind w:left="283"/>
    </w:pPr>
    <w:rPr>
      <w:sz w:val="16"/>
      <w:szCs w:val="16"/>
    </w:rPr>
  </w:style>
  <w:style w:type="character" w:customStyle="1" w:styleId="Brdtekstinnrykk3Tegn">
    <w:name w:val="Brødtekstinnrykk 3 Tegn"/>
    <w:link w:val="Brdtekstinnrykk3"/>
    <w:uiPriority w:val="99"/>
    <w:semiHidden/>
    <w:rsid w:val="0039518E"/>
    <w:rPr>
      <w:rFonts w:ascii="Times New Roman" w:eastAsia="Times New Roman" w:hAnsi="Times New Roman"/>
      <w:spacing w:val="4"/>
      <w:kern w:val="0"/>
      <w:sz w:val="16"/>
      <w:szCs w:val="16"/>
    </w:rPr>
  </w:style>
  <w:style w:type="paragraph" w:customStyle="1" w:styleId="Sammendrag">
    <w:name w:val="Sammendrag"/>
    <w:basedOn w:val="Overskrift1"/>
    <w:qFormat/>
    <w:rsid w:val="0039518E"/>
    <w:pPr>
      <w:numPr>
        <w:numId w:val="0"/>
      </w:numPr>
    </w:pPr>
  </w:style>
  <w:style w:type="paragraph" w:customStyle="1" w:styleId="TrykkeriMerknad">
    <w:name w:val="TrykkeriMerknad"/>
    <w:basedOn w:val="Normal"/>
    <w:qFormat/>
    <w:rsid w:val="0039518E"/>
    <w:pPr>
      <w:spacing w:before="60"/>
    </w:pPr>
    <w:rPr>
      <w:rFonts w:ascii="Arial" w:hAnsi="Arial"/>
      <w:color w:val="943634"/>
      <w:sz w:val="26"/>
    </w:rPr>
  </w:style>
  <w:style w:type="paragraph" w:customStyle="1" w:styleId="ForfatterMerknad">
    <w:name w:val="ForfatterMerknad"/>
    <w:basedOn w:val="TrykkeriMerknad"/>
    <w:qFormat/>
    <w:rsid w:val="0039518E"/>
    <w:pPr>
      <w:shd w:val="clear" w:color="auto" w:fill="FFFF99"/>
      <w:spacing w:line="240" w:lineRule="auto"/>
    </w:pPr>
    <w:rPr>
      <w:color w:val="632423"/>
    </w:rPr>
  </w:style>
  <w:style w:type="paragraph" w:customStyle="1" w:styleId="tblRad">
    <w:name w:val="tblRad"/>
    <w:rsid w:val="0039518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9518E"/>
  </w:style>
  <w:style w:type="paragraph" w:customStyle="1" w:styleId="tbl2LinjeSumBold">
    <w:name w:val="tbl2LinjeSumBold"/>
    <w:basedOn w:val="tblRad"/>
    <w:rsid w:val="0039518E"/>
  </w:style>
  <w:style w:type="paragraph" w:customStyle="1" w:styleId="tblDelsum1">
    <w:name w:val="tblDelsum1"/>
    <w:basedOn w:val="tblRad"/>
    <w:rsid w:val="0039518E"/>
  </w:style>
  <w:style w:type="paragraph" w:customStyle="1" w:styleId="tblDelsum1-Kapittel">
    <w:name w:val="tblDelsum1 - Kapittel"/>
    <w:basedOn w:val="tblDelsum1"/>
    <w:rsid w:val="0039518E"/>
    <w:pPr>
      <w:keepNext w:val="0"/>
    </w:pPr>
  </w:style>
  <w:style w:type="paragraph" w:customStyle="1" w:styleId="tblDelsum2">
    <w:name w:val="tblDelsum2"/>
    <w:basedOn w:val="tblRad"/>
    <w:rsid w:val="0039518E"/>
  </w:style>
  <w:style w:type="paragraph" w:customStyle="1" w:styleId="tblDelsum2-Kapittel">
    <w:name w:val="tblDelsum2 - Kapittel"/>
    <w:basedOn w:val="tblDelsum2"/>
    <w:rsid w:val="0039518E"/>
    <w:pPr>
      <w:keepNext w:val="0"/>
    </w:pPr>
  </w:style>
  <w:style w:type="paragraph" w:customStyle="1" w:styleId="tblTabelloverskrift">
    <w:name w:val="tblTabelloverskrift"/>
    <w:rsid w:val="0039518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9518E"/>
    <w:pPr>
      <w:spacing w:after="0"/>
      <w:jc w:val="right"/>
    </w:pPr>
    <w:rPr>
      <w:b w:val="0"/>
      <w:caps w:val="0"/>
      <w:sz w:val="16"/>
    </w:rPr>
  </w:style>
  <w:style w:type="paragraph" w:customStyle="1" w:styleId="tblKategoriOverskrift">
    <w:name w:val="tblKategoriOverskrift"/>
    <w:basedOn w:val="tblRad"/>
    <w:rsid w:val="0039518E"/>
    <w:pPr>
      <w:spacing w:before="120"/>
    </w:pPr>
  </w:style>
  <w:style w:type="paragraph" w:customStyle="1" w:styleId="tblKolonneoverskrift">
    <w:name w:val="tblKolonneoverskrift"/>
    <w:basedOn w:val="Normal"/>
    <w:rsid w:val="0039518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9518E"/>
    <w:pPr>
      <w:spacing w:after="360"/>
      <w:jc w:val="center"/>
    </w:pPr>
    <w:rPr>
      <w:b w:val="0"/>
      <w:caps w:val="0"/>
    </w:rPr>
  </w:style>
  <w:style w:type="paragraph" w:customStyle="1" w:styleId="tblKolonneoverskrift-Vedtak">
    <w:name w:val="tblKolonneoverskrift - Vedtak"/>
    <w:basedOn w:val="tblTabelloverskrift-Vedtak"/>
    <w:rsid w:val="0039518E"/>
    <w:pPr>
      <w:spacing w:after="0"/>
    </w:pPr>
  </w:style>
  <w:style w:type="paragraph" w:customStyle="1" w:styleId="tblOverskrift-Vedtak">
    <w:name w:val="tblOverskrift - Vedtak"/>
    <w:basedOn w:val="tblRad"/>
    <w:rsid w:val="0039518E"/>
    <w:pPr>
      <w:spacing w:before="360"/>
      <w:jc w:val="center"/>
    </w:pPr>
  </w:style>
  <w:style w:type="paragraph" w:customStyle="1" w:styleId="tblRadBold">
    <w:name w:val="tblRadBold"/>
    <w:basedOn w:val="tblRad"/>
    <w:rsid w:val="0039518E"/>
  </w:style>
  <w:style w:type="paragraph" w:customStyle="1" w:styleId="tblRadItalic">
    <w:name w:val="tblRadItalic"/>
    <w:basedOn w:val="tblRad"/>
    <w:rsid w:val="0039518E"/>
  </w:style>
  <w:style w:type="paragraph" w:customStyle="1" w:styleId="tblRadItalicSiste">
    <w:name w:val="tblRadItalicSiste"/>
    <w:basedOn w:val="tblRadItalic"/>
    <w:rsid w:val="0039518E"/>
  </w:style>
  <w:style w:type="paragraph" w:customStyle="1" w:styleId="tblRadMedLuft">
    <w:name w:val="tblRadMedLuft"/>
    <w:basedOn w:val="tblRad"/>
    <w:rsid w:val="0039518E"/>
    <w:pPr>
      <w:spacing w:before="120"/>
    </w:pPr>
  </w:style>
  <w:style w:type="paragraph" w:customStyle="1" w:styleId="tblRadMedLuftSiste">
    <w:name w:val="tblRadMedLuftSiste"/>
    <w:basedOn w:val="tblRadMedLuft"/>
    <w:rsid w:val="0039518E"/>
    <w:pPr>
      <w:spacing w:after="120"/>
    </w:pPr>
  </w:style>
  <w:style w:type="paragraph" w:customStyle="1" w:styleId="tblRadMedLuftSiste-Vedtak">
    <w:name w:val="tblRadMedLuftSiste - Vedtak"/>
    <w:basedOn w:val="tblRadMedLuftSiste"/>
    <w:rsid w:val="0039518E"/>
    <w:pPr>
      <w:keepNext w:val="0"/>
    </w:pPr>
  </w:style>
  <w:style w:type="paragraph" w:customStyle="1" w:styleId="tblRadSiste">
    <w:name w:val="tblRadSiste"/>
    <w:basedOn w:val="tblRad"/>
    <w:rsid w:val="0039518E"/>
  </w:style>
  <w:style w:type="paragraph" w:customStyle="1" w:styleId="tblSluttsum">
    <w:name w:val="tblSluttsum"/>
    <w:basedOn w:val="tblRad"/>
    <w:rsid w:val="0039518E"/>
    <w:pPr>
      <w:spacing w:before="120"/>
    </w:pPr>
  </w:style>
  <w:style w:type="table" w:customStyle="1" w:styleId="MetadataTabell">
    <w:name w:val="MetadataTabell"/>
    <w:basedOn w:val="Rutenettabelllys"/>
    <w:uiPriority w:val="99"/>
    <w:rsid w:val="0039518E"/>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9518E"/>
    <w:pPr>
      <w:spacing w:before="60" w:after="60"/>
    </w:pPr>
    <w:rPr>
      <w:rFonts w:ascii="Consolas" w:hAnsi="Consolas"/>
      <w:color w:val="C0504D"/>
      <w:sz w:val="26"/>
    </w:rPr>
  </w:style>
  <w:style w:type="table" w:styleId="Rutenettabelllys">
    <w:name w:val="Grid Table Light"/>
    <w:basedOn w:val="Vanligtabell"/>
    <w:uiPriority w:val="40"/>
    <w:rsid w:val="0039518E"/>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9518E"/>
    <w:pPr>
      <w:spacing w:before="60" w:after="60"/>
    </w:pPr>
    <w:rPr>
      <w:rFonts w:ascii="Consolas" w:hAnsi="Consolas"/>
      <w:color w:val="365F91"/>
      <w:sz w:val="26"/>
    </w:rPr>
  </w:style>
  <w:style w:type="table" w:customStyle="1" w:styleId="Standardtabell-02">
    <w:name w:val="Standardtabell-02"/>
    <w:basedOn w:val="StandardTabell"/>
    <w:uiPriority w:val="99"/>
    <w:rsid w:val="0039518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9518E"/>
    <w:rPr>
      <w:sz w:val="24"/>
    </w:rPr>
  </w:style>
  <w:style w:type="paragraph" w:customStyle="1" w:styleId="avsnitt-tittel-tabell">
    <w:name w:val="avsnitt-tittel-tabell"/>
    <w:basedOn w:val="avsnitt-tittel"/>
    <w:qFormat/>
    <w:rsid w:val="0039518E"/>
  </w:style>
  <w:style w:type="paragraph" w:customStyle="1" w:styleId="b-budkaptit-tabell">
    <w:name w:val="b-budkaptit-tabell"/>
    <w:basedOn w:val="b-budkaptit"/>
    <w:qFormat/>
    <w:rsid w:val="0039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6822</Words>
  <Characters>43129</Characters>
  <Application>Microsoft Office Word</Application>
  <DocSecurity>0</DocSecurity>
  <Lines>718</Lines>
  <Paragraphs>359</Paragraphs>
  <ScaleCrop>false</ScaleCrop>
  <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2026-04-21T08:36:00Z</dcterms:created>
  <dcterms:modified xsi:type="dcterms:W3CDTF">2026-04-21T08:36:00Z</dcterms:modified>
</cp:coreProperties>
</file>