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02F" w:rsidRPr="00E711A6" w:rsidRDefault="009D602F" w:rsidP="009D602F">
      <w:pPr>
        <w:widowControl w:val="0"/>
        <w:rPr>
          <w:color w:val="000000"/>
          <w:sz w:val="24"/>
          <w:lang w:val="en-GB"/>
        </w:rPr>
      </w:pPr>
      <w:bookmarkStart w:id="0" w:name="_GoBack"/>
      <w:bookmarkEnd w:id="0"/>
    </w:p>
    <w:p w:rsidR="009D602F" w:rsidRDefault="009D602F" w:rsidP="009D602F">
      <w:pPr>
        <w:widowControl w:val="0"/>
        <w:ind w:left="2124" w:hanging="2124"/>
        <w:rPr>
          <w:rFonts w:ascii="Century Old Style" w:hAnsi="Century Old Style"/>
          <w:color w:val="000000"/>
          <w:sz w:val="24"/>
          <w:lang w:val="en-US"/>
        </w:rPr>
      </w:pPr>
      <w:r>
        <w:rPr>
          <w:rFonts w:ascii="Century Old Style" w:hAnsi="Century Old Style"/>
          <w:color w:val="000000"/>
          <w:sz w:val="24"/>
          <w:lang w:val="en-US"/>
        </w:rPr>
        <w:t>Unofficial translation</w:t>
      </w: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color w:val="000000"/>
          <w:sz w:val="24"/>
          <w:lang w:val="en-US"/>
        </w:rPr>
        <w:tab/>
        <w:t xml:space="preserve">                   </w:t>
      </w: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b/>
          <w:color w:val="000000"/>
          <w:sz w:val="24"/>
          <w:lang w:val="en-US"/>
        </w:rPr>
        <w:t>AWARDS IN PREDEFI</w:t>
      </w:r>
      <w:r w:rsidR="00187B59">
        <w:rPr>
          <w:rFonts w:ascii="Century Old Style" w:hAnsi="Century Old Style"/>
          <w:b/>
          <w:color w:val="000000"/>
          <w:sz w:val="24"/>
          <w:lang w:val="en-US"/>
        </w:rPr>
        <w:t xml:space="preserve">NED          </w:t>
      </w:r>
      <w:r w:rsidR="00187B59">
        <w:rPr>
          <w:rFonts w:ascii="Century Old Style" w:hAnsi="Century Old Style"/>
          <w:b/>
          <w:color w:val="000000"/>
          <w:sz w:val="24"/>
          <w:lang w:val="en-US"/>
        </w:rPr>
        <w:tab/>
      </w:r>
      <w:r w:rsidR="00187B59">
        <w:rPr>
          <w:rFonts w:ascii="Century Old Style" w:hAnsi="Century Old Style"/>
          <w:b/>
          <w:color w:val="000000"/>
          <w:sz w:val="24"/>
          <w:lang w:val="en-US"/>
        </w:rPr>
        <w:tab/>
      </w:r>
      <w:r w:rsidR="00187B59">
        <w:rPr>
          <w:rFonts w:ascii="Century Old Style" w:hAnsi="Century Old Style"/>
          <w:b/>
          <w:color w:val="000000"/>
          <w:sz w:val="24"/>
          <w:lang w:val="en-US"/>
        </w:rPr>
        <w:tab/>
      </w:r>
      <w:r w:rsidR="00187B59">
        <w:rPr>
          <w:rFonts w:ascii="Century Old Style" w:hAnsi="Century Old Style"/>
          <w:b/>
          <w:color w:val="000000"/>
          <w:sz w:val="24"/>
          <w:lang w:val="en-US"/>
        </w:rPr>
        <w:tab/>
      </w:r>
      <w:r w:rsidR="00187B59">
        <w:rPr>
          <w:rFonts w:ascii="Century Old Style" w:hAnsi="Century Old Style"/>
          <w:b/>
          <w:color w:val="000000"/>
          <w:sz w:val="24"/>
          <w:lang w:val="en-US"/>
        </w:rPr>
        <w:tab/>
      </w:r>
      <w:r w:rsidR="00187B59">
        <w:rPr>
          <w:rFonts w:ascii="Century Old Style" w:hAnsi="Century Old Style"/>
          <w:b/>
          <w:color w:val="000000"/>
          <w:sz w:val="24"/>
          <w:lang w:val="en-US"/>
        </w:rPr>
        <w:tab/>
        <w:t xml:space="preserve">   AREAS 20</w:t>
      </w:r>
      <w:r w:rsidR="00187B59">
        <w:rPr>
          <w:rFonts w:ascii="Century Old Style" w:hAnsi="Century Old Style"/>
          <w:b/>
          <w:color w:val="FF0000"/>
          <w:sz w:val="24"/>
          <w:lang w:val="en-US"/>
        </w:rPr>
        <w:t>XX</w:t>
      </w:r>
      <w:r>
        <w:rPr>
          <w:rFonts w:ascii="Century Old Style" w:hAnsi="Century Old Style"/>
          <w:b/>
          <w:color w:val="000000"/>
          <w:sz w:val="24"/>
          <w:lang w:val="en-US"/>
        </w:rPr>
        <w:t xml:space="preserve">     </w:t>
      </w:r>
    </w:p>
    <w:p w:rsidR="009D602F" w:rsidRDefault="009D602F" w:rsidP="009D602F">
      <w:pPr>
        <w:widowControl w:val="0"/>
        <w:rPr>
          <w:rFonts w:ascii="Century Old Style" w:hAnsi="Century Old Style"/>
          <w:color w:val="000000"/>
          <w:sz w:val="24"/>
          <w:lang w:val="en-US"/>
        </w:rPr>
      </w:pPr>
      <w:r>
        <w:rPr>
          <w:rFonts w:ascii="Century Old Style" w:hAnsi="Century Old Style"/>
          <w:color w:val="000000"/>
          <w:sz w:val="24"/>
          <w:lang w:val="en-US"/>
        </w:rPr>
        <w:t xml:space="preserve">                                                                                          </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color w:val="000000"/>
          <w:sz w:val="24"/>
          <w:lang w:val="en-US"/>
        </w:rPr>
        <w:tab/>
      </w:r>
      <w:r>
        <w:rPr>
          <w:rFonts w:ascii="Century Old Style" w:hAnsi="Century Old Style"/>
          <w:color w:val="000000"/>
          <w:sz w:val="24"/>
          <w:lang w:val="en-US"/>
        </w:rPr>
        <w:tab/>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Century Old Style" w:hAnsi="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r>
        <w:rPr>
          <w:rFonts w:ascii="DepCentury Old Style" w:hAnsi="DepCentury Old Style"/>
          <w:b/>
          <w:color w:val="000000"/>
          <w:sz w:val="24"/>
          <w:lang w:val="en-US"/>
        </w:rPr>
        <w:t>PETROLEUM PRODUCTION</w:t>
      </w:r>
      <w:r w:rsidRPr="00D872FC">
        <w:rPr>
          <w:rFonts w:ascii="DepCentury Old Style" w:hAnsi="DepCentury Old Style"/>
          <w:b/>
          <w:color w:val="000000"/>
          <w:sz w:val="24"/>
          <w:lang w:val="en-GB"/>
        </w:rPr>
        <w:t xml:space="preserve"> LICENCE</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r>
        <w:rPr>
          <w:rFonts w:ascii="DepCentury Old Style" w:hAnsi="DepCentury Old Style"/>
          <w:b/>
          <w:color w:val="000000"/>
          <w:sz w:val="24"/>
          <w:lang w:val="en-US"/>
        </w:rPr>
        <w:t>NO.</w:t>
      </w:r>
      <w:r w:rsidRPr="00033997">
        <w:rPr>
          <w:rFonts w:ascii="DepCentury Old Style" w:hAnsi="DepCentury Old Style"/>
          <w:b/>
          <w:color w:val="FF0000"/>
          <w:sz w:val="24"/>
          <w:lang w:val="en-US"/>
        </w:rPr>
        <w:t>xxx</w:t>
      </w:r>
      <w:r>
        <w:rPr>
          <w:rFonts w:ascii="DepCentury Old Style" w:hAnsi="DepCentury Old Style"/>
          <w:b/>
          <w:color w:val="000000"/>
          <w:sz w:val="24"/>
          <w:lang w:val="en-US"/>
        </w:rPr>
        <w:t>.</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r>
        <w:rPr>
          <w:rFonts w:ascii="DepCentury Old Style" w:hAnsi="DepCentury Old Style"/>
          <w:b/>
          <w:color w:val="000000"/>
          <w:sz w:val="24"/>
          <w:lang w:val="en-US"/>
        </w:rPr>
        <w:t>FOR</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r>
        <w:rPr>
          <w:rFonts w:ascii="DepCentury Old Style" w:hAnsi="DepCentury Old Style"/>
          <w:b/>
          <w:color w:val="000000"/>
          <w:sz w:val="24"/>
          <w:lang w:val="en-US"/>
        </w:rPr>
        <w:t>PETROLEUM ACTIVITIES</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r>
        <w:rPr>
          <w:rFonts w:ascii="DepCentury Old Style" w:hAnsi="DepCentury Old Style"/>
          <w:color w:val="000000"/>
          <w:sz w:val="24"/>
          <w:lang w:val="en-US"/>
        </w:rPr>
        <w:t>awarded</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9D602F" w:rsidRPr="00033997"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FF0000"/>
          <w:sz w:val="24"/>
          <w:lang w:val="en-US"/>
        </w:rPr>
      </w:pPr>
      <w:r w:rsidRPr="00033997">
        <w:rPr>
          <w:rFonts w:ascii="DepCentury Old Style" w:hAnsi="DepCentury Old Style"/>
          <w:color w:val="FF0000"/>
          <w:sz w:val="24"/>
          <w:lang w:val="en-US"/>
        </w:rPr>
        <w:t>x</w:t>
      </w:r>
    </w:p>
    <w:p w:rsidR="009D602F" w:rsidRPr="00033997"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FF0000"/>
          <w:sz w:val="24"/>
          <w:lang w:val="en-US"/>
        </w:rPr>
      </w:pPr>
      <w:r>
        <w:rPr>
          <w:rFonts w:ascii="DepCentury Old Style" w:hAnsi="DepCentury Old Style"/>
          <w:color w:val="FF0000"/>
          <w:sz w:val="24"/>
          <w:lang w:val="en-US"/>
        </w:rPr>
        <w:t>[</w:t>
      </w:r>
      <w:smartTag w:uri="urn:schemas-microsoft-com:office:smarttags" w:element="place">
        <w:smartTag w:uri="urn:schemas-microsoft-com:office:smarttags" w:element="City">
          <w:r>
            <w:rPr>
              <w:rFonts w:ascii="DepCentury Old Style" w:hAnsi="DepCentury Old Style"/>
              <w:color w:val="FF0000"/>
              <w:sz w:val="24"/>
              <w:lang w:val="en-US"/>
            </w:rPr>
            <w:t>Petoro</w:t>
          </w:r>
        </w:smartTag>
        <w:r>
          <w:rPr>
            <w:rFonts w:ascii="DepCentury Old Style" w:hAnsi="DepCentury Old Style"/>
            <w:color w:val="FF0000"/>
            <w:sz w:val="24"/>
            <w:lang w:val="en-US"/>
          </w:rPr>
          <w:t xml:space="preserve"> </w:t>
        </w:r>
        <w:smartTag w:uri="urn:schemas-microsoft-com:office:smarttags" w:element="State">
          <w:r>
            <w:rPr>
              <w:rFonts w:ascii="DepCentury Old Style" w:hAnsi="DepCentury Old Style"/>
              <w:color w:val="FF0000"/>
              <w:sz w:val="24"/>
              <w:lang w:val="en-US"/>
            </w:rPr>
            <w:t>AS</w:t>
          </w:r>
        </w:smartTag>
      </w:smartTag>
      <w:r>
        <w:rPr>
          <w:rFonts w:ascii="DepCentury Old Style" w:hAnsi="DepCentury Old Style"/>
          <w:color w:val="FF0000"/>
          <w:sz w:val="24"/>
          <w:lang w:val="en-US"/>
        </w:rPr>
        <w:t>]</w:t>
      </w:r>
    </w:p>
    <w:p w:rsidR="009D602F" w:rsidRPr="00033997"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FF0000"/>
          <w:sz w:val="24"/>
          <w:lang w:val="en-US"/>
        </w:rPr>
      </w:pPr>
      <w:r w:rsidRPr="00033997">
        <w:rPr>
          <w:rFonts w:ascii="DepCentury Old Style" w:hAnsi="DepCentury Old Style"/>
          <w:color w:val="FF0000"/>
          <w:sz w:val="24"/>
          <w:lang w:val="en-US"/>
        </w:rPr>
        <w:t>x</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US"/>
        </w:rPr>
      </w:pPr>
    </w:p>
    <w:p w:rsidR="009D602F" w:rsidRPr="00DA58BB" w:rsidRDefault="00DA58BB" w:rsidP="00DA58BB">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FF0000"/>
          <w:sz w:val="24"/>
          <w:lang w:val="en-US"/>
        </w:rPr>
      </w:pPr>
      <w:r>
        <w:rPr>
          <w:rFonts w:ascii="DepCentury Old Style" w:hAnsi="DepCentury Old Style"/>
          <w:color w:val="000000"/>
          <w:sz w:val="24"/>
          <w:lang w:val="en-US"/>
        </w:rPr>
        <w:t xml:space="preserve">by royal decree </w:t>
      </w:r>
      <w:r>
        <w:rPr>
          <w:rFonts w:ascii="DepCentury Old Style" w:hAnsi="DepCentury Old Style"/>
          <w:color w:val="FF0000"/>
          <w:sz w:val="24"/>
          <w:lang w:val="en-US"/>
        </w:rPr>
        <w:t>xx.xxxx.xxxx</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F031B0" w:rsidRDefault="00F031B0" w:rsidP="009D602F">
      <w:pPr>
        <w:widowControl w:val="0"/>
        <w:tabs>
          <w:tab w:val="left" w:pos="1080"/>
          <w:tab w:val="left" w:pos="2160"/>
          <w:tab w:val="left" w:pos="3240"/>
          <w:tab w:val="left" w:pos="4320"/>
          <w:tab w:val="left" w:pos="5400"/>
          <w:tab w:val="left" w:pos="6480"/>
          <w:tab w:val="left" w:pos="7560"/>
          <w:tab w:val="left" w:pos="8640"/>
          <w:tab w:val="left" w:pos="9720"/>
        </w:tabs>
        <w:jc w:val="center"/>
        <w:rPr>
          <w:rFonts w:ascii="DepCentury Old Style" w:hAnsi="DepCentury Old Style"/>
          <w:color w:val="000000"/>
          <w:sz w:val="24"/>
          <w:lang w:val="en-US"/>
        </w:rPr>
      </w:pPr>
    </w:p>
    <w:p w:rsidR="0018504F" w:rsidRDefault="0018504F" w:rsidP="009D602F">
      <w:pPr>
        <w:widowControl w:val="0"/>
        <w:rPr>
          <w:rFonts w:ascii="DepCentury Old Style" w:hAnsi="DepCentury Old Style"/>
          <w:color w:val="000000"/>
          <w:sz w:val="24"/>
          <w:lang w:val="en-US"/>
        </w:rPr>
      </w:pPr>
    </w:p>
    <w:p w:rsidR="009D602F" w:rsidRDefault="001C19EE" w:rsidP="009D602F">
      <w:pPr>
        <w:widowControl w:val="0"/>
        <w:rPr>
          <w:rFonts w:ascii="DepCentury Old Style" w:hAnsi="DepCentury Old Style"/>
          <w:color w:val="000000"/>
          <w:sz w:val="24"/>
          <w:lang w:val="en-US"/>
        </w:rPr>
      </w:pPr>
      <w:r>
        <w:rPr>
          <w:rFonts w:ascii="DepCentury Old Style" w:hAnsi="DepCentury Old Style"/>
          <w:color w:val="000000"/>
          <w:sz w:val="24"/>
          <w:lang w:val="en-US"/>
        </w:rPr>
        <w:lastRenderedPageBreak/>
        <w:t xml:space="preserve">By Royal Decree </w:t>
      </w:r>
      <w:r>
        <w:rPr>
          <w:rFonts w:ascii="DepCentury Old Style" w:hAnsi="DepCentury Old Style"/>
          <w:color w:val="FF0000"/>
          <w:sz w:val="24"/>
          <w:lang w:val="en-US"/>
        </w:rPr>
        <w:t>XX.XX.XXXX</w:t>
      </w:r>
      <w:r w:rsidR="009D602F">
        <w:rPr>
          <w:rFonts w:ascii="DepCentury Old Style" w:hAnsi="DepCentury Old Style"/>
          <w:color w:val="000000"/>
          <w:sz w:val="24"/>
          <w:lang w:val="en-US"/>
        </w:rPr>
        <w:t xml:space="preserve"> it is decided:</w:t>
      </w:r>
    </w:p>
    <w:p w:rsidR="009D602F" w:rsidRDefault="009D602F" w:rsidP="009D602F">
      <w:pPr>
        <w:widowControl w:val="0"/>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US"/>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US"/>
        </w:rPr>
      </w:pPr>
      <w:r>
        <w:rPr>
          <w:rFonts w:ascii="DepCentury Old Style" w:hAnsi="DepCentury Old Style"/>
          <w:color w:val="000000"/>
          <w:sz w:val="24"/>
          <w:lang w:val="en-US"/>
        </w:rPr>
        <w:t xml:space="preserve">Pursuant to Act No. 72 of 29 November 1996 pertaining to petroleum activities (the Petroleum Act) </w:t>
      </w:r>
      <w:r w:rsidR="00387C77">
        <w:rPr>
          <w:rFonts w:ascii="DepCentury Old Style" w:hAnsi="DepCentury Old Style"/>
          <w:color w:val="000000"/>
          <w:sz w:val="24"/>
          <w:lang w:val="en-US"/>
        </w:rPr>
        <w:t xml:space="preserve">petroleum production licence </w:t>
      </w:r>
      <w:r w:rsidR="00387C77" w:rsidRPr="005E63B4">
        <w:rPr>
          <w:rFonts w:ascii="DepCentury Old Style" w:hAnsi="DepCentury Old Style"/>
          <w:color w:val="000000"/>
          <w:sz w:val="24"/>
          <w:lang w:val="en-US"/>
        </w:rPr>
        <w:t xml:space="preserve">no. </w:t>
      </w:r>
      <w:r w:rsidR="00387C77" w:rsidRPr="005E63B4">
        <w:rPr>
          <w:rFonts w:ascii="DepCentury Old Style" w:hAnsi="DepCentury Old Style"/>
          <w:color w:val="FF0000"/>
          <w:sz w:val="24"/>
          <w:lang w:val="en-US"/>
        </w:rPr>
        <w:t xml:space="preserve">XXX </w:t>
      </w:r>
      <w:r w:rsidR="00387C77" w:rsidRPr="005E63B4">
        <w:rPr>
          <w:rFonts w:ascii="DepCentury Old Style" w:hAnsi="DepCentury Old Style"/>
          <w:sz w:val="24"/>
          <w:lang w:val="en-US"/>
        </w:rPr>
        <w:t>is granted.</w:t>
      </w:r>
    </w:p>
    <w:p w:rsidR="00387C77" w:rsidRDefault="00387C77"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US"/>
        </w:rPr>
      </w:pPr>
    </w:p>
    <w:p w:rsidR="00387C77" w:rsidRPr="00387C77" w:rsidRDefault="00387C77"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US"/>
        </w:rPr>
      </w:pPr>
      <w:r>
        <w:rPr>
          <w:rFonts w:ascii="DepCentury Old Style" w:hAnsi="DepCentury Old Style"/>
          <w:sz w:val="24"/>
          <w:lang w:val="en-US"/>
        </w:rPr>
        <w:t>The Licensees are:</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US"/>
        </w:rPr>
      </w:pPr>
    </w:p>
    <w:p w:rsidR="009D602F" w:rsidRPr="00033997" w:rsidRDefault="00A967EC"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US"/>
        </w:rPr>
      </w:pPr>
      <w:r w:rsidRPr="00033997">
        <w:rPr>
          <w:rFonts w:ascii="DepCentury Old Style" w:hAnsi="DepCentury Old Style"/>
          <w:color w:val="FF0000"/>
          <w:sz w:val="24"/>
          <w:lang w:val="en-US"/>
        </w:rPr>
        <w:t>X</w:t>
      </w:r>
      <w:r>
        <w:rPr>
          <w:rFonts w:ascii="DepCentury Old Style" w:hAnsi="DepCentury Old Style"/>
          <w:color w:val="FF0000"/>
          <w:sz w:val="24"/>
          <w:lang w:val="en-US"/>
        </w:rPr>
        <w:tab/>
      </w:r>
      <w:r>
        <w:rPr>
          <w:rFonts w:ascii="DepCentury Old Style" w:hAnsi="DepCentury Old Style"/>
          <w:color w:val="FF0000"/>
          <w:sz w:val="24"/>
          <w:lang w:val="en-US"/>
        </w:rPr>
        <w:tab/>
        <w:t>X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r w:rsidRPr="00BE209E">
        <w:rPr>
          <w:rFonts w:ascii="DepCentury Old Style" w:hAnsi="DepCentury Old Style"/>
          <w:color w:val="FF0000"/>
          <w:sz w:val="24"/>
          <w:lang w:val="en-US"/>
        </w:rPr>
        <w:t>[</w:t>
      </w:r>
      <w:r w:rsidRPr="00D872FC">
        <w:rPr>
          <w:rFonts w:ascii="DepCentury Old Style" w:hAnsi="DepCentury Old Style"/>
          <w:color w:val="FF0000"/>
          <w:sz w:val="24"/>
          <w:lang w:val="en-GB"/>
        </w:rPr>
        <w:t>Petoro AS*]</w:t>
      </w:r>
      <w:r w:rsidR="00A967EC">
        <w:rPr>
          <w:rFonts w:ascii="DepCentury Old Style" w:hAnsi="DepCentury Old Style"/>
          <w:color w:val="FF0000"/>
          <w:sz w:val="24"/>
          <w:lang w:val="en-GB"/>
        </w:rPr>
        <w:tab/>
        <w:t>X%</w:t>
      </w:r>
    </w:p>
    <w:p w:rsidR="009D602F" w:rsidRPr="00D872FC" w:rsidRDefault="00A967EC"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r>
        <w:rPr>
          <w:rFonts w:ascii="DepCentury Old Style" w:hAnsi="DepCentury Old Style"/>
          <w:color w:val="FF0000"/>
          <w:sz w:val="24"/>
          <w:lang w:val="en-GB"/>
        </w:rPr>
        <w:t>X</w:t>
      </w:r>
      <w:r>
        <w:rPr>
          <w:rFonts w:ascii="DepCentury Old Style" w:hAnsi="DepCentury Old Style"/>
          <w:color w:val="FF0000"/>
          <w:sz w:val="24"/>
          <w:lang w:val="en-GB"/>
        </w:rPr>
        <w:tab/>
      </w:r>
      <w:r>
        <w:rPr>
          <w:rFonts w:ascii="DepCentury Old Style" w:hAnsi="DepCentury Old Style"/>
          <w:color w:val="FF0000"/>
          <w:sz w:val="24"/>
          <w:lang w:val="en-GB"/>
        </w:rPr>
        <w:tab/>
        <w:t>X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4724E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r w:rsidRPr="004724EC">
        <w:rPr>
          <w:rFonts w:ascii="DepCentury Old Style" w:hAnsi="DepCentury Old Style"/>
          <w:color w:val="FF0000"/>
          <w:sz w:val="24"/>
          <w:lang w:val="en-GB"/>
        </w:rPr>
        <w:t>[*Petoro AS is licensee on behalf of the State's participating interest (the State's Direct Financial Interest - SDFI)]</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 The Production Licence is granted subject to the conditions stated below and the laws and regulations in effect at any time.</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b/>
          <w:color w:val="000000"/>
          <w:sz w:val="24"/>
          <w:lang w:val="en-GB"/>
        </w:rPr>
        <w:t xml:space="preserve">1.  RIGHTS, AREA AND DURATION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a) This Production Licence gives an exclusive right to the exploration for petroleum, exploration drilling and production of petroleum in the licence area:</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Field</w:t>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t xml:space="preserve">Block </w:t>
      </w:r>
      <w:r w:rsidRPr="00D872FC">
        <w:rPr>
          <w:rFonts w:ascii="DepCentury Old Style" w:hAnsi="DepCentury Old Style"/>
          <w:color w:val="000000"/>
          <w:sz w:val="24"/>
          <w:lang w:val="en-GB"/>
        </w:rPr>
        <w:tab/>
        <w:t xml:space="preserve">     </w:t>
      </w:r>
      <w:r w:rsidRPr="00D872FC">
        <w:rPr>
          <w:rFonts w:ascii="DepCentury Old Style" w:hAnsi="DepCentury Old Style"/>
          <w:color w:val="000000"/>
          <w:sz w:val="24"/>
          <w:lang w:val="en-GB"/>
        </w:rPr>
        <w:tab/>
        <w:t xml:space="preserve">   Sq. km:</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No.:</w:t>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t>No.:</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Total area:</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Corner co-ordinates: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b) This Production Licence is valid until and including </w:t>
      </w:r>
      <w:r w:rsidRPr="00D872FC">
        <w:rPr>
          <w:rFonts w:ascii="DepCentury Old Style" w:hAnsi="DepCentury Old Style"/>
          <w:color w:val="FF0000"/>
          <w:sz w:val="24"/>
          <w:lang w:val="en-GB"/>
        </w:rPr>
        <w:t xml:space="preserve">xxxx </w:t>
      </w:r>
      <w:r w:rsidRPr="00D872FC">
        <w:rPr>
          <w:rFonts w:ascii="DepCentury Old Style" w:hAnsi="DepCentury Old Style"/>
          <w:color w:val="000000"/>
          <w:sz w:val="24"/>
          <w:lang w:val="en-GB"/>
        </w:rPr>
        <w:t>(the initial period).</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c) When the obligatory work commitment described in Art. 4 below </w:t>
      </w:r>
      <w:r w:rsidR="00F031B0">
        <w:rPr>
          <w:rFonts w:ascii="DepCentury Old Style" w:hAnsi="DepCentury Old Style"/>
          <w:color w:val="000000"/>
          <w:sz w:val="24"/>
          <w:lang w:val="en-GB"/>
        </w:rPr>
        <w:t>has been</w:t>
      </w:r>
      <w:r w:rsidRPr="00D872FC">
        <w:rPr>
          <w:rFonts w:ascii="DepCentury Old Style" w:hAnsi="DepCentury Old Style"/>
          <w:color w:val="000000"/>
          <w:sz w:val="24"/>
          <w:lang w:val="en-GB"/>
        </w:rPr>
        <w:t xml:space="preserve"> carried out,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may require an extension of the Production Licence period after the expiry of the initial period or after the expiry of any extension</w:t>
      </w:r>
      <w:r w:rsidR="00F031B0">
        <w:rPr>
          <w:rFonts w:ascii="DepCentury Old Style" w:hAnsi="DepCentury Old Style"/>
          <w:color w:val="000000"/>
          <w:sz w:val="24"/>
          <w:lang w:val="en-GB"/>
        </w:rPr>
        <w:t xml:space="preserve"> </w:t>
      </w:r>
      <w:r w:rsidRPr="00D872FC">
        <w:rPr>
          <w:rFonts w:ascii="DepCentury Old Style" w:hAnsi="DepCentury Old Style"/>
          <w:color w:val="000000"/>
          <w:sz w:val="24"/>
          <w:lang w:val="en-GB"/>
        </w:rPr>
        <w:t>of the initial period</w:t>
      </w:r>
      <w:r w:rsidR="008D0A39" w:rsidRPr="008D0A39">
        <w:rPr>
          <w:rFonts w:ascii="DepCentury Old Style" w:hAnsi="DepCentury Old Style"/>
          <w:color w:val="000000"/>
          <w:sz w:val="24"/>
          <w:lang w:val="en-GB"/>
        </w:rPr>
        <w:t xml:space="preserve"> </w:t>
      </w:r>
      <w:r w:rsidR="008D0A39">
        <w:rPr>
          <w:rFonts w:ascii="DepCentury Old Style" w:hAnsi="DepCentury Old Style"/>
          <w:color w:val="000000"/>
          <w:sz w:val="24"/>
          <w:lang w:val="en-GB"/>
        </w:rPr>
        <w:t xml:space="preserve">in accordance with the </w:t>
      </w:r>
      <w:r w:rsidR="00F031B0">
        <w:rPr>
          <w:rFonts w:ascii="DepCentury Old Style" w:hAnsi="DepCentury Old Style"/>
          <w:color w:val="000000"/>
          <w:sz w:val="24"/>
          <w:lang w:val="en-GB"/>
        </w:rPr>
        <w:t>P</w:t>
      </w:r>
      <w:r w:rsidR="008D0A39">
        <w:rPr>
          <w:rFonts w:ascii="DepCentury Old Style" w:hAnsi="DepCentury Old Style"/>
          <w:color w:val="000000"/>
          <w:sz w:val="24"/>
          <w:lang w:val="en-GB"/>
        </w:rPr>
        <w:t xml:space="preserve">etroleum </w:t>
      </w:r>
      <w:r w:rsidR="00F031B0">
        <w:rPr>
          <w:rFonts w:ascii="DepCentury Old Style" w:hAnsi="DepCentury Old Style"/>
          <w:color w:val="000000"/>
          <w:sz w:val="24"/>
          <w:lang w:val="en-GB"/>
        </w:rPr>
        <w:t>A</w:t>
      </w:r>
      <w:r w:rsidR="008D0A39">
        <w:rPr>
          <w:rFonts w:ascii="DepCentury Old Style" w:hAnsi="DepCentury Old Style"/>
          <w:color w:val="000000"/>
          <w:sz w:val="24"/>
          <w:lang w:val="en-GB"/>
        </w:rPr>
        <w:t>ct section 3-9</w:t>
      </w:r>
      <w:r w:rsidRPr="00D872FC">
        <w:rPr>
          <w:rFonts w:ascii="DepCentury Old Style" w:hAnsi="DepCentury Old Style"/>
          <w:color w:val="000000"/>
          <w:sz w:val="24"/>
          <w:lang w:val="en-GB"/>
        </w:rPr>
        <w:t xml:space="preserve">. The duration of such extension shall be </w:t>
      </w:r>
      <w:r w:rsidRPr="00D872FC">
        <w:rPr>
          <w:rFonts w:ascii="DepCentury Old Style" w:hAnsi="DepCentury Old Style"/>
          <w:color w:val="FF0000"/>
          <w:sz w:val="24"/>
          <w:lang w:val="en-GB"/>
        </w:rPr>
        <w:t>xx</w:t>
      </w:r>
      <w:r w:rsidRPr="00D872FC">
        <w:rPr>
          <w:rFonts w:ascii="DepCentury Old Style" w:hAnsi="DepCentury Old Style"/>
          <w:color w:val="000000"/>
          <w:sz w:val="24"/>
          <w:lang w:val="en-GB"/>
        </w:rPr>
        <w:t xml:space="preserve"> year(s).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d)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may require an extension in accordance with litra c) for those part(s) of the Petroleum Production Licence comprised by a plan for development and operation</w:t>
      </w:r>
      <w:r w:rsidR="00635BC2" w:rsidRPr="00635BC2">
        <w:rPr>
          <w:rFonts w:ascii="DepCentury Old Style" w:hAnsi="DepCentury Old Style"/>
          <w:color w:val="000000"/>
          <w:sz w:val="24"/>
          <w:lang w:val="en-GB"/>
        </w:rPr>
        <w:t xml:space="preserve"> </w:t>
      </w:r>
      <w:r w:rsidR="00635BC2">
        <w:rPr>
          <w:rFonts w:ascii="DepCentury Old Style" w:hAnsi="DepCentury Old Style"/>
          <w:color w:val="000000"/>
          <w:sz w:val="24"/>
          <w:lang w:val="en-GB"/>
        </w:rPr>
        <w:t xml:space="preserve">which has been </w:t>
      </w:r>
      <w:r w:rsidR="00635BC2" w:rsidRPr="00D872FC">
        <w:rPr>
          <w:rFonts w:ascii="DepCentury Old Style" w:hAnsi="DepCentury Old Style"/>
          <w:color w:val="000000"/>
          <w:sz w:val="24"/>
          <w:lang w:val="en-GB"/>
        </w:rPr>
        <w:t>submitted</w:t>
      </w:r>
      <w:r w:rsidR="00635BC2">
        <w:rPr>
          <w:rFonts w:ascii="DepCentury Old Style" w:hAnsi="DepCentury Old Style"/>
          <w:color w:val="000000"/>
          <w:sz w:val="24"/>
          <w:lang w:val="en-GB"/>
        </w:rPr>
        <w:t xml:space="preserve"> to the Ministry</w:t>
      </w:r>
      <w:r w:rsidR="008129C0">
        <w:rPr>
          <w:rFonts w:ascii="DepCentury Old Style" w:hAnsi="DepCentury Old Style"/>
          <w:color w:val="000000"/>
          <w:sz w:val="24"/>
          <w:lang w:val="en-GB"/>
        </w:rPr>
        <w:t xml:space="preserve"> of Petroleum and Energy (the Ministry)</w:t>
      </w:r>
      <w:r w:rsidRPr="00D872FC">
        <w:rPr>
          <w:rFonts w:ascii="DepCentury Old Style" w:hAnsi="DepCentury Old Style"/>
          <w:color w:val="000000"/>
          <w:sz w:val="24"/>
          <w:lang w:val="en-GB"/>
        </w:rPr>
        <w:t xml:space="preserve">. Based on the </w:t>
      </w:r>
      <w:r w:rsidR="00635BC2">
        <w:rPr>
          <w:rFonts w:ascii="DepCentury Old Style" w:hAnsi="DepCentury Old Style"/>
          <w:color w:val="000000"/>
          <w:sz w:val="24"/>
          <w:lang w:val="en-GB"/>
        </w:rPr>
        <w:t xml:space="preserve">plan </w:t>
      </w:r>
      <w:r w:rsidRPr="00D872FC">
        <w:rPr>
          <w:rFonts w:ascii="DepCentury Old Style" w:hAnsi="DepCentury Old Style"/>
          <w:color w:val="000000"/>
          <w:sz w:val="24"/>
          <w:lang w:val="en-GB"/>
        </w:rPr>
        <w:t>submitted, the Ministry will determine the extension of the area comprised by the extended Production Licence period.</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635BC2" w:rsidRDefault="00690EA0"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e)</w:t>
      </w:r>
      <w:r w:rsidR="00635BC2">
        <w:rPr>
          <w:rFonts w:ascii="DepCentury Old Style" w:hAnsi="DepCentury Old Style"/>
          <w:color w:val="000000"/>
          <w:sz w:val="24"/>
          <w:lang w:val="en-GB"/>
        </w:rPr>
        <w:t xml:space="preserve"> A </w:t>
      </w:r>
      <w:r w:rsidR="009D602F" w:rsidRPr="00D872FC">
        <w:rPr>
          <w:rFonts w:ascii="DepCentury Old Style" w:hAnsi="DepCentury Old Style"/>
          <w:color w:val="000000"/>
          <w:sz w:val="24"/>
          <w:lang w:val="en-GB"/>
        </w:rPr>
        <w:t xml:space="preserve">Production Licence area not comprised by </w:t>
      </w:r>
      <w:r>
        <w:rPr>
          <w:rFonts w:ascii="DepCentury Old Style" w:hAnsi="DepCentury Old Style"/>
          <w:color w:val="000000"/>
          <w:sz w:val="24"/>
          <w:lang w:val="en-GB"/>
        </w:rPr>
        <w:t>litra d)</w:t>
      </w:r>
      <w:r w:rsidR="009D602F" w:rsidRPr="00D872FC">
        <w:rPr>
          <w:rFonts w:ascii="DepCentury Old Style" w:hAnsi="DepCentury Old Style"/>
          <w:color w:val="000000"/>
          <w:sz w:val="24"/>
          <w:lang w:val="en-GB"/>
        </w:rPr>
        <w:t xml:space="preserve"> shall be relinquished at the time of ex</w:t>
      </w:r>
      <w:r>
        <w:rPr>
          <w:rFonts w:ascii="DepCentury Old Style" w:hAnsi="DepCentury Old Style"/>
          <w:color w:val="000000"/>
          <w:sz w:val="24"/>
          <w:lang w:val="en-GB"/>
        </w:rPr>
        <w:t>p</w:t>
      </w:r>
      <w:r w:rsidR="008D0A39">
        <w:rPr>
          <w:rFonts w:ascii="DepCentury Old Style" w:hAnsi="DepCentury Old Style"/>
          <w:color w:val="000000"/>
          <w:sz w:val="24"/>
          <w:lang w:val="en-GB"/>
        </w:rPr>
        <w:t>i</w:t>
      </w:r>
      <w:r>
        <w:rPr>
          <w:rFonts w:ascii="DepCentury Old Style" w:hAnsi="DepCentury Old Style"/>
          <w:color w:val="000000"/>
          <w:sz w:val="24"/>
          <w:lang w:val="en-GB"/>
        </w:rPr>
        <w:t>ry</w:t>
      </w:r>
      <w:r w:rsidR="009D602F" w:rsidRPr="00D872FC">
        <w:rPr>
          <w:rFonts w:ascii="DepCentury Old Style" w:hAnsi="DepCentury Old Style"/>
          <w:color w:val="000000"/>
          <w:sz w:val="24"/>
          <w:lang w:val="en-GB"/>
        </w:rPr>
        <w:t xml:space="preserve"> of the initial period</w:t>
      </w:r>
      <w:r>
        <w:rPr>
          <w:rFonts w:ascii="DepCentury Old Style" w:hAnsi="DepCentury Old Style"/>
          <w:color w:val="000000"/>
          <w:sz w:val="24"/>
          <w:lang w:val="en-GB"/>
        </w:rPr>
        <w:t>.</w:t>
      </w:r>
    </w:p>
    <w:p w:rsidR="00635BC2" w:rsidRDefault="00635BC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b/>
          <w:color w:val="000000"/>
          <w:sz w:val="24"/>
          <w:lang w:val="en-GB"/>
        </w:rPr>
        <w:t>2.  AREA FEE</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On extension of the initial period, and on extension of the licence period beyond the initial period in accordance with item 1 c),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pay an area fee in accordance with the laws and regulations in effect at any time. The amount is payable to the Norwegian Petroleum Directorate (NPD).</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rPr>
          <w:rFonts w:ascii="DepCentury Old Style" w:hAnsi="DepCentury Old Style"/>
          <w:color w:val="000000"/>
          <w:sz w:val="24"/>
          <w:lang w:val="en-GB"/>
        </w:rPr>
      </w:pPr>
      <w:r w:rsidRPr="00D872FC">
        <w:rPr>
          <w:rFonts w:ascii="DepCentury Old Style" w:hAnsi="DepCentury Old Style"/>
          <w:b/>
          <w:color w:val="000000"/>
          <w:sz w:val="24"/>
          <w:lang w:val="en-GB"/>
        </w:rPr>
        <w:t>3.  OPERATOR</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FF0000"/>
          <w:sz w:val="24"/>
          <w:lang w:val="en-GB"/>
        </w:rPr>
        <w:t>Y</w:t>
      </w:r>
      <w:r w:rsidRPr="00D872FC">
        <w:rPr>
          <w:rFonts w:ascii="DepCentury Old Style" w:hAnsi="DepCentury Old Style"/>
          <w:color w:val="000000"/>
          <w:sz w:val="24"/>
          <w:lang w:val="en-GB"/>
        </w:rPr>
        <w:t xml:space="preserve"> has been appointed and has accepted the designation and responsibility as operator.</w:t>
      </w:r>
    </w:p>
    <w:p w:rsidR="009D602F" w:rsidRPr="00D872FC" w:rsidRDefault="009D602F" w:rsidP="009D602F">
      <w:pPr>
        <w:widowControl w:val="0"/>
        <w:rPr>
          <w:rFonts w:ascii="DepCentury Old Style" w:hAnsi="DepCentury Old Style"/>
          <w:color w:val="000000"/>
          <w:sz w:val="24"/>
          <w:lang w:val="en-GB"/>
        </w:rPr>
      </w:pPr>
    </w:p>
    <w:p w:rsidR="009D602F" w:rsidRPr="00D872FC" w:rsidRDefault="009D602F" w:rsidP="009D602F">
      <w:pPr>
        <w:widowControl w:val="0"/>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b/>
          <w:color w:val="FF0000"/>
          <w:sz w:val="24"/>
          <w:lang w:val="en-GB"/>
        </w:rPr>
      </w:pPr>
      <w:r w:rsidRPr="00D872FC">
        <w:rPr>
          <w:rFonts w:ascii="DepCentury Old Style" w:hAnsi="DepCentury Old Style"/>
          <w:b/>
          <w:color w:val="000000"/>
          <w:sz w:val="24"/>
          <w:lang w:val="en-GB"/>
        </w:rPr>
        <w:t xml:space="preserve">4.  OBLIGATORY WORK COMMITMENT </w:t>
      </w:r>
      <w:r w:rsidRPr="00D872FC">
        <w:rPr>
          <w:rFonts w:ascii="DepCentury Old Style" w:hAnsi="DepCentury Old Style"/>
          <w:b/>
          <w:color w:val="FF0000"/>
          <w:sz w:val="24"/>
          <w:lang w:val="en-GB"/>
        </w:rPr>
        <w:t>(E</w:t>
      </w:r>
      <w:r>
        <w:rPr>
          <w:rFonts w:ascii="DepCentury Old Style" w:hAnsi="DepCentury Old Style"/>
          <w:b/>
          <w:color w:val="FF0000"/>
          <w:sz w:val="24"/>
          <w:lang w:val="en-GB"/>
        </w:rPr>
        <w:t>XAMPLE)</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have </w:t>
      </w:r>
      <w:r w:rsidR="00322692">
        <w:rPr>
          <w:rFonts w:ascii="DepCentury Old Style" w:hAnsi="DepCentury Old Style"/>
          <w:color w:val="000000"/>
          <w:sz w:val="24"/>
          <w:lang w:val="en-GB"/>
        </w:rPr>
        <w:t xml:space="preserve">accepted to </w:t>
      </w:r>
      <w:r w:rsidRPr="00D872FC">
        <w:rPr>
          <w:rFonts w:ascii="DepCentury Old Style" w:hAnsi="DepCentury Old Style"/>
          <w:color w:val="000000"/>
          <w:sz w:val="24"/>
          <w:lang w:val="en-GB"/>
        </w:rPr>
        <w:t>undertake a work commitment which shall b</w:t>
      </w:r>
      <w:r w:rsidR="00A60615">
        <w:rPr>
          <w:rFonts w:ascii="DepCentury Old Style" w:hAnsi="DepCentury Old Style"/>
          <w:color w:val="000000"/>
          <w:sz w:val="24"/>
          <w:lang w:val="en-GB"/>
        </w:rPr>
        <w:t>e completed in its entirety by</w:t>
      </w:r>
      <w:r w:rsidRPr="00D872FC">
        <w:rPr>
          <w:rFonts w:ascii="DepCentury Old Style" w:hAnsi="DepCentury Old Style"/>
          <w:color w:val="000000"/>
          <w:sz w:val="24"/>
          <w:lang w:val="en-GB"/>
        </w:rPr>
        <w:t xml:space="preserve"> </w:t>
      </w:r>
      <w:r w:rsidRPr="00D872FC">
        <w:rPr>
          <w:rFonts w:ascii="DepCentury Old Style" w:hAnsi="DepCentury Old Style"/>
          <w:color w:val="FF0000"/>
          <w:sz w:val="24"/>
          <w:lang w:val="en-GB"/>
        </w:rPr>
        <w:t>xxxx</w:t>
      </w:r>
      <w:r w:rsidRPr="00D872FC">
        <w:rPr>
          <w:rFonts w:ascii="DepCentury Old Style" w:hAnsi="DepCentury Old Style"/>
          <w:color w:val="000000"/>
          <w:sz w:val="24"/>
          <w:lang w:val="en-GB"/>
        </w:rPr>
        <w:t>.</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The content of the work commitment, and specifications for its completion, </w:t>
      </w:r>
      <w:r w:rsidR="00322692">
        <w:rPr>
          <w:rFonts w:ascii="DepCentury Old Style" w:hAnsi="DepCentury Old Style"/>
          <w:color w:val="000000"/>
          <w:sz w:val="24"/>
          <w:lang w:val="en-GB"/>
        </w:rPr>
        <w:t>are</w:t>
      </w:r>
      <w:r w:rsidRPr="00D872FC">
        <w:rPr>
          <w:rFonts w:ascii="DepCentury Old Style" w:hAnsi="DepCentury Old Style"/>
          <w:color w:val="000000"/>
          <w:sz w:val="24"/>
          <w:lang w:val="en-GB"/>
        </w:rPr>
        <w:t xml:space="preserve"> as follows: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GB"/>
        </w:rPr>
      </w:pPr>
      <w:r w:rsidRPr="00D872FC">
        <w:rPr>
          <w:rFonts w:ascii="DepCentury Old Style" w:hAnsi="DepCentury Old Style"/>
          <w:color w:val="000000"/>
          <w:sz w:val="24"/>
          <w:lang w:val="en-GB"/>
        </w:rPr>
        <w:t xml:space="preserve">a) Within </w:t>
      </w:r>
      <w:r w:rsidRPr="00D872FC">
        <w:rPr>
          <w:rFonts w:ascii="DepCentury Old Style" w:hAnsi="DepCentury Old Style"/>
          <w:color w:val="FF0000"/>
          <w:sz w:val="24"/>
          <w:lang w:val="en-GB"/>
        </w:rPr>
        <w:t xml:space="preserve">x </w:t>
      </w:r>
      <w:r w:rsidRPr="00D872FC">
        <w:rPr>
          <w:rFonts w:ascii="DepCentury Old Style" w:hAnsi="DepCentury Old Style"/>
          <w:sz w:val="24"/>
          <w:lang w:val="en-GB"/>
        </w:rPr>
        <w:t xml:space="preserve">years from the time of award of this Production Licence, the </w:t>
      </w:r>
      <w:r w:rsidR="00666A46">
        <w:rPr>
          <w:rFonts w:ascii="DepCentury Old Style" w:hAnsi="DepCentury Old Style"/>
          <w:sz w:val="24"/>
          <w:lang w:val="en-GB"/>
        </w:rPr>
        <w:t>Licensees</w:t>
      </w:r>
      <w:r w:rsidRPr="00D872FC">
        <w:rPr>
          <w:rFonts w:ascii="DepCentury Old Style" w:hAnsi="DepCentury Old Style"/>
          <w:sz w:val="24"/>
          <w:lang w:val="en-GB"/>
        </w:rPr>
        <w:t xml:space="preserve">           shall: </w:t>
      </w:r>
    </w:p>
    <w:p w:rsidR="009D602F" w:rsidRPr="00D872FC" w:rsidRDefault="009D602F" w:rsidP="009D602F">
      <w:pPr>
        <w:widowControl w:val="0"/>
        <w:numPr>
          <w:ilvl w:val="0"/>
          <w:numId w:val="1"/>
        </w:numPr>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GB"/>
        </w:rPr>
      </w:pPr>
      <w:r w:rsidRPr="00D872FC">
        <w:rPr>
          <w:rFonts w:ascii="DepCentury Old Style" w:hAnsi="DepCentury Old Style"/>
          <w:sz w:val="24"/>
          <w:lang w:val="en-GB"/>
        </w:rPr>
        <w:t>Acquire seismic data of the entire area of the Production Licence</w:t>
      </w:r>
      <w:r w:rsidRPr="00330970">
        <w:rPr>
          <w:rFonts w:ascii="DepCentury Old Style" w:hAnsi="DepCentury Old Style"/>
          <w:color w:val="FF0000"/>
          <w:sz w:val="24"/>
          <w:lang w:val="en-GB"/>
        </w:rPr>
        <w:t>.(example)</w:t>
      </w:r>
    </w:p>
    <w:p w:rsidR="009D602F" w:rsidRPr="00D872FC" w:rsidRDefault="009D602F" w:rsidP="009D602F">
      <w:pPr>
        <w:widowControl w:val="0"/>
        <w:numPr>
          <w:ilvl w:val="0"/>
          <w:numId w:val="1"/>
        </w:numPr>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sz w:val="24"/>
          <w:lang w:val="en-GB"/>
        </w:rPr>
      </w:pPr>
      <w:r w:rsidRPr="00D872FC">
        <w:rPr>
          <w:rFonts w:ascii="DepCentury Old Style" w:hAnsi="DepCentury Old Style"/>
          <w:sz w:val="24"/>
          <w:lang w:val="en-GB"/>
        </w:rPr>
        <w:t>Conduct relevant geologic</w:t>
      </w:r>
      <w:r w:rsidR="00322692">
        <w:rPr>
          <w:rFonts w:ascii="DepCentury Old Style" w:hAnsi="DepCentury Old Style"/>
          <w:sz w:val="24"/>
          <w:lang w:val="en-GB"/>
        </w:rPr>
        <w:t>al</w:t>
      </w:r>
      <w:r w:rsidRPr="00D872FC">
        <w:rPr>
          <w:rFonts w:ascii="DepCentury Old Style" w:hAnsi="DepCentury Old Style"/>
          <w:sz w:val="24"/>
          <w:lang w:val="en-GB"/>
        </w:rPr>
        <w:t xml:space="preserve"> and geophysical studies.</w:t>
      </w:r>
      <w:r>
        <w:rPr>
          <w:rFonts w:ascii="DepCentury Old Style" w:hAnsi="DepCentury Old Style"/>
          <w:sz w:val="24"/>
          <w:lang w:val="en-GB"/>
        </w:rPr>
        <w:t xml:space="preserve"> </w:t>
      </w:r>
      <w:r w:rsidRPr="00330970">
        <w:rPr>
          <w:rFonts w:ascii="DepCentury Old Style" w:hAnsi="DepCentury Old Style"/>
          <w:color w:val="FF0000"/>
          <w:sz w:val="24"/>
          <w:lang w:val="en-GB"/>
        </w:rPr>
        <w:t>(example)</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b) Within </w:t>
      </w:r>
      <w:r w:rsidR="00037C62">
        <w:rPr>
          <w:rFonts w:ascii="DepCentury Old Style" w:hAnsi="DepCentury Old Style"/>
          <w:color w:val="FF0000"/>
          <w:sz w:val="24"/>
          <w:lang w:val="en-GB"/>
        </w:rPr>
        <w:t>y</w:t>
      </w:r>
      <w:r w:rsidRPr="00D872FC">
        <w:rPr>
          <w:rFonts w:ascii="DepCentury Old Style" w:hAnsi="DepCentury Old Style"/>
          <w:color w:val="000000"/>
          <w:sz w:val="24"/>
          <w:lang w:val="en-GB"/>
        </w:rPr>
        <w:t xml:space="preserve"> years from the award of this Production Licence,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decide whether </w:t>
      </w:r>
      <w:r w:rsidR="00322692">
        <w:rPr>
          <w:rFonts w:ascii="DepCentury Old Style" w:hAnsi="DepCentury Old Style"/>
          <w:color w:val="000000"/>
          <w:sz w:val="24"/>
          <w:lang w:val="en-GB"/>
        </w:rPr>
        <w:t xml:space="preserve">or not to </w:t>
      </w:r>
      <w:r w:rsidRPr="00D872FC">
        <w:rPr>
          <w:rFonts w:ascii="DepCentury Old Style" w:hAnsi="DepCentury Old Style"/>
          <w:color w:val="000000"/>
          <w:sz w:val="24"/>
          <w:lang w:val="en-GB"/>
        </w:rPr>
        <w:t>to drill a</w:t>
      </w:r>
      <w:r w:rsidR="00887B22">
        <w:rPr>
          <w:rFonts w:ascii="DepCentury Old Style" w:hAnsi="DepCentury Old Style"/>
          <w:color w:val="000000"/>
          <w:sz w:val="24"/>
          <w:lang w:val="en-GB"/>
        </w:rPr>
        <w:t>n</w:t>
      </w:r>
      <w:r w:rsidRPr="00D872FC">
        <w:rPr>
          <w:rFonts w:ascii="DepCentury Old Style" w:hAnsi="DepCentury Old Style"/>
          <w:color w:val="000000"/>
          <w:sz w:val="24"/>
          <w:lang w:val="en-GB"/>
        </w:rPr>
        <w:t xml:space="preserve"> </w:t>
      </w:r>
      <w:r w:rsidR="00887B22">
        <w:rPr>
          <w:rFonts w:ascii="DepCentury Old Style" w:hAnsi="DepCentury Old Style"/>
          <w:color w:val="000000"/>
          <w:sz w:val="24"/>
          <w:lang w:val="en-GB"/>
        </w:rPr>
        <w:t xml:space="preserve">exploration </w:t>
      </w:r>
      <w:r w:rsidRPr="00D872FC">
        <w:rPr>
          <w:rFonts w:ascii="DepCentury Old Style" w:hAnsi="DepCentury Old Style"/>
          <w:color w:val="000000"/>
          <w:sz w:val="24"/>
          <w:lang w:val="en-GB"/>
        </w:rPr>
        <w:t xml:space="preserve">well. </w:t>
      </w:r>
      <w:r w:rsidR="00322692">
        <w:rPr>
          <w:rFonts w:ascii="DepCentury Old Style" w:hAnsi="DepCentury Old Style"/>
          <w:color w:val="000000"/>
          <w:sz w:val="24"/>
          <w:lang w:val="en-GB"/>
        </w:rPr>
        <w:t>The d</w:t>
      </w:r>
      <w:r w:rsidRPr="00D872FC">
        <w:rPr>
          <w:rFonts w:ascii="DepCentury Old Style" w:hAnsi="DepCentury Old Style"/>
          <w:color w:val="000000"/>
          <w:sz w:val="24"/>
          <w:lang w:val="en-GB"/>
        </w:rPr>
        <w:t xml:space="preserve">ecision </w:t>
      </w:r>
      <w:r w:rsidR="00322692">
        <w:rPr>
          <w:rFonts w:ascii="DepCentury Old Style" w:hAnsi="DepCentury Old Style"/>
          <w:color w:val="000000"/>
          <w:sz w:val="24"/>
          <w:lang w:val="en-GB"/>
        </w:rPr>
        <w:t>shall be</w:t>
      </w:r>
      <w:r w:rsidRPr="00D872FC">
        <w:rPr>
          <w:rFonts w:ascii="DepCentury Old Style" w:hAnsi="DepCentury Old Style"/>
          <w:color w:val="000000"/>
          <w:sz w:val="24"/>
          <w:lang w:val="en-GB"/>
        </w:rPr>
        <w:t xml:space="preserve"> made pursuant to </w:t>
      </w:r>
      <w:r w:rsidR="00322692">
        <w:rPr>
          <w:rFonts w:ascii="DepCentury Old Style" w:hAnsi="DepCentury Old Style"/>
          <w:color w:val="000000"/>
          <w:sz w:val="24"/>
          <w:lang w:val="en-GB"/>
        </w:rPr>
        <w:t>A</w:t>
      </w:r>
      <w:r w:rsidRPr="00D872FC">
        <w:rPr>
          <w:rFonts w:ascii="DepCentury Old Style" w:hAnsi="DepCentury Old Style"/>
          <w:color w:val="000000"/>
          <w:sz w:val="24"/>
          <w:lang w:val="en-GB"/>
        </w:rPr>
        <w:t>rt</w:t>
      </w:r>
      <w:r w:rsidR="00322692">
        <w:rPr>
          <w:rFonts w:ascii="DepCentury Old Style" w:hAnsi="DepCentury Old Style"/>
          <w:color w:val="000000"/>
          <w:sz w:val="24"/>
          <w:lang w:val="en-GB"/>
        </w:rPr>
        <w:t xml:space="preserve">icle </w:t>
      </w:r>
      <w:r w:rsidR="00690EA0">
        <w:rPr>
          <w:rFonts w:ascii="DepCentury Old Style" w:hAnsi="DepCentury Old Style"/>
          <w:color w:val="000000"/>
          <w:sz w:val="24"/>
          <w:lang w:val="en-GB"/>
        </w:rPr>
        <w:t>3</w:t>
      </w:r>
      <w:r w:rsidRPr="00D872FC">
        <w:rPr>
          <w:rFonts w:ascii="DepCentury Old Style" w:hAnsi="DepCentury Old Style"/>
          <w:color w:val="000000"/>
          <w:sz w:val="24"/>
          <w:lang w:val="en-GB"/>
        </w:rPr>
        <w:t>.2 of the Joint Operating Agreemen</w:t>
      </w:r>
      <w:r w:rsidR="00887B22">
        <w:rPr>
          <w:rFonts w:ascii="DepCentury Old Style" w:hAnsi="DepCentury Old Style"/>
          <w:color w:val="000000"/>
          <w:sz w:val="24"/>
          <w:lang w:val="en-GB"/>
        </w:rPr>
        <w:t xml:space="preserve">t. If a majority decision on drilling an exploration well is made, the Production Licence </w:t>
      </w:r>
      <w:r w:rsidR="00322692">
        <w:rPr>
          <w:rFonts w:ascii="DepCentury Old Style" w:hAnsi="DepCentury Old Style"/>
          <w:color w:val="000000"/>
          <w:sz w:val="24"/>
          <w:lang w:val="en-GB"/>
        </w:rPr>
        <w:t>shall</w:t>
      </w:r>
      <w:r w:rsidR="00887B22">
        <w:rPr>
          <w:rFonts w:ascii="DepCentury Old Style" w:hAnsi="DepCentury Old Style"/>
          <w:color w:val="000000"/>
          <w:sz w:val="24"/>
          <w:lang w:val="en-GB"/>
        </w:rPr>
        <w:t xml:space="preserve"> continue to be valid. </w:t>
      </w:r>
    </w:p>
    <w:p w:rsidR="00887B22" w:rsidRDefault="00887B2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322692" w:rsidRDefault="00887B2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If no majority decision on drilling an exploration well is made, but one or more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wish to drill an exploration well in any case, 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who do not want to drill the exploration well shall withdraw from the joint venture pursuant to Article 2</w:t>
      </w:r>
      <w:r w:rsidR="00A02C83">
        <w:rPr>
          <w:rFonts w:ascii="DepCentury Old Style" w:hAnsi="DepCentury Old Style"/>
          <w:color w:val="000000"/>
          <w:sz w:val="24"/>
          <w:lang w:val="en-GB"/>
        </w:rPr>
        <w:t>4</w:t>
      </w:r>
      <w:r>
        <w:rPr>
          <w:rFonts w:ascii="DepCentury Old Style" w:hAnsi="DepCentury Old Style"/>
          <w:color w:val="000000"/>
          <w:sz w:val="24"/>
          <w:lang w:val="en-GB"/>
        </w:rPr>
        <w:t xml:space="preserve"> of the Joint Operating Agreement. The procedures for approv</w:t>
      </w:r>
      <w:r w:rsidR="00A02C83">
        <w:rPr>
          <w:rFonts w:ascii="DepCentury Old Style" w:hAnsi="DepCentury Old Style"/>
          <w:color w:val="000000"/>
          <w:sz w:val="24"/>
          <w:lang w:val="en-GB"/>
        </w:rPr>
        <w:t>a</w:t>
      </w:r>
      <w:r>
        <w:rPr>
          <w:rFonts w:ascii="DepCentury Old Style" w:hAnsi="DepCentury Old Style"/>
          <w:color w:val="000000"/>
          <w:sz w:val="24"/>
          <w:lang w:val="en-GB"/>
        </w:rPr>
        <w:t xml:space="preserve">l by the Ministry shall apply accordingly. </w:t>
      </w:r>
    </w:p>
    <w:p w:rsidR="00CA3450" w:rsidRDefault="00CA3450"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1C6903" w:rsidRDefault="008129C0"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For the </w:t>
      </w:r>
      <w:r w:rsidR="000E7832">
        <w:rPr>
          <w:rFonts w:ascii="DepCentury Old Style" w:hAnsi="DepCentury Old Style"/>
          <w:color w:val="000000"/>
          <w:sz w:val="24"/>
          <w:lang w:val="en-GB"/>
        </w:rPr>
        <w:t>Production Licence</w:t>
      </w:r>
      <w:r>
        <w:rPr>
          <w:rFonts w:ascii="DepCentury Old Style" w:hAnsi="DepCentury Old Style"/>
          <w:color w:val="000000"/>
          <w:sz w:val="24"/>
          <w:lang w:val="en-GB"/>
        </w:rPr>
        <w:t xml:space="preserve"> to continue to be </w:t>
      </w:r>
      <w:r w:rsidR="004610A1">
        <w:rPr>
          <w:rFonts w:ascii="DepCentury Old Style" w:hAnsi="DepCentury Old Style"/>
          <w:color w:val="000000"/>
          <w:sz w:val="24"/>
          <w:lang w:val="en-GB"/>
        </w:rPr>
        <w:t>valid,</w:t>
      </w:r>
      <w:r w:rsidR="000E7832">
        <w:rPr>
          <w:rFonts w:ascii="DepCentury Old Style" w:hAnsi="DepCentury Old Style"/>
          <w:color w:val="000000"/>
          <w:sz w:val="24"/>
          <w:lang w:val="en-GB"/>
        </w:rPr>
        <w:t xml:space="preserve"> the remain</w:t>
      </w:r>
      <w:r>
        <w:rPr>
          <w:rFonts w:ascii="DepCentury Old Style" w:hAnsi="DepCentury Old Style"/>
          <w:color w:val="000000"/>
          <w:sz w:val="24"/>
          <w:lang w:val="en-GB"/>
        </w:rPr>
        <w:t>ing</w:t>
      </w:r>
      <w:r w:rsidR="000E7832">
        <w:rPr>
          <w:rFonts w:ascii="DepCentury Old Style" w:hAnsi="DepCentury Old Style"/>
          <w:color w:val="000000"/>
          <w:sz w:val="24"/>
          <w:lang w:val="en-GB"/>
        </w:rPr>
        <w:t xml:space="preserve"> </w:t>
      </w:r>
      <w:r w:rsidR="00666A46">
        <w:rPr>
          <w:rFonts w:ascii="DepCentury Old Style" w:hAnsi="DepCentury Old Style"/>
          <w:color w:val="000000"/>
          <w:sz w:val="24"/>
          <w:lang w:val="en-GB"/>
        </w:rPr>
        <w:t>Licensees</w:t>
      </w:r>
      <w:r w:rsidR="000E7832">
        <w:rPr>
          <w:rFonts w:ascii="DepCentury Old Style" w:hAnsi="DepCentury Old Style"/>
          <w:color w:val="000000"/>
          <w:sz w:val="24"/>
          <w:lang w:val="en-GB"/>
        </w:rPr>
        <w:t xml:space="preserve"> </w:t>
      </w:r>
      <w:r w:rsidR="00731E5F">
        <w:rPr>
          <w:rFonts w:ascii="DepCentury Old Style" w:hAnsi="DepCentury Old Style"/>
          <w:color w:val="000000"/>
          <w:sz w:val="24"/>
          <w:lang w:val="en-GB"/>
        </w:rPr>
        <w:t xml:space="preserve">must within </w:t>
      </w:r>
      <w:r w:rsidR="00731E5F">
        <w:rPr>
          <w:rFonts w:ascii="DepCentury Old Style" w:hAnsi="DepCentury Old Style"/>
          <w:color w:val="FF0000"/>
          <w:sz w:val="24"/>
          <w:lang w:val="en-GB"/>
        </w:rPr>
        <w:t>y</w:t>
      </w:r>
      <w:r w:rsidR="00037C62">
        <w:rPr>
          <w:rFonts w:ascii="DepCentury Old Style" w:hAnsi="DepCentury Old Style"/>
          <w:color w:val="000000"/>
          <w:sz w:val="24"/>
          <w:lang w:val="en-GB"/>
        </w:rPr>
        <w:t xml:space="preserve"> </w:t>
      </w:r>
      <w:r w:rsidR="001C6903">
        <w:rPr>
          <w:rFonts w:ascii="DepCentury Old Style" w:hAnsi="DepCentury Old Style"/>
          <w:color w:val="000000"/>
          <w:sz w:val="24"/>
          <w:lang w:val="en-GB"/>
        </w:rPr>
        <w:t xml:space="preserve">years from the award apply to the Ministry, with a copy to the NPD, for approval to drill the exploration well. If the Ministry does not accept the application, the Production Licence must be surrendered in its entirety. </w:t>
      </w:r>
      <w:r w:rsidR="00DE5158">
        <w:rPr>
          <w:rFonts w:ascii="DepCentury Old Style" w:hAnsi="DepCentury Old Style"/>
          <w:color w:val="000000"/>
          <w:sz w:val="24"/>
          <w:lang w:val="en-GB"/>
        </w:rPr>
        <w:t>Any</w:t>
      </w:r>
      <w:r w:rsidR="001C6903">
        <w:rPr>
          <w:rFonts w:ascii="DepCentury Old Style" w:hAnsi="DepCentury Old Style"/>
          <w:color w:val="000000"/>
          <w:sz w:val="24"/>
          <w:lang w:val="en-GB"/>
        </w:rPr>
        <w:t xml:space="preserve"> change of Operator</w:t>
      </w:r>
      <w:r>
        <w:rPr>
          <w:rFonts w:ascii="DepCentury Old Style" w:hAnsi="DepCentury Old Style"/>
          <w:color w:val="000000"/>
          <w:sz w:val="24"/>
          <w:lang w:val="en-GB"/>
        </w:rPr>
        <w:t xml:space="preserve"> </w:t>
      </w:r>
      <w:r w:rsidR="00F952F8">
        <w:rPr>
          <w:rFonts w:ascii="DepCentury Old Style" w:hAnsi="DepCentury Old Style"/>
          <w:color w:val="000000"/>
          <w:sz w:val="24"/>
          <w:lang w:val="en-GB"/>
        </w:rPr>
        <w:t>shall</w:t>
      </w:r>
      <w:r>
        <w:rPr>
          <w:rFonts w:ascii="DepCentury Old Style" w:hAnsi="DepCentury Old Style"/>
          <w:color w:val="000000"/>
          <w:sz w:val="24"/>
          <w:lang w:val="en-GB"/>
        </w:rPr>
        <w:t xml:space="preserve"> be subject to the </w:t>
      </w:r>
      <w:r w:rsidR="008C7490">
        <w:rPr>
          <w:rFonts w:ascii="DepCentury Old Style" w:hAnsi="DepCentury Old Style"/>
          <w:color w:val="000000"/>
          <w:sz w:val="24"/>
          <w:lang w:val="en-GB"/>
        </w:rPr>
        <w:t>approval</w:t>
      </w:r>
      <w:r>
        <w:rPr>
          <w:rFonts w:ascii="DepCentury Old Style" w:hAnsi="DepCentury Old Style"/>
          <w:color w:val="000000"/>
          <w:sz w:val="24"/>
          <w:lang w:val="en-GB"/>
        </w:rPr>
        <w:t xml:space="preserve"> of</w:t>
      </w:r>
      <w:r w:rsidR="008C7490">
        <w:rPr>
          <w:rFonts w:ascii="DepCentury Old Style" w:hAnsi="DepCentury Old Style"/>
          <w:color w:val="000000"/>
          <w:sz w:val="24"/>
          <w:lang w:val="en-GB"/>
        </w:rPr>
        <w:t xml:space="preserve"> the Ministry pursuant to the Petroleum Act </w:t>
      </w:r>
      <w:r>
        <w:rPr>
          <w:rFonts w:ascii="DepCentury Old Style" w:hAnsi="DepCentury Old Style"/>
          <w:color w:val="000000"/>
          <w:sz w:val="24"/>
          <w:lang w:val="en-GB"/>
        </w:rPr>
        <w:t>S</w:t>
      </w:r>
      <w:r w:rsidR="008C7490">
        <w:rPr>
          <w:rFonts w:ascii="DepCentury Old Style" w:hAnsi="DepCentury Old Style"/>
          <w:color w:val="000000"/>
          <w:sz w:val="24"/>
          <w:lang w:val="en-GB"/>
        </w:rPr>
        <w:t>ection 3-7.</w:t>
      </w:r>
    </w:p>
    <w:p w:rsidR="001C6903" w:rsidRDefault="001C6903"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1C6903" w:rsidRDefault="008C7490"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If none of 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wish to drill an exploration well, the Production Licence must be surrendered in its entirety</w:t>
      </w:r>
      <w:r w:rsidR="00731E5F">
        <w:rPr>
          <w:rFonts w:ascii="DepCentury Old Style" w:hAnsi="DepCentury Old Style"/>
          <w:color w:val="000000"/>
          <w:sz w:val="24"/>
          <w:lang w:val="en-GB"/>
        </w:rPr>
        <w:t xml:space="preserve"> within </w:t>
      </w:r>
      <w:r w:rsidR="00731E5F">
        <w:rPr>
          <w:rFonts w:ascii="DepCentury Old Style" w:hAnsi="DepCentury Old Style"/>
          <w:color w:val="FF0000"/>
          <w:sz w:val="24"/>
          <w:lang w:val="en-GB"/>
        </w:rPr>
        <w:t>y</w:t>
      </w:r>
      <w:r w:rsidR="00037C62">
        <w:rPr>
          <w:rFonts w:ascii="DepCentury Old Style" w:hAnsi="DepCentury Old Style"/>
          <w:color w:val="000000"/>
          <w:sz w:val="24"/>
          <w:lang w:val="en-GB"/>
        </w:rPr>
        <w:t xml:space="preserve"> years</w:t>
      </w:r>
      <w:r>
        <w:rPr>
          <w:rFonts w:ascii="DepCentury Old Style" w:hAnsi="DepCentury Old Style"/>
          <w:color w:val="000000"/>
          <w:sz w:val="24"/>
          <w:lang w:val="en-GB"/>
        </w:rPr>
        <w:t>.</w:t>
      </w:r>
    </w:p>
    <w:p w:rsidR="008C7490" w:rsidRDefault="008C7490"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8C7490" w:rsidRDefault="00731E5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must within </w:t>
      </w:r>
      <w:r>
        <w:rPr>
          <w:rFonts w:ascii="DepCentury Old Style" w:hAnsi="DepCentury Old Style"/>
          <w:color w:val="FF0000"/>
          <w:sz w:val="24"/>
          <w:lang w:val="en-GB"/>
        </w:rPr>
        <w:t>y</w:t>
      </w:r>
      <w:r w:rsidR="008C7490">
        <w:rPr>
          <w:rFonts w:ascii="DepCentury Old Style" w:hAnsi="DepCentury Old Style"/>
          <w:color w:val="000000"/>
          <w:sz w:val="24"/>
          <w:lang w:val="en-GB"/>
        </w:rPr>
        <w:t xml:space="preserve"> years from </w:t>
      </w:r>
      <w:r w:rsidR="008129C0">
        <w:rPr>
          <w:rFonts w:ascii="DepCentury Old Style" w:hAnsi="DepCentury Old Style"/>
          <w:color w:val="000000"/>
          <w:sz w:val="24"/>
          <w:lang w:val="en-GB"/>
        </w:rPr>
        <w:t xml:space="preserve">the </w:t>
      </w:r>
      <w:r w:rsidR="008C7490">
        <w:rPr>
          <w:rFonts w:ascii="DepCentury Old Style" w:hAnsi="DepCentury Old Style"/>
          <w:color w:val="000000"/>
          <w:sz w:val="24"/>
          <w:lang w:val="en-GB"/>
        </w:rPr>
        <w:t xml:space="preserve">award notify the Ministry in writing, with </w:t>
      </w:r>
      <w:r w:rsidR="008C7490">
        <w:rPr>
          <w:rFonts w:ascii="DepCentury Old Style" w:hAnsi="DepCentury Old Style"/>
          <w:color w:val="000000"/>
          <w:sz w:val="24"/>
          <w:lang w:val="en-GB"/>
        </w:rPr>
        <w:lastRenderedPageBreak/>
        <w:t xml:space="preserve">copy to the NPD, of </w:t>
      </w:r>
      <w:r w:rsidR="008129C0">
        <w:rPr>
          <w:rFonts w:ascii="DepCentury Old Style" w:hAnsi="DepCentury Old Style"/>
          <w:color w:val="000000"/>
          <w:sz w:val="24"/>
          <w:lang w:val="en-GB"/>
        </w:rPr>
        <w:t xml:space="preserve">their </w:t>
      </w:r>
      <w:r w:rsidR="008C7490">
        <w:rPr>
          <w:rFonts w:ascii="DepCentury Old Style" w:hAnsi="DepCentury Old Style"/>
          <w:color w:val="000000"/>
          <w:sz w:val="24"/>
          <w:lang w:val="en-GB"/>
        </w:rPr>
        <w:t>decision</w:t>
      </w:r>
      <w:r w:rsidR="008129C0">
        <w:rPr>
          <w:rFonts w:ascii="DepCentury Old Style" w:hAnsi="DepCentury Old Style"/>
          <w:color w:val="000000"/>
          <w:sz w:val="24"/>
          <w:lang w:val="en-GB"/>
        </w:rPr>
        <w:t xml:space="preserve"> under this item b)</w:t>
      </w:r>
      <w:r w:rsidR="008C7490">
        <w:rPr>
          <w:rFonts w:ascii="DepCentury Old Style" w:hAnsi="DepCentury Old Style"/>
          <w:color w:val="000000"/>
          <w:sz w:val="24"/>
          <w:lang w:val="en-GB"/>
        </w:rPr>
        <w:t xml:space="preserve">. </w:t>
      </w:r>
    </w:p>
    <w:p w:rsidR="000E7832" w:rsidRPr="00D872FC" w:rsidRDefault="000E783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 </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c)  Within </w:t>
      </w:r>
      <w:r w:rsidR="00037C62">
        <w:rPr>
          <w:rFonts w:ascii="DepCentury Old Style" w:hAnsi="DepCentury Old Style"/>
          <w:color w:val="FF0000"/>
          <w:sz w:val="24"/>
          <w:lang w:val="en-GB"/>
        </w:rPr>
        <w:t>Z</w:t>
      </w:r>
      <w:r w:rsidRPr="00D872FC">
        <w:rPr>
          <w:rFonts w:ascii="DepCentury Old Style" w:hAnsi="DepCentury Old Style"/>
          <w:color w:val="000000"/>
          <w:sz w:val="24"/>
          <w:lang w:val="en-GB"/>
        </w:rPr>
        <w:t xml:space="preserve"> years from the award of this Production Licence,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decide whether to prepare a plan for development and </w:t>
      </w:r>
      <w:r w:rsidR="008129C0">
        <w:rPr>
          <w:rFonts w:ascii="DepCentury Old Style" w:hAnsi="DepCentury Old Style"/>
          <w:color w:val="000000"/>
          <w:sz w:val="24"/>
          <w:lang w:val="en-GB"/>
        </w:rPr>
        <w:t>operation</w:t>
      </w:r>
      <w:r w:rsidRPr="00D872FC">
        <w:rPr>
          <w:rFonts w:ascii="DepCentury Old Style" w:hAnsi="DepCentury Old Style"/>
          <w:color w:val="000000"/>
          <w:sz w:val="24"/>
          <w:lang w:val="en-GB"/>
        </w:rPr>
        <w:t xml:space="preserve"> of the relevant petroleum </w:t>
      </w:r>
      <w:r>
        <w:rPr>
          <w:rFonts w:ascii="DepCentury Old Style" w:hAnsi="DepCentury Old Style"/>
          <w:color w:val="000000"/>
          <w:sz w:val="24"/>
          <w:lang w:val="en-GB"/>
        </w:rPr>
        <w:t>deposit(s) (Decision on C</w:t>
      </w:r>
      <w:r w:rsidRPr="00D872FC">
        <w:rPr>
          <w:rFonts w:ascii="DepCentury Old Style" w:hAnsi="DepCentury Old Style"/>
          <w:color w:val="000000"/>
          <w:sz w:val="24"/>
          <w:lang w:val="en-GB"/>
        </w:rPr>
        <w:t xml:space="preserve">ontinuation). If one or more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do not wish to take part in the preparation of a plan for development and operation, the </w:t>
      </w:r>
      <w:r w:rsidR="00DE5158">
        <w:rPr>
          <w:rFonts w:ascii="DepCentury Old Style" w:hAnsi="DepCentury Old Style"/>
          <w:color w:val="000000"/>
          <w:sz w:val="24"/>
          <w:lang w:val="en-GB"/>
        </w:rPr>
        <w:t xml:space="preserve">participating </w:t>
      </w:r>
      <w:r w:rsidRPr="00D872FC">
        <w:rPr>
          <w:rFonts w:ascii="DepCentury Old Style" w:hAnsi="DepCentury Old Style"/>
          <w:color w:val="000000"/>
          <w:sz w:val="24"/>
          <w:lang w:val="en-GB"/>
        </w:rPr>
        <w:t xml:space="preserve">interests concerned must be transferred either to a third party or to one or more of the remaining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to ensure 100 % participation in the development plan. If the </w:t>
      </w:r>
      <w:r w:rsidR="00DE5158">
        <w:rPr>
          <w:rFonts w:ascii="DepCentury Old Style" w:hAnsi="DepCentury Old Style"/>
          <w:color w:val="000000"/>
          <w:sz w:val="24"/>
          <w:lang w:val="en-GB"/>
        </w:rPr>
        <w:t xml:space="preserve">participating </w:t>
      </w:r>
      <w:r w:rsidRPr="00D872FC">
        <w:rPr>
          <w:rFonts w:ascii="DepCentury Old Style" w:hAnsi="DepCentury Old Style"/>
          <w:color w:val="000000"/>
          <w:sz w:val="24"/>
          <w:lang w:val="en-GB"/>
        </w:rPr>
        <w:t>interest concerned is not acquired by a third party or remaining Licensee</w:t>
      </w:r>
      <w:r>
        <w:rPr>
          <w:rFonts w:ascii="DepCentury Old Style" w:hAnsi="DepCentury Old Style"/>
          <w:color w:val="000000"/>
          <w:sz w:val="24"/>
          <w:lang w:val="en-GB"/>
        </w:rPr>
        <w:t xml:space="preserve">, </w:t>
      </w:r>
      <w:r w:rsidR="00DE5158">
        <w:rPr>
          <w:rFonts w:ascii="DepCentury Old Style" w:hAnsi="DepCentury Old Style"/>
          <w:color w:val="000000"/>
          <w:sz w:val="24"/>
          <w:lang w:val="en-GB"/>
        </w:rPr>
        <w:t>no</w:t>
      </w:r>
      <w:r>
        <w:rPr>
          <w:rFonts w:ascii="DepCentury Old Style" w:hAnsi="DepCentury Old Style"/>
          <w:color w:val="000000"/>
          <w:sz w:val="24"/>
          <w:lang w:val="en-GB"/>
        </w:rPr>
        <w:t xml:space="preserve"> Decision on C</w:t>
      </w:r>
      <w:r w:rsidRPr="00D872FC">
        <w:rPr>
          <w:rFonts w:ascii="DepCentury Old Style" w:hAnsi="DepCentury Old Style"/>
          <w:color w:val="000000"/>
          <w:sz w:val="24"/>
          <w:lang w:val="en-GB"/>
        </w:rPr>
        <w:t xml:space="preserve">ontinuation is considered to have </w:t>
      </w:r>
      <w:r w:rsidR="00DE5158">
        <w:rPr>
          <w:rFonts w:ascii="DepCentury Old Style" w:hAnsi="DepCentury Old Style"/>
          <w:color w:val="000000"/>
          <w:sz w:val="24"/>
          <w:lang w:val="en-GB"/>
        </w:rPr>
        <w:t>been made</w:t>
      </w:r>
      <w:r w:rsidRPr="00D872FC">
        <w:rPr>
          <w:rFonts w:ascii="DepCentury Old Style" w:hAnsi="DepCentury Old Style"/>
          <w:color w:val="000000"/>
          <w:sz w:val="24"/>
          <w:lang w:val="en-GB"/>
        </w:rPr>
        <w:t xml:space="preserve">. </w:t>
      </w:r>
    </w:p>
    <w:p w:rsidR="00E63322" w:rsidRDefault="00E6332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2F5DD1" w:rsidRDefault="00DE5158" w:rsidP="004306D9">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For </w:t>
      </w:r>
      <w:r w:rsidR="00E63322">
        <w:rPr>
          <w:rFonts w:ascii="DepCentury Old Style" w:hAnsi="DepCentury Old Style"/>
          <w:color w:val="000000"/>
          <w:sz w:val="24"/>
          <w:lang w:val="en-GB"/>
        </w:rPr>
        <w:t>the Production Licence</w:t>
      </w:r>
      <w:r>
        <w:rPr>
          <w:rFonts w:ascii="DepCentury Old Style" w:hAnsi="DepCentury Old Style"/>
          <w:color w:val="000000"/>
          <w:sz w:val="24"/>
          <w:lang w:val="en-GB"/>
        </w:rPr>
        <w:t xml:space="preserve"> to continue to be valid</w:t>
      </w:r>
      <w:r w:rsidR="00E63322">
        <w:rPr>
          <w:rFonts w:ascii="DepCentury Old Style" w:hAnsi="DepCentury Old Style"/>
          <w:color w:val="000000"/>
          <w:sz w:val="24"/>
          <w:lang w:val="en-GB"/>
        </w:rPr>
        <w:t>, the remain</w:t>
      </w:r>
      <w:r>
        <w:rPr>
          <w:rFonts w:ascii="DepCentury Old Style" w:hAnsi="DepCentury Old Style"/>
          <w:color w:val="000000"/>
          <w:sz w:val="24"/>
          <w:lang w:val="en-GB"/>
        </w:rPr>
        <w:t>ing</w:t>
      </w:r>
      <w:r w:rsidR="00731E5F">
        <w:rPr>
          <w:rFonts w:ascii="DepCentury Old Style" w:hAnsi="DepCentury Old Style"/>
          <w:color w:val="000000"/>
          <w:sz w:val="24"/>
          <w:lang w:val="en-GB"/>
        </w:rPr>
        <w:t xml:space="preserve"> </w:t>
      </w:r>
      <w:r w:rsidR="00666A46">
        <w:rPr>
          <w:rFonts w:ascii="DepCentury Old Style" w:hAnsi="DepCentury Old Style"/>
          <w:color w:val="000000"/>
          <w:sz w:val="24"/>
          <w:lang w:val="en-GB"/>
        </w:rPr>
        <w:t>Licensees</w:t>
      </w:r>
      <w:r w:rsidR="00731E5F">
        <w:rPr>
          <w:rFonts w:ascii="DepCentury Old Style" w:hAnsi="DepCentury Old Style"/>
          <w:color w:val="000000"/>
          <w:sz w:val="24"/>
          <w:lang w:val="en-GB"/>
        </w:rPr>
        <w:t xml:space="preserve"> must within </w:t>
      </w:r>
      <w:r w:rsidR="00731E5F">
        <w:rPr>
          <w:rFonts w:ascii="DepCentury Old Style" w:hAnsi="DepCentury Old Style"/>
          <w:color w:val="FF0000"/>
          <w:sz w:val="24"/>
          <w:lang w:val="en-GB"/>
        </w:rPr>
        <w:t>z</w:t>
      </w:r>
      <w:r w:rsidR="00E63322">
        <w:rPr>
          <w:rFonts w:ascii="DepCentury Old Style" w:hAnsi="DepCentury Old Style"/>
          <w:color w:val="000000"/>
          <w:sz w:val="24"/>
          <w:lang w:val="en-GB"/>
        </w:rPr>
        <w:t xml:space="preserve"> years from the award </w:t>
      </w:r>
      <w:r>
        <w:rPr>
          <w:rFonts w:ascii="DepCentury Old Style" w:hAnsi="DepCentury Old Style"/>
          <w:color w:val="000000"/>
          <w:sz w:val="24"/>
          <w:lang w:val="en-GB"/>
        </w:rPr>
        <w:t>agree</w:t>
      </w:r>
      <w:r w:rsidR="00E63322">
        <w:rPr>
          <w:rFonts w:ascii="DepCentury Old Style" w:hAnsi="DepCentury Old Style"/>
          <w:color w:val="000000"/>
          <w:sz w:val="24"/>
          <w:lang w:val="en-GB"/>
        </w:rPr>
        <w:t xml:space="preserve"> to prepare a plan for development and </w:t>
      </w:r>
      <w:r>
        <w:rPr>
          <w:rFonts w:ascii="DepCentury Old Style" w:hAnsi="DepCentury Old Style"/>
          <w:color w:val="000000"/>
          <w:sz w:val="24"/>
          <w:lang w:val="en-GB"/>
        </w:rPr>
        <w:t>operation</w:t>
      </w:r>
      <w:r w:rsidR="00E63322">
        <w:rPr>
          <w:rFonts w:ascii="DepCentury Old Style" w:hAnsi="DepCentury Old Style"/>
          <w:color w:val="000000"/>
          <w:sz w:val="24"/>
          <w:lang w:val="en-GB"/>
        </w:rPr>
        <w:t xml:space="preserve"> of the relevant petroleum deposit</w:t>
      </w:r>
      <w:r>
        <w:rPr>
          <w:rFonts w:ascii="DepCentury Old Style" w:hAnsi="DepCentury Old Style"/>
          <w:color w:val="000000"/>
          <w:sz w:val="24"/>
          <w:lang w:val="en-GB"/>
        </w:rPr>
        <w:t>(</w:t>
      </w:r>
      <w:r w:rsidR="00E63322">
        <w:rPr>
          <w:rFonts w:ascii="DepCentury Old Style" w:hAnsi="DepCentury Old Style"/>
          <w:color w:val="000000"/>
          <w:sz w:val="24"/>
          <w:lang w:val="en-GB"/>
        </w:rPr>
        <w:t>s</w:t>
      </w:r>
      <w:r>
        <w:rPr>
          <w:rFonts w:ascii="DepCentury Old Style" w:hAnsi="DepCentury Old Style"/>
          <w:color w:val="000000"/>
          <w:sz w:val="24"/>
          <w:lang w:val="en-GB"/>
        </w:rPr>
        <w:t>)</w:t>
      </w:r>
      <w:r w:rsidR="00E63322">
        <w:rPr>
          <w:rFonts w:ascii="DepCentury Old Style" w:hAnsi="DepCentury Old Style"/>
          <w:color w:val="000000"/>
          <w:sz w:val="24"/>
          <w:lang w:val="en-GB"/>
        </w:rPr>
        <w:t xml:space="preserve">. </w:t>
      </w:r>
      <w:r>
        <w:rPr>
          <w:rFonts w:ascii="DepCentury Old Style" w:hAnsi="DepCentury Old Style"/>
          <w:color w:val="000000"/>
          <w:sz w:val="24"/>
          <w:lang w:val="en-GB"/>
        </w:rPr>
        <w:t>Any</w:t>
      </w:r>
      <w:r w:rsidR="00E63322">
        <w:rPr>
          <w:rFonts w:ascii="DepCentury Old Style" w:hAnsi="DepCentury Old Style"/>
          <w:color w:val="000000"/>
          <w:sz w:val="24"/>
          <w:lang w:val="en-GB"/>
        </w:rPr>
        <w:t xml:space="preserve"> change of Operator</w:t>
      </w:r>
      <w:r>
        <w:rPr>
          <w:rFonts w:ascii="DepCentury Old Style" w:hAnsi="DepCentury Old Style"/>
          <w:color w:val="000000"/>
          <w:sz w:val="24"/>
          <w:lang w:val="en-GB"/>
        </w:rPr>
        <w:t xml:space="preserve"> </w:t>
      </w:r>
      <w:r w:rsidR="00E63322">
        <w:rPr>
          <w:rFonts w:ascii="DepCentury Old Style" w:hAnsi="DepCentury Old Style"/>
          <w:color w:val="000000"/>
          <w:sz w:val="24"/>
          <w:lang w:val="en-GB"/>
        </w:rPr>
        <w:t xml:space="preserve">will be </w:t>
      </w:r>
      <w:r>
        <w:rPr>
          <w:rFonts w:ascii="DepCentury Old Style" w:hAnsi="DepCentury Old Style"/>
          <w:color w:val="000000"/>
          <w:sz w:val="24"/>
          <w:lang w:val="en-GB"/>
        </w:rPr>
        <w:t xml:space="preserve">subject to the </w:t>
      </w:r>
      <w:r w:rsidR="00E63322">
        <w:rPr>
          <w:rFonts w:ascii="DepCentury Old Style" w:hAnsi="DepCentury Old Style"/>
          <w:color w:val="000000"/>
          <w:sz w:val="24"/>
          <w:lang w:val="en-GB"/>
        </w:rPr>
        <w:t xml:space="preserve">approval </w:t>
      </w:r>
      <w:r>
        <w:rPr>
          <w:rFonts w:ascii="DepCentury Old Style" w:hAnsi="DepCentury Old Style"/>
          <w:color w:val="000000"/>
          <w:sz w:val="24"/>
          <w:lang w:val="en-GB"/>
        </w:rPr>
        <w:t>of</w:t>
      </w:r>
      <w:r w:rsidR="00E63322">
        <w:rPr>
          <w:rFonts w:ascii="DepCentury Old Style" w:hAnsi="DepCentury Old Style"/>
          <w:color w:val="000000"/>
          <w:sz w:val="24"/>
          <w:lang w:val="en-GB"/>
        </w:rPr>
        <w:t xml:space="preserve"> the Ministry pursuant to the Petroleum Act </w:t>
      </w:r>
      <w:r>
        <w:rPr>
          <w:rFonts w:ascii="DepCentury Old Style" w:hAnsi="DepCentury Old Style"/>
          <w:color w:val="000000"/>
          <w:sz w:val="24"/>
          <w:lang w:val="en-GB"/>
        </w:rPr>
        <w:t>S</w:t>
      </w:r>
      <w:r w:rsidR="00E63322">
        <w:rPr>
          <w:rFonts w:ascii="DepCentury Old Style" w:hAnsi="DepCentury Old Style"/>
          <w:color w:val="000000"/>
          <w:sz w:val="24"/>
          <w:lang w:val="en-GB"/>
        </w:rPr>
        <w:t>ection 3-7.</w:t>
      </w:r>
      <w:r w:rsidR="00E63322" w:rsidRPr="00E63322">
        <w:rPr>
          <w:rFonts w:ascii="DepCentury Old Style" w:hAnsi="DepCentury Old Style"/>
          <w:color w:val="000000"/>
          <w:sz w:val="24"/>
          <w:lang w:val="en-GB"/>
        </w:rPr>
        <w:t xml:space="preserve"> </w:t>
      </w:r>
    </w:p>
    <w:p w:rsidR="002F5DD1" w:rsidRDefault="002F5DD1" w:rsidP="004306D9">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DE5158" w:rsidRDefault="00E63322" w:rsidP="004306D9">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If none of 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wish to</w:t>
      </w:r>
      <w:r w:rsidRPr="00E63322">
        <w:rPr>
          <w:rFonts w:ascii="DepCentury Old Style" w:hAnsi="DepCentury Old Style"/>
          <w:color w:val="000000"/>
          <w:sz w:val="24"/>
          <w:lang w:val="en-GB"/>
        </w:rPr>
        <w:t xml:space="preserve"> </w:t>
      </w:r>
      <w:r>
        <w:rPr>
          <w:rFonts w:ascii="DepCentury Old Style" w:hAnsi="DepCentury Old Style"/>
          <w:color w:val="000000"/>
          <w:sz w:val="24"/>
          <w:lang w:val="en-GB"/>
        </w:rPr>
        <w:t xml:space="preserve">prepare a plan for development and </w:t>
      </w:r>
      <w:r w:rsidR="00DE5158">
        <w:rPr>
          <w:rFonts w:ascii="DepCentury Old Style" w:hAnsi="DepCentury Old Style"/>
          <w:color w:val="000000"/>
          <w:sz w:val="24"/>
          <w:lang w:val="en-GB"/>
        </w:rPr>
        <w:t>operation for</w:t>
      </w:r>
      <w:r>
        <w:rPr>
          <w:rFonts w:ascii="DepCentury Old Style" w:hAnsi="DepCentury Old Style"/>
          <w:color w:val="000000"/>
          <w:sz w:val="24"/>
          <w:lang w:val="en-GB"/>
        </w:rPr>
        <w:t xml:space="preserve"> the relevant petroleum deposit</w:t>
      </w:r>
      <w:r w:rsidR="00DE5158">
        <w:rPr>
          <w:rFonts w:ascii="DepCentury Old Style" w:hAnsi="DepCentury Old Style"/>
          <w:color w:val="000000"/>
          <w:sz w:val="24"/>
          <w:lang w:val="en-GB"/>
        </w:rPr>
        <w:t>(</w:t>
      </w:r>
      <w:r>
        <w:rPr>
          <w:rFonts w:ascii="DepCentury Old Style" w:hAnsi="DepCentury Old Style"/>
          <w:color w:val="000000"/>
          <w:sz w:val="24"/>
          <w:lang w:val="en-GB"/>
        </w:rPr>
        <w:t>s</w:t>
      </w:r>
      <w:r w:rsidR="00DE5158">
        <w:rPr>
          <w:rFonts w:ascii="DepCentury Old Style" w:hAnsi="DepCentury Old Style"/>
          <w:color w:val="000000"/>
          <w:sz w:val="24"/>
          <w:lang w:val="en-GB"/>
        </w:rPr>
        <w:t>)</w:t>
      </w:r>
      <w:r>
        <w:rPr>
          <w:rFonts w:ascii="DepCentury Old Style" w:hAnsi="DepCentury Old Style"/>
          <w:color w:val="000000"/>
          <w:sz w:val="24"/>
          <w:lang w:val="en-GB"/>
        </w:rPr>
        <w:t xml:space="preserve">, </w:t>
      </w:r>
      <w:r w:rsidR="00DE5158">
        <w:rPr>
          <w:rFonts w:ascii="DepCentury Old Style" w:hAnsi="DepCentury Old Style"/>
          <w:color w:val="000000"/>
          <w:sz w:val="24"/>
          <w:lang w:val="en-GB"/>
        </w:rPr>
        <w:t>no</w:t>
      </w:r>
      <w:r w:rsidR="004306D9">
        <w:rPr>
          <w:rFonts w:ascii="DepCentury Old Style" w:hAnsi="DepCentury Old Style"/>
          <w:color w:val="000000"/>
          <w:sz w:val="24"/>
          <w:lang w:val="en-GB"/>
        </w:rPr>
        <w:t xml:space="preserve"> Decision on C</w:t>
      </w:r>
      <w:r w:rsidR="004306D9" w:rsidRPr="00D872FC">
        <w:rPr>
          <w:rFonts w:ascii="DepCentury Old Style" w:hAnsi="DepCentury Old Style"/>
          <w:color w:val="000000"/>
          <w:sz w:val="24"/>
          <w:lang w:val="en-GB"/>
        </w:rPr>
        <w:t xml:space="preserve">ontinuation is considered to have </w:t>
      </w:r>
      <w:r w:rsidR="00DE5158">
        <w:rPr>
          <w:rFonts w:ascii="DepCentury Old Style" w:hAnsi="DepCentury Old Style"/>
          <w:color w:val="000000"/>
          <w:sz w:val="24"/>
          <w:lang w:val="en-GB"/>
        </w:rPr>
        <w:t xml:space="preserve">been made. </w:t>
      </w:r>
    </w:p>
    <w:p w:rsidR="004306D9" w:rsidRDefault="004306D9" w:rsidP="004306D9">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 </w:t>
      </w:r>
    </w:p>
    <w:p w:rsidR="00731E5F" w:rsidRDefault="00ED038A"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If no Decision on C</w:t>
      </w:r>
      <w:r w:rsidRPr="00D872FC">
        <w:rPr>
          <w:rFonts w:ascii="DepCentury Old Style" w:hAnsi="DepCentury Old Style"/>
          <w:color w:val="000000"/>
          <w:sz w:val="24"/>
          <w:lang w:val="en-GB"/>
        </w:rPr>
        <w:t>ontinuation is made, the Production Licence must be surrendered in its entirety</w:t>
      </w:r>
      <w:r w:rsidR="00731E5F">
        <w:rPr>
          <w:rFonts w:ascii="DepCentury Old Style" w:hAnsi="DepCentury Old Style"/>
          <w:color w:val="000000"/>
          <w:sz w:val="24"/>
          <w:lang w:val="en-GB"/>
        </w:rPr>
        <w:t xml:space="preserve"> within </w:t>
      </w:r>
      <w:r w:rsidR="00731E5F">
        <w:rPr>
          <w:rFonts w:ascii="DepCentury Old Style" w:hAnsi="DepCentury Old Style"/>
          <w:color w:val="FF0000"/>
          <w:sz w:val="24"/>
          <w:lang w:val="en-GB"/>
        </w:rPr>
        <w:t>z</w:t>
      </w:r>
      <w:r>
        <w:rPr>
          <w:rFonts w:ascii="DepCentury Old Style" w:hAnsi="DepCentury Old Style"/>
          <w:color w:val="000000"/>
          <w:sz w:val="24"/>
          <w:lang w:val="en-GB"/>
        </w:rPr>
        <w:t xml:space="preserve"> years from </w:t>
      </w:r>
      <w:r w:rsidR="00DE5158">
        <w:rPr>
          <w:rFonts w:ascii="DepCentury Old Style" w:hAnsi="DepCentury Old Style"/>
          <w:color w:val="000000"/>
          <w:sz w:val="24"/>
          <w:lang w:val="en-GB"/>
        </w:rPr>
        <w:t xml:space="preserve">the </w:t>
      </w:r>
      <w:r>
        <w:rPr>
          <w:rFonts w:ascii="DepCentury Old Style" w:hAnsi="DepCentury Old Style"/>
          <w:color w:val="000000"/>
          <w:sz w:val="24"/>
          <w:lang w:val="en-GB"/>
        </w:rPr>
        <w:t>award</w:t>
      </w:r>
      <w:r w:rsidR="00DE5158">
        <w:rPr>
          <w:rFonts w:ascii="DepCentury Old Style" w:hAnsi="DepCentury Old Style"/>
          <w:color w:val="000000"/>
          <w:sz w:val="24"/>
          <w:lang w:val="en-GB"/>
        </w:rPr>
        <w:t xml:space="preserve"> of the Production Licence</w:t>
      </w:r>
      <w:r w:rsidRPr="00D872FC">
        <w:rPr>
          <w:rFonts w:ascii="DepCentury Old Style" w:hAnsi="DepCentury Old Style"/>
          <w:color w:val="000000"/>
          <w:sz w:val="24"/>
          <w:lang w:val="en-GB"/>
        </w:rPr>
        <w:t>.</w:t>
      </w:r>
      <w:r>
        <w:rPr>
          <w:rFonts w:ascii="DepCentury Old Style" w:hAnsi="DepCentury Old Style"/>
          <w:color w:val="000000"/>
          <w:sz w:val="24"/>
          <w:lang w:val="en-GB"/>
        </w:rPr>
        <w:t xml:space="preserve"> </w:t>
      </w:r>
    </w:p>
    <w:p w:rsidR="00731E5F" w:rsidRDefault="00731E5F" w:rsidP="00731E5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must within </w:t>
      </w:r>
      <w:r>
        <w:rPr>
          <w:rFonts w:ascii="DepCentury Old Style" w:hAnsi="DepCentury Old Style"/>
          <w:color w:val="FF0000"/>
          <w:sz w:val="24"/>
          <w:lang w:val="en-GB"/>
        </w:rPr>
        <w:t>z</w:t>
      </w:r>
      <w:r>
        <w:rPr>
          <w:rFonts w:ascii="DepCentury Old Style" w:hAnsi="DepCentury Old Style"/>
          <w:color w:val="000000"/>
          <w:sz w:val="24"/>
          <w:lang w:val="en-GB"/>
        </w:rPr>
        <w:t xml:space="preserve"> years from the award notify the Ministry in writing, with copy to the NPD, of their decision under this item c).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C156AA"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d)  Within </w:t>
      </w:r>
      <w:r w:rsidR="002F5DD1">
        <w:rPr>
          <w:rFonts w:ascii="DepCentury Old Style" w:hAnsi="DepCentury Old Style"/>
          <w:color w:val="FF0000"/>
          <w:sz w:val="24"/>
          <w:lang w:val="en-GB"/>
        </w:rPr>
        <w:t>ø</w:t>
      </w:r>
      <w:r w:rsidRPr="00D872FC">
        <w:rPr>
          <w:rFonts w:ascii="DepCentury Old Style" w:hAnsi="DepCentury Old Style"/>
          <w:color w:val="000000"/>
          <w:sz w:val="24"/>
          <w:lang w:val="en-GB"/>
        </w:rPr>
        <w:t xml:space="preserve"> years from the award of this Production Licence</w:t>
      </w:r>
      <w:r w:rsidR="00F952F8">
        <w:rPr>
          <w:rFonts w:ascii="DepCentury Old Style" w:hAnsi="DepCentury Old Style"/>
          <w:color w:val="000000"/>
          <w:sz w:val="24"/>
          <w:lang w:val="en-GB"/>
        </w:rPr>
        <w:t>,</w:t>
      </w:r>
      <w:r w:rsidRPr="00D872FC">
        <w:rPr>
          <w:rFonts w:ascii="DepCentury Old Style" w:hAnsi="DepCentury Old Style"/>
          <w:color w:val="000000"/>
          <w:sz w:val="24"/>
          <w:lang w:val="en-GB"/>
        </w:rPr>
        <w:t xml:space="preserve">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must </w:t>
      </w:r>
      <w:r w:rsidR="00DB5126">
        <w:rPr>
          <w:rFonts w:ascii="DepCentury Old Style" w:hAnsi="DepCentury Old Style"/>
          <w:color w:val="000000"/>
          <w:sz w:val="24"/>
          <w:lang w:val="en-GB"/>
        </w:rPr>
        <w:t>decide whether</w:t>
      </w:r>
      <w:r w:rsidR="00C156AA">
        <w:rPr>
          <w:rFonts w:ascii="DepCentury Old Style" w:hAnsi="DepCentury Old Style"/>
          <w:color w:val="000000"/>
          <w:sz w:val="24"/>
          <w:lang w:val="en-GB"/>
        </w:rPr>
        <w:t xml:space="preserve"> to </w:t>
      </w:r>
      <w:r w:rsidRPr="00D872FC">
        <w:rPr>
          <w:rFonts w:ascii="DepCentury Old Style" w:hAnsi="DepCentury Old Style"/>
          <w:color w:val="000000"/>
          <w:sz w:val="24"/>
          <w:lang w:val="en-GB"/>
        </w:rPr>
        <w:t>submit to the Ministry for approval a plan for development and operation for the relevant petroleum deposit(s).</w:t>
      </w:r>
    </w:p>
    <w:p w:rsidR="00C156AA" w:rsidRDefault="00C156AA"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4306D9"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 </w:t>
      </w:r>
      <w:r w:rsidR="0071028C">
        <w:rPr>
          <w:rFonts w:ascii="DepCentury Old Style" w:hAnsi="DepCentury Old Style"/>
          <w:color w:val="000000"/>
          <w:sz w:val="24"/>
          <w:lang w:val="en-GB"/>
        </w:rPr>
        <w:t xml:space="preserve">If no decision </w:t>
      </w:r>
      <w:r w:rsidR="00F952F8">
        <w:rPr>
          <w:rFonts w:ascii="DepCentury Old Style" w:hAnsi="DepCentury Old Style"/>
          <w:color w:val="000000"/>
          <w:sz w:val="24"/>
          <w:lang w:val="en-GB"/>
        </w:rPr>
        <w:t>t</w:t>
      </w:r>
      <w:r w:rsidR="0071028C">
        <w:rPr>
          <w:rFonts w:ascii="DepCentury Old Style" w:hAnsi="DepCentury Old Style"/>
          <w:color w:val="000000"/>
          <w:sz w:val="24"/>
          <w:lang w:val="en-GB"/>
        </w:rPr>
        <w:t xml:space="preserve">o submit a plan for development and operation is made, but one or more </w:t>
      </w:r>
      <w:r w:rsidR="00666A46">
        <w:rPr>
          <w:rFonts w:ascii="DepCentury Old Style" w:hAnsi="DepCentury Old Style"/>
          <w:color w:val="000000"/>
          <w:sz w:val="24"/>
          <w:lang w:val="en-GB"/>
        </w:rPr>
        <w:t>Licensees</w:t>
      </w:r>
      <w:r w:rsidR="0071028C">
        <w:rPr>
          <w:rFonts w:ascii="DepCentury Old Style" w:hAnsi="DepCentury Old Style"/>
          <w:color w:val="000000"/>
          <w:sz w:val="24"/>
          <w:lang w:val="en-GB"/>
        </w:rPr>
        <w:t xml:space="preserve"> wish to submit a plan for development and operation in any case, the </w:t>
      </w:r>
      <w:r w:rsidR="00666A46">
        <w:rPr>
          <w:rFonts w:ascii="DepCentury Old Style" w:hAnsi="DepCentury Old Style"/>
          <w:color w:val="000000"/>
          <w:sz w:val="24"/>
          <w:lang w:val="en-GB"/>
        </w:rPr>
        <w:t>Licensees</w:t>
      </w:r>
      <w:r w:rsidR="0071028C">
        <w:rPr>
          <w:rFonts w:ascii="DepCentury Old Style" w:hAnsi="DepCentury Old Style"/>
          <w:color w:val="000000"/>
          <w:sz w:val="24"/>
          <w:lang w:val="en-GB"/>
        </w:rPr>
        <w:t xml:space="preserve"> who do not want to submit </w:t>
      </w:r>
      <w:r w:rsidR="00F952F8">
        <w:rPr>
          <w:rFonts w:ascii="DepCentury Old Style" w:hAnsi="DepCentury Old Style"/>
          <w:color w:val="000000"/>
          <w:sz w:val="24"/>
          <w:lang w:val="en-GB"/>
        </w:rPr>
        <w:t xml:space="preserve">such </w:t>
      </w:r>
      <w:r w:rsidR="0071028C">
        <w:rPr>
          <w:rFonts w:ascii="DepCentury Old Style" w:hAnsi="DepCentury Old Style"/>
          <w:color w:val="000000"/>
          <w:sz w:val="24"/>
          <w:lang w:val="en-GB"/>
        </w:rPr>
        <w:t>plan shall withdraw from</w:t>
      </w:r>
      <w:r w:rsidR="004306D9">
        <w:rPr>
          <w:rFonts w:ascii="DepCentury Old Style" w:hAnsi="DepCentury Old Style"/>
          <w:color w:val="000000"/>
          <w:sz w:val="24"/>
          <w:lang w:val="en-GB"/>
        </w:rPr>
        <w:t xml:space="preserve"> the joint venture pursuant to </w:t>
      </w:r>
      <w:r w:rsidR="00F952F8">
        <w:rPr>
          <w:rFonts w:ascii="DepCentury Old Style" w:hAnsi="DepCentury Old Style"/>
          <w:color w:val="000000"/>
          <w:sz w:val="24"/>
          <w:lang w:val="en-GB"/>
        </w:rPr>
        <w:t>A</w:t>
      </w:r>
      <w:r w:rsidR="0071028C">
        <w:rPr>
          <w:rFonts w:ascii="DepCentury Old Style" w:hAnsi="DepCentury Old Style"/>
          <w:color w:val="000000"/>
          <w:sz w:val="24"/>
          <w:lang w:val="en-GB"/>
        </w:rPr>
        <w:t>rticle 24 of the Joint Operating Agreement. The procedures for approval by the Ministry shall apply accordingly.</w:t>
      </w:r>
      <w:r w:rsidR="00257950">
        <w:rPr>
          <w:rFonts w:ascii="DepCentury Old Style" w:hAnsi="DepCentury Old Style"/>
          <w:color w:val="000000"/>
          <w:sz w:val="24"/>
          <w:lang w:val="en-GB"/>
        </w:rPr>
        <w:t xml:space="preserve"> </w:t>
      </w:r>
      <w:r w:rsidR="00F952F8">
        <w:rPr>
          <w:rFonts w:ascii="DepCentury Old Style" w:hAnsi="DepCentury Old Style"/>
          <w:color w:val="000000"/>
          <w:sz w:val="24"/>
          <w:lang w:val="en-GB"/>
        </w:rPr>
        <w:t>Any</w:t>
      </w:r>
      <w:r w:rsidR="004306D9">
        <w:rPr>
          <w:rFonts w:ascii="DepCentury Old Style" w:hAnsi="DepCentury Old Style"/>
          <w:color w:val="000000"/>
          <w:sz w:val="24"/>
          <w:lang w:val="en-GB"/>
        </w:rPr>
        <w:t xml:space="preserve"> change of Operator</w:t>
      </w:r>
      <w:r w:rsidR="00F952F8">
        <w:rPr>
          <w:rFonts w:ascii="DepCentury Old Style" w:hAnsi="DepCentury Old Style"/>
          <w:color w:val="000000"/>
          <w:sz w:val="24"/>
          <w:lang w:val="en-GB"/>
        </w:rPr>
        <w:t xml:space="preserve"> shall be subject to the</w:t>
      </w:r>
      <w:r w:rsidR="004306D9">
        <w:rPr>
          <w:rFonts w:ascii="DepCentury Old Style" w:hAnsi="DepCentury Old Style"/>
          <w:color w:val="000000"/>
          <w:sz w:val="24"/>
          <w:lang w:val="en-GB"/>
        </w:rPr>
        <w:t xml:space="preserve"> approval </w:t>
      </w:r>
      <w:r w:rsidR="00F952F8">
        <w:rPr>
          <w:rFonts w:ascii="DepCentury Old Style" w:hAnsi="DepCentury Old Style"/>
          <w:color w:val="000000"/>
          <w:sz w:val="24"/>
          <w:lang w:val="en-GB"/>
        </w:rPr>
        <w:t>of</w:t>
      </w:r>
      <w:r w:rsidR="004306D9">
        <w:rPr>
          <w:rFonts w:ascii="DepCentury Old Style" w:hAnsi="DepCentury Old Style"/>
          <w:color w:val="000000"/>
          <w:sz w:val="24"/>
          <w:lang w:val="en-GB"/>
        </w:rPr>
        <w:t xml:space="preserve"> the Ministry pursuant to the Petroleum Act </w:t>
      </w:r>
      <w:r w:rsidR="00F952F8">
        <w:rPr>
          <w:rFonts w:ascii="DepCentury Old Style" w:hAnsi="DepCentury Old Style"/>
          <w:color w:val="000000"/>
          <w:sz w:val="24"/>
          <w:lang w:val="en-GB"/>
        </w:rPr>
        <w:t>S</w:t>
      </w:r>
      <w:r w:rsidR="004306D9">
        <w:rPr>
          <w:rFonts w:ascii="DepCentury Old Style" w:hAnsi="DepCentury Old Style"/>
          <w:color w:val="000000"/>
          <w:sz w:val="24"/>
          <w:lang w:val="en-GB"/>
        </w:rPr>
        <w:t>ection 3-7.</w:t>
      </w:r>
    </w:p>
    <w:p w:rsidR="0071028C" w:rsidRDefault="0071028C"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2F5DD1"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If no plan for development and operation is submitted, the Production Licence must be surrendered in its entirety</w:t>
      </w:r>
      <w:r w:rsidR="00500FE8">
        <w:rPr>
          <w:rFonts w:ascii="DepCentury Old Style" w:hAnsi="DepCentury Old Style"/>
          <w:color w:val="000000"/>
          <w:sz w:val="24"/>
          <w:lang w:val="en-GB"/>
        </w:rPr>
        <w:t xml:space="preserve"> within </w:t>
      </w:r>
      <w:r w:rsidR="00500FE8">
        <w:rPr>
          <w:rFonts w:ascii="DepCentury Old Style" w:hAnsi="DepCentury Old Style"/>
          <w:color w:val="FF0000"/>
          <w:sz w:val="24"/>
          <w:lang w:val="en-GB"/>
        </w:rPr>
        <w:t>ø years from the award of the Production Licence</w:t>
      </w:r>
      <w:r w:rsidRPr="00D872FC">
        <w:rPr>
          <w:rFonts w:ascii="DepCentury Old Style" w:hAnsi="DepCentury Old Style"/>
          <w:color w:val="000000"/>
          <w:sz w:val="24"/>
          <w:lang w:val="en-GB"/>
        </w:rPr>
        <w:t xml:space="preserve">.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e)  When applying, as appropriate, for a deviation from the work commitment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submit to the NPD </w:t>
      </w:r>
      <w:r>
        <w:rPr>
          <w:rFonts w:ascii="DepCentury Old Style" w:hAnsi="DepCentury Old Style"/>
          <w:color w:val="000000"/>
          <w:sz w:val="24"/>
          <w:lang w:val="en-GB"/>
        </w:rPr>
        <w:t xml:space="preserve">a copy of </w:t>
      </w:r>
      <w:r w:rsidRPr="00D872FC">
        <w:rPr>
          <w:rFonts w:ascii="DepCentury Old Style" w:hAnsi="DepCentury Old Style"/>
          <w:color w:val="000000"/>
          <w:sz w:val="24"/>
          <w:lang w:val="en-GB"/>
        </w:rPr>
        <w:t>all documentation necessary to consider the application.</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f) When drilling</w:t>
      </w:r>
      <w:r w:rsidR="00F952F8">
        <w:rPr>
          <w:rFonts w:ascii="DepCentury Old Style" w:hAnsi="DepCentury Old Style"/>
          <w:color w:val="000000"/>
          <w:sz w:val="24"/>
          <w:lang w:val="en-GB"/>
        </w:rPr>
        <w:t>,</w:t>
      </w:r>
      <w:r w:rsidRPr="00D872FC">
        <w:rPr>
          <w:rFonts w:ascii="DepCentury Old Style" w:hAnsi="DepCentury Old Style"/>
          <w:color w:val="000000"/>
          <w:sz w:val="24"/>
          <w:lang w:val="en-GB"/>
        </w:rPr>
        <w:t xml:space="preserve"> 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undertake </w:t>
      </w:r>
      <w:r w:rsidR="00F952F8">
        <w:rPr>
          <w:rFonts w:ascii="DepCentury Old Style" w:hAnsi="DepCentury Old Style"/>
          <w:color w:val="000000"/>
          <w:sz w:val="24"/>
          <w:lang w:val="en-GB"/>
        </w:rPr>
        <w:t xml:space="preserve">any </w:t>
      </w:r>
      <w:r w:rsidRPr="00D872FC">
        <w:rPr>
          <w:rFonts w:ascii="DepCentury Old Style" w:hAnsi="DepCentury Old Style"/>
          <w:color w:val="000000"/>
          <w:sz w:val="24"/>
          <w:lang w:val="en-GB"/>
        </w:rPr>
        <w:t>coring and other tests or measurements which the NPD considers necessary in order to evaluate possible petroleum deposits. Emphasis shall be put on coring in all prospective intervals. The coring and sampling shall be followed up by comprehensive analyses and interpretations.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887B22"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g) An exploration well </w:t>
      </w:r>
      <w:r w:rsidR="009D602F" w:rsidRPr="00D872FC">
        <w:rPr>
          <w:rFonts w:ascii="DepCentury Old Style" w:hAnsi="DepCentury Old Style"/>
          <w:color w:val="000000"/>
          <w:sz w:val="24"/>
          <w:lang w:val="en-GB"/>
        </w:rPr>
        <w:t xml:space="preserve">is defined as a well testing a new and clearly defined geological </w:t>
      </w:r>
      <w:r w:rsidR="009D602F" w:rsidRPr="00D872FC">
        <w:rPr>
          <w:rFonts w:ascii="DepCentury Old Style" w:hAnsi="DepCentury Old Style"/>
          <w:color w:val="000000"/>
          <w:sz w:val="24"/>
          <w:lang w:val="en-GB"/>
        </w:rPr>
        <w:lastRenderedPageBreak/>
        <w:t xml:space="preserve">unit (separated by one or more of the following criteria: structure, lithology, facies or pressure), penetrating all prospective intervals at the particular location lying within the terms of the work commitment as defined above. If the </w:t>
      </w:r>
      <w:r w:rsidR="00666A46">
        <w:rPr>
          <w:rFonts w:ascii="DepCentury Old Style" w:hAnsi="DepCentury Old Style"/>
          <w:color w:val="000000"/>
          <w:sz w:val="24"/>
          <w:lang w:val="en-GB"/>
        </w:rPr>
        <w:t>Licensees</w:t>
      </w:r>
      <w:r w:rsidR="009D602F" w:rsidRPr="00D872FC">
        <w:rPr>
          <w:rFonts w:ascii="DepCentury Old Style" w:hAnsi="DepCentury Old Style"/>
          <w:color w:val="000000"/>
          <w:sz w:val="24"/>
          <w:lang w:val="en-GB"/>
        </w:rPr>
        <w:t xml:space="preserve"> want to ha</w:t>
      </w:r>
      <w:r>
        <w:rPr>
          <w:rFonts w:ascii="DepCentury Old Style" w:hAnsi="DepCentury Old Style"/>
          <w:color w:val="000000"/>
          <w:sz w:val="24"/>
          <w:lang w:val="en-GB"/>
        </w:rPr>
        <w:t xml:space="preserve">ve a well approved as an exploration </w:t>
      </w:r>
      <w:r w:rsidR="009D602F" w:rsidRPr="00D872FC">
        <w:rPr>
          <w:rFonts w:ascii="DepCentury Old Style" w:hAnsi="DepCentury Old Style"/>
          <w:color w:val="000000"/>
          <w:sz w:val="24"/>
          <w:lang w:val="en-GB"/>
        </w:rPr>
        <w:t xml:space="preserve">well, an approval from the NPD may be applied for in advance. This requires all relevant data and interpretations to be submitted to the NPD and that the drilling of the well is completed as planned. </w:t>
      </w:r>
    </w:p>
    <w:p w:rsidR="009D602F"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BC4599" w:rsidRPr="00D872FC" w:rsidRDefault="00BC4599"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Pr>
          <w:rFonts w:ascii="DepCentury Old Style" w:hAnsi="DepCentury Old Style"/>
          <w:color w:val="000000"/>
          <w:sz w:val="24"/>
          <w:lang w:val="en-GB"/>
        </w:rPr>
        <w:t xml:space="preserve">h) If areas covered by the Production Licence are reliquished or surrendered according to </w:t>
      </w:r>
      <w:r w:rsidRPr="00961EB2">
        <w:rPr>
          <w:rFonts w:ascii="DepCentury Old Style" w:hAnsi="DepCentury Old Style"/>
          <w:color w:val="FF0000"/>
          <w:sz w:val="24"/>
          <w:lang w:val="en-GB"/>
        </w:rPr>
        <w:t>litra</w:t>
      </w:r>
      <w:r w:rsidR="002824DC" w:rsidRPr="00961EB2">
        <w:rPr>
          <w:rFonts w:ascii="DepCentury Old Style" w:hAnsi="DepCentury Old Style"/>
          <w:color w:val="FF0000"/>
          <w:sz w:val="24"/>
          <w:lang w:val="en-GB"/>
        </w:rPr>
        <w:t>s</w:t>
      </w:r>
      <w:r w:rsidRPr="00961EB2">
        <w:rPr>
          <w:rFonts w:ascii="DepCentury Old Style" w:hAnsi="DepCentury Old Style"/>
          <w:color w:val="FF0000"/>
          <w:sz w:val="24"/>
          <w:lang w:val="en-GB"/>
        </w:rPr>
        <w:t xml:space="preserve"> b) – d)</w:t>
      </w:r>
      <w:r w:rsidR="002824DC" w:rsidRPr="00961EB2">
        <w:rPr>
          <w:rFonts w:ascii="DepCentury Old Style" w:hAnsi="DepCentury Old Style"/>
          <w:color w:val="FF0000"/>
          <w:sz w:val="24"/>
          <w:lang w:val="en-GB"/>
        </w:rPr>
        <w:t>,</w:t>
      </w:r>
      <w:r>
        <w:rPr>
          <w:rFonts w:ascii="DepCentury Old Style" w:hAnsi="DepCentury Old Style"/>
          <w:color w:val="000000"/>
          <w:sz w:val="24"/>
          <w:lang w:val="en-GB"/>
        </w:rPr>
        <w:t xml:space="preserve"> the </w:t>
      </w:r>
      <w:r w:rsidR="00666A46">
        <w:rPr>
          <w:rFonts w:ascii="DepCentury Old Style" w:hAnsi="DepCentury Old Style"/>
          <w:color w:val="000000"/>
          <w:sz w:val="24"/>
          <w:lang w:val="en-GB"/>
        </w:rPr>
        <w:t>Licensees</w:t>
      </w:r>
      <w:r>
        <w:rPr>
          <w:rFonts w:ascii="DepCentury Old Style" w:hAnsi="DepCentury Old Style"/>
          <w:color w:val="000000"/>
          <w:sz w:val="24"/>
          <w:lang w:val="en-GB"/>
        </w:rPr>
        <w:t xml:space="preserve"> shall</w:t>
      </w:r>
      <w:r w:rsidR="002824DC">
        <w:rPr>
          <w:rFonts w:ascii="DepCentury Old Style" w:hAnsi="DepCentury Old Style"/>
          <w:color w:val="000000"/>
          <w:sz w:val="24"/>
          <w:lang w:val="en-GB"/>
        </w:rPr>
        <w:t>, no later that 3 months after the relinquishment</w:t>
      </w:r>
      <w:r>
        <w:rPr>
          <w:rFonts w:ascii="DepCentury Old Style" w:hAnsi="DepCentury Old Style"/>
          <w:color w:val="000000"/>
          <w:sz w:val="24"/>
          <w:lang w:val="en-GB"/>
        </w:rPr>
        <w:t xml:space="preserve"> submit to the NPD a </w:t>
      </w:r>
      <w:r w:rsidR="002824DC">
        <w:rPr>
          <w:rFonts w:ascii="DepCentury Old Style" w:hAnsi="DepCentury Old Style"/>
          <w:color w:val="000000"/>
          <w:sz w:val="24"/>
          <w:lang w:val="en-GB"/>
        </w:rPr>
        <w:t xml:space="preserve"> </w:t>
      </w:r>
      <w:r>
        <w:rPr>
          <w:rFonts w:ascii="DepCentury Old Style" w:hAnsi="DepCentury Old Style"/>
          <w:color w:val="000000"/>
          <w:sz w:val="24"/>
          <w:lang w:val="en-GB"/>
        </w:rPr>
        <w:t xml:space="preserve">report </w:t>
      </w:r>
      <w:r w:rsidR="002824DC">
        <w:rPr>
          <w:rFonts w:ascii="DepCentury Old Style" w:hAnsi="DepCentury Old Style"/>
          <w:color w:val="000000"/>
          <w:sz w:val="24"/>
          <w:lang w:val="en-GB"/>
        </w:rPr>
        <w:t xml:space="preserve">on the status </w:t>
      </w:r>
      <w:r>
        <w:rPr>
          <w:rFonts w:ascii="DepCentury Old Style" w:hAnsi="DepCentury Old Style"/>
          <w:color w:val="000000"/>
          <w:sz w:val="24"/>
          <w:lang w:val="en-GB"/>
        </w:rPr>
        <w:t xml:space="preserve">regarding the areas being relinquished or surrendered.  The report shall </w:t>
      </w:r>
      <w:r w:rsidR="00442E92">
        <w:rPr>
          <w:rFonts w:ascii="DepCentury Old Style" w:hAnsi="DepCentury Old Style"/>
          <w:color w:val="000000"/>
          <w:sz w:val="24"/>
          <w:lang w:val="en-GB"/>
        </w:rPr>
        <w:t xml:space="preserve">contain a </w:t>
      </w:r>
      <w:r w:rsidR="00A10DFE">
        <w:rPr>
          <w:rFonts w:ascii="DepCentury Old Style" w:hAnsi="DepCentury Old Style"/>
          <w:color w:val="000000"/>
          <w:sz w:val="24"/>
          <w:lang w:val="en-GB"/>
        </w:rPr>
        <w:t>sum</w:t>
      </w:r>
      <w:r w:rsidR="00442E92">
        <w:rPr>
          <w:rFonts w:ascii="DepCentury Old Style" w:hAnsi="DepCentury Old Style"/>
          <w:color w:val="000000"/>
          <w:sz w:val="24"/>
          <w:lang w:val="en-GB"/>
        </w:rPr>
        <w:t>mary of</w:t>
      </w:r>
      <w:r w:rsidR="00A10DFE">
        <w:rPr>
          <w:rFonts w:ascii="DepCentury Old Style" w:hAnsi="DepCentury Old Style"/>
          <w:color w:val="000000"/>
          <w:sz w:val="24"/>
          <w:lang w:val="en-GB"/>
        </w:rPr>
        <w:t xml:space="preserve"> any collected data, </w:t>
      </w:r>
      <w:r w:rsidR="002824DC">
        <w:rPr>
          <w:rFonts w:ascii="DepCentury Old Style" w:hAnsi="DepCentury Old Style"/>
          <w:color w:val="000000"/>
          <w:sz w:val="24"/>
          <w:lang w:val="en-GB"/>
        </w:rPr>
        <w:t xml:space="preserve">studies </w:t>
      </w:r>
      <w:r w:rsidR="00A10DFE">
        <w:rPr>
          <w:rFonts w:ascii="DepCentury Old Style" w:hAnsi="DepCentury Old Style"/>
          <w:color w:val="000000"/>
          <w:sz w:val="24"/>
          <w:lang w:val="en-GB"/>
        </w:rPr>
        <w:t>performed including the result of these</w:t>
      </w:r>
      <w:r w:rsidR="002824DC">
        <w:rPr>
          <w:rFonts w:ascii="DepCentury Old Style" w:hAnsi="DepCentury Old Style"/>
          <w:color w:val="000000"/>
          <w:sz w:val="24"/>
          <w:lang w:val="en-GB"/>
        </w:rPr>
        <w:t>,</w:t>
      </w:r>
      <w:r w:rsidR="00A10DFE">
        <w:rPr>
          <w:rFonts w:ascii="DepCentury Old Style" w:hAnsi="DepCentury Old Style"/>
          <w:color w:val="000000"/>
          <w:sz w:val="24"/>
          <w:lang w:val="en-GB"/>
        </w:rPr>
        <w:t xml:space="preserve"> and give an overview of the prospectivity in the area relinquished.</w:t>
      </w:r>
    </w:p>
    <w:p w:rsidR="00DD218B" w:rsidRDefault="00DD218B" w:rsidP="009D602F">
      <w:pPr>
        <w:widowControl w:val="0"/>
        <w:rPr>
          <w:rFonts w:ascii="DepCentury Old Style" w:hAnsi="DepCentury Old Style"/>
          <w:color w:val="000000"/>
          <w:sz w:val="24"/>
          <w:lang w:val="en-GB"/>
        </w:rPr>
      </w:pPr>
    </w:p>
    <w:p w:rsidR="00DD218B" w:rsidRPr="00D872FC" w:rsidRDefault="00DD218B" w:rsidP="009D602F">
      <w:pPr>
        <w:widowControl w:val="0"/>
        <w:rPr>
          <w:rFonts w:ascii="DepCentury Old Style" w:hAnsi="DepCentury Old Style"/>
          <w:color w:val="000000"/>
          <w:sz w:val="24"/>
          <w:lang w:val="en-GB"/>
        </w:rPr>
      </w:pPr>
    </w:p>
    <w:p w:rsidR="009D602F" w:rsidRPr="00D872FC" w:rsidRDefault="009D602F" w:rsidP="009D602F">
      <w:pPr>
        <w:widowControl w:val="0"/>
        <w:rPr>
          <w:rFonts w:ascii="DepCentury Old Style" w:hAnsi="DepCentury Old Style"/>
          <w:color w:val="000000"/>
          <w:sz w:val="24"/>
          <w:lang w:val="en-GB"/>
        </w:rPr>
      </w:pPr>
      <w:r w:rsidRPr="00D872FC">
        <w:rPr>
          <w:rFonts w:ascii="DepCentury Old Style" w:hAnsi="DepCentury Old Style"/>
          <w:b/>
          <w:color w:val="000000"/>
          <w:sz w:val="24"/>
          <w:lang w:val="en-GB"/>
        </w:rPr>
        <w:t>5.  MISCELLANEOUS CONDITIONS</w:t>
      </w:r>
    </w:p>
    <w:p w:rsidR="009D602F" w:rsidRPr="00D872FC" w:rsidRDefault="009D602F" w:rsidP="009D602F">
      <w:pPr>
        <w:widowControl w:val="0"/>
        <w:rPr>
          <w:rFonts w:ascii="DepCentury Old Style" w:hAnsi="DepCentury Old Style"/>
          <w:color w:val="000000"/>
          <w:sz w:val="24"/>
          <w:lang w:val="en-GB"/>
        </w:rPr>
      </w:pPr>
    </w:p>
    <w:p w:rsidR="009D602F" w:rsidRPr="00D872FC" w:rsidRDefault="009D602F" w:rsidP="009D602F">
      <w:pPr>
        <w:widowControl w:val="0"/>
        <w:rPr>
          <w:rFonts w:ascii="DepCentury Old Style" w:hAnsi="DepCentury Old Style"/>
          <w:color w:val="000000"/>
          <w:sz w:val="24"/>
          <w:lang w:val="en-GB"/>
        </w:rPr>
      </w:pPr>
      <w:r w:rsidRPr="00D872FC">
        <w:rPr>
          <w:rFonts w:ascii="DepCentury Old Style" w:hAnsi="DepCentury Old Style"/>
          <w:color w:val="000000"/>
          <w:sz w:val="24"/>
          <w:lang w:val="en-GB"/>
        </w:rPr>
        <w:t xml:space="preserve">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may be required to use supply bases selected by the Ministry.</w:t>
      </w:r>
    </w:p>
    <w:p w:rsidR="009D602F" w:rsidRPr="00D872FC" w:rsidRDefault="009D602F" w:rsidP="009D602F">
      <w:pPr>
        <w:widowControl w:val="0"/>
        <w:rPr>
          <w:rFonts w:ascii="DepCentury Old Style" w:hAnsi="DepCentury Old Style"/>
          <w:color w:val="000000"/>
          <w:sz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When planning drilling activities, particular care must be taken with respect to fishery activities and marine organisms. Prior to exploration drilling, measures to inform the parties concerned must be taken.</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When planning seismic surveys, the licensees must take particular care with respect to fishery activities and marine organisms at critical stages in their life cycles.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bCs/>
          <w:sz w:val="24"/>
          <w:szCs w:val="24"/>
          <w:lang w:val="en-US"/>
        </w:rPr>
      </w:pPr>
      <w:r w:rsidRPr="00EC1A6E">
        <w:rPr>
          <w:rFonts w:ascii="DepCentury Old Style" w:hAnsi="DepCentury Old Style"/>
          <w:color w:val="000000"/>
          <w:sz w:val="24"/>
          <w:szCs w:val="24"/>
          <w:lang w:val="en-GB"/>
        </w:rPr>
        <w:t>Licensees are required to undertake necessary mappings of possible coral reefs and other important benthic communities, including important habitats for sandeels, that can be affected by petroleum activity in the awarded blocks, and ensure that these possible communities are not mud covered or damaged by the petroleum activity. The seabed mapping shall be carried out in a format that is compatible with the MAREANO programme before initiating activity in the specific block(s). Separate conditions can be set to avoid damage on coral reefs and important benthic communities.</w:t>
      </w:r>
      <w:r w:rsidRPr="00EC1A6E">
        <w:rPr>
          <w:rFonts w:ascii="DepCentury Old Style" w:hAnsi="DepCentury Old Style"/>
          <w:b/>
          <w:bCs/>
          <w:sz w:val="24"/>
          <w:szCs w:val="24"/>
          <w:lang w:val="en-US"/>
        </w:rPr>
        <w:t xml:space="preserve"> </w:t>
      </w:r>
      <w:r w:rsidRPr="00EC1A6E">
        <w:rPr>
          <w:rFonts w:ascii="DepCentury Old Style" w:hAnsi="DepCentury Old Style"/>
          <w:bCs/>
          <w:sz w:val="24"/>
          <w:szCs w:val="24"/>
          <w:lang w:val="en-US"/>
        </w:rPr>
        <w:t>Refer to Mareano [www.mareano.no] for information on identified coral reefs on the Norwegian Continental Shelf.</w:t>
      </w:r>
    </w:p>
    <w:p w:rsidR="00EC1A6E" w:rsidRPr="00EC1A6E" w:rsidRDefault="00EC1A6E" w:rsidP="00EC1A6E">
      <w:pPr>
        <w:rPr>
          <w:rFonts w:ascii="DepCentury Old Style" w:hAnsi="DepCentury Old Style"/>
          <w:color w:val="000000"/>
          <w:sz w:val="24"/>
          <w:szCs w:val="24"/>
          <w:lang w:val="en-US"/>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Licensees are required to map and report discoveries of wrecks and other cultural monuments that can be affected by petroleum activity in the awarded blocks and, in cooperation with cultural monument administration, ensure that possible cultural monuments are not damaged by the petroleum activity.</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The operator shall on behalf of the licensees ap</w:t>
      </w:r>
      <w:r w:rsidR="00437505">
        <w:rPr>
          <w:rFonts w:ascii="DepCentury Old Style" w:hAnsi="DepCentury Old Style"/>
          <w:color w:val="000000"/>
          <w:sz w:val="24"/>
          <w:szCs w:val="24"/>
          <w:lang w:val="en-GB"/>
        </w:rPr>
        <w:t>ply to the Norwegian Environment</w:t>
      </w:r>
      <w:r w:rsidRPr="00EC1A6E">
        <w:rPr>
          <w:rFonts w:ascii="DepCentury Old Style" w:hAnsi="DepCentury Old Style"/>
          <w:color w:val="000000"/>
          <w:sz w:val="24"/>
          <w:szCs w:val="24"/>
          <w:lang w:val="en-GB"/>
        </w:rPr>
        <w:t xml:space="preserve"> Agency for a discharge permit in due time before planned activity.</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In accordance with t</w:t>
      </w:r>
      <w:r w:rsidR="00437505">
        <w:rPr>
          <w:rFonts w:ascii="DepCentury Old Style" w:hAnsi="DepCentury Old Style"/>
          <w:color w:val="000000"/>
          <w:sz w:val="24"/>
          <w:szCs w:val="24"/>
          <w:lang w:val="en-GB"/>
        </w:rPr>
        <w:t>he Report to the Storting no. 28 (2010 - 2011</w:t>
      </w:r>
      <w:r w:rsidRPr="00EC1A6E">
        <w:rPr>
          <w:rFonts w:ascii="DepCentury Old Style" w:hAnsi="DepCentury Old Style"/>
          <w:color w:val="000000"/>
          <w:sz w:val="24"/>
          <w:szCs w:val="24"/>
          <w:lang w:val="en-GB"/>
        </w:rPr>
        <w:t xml:space="preserve">) there shall as a main rule be zero discharge of environmentally harmful components to the sea. Furthermore, it is a goal that the risk of environmental damage caused by discharge of other chemical components is minimized. The target of zero discharge applies to all offshore operations, both drilling and well operations, as well as production and discharges from pipelines. For each single field an overall evaluation of relevant issues, </w:t>
      </w:r>
      <w:r w:rsidRPr="00EC1A6E">
        <w:rPr>
          <w:rFonts w:ascii="DepCentury Old Style" w:hAnsi="DepCentury Old Style"/>
          <w:color w:val="000000"/>
          <w:sz w:val="24"/>
          <w:szCs w:val="24"/>
          <w:lang w:val="en-GB"/>
        </w:rPr>
        <w:lastRenderedPageBreak/>
        <w:t>including environmental consequences, safety related matters, reservoir related issues and issues relating to costs shall be undertaken in order to choose the most suited measures to achieve the zero discharge target. This evaluation will be undertaken in connection with the impact assessment study that, according to the Petroleum Act, must be undertaken as a part of the Plan for Development and Operation.  Special conditions apply for the Barents Sea and the Norwegian Sea, see below.</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Requirements relating to contingency plans in the event of accidental oil spills will be stipulated in accordance with the Pollution Control Act (Forurensningsloven) and the Regulations relating to this act and the HSE-regulations, when specific plans for drilling activities exist. Approval for drilling is, among other factors, subject to contingency plans. In determining the extent of these requirements distance to the shoreline, distance to environmentally sensitive areas and effects on other commercial interests will, among other aspects, be taken into consideration. In support of prevailing regulations there shall in the areas nearest to the coast be carried out more comprehensive preparedness measures in case of possible exploration and production. </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The operator shall, by means of risk analysis, cf. Regulations relating to management in the petroleum activities of 3 September 2001, identify the environmental considerations which the licensees deem to be critical to their preparation of an oil spill contingency plan, cf. Regulations relating to execution of activities in the petroleum activities of 3 September 2001, and for planning the measures employed in order to reduce the risk of such pollution. The analysis of environmental risks shall also include an evaluation of the effects of operational discharges during exploration drilling.</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Pursuant to the Report to the Storting no. 38 (2001-2002), it is expected that the industry will continue to contribute to the biological monitoring of living marine resources in order to survey possible effects of the petroleum activity.</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 </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The Government sees a continued need to improve the knowledge of occurrence of seabirds in areas that can be affected by discharges from petroleum activities. It is expected that the industry will contribute to the monitoring for seabirds in the North Sea and Norwegian Sea in connection with the environmental impact assessment following any plans for development and operation for new stand-alone developments in this area.</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There is an ongoing work to establish lanes for ships and to strengthen safety at sea in parts of Norwegian waters. Any exploration drilling in the vicinity of the traffic separation system must be planned so that unintended obstacles for the shipping traffic which may increase the risk of collision are avoided.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b/>
          <w:color w:val="000000"/>
          <w:sz w:val="24"/>
          <w:szCs w:val="24"/>
          <w:lang w:val="en-GB"/>
        </w:rPr>
      </w:pPr>
      <w:r w:rsidRPr="00EC1A6E">
        <w:rPr>
          <w:rFonts w:ascii="DepCentury Old Style" w:hAnsi="DepCentury Old Style"/>
          <w:b/>
          <w:color w:val="000000"/>
          <w:sz w:val="24"/>
          <w:szCs w:val="24"/>
          <w:lang w:val="en-GB"/>
        </w:rPr>
        <w:t>Special requirements for the North Sea</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Parts of the announced acreage lie in areas with special environmental challenges. This applies to the blocks 32/1, 2, 4, 5 and 7, 35/1, 2 and 3, and 36/10, because these blocks are located near to or in the coastal current. Prior to any production in these blocks, special consideration to avoid potential environmental damage must be emphasized in the overall evaluation for measures to reach the zero discharge target. In connection with a possible Plan for Development and Operation for new stand-alone developments in this area, special conditions may be put in place with regard to the protection of the marine environment.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lastRenderedPageBreak/>
        <w:t xml:space="preserve">More comprehensive preparedness measures for any exploration or production activities particularly apply for the blocks </w:t>
      </w:r>
      <w:r w:rsidRPr="00EC1A6E">
        <w:rPr>
          <w:rFonts w:ascii="DepCentury Old Style" w:hAnsi="DepCentury Old Style"/>
          <w:sz w:val="24"/>
          <w:szCs w:val="24"/>
          <w:lang w:val="en-US"/>
        </w:rPr>
        <w:t>32/1, 2, 4, 5 and 7 and 36/10.</w:t>
      </w:r>
      <w:r w:rsidRPr="00EC1A6E">
        <w:rPr>
          <w:rFonts w:ascii="DepCentury Old Style" w:hAnsi="DepCentury Old Style"/>
          <w:color w:val="000000"/>
          <w:sz w:val="24"/>
          <w:szCs w:val="24"/>
          <w:lang w:val="en-GB"/>
        </w:rPr>
        <w:t xml:space="preserve">  In connection with possible developments in these blocks, emphasis will be put on preventive measures against unintentional discharges. The competent Authorities will collaborate especially on requirements for installations in coastal areas in order to minimize the risk of unintentional discharges.</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In parts of the predefined area there is, in certain periods of the year, extensive fishing for sandeels, see map at </w:t>
      </w:r>
      <w:hyperlink r:id="rId8" w:history="1">
        <w:r w:rsidRPr="00EC1A6E">
          <w:rPr>
            <w:rStyle w:val="Hyperkobling"/>
            <w:rFonts w:ascii="DepCentury Old Style" w:hAnsi="DepCentury Old Style"/>
            <w:sz w:val="24"/>
            <w:szCs w:val="24"/>
            <w:lang w:val="en-GB"/>
          </w:rPr>
          <w:t>www.npd.no/apa2010</w:t>
        </w:r>
      </w:hyperlink>
      <w:r w:rsidRPr="00EC1A6E">
        <w:rPr>
          <w:rFonts w:ascii="DepCentury Old Style" w:hAnsi="DepCentury Old Style"/>
          <w:color w:val="000000"/>
          <w:sz w:val="24"/>
          <w:szCs w:val="24"/>
          <w:lang w:val="en-GB"/>
        </w:rPr>
        <w:t>. This applies to the blocks; 2/2, 3 and 6, 3/1, 2, 3, 4 and 5, 4/1, 2 and 3, 5/1, 7/2, 3, 6 and 9, 8/1, 2, 3, 4, 5, 6, 7, and 9, 9/1, 2, 4, 5, 7, 8, 9, 11 and 12, 10/7, 8, 10, 11 and 12, 16/11 and 12 and 30/5, 6, 8, 9, 11 and 12. In the event that some of these blocks are awarded, drilling restrictions will apply during the time that the fishing for sandeels takes place from 1</w:t>
      </w:r>
      <w:r w:rsidRPr="00EC1A6E">
        <w:rPr>
          <w:rFonts w:ascii="DepCentury Old Style" w:hAnsi="DepCentury Old Style"/>
          <w:color w:val="000000"/>
          <w:sz w:val="24"/>
          <w:szCs w:val="24"/>
          <w:vertAlign w:val="superscript"/>
          <w:lang w:val="en-GB"/>
        </w:rPr>
        <w:t>st</w:t>
      </w:r>
      <w:r w:rsidRPr="00EC1A6E">
        <w:rPr>
          <w:rFonts w:ascii="DepCentury Old Style" w:hAnsi="DepCentury Old Style"/>
          <w:color w:val="000000"/>
          <w:sz w:val="24"/>
          <w:szCs w:val="24"/>
          <w:lang w:val="en-GB"/>
        </w:rPr>
        <w:t xml:space="preserve"> of April until 30</w:t>
      </w:r>
      <w:r w:rsidRPr="00EC1A6E">
        <w:rPr>
          <w:rFonts w:ascii="DepCentury Old Style" w:hAnsi="DepCentury Old Style"/>
          <w:color w:val="000000"/>
          <w:sz w:val="24"/>
          <w:szCs w:val="24"/>
          <w:vertAlign w:val="superscript"/>
          <w:lang w:val="en-GB"/>
        </w:rPr>
        <w:t>th</w:t>
      </w:r>
      <w:r w:rsidRPr="00EC1A6E">
        <w:rPr>
          <w:rFonts w:ascii="DepCentury Old Style" w:hAnsi="DepCentury Old Style"/>
          <w:color w:val="000000"/>
          <w:sz w:val="24"/>
          <w:szCs w:val="24"/>
          <w:lang w:val="en-GB"/>
        </w:rPr>
        <w:t xml:space="preserve"> of June. Exploration drilling on and in a zone surrounding these sandeels-fields must be undertaken without discharges of drill cuttings, including the drilling of the top hole section, to ensure that the quality of the sandeels-fields does not suffer damage from drilling activities. In case of future developments of resources in this area, the licensees shall use development solutions that minimise the negative effects for the fishing of sandeels and that alter the seabed of the sandeels-fields to the least extent possible. In connection with the approval process for Plans for Development and Operation in this area, the Authorities will attach special importance to proper fulfilment of this condition.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Among the announced blocks in the North Sea there are blocks which are rich fishery areas. These are blocks 26/10 and 11, 17/1, 2, 5, 6, 8, 10 and 11 and 8/1, 2, 4 and 5. In connection with awards in these blocks, separate conditions regarding fisheries may be set.</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The extensive fishery activities in the blocks 31/10 and 11 and 26/1, 2, 4, 5, 7 and 8 imply that permission to drill more than one exploration well at a time will not be granted. Subject to a specific evaluation of the fishery activities, permission for one additional exploration well may be granted.</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In the blocks 33/2 and 3 and 34/1 and 2 there is extensive industrial trawling in certain periods of the year. In these areas exploration drilling will not be allowed between 1 October and 31 March.</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b/>
          <w:color w:val="000000"/>
          <w:sz w:val="24"/>
          <w:szCs w:val="24"/>
          <w:lang w:val="en-GB"/>
        </w:rPr>
      </w:pPr>
      <w:r w:rsidRPr="00EC1A6E">
        <w:rPr>
          <w:rFonts w:ascii="DepCentury Old Style" w:hAnsi="DepCentury Old Style"/>
          <w:b/>
          <w:color w:val="000000"/>
          <w:sz w:val="24"/>
          <w:szCs w:val="24"/>
          <w:lang w:val="en-GB"/>
        </w:rPr>
        <w:t>Special requirements in the Norwegian Sea</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With regard to the blocks announced in the Norwegian Sea, the conditions described in the Report No. 37 to the Storting (2008-2009) «Integrated Management of the Marine Environment of the Norwegian Sea » shall apply. This implies that:</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pStyle w:val="Listeavsnitt"/>
        <w:numPr>
          <w:ilvl w:val="0"/>
          <w:numId w:val="4"/>
        </w:num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Inside the 500 meter depth contour no exploration seismic activities will be permitted in the period between January 1st and April 1st. This restriction does not apply for well site surveys.</w:t>
      </w:r>
      <w:r w:rsidRPr="00EC1A6E">
        <w:rPr>
          <w:rFonts w:ascii="DepCentury Old Style" w:hAnsi="DepCentury Old Style"/>
          <w:color w:val="000000"/>
          <w:sz w:val="24"/>
          <w:szCs w:val="24"/>
          <w:lang w:val="en-GB"/>
        </w:rPr>
        <w:br/>
      </w:r>
    </w:p>
    <w:p w:rsidR="00EC1A6E" w:rsidRPr="00EC1A6E" w:rsidRDefault="00EC1A6E" w:rsidP="00EC1A6E">
      <w:pPr>
        <w:pStyle w:val="Listeavsnitt"/>
        <w:numPr>
          <w:ilvl w:val="0"/>
          <w:numId w:val="4"/>
        </w:num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No exploration drilling into oil bearing layers in the period between April 1st to June 15th in the blocks </w:t>
      </w:r>
      <w:r w:rsidRPr="00EC1A6E">
        <w:rPr>
          <w:rFonts w:ascii="DepCentury Old Style" w:hAnsi="DepCentury Old Style"/>
          <w:sz w:val="24"/>
          <w:szCs w:val="24"/>
          <w:lang w:val="en-US"/>
        </w:rPr>
        <w:t xml:space="preserve">6204/1, 2, 3, 4, 5, 7, 8 and 6304/12 inside 500 meter depth contour; quadrant 6305 inside 500 meter depth contour; quadrants 6306, 6307, 6407/2, 3, 5, 6, 8, 9, 11 and 12, 6408/4 and 7, 6508, 6509, 6510, 6608/3, 5, 6, </w:t>
      </w:r>
      <w:r w:rsidRPr="00EC1A6E">
        <w:rPr>
          <w:rFonts w:ascii="DepCentury Old Style" w:hAnsi="DepCentury Old Style"/>
          <w:sz w:val="24"/>
          <w:szCs w:val="24"/>
          <w:lang w:val="en-US"/>
        </w:rPr>
        <w:lastRenderedPageBreak/>
        <w:t>7, 8, 9, 10, 11 and 12, 6609, 6610 and 6611.</w:t>
      </w:r>
      <w:r w:rsidRPr="00EC1A6E">
        <w:rPr>
          <w:rFonts w:ascii="DepCentury Old Style" w:hAnsi="DepCentury Old Style"/>
          <w:sz w:val="24"/>
          <w:szCs w:val="24"/>
          <w:lang w:val="en-US"/>
        </w:rPr>
        <w:br/>
      </w:r>
    </w:p>
    <w:p w:rsidR="00EC1A6E" w:rsidRPr="00EC1A6E" w:rsidRDefault="00EC1A6E" w:rsidP="00EC1A6E">
      <w:pPr>
        <w:pStyle w:val="Listeavsnitt"/>
        <w:numPr>
          <w:ilvl w:val="0"/>
          <w:numId w:val="4"/>
        </w:num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No exploration drilling into oil bearing layers in breeding and moult periods (April 1st to August 31st) in the blocks </w:t>
      </w:r>
      <w:r w:rsidRPr="00EC1A6E">
        <w:rPr>
          <w:rFonts w:ascii="DepCentury Old Style" w:hAnsi="DepCentury Old Style"/>
          <w:sz w:val="24"/>
          <w:szCs w:val="24"/>
          <w:lang w:val="en-US"/>
        </w:rPr>
        <w:t>6204/7, 8, 10, 11, 6306/6, 8, 9 and 6307/1, 2, 3, 4, 5 and 7.</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The Authorities will exercise flexibility in the practising of the environmental and fishery conditions.</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In special areas with occurrence of vulnerable benthic fauna or key spawning areas for bottom-spawning fish, provisions to use technology for dealing with cuttings and drilling mud may be required, in order to avoid sediment deposition.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b/>
          <w:color w:val="000000"/>
          <w:sz w:val="24"/>
          <w:szCs w:val="24"/>
          <w:lang w:val="en-GB"/>
        </w:rPr>
      </w:pPr>
      <w:r w:rsidRPr="00EC1A6E">
        <w:rPr>
          <w:rFonts w:ascii="DepCentury Old Style" w:hAnsi="DepCentury Old Style"/>
          <w:b/>
          <w:color w:val="000000"/>
          <w:sz w:val="24"/>
          <w:szCs w:val="24"/>
          <w:lang w:val="en-GB"/>
        </w:rPr>
        <w:t>Special requirements for the Barents Sea</w:t>
      </w: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With regard to the blocks announced in the Barents Sea, the conditions described in the Report No. 8 to the Storting (2005-2006) «Integrated Management of the Marine Environment of the Barents Sea and the Sea Areas off the Lofoten Islands» shall apply. This implies that:</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numPr>
          <w:ilvl w:val="0"/>
          <w:numId w:val="3"/>
        </w:numPr>
        <w:ind w:hanging="720"/>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 xml:space="preserve">The operations shall be based on injection or other technologies, if applicable, that prevents discharge of produced water. In the event of operational non-conformities, a maximum of five per cent of the produced water may be discharged on the condition that it is treated before it is discharged. Exact treatment requirements will be given by the concessionary Authorities with regard to actual activities; </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numPr>
          <w:ilvl w:val="0"/>
          <w:numId w:val="3"/>
        </w:numPr>
        <w:ind w:hanging="720"/>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Drill cuttings and drilling fluid are re-injected or brought to land for deposition. Drill cuttings and drilling fluid from drilling of the top hole section may normally be discharged. The condition is that the discharge does not contain components with unacceptable environmental properties. This applies only to areas where the potential for damage to vulnerable environmental components is considered to be low. Such considerations shall be based on thorough mapping of vulnerable environmental components (spawning grounds, coral reefs and other vulnerable benthic fauna). Such discharges will be subject to application and permission from the concessionary Authorities;</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numPr>
          <w:ilvl w:val="0"/>
          <w:numId w:val="3"/>
        </w:numPr>
        <w:ind w:hanging="720"/>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No exploration drilling will be permitted in oil-bearing formations in the zone 50-65 km from the baseline in the period 1 March - 31 August;</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numPr>
          <w:ilvl w:val="0"/>
          <w:numId w:val="3"/>
        </w:numPr>
        <w:ind w:hanging="720"/>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No exploration drilling will be permitted in oil-bearing formations on Tromsøflaket outside 65 km from the baseline in the period 1 March - 31 August;</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Planning of drilling activities and seismic surveys in the Barents Sea is expected to take place in consultation with the Fishery Authorities in order to reduce operational inconveniences for the fisheries. Seismic activities must not disturb important spawning grounds for fish in this area.</w:t>
      </w:r>
    </w:p>
    <w:p w:rsidR="00EC1A6E" w:rsidRPr="00EC1A6E" w:rsidRDefault="00EC1A6E" w:rsidP="00EC1A6E">
      <w:pPr>
        <w:rPr>
          <w:rFonts w:ascii="DepCentury Old Style" w:hAnsi="DepCentury Old Style"/>
          <w:color w:val="000000"/>
          <w:sz w:val="24"/>
          <w:szCs w:val="24"/>
          <w:lang w:val="en-GB"/>
        </w:rPr>
      </w:pPr>
    </w:p>
    <w:p w:rsidR="00EC1A6E" w:rsidRPr="00EC1A6E" w:rsidRDefault="00EC1A6E" w:rsidP="00EC1A6E">
      <w:pPr>
        <w:rPr>
          <w:rFonts w:ascii="DepCentury Old Style" w:hAnsi="DepCentury Old Style"/>
          <w:color w:val="000000"/>
          <w:sz w:val="24"/>
          <w:szCs w:val="24"/>
          <w:lang w:val="en-GB"/>
        </w:rPr>
      </w:pPr>
      <w:r w:rsidRPr="00EC1A6E">
        <w:rPr>
          <w:rFonts w:ascii="DepCentury Old Style" w:hAnsi="DepCentury Old Style"/>
          <w:color w:val="000000"/>
          <w:sz w:val="24"/>
          <w:szCs w:val="24"/>
          <w:lang w:val="en-GB"/>
        </w:rPr>
        <w:t>With regards to possible developments in the predefined area in the Barents Sea, special emphasis will be put on preventive measures against unintentional discharges.</w:t>
      </w:r>
    </w:p>
    <w:p w:rsidR="00604613" w:rsidRPr="003634FE" w:rsidRDefault="00604613" w:rsidP="00604613">
      <w:pPr>
        <w:widowControl w:val="0"/>
        <w:rPr>
          <w:rFonts w:ascii="DepCentury Old Style" w:hAnsi="DepCentury Old Style"/>
          <w:color w:val="000000"/>
          <w:sz w:val="24"/>
          <w:lang w:val="en-US"/>
        </w:rPr>
      </w:pPr>
    </w:p>
    <w:p w:rsidR="009D602F" w:rsidRPr="003634FE" w:rsidRDefault="009D602F" w:rsidP="009D602F">
      <w:pPr>
        <w:widowControl w:val="0"/>
        <w:jc w:val="right"/>
        <w:rPr>
          <w:rFonts w:ascii="DepCentury Old Style" w:hAnsi="DepCentury Old Style"/>
          <w:color w:val="000000"/>
          <w:sz w:val="24"/>
          <w:lang w:val="en-US"/>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b/>
          <w:color w:val="000000"/>
          <w:sz w:val="24"/>
          <w:lang w:val="en-GB"/>
        </w:rPr>
        <w:t>6.  AGREEMENTS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The </w:t>
      </w:r>
      <w:r w:rsidR="00666A46">
        <w:rPr>
          <w:rFonts w:ascii="DepCentury Old Style" w:hAnsi="DepCentury Old Style"/>
          <w:color w:val="000000"/>
          <w:sz w:val="24"/>
          <w:lang w:val="en-GB"/>
        </w:rPr>
        <w:t>Licensees</w:t>
      </w:r>
      <w:r w:rsidRPr="00D872FC">
        <w:rPr>
          <w:rFonts w:ascii="DepCentury Old Style" w:hAnsi="DepCentury Old Style"/>
          <w:color w:val="000000"/>
          <w:sz w:val="24"/>
          <w:lang w:val="en-GB"/>
        </w:rPr>
        <w:t xml:space="preserve"> shall no later than thirty (30) days after the granting of this Petroleum Production Licence, enter into the enclosed:</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Joint Operating Agreement Concerning Petroleum Activities (the Joint Operating                   Agreement)</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Accounting Agreement Concerning Petroleum Activities (the Accounting Agreement)</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Any subsequent supplements to, amendments of or exceptions from these agreements are subject to the Ministry's approval.</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b/>
          <w:color w:val="000000"/>
          <w:sz w:val="24"/>
          <w:lang w:val="en-GB"/>
        </w:rPr>
        <w:t>7.  APPLICATION OF NORWEGIAN LAW</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jc w:val="right"/>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All activities carried out under this Petroleum Production Licence shall be governed by Norwegian law and be based on Norwegian contractual tradition.</w:t>
      </w:r>
    </w:p>
    <w:p w:rsidR="00926E27" w:rsidRDefault="00926E27"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b/>
          <w:color w:val="FF0000"/>
          <w:sz w:val="24"/>
          <w:lang w:val="en-GB"/>
        </w:rPr>
      </w:pPr>
    </w:p>
    <w:p w:rsidR="00926E27" w:rsidRDefault="00926E27"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b/>
          <w:color w:val="FF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r w:rsidRPr="00D872FC">
        <w:rPr>
          <w:rFonts w:ascii="DepCentury Old Style" w:hAnsi="DepCentury Old Style"/>
          <w:b/>
          <w:color w:val="FF0000"/>
          <w:sz w:val="24"/>
          <w:lang w:val="en-GB"/>
        </w:rPr>
        <w:t>[8.  DEPLETION POLICY AND POLICY CONCERNING THE STATE'S                           FINANCIAL INTERESTS</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FF0000"/>
          <w:sz w:val="24"/>
          <w:lang w:val="en-GB"/>
        </w:rPr>
      </w:pPr>
      <w:r w:rsidRPr="00D872FC">
        <w:rPr>
          <w:rFonts w:ascii="DepCentury Old Style" w:hAnsi="DepCentury Old Style"/>
          <w:color w:val="FF0000"/>
          <w:sz w:val="24"/>
          <w:lang w:val="en-GB"/>
        </w:rPr>
        <w:t xml:space="preserve">The </w:t>
      </w:r>
      <w:r w:rsidR="00666A46">
        <w:rPr>
          <w:rFonts w:ascii="DepCentury Old Style" w:hAnsi="DepCentury Old Style"/>
          <w:color w:val="FF0000"/>
          <w:sz w:val="24"/>
          <w:lang w:val="en-GB"/>
        </w:rPr>
        <w:t>Licensees</w:t>
      </w:r>
      <w:r w:rsidRPr="00D872FC">
        <w:rPr>
          <w:rFonts w:ascii="DepCentury Old Style" w:hAnsi="DepCentury Old Style"/>
          <w:color w:val="FF0000"/>
          <w:sz w:val="24"/>
          <w:lang w:val="en-GB"/>
        </w:rPr>
        <w:t xml:space="preserve"> are obliged to adhere to the State's depletion policies and policies concerning the State's financial interests, as these policies are expressed in the Petroleum Production Licence and in relevant laws and regulations. If this obligation is not respected, the State or its manager may oppose a decision made by the </w:t>
      </w:r>
      <w:r w:rsidR="00666A46">
        <w:rPr>
          <w:rFonts w:ascii="DepCentury Old Style" w:hAnsi="DepCentury Old Style"/>
          <w:color w:val="FF0000"/>
          <w:sz w:val="24"/>
          <w:lang w:val="en-GB"/>
        </w:rPr>
        <w:t>Licensees</w:t>
      </w:r>
      <w:r w:rsidRPr="00D872FC">
        <w:rPr>
          <w:rFonts w:ascii="DepCentury Old Style" w:hAnsi="DepCentury Old Style"/>
          <w:color w:val="FF0000"/>
          <w:sz w:val="24"/>
          <w:lang w:val="en-GB"/>
        </w:rPr>
        <w:t>.]</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b/>
          <w:color w:val="000000"/>
          <w:sz w:val="24"/>
          <w:lang w:val="en-GB"/>
        </w:rPr>
        <w:t>8. [9] EXEMPTION</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Exemptions from the provisions of this Petroleum Production Licence may be granted by the Ministry or whomever it authorizes.</w:t>
      </w:r>
      <w:r w:rsidR="00957F47">
        <w:rPr>
          <w:rFonts w:ascii="DepCentury Old Style" w:hAnsi="DepCentury Old Style"/>
          <w:color w:val="000000"/>
          <w:sz w:val="24"/>
          <w:lang w:val="en-GB"/>
        </w:rPr>
        <w:t xml:space="preserve"> An application for exemptions shall be submitted to the Ministry, with a copy to the NPD of all the documentation necessary to consider the application.</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7C4E6F" w:rsidRDefault="007C4E6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lastRenderedPageBreak/>
        <w:t xml:space="preserve">This Petroleum Production Licence is issued in </w:t>
      </w:r>
      <w:r w:rsidRPr="00D872FC">
        <w:rPr>
          <w:rFonts w:ascii="DepCentury Old Style" w:hAnsi="DepCentury Old Style"/>
          <w:color w:val="FF0000"/>
          <w:sz w:val="24"/>
          <w:lang w:val="en-GB"/>
        </w:rPr>
        <w:t>x</w:t>
      </w:r>
      <w:r w:rsidRPr="00D872FC">
        <w:rPr>
          <w:rFonts w:ascii="DepCentury Old Style" w:hAnsi="DepCentury Old Style"/>
          <w:color w:val="000000"/>
          <w:sz w:val="24"/>
          <w:lang w:val="en-GB"/>
        </w:rPr>
        <w:t xml:space="preserve"> originals, of which one is retained by the Ministry.</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 xml:space="preserve">Oslo, </w:t>
      </w:r>
      <w:r w:rsidR="00252B96">
        <w:rPr>
          <w:rFonts w:ascii="DepCentury Old Style" w:hAnsi="DepCentury Old Style"/>
          <w:color w:val="000000"/>
          <w:sz w:val="24"/>
          <w:lang w:val="en-GB"/>
        </w:rPr>
        <w:t>…… 200X</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THE ROYAL MINISTRY OF PETROLEUM AND ENERGY</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t xml:space="preserve">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r>
      <w:r w:rsidRPr="00D872FC">
        <w:rPr>
          <w:rFonts w:ascii="DepCentury Old Style" w:hAnsi="DepCentury Old Style"/>
          <w:color w:val="000000"/>
          <w:sz w:val="24"/>
          <w:lang w:val="en-GB"/>
        </w:rPr>
        <w:tab/>
        <w:t xml:space="preserve"> </w:t>
      </w: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widowControl w:val="0"/>
        <w:tabs>
          <w:tab w:val="left" w:pos="1080"/>
          <w:tab w:val="left" w:pos="2160"/>
          <w:tab w:val="left" w:pos="3240"/>
          <w:tab w:val="left" w:pos="4320"/>
          <w:tab w:val="left" w:pos="5400"/>
          <w:tab w:val="left" w:pos="6480"/>
          <w:tab w:val="left" w:pos="7560"/>
          <w:tab w:val="left" w:pos="8640"/>
          <w:tab w:val="left" w:pos="9720"/>
        </w:tabs>
        <w:rPr>
          <w:rFonts w:ascii="DepCentury Old Style" w:hAnsi="DepCentury Old Style"/>
          <w:color w:val="000000"/>
          <w:sz w:val="24"/>
          <w:lang w:val="en-GB"/>
        </w:rPr>
      </w:pPr>
    </w:p>
    <w:p w:rsidR="009D602F" w:rsidRPr="00D872FC" w:rsidRDefault="009D602F" w:rsidP="009D602F">
      <w:pPr>
        <w:rPr>
          <w:lang w:val="en-GB"/>
        </w:rPr>
      </w:pPr>
    </w:p>
    <w:p w:rsidR="00BD3E28" w:rsidRDefault="00BD3E28"/>
    <w:sectPr w:rsidR="00BD3E28" w:rsidSect="00A80B54">
      <w:headerReference w:type="even" r:id="rId9"/>
      <w:headerReference w:type="default" r:id="rId10"/>
      <w:pgSz w:w="12000" w:h="16838"/>
      <w:pgMar w:top="960" w:right="1560" w:bottom="480" w:left="1440" w:header="480" w:footer="0"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CB6" w:rsidRDefault="00F83CB6" w:rsidP="000B6E75">
      <w:r>
        <w:separator/>
      </w:r>
    </w:p>
  </w:endnote>
  <w:endnote w:type="continuationSeparator" w:id="0">
    <w:p w:rsidR="00F83CB6" w:rsidRDefault="00F83CB6" w:rsidP="000B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CB6" w:rsidRDefault="00F83CB6" w:rsidP="000B6E75">
      <w:r>
        <w:separator/>
      </w:r>
    </w:p>
  </w:footnote>
  <w:footnote w:type="continuationSeparator" w:id="0">
    <w:p w:rsidR="00F83CB6" w:rsidRDefault="00F83CB6" w:rsidP="000B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EC" w:rsidRDefault="00A80B54">
    <w:pPr>
      <w:pStyle w:val="Topptekst"/>
      <w:framePr w:wrap="around" w:vAnchor="text" w:hAnchor="margin" w:xAlign="right" w:y="1"/>
      <w:rPr>
        <w:rStyle w:val="Sidetall"/>
      </w:rPr>
    </w:pPr>
    <w:r>
      <w:rPr>
        <w:rStyle w:val="Sidetall"/>
      </w:rPr>
      <w:fldChar w:fldCharType="begin"/>
    </w:r>
    <w:r w:rsidR="004912EC">
      <w:rPr>
        <w:rStyle w:val="Sidetall"/>
      </w:rPr>
      <w:instrText xml:space="preserve">PAGE  </w:instrText>
    </w:r>
    <w:r>
      <w:rPr>
        <w:rStyle w:val="Sidetall"/>
      </w:rPr>
      <w:fldChar w:fldCharType="separate"/>
    </w:r>
    <w:r w:rsidR="00A43C1E">
      <w:rPr>
        <w:rStyle w:val="Sidetall"/>
        <w:noProof/>
      </w:rPr>
      <w:t>10</w:t>
    </w:r>
    <w:r>
      <w:rPr>
        <w:rStyle w:val="Sidetall"/>
      </w:rPr>
      <w:fldChar w:fldCharType="end"/>
    </w:r>
  </w:p>
  <w:p w:rsidR="004912EC" w:rsidRDefault="004912EC">
    <w:pPr>
      <w:pStyle w:val="Top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EC" w:rsidRDefault="00A80B54">
    <w:pPr>
      <w:pStyle w:val="Topptekst"/>
      <w:framePr w:wrap="around" w:vAnchor="text" w:hAnchor="margin" w:xAlign="right" w:y="1"/>
      <w:rPr>
        <w:rStyle w:val="Sidetall"/>
      </w:rPr>
    </w:pPr>
    <w:r>
      <w:rPr>
        <w:rStyle w:val="Sidetall"/>
      </w:rPr>
      <w:fldChar w:fldCharType="begin"/>
    </w:r>
    <w:r w:rsidR="004912EC">
      <w:rPr>
        <w:rStyle w:val="Sidetall"/>
      </w:rPr>
      <w:instrText xml:space="preserve">PAGE  </w:instrText>
    </w:r>
    <w:r>
      <w:rPr>
        <w:rStyle w:val="Sidetall"/>
      </w:rPr>
      <w:fldChar w:fldCharType="separate"/>
    </w:r>
    <w:r w:rsidR="00B23F8D">
      <w:rPr>
        <w:rStyle w:val="Sidetall"/>
        <w:noProof/>
      </w:rPr>
      <w:t>10</w:t>
    </w:r>
    <w:r>
      <w:rPr>
        <w:rStyle w:val="Sidetall"/>
      </w:rPr>
      <w:fldChar w:fldCharType="end"/>
    </w:r>
  </w:p>
  <w:p w:rsidR="004912EC" w:rsidRDefault="004912EC">
    <w:pPr>
      <w:pStyle w:val="Topptek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4B5"/>
    <w:multiLevelType w:val="hybridMultilevel"/>
    <w:tmpl w:val="487E7E4C"/>
    <w:lvl w:ilvl="0" w:tplc="04140001">
      <w:start w:val="1"/>
      <w:numFmt w:val="bullet"/>
      <w:lvlText w:val=""/>
      <w:lvlJc w:val="left"/>
      <w:pPr>
        <w:tabs>
          <w:tab w:val="num" w:pos="720"/>
        </w:tabs>
        <w:ind w:left="720" w:hanging="360"/>
      </w:pPr>
      <w:rPr>
        <w:rFonts w:ascii="Symbol" w:hAnsi="Symbol" w:hint="default"/>
      </w:rPr>
    </w:lvl>
    <w:lvl w:ilvl="1" w:tplc="CD10842C">
      <w:start w:val="6"/>
      <w:numFmt w:val="bullet"/>
      <w:lvlText w:val="-"/>
      <w:lvlJc w:val="left"/>
      <w:pPr>
        <w:tabs>
          <w:tab w:val="num" w:pos="1440"/>
        </w:tabs>
        <w:ind w:left="1440" w:hanging="360"/>
      </w:pPr>
      <w:rPr>
        <w:rFonts w:ascii="DepCentury Old Style" w:eastAsia="Times New Roman" w:hAnsi="DepCentury Old Style" w:cs="Times New Roman"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44507AC3"/>
    <w:multiLevelType w:val="hybridMultilevel"/>
    <w:tmpl w:val="A2426D6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CA4372"/>
    <w:multiLevelType w:val="hybridMultilevel"/>
    <w:tmpl w:val="1BCA9BA6"/>
    <w:lvl w:ilvl="0" w:tplc="19BCBA04">
      <w:start w:val="1"/>
      <w:numFmt w:val="bullet"/>
      <w:lvlText w:val=""/>
      <w:lvlJc w:val="left"/>
      <w:pPr>
        <w:tabs>
          <w:tab w:val="num" w:pos="720"/>
        </w:tabs>
        <w:ind w:left="720" w:hanging="360"/>
      </w:pPr>
      <w:rPr>
        <w:rFonts w:ascii="Symbol" w:hAnsi="Symbol" w:hint="default"/>
        <w:sz w:val="2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132147"/>
    <w:multiLevelType w:val="hybridMultilevel"/>
    <w:tmpl w:val="CCC072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28"/>
    <w:rsid w:val="000238B8"/>
    <w:rsid w:val="000255B7"/>
    <w:rsid w:val="00037C62"/>
    <w:rsid w:val="00041048"/>
    <w:rsid w:val="000B6E75"/>
    <w:rsid w:val="000E1123"/>
    <w:rsid w:val="000E7832"/>
    <w:rsid w:val="000F5C09"/>
    <w:rsid w:val="001227BD"/>
    <w:rsid w:val="001367C8"/>
    <w:rsid w:val="00143C1A"/>
    <w:rsid w:val="0016553B"/>
    <w:rsid w:val="0018504F"/>
    <w:rsid w:val="00187B59"/>
    <w:rsid w:val="001B2CFA"/>
    <w:rsid w:val="001B3152"/>
    <w:rsid w:val="001C19EE"/>
    <w:rsid w:val="001C6903"/>
    <w:rsid w:val="002035D8"/>
    <w:rsid w:val="002148B7"/>
    <w:rsid w:val="00215F5E"/>
    <w:rsid w:val="00252B96"/>
    <w:rsid w:val="00257950"/>
    <w:rsid w:val="002824DC"/>
    <w:rsid w:val="002A702D"/>
    <w:rsid w:val="002B5923"/>
    <w:rsid w:val="002F5DD1"/>
    <w:rsid w:val="0030550C"/>
    <w:rsid w:val="00322692"/>
    <w:rsid w:val="0033192C"/>
    <w:rsid w:val="003366E1"/>
    <w:rsid w:val="00341D61"/>
    <w:rsid w:val="003550DC"/>
    <w:rsid w:val="003634FE"/>
    <w:rsid w:val="0036556A"/>
    <w:rsid w:val="00387C77"/>
    <w:rsid w:val="003B1D61"/>
    <w:rsid w:val="003D1869"/>
    <w:rsid w:val="003E3056"/>
    <w:rsid w:val="004104E4"/>
    <w:rsid w:val="00414BBA"/>
    <w:rsid w:val="004306D9"/>
    <w:rsid w:val="00437505"/>
    <w:rsid w:val="004426B3"/>
    <w:rsid w:val="00442E92"/>
    <w:rsid w:val="004502A6"/>
    <w:rsid w:val="004610A1"/>
    <w:rsid w:val="00461476"/>
    <w:rsid w:val="004724EC"/>
    <w:rsid w:val="004912EC"/>
    <w:rsid w:val="00500FE8"/>
    <w:rsid w:val="005265BD"/>
    <w:rsid w:val="0053236F"/>
    <w:rsid w:val="005362F3"/>
    <w:rsid w:val="0053734B"/>
    <w:rsid w:val="0055016C"/>
    <w:rsid w:val="00577D2B"/>
    <w:rsid w:val="00586245"/>
    <w:rsid w:val="005C54EA"/>
    <w:rsid w:val="005E63B4"/>
    <w:rsid w:val="00604613"/>
    <w:rsid w:val="00635BC2"/>
    <w:rsid w:val="00650C25"/>
    <w:rsid w:val="00666A46"/>
    <w:rsid w:val="00690EA0"/>
    <w:rsid w:val="006A4995"/>
    <w:rsid w:val="006B14E6"/>
    <w:rsid w:val="0071028C"/>
    <w:rsid w:val="00731E5F"/>
    <w:rsid w:val="007447C6"/>
    <w:rsid w:val="00756084"/>
    <w:rsid w:val="007574A7"/>
    <w:rsid w:val="007C4E6F"/>
    <w:rsid w:val="007E6CBB"/>
    <w:rsid w:val="007F0E14"/>
    <w:rsid w:val="008129C0"/>
    <w:rsid w:val="00825529"/>
    <w:rsid w:val="0083260B"/>
    <w:rsid w:val="0087066B"/>
    <w:rsid w:val="00887B22"/>
    <w:rsid w:val="008C3482"/>
    <w:rsid w:val="008C7490"/>
    <w:rsid w:val="008D0A39"/>
    <w:rsid w:val="008D31C3"/>
    <w:rsid w:val="008F3E18"/>
    <w:rsid w:val="00906C21"/>
    <w:rsid w:val="00911171"/>
    <w:rsid w:val="00926D89"/>
    <w:rsid w:val="00926E27"/>
    <w:rsid w:val="00947B9C"/>
    <w:rsid w:val="009564DD"/>
    <w:rsid w:val="00957F47"/>
    <w:rsid w:val="00961EB2"/>
    <w:rsid w:val="00984F28"/>
    <w:rsid w:val="009B39E3"/>
    <w:rsid w:val="009C65B1"/>
    <w:rsid w:val="009D2FA3"/>
    <w:rsid w:val="009D602F"/>
    <w:rsid w:val="009F2460"/>
    <w:rsid w:val="00A02C83"/>
    <w:rsid w:val="00A03400"/>
    <w:rsid w:val="00A05929"/>
    <w:rsid w:val="00A10DFE"/>
    <w:rsid w:val="00A26C72"/>
    <w:rsid w:val="00A43C1E"/>
    <w:rsid w:val="00A564E2"/>
    <w:rsid w:val="00A60615"/>
    <w:rsid w:val="00A80B54"/>
    <w:rsid w:val="00A967EC"/>
    <w:rsid w:val="00AA06B4"/>
    <w:rsid w:val="00AC6C4E"/>
    <w:rsid w:val="00AC7618"/>
    <w:rsid w:val="00B13C3C"/>
    <w:rsid w:val="00B15089"/>
    <w:rsid w:val="00B23F8D"/>
    <w:rsid w:val="00B30479"/>
    <w:rsid w:val="00B32B60"/>
    <w:rsid w:val="00B87687"/>
    <w:rsid w:val="00BA0864"/>
    <w:rsid w:val="00BB2D6B"/>
    <w:rsid w:val="00BB3828"/>
    <w:rsid w:val="00BC4599"/>
    <w:rsid w:val="00BD3E28"/>
    <w:rsid w:val="00C156AA"/>
    <w:rsid w:val="00C8489F"/>
    <w:rsid w:val="00CA3450"/>
    <w:rsid w:val="00CB020D"/>
    <w:rsid w:val="00CB428A"/>
    <w:rsid w:val="00D21866"/>
    <w:rsid w:val="00D75EA7"/>
    <w:rsid w:val="00DA58BB"/>
    <w:rsid w:val="00DB5126"/>
    <w:rsid w:val="00DD218B"/>
    <w:rsid w:val="00DE5158"/>
    <w:rsid w:val="00E514FF"/>
    <w:rsid w:val="00E543FA"/>
    <w:rsid w:val="00E63322"/>
    <w:rsid w:val="00E721EA"/>
    <w:rsid w:val="00EC1A6E"/>
    <w:rsid w:val="00EC71A1"/>
    <w:rsid w:val="00ED038A"/>
    <w:rsid w:val="00F031B0"/>
    <w:rsid w:val="00F0437E"/>
    <w:rsid w:val="00F83CB6"/>
    <w:rsid w:val="00F952F8"/>
    <w:rsid w:val="00FC2CB3"/>
    <w:rsid w:val="00FF38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901AFC17-AEF2-4CB2-8608-22E913CD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2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sid w:val="009D602F"/>
    <w:pPr>
      <w:widowControl w:val="0"/>
    </w:pPr>
    <w:rPr>
      <w:rFonts w:ascii="Century Old Style" w:hAnsi="Century Old Style"/>
      <w:color w:val="000000"/>
      <w:sz w:val="24"/>
    </w:rPr>
  </w:style>
  <w:style w:type="paragraph" w:styleId="Topptekst">
    <w:name w:val="header"/>
    <w:basedOn w:val="Normal"/>
    <w:rsid w:val="009D602F"/>
    <w:pPr>
      <w:tabs>
        <w:tab w:val="center" w:pos="4536"/>
        <w:tab w:val="right" w:pos="9072"/>
      </w:tabs>
    </w:pPr>
  </w:style>
  <w:style w:type="character" w:styleId="Sidetall">
    <w:name w:val="page number"/>
    <w:basedOn w:val="Standardskriftforavsnitt"/>
    <w:rsid w:val="009D602F"/>
  </w:style>
  <w:style w:type="paragraph" w:styleId="Bobletekst">
    <w:name w:val="Balloon Text"/>
    <w:basedOn w:val="Normal"/>
    <w:link w:val="BobletekstTegn"/>
    <w:uiPriority w:val="99"/>
    <w:semiHidden/>
    <w:unhideWhenUsed/>
    <w:rsid w:val="00341D61"/>
    <w:rPr>
      <w:rFonts w:ascii="Tahoma" w:hAnsi="Tahoma" w:cs="Tahoma"/>
      <w:sz w:val="16"/>
      <w:szCs w:val="16"/>
    </w:rPr>
  </w:style>
  <w:style w:type="character" w:customStyle="1" w:styleId="BobletekstTegn">
    <w:name w:val="Bobletekst Tegn"/>
    <w:basedOn w:val="Standardskriftforavsnitt"/>
    <w:link w:val="Bobletekst"/>
    <w:uiPriority w:val="99"/>
    <w:semiHidden/>
    <w:rsid w:val="00341D61"/>
    <w:rPr>
      <w:rFonts w:ascii="Tahoma" w:hAnsi="Tahoma" w:cs="Tahoma"/>
      <w:sz w:val="16"/>
      <w:szCs w:val="16"/>
    </w:rPr>
  </w:style>
  <w:style w:type="paragraph" w:styleId="Listeavsnitt">
    <w:name w:val="List Paragraph"/>
    <w:basedOn w:val="Normal"/>
    <w:uiPriority w:val="34"/>
    <w:qFormat/>
    <w:rsid w:val="00957F47"/>
    <w:pPr>
      <w:ind w:left="720"/>
      <w:contextualSpacing/>
    </w:pPr>
  </w:style>
  <w:style w:type="character" w:styleId="Merknadsreferanse">
    <w:name w:val="annotation reference"/>
    <w:basedOn w:val="Standardskriftforavsnitt"/>
    <w:uiPriority w:val="99"/>
    <w:semiHidden/>
    <w:unhideWhenUsed/>
    <w:rsid w:val="0036556A"/>
    <w:rPr>
      <w:sz w:val="16"/>
      <w:szCs w:val="16"/>
    </w:rPr>
  </w:style>
  <w:style w:type="paragraph" w:styleId="Merknadstekst">
    <w:name w:val="annotation text"/>
    <w:basedOn w:val="Normal"/>
    <w:link w:val="MerknadstekstTegn"/>
    <w:uiPriority w:val="99"/>
    <w:semiHidden/>
    <w:unhideWhenUsed/>
    <w:rsid w:val="0036556A"/>
  </w:style>
  <w:style w:type="character" w:customStyle="1" w:styleId="MerknadstekstTegn">
    <w:name w:val="Merknadstekst Tegn"/>
    <w:basedOn w:val="Standardskriftforavsnitt"/>
    <w:link w:val="Merknadstekst"/>
    <w:uiPriority w:val="99"/>
    <w:semiHidden/>
    <w:rsid w:val="0036556A"/>
  </w:style>
  <w:style w:type="paragraph" w:styleId="Kommentaremne">
    <w:name w:val="annotation subject"/>
    <w:basedOn w:val="Merknadstekst"/>
    <w:next w:val="Merknadstekst"/>
    <w:link w:val="KommentaremneTegn"/>
    <w:uiPriority w:val="99"/>
    <w:semiHidden/>
    <w:unhideWhenUsed/>
    <w:rsid w:val="0036556A"/>
    <w:rPr>
      <w:b/>
      <w:bCs/>
    </w:rPr>
  </w:style>
  <w:style w:type="character" w:customStyle="1" w:styleId="KommentaremneTegn">
    <w:name w:val="Kommentaremne Tegn"/>
    <w:basedOn w:val="MerknadstekstTegn"/>
    <w:link w:val="Kommentaremne"/>
    <w:uiPriority w:val="99"/>
    <w:semiHidden/>
    <w:rsid w:val="0036556A"/>
    <w:rPr>
      <w:b/>
      <w:bCs/>
    </w:rPr>
  </w:style>
  <w:style w:type="character" w:styleId="Hyperkobling">
    <w:name w:val="Hyperlink"/>
    <w:basedOn w:val="Standardskriftforavsnitt"/>
    <w:rsid w:val="00EC1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d.no/apa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4674-5771-4DAA-BD04-4B8002B2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3424</Words>
  <Characters>18148</Characters>
  <Application>Microsoft Office Word</Application>
  <DocSecurity>0</DocSecurity>
  <Lines>151</Lines>
  <Paragraphs>43</Paragraphs>
  <ScaleCrop>false</ScaleCrop>
  <HeadingPairs>
    <vt:vector size="2" baseType="variant">
      <vt:variant>
        <vt:lpstr>Tittel</vt:lpstr>
      </vt:variant>
      <vt:variant>
        <vt:i4>1</vt:i4>
      </vt:variant>
    </vt:vector>
  </HeadingPairs>
  <TitlesOfParts>
    <vt:vector size="1" baseType="lpstr">
      <vt:lpstr/>
    </vt:vector>
  </TitlesOfParts>
  <Company>Olje- og energidepartementet</Company>
  <LinksUpToDate>false</LinksUpToDate>
  <CharactersWithSpaces>21529</CharactersWithSpaces>
  <SharedDoc>false</SharedDoc>
  <HLinks>
    <vt:vector size="6" baseType="variant">
      <vt:variant>
        <vt:i4>1245265</vt:i4>
      </vt:variant>
      <vt:variant>
        <vt:i4>0</vt:i4>
      </vt:variant>
      <vt:variant>
        <vt:i4>0</vt:i4>
      </vt:variant>
      <vt:variant>
        <vt:i4>5</vt:i4>
      </vt:variant>
      <vt:variant>
        <vt:lpwstr>http://www.npd.no/apa2010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Vehus Anette</dc:creator>
  <cp:keywords/>
  <dc:description/>
  <cp:lastModifiedBy>Martine Linge Johnsen</cp:lastModifiedBy>
  <cp:revision>2</cp:revision>
  <cp:lastPrinted>2010-09-09T13:14:00Z</cp:lastPrinted>
  <dcterms:created xsi:type="dcterms:W3CDTF">2016-02-01T11:57:00Z</dcterms:created>
  <dcterms:modified xsi:type="dcterms:W3CDTF">2016-02-01T11:57:00Z</dcterms:modified>
</cp:coreProperties>
</file>