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C7" w:rsidRPr="002D137B" w:rsidRDefault="003E7558" w:rsidP="00D918C7">
      <w:pPr>
        <w:pStyle w:val="Overskrift2"/>
        <w:jc w:val="right"/>
        <w:rPr>
          <w:rFonts w:ascii="DepCentury Old Style" w:hAnsi="DepCentury Old Style"/>
          <w:color w:val="FF0000"/>
        </w:rPr>
      </w:pPr>
      <w:r w:rsidRPr="001449A9">
        <w:rPr>
          <w:rFonts w:ascii="DepCentury Old Style" w:hAnsi="DepCentury Old Style"/>
          <w:color w:val="auto"/>
        </w:rPr>
        <w:tab/>
      </w:r>
      <w:r w:rsidRPr="001449A9">
        <w:rPr>
          <w:rFonts w:ascii="DepCentury Old Style" w:hAnsi="DepCentury Old Style"/>
          <w:color w:val="auto"/>
        </w:rPr>
        <w:tab/>
      </w:r>
      <w:r w:rsidR="00F93BD8" w:rsidRPr="001449A9">
        <w:rPr>
          <w:rFonts w:ascii="DepCentury Old Style" w:hAnsi="DepCentury Old Style"/>
          <w:color w:val="auto"/>
        </w:rPr>
        <w:t>TILDELING</w:t>
      </w:r>
      <w:r w:rsidR="002D137B">
        <w:rPr>
          <w:rFonts w:ascii="DepCentury Old Style" w:hAnsi="DepCentury Old Style"/>
          <w:color w:val="auto"/>
        </w:rPr>
        <w:t xml:space="preserve"> I FORHÅNDSDEFINERTE OMRÅDER </w:t>
      </w:r>
      <w:r w:rsidR="002D137B">
        <w:rPr>
          <w:rFonts w:ascii="DepCentury Old Style" w:hAnsi="DepCentury Old Style"/>
          <w:color w:val="FF0000"/>
        </w:rPr>
        <w:t>XXXX</w:t>
      </w: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sz w:val="24"/>
        </w:rPr>
      </w:pPr>
    </w:p>
    <w:p w:rsidR="00D918C7" w:rsidRPr="001449A9" w:rsidRDefault="00D918C7" w:rsidP="00D918C7">
      <w:pPr>
        <w:pStyle w:val="Overskrift5"/>
        <w:rPr>
          <w:rFonts w:ascii="DepCentury Old Style" w:hAnsi="DepCentury Old Style"/>
          <w:color w:val="auto"/>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jc w:val="both"/>
        <w:rPr>
          <w:rFonts w:ascii="DepCentury Old Style" w:hAnsi="DepCentury Old Style"/>
          <w:sz w:val="24"/>
        </w:rPr>
      </w:pPr>
      <w:r w:rsidRPr="001449A9">
        <w:rPr>
          <w:rFonts w:ascii="DepCentury Old Style" w:hAnsi="DepCentury Old Style"/>
          <w:sz w:val="24"/>
        </w:rPr>
        <w:tab/>
      </w:r>
      <w:r w:rsidRPr="001449A9">
        <w:rPr>
          <w:rFonts w:ascii="DepCentury Old Style" w:hAnsi="DepCentury Old Style"/>
          <w:sz w:val="24"/>
        </w:rPr>
        <w:tab/>
      </w:r>
      <w:r w:rsidRPr="001449A9">
        <w:rPr>
          <w:rFonts w:ascii="DepCentury Old Style" w:hAnsi="DepCentury Old Style"/>
          <w:sz w:val="24"/>
        </w:rPr>
        <w:tab/>
        <w:t xml:space="preserve">      </w:t>
      </w: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r w:rsidRPr="001449A9">
        <w:rPr>
          <w:rFonts w:ascii="DepCentury Old Style" w:hAnsi="DepCentury Old Style"/>
          <w:b/>
          <w:sz w:val="24"/>
        </w:rPr>
        <w:t>UTVINNINGSTILLATELSE</w:t>
      </w: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DA3578"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color w:val="FF0000"/>
          <w:sz w:val="24"/>
        </w:rPr>
      </w:pPr>
      <w:r w:rsidRPr="001449A9">
        <w:rPr>
          <w:rFonts w:ascii="DepCentury Old Style" w:hAnsi="DepCentury Old Style"/>
          <w:b/>
          <w:sz w:val="24"/>
        </w:rPr>
        <w:t xml:space="preserve">NR. </w:t>
      </w:r>
      <w:r w:rsidR="00DA3578">
        <w:rPr>
          <w:rFonts w:ascii="DepCentury Old Style" w:hAnsi="DepCentury Old Style"/>
          <w:b/>
          <w:color w:val="FF0000"/>
          <w:sz w:val="24"/>
        </w:rPr>
        <w:t>XXX</w:t>
      </w: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r w:rsidRPr="001449A9">
        <w:rPr>
          <w:rFonts w:ascii="DepCentury Old Style" w:hAnsi="DepCentury Old Style"/>
          <w:b/>
          <w:sz w:val="24"/>
        </w:rPr>
        <w:t>FOR</w:t>
      </w: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r w:rsidRPr="001449A9">
        <w:rPr>
          <w:rFonts w:ascii="DepCentury Old Style" w:hAnsi="DepCentury Old Style"/>
          <w:b/>
          <w:sz w:val="24"/>
        </w:rPr>
        <w:t>PETROLEUMSVIRKSOMHET</w:t>
      </w: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r w:rsidRPr="001449A9">
        <w:rPr>
          <w:rFonts w:ascii="DepCentury Old Style" w:hAnsi="DepCentury Old Style"/>
          <w:sz w:val="24"/>
        </w:rPr>
        <w:t>tildelt</w:t>
      </w: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973D45" w:rsidRPr="00DA3578" w:rsidRDefault="00DA3578"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bCs/>
          <w:color w:val="FF0000"/>
          <w:sz w:val="24"/>
        </w:rPr>
      </w:pPr>
      <w:r w:rsidRPr="00DA3578">
        <w:rPr>
          <w:rFonts w:ascii="DepCentury Old Style" w:hAnsi="DepCentury Old Style"/>
          <w:bCs/>
          <w:color w:val="FF0000"/>
          <w:sz w:val="24"/>
        </w:rPr>
        <w:t>X</w:t>
      </w:r>
    </w:p>
    <w:p w:rsidR="003F34D8" w:rsidRPr="00DA3578" w:rsidRDefault="00DA3578"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bCs/>
          <w:color w:val="FF0000"/>
          <w:sz w:val="24"/>
        </w:rPr>
      </w:pPr>
      <w:r>
        <w:rPr>
          <w:rFonts w:ascii="DepCentury Old Style" w:hAnsi="DepCentury Old Style"/>
          <w:bCs/>
          <w:color w:val="FF0000"/>
          <w:sz w:val="24"/>
        </w:rPr>
        <w:t>X</w:t>
      </w:r>
    </w:p>
    <w:p w:rsidR="003F34D8" w:rsidRPr="00DA3578" w:rsidRDefault="00DA3578"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bCs/>
          <w:color w:val="FF0000"/>
          <w:sz w:val="24"/>
        </w:rPr>
      </w:pPr>
      <w:r>
        <w:rPr>
          <w:rFonts w:ascii="DepCentury Old Style" w:hAnsi="DepCentury Old Style"/>
          <w:bCs/>
          <w:color w:val="FF0000"/>
          <w:sz w:val="24"/>
        </w:rPr>
        <w:t>X</w:t>
      </w:r>
    </w:p>
    <w:p w:rsidR="003F34D8" w:rsidRPr="001449A9" w:rsidRDefault="003F34D8"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bCs/>
          <w:sz w:val="24"/>
        </w:rPr>
      </w:pPr>
    </w:p>
    <w:p w:rsidR="00D73FAE" w:rsidRPr="001449A9" w:rsidRDefault="00D73FAE"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bCs/>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r w:rsidRPr="001449A9">
        <w:rPr>
          <w:rFonts w:ascii="DepCentury Old Style" w:hAnsi="DepCentury Old Style"/>
          <w:sz w:val="24"/>
        </w:rPr>
        <w:t xml:space="preserve">ved kongelig resolusjon </w:t>
      </w:r>
      <w:r w:rsidR="00DA3578">
        <w:rPr>
          <w:rFonts w:ascii="DepCentury Old Style" w:hAnsi="DepCentury Old Style"/>
          <w:color w:val="FF0000"/>
          <w:sz w:val="24"/>
        </w:rPr>
        <w:t>X.X.XXXX</w:t>
      </w: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642875">
      <w:pPr>
        <w:widowControl w:val="0"/>
        <w:tabs>
          <w:tab w:val="left" w:pos="960"/>
          <w:tab w:val="left" w:pos="2040"/>
          <w:tab w:val="left" w:pos="3120"/>
          <w:tab w:val="left" w:pos="4200"/>
          <w:tab w:val="left" w:pos="5280"/>
          <w:tab w:val="left" w:pos="6360"/>
          <w:tab w:val="left" w:pos="7440"/>
          <w:tab w:val="left" w:pos="8520"/>
          <w:tab w:val="left" w:pos="9600"/>
        </w:tabs>
        <w:jc w:val="center"/>
        <w:rPr>
          <w:rFonts w:ascii="DepCentury Old Style" w:hAnsi="DepCentury Old Style"/>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sectPr w:rsidR="00D918C7" w:rsidRPr="001449A9">
          <w:headerReference w:type="even" r:id="rId8"/>
          <w:headerReference w:type="default" r:id="rId9"/>
          <w:footerReference w:type="even" r:id="rId10"/>
          <w:footerReference w:type="default" r:id="rId11"/>
          <w:headerReference w:type="first" r:id="rId12"/>
          <w:footerReference w:type="first" r:id="rId13"/>
          <w:pgSz w:w="12000" w:h="16838"/>
          <w:pgMar w:top="960" w:right="2160" w:bottom="480" w:left="1440" w:header="480" w:footer="0" w:gutter="0"/>
          <w:pgNumType w:start="1"/>
          <w:cols w:space="708"/>
          <w:noEndnote/>
          <w:titlePg/>
        </w:sect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lastRenderedPageBreak/>
        <w:t xml:space="preserve">Ved kongelig resolusjon </w:t>
      </w:r>
      <w:r w:rsidR="00DA3578">
        <w:rPr>
          <w:rFonts w:ascii="DepCentury Old Style" w:hAnsi="DepCentury Old Style"/>
          <w:color w:val="FF0000"/>
          <w:sz w:val="24"/>
        </w:rPr>
        <w:t>X.X.XXXX</w:t>
      </w:r>
      <w:r w:rsidRPr="001449A9">
        <w:rPr>
          <w:rFonts w:ascii="DepCentury Old Style" w:hAnsi="DepCentury Old Style"/>
          <w:sz w:val="24"/>
        </w:rPr>
        <w:t xml:space="preserve"> er bestemt:</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I medhold av lov 29. november 1996 nr. 72 om petroleumsvirksomhet (petroleums</w:t>
      </w:r>
      <w:r w:rsidRPr="001449A9">
        <w:rPr>
          <w:rFonts w:ascii="DepCentury Old Style" w:hAnsi="DepCentury Old Style"/>
          <w:sz w:val="24"/>
        </w:rPr>
        <w:softHyphen/>
        <w:t>loven) tildeles utvinningstillatelse n</w:t>
      </w:r>
      <w:r w:rsidR="008C109E" w:rsidRPr="001449A9">
        <w:rPr>
          <w:rFonts w:ascii="DepCentury Old Style" w:hAnsi="DepCentury Old Style"/>
          <w:sz w:val="24"/>
        </w:rPr>
        <w:t xml:space="preserve">r. </w:t>
      </w:r>
      <w:r w:rsidR="00DA3578">
        <w:rPr>
          <w:rFonts w:ascii="DepCentury Old Style" w:hAnsi="DepCentury Old Style"/>
          <w:color w:val="FF0000"/>
          <w:sz w:val="24"/>
        </w:rPr>
        <w:t>XXX</w:t>
      </w:r>
      <w:r w:rsidRPr="001449A9">
        <w:rPr>
          <w:rFonts w:ascii="DepCentury Old Style" w:hAnsi="DepCentury Old Style"/>
          <w:sz w:val="24"/>
        </w:rPr>
        <w:t xml:space="preserve"> for petroleumsvirksomhet. </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Rettighetshaver er:</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3F34D8" w:rsidRPr="00DA3578" w:rsidRDefault="00DA3578" w:rsidP="003F34D8">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bCs/>
          <w:color w:val="FF0000"/>
          <w:sz w:val="24"/>
        </w:rPr>
      </w:pPr>
      <w:r w:rsidRPr="00DA3578">
        <w:rPr>
          <w:rFonts w:ascii="DepCentury Old Style" w:hAnsi="DepCentury Old Style"/>
          <w:bCs/>
          <w:color w:val="FF0000"/>
          <w:sz w:val="24"/>
        </w:rPr>
        <w:t>X</w:t>
      </w:r>
      <w:r>
        <w:rPr>
          <w:rFonts w:ascii="DepCentury Old Style" w:hAnsi="DepCentury Old Style"/>
          <w:bCs/>
          <w:color w:val="FF0000"/>
          <w:sz w:val="24"/>
        </w:rPr>
        <w:tab/>
      </w:r>
      <w:r w:rsidR="003F34D8" w:rsidRPr="00DA3578">
        <w:rPr>
          <w:rFonts w:ascii="DepCentury Old Style" w:hAnsi="DepCentury Old Style"/>
          <w:bCs/>
          <w:color w:val="FF0000"/>
          <w:sz w:val="24"/>
        </w:rPr>
        <w:tab/>
      </w:r>
      <w:r w:rsidR="003F34D8" w:rsidRPr="00DA3578">
        <w:rPr>
          <w:rFonts w:ascii="DepCentury Old Style" w:hAnsi="DepCentury Old Style"/>
          <w:bCs/>
          <w:color w:val="FF0000"/>
          <w:sz w:val="24"/>
        </w:rPr>
        <w:tab/>
      </w:r>
      <w:r w:rsidRPr="00DA3578">
        <w:rPr>
          <w:rFonts w:ascii="DepCentury Old Style" w:hAnsi="DepCentury Old Style"/>
          <w:bCs/>
          <w:color w:val="FF0000"/>
          <w:sz w:val="24"/>
        </w:rPr>
        <w:t>X</w:t>
      </w:r>
      <w:r w:rsidR="003F34D8" w:rsidRPr="00DA3578">
        <w:rPr>
          <w:rFonts w:ascii="DepCentury Old Style" w:hAnsi="DepCentury Old Style"/>
          <w:bCs/>
          <w:color w:val="FF0000"/>
          <w:sz w:val="24"/>
        </w:rPr>
        <w:t xml:space="preserve"> %</w:t>
      </w:r>
    </w:p>
    <w:p w:rsidR="003F34D8" w:rsidRPr="00DA3578" w:rsidRDefault="00DA3578" w:rsidP="003F34D8">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bCs/>
          <w:color w:val="FF0000"/>
          <w:sz w:val="24"/>
        </w:rPr>
      </w:pPr>
      <w:r>
        <w:rPr>
          <w:rFonts w:ascii="DepCentury Old Style" w:hAnsi="DepCentury Old Style"/>
          <w:bCs/>
          <w:color w:val="FF0000"/>
          <w:sz w:val="24"/>
        </w:rPr>
        <w:t>X</w:t>
      </w:r>
      <w:r w:rsidR="003F34D8" w:rsidRPr="00DA3578">
        <w:rPr>
          <w:rFonts w:ascii="DepCentury Old Style" w:hAnsi="DepCentury Old Style"/>
          <w:bCs/>
          <w:color w:val="FF0000"/>
          <w:sz w:val="24"/>
        </w:rPr>
        <w:tab/>
      </w:r>
      <w:r>
        <w:rPr>
          <w:rFonts w:ascii="DepCentury Old Style" w:hAnsi="DepCentury Old Style"/>
          <w:bCs/>
          <w:color w:val="FF0000"/>
          <w:sz w:val="24"/>
        </w:rPr>
        <w:tab/>
      </w:r>
      <w:r>
        <w:rPr>
          <w:rFonts w:ascii="DepCentury Old Style" w:hAnsi="DepCentury Old Style"/>
          <w:bCs/>
          <w:color w:val="FF0000"/>
          <w:sz w:val="24"/>
        </w:rPr>
        <w:tab/>
        <w:t>X</w:t>
      </w:r>
      <w:r w:rsidR="003F34D8" w:rsidRPr="00DA3578">
        <w:rPr>
          <w:rFonts w:ascii="DepCentury Old Style" w:hAnsi="DepCentury Old Style"/>
          <w:bCs/>
          <w:color w:val="FF0000"/>
          <w:sz w:val="24"/>
        </w:rPr>
        <w:t xml:space="preserve"> %</w:t>
      </w:r>
    </w:p>
    <w:p w:rsidR="003F34D8" w:rsidRPr="00DA3578" w:rsidRDefault="00DA3578" w:rsidP="003F34D8">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bCs/>
          <w:color w:val="FF0000"/>
          <w:sz w:val="24"/>
        </w:rPr>
      </w:pPr>
      <w:r>
        <w:rPr>
          <w:rFonts w:ascii="DepCentury Old Style" w:hAnsi="DepCentury Old Style"/>
          <w:bCs/>
          <w:color w:val="FF0000"/>
          <w:sz w:val="24"/>
        </w:rPr>
        <w:t>X</w:t>
      </w:r>
      <w:r w:rsidR="00023460" w:rsidRPr="00DA3578">
        <w:rPr>
          <w:rFonts w:ascii="DepCentury Old Style" w:hAnsi="DepCentury Old Style"/>
          <w:bCs/>
          <w:color w:val="FF0000"/>
          <w:sz w:val="24"/>
        </w:rPr>
        <w:tab/>
      </w:r>
      <w:r w:rsidR="00023460" w:rsidRPr="00DA3578">
        <w:rPr>
          <w:rFonts w:ascii="DepCentury Old Style" w:hAnsi="DepCentury Old Style"/>
          <w:bCs/>
          <w:color w:val="FF0000"/>
          <w:sz w:val="24"/>
        </w:rPr>
        <w:tab/>
      </w:r>
      <w:r w:rsidR="003F34D8" w:rsidRPr="00DA3578">
        <w:rPr>
          <w:rFonts w:ascii="DepCentury Old Style" w:hAnsi="DepCentury Old Style"/>
          <w:bCs/>
          <w:color w:val="FF0000"/>
          <w:sz w:val="24"/>
        </w:rPr>
        <w:tab/>
      </w:r>
      <w:r>
        <w:rPr>
          <w:rFonts w:ascii="DepCentury Old Style" w:hAnsi="DepCentury Old Style"/>
          <w:bCs/>
          <w:color w:val="FF0000"/>
          <w:sz w:val="24"/>
        </w:rPr>
        <w:t>X</w:t>
      </w:r>
      <w:r w:rsidR="003F34D8" w:rsidRPr="00DA3578">
        <w:rPr>
          <w:rFonts w:ascii="DepCentury Old Style" w:hAnsi="DepCentury Old Style"/>
          <w:bCs/>
          <w:color w:val="FF0000"/>
          <w:sz w:val="24"/>
        </w:rPr>
        <w:t xml:space="preserve"> %</w:t>
      </w:r>
    </w:p>
    <w:p w:rsidR="003F34D8" w:rsidRPr="00DA3578" w:rsidRDefault="00CE6A8E" w:rsidP="003F34D8">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bCs/>
          <w:color w:val="FF0000"/>
          <w:sz w:val="24"/>
        </w:rPr>
      </w:pPr>
      <w:r>
        <w:rPr>
          <w:rFonts w:ascii="DepCentury Old Style" w:hAnsi="DepCentury Old Style"/>
          <w:bCs/>
          <w:color w:val="FF0000"/>
          <w:sz w:val="24"/>
        </w:rPr>
        <w:t>[Petoro AS*</w:t>
      </w:r>
      <w:r>
        <w:rPr>
          <w:rFonts w:ascii="DepCentury Old Style" w:hAnsi="DepCentury Old Style"/>
          <w:bCs/>
          <w:color w:val="FF0000"/>
          <w:sz w:val="24"/>
        </w:rPr>
        <w:tab/>
      </w:r>
      <w:r>
        <w:rPr>
          <w:rFonts w:ascii="DepCentury Old Style" w:hAnsi="DepCentury Old Style"/>
          <w:bCs/>
          <w:color w:val="FF0000"/>
          <w:sz w:val="24"/>
        </w:rPr>
        <w:tab/>
      </w:r>
      <w:r w:rsidR="00DA3578">
        <w:rPr>
          <w:rFonts w:ascii="DepCentury Old Style" w:hAnsi="DepCentury Old Style"/>
          <w:bCs/>
          <w:color w:val="FF0000"/>
          <w:sz w:val="24"/>
        </w:rPr>
        <w:t>X</w:t>
      </w:r>
      <w:r w:rsidR="003F34D8" w:rsidRPr="00DA3578">
        <w:rPr>
          <w:rFonts w:ascii="DepCentury Old Style" w:hAnsi="DepCentury Old Style"/>
          <w:bCs/>
          <w:color w:val="FF0000"/>
          <w:sz w:val="24"/>
        </w:rPr>
        <w:t xml:space="preserve"> %</w:t>
      </w:r>
      <w:r>
        <w:rPr>
          <w:rFonts w:ascii="DepCentury Old Style" w:hAnsi="DepCentury Old Style"/>
          <w:bCs/>
          <w:color w:val="FF0000"/>
          <w:sz w:val="24"/>
        </w:rPr>
        <w:t>]</w:t>
      </w:r>
    </w:p>
    <w:p w:rsidR="002C1450" w:rsidRPr="00DA3578" w:rsidRDefault="002C1450"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p>
    <w:p w:rsidR="00735760" w:rsidRPr="001449A9" w:rsidRDefault="00735760"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2C1450" w:rsidRPr="0035694C" w:rsidRDefault="002C1450" w:rsidP="002C1450">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rPr>
          <w:rFonts w:ascii="DepCentury Old Style" w:hAnsi="DepCentury Old Style"/>
          <w:color w:val="FF0000"/>
          <w:sz w:val="24"/>
        </w:rPr>
      </w:pPr>
      <w:r w:rsidRPr="0035694C">
        <w:rPr>
          <w:rFonts w:ascii="DepCentury Old Style" w:hAnsi="DepCentury Old Style"/>
          <w:color w:val="FF0000"/>
          <w:sz w:val="24"/>
        </w:rPr>
        <w:t xml:space="preserve">*Petoro AS er rettighetshaver for statens deltakerandel (statens direkte økonomiske engasjement - SDØE). </w:t>
      </w:r>
    </w:p>
    <w:p w:rsidR="00E057B8" w:rsidRPr="001449A9" w:rsidRDefault="00E057B8"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For utvinningstillatelsen gjelder vilkårene nedenfor og de til enhver tid gjeldende lover og forskrifter.</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F033E" w:rsidRPr="001449A9" w:rsidRDefault="00DF033E"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3D19A3" w:rsidRPr="001449A9" w:rsidRDefault="003D19A3"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b/>
          <w:sz w:val="24"/>
        </w:rPr>
        <w:t>1.  RETTIGHETER, OMRÅDE OG VARIGHET</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a) Utvinningstillatelsen gir enerett til undersøkelse etter petroleum, leteboring og utvinning av petroleum innenfor det området som omfattes av tillatelsen:</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680498" w:rsidRPr="001449A9" w:rsidRDefault="00680498" w:rsidP="00680498">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 xml:space="preserve">Felt </w:t>
      </w:r>
      <w:r w:rsidRPr="001449A9">
        <w:rPr>
          <w:rFonts w:ascii="DepCentury Old Style" w:hAnsi="DepCentury Old Style"/>
          <w:sz w:val="24"/>
        </w:rPr>
        <w:tab/>
        <w:t>Blokk</w:t>
      </w:r>
      <w:r w:rsidRPr="001449A9">
        <w:rPr>
          <w:rFonts w:ascii="DepCentury Old Style" w:hAnsi="DepCentury Old Style"/>
          <w:sz w:val="24"/>
        </w:rPr>
        <w:tab/>
        <w:t>Km²:</w:t>
      </w:r>
    </w:p>
    <w:p w:rsidR="00680498" w:rsidRPr="001449A9" w:rsidRDefault="00680498" w:rsidP="00680498">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nr.:</w:t>
      </w:r>
      <w:r w:rsidRPr="001449A9">
        <w:rPr>
          <w:rFonts w:ascii="DepCentury Old Style" w:hAnsi="DepCentury Old Style"/>
          <w:sz w:val="24"/>
        </w:rPr>
        <w:tab/>
        <w:t>nr.:</w:t>
      </w:r>
    </w:p>
    <w:p w:rsidR="00680498" w:rsidRPr="001449A9" w:rsidRDefault="00680498" w:rsidP="00680498">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ab/>
      </w:r>
      <w:r w:rsidRPr="001449A9">
        <w:rPr>
          <w:rFonts w:ascii="DepCentury Old Style" w:hAnsi="DepCentury Old Style"/>
          <w:sz w:val="24"/>
        </w:rPr>
        <w:tab/>
      </w:r>
      <w:r w:rsidRPr="001449A9">
        <w:rPr>
          <w:rFonts w:ascii="DepCentury Old Style" w:hAnsi="DepCentury Old Style"/>
          <w:sz w:val="24"/>
        </w:rPr>
        <w:tab/>
      </w:r>
    </w:p>
    <w:p w:rsidR="00680498" w:rsidRPr="00DA3578" w:rsidRDefault="00DA3578" w:rsidP="00680498">
      <w:pPr>
        <w:pStyle w:val="Brdtekst"/>
        <w:rPr>
          <w:color w:val="FF0000"/>
        </w:rPr>
      </w:pPr>
      <w:r>
        <w:rPr>
          <w:color w:val="FF0000"/>
        </w:rPr>
        <w:t>X</w:t>
      </w:r>
      <w:r w:rsidR="00680498" w:rsidRPr="00DA3578">
        <w:rPr>
          <w:color w:val="FF0000"/>
        </w:rPr>
        <w:tab/>
      </w:r>
      <w:r w:rsidR="00680498" w:rsidRPr="00DA3578">
        <w:rPr>
          <w:color w:val="FF0000"/>
        </w:rPr>
        <w:tab/>
      </w:r>
      <w:r>
        <w:rPr>
          <w:color w:val="FF0000"/>
        </w:rPr>
        <w:t>X</w:t>
      </w:r>
      <w:r w:rsidR="00276D1E" w:rsidRPr="00DA3578">
        <w:rPr>
          <w:color w:val="FF0000"/>
        </w:rPr>
        <w:t xml:space="preserve"> </w:t>
      </w:r>
      <w:r w:rsidR="00D73FAE" w:rsidRPr="00DA3578">
        <w:rPr>
          <w:color w:val="FF0000"/>
        </w:rPr>
        <w:tab/>
      </w:r>
      <w:r>
        <w:rPr>
          <w:color w:val="FF0000"/>
        </w:rPr>
        <w:t>X</w:t>
      </w:r>
      <w:r w:rsidR="00680498" w:rsidRPr="00DA3578">
        <w:rPr>
          <w:color w:val="FF0000"/>
        </w:rPr>
        <w:t xml:space="preserve">     Km²</w:t>
      </w:r>
    </w:p>
    <w:p w:rsidR="00680498" w:rsidRPr="00DA3578" w:rsidRDefault="00DA3578" w:rsidP="00680498">
      <w:pPr>
        <w:pStyle w:val="Brdtekst"/>
        <w:rPr>
          <w:color w:val="FF0000"/>
        </w:rPr>
      </w:pPr>
      <w:r>
        <w:rPr>
          <w:color w:val="FF0000"/>
        </w:rPr>
        <w:t>X</w:t>
      </w:r>
      <w:r w:rsidR="00500AFA" w:rsidRPr="00DA3578">
        <w:rPr>
          <w:color w:val="FF0000"/>
        </w:rPr>
        <w:tab/>
      </w:r>
      <w:r w:rsidR="00500AFA" w:rsidRPr="00DA3578">
        <w:rPr>
          <w:color w:val="FF0000"/>
        </w:rPr>
        <w:tab/>
      </w:r>
      <w:r>
        <w:rPr>
          <w:color w:val="FF0000"/>
        </w:rPr>
        <w:t>X</w:t>
      </w:r>
      <w:r w:rsidR="00BB7F90" w:rsidRPr="00DA3578">
        <w:rPr>
          <w:color w:val="FF0000"/>
        </w:rPr>
        <w:t xml:space="preserve"> </w:t>
      </w:r>
      <w:r w:rsidR="00500AFA" w:rsidRPr="00DA3578">
        <w:rPr>
          <w:color w:val="FF0000"/>
        </w:rPr>
        <w:t xml:space="preserve">        </w:t>
      </w:r>
      <w:r w:rsidR="00500AFA" w:rsidRPr="00DA3578">
        <w:rPr>
          <w:color w:val="FF0000"/>
        </w:rPr>
        <w:tab/>
      </w:r>
      <w:r>
        <w:rPr>
          <w:color w:val="FF0000"/>
        </w:rPr>
        <w:t>X</w:t>
      </w:r>
      <w:r w:rsidR="00500AFA" w:rsidRPr="00DA3578">
        <w:rPr>
          <w:color w:val="FF0000"/>
        </w:rPr>
        <w:t xml:space="preserve">     Km² </w:t>
      </w:r>
    </w:p>
    <w:p w:rsidR="00680498" w:rsidRPr="001449A9" w:rsidRDefault="00680498" w:rsidP="00680498">
      <w:pPr>
        <w:pStyle w:val="Brdtekst"/>
        <w:rPr>
          <w:color w:val="auto"/>
        </w:rPr>
      </w:pPr>
    </w:p>
    <w:p w:rsidR="00680498" w:rsidRPr="001449A9" w:rsidRDefault="00680498" w:rsidP="00680498">
      <w:pPr>
        <w:pStyle w:val="Brdtekst"/>
        <w:rPr>
          <w:color w:val="auto"/>
        </w:rPr>
      </w:pPr>
      <w:r w:rsidRPr="001449A9">
        <w:rPr>
          <w:color w:val="auto"/>
        </w:rPr>
        <w:t>Sum areal :</w:t>
      </w:r>
      <w:r w:rsidRPr="001449A9">
        <w:rPr>
          <w:color w:val="auto"/>
        </w:rPr>
        <w:tab/>
      </w:r>
      <w:r w:rsidRPr="001449A9">
        <w:rPr>
          <w:color w:val="auto"/>
        </w:rPr>
        <w:tab/>
        <w:t xml:space="preserve"> </w:t>
      </w:r>
      <w:r w:rsidR="00DA3578">
        <w:rPr>
          <w:color w:val="FF0000"/>
        </w:rPr>
        <w:t>X</w:t>
      </w:r>
      <w:r w:rsidRPr="00DA3578">
        <w:rPr>
          <w:color w:val="FF0000"/>
        </w:rPr>
        <w:t xml:space="preserve">  </w:t>
      </w:r>
      <w:r w:rsidR="00D73FAE" w:rsidRPr="00DA3578">
        <w:rPr>
          <w:color w:val="FF0000"/>
        </w:rPr>
        <w:t xml:space="preserve">  </w:t>
      </w:r>
      <w:r w:rsidRPr="00DA3578">
        <w:rPr>
          <w:color w:val="FF0000"/>
        </w:rPr>
        <w:t>Km²</w:t>
      </w:r>
      <w:r w:rsidRPr="001449A9">
        <w:rPr>
          <w:color w:val="auto"/>
        </w:rPr>
        <w:t xml:space="preserve"> </w:t>
      </w:r>
    </w:p>
    <w:p w:rsidR="00680498" w:rsidRPr="001449A9" w:rsidRDefault="00680498" w:rsidP="00680498">
      <w:pPr>
        <w:pStyle w:val="Brdtekst"/>
        <w:rPr>
          <w:color w:val="auto"/>
        </w:rPr>
      </w:pPr>
    </w:p>
    <w:p w:rsidR="00F073F2" w:rsidRPr="001449A9" w:rsidRDefault="00F073F2" w:rsidP="00F073F2">
      <w:pPr>
        <w:pStyle w:val="Brdtekst"/>
        <w:rPr>
          <w:color w:val="auto"/>
        </w:rPr>
      </w:pPr>
      <w:r w:rsidRPr="001449A9">
        <w:rPr>
          <w:color w:val="auto"/>
        </w:rPr>
        <w:t>Hjørnekoordinater (Datum=ED50):</w:t>
      </w:r>
    </w:p>
    <w:p w:rsidR="00F073F2" w:rsidRPr="001449A9" w:rsidRDefault="00F073F2" w:rsidP="00F073F2">
      <w:pPr>
        <w:contextualSpacing/>
      </w:pPr>
    </w:p>
    <w:p w:rsidR="00680498" w:rsidRPr="001449A9" w:rsidRDefault="00680498" w:rsidP="00680498">
      <w:pPr>
        <w:contextualSpacing/>
      </w:pPr>
    </w:p>
    <w:p w:rsidR="00942281" w:rsidRPr="001449A9" w:rsidRDefault="00942281" w:rsidP="00680498">
      <w:pPr>
        <w:contextualSpacing/>
        <w:rPr>
          <w:rFonts w:ascii="DepCentury Old Style" w:hAnsi="DepCentury Old Style"/>
          <w:b/>
          <w:sz w:val="24"/>
          <w:szCs w:val="24"/>
        </w:rPr>
      </w:pPr>
    </w:p>
    <w:p w:rsidR="00680498" w:rsidRPr="00DA3578" w:rsidRDefault="00680498" w:rsidP="00680498">
      <w:pPr>
        <w:contextualSpacing/>
        <w:rPr>
          <w:rFonts w:ascii="DepCentury Old Style" w:hAnsi="DepCentury Old Style"/>
          <w:b/>
          <w:color w:val="FF0000"/>
          <w:sz w:val="24"/>
          <w:szCs w:val="24"/>
        </w:rPr>
      </w:pPr>
      <w:r w:rsidRPr="00DA3578">
        <w:rPr>
          <w:rFonts w:ascii="DepCentury Old Style" w:hAnsi="DepCentury Old Style"/>
          <w:b/>
          <w:color w:val="FF0000"/>
          <w:sz w:val="24"/>
          <w:szCs w:val="24"/>
        </w:rPr>
        <w:t xml:space="preserve">Blokk </w:t>
      </w:r>
      <w:r w:rsidR="00DA3578" w:rsidRPr="00DA3578">
        <w:rPr>
          <w:rFonts w:ascii="DepCentury Old Style" w:hAnsi="DepCentury Old Style"/>
          <w:b/>
          <w:color w:val="FF0000"/>
          <w:sz w:val="24"/>
          <w:szCs w:val="24"/>
        </w:rPr>
        <w:t>XX</w:t>
      </w:r>
      <w:r w:rsidRPr="00DA3578">
        <w:rPr>
          <w:rFonts w:ascii="DepCentury Old Style" w:hAnsi="DepCentury Old Style"/>
          <w:b/>
          <w:color w:val="FF0000"/>
          <w:sz w:val="24"/>
          <w:szCs w:val="24"/>
        </w:rPr>
        <w:t xml:space="preserve"> </w:t>
      </w:r>
    </w:p>
    <w:p w:rsidR="00075A37" w:rsidRPr="001449A9" w:rsidRDefault="00075A37" w:rsidP="00680498">
      <w:pPr>
        <w:contextualSpacing/>
        <w:rPr>
          <w:rFonts w:ascii="DepCentury Old Style" w:hAnsi="DepCentury Old Style"/>
          <w:b/>
          <w:sz w:val="24"/>
          <w:szCs w:val="24"/>
        </w:rPr>
      </w:pPr>
    </w:p>
    <w:p w:rsidR="00D918C7" w:rsidRPr="001449A9" w:rsidRDefault="00D918C7" w:rsidP="00D918C7">
      <w:pPr>
        <w:pStyle w:val="Brdtekst"/>
        <w:rPr>
          <w:b/>
          <w:color w:val="auto"/>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 xml:space="preserve">b) Utvinningstillatelsen gjelder til og med </w:t>
      </w:r>
      <w:r w:rsidR="00DA3578">
        <w:rPr>
          <w:rFonts w:ascii="DepCentury Old Style" w:hAnsi="DepCentury Old Style"/>
          <w:color w:val="FF0000"/>
          <w:sz w:val="24"/>
        </w:rPr>
        <w:t>X.X.XXXX</w:t>
      </w:r>
      <w:r w:rsidRPr="001449A9">
        <w:rPr>
          <w:rFonts w:ascii="DepCentury Old Style" w:hAnsi="DepCentury Old Style"/>
          <w:sz w:val="24"/>
        </w:rPr>
        <w:t xml:space="preserve"> (initiell periode). </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6E371F" w:rsidRPr="001449A9" w:rsidRDefault="00D918C7" w:rsidP="00822230">
      <w:pPr>
        <w:pStyle w:val="Brdtekstinnrykk"/>
        <w:rPr>
          <w:color w:val="auto"/>
        </w:rPr>
      </w:pPr>
      <w:r w:rsidRPr="001449A9">
        <w:rPr>
          <w:color w:val="auto"/>
        </w:rPr>
        <w:t>c) Når arbeidsforpliktelsen som nevnt i pkt. 4 er oppfylt</w:t>
      </w:r>
      <w:r w:rsidR="00F87078" w:rsidRPr="001449A9">
        <w:rPr>
          <w:color w:val="auto"/>
        </w:rPr>
        <w:t>,</w:t>
      </w:r>
      <w:r w:rsidRPr="001449A9">
        <w:rPr>
          <w:color w:val="auto"/>
        </w:rPr>
        <w:t xml:space="preserve"> kan rettighetshaver kreve at utvinningstillatelsen forlenges </w:t>
      </w:r>
      <w:r w:rsidR="00AB4D78" w:rsidRPr="001449A9">
        <w:rPr>
          <w:color w:val="auto"/>
        </w:rPr>
        <w:t xml:space="preserve">i medhold av petroleumsloven § 3-9 </w:t>
      </w:r>
      <w:r w:rsidR="00F86F80" w:rsidRPr="001449A9">
        <w:rPr>
          <w:color w:val="auto"/>
        </w:rPr>
        <w:t>annet</w:t>
      </w:r>
      <w:r w:rsidR="00AB4D78" w:rsidRPr="001449A9">
        <w:rPr>
          <w:color w:val="auto"/>
        </w:rPr>
        <w:t xml:space="preserve"> ledd.</w:t>
      </w:r>
      <w:r w:rsidRPr="001449A9">
        <w:rPr>
          <w:color w:val="auto"/>
        </w:rPr>
        <w:t xml:space="preserve"> </w:t>
      </w:r>
      <w:r w:rsidR="001822E9" w:rsidRPr="001449A9">
        <w:rPr>
          <w:color w:val="auto"/>
        </w:rPr>
        <w:t xml:space="preserve"> </w:t>
      </w:r>
      <w:r w:rsidRPr="001449A9">
        <w:rPr>
          <w:color w:val="auto"/>
        </w:rPr>
        <w:t xml:space="preserve">Varigheten av en slik forlengelse settes til </w:t>
      </w:r>
      <w:r w:rsidR="00AA05FF">
        <w:rPr>
          <w:color w:val="FF0000"/>
        </w:rPr>
        <w:t>X</w:t>
      </w:r>
      <w:r w:rsidRPr="001449A9">
        <w:rPr>
          <w:color w:val="auto"/>
        </w:rPr>
        <w:t xml:space="preserve"> år.</w:t>
      </w:r>
      <w:r w:rsidR="00E13B41" w:rsidRPr="001449A9">
        <w:rPr>
          <w:color w:val="auto"/>
        </w:rPr>
        <w:t xml:space="preserve"> </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pStyle w:val="Brdtekstinnrykk"/>
        <w:rPr>
          <w:rFonts w:ascii="Times New Roman" w:hAnsi="Times New Roman"/>
          <w:color w:val="auto"/>
          <w:sz w:val="20"/>
        </w:rPr>
      </w:pPr>
      <w:r w:rsidRPr="001449A9">
        <w:rPr>
          <w:color w:val="auto"/>
        </w:rPr>
        <w:t xml:space="preserve">d) Krav om forlengelse i henhold til bokstav c) kan fremsettes for </w:t>
      </w:r>
      <w:r w:rsidR="00951DED" w:rsidRPr="001449A9">
        <w:rPr>
          <w:color w:val="auto"/>
        </w:rPr>
        <w:t xml:space="preserve">den delen av området for utvinningstillatelsen som er omfattet av innsendt plan for utbygging og drift (utbyggingsplan). </w:t>
      </w:r>
      <w:r w:rsidRPr="001449A9">
        <w:rPr>
          <w:color w:val="auto"/>
        </w:rPr>
        <w:t>Departementet fastsetter utstrekningen av det området som skal beholdes, på bakgrunn av innsendt utbyggingsplan</w:t>
      </w:r>
      <w:r w:rsidR="00E71058" w:rsidRPr="001449A9">
        <w:rPr>
          <w:rFonts w:ascii="Times New Roman" w:hAnsi="Times New Roman"/>
          <w:color w:val="auto"/>
          <w:sz w:val="20"/>
        </w:rPr>
        <w:t>.</w:t>
      </w:r>
    </w:p>
    <w:p w:rsidR="001A773D" w:rsidRPr="001449A9" w:rsidRDefault="001A773D" w:rsidP="00D918C7">
      <w:pPr>
        <w:pStyle w:val="Brdtekstinnrykk"/>
        <w:rPr>
          <w:color w:val="auto"/>
        </w:rPr>
      </w:pPr>
    </w:p>
    <w:p w:rsidR="00D918C7" w:rsidRPr="001449A9" w:rsidRDefault="00951DED" w:rsidP="00D918C7">
      <w:pPr>
        <w:pStyle w:val="Brdtekstinnrykk"/>
        <w:rPr>
          <w:color w:val="auto"/>
        </w:rPr>
      </w:pPr>
      <w:r w:rsidRPr="001449A9">
        <w:rPr>
          <w:color w:val="auto"/>
        </w:rPr>
        <w:t>e</w:t>
      </w:r>
      <w:r w:rsidR="007C72AB" w:rsidRPr="001449A9">
        <w:rPr>
          <w:color w:val="auto"/>
        </w:rPr>
        <w:t xml:space="preserve">) </w:t>
      </w:r>
      <w:r w:rsidR="00D918C7" w:rsidRPr="001449A9">
        <w:rPr>
          <w:color w:val="auto"/>
        </w:rPr>
        <w:t xml:space="preserve">De(n) del(er) av området for utvinningstillatelsen som det ikke kan kreves forlengelse for etter </w:t>
      </w:r>
      <w:r w:rsidR="007C72AB" w:rsidRPr="001449A9">
        <w:rPr>
          <w:color w:val="auto"/>
        </w:rPr>
        <w:t>bokstav d)</w:t>
      </w:r>
      <w:r w:rsidR="00D918C7" w:rsidRPr="001449A9">
        <w:rPr>
          <w:color w:val="auto"/>
        </w:rPr>
        <w:t xml:space="preserve">, bortfaller på tidspunktet for </w:t>
      </w:r>
      <w:r w:rsidR="00513B46" w:rsidRPr="001449A9">
        <w:rPr>
          <w:color w:val="auto"/>
        </w:rPr>
        <w:t xml:space="preserve">utløpet </w:t>
      </w:r>
      <w:r w:rsidR="00D918C7" w:rsidRPr="001449A9">
        <w:rPr>
          <w:color w:val="auto"/>
        </w:rPr>
        <w:t>av den initielle periode</w:t>
      </w:r>
      <w:r w:rsidR="00513B46" w:rsidRPr="001449A9">
        <w:rPr>
          <w:color w:val="auto"/>
        </w:rPr>
        <w:t>.</w:t>
      </w:r>
    </w:p>
    <w:p w:rsidR="00D918C7" w:rsidRPr="001449A9" w:rsidRDefault="00D918C7" w:rsidP="00D918C7">
      <w:pPr>
        <w:pStyle w:val="Brdtekstinnrykk"/>
        <w:ind w:left="0" w:firstLine="0"/>
        <w:rPr>
          <w:color w:val="auto"/>
        </w:rPr>
      </w:pPr>
    </w:p>
    <w:p w:rsidR="003D19A3" w:rsidRPr="001449A9" w:rsidRDefault="00D918C7" w:rsidP="00D918C7">
      <w:pPr>
        <w:pStyle w:val="Brdtekstinnrykk"/>
        <w:rPr>
          <w:color w:val="auto"/>
        </w:rPr>
      </w:pPr>
      <w:r w:rsidRPr="001449A9">
        <w:rPr>
          <w:color w:val="auto"/>
        </w:rPr>
        <w:tab/>
      </w:r>
    </w:p>
    <w:p w:rsidR="00D918C7" w:rsidRPr="001449A9" w:rsidRDefault="00D918C7" w:rsidP="00D918C7">
      <w:pPr>
        <w:pStyle w:val="Brdtekstinnrykk"/>
        <w:rPr>
          <w:color w:val="auto"/>
        </w:rPr>
      </w:pPr>
      <w:r w:rsidRPr="001449A9">
        <w:rPr>
          <w:color w:val="auto"/>
        </w:rPr>
        <w:tab/>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b/>
          <w:sz w:val="24"/>
        </w:rPr>
        <w:t>2.  AREALAVGIFT</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ab/>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 xml:space="preserve">Ved forlengelse av den initielle periode og ved forlengelse i henhold til pkt. 1 c) skal rettighetshaver betale en arealavgift i samsvar med den til enhver tid gjeldende lovgivning. Beløpet skal innbetales til Oljedirektoratet. </w:t>
      </w:r>
    </w:p>
    <w:p w:rsidR="00942281" w:rsidRPr="001449A9" w:rsidRDefault="00942281"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EB5EB7" w:rsidRPr="001449A9" w:rsidRDefault="00EB5EB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3D19A3" w:rsidRPr="001449A9" w:rsidRDefault="003D19A3"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b/>
          <w:sz w:val="24"/>
        </w:rPr>
        <w:t>3.  OPERATØR</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AF5036" w:rsidRPr="001449A9" w:rsidRDefault="00DA3578" w:rsidP="00DA6A75">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r>
        <w:rPr>
          <w:rFonts w:ascii="DepCentury Old Style" w:hAnsi="DepCentury Old Style"/>
          <w:bCs/>
          <w:color w:val="FF0000"/>
          <w:sz w:val="24"/>
        </w:rPr>
        <w:t>X</w:t>
      </w:r>
      <w:r w:rsidR="00DA6A75" w:rsidRPr="001449A9">
        <w:rPr>
          <w:rFonts w:ascii="DepCentury Old Style" w:hAnsi="DepCentury Old Style"/>
          <w:bCs/>
          <w:sz w:val="24"/>
        </w:rPr>
        <w:t xml:space="preserve"> </w:t>
      </w:r>
      <w:r w:rsidR="00D918C7" w:rsidRPr="001449A9">
        <w:rPr>
          <w:rFonts w:ascii="DepCentury Old Style" w:hAnsi="DepCentury Old Style"/>
          <w:sz w:val="24"/>
        </w:rPr>
        <w:t xml:space="preserve">er utpekt og har </w:t>
      </w:r>
      <w:r w:rsidR="0085737F" w:rsidRPr="001449A9">
        <w:rPr>
          <w:rFonts w:ascii="DepCentury Old Style" w:hAnsi="DepCentury Old Style"/>
          <w:sz w:val="24"/>
        </w:rPr>
        <w:t>påtatt seg vervet som operatør.</w:t>
      </w:r>
    </w:p>
    <w:p w:rsidR="003D19A3" w:rsidRPr="001449A9" w:rsidRDefault="003D19A3" w:rsidP="0085737F">
      <w:pPr>
        <w:widowControl w:val="0"/>
        <w:tabs>
          <w:tab w:val="left" w:pos="960"/>
          <w:tab w:val="left" w:pos="1080"/>
          <w:tab w:val="left" w:pos="1560"/>
          <w:tab w:val="left" w:pos="2160"/>
          <w:tab w:val="left" w:pos="3240"/>
          <w:tab w:val="left" w:pos="4320"/>
          <w:tab w:val="left" w:pos="5400"/>
          <w:tab w:val="left" w:pos="6480"/>
          <w:tab w:val="left" w:pos="7560"/>
          <w:tab w:val="left" w:pos="8640"/>
        </w:tabs>
        <w:rPr>
          <w:rFonts w:ascii="DepCentury Old Style" w:hAnsi="DepCentury Old Style"/>
          <w:sz w:val="24"/>
        </w:rPr>
      </w:pPr>
    </w:p>
    <w:p w:rsidR="003D19A3" w:rsidRPr="001449A9" w:rsidRDefault="003D19A3" w:rsidP="0085737F">
      <w:pPr>
        <w:widowControl w:val="0"/>
        <w:tabs>
          <w:tab w:val="left" w:pos="960"/>
          <w:tab w:val="left" w:pos="1080"/>
          <w:tab w:val="left" w:pos="1560"/>
          <w:tab w:val="left" w:pos="2160"/>
          <w:tab w:val="left" w:pos="3240"/>
          <w:tab w:val="left" w:pos="4320"/>
          <w:tab w:val="left" w:pos="5400"/>
          <w:tab w:val="left" w:pos="6480"/>
          <w:tab w:val="left" w:pos="7560"/>
          <w:tab w:val="left" w:pos="8640"/>
        </w:tabs>
        <w:rPr>
          <w:rFonts w:ascii="DepCentury Old Style" w:hAnsi="DepCentury Old Style"/>
          <w:sz w:val="24"/>
        </w:rPr>
      </w:pPr>
    </w:p>
    <w:p w:rsidR="003D19A3" w:rsidRPr="001449A9" w:rsidRDefault="003D19A3" w:rsidP="0085737F">
      <w:pPr>
        <w:widowControl w:val="0"/>
        <w:tabs>
          <w:tab w:val="left" w:pos="960"/>
          <w:tab w:val="left" w:pos="1080"/>
          <w:tab w:val="left" w:pos="1560"/>
          <w:tab w:val="left" w:pos="2160"/>
          <w:tab w:val="left" w:pos="3240"/>
          <w:tab w:val="left" w:pos="4320"/>
          <w:tab w:val="left" w:pos="5400"/>
          <w:tab w:val="left" w:pos="6480"/>
          <w:tab w:val="left" w:pos="7560"/>
          <w:tab w:val="left" w:pos="8640"/>
        </w:tabs>
        <w:rPr>
          <w:rFonts w:ascii="DepCentury Old Style" w:hAnsi="DepCentury Old Style"/>
          <w:sz w:val="24"/>
          <w:szCs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b/>
          <w:sz w:val="24"/>
        </w:rPr>
        <w:t>4</w:t>
      </w:r>
      <w:r w:rsidRPr="001449A9">
        <w:rPr>
          <w:rFonts w:ascii="DepCentury Old Style" w:hAnsi="DepCentury Old Style"/>
          <w:sz w:val="24"/>
        </w:rPr>
        <w:t xml:space="preserve">.  </w:t>
      </w:r>
      <w:r w:rsidRPr="001449A9">
        <w:rPr>
          <w:rFonts w:ascii="DepCentury Old Style" w:hAnsi="DepCentury Old Style"/>
          <w:b/>
          <w:sz w:val="24"/>
        </w:rPr>
        <w:t xml:space="preserve">ARBEIDSFORPLIKTELSE </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230C7D" w:rsidRPr="001449A9" w:rsidRDefault="00230C7D" w:rsidP="00230C7D">
      <w:pPr>
        <w:pStyle w:val="Brdtekst"/>
        <w:rPr>
          <w:color w:val="auto"/>
        </w:rPr>
      </w:pPr>
      <w:r w:rsidRPr="001449A9">
        <w:rPr>
          <w:color w:val="auto"/>
        </w:rPr>
        <w:t xml:space="preserve">Rettighetshaver er pålagt en arbeidsforpliktelse som i sin helhet skal være gjennomført innen </w:t>
      </w:r>
      <w:r w:rsidR="00DA3578">
        <w:rPr>
          <w:color w:val="FF0000"/>
        </w:rPr>
        <w:t>X.X.XXXX.</w:t>
      </w:r>
    </w:p>
    <w:p w:rsidR="00230C7D" w:rsidRPr="001449A9" w:rsidRDefault="00230C7D" w:rsidP="00230C7D">
      <w:pPr>
        <w:pStyle w:val="Brdtekst"/>
        <w:rPr>
          <w:color w:val="auto"/>
        </w:rPr>
      </w:pPr>
    </w:p>
    <w:p w:rsidR="00230C7D" w:rsidRPr="001449A9" w:rsidRDefault="00230C7D" w:rsidP="00230C7D">
      <w:pPr>
        <w:pStyle w:val="Brdtekst"/>
        <w:rPr>
          <w:color w:val="auto"/>
        </w:rPr>
      </w:pPr>
      <w:r w:rsidRPr="001449A9">
        <w:rPr>
          <w:color w:val="auto"/>
        </w:rPr>
        <w:t>Om arbeidsforpliktelsen og gjennomføringen av denne gjelder følgende:</w:t>
      </w:r>
    </w:p>
    <w:p w:rsidR="00230C7D" w:rsidRPr="001449A9" w:rsidRDefault="00230C7D" w:rsidP="00230C7D">
      <w:pPr>
        <w:pStyle w:val="Brdtekst"/>
        <w:rPr>
          <w:color w:val="auto"/>
          <w:szCs w:val="24"/>
        </w:rPr>
      </w:pPr>
    </w:p>
    <w:p w:rsidR="00230C7D" w:rsidRPr="001449A9" w:rsidRDefault="00230C7D" w:rsidP="00230C7D">
      <w:pPr>
        <w:numPr>
          <w:ilvl w:val="0"/>
          <w:numId w:val="1"/>
        </w:numPr>
        <w:tabs>
          <w:tab w:val="clear" w:pos="720"/>
          <w:tab w:val="num" w:pos="0"/>
        </w:tabs>
        <w:ind w:left="0" w:firstLine="0"/>
        <w:rPr>
          <w:rFonts w:ascii="DepCentury Old Style" w:hAnsi="DepCentury Old Style"/>
          <w:sz w:val="24"/>
          <w:szCs w:val="24"/>
        </w:rPr>
      </w:pPr>
      <w:r w:rsidRPr="001449A9">
        <w:rPr>
          <w:rFonts w:ascii="DepCentury Old Style" w:hAnsi="DepCentury Old Style"/>
          <w:sz w:val="24"/>
          <w:szCs w:val="24"/>
        </w:rPr>
        <w:t xml:space="preserve">Rettighetshaver skal innen </w:t>
      </w:r>
      <w:r w:rsidR="00DA3578">
        <w:rPr>
          <w:rFonts w:ascii="DepCentury Old Style" w:hAnsi="DepCentury Old Style"/>
          <w:color w:val="FF0000"/>
          <w:sz w:val="24"/>
          <w:szCs w:val="24"/>
        </w:rPr>
        <w:t>X</w:t>
      </w:r>
      <w:r w:rsidRPr="001449A9">
        <w:rPr>
          <w:rFonts w:ascii="DepCentury Old Style" w:hAnsi="DepCentury Old Style"/>
          <w:sz w:val="24"/>
          <w:szCs w:val="24"/>
        </w:rPr>
        <w:t xml:space="preserve"> år fra tildelingstidspunktet:</w:t>
      </w:r>
    </w:p>
    <w:p w:rsidR="00230C7D" w:rsidRPr="001449A9" w:rsidRDefault="00230C7D" w:rsidP="00230C7D">
      <w:pPr>
        <w:tabs>
          <w:tab w:val="num" w:pos="0"/>
        </w:tabs>
        <w:rPr>
          <w:rFonts w:ascii="DepCentury Old Style" w:hAnsi="DepCentury Old Style"/>
          <w:sz w:val="24"/>
          <w:szCs w:val="24"/>
        </w:rPr>
      </w:pPr>
    </w:p>
    <w:p w:rsidR="00230C7D" w:rsidRPr="00DA3578" w:rsidRDefault="00DA3578" w:rsidP="00230C7D">
      <w:pPr>
        <w:numPr>
          <w:ilvl w:val="0"/>
          <w:numId w:val="2"/>
        </w:numPr>
        <w:ind w:hanging="11"/>
        <w:rPr>
          <w:rFonts w:ascii="DepCentury Old Style" w:hAnsi="DepCentury Old Style"/>
          <w:color w:val="FF0000"/>
          <w:sz w:val="24"/>
          <w:szCs w:val="24"/>
        </w:rPr>
      </w:pPr>
      <w:r>
        <w:rPr>
          <w:rFonts w:ascii="DepCentury Old Style" w:hAnsi="DepCentury Old Style"/>
          <w:color w:val="FF0000"/>
          <w:sz w:val="24"/>
          <w:szCs w:val="24"/>
        </w:rPr>
        <w:t xml:space="preserve">For </w:t>
      </w:r>
      <w:r w:rsidR="00221B42">
        <w:rPr>
          <w:rFonts w:ascii="DepCentury Old Style" w:hAnsi="DepCentury Old Style"/>
          <w:color w:val="FF0000"/>
          <w:sz w:val="24"/>
          <w:szCs w:val="24"/>
        </w:rPr>
        <w:t>e</w:t>
      </w:r>
      <w:r>
        <w:rPr>
          <w:rFonts w:ascii="DepCentury Old Style" w:hAnsi="DepCentury Old Style"/>
          <w:color w:val="FF0000"/>
          <w:sz w:val="24"/>
          <w:szCs w:val="24"/>
        </w:rPr>
        <w:t xml:space="preserve">ksempel </w:t>
      </w:r>
      <w:r w:rsidRPr="00DA3578">
        <w:rPr>
          <w:rFonts w:ascii="DepCentury Old Style" w:hAnsi="DepCentury Old Style"/>
          <w:color w:val="FF0000"/>
          <w:sz w:val="24"/>
          <w:szCs w:val="24"/>
        </w:rPr>
        <w:t>a</w:t>
      </w:r>
      <w:r w:rsidR="00DA6A75" w:rsidRPr="00DA3578">
        <w:rPr>
          <w:rFonts w:ascii="DepCentury Old Style" w:hAnsi="DepCentury Old Style"/>
          <w:color w:val="FF0000"/>
          <w:sz w:val="24"/>
          <w:szCs w:val="24"/>
        </w:rPr>
        <w:t>nskaffe</w:t>
      </w:r>
      <w:r w:rsidR="00230C7D" w:rsidRPr="00DA3578">
        <w:rPr>
          <w:rFonts w:ascii="DepCentury Old Style" w:hAnsi="DepCentury Old Style"/>
          <w:color w:val="FF0000"/>
          <w:sz w:val="24"/>
          <w:szCs w:val="24"/>
        </w:rPr>
        <w:t xml:space="preserve"> 3D</w:t>
      </w:r>
      <w:r w:rsidR="00230B73" w:rsidRPr="00DA3578">
        <w:rPr>
          <w:rFonts w:ascii="DepCentury Old Style" w:hAnsi="DepCentury Old Style"/>
          <w:color w:val="FF0000"/>
          <w:sz w:val="24"/>
          <w:szCs w:val="24"/>
        </w:rPr>
        <w:t>-</w:t>
      </w:r>
      <w:r w:rsidR="00230C7D" w:rsidRPr="00DA3578">
        <w:rPr>
          <w:rFonts w:ascii="DepCentury Old Style" w:hAnsi="DepCentury Old Style"/>
          <w:color w:val="FF0000"/>
          <w:sz w:val="24"/>
          <w:szCs w:val="24"/>
        </w:rPr>
        <w:t xml:space="preserve">seismikk. </w:t>
      </w:r>
    </w:p>
    <w:p w:rsidR="00230C7D" w:rsidRPr="001449A9" w:rsidRDefault="00230C7D" w:rsidP="00230C7D">
      <w:pPr>
        <w:ind w:left="720"/>
        <w:rPr>
          <w:rFonts w:ascii="DepCentury Old Style" w:hAnsi="DepCentury Old Style"/>
          <w:sz w:val="24"/>
          <w:szCs w:val="24"/>
        </w:rPr>
      </w:pPr>
    </w:p>
    <w:p w:rsidR="00230C7D" w:rsidRPr="001449A9" w:rsidRDefault="00230C7D" w:rsidP="00230C7D">
      <w:pPr>
        <w:pStyle w:val="Brdtekst2"/>
        <w:numPr>
          <w:ilvl w:val="0"/>
          <w:numId w:val="1"/>
        </w:numPr>
        <w:tabs>
          <w:tab w:val="clear" w:pos="720"/>
        </w:tabs>
        <w:snapToGrid w:val="0"/>
        <w:ind w:left="709" w:hanging="709"/>
        <w:rPr>
          <w:i/>
          <w:color w:val="auto"/>
        </w:rPr>
      </w:pPr>
      <w:r w:rsidRPr="001449A9">
        <w:rPr>
          <w:color w:val="auto"/>
          <w:szCs w:val="24"/>
        </w:rPr>
        <w:t>Rettighetshaver</w:t>
      </w:r>
      <w:r w:rsidRPr="001449A9">
        <w:rPr>
          <w:color w:val="auto"/>
        </w:rPr>
        <w:t xml:space="preserve"> </w:t>
      </w:r>
      <w:r w:rsidRPr="001449A9">
        <w:rPr>
          <w:color w:val="auto"/>
          <w:szCs w:val="24"/>
        </w:rPr>
        <w:t xml:space="preserve">skal innen </w:t>
      </w:r>
      <w:r w:rsidR="00247810">
        <w:rPr>
          <w:color w:val="FF0000"/>
          <w:szCs w:val="24"/>
        </w:rPr>
        <w:t>X</w:t>
      </w:r>
      <w:r w:rsidRPr="001449A9">
        <w:rPr>
          <w:color w:val="auto"/>
          <w:szCs w:val="24"/>
        </w:rPr>
        <w:t xml:space="preserve"> år fra tildelingstidspunktet vedta om det skal bores en undersøkelsesbrønn. Vedtak om boring fattes i medhold av Avtale for petroleumsvirksomhet artikkel 3.2. Dersom det fattes vedtak om boring av undersøkelsesbrønnen, videreføres utvinningstillatelsen</w:t>
      </w:r>
      <w:r w:rsidRPr="001449A9">
        <w:rPr>
          <w:color w:val="auto"/>
        </w:rPr>
        <w:t xml:space="preserve">. </w:t>
      </w:r>
    </w:p>
    <w:p w:rsidR="00230C7D" w:rsidRPr="001449A9" w:rsidRDefault="00230C7D" w:rsidP="00230C7D">
      <w:pPr>
        <w:pStyle w:val="Brdtekst2"/>
        <w:snapToGrid w:val="0"/>
        <w:ind w:left="708"/>
        <w:rPr>
          <w:color w:val="auto"/>
        </w:rPr>
      </w:pPr>
    </w:p>
    <w:p w:rsidR="003B36CF" w:rsidRPr="001449A9" w:rsidRDefault="003B36CF" w:rsidP="003B36CF">
      <w:pPr>
        <w:pStyle w:val="Brdtekst2"/>
        <w:snapToGrid w:val="0"/>
        <w:ind w:left="708"/>
        <w:rPr>
          <w:color w:val="auto"/>
        </w:rPr>
      </w:pPr>
      <w:r w:rsidRPr="001449A9">
        <w:rPr>
          <w:color w:val="auto"/>
        </w:rPr>
        <w:t xml:space="preserve">Dersom det ikke fattes vedtak om boring av en undersøkelsesbrønn, men én eller flere rettighetshavere likevel ønsker å bore denne, </w:t>
      </w:r>
      <w:r w:rsidRPr="001449A9">
        <w:rPr>
          <w:iCs/>
          <w:color w:val="auto"/>
        </w:rPr>
        <w:t xml:space="preserve">må den/de berørte andeler enten overtas av en utenforstående tredjemann eller av den/de øvrige </w:t>
      </w:r>
      <w:r w:rsidRPr="001449A9">
        <w:rPr>
          <w:iCs/>
          <w:color w:val="auto"/>
        </w:rPr>
        <w:lastRenderedPageBreak/>
        <w:t>rettighetshavere for å sikre 100 % deltakelse i utvinningstillatelsen.</w:t>
      </w:r>
      <w:r w:rsidRPr="001449A9">
        <w:rPr>
          <w:color w:val="auto"/>
        </w:rPr>
        <w:t xml:space="preserve"> Artikkel 24 om uttreden i Avtale for petroleumsvirksomhet, Vedlegg A gjelder tilsvarende så langt den passer.</w:t>
      </w:r>
      <w:r w:rsidR="00DD6EC3">
        <w:rPr>
          <w:color w:val="auto"/>
        </w:rPr>
        <w:t xml:space="preserve"> </w:t>
      </w:r>
      <w:r w:rsidRPr="001449A9">
        <w:rPr>
          <w:iCs/>
          <w:color w:val="auto"/>
        </w:rPr>
        <w:t xml:space="preserve">Såfremt andelen ikke overtas av en utenforstående tredjemann eller av den/de øvrige rettighetshavere, anses vedtak om boring ikke fattet. </w:t>
      </w:r>
      <w:r w:rsidRPr="001449A9">
        <w:rPr>
          <w:color w:val="auto"/>
        </w:rPr>
        <w:t>Den/de øvrige rettighetshavere må innen 30 dager fra vedtaksdato gi styringskomiteen melding om de ønsker å overta deltakerandelen.</w:t>
      </w:r>
    </w:p>
    <w:p w:rsidR="003B36CF" w:rsidRPr="001449A9" w:rsidRDefault="003B36CF" w:rsidP="003B36CF">
      <w:pPr>
        <w:pStyle w:val="Brdtekst2"/>
        <w:snapToGrid w:val="0"/>
        <w:ind w:left="708"/>
        <w:jc w:val="right"/>
        <w:rPr>
          <w:color w:val="auto"/>
        </w:rPr>
      </w:pPr>
    </w:p>
    <w:p w:rsidR="003B36CF" w:rsidRPr="001449A9" w:rsidRDefault="003B36CF" w:rsidP="003B36CF">
      <w:pPr>
        <w:pStyle w:val="Brdtekst2"/>
        <w:snapToGrid w:val="0"/>
        <w:ind w:left="708"/>
        <w:rPr>
          <w:color w:val="auto"/>
        </w:rPr>
      </w:pPr>
      <w:r w:rsidRPr="001449A9">
        <w:rPr>
          <w:color w:val="auto"/>
        </w:rPr>
        <w:t xml:space="preserve">For å videreføre utvinningstillatelsen, må den/de øvrige rettighetshaver(e) </w:t>
      </w:r>
      <w:r w:rsidR="00EA55A9" w:rsidRPr="001449A9">
        <w:rPr>
          <w:color w:val="auto"/>
        </w:rPr>
        <w:t>uten u</w:t>
      </w:r>
      <w:r w:rsidRPr="001449A9">
        <w:rPr>
          <w:color w:val="auto"/>
        </w:rPr>
        <w:t xml:space="preserve">grunnet opphold søke departementet, med kopi til Oljedirektoratet om å få bore undersøkelsesbrønnen. Dersom departementet ikke godkjenner søknaden, bortfaller utvinningstillatelsen. Et eventuelt operatørskifte er betinget av departementets godkjennelse i medhold av petroleumsloven § 3-7. </w:t>
      </w:r>
    </w:p>
    <w:p w:rsidR="003B36CF" w:rsidRPr="001449A9" w:rsidRDefault="003B36CF" w:rsidP="003B36CF">
      <w:pPr>
        <w:pStyle w:val="Brdtekst2"/>
        <w:snapToGrid w:val="0"/>
        <w:ind w:left="708"/>
        <w:rPr>
          <w:color w:val="auto"/>
        </w:rPr>
      </w:pPr>
    </w:p>
    <w:p w:rsidR="003B36CF" w:rsidRPr="001449A9" w:rsidRDefault="003B36CF" w:rsidP="003B36CF">
      <w:pPr>
        <w:pStyle w:val="Brdtekst2"/>
        <w:snapToGrid w:val="0"/>
        <w:ind w:left="708"/>
        <w:rPr>
          <w:color w:val="auto"/>
          <w:szCs w:val="24"/>
        </w:rPr>
      </w:pPr>
      <w:r w:rsidRPr="001449A9">
        <w:rPr>
          <w:color w:val="auto"/>
          <w:szCs w:val="24"/>
        </w:rPr>
        <w:t xml:space="preserve">En endringsavtale til Avtale </w:t>
      </w:r>
      <w:r w:rsidR="007B5D96">
        <w:rPr>
          <w:color w:val="auto"/>
          <w:szCs w:val="24"/>
        </w:rPr>
        <w:t>for</w:t>
      </w:r>
      <w:r w:rsidRPr="001449A9">
        <w:rPr>
          <w:color w:val="auto"/>
          <w:szCs w:val="24"/>
        </w:rPr>
        <w:t xml:space="preserve"> petroleumsvirksomhet, Spesielle bestemmelser som reflekterer en rettighetshavers uttreden og et eventuelt operatørskifte skal oversendes departementet for godkjennelse så snart som mulig, jfr. artikkel 8 i Avtale </w:t>
      </w:r>
      <w:r w:rsidR="007B5D96">
        <w:rPr>
          <w:color w:val="auto"/>
          <w:szCs w:val="24"/>
        </w:rPr>
        <w:t>for</w:t>
      </w:r>
      <w:r w:rsidRPr="001449A9">
        <w:rPr>
          <w:color w:val="auto"/>
          <w:szCs w:val="24"/>
        </w:rPr>
        <w:t xml:space="preserve"> petroleumsvirksomhet, Spesielle bestemmelser. </w:t>
      </w:r>
    </w:p>
    <w:p w:rsidR="00230C7D" w:rsidRPr="001449A9" w:rsidRDefault="00230C7D" w:rsidP="00230C7D">
      <w:pPr>
        <w:pStyle w:val="Brdtekst2"/>
        <w:snapToGrid w:val="0"/>
        <w:rPr>
          <w:color w:val="auto"/>
        </w:rPr>
      </w:pPr>
    </w:p>
    <w:p w:rsidR="00230C7D" w:rsidRPr="001449A9" w:rsidRDefault="00230C7D" w:rsidP="00230C7D">
      <w:pPr>
        <w:pStyle w:val="Brdtekst2"/>
        <w:snapToGrid w:val="0"/>
        <w:ind w:left="708"/>
        <w:rPr>
          <w:color w:val="auto"/>
        </w:rPr>
      </w:pPr>
      <w:r w:rsidRPr="001449A9">
        <w:rPr>
          <w:color w:val="auto"/>
        </w:rPr>
        <w:t xml:space="preserve">Dersom ingen rettighetshavere ønsker å bore undersøkelsesbrønnen, vil utvinningstillatelsen bortfalle i sin helhet </w:t>
      </w:r>
      <w:r w:rsidR="00247810">
        <w:rPr>
          <w:color w:val="FF0000"/>
        </w:rPr>
        <w:t>X</w:t>
      </w:r>
      <w:r w:rsidRPr="001449A9">
        <w:rPr>
          <w:color w:val="auto"/>
        </w:rPr>
        <w:t xml:space="preserve"> år etter tildelingstidspunktet.</w:t>
      </w:r>
    </w:p>
    <w:p w:rsidR="00230C7D" w:rsidRPr="001449A9" w:rsidRDefault="00230C7D" w:rsidP="00230C7D">
      <w:pPr>
        <w:pStyle w:val="Brdtekst2"/>
        <w:snapToGrid w:val="0"/>
        <w:ind w:left="708"/>
        <w:rPr>
          <w:color w:val="auto"/>
        </w:rPr>
      </w:pPr>
    </w:p>
    <w:p w:rsidR="00230C7D" w:rsidRPr="001449A9" w:rsidRDefault="00230C7D" w:rsidP="00230C7D">
      <w:pPr>
        <w:pStyle w:val="Brdtekst2"/>
        <w:snapToGrid w:val="0"/>
        <w:ind w:left="708"/>
        <w:rPr>
          <w:color w:val="auto"/>
        </w:rPr>
      </w:pPr>
      <w:r w:rsidRPr="001449A9">
        <w:rPr>
          <w:color w:val="auto"/>
        </w:rPr>
        <w:t xml:space="preserve">Rettighetshaver skal senest innen </w:t>
      </w:r>
      <w:r w:rsidR="00247810" w:rsidRPr="00247810">
        <w:rPr>
          <w:color w:val="FF0000"/>
        </w:rPr>
        <w:t>X</w:t>
      </w:r>
      <w:r w:rsidRPr="001449A9">
        <w:rPr>
          <w:color w:val="auto"/>
        </w:rPr>
        <w:t xml:space="preserve"> år fra tildelingstidspunktet skriftlig underrette departementet, med kopi til Oljedirektoratet om sin beslutning. </w:t>
      </w:r>
    </w:p>
    <w:p w:rsidR="00230C7D" w:rsidRPr="001449A9" w:rsidRDefault="00230C7D" w:rsidP="00230C7D">
      <w:pPr>
        <w:pStyle w:val="Brdtekst"/>
        <w:tabs>
          <w:tab w:val="left" w:pos="1785"/>
        </w:tabs>
        <w:snapToGrid w:val="0"/>
        <w:rPr>
          <w:i/>
          <w:color w:val="auto"/>
        </w:rPr>
      </w:pPr>
      <w:r w:rsidRPr="001449A9">
        <w:rPr>
          <w:i/>
          <w:color w:val="auto"/>
        </w:rPr>
        <w:tab/>
      </w:r>
    </w:p>
    <w:p w:rsidR="003B36CF" w:rsidRPr="001449A9" w:rsidRDefault="00230C7D" w:rsidP="0010489C">
      <w:pPr>
        <w:pStyle w:val="Brdtekst2"/>
        <w:numPr>
          <w:ilvl w:val="0"/>
          <w:numId w:val="1"/>
        </w:numPr>
        <w:snapToGrid w:val="0"/>
        <w:ind w:hanging="720"/>
        <w:rPr>
          <w:color w:val="auto"/>
        </w:rPr>
      </w:pPr>
      <w:r w:rsidRPr="001449A9">
        <w:rPr>
          <w:color w:val="auto"/>
        </w:rPr>
        <w:t xml:space="preserve">Rettighetshaver skal innen </w:t>
      </w:r>
      <w:r w:rsidR="00247810">
        <w:rPr>
          <w:color w:val="FF0000"/>
        </w:rPr>
        <w:t>X</w:t>
      </w:r>
      <w:r w:rsidRPr="001449A9">
        <w:rPr>
          <w:color w:val="auto"/>
        </w:rPr>
        <w:t xml:space="preserve"> år fra tildelingstidspunktet ta stilling til om det skal fattes en beslutning om konkretisering (BOK). </w:t>
      </w:r>
    </w:p>
    <w:p w:rsidR="003B36CF" w:rsidRPr="001449A9" w:rsidRDefault="003B36CF" w:rsidP="003B36CF">
      <w:pPr>
        <w:pStyle w:val="Brdtekst2"/>
        <w:snapToGrid w:val="0"/>
        <w:ind w:left="720"/>
        <w:rPr>
          <w:color w:val="auto"/>
        </w:rPr>
      </w:pPr>
    </w:p>
    <w:p w:rsidR="003B36CF" w:rsidRPr="001449A9" w:rsidRDefault="003B36CF" w:rsidP="003B36CF">
      <w:pPr>
        <w:pStyle w:val="Brdtekst2"/>
        <w:snapToGrid w:val="0"/>
        <w:ind w:left="720"/>
        <w:rPr>
          <w:color w:val="auto"/>
        </w:rPr>
      </w:pPr>
      <w:r w:rsidRPr="001449A9">
        <w:rPr>
          <w:iCs/>
          <w:color w:val="auto"/>
        </w:rPr>
        <w:t xml:space="preserve">I tilfelle en/flere rettighetshavere ikke ønsker å fatte beslutning om konkretisering, må den/de berørte andeler enten overtas av en utenforstående tredjemann eller av den/de øvrige rettighetshavere for å sikre 100 % deltakelse i beslutningen om konkretisering. </w:t>
      </w:r>
      <w:r w:rsidRPr="001449A9">
        <w:rPr>
          <w:color w:val="auto"/>
        </w:rPr>
        <w:t>Artikkel 24 om uttreden i Avtale for petroleumsvirksomhet, Vedlegg A gjelder tilsvarende så langt den passer.</w:t>
      </w:r>
    </w:p>
    <w:p w:rsidR="003B36CF" w:rsidRPr="001449A9" w:rsidRDefault="003B36CF" w:rsidP="003B36CF">
      <w:pPr>
        <w:pStyle w:val="Brdtekst2"/>
        <w:snapToGrid w:val="0"/>
        <w:ind w:left="720"/>
        <w:rPr>
          <w:color w:val="auto"/>
        </w:rPr>
      </w:pPr>
      <w:r w:rsidRPr="001449A9">
        <w:rPr>
          <w:iCs/>
          <w:color w:val="auto"/>
        </w:rPr>
        <w:t xml:space="preserve">Såfremt andelen ikke overtas av en utenforstående tredjemann eller av den/de øvrige rettighetshavere, anses beslutning om konkretisering ikke fattet. </w:t>
      </w:r>
    </w:p>
    <w:p w:rsidR="003B36CF" w:rsidRPr="001449A9" w:rsidRDefault="003B36CF" w:rsidP="003B36CF">
      <w:pPr>
        <w:pStyle w:val="Brdtekst2"/>
        <w:snapToGrid w:val="0"/>
        <w:ind w:left="708"/>
        <w:rPr>
          <w:color w:val="auto"/>
        </w:rPr>
      </w:pPr>
      <w:r w:rsidRPr="001449A9">
        <w:rPr>
          <w:color w:val="auto"/>
        </w:rPr>
        <w:t>Den/de øvrige rettighetshavere må innen 30 dager fra vedtaksdato gi styringskomiteen melding om de ønsker å overta deltakerandelen.</w:t>
      </w:r>
    </w:p>
    <w:p w:rsidR="003B36CF" w:rsidRPr="001449A9" w:rsidRDefault="003B36CF" w:rsidP="003B36CF">
      <w:pPr>
        <w:pStyle w:val="Brdtekst2"/>
        <w:snapToGrid w:val="0"/>
        <w:ind w:left="720"/>
        <w:rPr>
          <w:color w:val="auto"/>
        </w:rPr>
      </w:pPr>
    </w:p>
    <w:p w:rsidR="00007B66" w:rsidRPr="001449A9" w:rsidRDefault="00007B66" w:rsidP="00007B66">
      <w:pPr>
        <w:pStyle w:val="Brdtekst"/>
        <w:snapToGrid w:val="0"/>
        <w:ind w:left="720"/>
        <w:rPr>
          <w:color w:val="auto"/>
        </w:rPr>
      </w:pPr>
      <w:r w:rsidRPr="001449A9">
        <w:rPr>
          <w:color w:val="auto"/>
        </w:rPr>
        <w:t xml:space="preserve">For å videreføre utvinningstillatelsen må den/de øvrige rettighetshaver(e) uten ugrunnet opphold søke departementet, med kopi til Oljedirektoratet om å få videreføre utvinningstillatelsen. Dersom departementet ikke godkjenner søknaden, bortfaller utvinningstillatelsen. Et eventuelt operatørskifte er betinget av departementets godkjennelse i medhold av petroleumsloven § 3-7. </w:t>
      </w:r>
    </w:p>
    <w:p w:rsidR="00007B66" w:rsidRPr="001449A9" w:rsidRDefault="00007B66" w:rsidP="00007B66">
      <w:pPr>
        <w:pStyle w:val="Brdtekst"/>
        <w:snapToGrid w:val="0"/>
        <w:ind w:left="720"/>
        <w:rPr>
          <w:color w:val="auto"/>
        </w:rPr>
      </w:pPr>
    </w:p>
    <w:p w:rsidR="00007B66" w:rsidRPr="001449A9" w:rsidRDefault="00007B66" w:rsidP="00007B66">
      <w:pPr>
        <w:pStyle w:val="Brdtekst2"/>
        <w:snapToGrid w:val="0"/>
        <w:ind w:left="708"/>
        <w:rPr>
          <w:color w:val="auto"/>
          <w:szCs w:val="24"/>
        </w:rPr>
      </w:pPr>
      <w:r w:rsidRPr="001449A9">
        <w:rPr>
          <w:color w:val="auto"/>
          <w:szCs w:val="24"/>
        </w:rPr>
        <w:t xml:space="preserve">En endringsavtale til Avtale </w:t>
      </w:r>
      <w:r w:rsidR="007B5D96">
        <w:rPr>
          <w:color w:val="auto"/>
          <w:szCs w:val="24"/>
        </w:rPr>
        <w:t>for</w:t>
      </w:r>
      <w:r w:rsidRPr="001449A9">
        <w:rPr>
          <w:color w:val="auto"/>
          <w:szCs w:val="24"/>
        </w:rPr>
        <w:t xml:space="preserve"> petroleumsvirksomhet, Spesielle bestemmelser som reflekterer en rettighetshavers uttreden og et eventuelt operatørskifte skal </w:t>
      </w:r>
      <w:r w:rsidRPr="001449A9">
        <w:rPr>
          <w:color w:val="auto"/>
          <w:szCs w:val="24"/>
        </w:rPr>
        <w:lastRenderedPageBreak/>
        <w:t xml:space="preserve">oversendes departementet for godkjennelse så snart som mulig, jfr. artikkel 8 i Avtale </w:t>
      </w:r>
      <w:r w:rsidR="007B5D96">
        <w:rPr>
          <w:color w:val="auto"/>
          <w:szCs w:val="24"/>
        </w:rPr>
        <w:t>for</w:t>
      </w:r>
      <w:r w:rsidRPr="001449A9">
        <w:rPr>
          <w:color w:val="auto"/>
          <w:szCs w:val="24"/>
        </w:rPr>
        <w:t xml:space="preserve"> petroleumsvirksomhet, Spesielle bestemmelser. </w:t>
      </w:r>
    </w:p>
    <w:p w:rsidR="00007B66" w:rsidRPr="001449A9" w:rsidRDefault="00007B66" w:rsidP="00230C7D">
      <w:pPr>
        <w:pStyle w:val="Brdtekst"/>
        <w:snapToGrid w:val="0"/>
        <w:ind w:left="720"/>
        <w:rPr>
          <w:color w:val="auto"/>
        </w:rPr>
      </w:pPr>
    </w:p>
    <w:p w:rsidR="00230C7D" w:rsidRPr="001449A9" w:rsidRDefault="00230C7D" w:rsidP="00230C7D">
      <w:pPr>
        <w:pStyle w:val="Brdtekst"/>
        <w:snapToGrid w:val="0"/>
        <w:ind w:left="720"/>
        <w:rPr>
          <w:color w:val="auto"/>
        </w:rPr>
      </w:pPr>
      <w:r w:rsidRPr="001449A9">
        <w:rPr>
          <w:color w:val="auto"/>
        </w:rPr>
        <w:t xml:space="preserve">Fattes det ikke BOK vil utvinningstillatelsen bortfalle i sin helhet </w:t>
      </w:r>
      <w:r w:rsidR="00A47AC0">
        <w:rPr>
          <w:color w:val="FF0000"/>
        </w:rPr>
        <w:t>X</w:t>
      </w:r>
      <w:r w:rsidRPr="001449A9">
        <w:rPr>
          <w:color w:val="auto"/>
        </w:rPr>
        <w:t xml:space="preserve"> år etter tildelingstidspunktet.</w:t>
      </w:r>
    </w:p>
    <w:p w:rsidR="00230C7D" w:rsidRPr="001449A9" w:rsidRDefault="00230C7D" w:rsidP="00230C7D">
      <w:pPr>
        <w:pStyle w:val="Brdtekst"/>
        <w:snapToGrid w:val="0"/>
        <w:ind w:left="720"/>
        <w:rPr>
          <w:color w:val="auto"/>
        </w:rPr>
      </w:pPr>
    </w:p>
    <w:p w:rsidR="00230C7D" w:rsidRPr="001449A9" w:rsidRDefault="00230C7D" w:rsidP="00230C7D">
      <w:pPr>
        <w:pStyle w:val="Brdtekst"/>
        <w:snapToGrid w:val="0"/>
        <w:ind w:left="720"/>
        <w:rPr>
          <w:color w:val="auto"/>
        </w:rPr>
      </w:pPr>
      <w:r w:rsidRPr="001449A9">
        <w:rPr>
          <w:color w:val="auto"/>
        </w:rPr>
        <w:t xml:space="preserve">Rettighetshaver skal senest innen </w:t>
      </w:r>
      <w:r w:rsidR="00A47AC0">
        <w:rPr>
          <w:color w:val="FF0000"/>
        </w:rPr>
        <w:t>X</w:t>
      </w:r>
      <w:r w:rsidRPr="001449A9">
        <w:rPr>
          <w:color w:val="auto"/>
        </w:rPr>
        <w:t xml:space="preserve"> år fra tildelingstidspunktet skriftlig underrette departementet, med kopi til Oljedirektoratet om sin beslutning. </w:t>
      </w:r>
    </w:p>
    <w:p w:rsidR="00230C7D" w:rsidRPr="001449A9" w:rsidRDefault="00230C7D" w:rsidP="00230C7D">
      <w:pPr>
        <w:pStyle w:val="Brdtekst"/>
        <w:snapToGrid w:val="0"/>
        <w:ind w:left="709"/>
        <w:rPr>
          <w:color w:val="auto"/>
        </w:rPr>
      </w:pPr>
    </w:p>
    <w:p w:rsidR="00007B66" w:rsidRPr="001449A9" w:rsidRDefault="00230C7D" w:rsidP="00230C7D">
      <w:pPr>
        <w:pStyle w:val="Brdtekst"/>
        <w:numPr>
          <w:ilvl w:val="0"/>
          <w:numId w:val="1"/>
        </w:numPr>
        <w:tabs>
          <w:tab w:val="clear" w:pos="720"/>
        </w:tabs>
        <w:snapToGrid w:val="0"/>
        <w:ind w:left="709" w:hanging="709"/>
        <w:rPr>
          <w:color w:val="auto"/>
        </w:rPr>
      </w:pPr>
      <w:r w:rsidRPr="001449A9">
        <w:rPr>
          <w:color w:val="auto"/>
        </w:rPr>
        <w:t xml:space="preserve">Rettighetshaver skal innen </w:t>
      </w:r>
      <w:r w:rsidR="00A47AC0">
        <w:rPr>
          <w:color w:val="FF0000"/>
        </w:rPr>
        <w:t>X</w:t>
      </w:r>
      <w:r w:rsidRPr="001449A9">
        <w:rPr>
          <w:color w:val="auto"/>
        </w:rPr>
        <w:t xml:space="preserve"> år fra tildelingstidspunktet ta stilling til om det skal utarbeides en utbyggingsplan for forekomsten (Beslutning om Videreføring – BOV).</w:t>
      </w:r>
    </w:p>
    <w:p w:rsidR="00007B66" w:rsidRPr="001449A9" w:rsidRDefault="00007B66" w:rsidP="00007B66">
      <w:pPr>
        <w:pStyle w:val="Brdtekst"/>
        <w:snapToGrid w:val="0"/>
        <w:ind w:left="709"/>
        <w:rPr>
          <w:color w:val="auto"/>
        </w:rPr>
      </w:pPr>
    </w:p>
    <w:p w:rsidR="00007B66" w:rsidRPr="001449A9" w:rsidRDefault="00007B66" w:rsidP="00503EB9">
      <w:pPr>
        <w:pStyle w:val="Brdtekst"/>
        <w:snapToGrid w:val="0"/>
        <w:ind w:left="709"/>
        <w:rPr>
          <w:color w:val="auto"/>
        </w:rPr>
      </w:pPr>
      <w:r w:rsidRPr="001449A9">
        <w:rPr>
          <w:iCs/>
          <w:color w:val="auto"/>
        </w:rPr>
        <w:t xml:space="preserve">I tilfelle en/flere rettighetshavere ikke ønsker å delta i utforming av en utbyggingsplan, må den/de berørte andeler enten overtas av en utenforstående tredjemann eller av den/de øvrige rettighetshavere for å sikre 100 % deltakelse i utbyggingsplanen. </w:t>
      </w:r>
      <w:r w:rsidRPr="001449A9">
        <w:rPr>
          <w:color w:val="auto"/>
        </w:rPr>
        <w:t xml:space="preserve">Artikkel 24 om uttreden i Avtale for petroleumsvirksomhet, Vedlegg A gjelder tilsvarende så langt den passer. </w:t>
      </w:r>
      <w:r w:rsidRPr="001449A9">
        <w:rPr>
          <w:iCs/>
          <w:color w:val="auto"/>
        </w:rPr>
        <w:t xml:space="preserve">Såfremt andelen ikke overtas av en utenforstående tredjemann eller av den/de øvrige rettighetshavere, anses beslutning om videreføring ikke fattet. </w:t>
      </w:r>
      <w:r w:rsidRPr="001449A9">
        <w:rPr>
          <w:color w:val="auto"/>
        </w:rPr>
        <w:t>Den/de øvrige rettighetshavere må innen 30 dager fra vedtaksdato gi styringskomiteen melding om de ønsker å overta deltakerandelen.</w:t>
      </w:r>
    </w:p>
    <w:p w:rsidR="00230C7D" w:rsidRPr="001449A9" w:rsidRDefault="00230C7D" w:rsidP="00007B66">
      <w:pPr>
        <w:pStyle w:val="Brdtekst"/>
        <w:snapToGrid w:val="0"/>
        <w:ind w:left="709"/>
        <w:rPr>
          <w:color w:val="auto"/>
        </w:rPr>
      </w:pPr>
    </w:p>
    <w:p w:rsidR="00007B66" w:rsidRPr="001449A9" w:rsidRDefault="00007B66" w:rsidP="00007B66">
      <w:pPr>
        <w:pStyle w:val="Brdtekst"/>
        <w:snapToGrid w:val="0"/>
        <w:ind w:left="709"/>
        <w:rPr>
          <w:color w:val="auto"/>
        </w:rPr>
      </w:pPr>
      <w:r w:rsidRPr="001449A9">
        <w:rPr>
          <w:color w:val="auto"/>
        </w:rPr>
        <w:t>For å videreføre utvinningstillatelsen, må den/de øvrige rettighetshaver(e)</w:t>
      </w:r>
      <w:r w:rsidR="00C909E3" w:rsidRPr="001449A9">
        <w:rPr>
          <w:color w:val="auto"/>
        </w:rPr>
        <w:t xml:space="preserve"> </w:t>
      </w:r>
      <w:r w:rsidRPr="001449A9">
        <w:rPr>
          <w:color w:val="auto"/>
        </w:rPr>
        <w:t xml:space="preserve">uten ugrunnet opphold søke departementet, med kopi til Oljedirektoratet om å få videreføre utvinningstillatelsen. Dersom departementet ikke godkjenner søknaden, bortfaller utvinningstillatelsen. Et eventuelt operatørskifte er betinget av departementets godkjennelse i medhold av petroleumsloven § 3-7. </w:t>
      </w:r>
    </w:p>
    <w:p w:rsidR="00007B66" w:rsidRPr="001449A9" w:rsidRDefault="00007B66" w:rsidP="00007B66">
      <w:pPr>
        <w:pStyle w:val="Brdtekst"/>
        <w:snapToGrid w:val="0"/>
        <w:ind w:left="709"/>
        <w:rPr>
          <w:color w:val="auto"/>
        </w:rPr>
      </w:pPr>
    </w:p>
    <w:p w:rsidR="00007B66" w:rsidRPr="001449A9" w:rsidRDefault="00007B66" w:rsidP="00007B66">
      <w:pPr>
        <w:pStyle w:val="Brdtekst2"/>
        <w:snapToGrid w:val="0"/>
        <w:ind w:left="708"/>
        <w:rPr>
          <w:color w:val="auto"/>
          <w:szCs w:val="24"/>
        </w:rPr>
      </w:pPr>
      <w:r w:rsidRPr="001449A9">
        <w:rPr>
          <w:color w:val="auto"/>
          <w:szCs w:val="24"/>
        </w:rPr>
        <w:t xml:space="preserve">En endringsavtale til Avtale </w:t>
      </w:r>
      <w:r w:rsidR="007B5D96">
        <w:rPr>
          <w:color w:val="auto"/>
          <w:szCs w:val="24"/>
        </w:rPr>
        <w:t>for</w:t>
      </w:r>
      <w:r w:rsidRPr="001449A9">
        <w:rPr>
          <w:color w:val="auto"/>
          <w:szCs w:val="24"/>
        </w:rPr>
        <w:t xml:space="preserve"> petroleumsvirksomhet, Spesielle bestemmelser som reflekterer en rettighetshavers uttreden og et eventuelt operatørskifte skal oversendes departementet for godkjennelse så snart som mulig, jfr. artikkel 8 i Avtale </w:t>
      </w:r>
      <w:r w:rsidR="007B5D96">
        <w:rPr>
          <w:color w:val="auto"/>
          <w:szCs w:val="24"/>
        </w:rPr>
        <w:t>for</w:t>
      </w:r>
      <w:r w:rsidRPr="001449A9">
        <w:rPr>
          <w:color w:val="auto"/>
          <w:szCs w:val="24"/>
        </w:rPr>
        <w:t xml:space="preserve"> petroleumsvirksomhet, Spesielle bestemmelser. </w:t>
      </w:r>
    </w:p>
    <w:p w:rsidR="00230C7D" w:rsidRPr="001449A9" w:rsidRDefault="00230C7D" w:rsidP="00230C7D">
      <w:pPr>
        <w:pStyle w:val="Brdtekst"/>
        <w:snapToGrid w:val="0"/>
        <w:ind w:left="709"/>
        <w:rPr>
          <w:iCs/>
          <w:color w:val="auto"/>
        </w:rPr>
      </w:pPr>
    </w:p>
    <w:p w:rsidR="00230C7D" w:rsidRPr="001449A9" w:rsidRDefault="00230C7D" w:rsidP="00230C7D">
      <w:pPr>
        <w:pStyle w:val="Brdtekst"/>
        <w:snapToGrid w:val="0"/>
        <w:ind w:left="709"/>
        <w:rPr>
          <w:color w:val="auto"/>
        </w:rPr>
      </w:pPr>
      <w:r w:rsidRPr="001449A9">
        <w:rPr>
          <w:color w:val="auto"/>
        </w:rPr>
        <w:t xml:space="preserve">Fattes det ikke BOV vil utvinningstillatelsen bortfalle i sin helhet </w:t>
      </w:r>
      <w:r w:rsidR="00A47AC0">
        <w:rPr>
          <w:color w:val="FF0000"/>
        </w:rPr>
        <w:t>X</w:t>
      </w:r>
      <w:r w:rsidRPr="001449A9">
        <w:rPr>
          <w:color w:val="auto"/>
        </w:rPr>
        <w:t xml:space="preserve"> år etter tildelingstidspunktet.</w:t>
      </w:r>
    </w:p>
    <w:p w:rsidR="00230C7D" w:rsidRPr="001449A9" w:rsidRDefault="00230C7D" w:rsidP="00230C7D">
      <w:pPr>
        <w:pStyle w:val="Brdtekst"/>
        <w:snapToGrid w:val="0"/>
        <w:ind w:left="709"/>
        <w:rPr>
          <w:color w:val="auto"/>
        </w:rPr>
      </w:pPr>
    </w:p>
    <w:p w:rsidR="00230C7D" w:rsidRPr="001449A9" w:rsidRDefault="00230C7D" w:rsidP="00625533">
      <w:pPr>
        <w:pStyle w:val="Brdtekst2"/>
        <w:snapToGrid w:val="0"/>
        <w:ind w:left="708"/>
        <w:rPr>
          <w:color w:val="auto"/>
        </w:rPr>
      </w:pPr>
      <w:r w:rsidRPr="001449A9">
        <w:rPr>
          <w:color w:val="auto"/>
        </w:rPr>
        <w:t xml:space="preserve">Rettighetshaver skal senest innen </w:t>
      </w:r>
      <w:r w:rsidR="00A47AC0">
        <w:rPr>
          <w:color w:val="FF0000"/>
        </w:rPr>
        <w:t>X</w:t>
      </w:r>
      <w:r w:rsidRPr="001449A9">
        <w:rPr>
          <w:color w:val="auto"/>
        </w:rPr>
        <w:t xml:space="preserve"> år fra tildelingstidspunktet skriftlig underrette departementet, med kopi til Oljedirektoratet om sin beslutning. </w:t>
      </w:r>
    </w:p>
    <w:p w:rsidR="00230C7D" w:rsidRPr="001449A9" w:rsidRDefault="00230C7D" w:rsidP="00230C7D">
      <w:pPr>
        <w:pStyle w:val="Brdtekst"/>
        <w:snapToGrid w:val="0"/>
        <w:ind w:left="709"/>
        <w:rPr>
          <w:iCs/>
          <w:color w:val="auto"/>
        </w:rPr>
      </w:pPr>
    </w:p>
    <w:p w:rsidR="00007B66" w:rsidRPr="00DD6EC3" w:rsidRDefault="00230C7D" w:rsidP="00007B66">
      <w:pPr>
        <w:pStyle w:val="Brdtekst"/>
        <w:numPr>
          <w:ilvl w:val="0"/>
          <w:numId w:val="1"/>
        </w:numPr>
        <w:tabs>
          <w:tab w:val="clear" w:pos="720"/>
        </w:tabs>
        <w:snapToGrid w:val="0"/>
        <w:ind w:left="709" w:hanging="709"/>
        <w:rPr>
          <w:color w:val="auto"/>
        </w:rPr>
      </w:pPr>
      <w:r w:rsidRPr="00DD6EC3">
        <w:rPr>
          <w:color w:val="auto"/>
          <w:szCs w:val="24"/>
        </w:rPr>
        <w:t>Rettighetshaver</w:t>
      </w:r>
      <w:r w:rsidRPr="00DD6EC3">
        <w:rPr>
          <w:color w:val="auto"/>
        </w:rPr>
        <w:t xml:space="preserve"> </w:t>
      </w:r>
      <w:r w:rsidRPr="00DD6EC3">
        <w:rPr>
          <w:color w:val="auto"/>
          <w:szCs w:val="24"/>
        </w:rPr>
        <w:t xml:space="preserve">skal innen </w:t>
      </w:r>
      <w:r w:rsidR="00A47AC0">
        <w:rPr>
          <w:color w:val="FF0000"/>
          <w:szCs w:val="24"/>
        </w:rPr>
        <w:t>X</w:t>
      </w:r>
      <w:r w:rsidRPr="00DD6EC3">
        <w:rPr>
          <w:color w:val="auto"/>
          <w:szCs w:val="24"/>
        </w:rPr>
        <w:t xml:space="preserve"> år fra tildelingstidspunktet vedta om det skal</w:t>
      </w:r>
      <w:r w:rsidRPr="00DD6EC3">
        <w:rPr>
          <w:color w:val="auto"/>
        </w:rPr>
        <w:t xml:space="preserve"> innsendes en utbyggingsplan for den/de aktuelle forekomsten(e) til departementet for godkjennelse. </w:t>
      </w:r>
      <w:r w:rsidR="00007B66" w:rsidRPr="00DD6EC3">
        <w:rPr>
          <w:color w:val="auto"/>
          <w:szCs w:val="24"/>
        </w:rPr>
        <w:t>Vedtak om innsendelse av utbyggingsplan fattes i medhold av Avtale for petroleumsvirksomhet, Spesielle bestemmelser, artikkel 3.2</w:t>
      </w:r>
      <w:r w:rsidR="00023460" w:rsidRPr="00DD6EC3">
        <w:rPr>
          <w:color w:val="auto"/>
          <w:szCs w:val="24"/>
        </w:rPr>
        <w:t>.</w:t>
      </w:r>
    </w:p>
    <w:p w:rsidR="00007B66" w:rsidRPr="001449A9" w:rsidRDefault="00007B66" w:rsidP="00007B66">
      <w:pPr>
        <w:pStyle w:val="Brdtekst"/>
        <w:snapToGrid w:val="0"/>
        <w:ind w:left="709"/>
        <w:rPr>
          <w:color w:val="auto"/>
        </w:rPr>
      </w:pPr>
      <w:r w:rsidRPr="001449A9">
        <w:rPr>
          <w:color w:val="auto"/>
        </w:rPr>
        <w:lastRenderedPageBreak/>
        <w:t xml:space="preserve">Dersom det ikke fattes vedtak om innsendelse av en utbyggingsplan for den/de aktuelle forekomstene, men én eller flere rettighetshavere likevel ønsker å sende inn utbyggingsplan, </w:t>
      </w:r>
      <w:r w:rsidRPr="001449A9">
        <w:rPr>
          <w:iCs/>
          <w:color w:val="auto"/>
        </w:rPr>
        <w:t xml:space="preserve">må den/de berørte andeler enten overtas av en utenforstående tredjemann eller av den/de øvrige rettighetshavere for å sikre 100 % deltakelse i utvinningstillatelsen. </w:t>
      </w:r>
      <w:r w:rsidRPr="001449A9">
        <w:rPr>
          <w:color w:val="auto"/>
        </w:rPr>
        <w:t xml:space="preserve">Artikkel 24 om uttreden i Avtale for petroleumsvirksomhet, Vedlegg A gjelder tilsvarende så langt den passer. </w:t>
      </w:r>
    </w:p>
    <w:p w:rsidR="00007B66" w:rsidRPr="001449A9" w:rsidRDefault="00007B66" w:rsidP="00007B66">
      <w:pPr>
        <w:pStyle w:val="Brdtekst"/>
        <w:snapToGrid w:val="0"/>
        <w:ind w:left="709"/>
        <w:rPr>
          <w:color w:val="auto"/>
        </w:rPr>
      </w:pPr>
      <w:r w:rsidRPr="001449A9">
        <w:rPr>
          <w:iCs/>
          <w:color w:val="auto"/>
        </w:rPr>
        <w:t>Såfremt andelen ikke overtas av en utenforstående tredjemann eller av den/de øvrige rettighetshavere, anses vedtak om innsendelse av utbyggingsplan ikke fattet</w:t>
      </w:r>
      <w:r w:rsidR="00023460" w:rsidRPr="001449A9">
        <w:rPr>
          <w:iCs/>
          <w:color w:val="auto"/>
        </w:rPr>
        <w:t xml:space="preserve">. </w:t>
      </w:r>
      <w:r w:rsidRPr="001449A9">
        <w:rPr>
          <w:color w:val="auto"/>
        </w:rPr>
        <w:t>Et eventuelt operatørskifte er betinget av departementets godkjennelse etter petroleumsloven § 3-7.</w:t>
      </w:r>
    </w:p>
    <w:p w:rsidR="00007B66" w:rsidRPr="001449A9" w:rsidRDefault="00007B66" w:rsidP="00007B66">
      <w:pPr>
        <w:pStyle w:val="Brdtekst"/>
        <w:snapToGrid w:val="0"/>
        <w:ind w:left="709"/>
        <w:rPr>
          <w:color w:val="auto"/>
        </w:rPr>
      </w:pPr>
    </w:p>
    <w:p w:rsidR="00007B66" w:rsidRPr="001449A9" w:rsidRDefault="00007B66" w:rsidP="00007B66">
      <w:pPr>
        <w:pStyle w:val="Brdtekst2"/>
        <w:snapToGrid w:val="0"/>
        <w:ind w:left="708"/>
        <w:rPr>
          <w:color w:val="auto"/>
          <w:szCs w:val="24"/>
        </w:rPr>
      </w:pPr>
      <w:r w:rsidRPr="001449A9">
        <w:rPr>
          <w:color w:val="auto"/>
          <w:szCs w:val="24"/>
        </w:rPr>
        <w:t xml:space="preserve">En endringsavtale til Avtale </w:t>
      </w:r>
      <w:r w:rsidR="007B5D96">
        <w:rPr>
          <w:color w:val="auto"/>
          <w:szCs w:val="24"/>
        </w:rPr>
        <w:t>for</w:t>
      </w:r>
      <w:r w:rsidRPr="001449A9">
        <w:rPr>
          <w:color w:val="auto"/>
          <w:szCs w:val="24"/>
        </w:rPr>
        <w:t xml:space="preserve"> petroleumsvirksomhet, Spesielle bestemmelser som reflekterer en rettighetshavers uttreden og et eventuelt operatørskifte skal oversendes departementet for godkjennelse så snart som mulig, jfr. artikkel 8 i Avtale </w:t>
      </w:r>
      <w:r w:rsidR="007B5D96">
        <w:rPr>
          <w:color w:val="auto"/>
          <w:szCs w:val="24"/>
        </w:rPr>
        <w:t>for</w:t>
      </w:r>
      <w:r w:rsidRPr="001449A9">
        <w:rPr>
          <w:color w:val="auto"/>
          <w:szCs w:val="24"/>
        </w:rPr>
        <w:t xml:space="preserve"> petroleumsvirksomhet, Spesielle bestemmelser. </w:t>
      </w:r>
    </w:p>
    <w:p w:rsidR="00007B66" w:rsidRPr="001449A9" w:rsidRDefault="00007B66" w:rsidP="00007B66">
      <w:pPr>
        <w:pStyle w:val="Brdtekst"/>
        <w:snapToGrid w:val="0"/>
        <w:ind w:left="709"/>
        <w:rPr>
          <w:color w:val="auto"/>
        </w:rPr>
      </w:pPr>
    </w:p>
    <w:p w:rsidR="00230C7D" w:rsidRPr="001449A9" w:rsidRDefault="00230C7D" w:rsidP="00230C7D">
      <w:pPr>
        <w:pStyle w:val="Brdtekst"/>
        <w:snapToGrid w:val="0"/>
        <w:ind w:left="709"/>
        <w:rPr>
          <w:color w:val="auto"/>
        </w:rPr>
      </w:pPr>
      <w:r w:rsidRPr="001449A9">
        <w:rPr>
          <w:color w:val="auto"/>
        </w:rPr>
        <w:t xml:space="preserve">Dersom utbyggingsplan ikke innsendes, vil utvinningstillatelsen bortfalle i sin helhet </w:t>
      </w:r>
      <w:r w:rsidR="00A47AC0">
        <w:rPr>
          <w:color w:val="FF0000"/>
        </w:rPr>
        <w:t>X</w:t>
      </w:r>
      <w:r w:rsidRPr="001449A9">
        <w:rPr>
          <w:color w:val="auto"/>
        </w:rPr>
        <w:t xml:space="preserve"> år etter tildelingstidspunktet.</w:t>
      </w:r>
    </w:p>
    <w:p w:rsidR="00230C7D" w:rsidRPr="001449A9" w:rsidRDefault="00230C7D" w:rsidP="00230C7D">
      <w:pPr>
        <w:pStyle w:val="Brdtekst"/>
        <w:snapToGrid w:val="0"/>
        <w:rPr>
          <w:color w:val="auto"/>
          <w:szCs w:val="24"/>
        </w:rPr>
      </w:pPr>
    </w:p>
    <w:p w:rsidR="00230C7D" w:rsidRPr="001449A9" w:rsidRDefault="00230C7D" w:rsidP="00DD6EC3">
      <w:pPr>
        <w:pStyle w:val="Brdtekst"/>
        <w:numPr>
          <w:ilvl w:val="0"/>
          <w:numId w:val="1"/>
        </w:numPr>
        <w:tabs>
          <w:tab w:val="left" w:pos="993"/>
        </w:tabs>
        <w:snapToGrid w:val="0"/>
        <w:ind w:hanging="720"/>
        <w:rPr>
          <w:color w:val="auto"/>
          <w:szCs w:val="24"/>
        </w:rPr>
      </w:pPr>
      <w:r w:rsidRPr="001449A9">
        <w:rPr>
          <w:color w:val="auto"/>
          <w:szCs w:val="24"/>
        </w:rPr>
        <w:t>Ved eventuell søknad om endring av arbeidsforpliktelsen, skal rettighetshaver oversende Oljedirektoratet kopi av all dokumentasjon som er nødvendig for å vurdere søknaden.</w:t>
      </w:r>
    </w:p>
    <w:p w:rsidR="00230C7D" w:rsidRPr="001449A9" w:rsidRDefault="00230C7D" w:rsidP="00230C7D">
      <w:pPr>
        <w:widowControl w:val="0"/>
        <w:tabs>
          <w:tab w:val="left" w:pos="1080"/>
          <w:tab w:val="left" w:pos="2160"/>
          <w:tab w:val="left" w:pos="3240"/>
          <w:tab w:val="left" w:pos="4320"/>
          <w:tab w:val="left" w:pos="5400"/>
          <w:tab w:val="left" w:pos="6480"/>
          <w:tab w:val="left" w:pos="7560"/>
          <w:tab w:val="left" w:pos="8640"/>
        </w:tabs>
        <w:ind w:left="709" w:hanging="709"/>
        <w:rPr>
          <w:rFonts w:ascii="DepCentury Old Style" w:hAnsi="DepCentury Old Style"/>
          <w:sz w:val="24"/>
          <w:szCs w:val="24"/>
        </w:rPr>
      </w:pPr>
    </w:p>
    <w:p w:rsidR="00230C7D" w:rsidRDefault="00230C7D" w:rsidP="00230C7D">
      <w:pPr>
        <w:widowControl w:val="0"/>
        <w:numPr>
          <w:ilvl w:val="0"/>
          <w:numId w:val="1"/>
        </w:numPr>
        <w:tabs>
          <w:tab w:val="clear" w:pos="720"/>
          <w:tab w:val="left" w:pos="709"/>
          <w:tab w:val="left" w:pos="2160"/>
          <w:tab w:val="left" w:pos="3240"/>
          <w:tab w:val="left" w:pos="4320"/>
          <w:tab w:val="left" w:pos="5400"/>
          <w:tab w:val="left" w:pos="6480"/>
          <w:tab w:val="left" w:pos="7560"/>
          <w:tab w:val="left" w:pos="8640"/>
        </w:tabs>
        <w:ind w:left="709" w:hanging="709"/>
        <w:rPr>
          <w:rFonts w:ascii="DepCentury Old Style" w:hAnsi="DepCentury Old Style"/>
          <w:sz w:val="24"/>
          <w:szCs w:val="24"/>
        </w:rPr>
      </w:pPr>
      <w:r w:rsidRPr="001449A9">
        <w:rPr>
          <w:rFonts w:ascii="DepCentury Old Style" w:hAnsi="DepCentury Old Style"/>
          <w:sz w:val="24"/>
          <w:szCs w:val="24"/>
        </w:rPr>
        <w:t>Ved en eventuell boring skal rettighetshaver foreta kjerneboringer og andre prøver eller registreringer som Oljedirektoratet anser nødvendig for evaluering av eventuelle forekomster. Det skal legges spesiell vekt på kjerneboring i alle prospektive intervaller. Prøvetakingen skal følges opp av grundige analyser og tolkninger.</w:t>
      </w:r>
    </w:p>
    <w:p w:rsidR="00DD6EC3" w:rsidRDefault="00DD6EC3" w:rsidP="00DD6EC3">
      <w:pPr>
        <w:pStyle w:val="Listeavsnitt"/>
        <w:rPr>
          <w:rFonts w:ascii="DepCentury Old Style" w:hAnsi="DepCentury Old Style"/>
          <w:sz w:val="24"/>
          <w:szCs w:val="24"/>
        </w:rPr>
      </w:pPr>
    </w:p>
    <w:p w:rsidR="00230C7D" w:rsidRPr="001449A9" w:rsidRDefault="00230C7D" w:rsidP="00230C7D">
      <w:pPr>
        <w:widowControl w:val="0"/>
        <w:numPr>
          <w:ilvl w:val="0"/>
          <w:numId w:val="1"/>
        </w:numPr>
        <w:tabs>
          <w:tab w:val="clear" w:pos="720"/>
          <w:tab w:val="left" w:pos="709"/>
          <w:tab w:val="left" w:pos="2160"/>
          <w:tab w:val="left" w:pos="3240"/>
          <w:tab w:val="left" w:pos="4320"/>
          <w:tab w:val="left" w:pos="5400"/>
          <w:tab w:val="left" w:pos="6480"/>
          <w:tab w:val="left" w:pos="7560"/>
          <w:tab w:val="left" w:pos="8640"/>
        </w:tabs>
        <w:ind w:left="709" w:hanging="709"/>
        <w:rPr>
          <w:rFonts w:ascii="DepCentury Old Style" w:hAnsi="DepCentury Old Style"/>
          <w:sz w:val="24"/>
        </w:rPr>
      </w:pPr>
      <w:r w:rsidRPr="001449A9">
        <w:rPr>
          <w:rFonts w:ascii="DepCentury Old Style" w:hAnsi="DepCentury Old Style"/>
          <w:sz w:val="24"/>
        </w:rPr>
        <w:t>Undersøkelsesbrønn er definert som en brønn som undersøker en klart definert geologisk enhet (avgrenset etter ett eller flere av følgende kriterier: struktur, litologi, facies eller trykk) og som i den vedtatte boreposisjon gjennomborer alle prospektive intervaller som ligger innenfor arbeidsforpliktelsen som definert ovenfor. Dersom rettighetshaver ønsker å få en brønn godkjent som undersøkelsesbrønn, kan godkjennelse innhentes fra Oljedirektoratet på forhånd. Det forutsettes at relevante data og tolkninger følger søknaden, og at boringen blir gjennomført som planlagt.</w:t>
      </w:r>
    </w:p>
    <w:p w:rsidR="00230C7D" w:rsidRPr="001449A9" w:rsidRDefault="00230C7D" w:rsidP="00230C7D">
      <w:pPr>
        <w:widowControl w:val="0"/>
        <w:tabs>
          <w:tab w:val="left" w:pos="2160"/>
          <w:tab w:val="left" w:pos="3240"/>
          <w:tab w:val="left" w:pos="4320"/>
          <w:tab w:val="left" w:pos="5400"/>
          <w:tab w:val="left" w:pos="6480"/>
          <w:tab w:val="left" w:pos="7560"/>
          <w:tab w:val="left" w:pos="8640"/>
        </w:tabs>
        <w:rPr>
          <w:rFonts w:ascii="DepCentury Old Style" w:hAnsi="DepCentury Old Style"/>
          <w:sz w:val="24"/>
        </w:rPr>
      </w:pPr>
    </w:p>
    <w:p w:rsidR="00230C7D" w:rsidRPr="001449A9" w:rsidRDefault="00230C7D" w:rsidP="00230C7D">
      <w:pPr>
        <w:widowControl w:val="0"/>
        <w:numPr>
          <w:ilvl w:val="0"/>
          <w:numId w:val="1"/>
        </w:numPr>
        <w:tabs>
          <w:tab w:val="clear" w:pos="720"/>
          <w:tab w:val="left" w:pos="709"/>
          <w:tab w:val="left" w:pos="2160"/>
          <w:tab w:val="left" w:pos="3240"/>
          <w:tab w:val="left" w:pos="4320"/>
          <w:tab w:val="left" w:pos="5400"/>
          <w:tab w:val="left" w:pos="6480"/>
          <w:tab w:val="left" w:pos="7560"/>
          <w:tab w:val="left" w:pos="8640"/>
        </w:tabs>
        <w:ind w:left="709" w:hanging="709"/>
        <w:rPr>
          <w:rFonts w:ascii="DepCentury Old Style" w:hAnsi="DepCentury Old Style"/>
          <w:sz w:val="24"/>
        </w:rPr>
      </w:pPr>
      <w:r w:rsidRPr="001449A9">
        <w:rPr>
          <w:rFonts w:ascii="DepCentury Old Style" w:hAnsi="DepCentury Old Style"/>
          <w:sz w:val="24"/>
        </w:rPr>
        <w:t>Når områder som er omfattet av utvinningstillatelsen oppgis eller t</w:t>
      </w:r>
      <w:r w:rsidR="00AB7BE9" w:rsidRPr="001449A9">
        <w:rPr>
          <w:rFonts w:ascii="DepCentury Old Style" w:hAnsi="DepCentury Old Style"/>
          <w:sz w:val="24"/>
        </w:rPr>
        <w:t xml:space="preserve">ilbakeleveres etter </w:t>
      </w:r>
      <w:r w:rsidR="00AB7BE9" w:rsidRPr="00465C29">
        <w:rPr>
          <w:rFonts w:ascii="DepCentury Old Style" w:hAnsi="DepCentury Old Style"/>
          <w:color w:val="FF0000"/>
          <w:sz w:val="24"/>
        </w:rPr>
        <w:t>punkt b) - e</w:t>
      </w:r>
      <w:r w:rsidRPr="00465C29">
        <w:rPr>
          <w:rFonts w:ascii="DepCentury Old Style" w:hAnsi="DepCentury Old Style"/>
          <w:color w:val="FF0000"/>
          <w:sz w:val="24"/>
        </w:rPr>
        <w:t xml:space="preserve">) </w:t>
      </w:r>
      <w:r w:rsidRPr="001449A9">
        <w:rPr>
          <w:rFonts w:ascii="DepCentury Old Style" w:hAnsi="DepCentury Old Style"/>
          <w:sz w:val="24"/>
        </w:rPr>
        <w:t xml:space="preserve">skal rettighetshaver sende Oljedirektoratet en statusrapport for de områder som tilbakeleveres senest tre måneder etter tilbakelevering. Statusrapporten skal oppsummere eventuelle innsamlede data, utførte studier samt resultatene av disse og gi en oversikt over prospektiviteten i området som tilbakeleveres. </w:t>
      </w:r>
    </w:p>
    <w:p w:rsidR="00DA6CC8" w:rsidRPr="001449A9" w:rsidRDefault="00DA6CC8" w:rsidP="00735760">
      <w:pPr>
        <w:rPr>
          <w:rFonts w:ascii="DepCentury Old Style" w:hAnsi="DepCentury Old Style"/>
          <w:sz w:val="24"/>
        </w:rPr>
      </w:pPr>
    </w:p>
    <w:p w:rsidR="005C4A72" w:rsidRPr="0022497E" w:rsidRDefault="005C4A72" w:rsidP="005C4A72">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lang w:eastAsia="en-US"/>
        </w:rPr>
      </w:pPr>
      <w:r w:rsidRPr="001449A9">
        <w:rPr>
          <w:rFonts w:ascii="DepCentury Old Style" w:hAnsi="DepCentury Old Style"/>
          <w:b/>
          <w:sz w:val="24"/>
          <w:szCs w:val="24"/>
          <w:lang w:eastAsia="en-US"/>
        </w:rPr>
        <w:lastRenderedPageBreak/>
        <w:t>5.  DIVERSE VILKÅR</w:t>
      </w:r>
      <w:r w:rsidR="0022497E">
        <w:rPr>
          <w:rFonts w:ascii="DepCentury Old Style" w:hAnsi="DepCentury Old Style"/>
          <w:b/>
          <w:sz w:val="24"/>
          <w:szCs w:val="24"/>
          <w:lang w:eastAsia="en-US"/>
        </w:rPr>
        <w:t xml:space="preserve"> </w:t>
      </w:r>
    </w:p>
    <w:p w:rsidR="005C4A72" w:rsidRPr="001449A9" w:rsidRDefault="005C4A72" w:rsidP="005C4A72">
      <w:pPr>
        <w:rPr>
          <w:rFonts w:ascii="DepCentury Old Style" w:hAnsi="DepCentury Old Style"/>
          <w:sz w:val="24"/>
          <w:szCs w:val="24"/>
          <w:lang w:eastAsia="en-US"/>
        </w:rPr>
      </w:pPr>
    </w:p>
    <w:p w:rsidR="005C4A72" w:rsidRPr="001449A9" w:rsidRDefault="005C4A72" w:rsidP="005C4A72">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rPr>
          <w:rFonts w:ascii="DepCentury Old Style" w:hAnsi="DepCentury Old Style"/>
          <w:sz w:val="24"/>
          <w:szCs w:val="24"/>
          <w:lang w:eastAsia="en-US"/>
        </w:rPr>
      </w:pPr>
      <w:r w:rsidRPr="001449A9">
        <w:rPr>
          <w:rFonts w:ascii="DepCentury Old Style" w:hAnsi="DepCentury Old Style"/>
          <w:sz w:val="24"/>
          <w:szCs w:val="24"/>
          <w:lang w:eastAsia="en-US"/>
        </w:rPr>
        <w:t>Rettighetshaver kan pålegges å bruke baser utpekt av departementet.</w:t>
      </w:r>
    </w:p>
    <w:p w:rsidR="005C4A72" w:rsidRPr="001449A9" w:rsidRDefault="005C4A72" w:rsidP="005C4A72">
      <w:pPr>
        <w:rPr>
          <w:rFonts w:ascii="DepCentury Old Style" w:hAnsi="DepCentury Old Style"/>
          <w:sz w:val="24"/>
          <w:szCs w:val="24"/>
          <w:lang w:eastAsia="en-US"/>
        </w:rPr>
      </w:pPr>
    </w:p>
    <w:p w:rsidR="005C4A72" w:rsidRPr="001449A9"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Det må tas særlige hensyn til fiskeriaktiviteten og forekomst av marine organismer under planleggingen av boreaktiviteten. I forkant av leteboringer skal det iverksettes tiltak for å informere berørte interesser.</w:t>
      </w:r>
    </w:p>
    <w:p w:rsidR="005C4A72" w:rsidRPr="001449A9" w:rsidRDefault="005C4A72" w:rsidP="005C4A72">
      <w:pPr>
        <w:rPr>
          <w:rFonts w:ascii="DepCentury Old Style" w:hAnsi="DepCentury Old Style"/>
          <w:sz w:val="24"/>
          <w:szCs w:val="24"/>
          <w:lang w:eastAsia="en-US"/>
        </w:rPr>
      </w:pPr>
    </w:p>
    <w:p w:rsidR="005C4A72" w:rsidRPr="001449A9"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 xml:space="preserve">Ved planleggingen av seismiske aktiviteter skal rettighetshaverne ta særlig hensyn til fiskeriaktivitetene og til forekomst av kritiske stadier av marine organismer når programmene utformes. </w:t>
      </w:r>
    </w:p>
    <w:p w:rsidR="005C4A72" w:rsidRPr="001449A9" w:rsidRDefault="005C4A72" w:rsidP="005C4A72">
      <w:pPr>
        <w:rPr>
          <w:rFonts w:ascii="DepCentury Old Style" w:hAnsi="DepCentury Old Style"/>
          <w:sz w:val="24"/>
          <w:szCs w:val="24"/>
          <w:lang w:eastAsia="en-US"/>
        </w:rPr>
      </w:pPr>
    </w:p>
    <w:p w:rsidR="005C4A72" w:rsidRPr="001449A9" w:rsidRDefault="005C4A72" w:rsidP="005C4A72">
      <w:pPr>
        <w:rPr>
          <w:rFonts w:ascii="DepCentury Old Style" w:hAnsi="DepCentury Old Style"/>
          <w:bCs/>
          <w:sz w:val="24"/>
          <w:szCs w:val="24"/>
          <w:lang w:eastAsia="en-US"/>
        </w:rPr>
      </w:pPr>
      <w:r w:rsidRPr="001449A9">
        <w:rPr>
          <w:rFonts w:ascii="DepCentury Old Style" w:hAnsi="DepCentury Old Style"/>
          <w:sz w:val="24"/>
          <w:szCs w:val="24"/>
          <w:lang w:eastAsia="en-US"/>
        </w:rPr>
        <w:t xml:space="preserve">Rettighetshaverne pålegges å foreta nødvendig kartlegging av eventuelle forekomster av korallrev og andre verdifulle bunnsamfunn herunder viktige tobishabitater som kan bli berørt ved petroleumsaktivitet i de aktuelle blokkene, og å sikre at slike eventuelle forekomster ikke nedslammes eller skades av petroleumsaktiviteten.   Kartleggingen av sjøbunnen skal gjennomføres på et format som kan gå inn i MAREANO før igangsetting av virksomhet i aktuelle blokker. Det kan stilles særskilte krav for å unngå skade på slike forekomster. </w:t>
      </w:r>
      <w:r w:rsidRPr="001449A9">
        <w:rPr>
          <w:rFonts w:ascii="DepCentury Old Style" w:hAnsi="DepCentury Old Style"/>
          <w:bCs/>
          <w:sz w:val="24"/>
          <w:szCs w:val="24"/>
          <w:lang w:eastAsia="en-US"/>
        </w:rPr>
        <w:t>Det vises til Mareano [www.mareano.no] for informasjon om påviste korallrev på norsk kontinentalsokkel.</w:t>
      </w:r>
    </w:p>
    <w:p w:rsidR="005C4A72" w:rsidRPr="001449A9" w:rsidRDefault="005C4A72" w:rsidP="005C4A72">
      <w:pPr>
        <w:rPr>
          <w:rFonts w:ascii="DepCentury Old Style" w:hAnsi="DepCentury Old Style"/>
          <w:sz w:val="24"/>
          <w:szCs w:val="24"/>
          <w:lang w:eastAsia="en-US"/>
        </w:rPr>
      </w:pPr>
    </w:p>
    <w:p w:rsidR="005C4A72"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Rettighetshaverne pålegges å kartlegge og rapportere funn av skipsvrak og andre kulturminner som kan bli berørt ved aktivitet i de aktuelle blokkene og, i samarbeid med kulturminneforvaltningen, sikre at eventuelle kulturminner ikke skades av petroleumsaktiviteten.</w:t>
      </w:r>
    </w:p>
    <w:p w:rsidR="008C5079" w:rsidRPr="001449A9" w:rsidRDefault="008C5079" w:rsidP="005C4A72">
      <w:pPr>
        <w:rPr>
          <w:rFonts w:ascii="DepCentury Old Style" w:hAnsi="DepCentury Old Style"/>
          <w:sz w:val="24"/>
          <w:szCs w:val="24"/>
          <w:lang w:eastAsia="en-US"/>
        </w:rPr>
      </w:pPr>
    </w:p>
    <w:p w:rsidR="005C4A72"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 xml:space="preserve">Operatøren skal på vegne av interessentskapet søke Miljødirektoratet (MDir) om tillatelse til virksomhet i god tid før planlagt aktivitet. </w:t>
      </w:r>
    </w:p>
    <w:p w:rsidR="008C5079" w:rsidRPr="001449A9" w:rsidRDefault="008C5079" w:rsidP="005C4A72">
      <w:pPr>
        <w:rPr>
          <w:rFonts w:ascii="DepCentury Old Style" w:hAnsi="DepCentury Old Style"/>
          <w:sz w:val="24"/>
          <w:szCs w:val="24"/>
          <w:lang w:eastAsia="en-US"/>
        </w:rPr>
      </w:pPr>
    </w:p>
    <w:p w:rsidR="005C4A72" w:rsidRPr="001449A9"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 xml:space="preserve">I samsvar med nullutslippsmålet slik det er definert i Meld. St. nr. 28 (2010-2011) skal det som hovedregel ikke slippes ut miljøfarlige stoffer til sjø. Det er videre et mål å minimere risiko for miljøskade forårsaket av utslipp av andre kjemiske stoffer. Nullutslippsmålet gjelder for alle operasjoner offshore, både bore- og brønnoperasjoner, produksjon og utslipp fra rørledninger. For hvert enkelt felt skal det ved valg av tiltak for å oppnå nullutslippsmålet foretas en helhetsvurdering av flere forhold, herunder miljømessige konsekvenser, sikkerhetsmessige forhold, reservoarmessige forhold og kostnadsmessige forhold. For en slik vurdering av tiltak vises det til konsekvensutredningen som i henhold til petroleumsloven skal gjennomføres som en del av plan for utbygging og drift. </w:t>
      </w:r>
    </w:p>
    <w:p w:rsidR="005C4A72" w:rsidRPr="001449A9" w:rsidRDefault="005C4A72" w:rsidP="005C4A72">
      <w:pPr>
        <w:keepNext/>
        <w:keepLines/>
        <w:spacing w:before="200"/>
        <w:outlineLvl w:val="4"/>
        <w:rPr>
          <w:rFonts w:ascii="DepCentury Old Style" w:eastAsiaTheme="majorEastAsia" w:hAnsi="DepCentury Old Style" w:cstheme="majorBidi"/>
          <w:sz w:val="24"/>
          <w:szCs w:val="24"/>
          <w:lang w:eastAsia="en-US"/>
        </w:rPr>
      </w:pPr>
      <w:r w:rsidRPr="001449A9">
        <w:rPr>
          <w:rFonts w:ascii="DepCentury Old Style" w:eastAsiaTheme="majorEastAsia" w:hAnsi="DepCentury Old Style" w:cstheme="majorBidi"/>
          <w:sz w:val="24"/>
          <w:szCs w:val="24"/>
          <w:lang w:eastAsia="en-US"/>
        </w:rPr>
        <w:lastRenderedPageBreak/>
        <w:t>Krav til beredskap mot akutt forurensning er fastsatt i medhold av forurensningsloven og underliggende forskrifter og HMS-regelverket når det foreligger konkrete planer for gjennomføring av bore- og brønnaktiviteter. Samtykke til gjennomføringen er blant annet knyttet til beredskapskrav. Omfanget av beredskapskravene avgjøres blant annet av nærhet til land, spesielt miljøfølsomme områder og andre næringsinteresser. I medhold av gjeldende regelverk vil det i de mest kystnære områdene måtte gjennomføres mer omfattende beredskapstiltak ved eventuell leting eller produksjon.</w:t>
      </w:r>
    </w:p>
    <w:p w:rsidR="005C4A72" w:rsidRPr="001449A9" w:rsidRDefault="005C4A72" w:rsidP="005C4A72">
      <w:pPr>
        <w:rPr>
          <w:rFonts w:ascii="DepCentury Old Style" w:hAnsi="DepCentury Old Style"/>
          <w:sz w:val="24"/>
          <w:szCs w:val="24"/>
          <w:lang w:eastAsia="en-US"/>
        </w:rPr>
      </w:pPr>
    </w:p>
    <w:p w:rsidR="005C4A72" w:rsidRPr="001449A9"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For å møte alle typer utfordringer uavhengig av naturgitte og operasjonelle forhold, har myndighetene i samarbeid med partene i arbeidslivet og næringen utviklet et omfattende HMS-regelverk som stiller krav til sikkerhet og styring. For å sikre forsvarlig petroleumsvirksomhet er det viktig at relevante operasjonelle usikkerhets- og risikofaktorer er godt forstått og ivaretatt før leteboring og utbygging skjer.</w:t>
      </w:r>
    </w:p>
    <w:p w:rsidR="005C4A72" w:rsidRPr="001449A9" w:rsidRDefault="005C4A72" w:rsidP="005C4A72">
      <w:pPr>
        <w:rPr>
          <w:rFonts w:ascii="DepCentury Old Style" w:hAnsi="DepCentury Old Style"/>
          <w:sz w:val="24"/>
          <w:szCs w:val="24"/>
          <w:lang w:eastAsia="en-US"/>
        </w:rPr>
      </w:pPr>
    </w:p>
    <w:p w:rsidR="005C4A72" w:rsidRPr="001449A9"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Operatøren skal gjennom risikoanalysen, jf. Forskrift om styring i petroleumsvirksomheten av 3. september 2001, synliggjøre de miljøvurderinger som ligger til grunn for dimensjonering av beredskap mot akutt forurensning, jf. Forskrift om utføring av aktiviteten i petroleumsvirksomheten av 3. september 2001, og for iverksettelse av sannsynlighetsreduserende tiltak. Miljøvurderingen skal også omfatte en vurdering av konsekvensene av de operasjonelle utslippene under leteboring.</w:t>
      </w:r>
    </w:p>
    <w:p w:rsidR="005C4A72" w:rsidRPr="001449A9"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 xml:space="preserve"> </w:t>
      </w:r>
    </w:p>
    <w:p w:rsidR="005C4A72" w:rsidRPr="001449A9"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I tråd med St. meld. nr. 38 (2001-2002) forventes det at industrien fortsatt vil bidra til den biologiske overvåkingen av levende marine organismer for å kartlegge mulige effekter av petroleumsvirksomheten.</w:t>
      </w:r>
    </w:p>
    <w:p w:rsidR="005C4A72" w:rsidRPr="001449A9" w:rsidRDefault="005C4A72" w:rsidP="005C4A72">
      <w:pPr>
        <w:rPr>
          <w:rFonts w:ascii="DepCentury Old Style" w:hAnsi="DepCentury Old Style"/>
          <w:sz w:val="24"/>
          <w:szCs w:val="24"/>
          <w:lang w:eastAsia="en-US"/>
        </w:rPr>
      </w:pPr>
    </w:p>
    <w:p w:rsidR="005C4A72" w:rsidRPr="001449A9"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 xml:space="preserve">Regjeringen ser et fortsatt behov for å bedre kunnskapen om forekomst av sjøfugl i områder som kan påvirkes av utslipp fra petroleumsvirksomheten. Det forventes at industrien vil bidra til kartleggingen av sjøfugl i Nordsjøen og Norskehavet i forbindelse med konsekvensutredninger som følger med eventuelle planer for utbygging og drift for nye selvstendige utbygginger i dette området. </w:t>
      </w:r>
    </w:p>
    <w:p w:rsidR="005C4A72" w:rsidRPr="001449A9" w:rsidRDefault="005C4A72" w:rsidP="005C4A72">
      <w:pPr>
        <w:rPr>
          <w:rFonts w:ascii="DepCentury Old Style" w:hAnsi="DepCentury Old Style"/>
          <w:sz w:val="24"/>
          <w:szCs w:val="24"/>
          <w:lang w:eastAsia="en-US"/>
        </w:rPr>
      </w:pPr>
    </w:p>
    <w:p w:rsidR="00DA6CC8" w:rsidRDefault="005C4A72" w:rsidP="005C4A72">
      <w:pPr>
        <w:rPr>
          <w:rFonts w:ascii="DepCentury Old Style" w:hAnsi="DepCentury Old Style"/>
          <w:sz w:val="24"/>
          <w:szCs w:val="24"/>
          <w:lang w:eastAsia="en-US"/>
        </w:rPr>
      </w:pPr>
      <w:r w:rsidRPr="001449A9">
        <w:rPr>
          <w:rFonts w:ascii="DepCentury Old Style" w:hAnsi="DepCentury Old Style"/>
          <w:sz w:val="24"/>
          <w:szCs w:val="24"/>
          <w:lang w:eastAsia="en-US"/>
        </w:rPr>
        <w:t>På norsk kontinentalsokkel er det etablert et trafikkseparasjonssystem som er godkjent av FNs skipsfartsorganisasjon IMO. Ved petroleumsaktivitet i eller i nærheten av slike geografisk bestemte trafikkseparasjonssystemer må rettighetshaverne i god tid før aktiviteten finner sted avklare den planlagte aktiviteten med Kystverket for å sikre ivaretakelsen av sjøsikkerheten.</w:t>
      </w:r>
    </w:p>
    <w:p w:rsidR="00CB640B" w:rsidRPr="001449A9" w:rsidRDefault="00CB640B" w:rsidP="005C4A72">
      <w:pPr>
        <w:rPr>
          <w:rFonts w:ascii="DepCentury Old Style" w:hAnsi="DepCentury Old Style"/>
          <w:sz w:val="24"/>
          <w:szCs w:val="24"/>
          <w:lang w:eastAsia="en-US"/>
        </w:rPr>
      </w:pPr>
    </w:p>
    <w:p w:rsidR="008C5079" w:rsidRPr="0022497E" w:rsidRDefault="008C5079" w:rsidP="008C5079">
      <w:pPr>
        <w:keepNext/>
        <w:keepLines/>
        <w:spacing w:before="200"/>
        <w:outlineLvl w:val="4"/>
        <w:rPr>
          <w:rFonts w:ascii="DepCentury Old Style" w:eastAsiaTheme="majorEastAsia" w:hAnsi="DepCentury Old Style" w:cstheme="majorBidi"/>
          <w:b/>
          <w:color w:val="FF0000"/>
          <w:sz w:val="24"/>
          <w:szCs w:val="24"/>
          <w:lang w:eastAsia="en-US"/>
        </w:rPr>
      </w:pPr>
      <w:r w:rsidRPr="0022497E">
        <w:rPr>
          <w:rFonts w:ascii="DepCentury Old Style" w:eastAsiaTheme="majorEastAsia" w:hAnsi="DepCentury Old Style" w:cstheme="majorBidi"/>
          <w:b/>
          <w:color w:val="FF0000"/>
          <w:sz w:val="24"/>
          <w:szCs w:val="24"/>
          <w:lang w:eastAsia="en-US"/>
        </w:rPr>
        <w:t>Spesielle krav for Nordsjøen</w:t>
      </w:r>
    </w:p>
    <w:p w:rsidR="008C5079" w:rsidRPr="0022497E" w:rsidRDefault="008C5079" w:rsidP="008C5079">
      <w:pPr>
        <w:autoSpaceDE w:val="0"/>
        <w:autoSpaceDN w:val="0"/>
        <w:adjustRightInd w:val="0"/>
        <w:rPr>
          <w:rFonts w:ascii="DepCentury Old Style" w:hAnsi="DepCentury Old Style"/>
          <w:iCs/>
          <w:color w:val="FF0000"/>
          <w:sz w:val="24"/>
          <w:szCs w:val="24"/>
          <w:lang w:eastAsia="en-US"/>
        </w:rPr>
      </w:pPr>
    </w:p>
    <w:p w:rsidR="008C5079" w:rsidRPr="00370F04" w:rsidRDefault="008C5079" w:rsidP="008C5079">
      <w:pPr>
        <w:rPr>
          <w:rFonts w:ascii="DepCentury Old Style" w:hAnsi="DepCentury Old Style"/>
          <w:iCs/>
          <w:color w:val="FF0000"/>
          <w:sz w:val="24"/>
          <w:szCs w:val="24"/>
          <w:lang w:eastAsia="en-US"/>
        </w:rPr>
      </w:pPr>
      <w:r w:rsidRPr="00370F04">
        <w:rPr>
          <w:rFonts w:ascii="DepCentury Old Style" w:hAnsi="DepCentury Old Style"/>
          <w:iCs/>
          <w:color w:val="FF0000"/>
          <w:sz w:val="24"/>
          <w:szCs w:val="24"/>
          <w:lang w:eastAsia="en-US"/>
        </w:rPr>
        <w:t>I kystsonen fra Stad til Lista skal rettighetshaver i et belte på 25 km fra grunnlinjen sikre reell kapasitet innen kystnær beredskap og strandrensing, uten at den er basert på kommunale og statlige beredskapsressurser. HMS-regelverkets risikotilnærming innebærer at det vil kunne stilles mer omfattende beredskapstiltak i kystnære områder.</w:t>
      </w:r>
    </w:p>
    <w:p w:rsidR="008C5079" w:rsidRPr="00370F04" w:rsidRDefault="008C5079" w:rsidP="008C5079">
      <w:pPr>
        <w:rPr>
          <w:rFonts w:ascii="DepCentury Old Style" w:hAnsi="DepCentury Old Style"/>
          <w:iCs/>
          <w:color w:val="FF0000"/>
          <w:sz w:val="24"/>
          <w:szCs w:val="24"/>
          <w:lang w:eastAsia="en-US"/>
        </w:rPr>
      </w:pPr>
    </w:p>
    <w:p w:rsidR="008C5079" w:rsidRPr="00370F04" w:rsidRDefault="008C5079" w:rsidP="008C5079">
      <w:pPr>
        <w:rPr>
          <w:rFonts w:ascii="DepCentury Old Style" w:hAnsi="DepCentury Old Style"/>
          <w:iCs/>
          <w:color w:val="FF0000"/>
          <w:sz w:val="24"/>
          <w:szCs w:val="24"/>
          <w:lang w:eastAsia="en-US"/>
        </w:rPr>
      </w:pPr>
      <w:r w:rsidRPr="00370F04">
        <w:rPr>
          <w:rFonts w:ascii="DepCentury Old Style" w:hAnsi="DepCentury Old Style"/>
          <w:iCs/>
          <w:color w:val="FF0000"/>
          <w:sz w:val="24"/>
          <w:szCs w:val="24"/>
          <w:lang w:eastAsia="en-US"/>
        </w:rPr>
        <w:lastRenderedPageBreak/>
        <w:t xml:space="preserve">I deler av det forhåndsdefinerte området foregår det tidvis et aktivt fiske etter tobis, se kart http://www.npd.no/tfo2015 . Dette gjelder blokkene 2/2, 3 og 6, 3/1, 2, 3, 4 og 5, 4/1, 2 og 3, 5/1, 7/2, 3, 6 og 9, 8/1, 2, 3, 4, 5, 6, 7, og 9, 9/1, 2, 4, 5, 7, 8, 9, 11 og 12, 10/7, 8, 10, 11 og 12, 11/11 og 12, 16/11 og 12 samt 30/5, 6, 8, 9, 11 og 12. Fisket etter tobis er regulert, og hvor det er tillatt med fiske etter tobis innenfor dette området kan variere. Ved eventuelle tildelinger av disse blokkene vil det være borebegrensninger i de områder der det faktisk fiskes etter tobis i perioden fra 1. april til 30. juni. Informasjon om hvilke blokker dette gjelder for bestemte år kan fås ved henvendelse til Fiskeridirektoratet. Leteboring på og i en sone rundt tobisfeltene skal gjennomføres slik at gyting i minst mulig grad blir forstyrret og uten utslipp av borekaks slik at kvaliteten på tobisfeltene ikke forringes gjennom nedslamming fra boreaktivitet. I forbindelse med mulige feltutbygginger i området skal det brukes løsninger som i minst mulig grad endrer bunnforholdene i tobisfeltene. </w:t>
      </w:r>
    </w:p>
    <w:p w:rsidR="008C5079" w:rsidRPr="00370F04" w:rsidRDefault="008C5079" w:rsidP="008C5079">
      <w:pPr>
        <w:rPr>
          <w:rFonts w:ascii="DepCentury Old Style" w:hAnsi="DepCentury Old Style"/>
          <w:iCs/>
          <w:color w:val="FF0000"/>
          <w:sz w:val="24"/>
          <w:szCs w:val="24"/>
          <w:lang w:eastAsia="en-US"/>
        </w:rPr>
      </w:pPr>
    </w:p>
    <w:p w:rsidR="008C5079" w:rsidRPr="00370F04" w:rsidRDefault="008C5079" w:rsidP="008C5079">
      <w:pPr>
        <w:rPr>
          <w:rFonts w:ascii="DepCentury Old Style" w:hAnsi="DepCentury Old Style"/>
          <w:iCs/>
          <w:color w:val="FF0000"/>
          <w:sz w:val="24"/>
          <w:szCs w:val="24"/>
          <w:lang w:eastAsia="en-US"/>
        </w:rPr>
      </w:pPr>
      <w:r w:rsidRPr="00370F04">
        <w:rPr>
          <w:rFonts w:ascii="DepCentury Old Style" w:hAnsi="DepCentury Old Style"/>
          <w:iCs/>
          <w:color w:val="FF0000"/>
          <w:sz w:val="24"/>
          <w:szCs w:val="24"/>
          <w:lang w:eastAsia="en-US"/>
        </w:rPr>
        <w:t xml:space="preserve">I Nordsjøen utlyses blokker som er rike fiskeriområder. Dette gjelder blokkene 26/10 og 11, 17/1, 2, 5, 6, 8, 10 og 11 og 8/1, 2, 4 og 5. I forbindelse med eventuelle tildelinger i disse blokkene kan det av hensyn til fiskeriene bli satt særskilte vilkår. </w:t>
      </w:r>
    </w:p>
    <w:p w:rsidR="008C5079" w:rsidRPr="00370F04" w:rsidRDefault="008C5079" w:rsidP="008C5079">
      <w:pPr>
        <w:rPr>
          <w:rFonts w:ascii="DepCentury Old Style" w:hAnsi="DepCentury Old Style"/>
          <w:iCs/>
          <w:color w:val="FF0000"/>
          <w:sz w:val="24"/>
          <w:szCs w:val="24"/>
          <w:lang w:eastAsia="en-US"/>
        </w:rPr>
      </w:pPr>
    </w:p>
    <w:p w:rsidR="008C5079" w:rsidRPr="00370F04" w:rsidRDefault="008C5079" w:rsidP="008C5079">
      <w:pPr>
        <w:rPr>
          <w:rFonts w:ascii="DepCentury Old Style" w:hAnsi="DepCentury Old Style"/>
          <w:iCs/>
          <w:color w:val="FF0000"/>
          <w:sz w:val="24"/>
          <w:szCs w:val="24"/>
          <w:lang w:eastAsia="en-US"/>
        </w:rPr>
      </w:pPr>
      <w:r w:rsidRPr="00370F04">
        <w:rPr>
          <w:rFonts w:ascii="DepCentury Old Style" w:hAnsi="DepCentury Old Style"/>
          <w:iCs/>
          <w:color w:val="FF0000"/>
          <w:sz w:val="24"/>
          <w:szCs w:val="24"/>
          <w:lang w:eastAsia="en-US"/>
        </w:rPr>
        <w:t xml:space="preserve">I blokkene 31/10 og 11 og 26/1, 2, 4, 5, 7 og 8 foregår det et intensivt fiskeri og i dette området skal det ikke foregå mer enn en leteboring om gangen. Etter en konkret vurdering i forhold til fiskeriaktiviteten kan det gis tillatelse til ytterligere en leteboring. </w:t>
      </w:r>
    </w:p>
    <w:p w:rsidR="008C5079" w:rsidRPr="00370F04" w:rsidRDefault="008C5079" w:rsidP="008C5079">
      <w:pPr>
        <w:rPr>
          <w:rFonts w:ascii="DepCentury Old Style" w:hAnsi="DepCentury Old Style"/>
          <w:iCs/>
          <w:color w:val="FF0000"/>
          <w:sz w:val="24"/>
          <w:szCs w:val="24"/>
          <w:lang w:eastAsia="en-US"/>
        </w:rPr>
      </w:pPr>
    </w:p>
    <w:p w:rsidR="008C5079" w:rsidRPr="0022497E" w:rsidRDefault="008C5079" w:rsidP="008C5079">
      <w:pPr>
        <w:rPr>
          <w:rFonts w:ascii="DepCentury Old Style" w:hAnsi="DepCentury Old Style"/>
          <w:b/>
          <w:color w:val="FF0000"/>
          <w:sz w:val="24"/>
          <w:szCs w:val="24"/>
          <w:lang w:eastAsia="en-US"/>
        </w:rPr>
      </w:pPr>
      <w:r w:rsidRPr="00370F04">
        <w:rPr>
          <w:rFonts w:ascii="DepCentury Old Style" w:hAnsi="DepCentury Old Style"/>
          <w:iCs/>
          <w:color w:val="FF0000"/>
          <w:sz w:val="24"/>
          <w:szCs w:val="24"/>
          <w:lang w:eastAsia="en-US"/>
        </w:rPr>
        <w:t>For blokkene 33/2 og 3 og 34/1 og 2 foregår det tidvis et aktivt industritrålfiske. I dette området vil ingen leteboringer være tillatt i perioden 1. oktober til 31. mars.</w:t>
      </w:r>
    </w:p>
    <w:p w:rsidR="008C5079" w:rsidRDefault="008C5079" w:rsidP="008C5079">
      <w:pPr>
        <w:rPr>
          <w:rFonts w:ascii="DepCentury Old Style" w:hAnsi="DepCentury Old Style"/>
          <w:b/>
          <w:color w:val="FF0000"/>
          <w:sz w:val="24"/>
          <w:szCs w:val="24"/>
          <w:lang w:eastAsia="en-US"/>
        </w:rPr>
      </w:pPr>
    </w:p>
    <w:p w:rsidR="008C5079" w:rsidRPr="0022497E" w:rsidRDefault="008C5079" w:rsidP="008C5079">
      <w:pPr>
        <w:rPr>
          <w:rFonts w:ascii="DepCentury Old Style" w:hAnsi="DepCentury Old Style"/>
          <w:b/>
          <w:color w:val="FF0000"/>
          <w:sz w:val="24"/>
          <w:szCs w:val="24"/>
          <w:lang w:eastAsia="en-US"/>
        </w:rPr>
      </w:pPr>
      <w:r w:rsidRPr="0022497E">
        <w:rPr>
          <w:rFonts w:ascii="DepCentury Old Style" w:hAnsi="DepCentury Old Style"/>
          <w:b/>
          <w:color w:val="FF0000"/>
          <w:sz w:val="24"/>
          <w:szCs w:val="24"/>
          <w:lang w:eastAsia="en-US"/>
        </w:rPr>
        <w:t>Spesielle krav for Norskehavet</w:t>
      </w:r>
    </w:p>
    <w:p w:rsidR="008C5079" w:rsidRPr="0022497E" w:rsidRDefault="008C5079" w:rsidP="008C5079">
      <w:pPr>
        <w:rPr>
          <w:rFonts w:ascii="DepCentury Old Style" w:hAnsi="DepCentury Old Style"/>
          <w:b/>
          <w:color w:val="FF0000"/>
          <w:sz w:val="24"/>
          <w:szCs w:val="24"/>
          <w:lang w:eastAsia="en-US"/>
        </w:rPr>
      </w:pPr>
    </w:p>
    <w:p w:rsidR="008C5079" w:rsidRDefault="008C5079" w:rsidP="008C5079">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For Sklinnabanken, åpnet del: (6509/9,12 og 6510/7,10)</w:t>
      </w:r>
    </w:p>
    <w:p w:rsidR="008C5079" w:rsidRPr="00370F04" w:rsidRDefault="008C5079" w:rsidP="008C5079">
      <w:pPr>
        <w:pStyle w:val="Listeavsnitt"/>
        <w:numPr>
          <w:ilvl w:val="0"/>
          <w:numId w:val="11"/>
        </w:num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 xml:space="preserve">Ingen leteboring i oljeførende lag i gyteperioder (1.februar - 1.juni) </w:t>
      </w:r>
    </w:p>
    <w:p w:rsidR="008C5079" w:rsidRPr="00370F04" w:rsidRDefault="008C5079" w:rsidP="008C5079">
      <w:pPr>
        <w:pStyle w:val="Listeavsnitt"/>
        <w:numPr>
          <w:ilvl w:val="0"/>
          <w:numId w:val="11"/>
        </w:num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Ingen seismikk i gytevandrings-/gyteperioder (1.januar - 1.mai)</w:t>
      </w:r>
    </w:p>
    <w:p w:rsidR="008C5079" w:rsidRPr="00370F04" w:rsidRDefault="008C5079" w:rsidP="008C5079">
      <w:pPr>
        <w:pStyle w:val="Listeavsnitt"/>
        <w:numPr>
          <w:ilvl w:val="0"/>
          <w:numId w:val="11"/>
        </w:num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Benytte teknologi for å håndtere kaks og borevæske på sildegytefelt.</w:t>
      </w:r>
    </w:p>
    <w:p w:rsidR="008C5079" w:rsidRPr="00370F04" w:rsidRDefault="008C5079" w:rsidP="008C5079">
      <w:pPr>
        <w:pStyle w:val="Listeavsnitt"/>
        <w:numPr>
          <w:ilvl w:val="0"/>
          <w:numId w:val="11"/>
        </w:num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Særlig styrket oljevernsberedskap, herunder kort responstid.</w:t>
      </w:r>
    </w:p>
    <w:p w:rsidR="008C5079" w:rsidRPr="00370F04" w:rsidRDefault="008C5079" w:rsidP="008C5079">
      <w:pPr>
        <w:pStyle w:val="Listeavsnitt"/>
        <w:numPr>
          <w:ilvl w:val="0"/>
          <w:numId w:val="11"/>
        </w:num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HMS-regelverkets risikotilnærmin innebærer at det i sårbare områder vil stilles strengere krav til virksomheten for å unngå skade.</w:t>
      </w:r>
    </w:p>
    <w:p w:rsidR="008C5079" w:rsidRPr="00370F04" w:rsidRDefault="008C5079" w:rsidP="008C5079">
      <w:pPr>
        <w:rPr>
          <w:rFonts w:ascii="DepCentury Old Style" w:hAnsi="DepCentury Old Style"/>
          <w:color w:val="FF0000"/>
          <w:sz w:val="24"/>
          <w:szCs w:val="24"/>
          <w:u w:val="single"/>
          <w:lang w:eastAsia="en-US"/>
        </w:rPr>
      </w:pPr>
    </w:p>
    <w:p w:rsidR="008C5079" w:rsidRPr="00370F04" w:rsidRDefault="008C5079" w:rsidP="008C5079">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For innløpet til Vestfjorden, åpnet del: (6609/1,2,3 og 6610/1,2,3, 6611/1,2)</w:t>
      </w:r>
    </w:p>
    <w:p w:rsidR="008C5079" w:rsidRPr="00742CA5" w:rsidRDefault="008C5079" w:rsidP="008C5079">
      <w:pPr>
        <w:pStyle w:val="Listeavsnitt"/>
        <w:numPr>
          <w:ilvl w:val="0"/>
          <w:numId w:val="12"/>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 xml:space="preserve">Ingen leteboring i oljeførende lag i gyteperioder (1.februar - 1.juni) </w:t>
      </w:r>
    </w:p>
    <w:p w:rsidR="008C5079" w:rsidRPr="00742CA5" w:rsidRDefault="008C5079" w:rsidP="008C5079">
      <w:pPr>
        <w:pStyle w:val="Listeavsnitt"/>
        <w:numPr>
          <w:ilvl w:val="0"/>
          <w:numId w:val="12"/>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Ingen leteboring i oljeførende lag i hekke- og myteperioder (1.mars - 31.august)</w:t>
      </w:r>
    </w:p>
    <w:p w:rsidR="008C5079" w:rsidRPr="00742CA5" w:rsidRDefault="008C5079" w:rsidP="008C5079">
      <w:pPr>
        <w:pStyle w:val="Listeavsnitt"/>
        <w:numPr>
          <w:ilvl w:val="0"/>
          <w:numId w:val="12"/>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Ingen seismikk i gytevandrings-/gyteperioder (1.januar - 1.mai)</w:t>
      </w:r>
    </w:p>
    <w:p w:rsidR="008C5079" w:rsidRPr="00742CA5" w:rsidRDefault="008C5079" w:rsidP="008C5079">
      <w:pPr>
        <w:pStyle w:val="Listeavsnitt"/>
        <w:numPr>
          <w:ilvl w:val="0"/>
          <w:numId w:val="12"/>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Særlig styrket oljevernberedskap, herunder kort responstid.</w:t>
      </w:r>
    </w:p>
    <w:p w:rsidR="008C5079" w:rsidRPr="00742CA5" w:rsidRDefault="008C5079" w:rsidP="008C5079">
      <w:pPr>
        <w:pStyle w:val="Listeavsnitt"/>
        <w:numPr>
          <w:ilvl w:val="0"/>
          <w:numId w:val="12"/>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HMS-regelverkets risikotilnærming innebærer at det i sårbare områder vil stilles strengere krav til virksomheten for å unngå skade.</w:t>
      </w:r>
    </w:p>
    <w:p w:rsidR="008C5079" w:rsidRPr="00370F04" w:rsidRDefault="008C5079" w:rsidP="008C5079">
      <w:pPr>
        <w:rPr>
          <w:rFonts w:ascii="DepCentury Old Style" w:hAnsi="DepCentury Old Style"/>
          <w:color w:val="FF0000"/>
          <w:sz w:val="24"/>
          <w:szCs w:val="24"/>
          <w:u w:val="single"/>
          <w:lang w:eastAsia="en-US"/>
        </w:rPr>
      </w:pPr>
    </w:p>
    <w:p w:rsidR="008C5079" w:rsidRPr="00370F04" w:rsidRDefault="008C5079" w:rsidP="008C5079">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 xml:space="preserve">Remman og kystsonen, sørlig del: (6204/11) </w:t>
      </w:r>
    </w:p>
    <w:p w:rsidR="008C5079" w:rsidRPr="00742CA5" w:rsidRDefault="008C5079" w:rsidP="008C5079">
      <w:pPr>
        <w:pStyle w:val="Listeavsnitt"/>
        <w:numPr>
          <w:ilvl w:val="0"/>
          <w:numId w:val="13"/>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lastRenderedPageBreak/>
        <w:t xml:space="preserve">Ingen leteboring i oljeførende lag i gyteprioder og i hekke- og myteperioder (1. mars – 31. august). </w:t>
      </w:r>
    </w:p>
    <w:p w:rsidR="008C5079" w:rsidRPr="00742CA5" w:rsidRDefault="008C5079" w:rsidP="008C5079">
      <w:pPr>
        <w:pStyle w:val="Listeavsnitt"/>
        <w:numPr>
          <w:ilvl w:val="0"/>
          <w:numId w:val="13"/>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 xml:space="preserve">Særlig styrket oljevernberedskap, herunder kort responstid. </w:t>
      </w:r>
    </w:p>
    <w:p w:rsidR="008C5079" w:rsidRPr="00742CA5" w:rsidRDefault="008C5079" w:rsidP="008C5079">
      <w:pPr>
        <w:pStyle w:val="Listeavsnitt"/>
        <w:numPr>
          <w:ilvl w:val="0"/>
          <w:numId w:val="13"/>
        </w:numPr>
        <w:rPr>
          <w:rFonts w:ascii="DepCentury Old Style" w:hAnsi="DepCentury Old Style"/>
          <w:color w:val="FF0000"/>
          <w:sz w:val="24"/>
          <w:szCs w:val="24"/>
          <w:u w:val="single"/>
          <w:lang w:eastAsia="en-US"/>
        </w:rPr>
      </w:pPr>
      <w:r w:rsidRPr="00742CA5">
        <w:rPr>
          <w:rFonts w:ascii="DepCentury Old Style" w:hAnsi="DepCentury Old Style"/>
          <w:color w:val="FF0000"/>
          <w:sz w:val="24"/>
          <w:szCs w:val="24"/>
          <w:u w:val="single"/>
          <w:lang w:eastAsia="en-US"/>
        </w:rPr>
        <w:t xml:space="preserve">HMS-regelverkets risikotilnærming innebærer at det i sårbare områder vil stilles strengere krav til virksomheten for å unngå skade. </w:t>
      </w:r>
    </w:p>
    <w:p w:rsidR="008C5079" w:rsidRPr="00370F04" w:rsidRDefault="008C5079" w:rsidP="008C5079">
      <w:pPr>
        <w:rPr>
          <w:rFonts w:ascii="DepCentury Old Style" w:hAnsi="DepCentury Old Style"/>
          <w:color w:val="FF0000"/>
          <w:sz w:val="24"/>
          <w:szCs w:val="24"/>
          <w:u w:val="single"/>
          <w:lang w:eastAsia="en-US"/>
        </w:rPr>
      </w:pPr>
    </w:p>
    <w:p w:rsidR="008C5079" w:rsidRPr="00370F04" w:rsidRDefault="008C5079" w:rsidP="008C5079">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Eggakanten</w:t>
      </w:r>
    </w:p>
    <w:p w:rsidR="008C5079" w:rsidRPr="00370F04" w:rsidRDefault="008C5079" w:rsidP="008C5079">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Særlig oppfølging av generelt krav om at:</w:t>
      </w:r>
    </w:p>
    <w:p w:rsidR="008C5079" w:rsidRPr="00CB2DCC" w:rsidRDefault="008C5079" w:rsidP="008C5079">
      <w:pPr>
        <w:pStyle w:val="Listeavsnitt"/>
        <w:numPr>
          <w:ilvl w:val="0"/>
          <w:numId w:val="14"/>
        </w:numPr>
        <w:rPr>
          <w:rFonts w:ascii="DepCentury Old Style" w:hAnsi="DepCentury Old Style"/>
          <w:color w:val="FF0000"/>
          <w:sz w:val="24"/>
          <w:szCs w:val="24"/>
          <w:u w:val="single"/>
          <w:lang w:eastAsia="en-US"/>
        </w:rPr>
      </w:pPr>
      <w:r w:rsidRPr="00CB2DCC">
        <w:rPr>
          <w:rFonts w:ascii="DepCentury Old Style" w:hAnsi="DepCentury Old Style"/>
          <w:color w:val="FF0000"/>
          <w:sz w:val="24"/>
          <w:szCs w:val="24"/>
          <w:u w:val="single"/>
          <w:lang w:eastAsia="en-US"/>
        </w:rPr>
        <w:t xml:space="preserve">Nye utvinningstillatelser skal kartlegge mulige korallrev og andre verdifulle bunnsamfunn som kan bli berørt ved petroleumsaktivitet i de aktuelle blokkene, og sikre at disse ikke skades av aktiviteten. Det kan stilles særskilte krav for å unngå skade. </w:t>
      </w:r>
    </w:p>
    <w:p w:rsidR="008C5079" w:rsidRPr="00CB2DCC" w:rsidRDefault="008C5079" w:rsidP="008C5079">
      <w:pPr>
        <w:pStyle w:val="Listeavsnitt"/>
        <w:numPr>
          <w:ilvl w:val="0"/>
          <w:numId w:val="14"/>
        </w:numPr>
        <w:rPr>
          <w:rFonts w:ascii="DepCentury Old Style" w:hAnsi="DepCentury Old Style"/>
          <w:color w:val="FF0000"/>
          <w:sz w:val="24"/>
          <w:szCs w:val="24"/>
          <w:u w:val="single"/>
          <w:lang w:eastAsia="en-US"/>
        </w:rPr>
      </w:pPr>
      <w:r w:rsidRPr="00CB2DCC">
        <w:rPr>
          <w:rFonts w:ascii="DepCentury Old Style" w:hAnsi="DepCentury Old Style"/>
          <w:color w:val="FF0000"/>
          <w:sz w:val="24"/>
          <w:szCs w:val="24"/>
          <w:u w:val="single"/>
          <w:lang w:eastAsia="en-US"/>
        </w:rPr>
        <w:t xml:space="preserve">HMS-regelverkets risikotilnærming innebærer at det i sårbare områder vil stilles strengere krav til virksomheten for å unngå skade. </w:t>
      </w:r>
    </w:p>
    <w:p w:rsidR="008C5079" w:rsidRPr="00370F04" w:rsidRDefault="008C5079" w:rsidP="008C5079">
      <w:pPr>
        <w:rPr>
          <w:rFonts w:ascii="DepCentury Old Style" w:hAnsi="DepCentury Old Style"/>
          <w:color w:val="FF0000"/>
          <w:sz w:val="24"/>
          <w:szCs w:val="24"/>
          <w:u w:val="single"/>
          <w:lang w:eastAsia="en-US"/>
        </w:rPr>
      </w:pPr>
    </w:p>
    <w:p w:rsidR="008C5079" w:rsidRPr="00370F04" w:rsidRDefault="008C5079" w:rsidP="008C5079">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 xml:space="preserve">For øvrige områder i Norskehavet som lyses ut i TFO 2015 gjelder følgende vilkår: </w:t>
      </w:r>
    </w:p>
    <w:p w:rsidR="008C5079" w:rsidRPr="00CB2DCC" w:rsidRDefault="008C5079" w:rsidP="008C5079">
      <w:pPr>
        <w:pStyle w:val="Listeavsnitt"/>
        <w:numPr>
          <w:ilvl w:val="0"/>
          <w:numId w:val="15"/>
        </w:numPr>
        <w:rPr>
          <w:rFonts w:ascii="DepCentury Old Style" w:hAnsi="DepCentury Old Style"/>
          <w:color w:val="FF0000"/>
          <w:sz w:val="24"/>
          <w:szCs w:val="24"/>
          <w:u w:val="single"/>
          <w:lang w:eastAsia="en-US"/>
        </w:rPr>
      </w:pPr>
      <w:r w:rsidRPr="00CB2DCC">
        <w:rPr>
          <w:rFonts w:ascii="DepCentury Old Style" w:hAnsi="DepCentury Old Style"/>
          <w:color w:val="FF0000"/>
          <w:sz w:val="24"/>
          <w:szCs w:val="24"/>
          <w:u w:val="single"/>
          <w:lang w:eastAsia="en-US"/>
        </w:rPr>
        <w:t xml:space="preserve">Innenfor 500 meters koten skal det ikke foregå seismiske undersøkelser i letefasen i perioden 1. januar – 1. april. Denne tidsbegrensningen gjelder ikke for borestedsundersøkelser. </w:t>
      </w:r>
    </w:p>
    <w:p w:rsidR="008C5079" w:rsidRPr="00CB2DCC" w:rsidRDefault="008C5079" w:rsidP="008C5079">
      <w:pPr>
        <w:pStyle w:val="Listeavsnitt"/>
        <w:numPr>
          <w:ilvl w:val="0"/>
          <w:numId w:val="15"/>
        </w:numPr>
        <w:rPr>
          <w:rFonts w:ascii="DepCentury Old Style" w:hAnsi="DepCentury Old Style"/>
          <w:color w:val="FF0000"/>
          <w:sz w:val="24"/>
          <w:szCs w:val="24"/>
          <w:u w:val="single"/>
          <w:lang w:eastAsia="en-US"/>
        </w:rPr>
      </w:pPr>
      <w:r w:rsidRPr="00CB2DCC">
        <w:rPr>
          <w:rFonts w:ascii="DepCentury Old Style" w:hAnsi="DepCentury Old Style"/>
          <w:color w:val="FF0000"/>
          <w:sz w:val="24"/>
          <w:szCs w:val="24"/>
          <w:u w:val="single"/>
          <w:lang w:eastAsia="en-US"/>
        </w:rPr>
        <w:t>Ingen leteboring i oljeførende lag i perioden 1. april – 15. juni i blokkene 6204/ 7 og 8 innenfor 500 meter dybdekote; kvadraten 6305 innenfor 500 meter dybdekote, kvadrantene 6306, 6407/2, 3, 5, 6, 8, 9, 11 og 12, 6508, 6509, 6510, 6608/3, 5, 6, 7, 8, 9, 10, 11 og 12, 6609, 6610 og 6611.</w:t>
      </w:r>
    </w:p>
    <w:p w:rsidR="008C5079" w:rsidRPr="00CB2DCC" w:rsidRDefault="008C5079" w:rsidP="008C5079">
      <w:pPr>
        <w:pStyle w:val="Listeavsnitt"/>
        <w:numPr>
          <w:ilvl w:val="0"/>
          <w:numId w:val="15"/>
        </w:numPr>
        <w:rPr>
          <w:rFonts w:ascii="DepCentury Old Style" w:hAnsi="DepCentury Old Style"/>
          <w:color w:val="FF0000"/>
          <w:sz w:val="24"/>
          <w:szCs w:val="24"/>
          <w:u w:val="single"/>
          <w:lang w:eastAsia="en-US"/>
        </w:rPr>
      </w:pPr>
      <w:r w:rsidRPr="00CB2DCC">
        <w:rPr>
          <w:rFonts w:ascii="DepCentury Old Style" w:hAnsi="DepCentury Old Style"/>
          <w:color w:val="FF0000"/>
          <w:sz w:val="24"/>
          <w:szCs w:val="24"/>
          <w:u w:val="single"/>
          <w:lang w:eastAsia="en-US"/>
        </w:rPr>
        <w:t>Ingen leteboring i oljeførende lag i hekke- og myteperioder (1. april – 31. august) i blokkene 6204/7, 8, 10, 11, 6306/6, 8 og 9</w:t>
      </w:r>
      <w:r>
        <w:rPr>
          <w:rFonts w:ascii="DepCentury Old Style" w:hAnsi="DepCentury Old Style"/>
          <w:color w:val="FF0000"/>
          <w:sz w:val="24"/>
          <w:szCs w:val="24"/>
          <w:u w:val="single"/>
          <w:lang w:eastAsia="en-US"/>
        </w:rPr>
        <w:t>,</w:t>
      </w:r>
      <w:r w:rsidRPr="004F371D">
        <w:rPr>
          <w:rFonts w:ascii="DepCentury Old Style" w:hAnsi="DepCentury Old Style"/>
          <w:color w:val="FF0000"/>
          <w:sz w:val="24"/>
          <w:szCs w:val="24"/>
          <w:u w:val="single"/>
        </w:rPr>
        <w:t xml:space="preserve"> </w:t>
      </w:r>
      <w:r>
        <w:rPr>
          <w:rFonts w:ascii="DepCentury Old Style" w:hAnsi="DepCentury Old Style"/>
          <w:color w:val="FF0000"/>
          <w:sz w:val="24"/>
          <w:szCs w:val="24"/>
          <w:u w:val="single"/>
        </w:rPr>
        <w:t>6307/1 og 4</w:t>
      </w:r>
      <w:r w:rsidRPr="00CB2DCC">
        <w:rPr>
          <w:rFonts w:ascii="DepCentury Old Style" w:hAnsi="DepCentury Old Style"/>
          <w:color w:val="FF0000"/>
          <w:sz w:val="24"/>
          <w:szCs w:val="24"/>
          <w:u w:val="single"/>
          <w:lang w:eastAsia="en-US"/>
        </w:rPr>
        <w:t xml:space="preserve">. </w:t>
      </w:r>
    </w:p>
    <w:p w:rsidR="008C5079" w:rsidRPr="00370F04" w:rsidRDefault="008C5079" w:rsidP="008C5079">
      <w:pPr>
        <w:rPr>
          <w:rFonts w:ascii="DepCentury Old Style" w:hAnsi="DepCentury Old Style"/>
          <w:color w:val="FF0000"/>
          <w:sz w:val="24"/>
          <w:szCs w:val="24"/>
          <w:u w:val="single"/>
          <w:lang w:eastAsia="en-US"/>
        </w:rPr>
      </w:pPr>
    </w:p>
    <w:p w:rsidR="008C5079" w:rsidRPr="00370F04" w:rsidRDefault="008C5079" w:rsidP="008C5079">
      <w:pPr>
        <w:rPr>
          <w:rFonts w:ascii="DepCentury Old Style" w:hAnsi="DepCentury Old Style"/>
          <w:color w:val="FF0000"/>
          <w:sz w:val="24"/>
          <w:szCs w:val="24"/>
          <w:u w:val="single"/>
          <w:lang w:eastAsia="en-US"/>
        </w:rPr>
      </w:pPr>
      <w:r w:rsidRPr="00370F04">
        <w:rPr>
          <w:rFonts w:ascii="DepCentury Old Style" w:hAnsi="DepCentury Old Style"/>
          <w:color w:val="FF0000"/>
          <w:sz w:val="24"/>
          <w:szCs w:val="24"/>
          <w:u w:val="single"/>
          <w:lang w:eastAsia="en-US"/>
        </w:rPr>
        <w:t xml:space="preserve">I spesielle områder med forekomster av sårbar bunnfauna eller som er sentrale gyteområder for fisk som gyter på bunnen, vil det kunne stilles krav om å benytte teknologi for å håndtere kaks og borevæske for å hindre nedslamming. </w:t>
      </w:r>
    </w:p>
    <w:p w:rsidR="008C5079" w:rsidRPr="00370F04" w:rsidRDefault="008C5079" w:rsidP="008C5079">
      <w:pPr>
        <w:rPr>
          <w:rFonts w:ascii="DepCentury Old Style" w:hAnsi="DepCentury Old Style"/>
          <w:color w:val="FF0000"/>
          <w:sz w:val="24"/>
          <w:szCs w:val="24"/>
          <w:u w:val="single"/>
          <w:lang w:eastAsia="en-US"/>
        </w:rPr>
      </w:pPr>
    </w:p>
    <w:p w:rsidR="008C5079" w:rsidRDefault="008C5079" w:rsidP="008C5079">
      <w:pPr>
        <w:rPr>
          <w:rFonts w:ascii="DepCentury Old Style" w:hAnsi="DepCentury Old Style"/>
          <w:b/>
          <w:color w:val="FF0000"/>
          <w:sz w:val="24"/>
          <w:szCs w:val="24"/>
          <w:lang w:eastAsia="en-US"/>
        </w:rPr>
      </w:pPr>
      <w:r w:rsidRPr="00370F04">
        <w:rPr>
          <w:rFonts w:ascii="DepCentury Old Style" w:hAnsi="DepCentury Old Style"/>
          <w:color w:val="FF0000"/>
          <w:sz w:val="24"/>
          <w:szCs w:val="24"/>
          <w:u w:val="single"/>
          <w:lang w:eastAsia="en-US"/>
        </w:rPr>
        <w:t>Myndighetene vil utvise fleksibilitet i utøvelsen av miljø- og fiskerivilkårene.</w:t>
      </w:r>
    </w:p>
    <w:p w:rsidR="008C5079" w:rsidRDefault="008C5079" w:rsidP="008C5079">
      <w:pPr>
        <w:rPr>
          <w:rFonts w:ascii="DepCentury Old Style" w:hAnsi="DepCentury Old Style"/>
          <w:b/>
          <w:color w:val="FF0000"/>
          <w:sz w:val="24"/>
          <w:szCs w:val="24"/>
          <w:lang w:eastAsia="en-US"/>
        </w:rPr>
      </w:pPr>
    </w:p>
    <w:p w:rsidR="008C5079" w:rsidRPr="00A47AC0" w:rsidRDefault="008C5079" w:rsidP="008C5079">
      <w:pPr>
        <w:rPr>
          <w:rFonts w:ascii="DepCentury Old Style" w:hAnsi="DepCentury Old Style"/>
          <w:b/>
          <w:color w:val="FF0000"/>
          <w:sz w:val="24"/>
          <w:szCs w:val="24"/>
          <w:lang w:eastAsia="en-US"/>
        </w:rPr>
      </w:pPr>
      <w:r w:rsidRPr="00A47AC0">
        <w:rPr>
          <w:rFonts w:ascii="DepCentury Old Style" w:hAnsi="DepCentury Old Style"/>
          <w:b/>
          <w:color w:val="FF0000"/>
          <w:sz w:val="24"/>
          <w:szCs w:val="24"/>
          <w:lang w:eastAsia="en-US"/>
        </w:rPr>
        <w:t>Spesielle krav for Barentshavet</w:t>
      </w:r>
    </w:p>
    <w:p w:rsidR="008C5079" w:rsidRPr="00A47AC0" w:rsidRDefault="008C5079" w:rsidP="008C5079">
      <w:pPr>
        <w:rPr>
          <w:rFonts w:ascii="DepCentury Old Style" w:hAnsi="DepCentury Old Style"/>
          <w:b/>
          <w:color w:val="FF0000"/>
          <w:sz w:val="24"/>
          <w:szCs w:val="24"/>
          <w:lang w:eastAsia="en-US"/>
        </w:rPr>
      </w:pPr>
    </w:p>
    <w:p w:rsidR="008C5079" w:rsidRPr="009D3A1E" w:rsidRDefault="008C5079" w:rsidP="008C5079">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 xml:space="preserve">For de utlyste blokkene i Barentshavet skal følgende vilkår gjelde. </w:t>
      </w:r>
    </w:p>
    <w:p w:rsidR="008C5079" w:rsidRPr="009D3A1E" w:rsidRDefault="008C5079" w:rsidP="008C5079">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8C5079" w:rsidRPr="009D3A1E" w:rsidRDefault="008C5079" w:rsidP="008C5079">
      <w:pPr>
        <w:pStyle w:val="Listeavsnitt"/>
        <w:widowControl w:val="0"/>
        <w:numPr>
          <w:ilvl w:val="0"/>
          <w:numId w:val="16"/>
        </w:numPr>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 xml:space="preserve">I områder nærmere enn 50 km fra den faktiske/observerte iskanten vil det ikke være tillatt med boring i oljeførende lag i perioden 15. desember – 15. juni. </w:t>
      </w:r>
    </w:p>
    <w:p w:rsidR="008C5079" w:rsidRPr="009D3A1E" w:rsidRDefault="008C5079" w:rsidP="008C5079">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8C5079" w:rsidRPr="009D3A1E" w:rsidRDefault="008C5079" w:rsidP="008C5079">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Kystsonen langs Troms og Finnmark til grensen mot Russland</w:t>
      </w:r>
    </w:p>
    <w:p w:rsidR="008C5079" w:rsidRPr="009D3A1E" w:rsidRDefault="008C5079" w:rsidP="008C5079">
      <w:pPr>
        <w:pStyle w:val="Listeavsnitt"/>
        <w:widowControl w:val="0"/>
        <w:numPr>
          <w:ilvl w:val="0"/>
          <w:numId w:val="16"/>
        </w:numPr>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I området mellom 35 km og 65 km fra grunnlinjen, vil det ikke være tillatt med leteboring i oljeførende lag i perioden 1.mars - 31.august.</w:t>
      </w:r>
    </w:p>
    <w:p w:rsidR="008C5079" w:rsidRPr="009D3A1E" w:rsidRDefault="008C5079" w:rsidP="008C5079">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8C5079" w:rsidRPr="009D3A1E" w:rsidRDefault="008C5079" w:rsidP="008C5079">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8C5079" w:rsidRPr="009D3A1E" w:rsidRDefault="008C5079" w:rsidP="008C5079">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8C5079" w:rsidRPr="009D3A1E" w:rsidRDefault="008C5079" w:rsidP="008C5079">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lastRenderedPageBreak/>
        <w:t>Tromsøflaket</w:t>
      </w:r>
    </w:p>
    <w:p w:rsidR="008C5079" w:rsidRPr="009D3A1E" w:rsidRDefault="008C5079" w:rsidP="008C5079">
      <w:pPr>
        <w:pStyle w:val="Listeavsnitt"/>
        <w:widowControl w:val="0"/>
        <w:numPr>
          <w:ilvl w:val="0"/>
          <w:numId w:val="16"/>
        </w:numPr>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 xml:space="preserve">utenfor 65 km vil det ikke være tillatt med leteboring i oljeførende lag i perioden 1.mars - 31.august. </w:t>
      </w:r>
    </w:p>
    <w:p w:rsidR="008C5079" w:rsidRPr="009D3A1E" w:rsidRDefault="008C5079" w:rsidP="008C5079">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p>
    <w:p w:rsidR="008C5079" w:rsidRPr="009D3A1E" w:rsidRDefault="008C5079" w:rsidP="008C5079">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Eggakanten</w:t>
      </w:r>
    </w:p>
    <w:p w:rsidR="008C5079" w:rsidRPr="009D3A1E" w:rsidRDefault="008C5079" w:rsidP="008C5079">
      <w:pPr>
        <w:pStyle w:val="Listeavsnitt"/>
        <w:widowControl w:val="0"/>
        <w:numPr>
          <w:ilvl w:val="0"/>
          <w:numId w:val="16"/>
        </w:numPr>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color w:val="FF0000"/>
          <w:sz w:val="24"/>
          <w:szCs w:val="24"/>
          <w:u w:val="single"/>
          <w:lang w:eastAsia="en-US"/>
        </w:rPr>
      </w:pPr>
      <w:r w:rsidRPr="009D3A1E">
        <w:rPr>
          <w:rFonts w:ascii="DepCentury Old Style" w:hAnsi="DepCentury Old Style"/>
          <w:color w:val="FF0000"/>
          <w:sz w:val="24"/>
          <w:szCs w:val="24"/>
          <w:u w:val="single"/>
          <w:lang w:eastAsia="en-US"/>
        </w:rPr>
        <w:t>Særlig følge opp det generelle kravet om at nye utvinningstillatelser skal kartlegge mulige korallrev og andre verdifulle bunnsamfunn som kan bli berørt ved petroleumsaktivitet i de aktuelle blokkene, og sikre at disse ikke skades av aktiviteten. I sårbare områder kan det stilles særskilte krav for å unngå skade.</w:t>
      </w:r>
    </w:p>
    <w:p w:rsidR="0085737F" w:rsidRPr="001449A9" w:rsidRDefault="0085737F" w:rsidP="00D918C7">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b/>
          <w:sz w:val="24"/>
        </w:rPr>
      </w:pPr>
    </w:p>
    <w:p w:rsidR="00612964" w:rsidRPr="001449A9" w:rsidRDefault="00612964" w:rsidP="00D918C7">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b/>
          <w:sz w:val="24"/>
        </w:rPr>
      </w:pPr>
    </w:p>
    <w:p w:rsidR="00612964" w:rsidRPr="001449A9" w:rsidRDefault="00612964" w:rsidP="00D918C7">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b/>
          <w:sz w:val="24"/>
        </w:rPr>
      </w:pP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r w:rsidRPr="001449A9">
        <w:rPr>
          <w:rFonts w:ascii="DepCentury Old Style" w:hAnsi="DepCentury Old Style"/>
          <w:b/>
          <w:sz w:val="24"/>
        </w:rPr>
        <w:t>6.  AVTALER</w:t>
      </w:r>
    </w:p>
    <w:p w:rsidR="00D918C7" w:rsidRPr="001449A9" w:rsidRDefault="00D918C7" w:rsidP="00D918C7">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p>
    <w:p w:rsidR="003225BD" w:rsidRPr="001449A9" w:rsidRDefault="00D918C7" w:rsidP="003225BD">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r w:rsidRPr="001449A9">
        <w:rPr>
          <w:rFonts w:ascii="DepCentury Old Style" w:hAnsi="DepCentury Old Style"/>
          <w:sz w:val="24"/>
        </w:rPr>
        <w:t>Rettighetshaver skal innen 30 dager etter tildeling</w:t>
      </w:r>
      <w:r w:rsidR="003225BD" w:rsidRPr="001449A9">
        <w:rPr>
          <w:rFonts w:ascii="DepCentury Old Style" w:hAnsi="DepCentury Old Style"/>
          <w:sz w:val="24"/>
        </w:rPr>
        <w:t xml:space="preserve"> av utvinningstillatelsen inngå vedlagte:</w:t>
      </w:r>
    </w:p>
    <w:p w:rsidR="003225BD" w:rsidRPr="001449A9" w:rsidRDefault="003225BD" w:rsidP="00D918C7">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p>
    <w:p w:rsidR="00D918C7" w:rsidRPr="001449A9" w:rsidRDefault="003225BD" w:rsidP="00D918C7">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r w:rsidRPr="001449A9">
        <w:rPr>
          <w:rFonts w:ascii="DepCentury Old Style" w:hAnsi="DepCentury Old Style"/>
          <w:sz w:val="24"/>
        </w:rPr>
        <w:t xml:space="preserve">-   </w:t>
      </w:r>
      <w:r w:rsidR="00822230" w:rsidRPr="001449A9">
        <w:rPr>
          <w:rFonts w:ascii="DepCentury Old Style" w:hAnsi="DepCentury Old Style"/>
          <w:sz w:val="24"/>
        </w:rPr>
        <w:t xml:space="preserve">Avtale for petroleumsvirksomhet </w:t>
      </w:r>
    </w:p>
    <w:p w:rsidR="003225BD" w:rsidRPr="001449A9" w:rsidRDefault="003225BD" w:rsidP="00D918C7">
      <w:pPr>
        <w:widowControl w:val="0"/>
        <w:tabs>
          <w:tab w:val="left" w:pos="960"/>
          <w:tab w:val="left" w:pos="2040"/>
          <w:tab w:val="left" w:pos="3120"/>
          <w:tab w:val="left" w:pos="4200"/>
          <w:tab w:val="left" w:pos="5280"/>
          <w:tab w:val="left" w:pos="6360"/>
          <w:tab w:val="left" w:pos="7440"/>
          <w:tab w:val="left" w:pos="8520"/>
          <w:tab w:val="left" w:pos="9600"/>
        </w:tabs>
        <w:rPr>
          <w:rFonts w:ascii="DepCentury Old Style" w:hAnsi="DepCentury Old Style"/>
          <w:sz w:val="24"/>
        </w:rPr>
      </w:pPr>
    </w:p>
    <w:p w:rsidR="00D918C7" w:rsidRPr="001449A9" w:rsidRDefault="00D918C7" w:rsidP="00D918C7">
      <w:pPr>
        <w:widowControl w:val="0"/>
        <w:tabs>
          <w:tab w:val="left" w:pos="240"/>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w:t>
      </w:r>
      <w:r w:rsidRPr="001449A9">
        <w:rPr>
          <w:rFonts w:ascii="DepCentury Old Style" w:hAnsi="DepCentury Old Style"/>
          <w:sz w:val="24"/>
        </w:rPr>
        <w:tab/>
      </w:r>
      <w:r w:rsidR="00822230" w:rsidRPr="001449A9">
        <w:rPr>
          <w:rFonts w:ascii="DepCentury Old Style" w:hAnsi="DepCentury Old Style"/>
          <w:sz w:val="24"/>
        </w:rPr>
        <w:t>Vedlegg A: Samarbeidsavtale</w:t>
      </w:r>
    </w:p>
    <w:p w:rsidR="00D918C7" w:rsidRPr="001449A9" w:rsidRDefault="00D918C7" w:rsidP="00D918C7">
      <w:pPr>
        <w:widowControl w:val="0"/>
        <w:tabs>
          <w:tab w:val="left" w:pos="240"/>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3225BD" w:rsidP="003225BD">
      <w:pPr>
        <w:widowControl w:val="0"/>
        <w:tabs>
          <w:tab w:val="left" w:pos="240"/>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w:t>
      </w:r>
      <w:r w:rsidRPr="001449A9">
        <w:rPr>
          <w:rFonts w:ascii="DepCentury Old Style" w:hAnsi="DepCentury Old Style"/>
          <w:sz w:val="24"/>
        </w:rPr>
        <w:tab/>
      </w:r>
      <w:r w:rsidR="00822230" w:rsidRPr="001449A9">
        <w:rPr>
          <w:rFonts w:ascii="DepCentury Old Style" w:hAnsi="DepCentury Old Style"/>
          <w:sz w:val="24"/>
        </w:rPr>
        <w:t>Vedlegg B: R</w:t>
      </w:r>
      <w:r w:rsidR="00D918C7" w:rsidRPr="001449A9">
        <w:rPr>
          <w:rFonts w:ascii="DepCentury Old Style" w:hAnsi="DepCentury Old Style"/>
          <w:sz w:val="24"/>
        </w:rPr>
        <w:t xml:space="preserve">egnskapsavtale </w:t>
      </w:r>
    </w:p>
    <w:p w:rsidR="00D918C7" w:rsidRPr="001449A9" w:rsidRDefault="00D918C7" w:rsidP="00D918C7">
      <w:pPr>
        <w:widowControl w:val="0"/>
        <w:tabs>
          <w:tab w:val="left" w:pos="240"/>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 xml:space="preserve">Tillegg til, endring i eller unntak fra </w:t>
      </w:r>
      <w:r w:rsidR="00822230" w:rsidRPr="001449A9">
        <w:rPr>
          <w:rFonts w:ascii="DepCentury Old Style" w:hAnsi="DepCentury Old Style"/>
          <w:sz w:val="24"/>
        </w:rPr>
        <w:t>avtalen med vedlegg</w:t>
      </w:r>
      <w:r w:rsidRPr="001449A9">
        <w:rPr>
          <w:rFonts w:ascii="DepCentury Old Style" w:hAnsi="DepCentury Old Style"/>
          <w:sz w:val="24"/>
        </w:rPr>
        <w:t xml:space="preserve"> </w:t>
      </w:r>
      <w:r w:rsidR="003854F4" w:rsidRPr="001449A9">
        <w:rPr>
          <w:rFonts w:ascii="DepCentury Old Style" w:hAnsi="DepCentury Old Style"/>
          <w:sz w:val="24"/>
        </w:rPr>
        <w:t xml:space="preserve">er betinget av departementets </w:t>
      </w:r>
      <w:r w:rsidRPr="001449A9">
        <w:rPr>
          <w:rFonts w:ascii="DepCentury Old Style" w:hAnsi="DepCentury Old Style"/>
          <w:sz w:val="24"/>
        </w:rPr>
        <w:t xml:space="preserve"> godkjenne</w:t>
      </w:r>
      <w:r w:rsidR="003854F4" w:rsidRPr="001449A9">
        <w:rPr>
          <w:rFonts w:ascii="DepCentury Old Style" w:hAnsi="DepCentury Old Style"/>
          <w:sz w:val="24"/>
        </w:rPr>
        <w:t>lse</w:t>
      </w:r>
      <w:r w:rsidRPr="001449A9">
        <w:rPr>
          <w:rFonts w:ascii="DepCentury Old Style" w:hAnsi="DepCentury Old Style"/>
          <w:sz w:val="24"/>
        </w:rPr>
        <w:t>.</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EF6713" w:rsidRPr="001449A9" w:rsidRDefault="00EF6713"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ED70C9" w:rsidRPr="001449A9" w:rsidRDefault="00ED70C9"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b/>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b/>
          <w:sz w:val="24"/>
        </w:rPr>
        <w:t>7.  ANVENDELSE AV NORSK RETT</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All virksomhet som drives på bakgrunn av denne utvinningstillatelse skal være regulert av den til enhver tid gjeldende norsk rett og bygge på norsk kontraktstradisjon.</w:t>
      </w:r>
    </w:p>
    <w:p w:rsidR="00ED70C9" w:rsidRPr="001449A9" w:rsidRDefault="00ED70C9"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9F3365" w:rsidRDefault="009F3365"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A47AC0" w:rsidRPr="001449A9" w:rsidRDefault="00A47AC0"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2F4973" w:rsidRPr="00C6073F" w:rsidRDefault="002F4973" w:rsidP="002F4973">
      <w:pPr>
        <w:widowControl w:val="0"/>
        <w:tabs>
          <w:tab w:val="left" w:pos="1080"/>
          <w:tab w:val="left" w:pos="2160"/>
          <w:tab w:val="left" w:pos="3240"/>
          <w:tab w:val="left" w:pos="4320"/>
          <w:tab w:val="left" w:pos="5400"/>
          <w:tab w:val="left" w:pos="6480"/>
          <w:tab w:val="left" w:pos="7560"/>
          <w:tab w:val="left" w:pos="8640"/>
        </w:tabs>
        <w:ind w:left="426" w:hanging="426"/>
        <w:rPr>
          <w:rFonts w:ascii="DepCentury Old Style" w:hAnsi="DepCentury Old Style"/>
          <w:color w:val="FF0000"/>
          <w:sz w:val="24"/>
        </w:rPr>
      </w:pPr>
      <w:r w:rsidRPr="00C6073F">
        <w:rPr>
          <w:rFonts w:ascii="DepCentury Old Style" w:hAnsi="DepCentury Old Style"/>
          <w:b/>
          <w:color w:val="FF0000"/>
          <w:sz w:val="24"/>
        </w:rPr>
        <w:t>8.  UTVINNINGSPOLITIKK OG POLITIKK VEDRØRENDE STATENS</w:t>
      </w:r>
      <w:r w:rsidR="009F3365" w:rsidRPr="00C6073F">
        <w:rPr>
          <w:rFonts w:ascii="DepCentury Old Style" w:hAnsi="DepCentury Old Style"/>
          <w:b/>
          <w:color w:val="FF0000"/>
          <w:sz w:val="24"/>
        </w:rPr>
        <w:t xml:space="preserve"> </w:t>
      </w:r>
      <w:r w:rsidRPr="00C6073F">
        <w:rPr>
          <w:rFonts w:ascii="DepCentury Old Style" w:hAnsi="DepCentury Old Style"/>
          <w:b/>
          <w:color w:val="FF0000"/>
          <w:sz w:val="24"/>
        </w:rPr>
        <w:t>FINANSIELLE INTERESSER</w:t>
      </w:r>
    </w:p>
    <w:p w:rsidR="002F4973" w:rsidRPr="00C6073F" w:rsidRDefault="002F4973" w:rsidP="002F4973">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color w:val="FF0000"/>
          <w:sz w:val="24"/>
        </w:rPr>
      </w:pPr>
    </w:p>
    <w:p w:rsidR="002F4973" w:rsidRPr="00C6073F" w:rsidRDefault="002F4973" w:rsidP="002F4973">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rPr>
          <w:rFonts w:ascii="DepCentury Old Style" w:hAnsi="DepCentury Old Style"/>
          <w:color w:val="FF0000"/>
          <w:sz w:val="24"/>
        </w:rPr>
      </w:pPr>
      <w:r w:rsidRPr="00C6073F">
        <w:rPr>
          <w:rFonts w:ascii="DepCentury Old Style" w:hAnsi="DepCentury Old Style"/>
          <w:color w:val="FF0000"/>
          <w:sz w:val="24"/>
        </w:rPr>
        <w:t>Rettighetshaver er forpliktet til å innrette seg etter statens utvinningspolitikk og politikk vedrørende statens finansielle interesser, slik dette er angitt i utvinningstillatelsen og kommer til uttrykk gjennom relevante lover og forskrifter. Dersom dette vilkåret ikke overholdes, kan Staten eller statens forretningsfører motsette seg vedtak fattet av rettighetshaver.</w:t>
      </w:r>
    </w:p>
    <w:p w:rsidR="002F4973" w:rsidRPr="001449A9" w:rsidRDefault="002F4973"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b/>
          <w:sz w:val="24"/>
        </w:rPr>
      </w:pPr>
    </w:p>
    <w:p w:rsidR="00612964" w:rsidRDefault="00612964"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b/>
          <w:sz w:val="24"/>
        </w:rPr>
      </w:pPr>
    </w:p>
    <w:p w:rsidR="00D918C7" w:rsidRPr="001449A9" w:rsidRDefault="002F4973"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b/>
          <w:sz w:val="24"/>
        </w:rPr>
        <w:lastRenderedPageBreak/>
        <w:t>9</w:t>
      </w:r>
      <w:r w:rsidR="00D918C7" w:rsidRPr="001449A9">
        <w:rPr>
          <w:rFonts w:ascii="DepCentury Old Style" w:hAnsi="DepCentury Old Style"/>
          <w:b/>
          <w:sz w:val="24"/>
        </w:rPr>
        <w:t>.</w:t>
      </w:r>
      <w:r w:rsidR="00D918C7" w:rsidRPr="001449A9">
        <w:rPr>
          <w:rFonts w:ascii="DepCentury Old Style" w:hAnsi="DepCentury Old Style"/>
          <w:sz w:val="24"/>
        </w:rPr>
        <w:t xml:space="preserve"> </w:t>
      </w:r>
      <w:r w:rsidR="00D918C7" w:rsidRPr="001449A9">
        <w:rPr>
          <w:rFonts w:ascii="DepCentury Old Style" w:hAnsi="DepCentury Old Style"/>
          <w:b/>
          <w:sz w:val="24"/>
        </w:rPr>
        <w:t xml:space="preserve"> DISPENSASJON</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B717EB"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Departementet, eller den det bemyndiger, kan dispensere fra bestemmelsene i denne utvinningstillatelsen.</w:t>
      </w:r>
      <w:r w:rsidR="002F4973" w:rsidRPr="001449A9">
        <w:rPr>
          <w:rFonts w:ascii="DepCentury Old Style" w:hAnsi="DepCentury Old Style"/>
          <w:sz w:val="24"/>
        </w:rPr>
        <w:t xml:space="preserve"> </w:t>
      </w:r>
      <w:r w:rsidR="00B717EB" w:rsidRPr="001449A9">
        <w:rPr>
          <w:rFonts w:ascii="DepCentury Old Style" w:hAnsi="DepCentury Old Style"/>
          <w:sz w:val="24"/>
        </w:rPr>
        <w:t>E</w:t>
      </w:r>
      <w:r w:rsidR="002F4973" w:rsidRPr="001449A9">
        <w:rPr>
          <w:rFonts w:ascii="DepCentury Old Style" w:hAnsi="DepCentury Old Style"/>
          <w:sz w:val="24"/>
        </w:rPr>
        <w:t>n</w:t>
      </w:r>
      <w:r w:rsidR="00B717EB" w:rsidRPr="001449A9">
        <w:rPr>
          <w:rFonts w:ascii="DepCentury Old Style" w:hAnsi="DepCentury Old Style"/>
          <w:sz w:val="24"/>
        </w:rPr>
        <w:t xml:space="preserve"> søknad om dispensasjon sendes departementet</w:t>
      </w:r>
      <w:r w:rsidR="002F4973" w:rsidRPr="001449A9">
        <w:rPr>
          <w:rFonts w:ascii="DepCentury Old Style" w:hAnsi="DepCentury Old Style"/>
          <w:sz w:val="24"/>
        </w:rPr>
        <w:t xml:space="preserve">, med kopi til </w:t>
      </w:r>
      <w:r w:rsidR="00B717EB" w:rsidRPr="001449A9">
        <w:rPr>
          <w:rFonts w:ascii="DepCentury Old Style" w:hAnsi="DepCentury Old Style"/>
          <w:sz w:val="24"/>
        </w:rPr>
        <w:t>Oljedirektoratet av all dokumentasjon som er nødvendig for å vurdere søknaden.</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85737F" w:rsidRPr="001449A9" w:rsidRDefault="0085737F"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641B46" w:rsidRPr="001449A9" w:rsidRDefault="00641B46"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0E71C9" w:rsidRPr="001449A9" w:rsidRDefault="003D19A3"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br w:type="page"/>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lastRenderedPageBreak/>
        <w:t xml:space="preserve">Denne utvinningstillatelse er utferdiget i </w:t>
      </w:r>
      <w:r w:rsidR="00905BF9">
        <w:rPr>
          <w:rFonts w:ascii="DepCentury Old Style" w:hAnsi="DepCentury Old Style"/>
          <w:color w:val="FF0000"/>
          <w:sz w:val="24"/>
        </w:rPr>
        <w:t>X</w:t>
      </w:r>
      <w:r w:rsidR="00443BD0" w:rsidRPr="001449A9">
        <w:rPr>
          <w:rFonts w:ascii="DepCentury Old Style" w:hAnsi="DepCentury Old Style"/>
          <w:sz w:val="24"/>
        </w:rPr>
        <w:t xml:space="preserve"> </w:t>
      </w:r>
      <w:r w:rsidRPr="001449A9">
        <w:rPr>
          <w:rFonts w:ascii="DepCentury Old Style" w:hAnsi="DepCentury Old Style"/>
          <w:sz w:val="24"/>
        </w:rPr>
        <w:t>originaler, hvorav departementet beholder en.</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 xml:space="preserve">Oslo, </w:t>
      </w:r>
      <w:r w:rsidR="00A47AC0">
        <w:rPr>
          <w:rFonts w:ascii="DepCentury Old Style" w:hAnsi="DepCentury Old Style"/>
          <w:color w:val="FF0000"/>
          <w:sz w:val="24"/>
        </w:rPr>
        <w:t>X.X.XXXX</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r w:rsidRPr="001449A9">
        <w:rPr>
          <w:rFonts w:ascii="DepCentury Old Style" w:hAnsi="DepCentury Old Style"/>
          <w:sz w:val="24"/>
        </w:rPr>
        <w:t>DET KONGELIGE OLJE- OG ENERGIDEPARTEMENT</w:t>
      </w: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widowControl w:val="0"/>
        <w:tabs>
          <w:tab w:val="left" w:pos="1080"/>
          <w:tab w:val="left" w:pos="2160"/>
          <w:tab w:val="left" w:pos="3240"/>
          <w:tab w:val="left" w:pos="4320"/>
          <w:tab w:val="left" w:pos="5400"/>
          <w:tab w:val="left" w:pos="6480"/>
          <w:tab w:val="left" w:pos="7560"/>
          <w:tab w:val="left" w:pos="8640"/>
        </w:tabs>
        <w:rPr>
          <w:rFonts w:ascii="DepCentury Old Style" w:hAnsi="DepCentury Old Style"/>
          <w:sz w:val="24"/>
        </w:rPr>
      </w:pPr>
    </w:p>
    <w:p w:rsidR="00D918C7" w:rsidRPr="001449A9" w:rsidRDefault="00D918C7" w:rsidP="00D918C7">
      <w:pPr>
        <w:rPr>
          <w:rFonts w:ascii="DepCentury Old Style" w:hAnsi="DepCentury Old Style"/>
        </w:rPr>
      </w:pPr>
      <w:bookmarkStart w:id="0" w:name="_GoBack"/>
      <w:bookmarkEnd w:id="0"/>
      <w:r w:rsidRPr="001449A9">
        <w:rPr>
          <w:rFonts w:ascii="DepCentury Old Style" w:hAnsi="DepCentury Old Style"/>
          <w:sz w:val="24"/>
        </w:rPr>
        <w:tab/>
      </w:r>
      <w:r w:rsidRPr="001449A9">
        <w:rPr>
          <w:rFonts w:ascii="DepCentury Old Style" w:hAnsi="DepCentury Old Style"/>
          <w:sz w:val="24"/>
        </w:rPr>
        <w:tab/>
      </w:r>
      <w:r w:rsidRPr="001449A9">
        <w:rPr>
          <w:rFonts w:ascii="DepCentury Old Style" w:hAnsi="DepCentury Old Style"/>
          <w:sz w:val="24"/>
        </w:rPr>
        <w:tab/>
      </w:r>
      <w:r w:rsidRPr="001449A9">
        <w:rPr>
          <w:rFonts w:ascii="DepCentury Old Style" w:hAnsi="DepCentury Old Style"/>
          <w:sz w:val="24"/>
        </w:rPr>
        <w:tab/>
      </w:r>
    </w:p>
    <w:p w:rsidR="00D918C7" w:rsidRPr="001449A9" w:rsidRDefault="00D918C7"/>
    <w:sectPr w:rsidR="00D918C7" w:rsidRPr="001449A9" w:rsidSect="00C220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97E" w:rsidRDefault="0022497E">
      <w:r>
        <w:separator/>
      </w:r>
    </w:p>
  </w:endnote>
  <w:endnote w:type="continuationSeparator" w:id="0">
    <w:p w:rsidR="0022497E" w:rsidRDefault="0022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7E" w:rsidRDefault="0022497E">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7E" w:rsidRDefault="0022497E">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7E" w:rsidRDefault="0022497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97E" w:rsidRDefault="0022497E">
      <w:r>
        <w:separator/>
      </w:r>
    </w:p>
  </w:footnote>
  <w:footnote w:type="continuationSeparator" w:id="0">
    <w:p w:rsidR="0022497E" w:rsidRDefault="00224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7E" w:rsidRDefault="00591AB6">
    <w:pPr>
      <w:pStyle w:val="Topptekst"/>
      <w:framePr w:wrap="around" w:vAnchor="text" w:hAnchor="margin" w:xAlign="right" w:y="1"/>
      <w:rPr>
        <w:rStyle w:val="Sidetall"/>
      </w:rPr>
    </w:pPr>
    <w:r>
      <w:rPr>
        <w:rStyle w:val="Sidetall"/>
      </w:rPr>
      <w:fldChar w:fldCharType="begin"/>
    </w:r>
    <w:r w:rsidR="0022497E">
      <w:rPr>
        <w:rStyle w:val="Sidetall"/>
      </w:rPr>
      <w:instrText xml:space="preserve">PAGE  </w:instrText>
    </w:r>
    <w:r>
      <w:rPr>
        <w:rStyle w:val="Sidetall"/>
      </w:rPr>
      <w:fldChar w:fldCharType="separate"/>
    </w:r>
    <w:r w:rsidR="0022497E">
      <w:rPr>
        <w:rStyle w:val="Sidetall"/>
        <w:noProof/>
      </w:rPr>
      <w:t>8</w:t>
    </w:r>
    <w:r>
      <w:rPr>
        <w:rStyle w:val="Sidetall"/>
      </w:rPr>
      <w:fldChar w:fldCharType="end"/>
    </w:r>
  </w:p>
  <w:p w:rsidR="0022497E" w:rsidRDefault="0022497E">
    <w:pPr>
      <w:pStyle w:val="Topptekst"/>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7E" w:rsidRDefault="00591AB6">
    <w:pPr>
      <w:pStyle w:val="Topptekst"/>
      <w:framePr w:wrap="around" w:vAnchor="text" w:hAnchor="margin" w:xAlign="right" w:y="1"/>
      <w:rPr>
        <w:rStyle w:val="Sidetall"/>
      </w:rPr>
    </w:pPr>
    <w:r>
      <w:rPr>
        <w:rStyle w:val="Sidetall"/>
      </w:rPr>
      <w:fldChar w:fldCharType="begin"/>
    </w:r>
    <w:r w:rsidR="0022497E">
      <w:rPr>
        <w:rStyle w:val="Sidetall"/>
      </w:rPr>
      <w:instrText xml:space="preserve">PAGE  </w:instrText>
    </w:r>
    <w:r>
      <w:rPr>
        <w:rStyle w:val="Sidetall"/>
      </w:rPr>
      <w:fldChar w:fldCharType="separate"/>
    </w:r>
    <w:r w:rsidR="0066799C">
      <w:rPr>
        <w:rStyle w:val="Sidetall"/>
        <w:noProof/>
      </w:rPr>
      <w:t>12</w:t>
    </w:r>
    <w:r>
      <w:rPr>
        <w:rStyle w:val="Sidetall"/>
      </w:rPr>
      <w:fldChar w:fldCharType="end"/>
    </w:r>
  </w:p>
  <w:p w:rsidR="0022497E" w:rsidRDefault="0022497E">
    <w:pPr>
      <w:widowControl w:val="0"/>
      <w:ind w:right="360" w:firstLine="360"/>
      <w:rPr>
        <w:rFonts w:ascii="Courier New" w:hAnsi="Courier New"/>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97E" w:rsidRDefault="0022497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24C16F8"/>
    <w:lvl w:ilvl="0">
      <w:numFmt w:val="bullet"/>
      <w:lvlText w:val="*"/>
      <w:lvlJc w:val="left"/>
    </w:lvl>
  </w:abstractNum>
  <w:abstractNum w:abstractNumId="1" w15:restartNumberingAfterBreak="0">
    <w:nsid w:val="06440368"/>
    <w:multiLevelType w:val="hybridMultilevel"/>
    <w:tmpl w:val="BCE4E93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A14B5"/>
    <w:multiLevelType w:val="hybridMultilevel"/>
    <w:tmpl w:val="487E7E4C"/>
    <w:lvl w:ilvl="0" w:tplc="04140001">
      <w:start w:val="1"/>
      <w:numFmt w:val="bullet"/>
      <w:lvlText w:val=""/>
      <w:lvlJc w:val="left"/>
      <w:pPr>
        <w:tabs>
          <w:tab w:val="num" w:pos="720"/>
        </w:tabs>
        <w:ind w:left="720" w:hanging="360"/>
      </w:pPr>
      <w:rPr>
        <w:rFonts w:ascii="Symbol" w:hAnsi="Symbol" w:hint="default"/>
      </w:rPr>
    </w:lvl>
    <w:lvl w:ilvl="1" w:tplc="CD10842C">
      <w:start w:val="6"/>
      <w:numFmt w:val="bullet"/>
      <w:lvlText w:val="-"/>
      <w:lvlJc w:val="left"/>
      <w:pPr>
        <w:tabs>
          <w:tab w:val="num" w:pos="1440"/>
        </w:tabs>
        <w:ind w:left="1440" w:hanging="360"/>
      </w:pPr>
      <w:rPr>
        <w:rFonts w:ascii="DepCentury Old Style" w:eastAsia="Times New Roman" w:hAnsi="DepCentury Old Style"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0CFD08E4"/>
    <w:multiLevelType w:val="hybridMultilevel"/>
    <w:tmpl w:val="259C21C8"/>
    <w:lvl w:ilvl="0" w:tplc="68E20E06">
      <w:start w:val="1"/>
      <w:numFmt w:val="lowerLetter"/>
      <w:lvlText w:val="%1)"/>
      <w:lvlJc w:val="left"/>
      <w:pPr>
        <w:tabs>
          <w:tab w:val="num" w:pos="720"/>
        </w:tabs>
        <w:ind w:left="720" w:hanging="360"/>
      </w:pPr>
      <w:rPr>
        <w:i w:val="0"/>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FDE3E5E"/>
    <w:multiLevelType w:val="hybridMultilevel"/>
    <w:tmpl w:val="9E4EAC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9456E10"/>
    <w:multiLevelType w:val="hybridMultilevel"/>
    <w:tmpl w:val="3D9CD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9C2685"/>
    <w:multiLevelType w:val="hybridMultilevel"/>
    <w:tmpl w:val="30686A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8DD2A95"/>
    <w:multiLevelType w:val="multilevel"/>
    <w:tmpl w:val="30A481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33768F"/>
    <w:multiLevelType w:val="hybridMultilevel"/>
    <w:tmpl w:val="E7F8C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1B35DDD"/>
    <w:multiLevelType w:val="hybridMultilevel"/>
    <w:tmpl w:val="ED9057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19A0155"/>
    <w:multiLevelType w:val="hybridMultilevel"/>
    <w:tmpl w:val="89BEC3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4F9519F"/>
    <w:multiLevelType w:val="hybridMultilevel"/>
    <w:tmpl w:val="3C9EE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A002624"/>
    <w:multiLevelType w:val="hybridMultilevel"/>
    <w:tmpl w:val="DBE6A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B083122"/>
    <w:multiLevelType w:val="hybridMultilevel"/>
    <w:tmpl w:val="1F182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BE14C6D"/>
    <w:multiLevelType w:val="hybridMultilevel"/>
    <w:tmpl w:val="674660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C5D5AC6"/>
    <w:multiLevelType w:val="hybridMultilevel"/>
    <w:tmpl w:val="30A481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
  </w:num>
  <w:num w:numId="5">
    <w:abstractNumId w:val="15"/>
  </w:num>
  <w:num w:numId="6">
    <w:abstractNumId w:val="7"/>
  </w:num>
  <w:num w:numId="7">
    <w:abstractNumId w:val="8"/>
  </w:num>
  <w:num w:numId="8">
    <w:abstractNumId w:val="12"/>
  </w:num>
  <w:num w:numId="9">
    <w:abstractNumId w:val="13"/>
  </w:num>
  <w:num w:numId="10">
    <w:abstractNumId w:val="6"/>
  </w:num>
  <w:num w:numId="11">
    <w:abstractNumId w:val="10"/>
  </w:num>
  <w:num w:numId="12">
    <w:abstractNumId w:val="9"/>
  </w:num>
  <w:num w:numId="13">
    <w:abstractNumId w:val="14"/>
  </w:num>
  <w:num w:numId="14">
    <w:abstractNumId w:val="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C7"/>
    <w:rsid w:val="00007B66"/>
    <w:rsid w:val="00023304"/>
    <w:rsid w:val="00023460"/>
    <w:rsid w:val="00035374"/>
    <w:rsid w:val="00035F75"/>
    <w:rsid w:val="00042D90"/>
    <w:rsid w:val="000449A2"/>
    <w:rsid w:val="00044C7F"/>
    <w:rsid w:val="00051856"/>
    <w:rsid w:val="00067B0D"/>
    <w:rsid w:val="00075A37"/>
    <w:rsid w:val="00081D02"/>
    <w:rsid w:val="00084272"/>
    <w:rsid w:val="000A125D"/>
    <w:rsid w:val="000B6E34"/>
    <w:rsid w:val="000C2097"/>
    <w:rsid w:val="000E71C9"/>
    <w:rsid w:val="001015A2"/>
    <w:rsid w:val="0010489C"/>
    <w:rsid w:val="00105A4D"/>
    <w:rsid w:val="00112F6A"/>
    <w:rsid w:val="001171CC"/>
    <w:rsid w:val="00120CE5"/>
    <w:rsid w:val="00143560"/>
    <w:rsid w:val="001449A9"/>
    <w:rsid w:val="00151AD2"/>
    <w:rsid w:val="001566E1"/>
    <w:rsid w:val="001600E3"/>
    <w:rsid w:val="001720B7"/>
    <w:rsid w:val="001801E8"/>
    <w:rsid w:val="00181F43"/>
    <w:rsid w:val="001822E9"/>
    <w:rsid w:val="001822F6"/>
    <w:rsid w:val="00193F38"/>
    <w:rsid w:val="001944E6"/>
    <w:rsid w:val="00194AB9"/>
    <w:rsid w:val="0019512E"/>
    <w:rsid w:val="001A5155"/>
    <w:rsid w:val="001A773D"/>
    <w:rsid w:val="001B3920"/>
    <w:rsid w:val="001C7FB6"/>
    <w:rsid w:val="001E3910"/>
    <w:rsid w:val="001E53BC"/>
    <w:rsid w:val="001F1C04"/>
    <w:rsid w:val="00200FAD"/>
    <w:rsid w:val="002053B0"/>
    <w:rsid w:val="00211DD8"/>
    <w:rsid w:val="00221B42"/>
    <w:rsid w:val="0022497E"/>
    <w:rsid w:val="00230B73"/>
    <w:rsid w:val="00230C7D"/>
    <w:rsid w:val="00247810"/>
    <w:rsid w:val="0025345B"/>
    <w:rsid w:val="00254174"/>
    <w:rsid w:val="00267440"/>
    <w:rsid w:val="00273747"/>
    <w:rsid w:val="00276D1E"/>
    <w:rsid w:val="00284EB0"/>
    <w:rsid w:val="002867B9"/>
    <w:rsid w:val="002871DB"/>
    <w:rsid w:val="00294760"/>
    <w:rsid w:val="002A26EF"/>
    <w:rsid w:val="002B0238"/>
    <w:rsid w:val="002C1450"/>
    <w:rsid w:val="002C380A"/>
    <w:rsid w:val="002C57A5"/>
    <w:rsid w:val="002D137B"/>
    <w:rsid w:val="002D6E3D"/>
    <w:rsid w:val="002E7A08"/>
    <w:rsid w:val="002F40D8"/>
    <w:rsid w:val="002F4973"/>
    <w:rsid w:val="002F6E8A"/>
    <w:rsid w:val="00301626"/>
    <w:rsid w:val="00302A23"/>
    <w:rsid w:val="00311391"/>
    <w:rsid w:val="00312150"/>
    <w:rsid w:val="00315022"/>
    <w:rsid w:val="003225BD"/>
    <w:rsid w:val="003377BF"/>
    <w:rsid w:val="003410A2"/>
    <w:rsid w:val="003445FD"/>
    <w:rsid w:val="00352C40"/>
    <w:rsid w:val="00353F15"/>
    <w:rsid w:val="0035694C"/>
    <w:rsid w:val="00357ADD"/>
    <w:rsid w:val="003635DC"/>
    <w:rsid w:val="00364855"/>
    <w:rsid w:val="003706CE"/>
    <w:rsid w:val="0037619F"/>
    <w:rsid w:val="00382D0A"/>
    <w:rsid w:val="003854F4"/>
    <w:rsid w:val="003947F7"/>
    <w:rsid w:val="003A1673"/>
    <w:rsid w:val="003A27B1"/>
    <w:rsid w:val="003B2362"/>
    <w:rsid w:val="003B36CF"/>
    <w:rsid w:val="003C3CE2"/>
    <w:rsid w:val="003D19A3"/>
    <w:rsid w:val="003E1430"/>
    <w:rsid w:val="003E1DCD"/>
    <w:rsid w:val="003E240F"/>
    <w:rsid w:val="003E7558"/>
    <w:rsid w:val="003F2CA8"/>
    <w:rsid w:val="003F34D8"/>
    <w:rsid w:val="00402F2A"/>
    <w:rsid w:val="00406814"/>
    <w:rsid w:val="00417138"/>
    <w:rsid w:val="00423337"/>
    <w:rsid w:val="004251C4"/>
    <w:rsid w:val="00430342"/>
    <w:rsid w:val="00442F7F"/>
    <w:rsid w:val="00443BD0"/>
    <w:rsid w:val="00445EE8"/>
    <w:rsid w:val="00452DE0"/>
    <w:rsid w:val="00462034"/>
    <w:rsid w:val="00465C29"/>
    <w:rsid w:val="00465F19"/>
    <w:rsid w:val="004B0FD5"/>
    <w:rsid w:val="004D5BAE"/>
    <w:rsid w:val="00500AFA"/>
    <w:rsid w:val="00503DD5"/>
    <w:rsid w:val="00503EB9"/>
    <w:rsid w:val="00513B46"/>
    <w:rsid w:val="00517E2D"/>
    <w:rsid w:val="00522774"/>
    <w:rsid w:val="0052419B"/>
    <w:rsid w:val="00541434"/>
    <w:rsid w:val="005443B4"/>
    <w:rsid w:val="00552915"/>
    <w:rsid w:val="005529E2"/>
    <w:rsid w:val="005605E3"/>
    <w:rsid w:val="005615D7"/>
    <w:rsid w:val="00566315"/>
    <w:rsid w:val="00566A72"/>
    <w:rsid w:val="0057098D"/>
    <w:rsid w:val="00575271"/>
    <w:rsid w:val="00576225"/>
    <w:rsid w:val="00577192"/>
    <w:rsid w:val="00591AB6"/>
    <w:rsid w:val="005956DA"/>
    <w:rsid w:val="005A0D33"/>
    <w:rsid w:val="005A1257"/>
    <w:rsid w:val="005A7ACE"/>
    <w:rsid w:val="005C4A72"/>
    <w:rsid w:val="005E671D"/>
    <w:rsid w:val="0061170D"/>
    <w:rsid w:val="00612964"/>
    <w:rsid w:val="00625533"/>
    <w:rsid w:val="006351A4"/>
    <w:rsid w:val="00640DDD"/>
    <w:rsid w:val="00641B46"/>
    <w:rsid w:val="00642875"/>
    <w:rsid w:val="006540C7"/>
    <w:rsid w:val="00654AC4"/>
    <w:rsid w:val="00654BF5"/>
    <w:rsid w:val="0065671F"/>
    <w:rsid w:val="006678E5"/>
    <w:rsid w:val="0066799C"/>
    <w:rsid w:val="00673864"/>
    <w:rsid w:val="00675A29"/>
    <w:rsid w:val="00680498"/>
    <w:rsid w:val="006904DA"/>
    <w:rsid w:val="006942BB"/>
    <w:rsid w:val="006A086C"/>
    <w:rsid w:val="006B00D9"/>
    <w:rsid w:val="006B652E"/>
    <w:rsid w:val="006B7401"/>
    <w:rsid w:val="006C4203"/>
    <w:rsid w:val="006C7315"/>
    <w:rsid w:val="006D464B"/>
    <w:rsid w:val="006D6387"/>
    <w:rsid w:val="006D7288"/>
    <w:rsid w:val="006E1957"/>
    <w:rsid w:val="006E1F2E"/>
    <w:rsid w:val="006E371F"/>
    <w:rsid w:val="006F0072"/>
    <w:rsid w:val="006F5730"/>
    <w:rsid w:val="0072314B"/>
    <w:rsid w:val="00735760"/>
    <w:rsid w:val="007540B7"/>
    <w:rsid w:val="0075642D"/>
    <w:rsid w:val="00783AC7"/>
    <w:rsid w:val="0079163B"/>
    <w:rsid w:val="007A5B8C"/>
    <w:rsid w:val="007B5D96"/>
    <w:rsid w:val="007C21DA"/>
    <w:rsid w:val="007C27BB"/>
    <w:rsid w:val="007C72AB"/>
    <w:rsid w:val="007E7445"/>
    <w:rsid w:val="007F2B17"/>
    <w:rsid w:val="00802AB0"/>
    <w:rsid w:val="0080314B"/>
    <w:rsid w:val="00804CB9"/>
    <w:rsid w:val="00813A3F"/>
    <w:rsid w:val="00814EEC"/>
    <w:rsid w:val="00822230"/>
    <w:rsid w:val="0082236A"/>
    <w:rsid w:val="008341D1"/>
    <w:rsid w:val="008428BC"/>
    <w:rsid w:val="00845AF8"/>
    <w:rsid w:val="00854630"/>
    <w:rsid w:val="0085737F"/>
    <w:rsid w:val="008649CC"/>
    <w:rsid w:val="008670D8"/>
    <w:rsid w:val="0088622B"/>
    <w:rsid w:val="00886609"/>
    <w:rsid w:val="00896A42"/>
    <w:rsid w:val="0089739D"/>
    <w:rsid w:val="008A3CBE"/>
    <w:rsid w:val="008B59DA"/>
    <w:rsid w:val="008C109E"/>
    <w:rsid w:val="008C5079"/>
    <w:rsid w:val="008F5357"/>
    <w:rsid w:val="00905BF9"/>
    <w:rsid w:val="009222AC"/>
    <w:rsid w:val="00942281"/>
    <w:rsid w:val="00942864"/>
    <w:rsid w:val="009478C5"/>
    <w:rsid w:val="00951DED"/>
    <w:rsid w:val="00960F2A"/>
    <w:rsid w:val="00973D45"/>
    <w:rsid w:val="00984E9F"/>
    <w:rsid w:val="00995529"/>
    <w:rsid w:val="009C6F67"/>
    <w:rsid w:val="009C7BA1"/>
    <w:rsid w:val="009E4CC6"/>
    <w:rsid w:val="009F161C"/>
    <w:rsid w:val="009F3365"/>
    <w:rsid w:val="00A114C8"/>
    <w:rsid w:val="00A16D7D"/>
    <w:rsid w:val="00A24887"/>
    <w:rsid w:val="00A264FD"/>
    <w:rsid w:val="00A40780"/>
    <w:rsid w:val="00A47AC0"/>
    <w:rsid w:val="00A6631A"/>
    <w:rsid w:val="00A71766"/>
    <w:rsid w:val="00A82A8E"/>
    <w:rsid w:val="00A85B8B"/>
    <w:rsid w:val="00A86A1A"/>
    <w:rsid w:val="00A904E0"/>
    <w:rsid w:val="00A91DCA"/>
    <w:rsid w:val="00A945DA"/>
    <w:rsid w:val="00A94D1D"/>
    <w:rsid w:val="00A954E6"/>
    <w:rsid w:val="00AA05FF"/>
    <w:rsid w:val="00AA18CA"/>
    <w:rsid w:val="00AB4D78"/>
    <w:rsid w:val="00AB7BE9"/>
    <w:rsid w:val="00AC692D"/>
    <w:rsid w:val="00AD26C6"/>
    <w:rsid w:val="00AD6BAD"/>
    <w:rsid w:val="00AE05B9"/>
    <w:rsid w:val="00AE18C0"/>
    <w:rsid w:val="00AE2327"/>
    <w:rsid w:val="00AF0B8A"/>
    <w:rsid w:val="00AF3888"/>
    <w:rsid w:val="00AF5036"/>
    <w:rsid w:val="00AF5110"/>
    <w:rsid w:val="00B029BC"/>
    <w:rsid w:val="00B03820"/>
    <w:rsid w:val="00B06902"/>
    <w:rsid w:val="00B34A8D"/>
    <w:rsid w:val="00B521D7"/>
    <w:rsid w:val="00B53F51"/>
    <w:rsid w:val="00B571A0"/>
    <w:rsid w:val="00B5792E"/>
    <w:rsid w:val="00B612F8"/>
    <w:rsid w:val="00B62220"/>
    <w:rsid w:val="00B717EB"/>
    <w:rsid w:val="00B723A8"/>
    <w:rsid w:val="00B95A7B"/>
    <w:rsid w:val="00B9636C"/>
    <w:rsid w:val="00BB5C89"/>
    <w:rsid w:val="00BB692B"/>
    <w:rsid w:val="00BB6C85"/>
    <w:rsid w:val="00BB7F90"/>
    <w:rsid w:val="00BD59D3"/>
    <w:rsid w:val="00BD7B1F"/>
    <w:rsid w:val="00BE3379"/>
    <w:rsid w:val="00BE57D8"/>
    <w:rsid w:val="00BE7901"/>
    <w:rsid w:val="00BF715E"/>
    <w:rsid w:val="00C0344B"/>
    <w:rsid w:val="00C10D4F"/>
    <w:rsid w:val="00C2003E"/>
    <w:rsid w:val="00C220FF"/>
    <w:rsid w:val="00C26B5C"/>
    <w:rsid w:val="00C27FF7"/>
    <w:rsid w:val="00C40A20"/>
    <w:rsid w:val="00C42A9D"/>
    <w:rsid w:val="00C42DCB"/>
    <w:rsid w:val="00C46265"/>
    <w:rsid w:val="00C50884"/>
    <w:rsid w:val="00C516A1"/>
    <w:rsid w:val="00C51868"/>
    <w:rsid w:val="00C6073F"/>
    <w:rsid w:val="00C71142"/>
    <w:rsid w:val="00C83F11"/>
    <w:rsid w:val="00C909E3"/>
    <w:rsid w:val="00C9133A"/>
    <w:rsid w:val="00C954A6"/>
    <w:rsid w:val="00CA330E"/>
    <w:rsid w:val="00CB640B"/>
    <w:rsid w:val="00CD10F2"/>
    <w:rsid w:val="00CD3DEF"/>
    <w:rsid w:val="00CD4F20"/>
    <w:rsid w:val="00CE6A8E"/>
    <w:rsid w:val="00D02B40"/>
    <w:rsid w:val="00D24149"/>
    <w:rsid w:val="00D26413"/>
    <w:rsid w:val="00D616F8"/>
    <w:rsid w:val="00D73496"/>
    <w:rsid w:val="00D73FAE"/>
    <w:rsid w:val="00D7748D"/>
    <w:rsid w:val="00D918C7"/>
    <w:rsid w:val="00D92F83"/>
    <w:rsid w:val="00DA3578"/>
    <w:rsid w:val="00DA6375"/>
    <w:rsid w:val="00DA6A75"/>
    <w:rsid w:val="00DA6CC8"/>
    <w:rsid w:val="00DD6EC3"/>
    <w:rsid w:val="00DE2ED5"/>
    <w:rsid w:val="00DF033E"/>
    <w:rsid w:val="00DF5D5D"/>
    <w:rsid w:val="00DF7583"/>
    <w:rsid w:val="00E017BB"/>
    <w:rsid w:val="00E057B8"/>
    <w:rsid w:val="00E05C13"/>
    <w:rsid w:val="00E1077F"/>
    <w:rsid w:val="00E1154A"/>
    <w:rsid w:val="00E13B41"/>
    <w:rsid w:val="00E16C89"/>
    <w:rsid w:val="00E57A54"/>
    <w:rsid w:val="00E57D47"/>
    <w:rsid w:val="00E66887"/>
    <w:rsid w:val="00E71058"/>
    <w:rsid w:val="00E81386"/>
    <w:rsid w:val="00EA02CC"/>
    <w:rsid w:val="00EA1062"/>
    <w:rsid w:val="00EA4893"/>
    <w:rsid w:val="00EA55A9"/>
    <w:rsid w:val="00EA575F"/>
    <w:rsid w:val="00EB0343"/>
    <w:rsid w:val="00EB2073"/>
    <w:rsid w:val="00EB5EB7"/>
    <w:rsid w:val="00ED70C9"/>
    <w:rsid w:val="00EE364B"/>
    <w:rsid w:val="00EE67C8"/>
    <w:rsid w:val="00EF6713"/>
    <w:rsid w:val="00F073F2"/>
    <w:rsid w:val="00F07DEB"/>
    <w:rsid w:val="00F12160"/>
    <w:rsid w:val="00F1608E"/>
    <w:rsid w:val="00F20375"/>
    <w:rsid w:val="00F235BA"/>
    <w:rsid w:val="00F348E6"/>
    <w:rsid w:val="00F34D00"/>
    <w:rsid w:val="00F43BE2"/>
    <w:rsid w:val="00F45ABC"/>
    <w:rsid w:val="00F50635"/>
    <w:rsid w:val="00F600A3"/>
    <w:rsid w:val="00F7407C"/>
    <w:rsid w:val="00F83AC3"/>
    <w:rsid w:val="00F86F80"/>
    <w:rsid w:val="00F87078"/>
    <w:rsid w:val="00F93BD8"/>
    <w:rsid w:val="00FA6014"/>
    <w:rsid w:val="00FB288B"/>
    <w:rsid w:val="00FC0744"/>
    <w:rsid w:val="00FD54DA"/>
    <w:rsid w:val="00FF41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17917E87-16F5-46A6-8B92-38684A58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8C7"/>
  </w:style>
  <w:style w:type="paragraph" w:styleId="Overskrift2">
    <w:name w:val="heading 2"/>
    <w:basedOn w:val="Normal"/>
    <w:next w:val="Normal"/>
    <w:qFormat/>
    <w:rsid w:val="00D918C7"/>
    <w:pPr>
      <w:keepNext/>
      <w:widowControl w:val="0"/>
      <w:tabs>
        <w:tab w:val="left" w:pos="960"/>
        <w:tab w:val="left" w:pos="1920"/>
        <w:tab w:val="left" w:pos="2040"/>
        <w:tab w:val="left" w:pos="2520"/>
        <w:tab w:val="left" w:pos="3120"/>
        <w:tab w:val="left" w:pos="4200"/>
        <w:tab w:val="left" w:pos="5280"/>
        <w:tab w:val="left" w:pos="5692"/>
        <w:tab w:val="left" w:pos="6360"/>
        <w:tab w:val="left" w:pos="7440"/>
        <w:tab w:val="left" w:pos="8520"/>
        <w:tab w:val="left" w:pos="9600"/>
      </w:tabs>
      <w:jc w:val="both"/>
      <w:outlineLvl w:val="1"/>
    </w:pPr>
    <w:rPr>
      <w:color w:val="000000"/>
      <w:sz w:val="24"/>
    </w:rPr>
  </w:style>
  <w:style w:type="paragraph" w:styleId="Overskrift3">
    <w:name w:val="heading 3"/>
    <w:basedOn w:val="Normal"/>
    <w:next w:val="Normal"/>
    <w:qFormat/>
    <w:rsid w:val="00D918C7"/>
    <w:pPr>
      <w:keepNext/>
      <w:widowControl w:val="0"/>
      <w:tabs>
        <w:tab w:val="left" w:pos="1080"/>
        <w:tab w:val="left" w:pos="2160"/>
        <w:tab w:val="left" w:pos="3240"/>
        <w:tab w:val="left" w:pos="4320"/>
        <w:tab w:val="left" w:pos="5400"/>
        <w:tab w:val="left" w:pos="6480"/>
        <w:tab w:val="left" w:pos="7560"/>
        <w:tab w:val="left" w:pos="8640"/>
      </w:tabs>
      <w:jc w:val="right"/>
      <w:outlineLvl w:val="2"/>
    </w:pPr>
    <w:rPr>
      <w:color w:val="000000"/>
      <w:sz w:val="24"/>
    </w:rPr>
  </w:style>
  <w:style w:type="paragraph" w:styleId="Overskrift4">
    <w:name w:val="heading 4"/>
    <w:basedOn w:val="Normal"/>
    <w:next w:val="Normal"/>
    <w:qFormat/>
    <w:rsid w:val="00D918C7"/>
    <w:pPr>
      <w:keepNext/>
      <w:widowControl w:val="0"/>
      <w:tabs>
        <w:tab w:val="left" w:pos="1080"/>
        <w:tab w:val="left" w:pos="2160"/>
        <w:tab w:val="left" w:pos="3240"/>
        <w:tab w:val="left" w:pos="4320"/>
        <w:tab w:val="left" w:pos="5400"/>
        <w:tab w:val="left" w:pos="6480"/>
        <w:tab w:val="left" w:pos="7560"/>
        <w:tab w:val="left" w:pos="8640"/>
      </w:tabs>
      <w:jc w:val="center"/>
      <w:outlineLvl w:val="3"/>
    </w:pPr>
    <w:rPr>
      <w:color w:val="000000"/>
      <w:sz w:val="24"/>
    </w:rPr>
  </w:style>
  <w:style w:type="paragraph" w:styleId="Overskrift5">
    <w:name w:val="heading 5"/>
    <w:basedOn w:val="Normal"/>
    <w:next w:val="Normal"/>
    <w:qFormat/>
    <w:rsid w:val="00D918C7"/>
    <w:pPr>
      <w:keepNext/>
      <w:widowControl w:val="0"/>
      <w:tabs>
        <w:tab w:val="left" w:pos="960"/>
        <w:tab w:val="left" w:pos="2040"/>
        <w:tab w:val="left" w:pos="3120"/>
        <w:tab w:val="left" w:pos="4200"/>
        <w:tab w:val="left" w:pos="5280"/>
        <w:tab w:val="left" w:pos="6360"/>
        <w:tab w:val="left" w:pos="7440"/>
        <w:tab w:val="left" w:pos="8520"/>
        <w:tab w:val="left" w:pos="9600"/>
      </w:tabs>
      <w:jc w:val="center"/>
      <w:outlineLvl w:val="4"/>
    </w:pPr>
    <w:rPr>
      <w:b/>
      <w:i/>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918C7"/>
    <w:pPr>
      <w:tabs>
        <w:tab w:val="center" w:pos="4536"/>
        <w:tab w:val="right" w:pos="9072"/>
      </w:tabs>
    </w:pPr>
  </w:style>
  <w:style w:type="character" w:styleId="Sidetall">
    <w:name w:val="page number"/>
    <w:basedOn w:val="Standardskriftforavsnitt"/>
    <w:rsid w:val="00D918C7"/>
  </w:style>
  <w:style w:type="paragraph" w:styleId="Brdtekstinnrykk">
    <w:name w:val="Body Text Indent"/>
    <w:basedOn w:val="Normal"/>
    <w:rsid w:val="00D918C7"/>
    <w:pPr>
      <w:widowControl w:val="0"/>
      <w:tabs>
        <w:tab w:val="left" w:pos="1080"/>
        <w:tab w:val="left" w:pos="2160"/>
        <w:tab w:val="left" w:pos="3240"/>
        <w:tab w:val="left" w:pos="4320"/>
        <w:tab w:val="left" w:pos="5400"/>
        <w:tab w:val="left" w:pos="6480"/>
        <w:tab w:val="left" w:pos="7560"/>
        <w:tab w:val="left" w:pos="8640"/>
      </w:tabs>
      <w:ind w:left="284" w:hanging="284"/>
    </w:pPr>
    <w:rPr>
      <w:rFonts w:ascii="DepCentury Old Style" w:hAnsi="DepCentury Old Style"/>
      <w:color w:val="000000"/>
      <w:sz w:val="24"/>
    </w:rPr>
  </w:style>
  <w:style w:type="paragraph" w:styleId="Brdtekst">
    <w:name w:val="Body Text"/>
    <w:basedOn w:val="Normal"/>
    <w:link w:val="BrdtekstTegn"/>
    <w:rsid w:val="00D918C7"/>
    <w:rPr>
      <w:rFonts w:ascii="DepCentury Old Style" w:hAnsi="DepCentury Old Style"/>
      <w:snapToGrid w:val="0"/>
      <w:color w:val="000000"/>
      <w:sz w:val="24"/>
    </w:rPr>
  </w:style>
  <w:style w:type="paragraph" w:styleId="Brdtekst2">
    <w:name w:val="Body Text 2"/>
    <w:basedOn w:val="Normal"/>
    <w:link w:val="Brdtekst2Tegn"/>
    <w:rsid w:val="00D918C7"/>
    <w:rPr>
      <w:rFonts w:ascii="DepCentury Old Style" w:hAnsi="DepCentury Old Style"/>
      <w:snapToGrid w:val="0"/>
      <w:color w:val="0000FF"/>
      <w:sz w:val="24"/>
    </w:rPr>
  </w:style>
  <w:style w:type="character" w:styleId="Merknadsreferanse">
    <w:name w:val="annotation reference"/>
    <w:basedOn w:val="Standardskriftforavsnitt"/>
    <w:semiHidden/>
    <w:rsid w:val="006E371F"/>
    <w:rPr>
      <w:sz w:val="16"/>
      <w:szCs w:val="16"/>
    </w:rPr>
  </w:style>
  <w:style w:type="paragraph" w:styleId="Merknadstekst">
    <w:name w:val="annotation text"/>
    <w:basedOn w:val="Normal"/>
    <w:semiHidden/>
    <w:rsid w:val="006E371F"/>
  </w:style>
  <w:style w:type="paragraph" w:styleId="Kommentaremne">
    <w:name w:val="annotation subject"/>
    <w:basedOn w:val="Merknadstekst"/>
    <w:next w:val="Merknadstekst"/>
    <w:semiHidden/>
    <w:rsid w:val="006E371F"/>
    <w:rPr>
      <w:b/>
      <w:bCs/>
    </w:rPr>
  </w:style>
  <w:style w:type="paragraph" w:styleId="Bobletekst">
    <w:name w:val="Balloon Text"/>
    <w:basedOn w:val="Normal"/>
    <w:semiHidden/>
    <w:rsid w:val="006E371F"/>
    <w:rPr>
      <w:rFonts w:ascii="Tahoma" w:hAnsi="Tahoma" w:cs="Tahoma"/>
      <w:sz w:val="16"/>
      <w:szCs w:val="16"/>
    </w:rPr>
  </w:style>
  <w:style w:type="paragraph" w:styleId="Dokumentkart">
    <w:name w:val="Document Map"/>
    <w:basedOn w:val="Normal"/>
    <w:link w:val="DokumentkartTegn"/>
    <w:uiPriority w:val="99"/>
    <w:semiHidden/>
    <w:unhideWhenUsed/>
    <w:rsid w:val="00A954E6"/>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954E6"/>
    <w:rPr>
      <w:rFonts w:ascii="Tahoma" w:hAnsi="Tahoma" w:cs="Tahoma"/>
      <w:sz w:val="16"/>
      <w:szCs w:val="16"/>
    </w:rPr>
  </w:style>
  <w:style w:type="character" w:styleId="Hyperkobling">
    <w:name w:val="Hyperlink"/>
    <w:basedOn w:val="Standardskriftforavsnitt"/>
    <w:uiPriority w:val="99"/>
    <w:unhideWhenUsed/>
    <w:rsid w:val="007E7445"/>
    <w:rPr>
      <w:color w:val="0000FF"/>
      <w:u w:val="single"/>
    </w:rPr>
  </w:style>
  <w:style w:type="paragraph" w:styleId="Bunntekst">
    <w:name w:val="footer"/>
    <w:basedOn w:val="Normal"/>
    <w:link w:val="BunntekstTegn"/>
    <w:uiPriority w:val="99"/>
    <w:semiHidden/>
    <w:unhideWhenUsed/>
    <w:rsid w:val="003947F7"/>
    <w:pPr>
      <w:tabs>
        <w:tab w:val="center" w:pos="4536"/>
        <w:tab w:val="right" w:pos="9072"/>
      </w:tabs>
    </w:pPr>
  </w:style>
  <w:style w:type="character" w:customStyle="1" w:styleId="BunntekstTegn">
    <w:name w:val="Bunntekst Tegn"/>
    <w:basedOn w:val="Standardskriftforavsnitt"/>
    <w:link w:val="Bunntekst"/>
    <w:uiPriority w:val="99"/>
    <w:semiHidden/>
    <w:rsid w:val="003947F7"/>
  </w:style>
  <w:style w:type="character" w:customStyle="1" w:styleId="BrdtekstTegn">
    <w:name w:val="Brødtekst Tegn"/>
    <w:basedOn w:val="Standardskriftforavsnitt"/>
    <w:link w:val="Brdtekst"/>
    <w:rsid w:val="00BE7901"/>
    <w:rPr>
      <w:rFonts w:ascii="DepCentury Old Style" w:hAnsi="DepCentury Old Style"/>
      <w:snapToGrid w:val="0"/>
      <w:color w:val="000000"/>
      <w:sz w:val="24"/>
    </w:rPr>
  </w:style>
  <w:style w:type="paragraph" w:styleId="Listeavsnitt">
    <w:name w:val="List Paragraph"/>
    <w:basedOn w:val="Normal"/>
    <w:uiPriority w:val="34"/>
    <w:qFormat/>
    <w:rsid w:val="00577192"/>
    <w:pPr>
      <w:ind w:left="720"/>
      <w:contextualSpacing/>
    </w:pPr>
  </w:style>
  <w:style w:type="character" w:styleId="Fulgthyperkobling">
    <w:name w:val="FollowedHyperlink"/>
    <w:basedOn w:val="Standardskriftforavsnitt"/>
    <w:uiPriority w:val="99"/>
    <w:semiHidden/>
    <w:unhideWhenUsed/>
    <w:rsid w:val="00CD10F2"/>
    <w:rPr>
      <w:color w:val="800080" w:themeColor="followedHyperlink"/>
      <w:u w:val="single"/>
    </w:rPr>
  </w:style>
  <w:style w:type="character" w:customStyle="1" w:styleId="Brdtekst2Tegn">
    <w:name w:val="Brødtekst 2 Tegn"/>
    <w:basedOn w:val="Standardskriftforavsnitt"/>
    <w:link w:val="Brdtekst2"/>
    <w:rsid w:val="00230C7D"/>
    <w:rPr>
      <w:rFonts w:ascii="DepCentury Old Style" w:hAnsi="DepCentury Old Style"/>
      <w:snapToGrid w:val="0"/>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6995">
      <w:bodyDiv w:val="1"/>
      <w:marLeft w:val="0"/>
      <w:marRight w:val="0"/>
      <w:marTop w:val="0"/>
      <w:marBottom w:val="0"/>
      <w:divBdr>
        <w:top w:val="none" w:sz="0" w:space="0" w:color="auto"/>
        <w:left w:val="none" w:sz="0" w:space="0" w:color="auto"/>
        <w:bottom w:val="none" w:sz="0" w:space="0" w:color="auto"/>
        <w:right w:val="none" w:sz="0" w:space="0" w:color="auto"/>
      </w:divBdr>
    </w:div>
    <w:div w:id="9170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B6DE-2098-4B69-B807-20714FB2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3131</Words>
  <Characters>19654</Characters>
  <Application>Microsoft Office Word</Application>
  <DocSecurity>0</DocSecurity>
  <Lines>163</Lines>
  <Paragraphs>45</Paragraphs>
  <ScaleCrop>false</ScaleCrop>
  <HeadingPairs>
    <vt:vector size="2" baseType="variant">
      <vt:variant>
        <vt:lpstr>Tittel</vt:lpstr>
      </vt:variant>
      <vt:variant>
        <vt:i4>1</vt:i4>
      </vt:variant>
    </vt:vector>
  </HeadingPairs>
  <TitlesOfParts>
    <vt:vector size="1" baseType="lpstr">
      <vt:lpstr>TILDELING I FORHÅNDSDEFINERTE OMRÅDER 2004</vt:lpstr>
    </vt:vector>
  </TitlesOfParts>
  <Company>Olje- og energidepartementet</Company>
  <LinksUpToDate>false</LinksUpToDate>
  <CharactersWithSpaces>22740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TILDELING I FORHÅNDSDEFINERTE OMRÅDER 2004</dc:title>
  <dc:creator>Smedsvig Anette Vehus</dc:creator>
  <cp:lastModifiedBy>Martine Linge Johnsen</cp:lastModifiedBy>
  <cp:revision>8</cp:revision>
  <cp:lastPrinted>2015-02-20T09:53:00Z</cp:lastPrinted>
  <dcterms:created xsi:type="dcterms:W3CDTF">2016-02-01T12:01:00Z</dcterms:created>
  <dcterms:modified xsi:type="dcterms:W3CDTF">2016-02-01T12:08:00Z</dcterms:modified>
</cp:coreProperties>
</file>